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浙江省生态环境厅网络安全闭环管理系统项目</w:t>
      </w:r>
    </w:p>
    <w:p>
      <w:pPr>
        <w:adjustRightInd/>
        <w:spacing w:line="360" w:lineRule="auto"/>
        <w:jc w:val="center"/>
        <w:rPr>
          <w:rFonts w:ascii="宋体" w:hAnsi="宋体" w:cs="宋体"/>
          <w:sz w:val="48"/>
          <w:szCs w:val="48"/>
        </w:rPr>
      </w:pPr>
      <w:r>
        <w:rPr>
          <w:rFonts w:hint="eastAsia" w:ascii="宋体" w:hAnsi="宋体" w:cs="宋体"/>
          <w:sz w:val="48"/>
          <w:szCs w:val="48"/>
        </w:rPr>
        <w:t>招标文件</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highlight w:val="yellow"/>
        </w:rPr>
      </w:pPr>
      <w:r>
        <w:rPr>
          <w:rFonts w:hint="eastAsia" w:ascii="宋体" w:hAnsi="宋体" w:cs="宋体"/>
          <w:sz w:val="30"/>
          <w:szCs w:val="30"/>
        </w:rPr>
        <w:t>编号:ZJXL-STJCZX-202215</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pStyle w:val="26"/>
        <w:rPr>
          <w:rFonts w:hAnsi="宋体" w:cs="宋体"/>
        </w:rPr>
      </w:pPr>
    </w:p>
    <w:p>
      <w:pPr>
        <w:pStyle w:val="27"/>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r>
        <w:rPr>
          <w:rFonts w:hint="eastAsia" w:ascii="宋体" w:hAnsi="宋体" w:cs="宋体"/>
          <w:sz w:val="32"/>
          <w:szCs w:val="32"/>
        </w:rPr>
        <w:t>浙江省生态环境监测中心</w:t>
      </w:r>
    </w:p>
    <w:p>
      <w:pPr>
        <w:spacing w:line="360" w:lineRule="auto"/>
        <w:jc w:val="center"/>
        <w:rPr>
          <w:rFonts w:ascii="宋体" w:hAnsi="宋体" w:cs="宋体"/>
          <w:bCs/>
          <w:sz w:val="32"/>
          <w:szCs w:val="32"/>
        </w:rPr>
      </w:pPr>
      <w:r>
        <w:rPr>
          <w:rFonts w:hint="eastAsia" w:ascii="宋体" w:hAnsi="宋体" w:cs="宋体"/>
          <w:bCs/>
          <w:sz w:val="32"/>
          <w:szCs w:val="32"/>
        </w:rPr>
        <w:t>浙江信镧建设工程咨询有限公司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二〇二二年八月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目录</w:t>
      </w:r>
    </w:p>
    <w:p>
      <w:pPr>
        <w:spacing w:line="360" w:lineRule="auto"/>
        <w:rPr>
          <w:rFonts w:ascii="宋体" w:hAnsi="宋体" w:cs="宋体"/>
          <w:sz w:val="32"/>
          <w:szCs w:val="32"/>
        </w:rPr>
      </w:pPr>
    </w:p>
    <w:p>
      <w:pPr>
        <w:pStyle w:val="45"/>
        <w:tabs>
          <w:tab w:val="right" w:leader="dot" w:pos="9070"/>
        </w:tabs>
        <w:spacing w:line="360" w:lineRule="auto"/>
        <w:rPr>
          <w:sz w:val="24"/>
        </w:rPr>
      </w:pPr>
      <w:bookmarkStart w:id="1" w:name="_Hlt91233176"/>
      <w:bookmarkEnd w:id="1"/>
      <w:bookmarkStart w:id="2" w:name="_Toc91899869"/>
      <w:r>
        <w:rPr>
          <w:sz w:val="24"/>
        </w:rPr>
        <w:fldChar w:fldCharType="begin"/>
      </w:r>
      <w:r>
        <w:rPr>
          <w:sz w:val="24"/>
        </w:rPr>
        <w:instrText xml:space="preserve"> TOC \o "1-2" \h \z \u </w:instrText>
      </w:r>
      <w:r>
        <w:rPr>
          <w:sz w:val="24"/>
        </w:rPr>
        <w:fldChar w:fldCharType="separate"/>
      </w:r>
      <w:r>
        <w:fldChar w:fldCharType="begin"/>
      </w:r>
      <w:r>
        <w:instrText xml:space="preserve"> HYPERLINK \l "_Toc14161" </w:instrText>
      </w:r>
      <w:r>
        <w:fldChar w:fldCharType="separate"/>
      </w:r>
      <w:r>
        <w:rPr>
          <w:rFonts w:hint="eastAsia" w:ascii="宋体" w:hAnsi="宋体" w:cs="宋体"/>
          <w:sz w:val="24"/>
        </w:rPr>
        <w:t>第一部分 招标公告</w:t>
      </w:r>
      <w:r>
        <w:rPr>
          <w:sz w:val="24"/>
        </w:rPr>
        <w:tab/>
      </w:r>
      <w:r>
        <w:rPr>
          <w:sz w:val="24"/>
        </w:rPr>
        <w:fldChar w:fldCharType="begin"/>
      </w:r>
      <w:r>
        <w:rPr>
          <w:sz w:val="24"/>
        </w:rPr>
        <w:instrText xml:space="preserve"> PAGEREF _Toc14161 \h </w:instrText>
      </w:r>
      <w:r>
        <w:rPr>
          <w:sz w:val="24"/>
        </w:rPr>
        <w:fldChar w:fldCharType="separate"/>
      </w:r>
      <w:r>
        <w:rPr>
          <w:sz w:val="24"/>
        </w:rPr>
        <w:t>3</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"_Toc6635" </w:instrText>
      </w:r>
      <w:r>
        <w:fldChar w:fldCharType="separate"/>
      </w:r>
      <w:r>
        <w:rPr>
          <w:rFonts w:hint="eastAsia" w:ascii="宋体" w:hAnsi="宋体" w:cs="宋体"/>
          <w:sz w:val="24"/>
        </w:rPr>
        <w:t>第二部分 投标人须知</w:t>
      </w:r>
      <w:r>
        <w:rPr>
          <w:sz w:val="24"/>
        </w:rPr>
        <w:tab/>
      </w:r>
      <w:r>
        <w:rPr>
          <w:sz w:val="24"/>
        </w:rPr>
        <w:fldChar w:fldCharType="begin"/>
      </w:r>
      <w:r>
        <w:rPr>
          <w:sz w:val="24"/>
        </w:rPr>
        <w:instrText xml:space="preserve"> PAGEREF _Toc6635 \h </w:instrText>
      </w:r>
      <w:r>
        <w:rPr>
          <w:sz w:val="24"/>
        </w:rPr>
        <w:fldChar w:fldCharType="separate"/>
      </w:r>
      <w:r>
        <w:rPr>
          <w:sz w:val="24"/>
        </w:rPr>
        <w:t>8</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"_Toc16440" </w:instrText>
      </w:r>
      <w:r>
        <w:fldChar w:fldCharType="separate"/>
      </w:r>
      <w:r>
        <w:rPr>
          <w:rFonts w:hint="eastAsia" w:ascii="宋体" w:hAnsi="宋体" w:cs="宋体"/>
          <w:sz w:val="24"/>
        </w:rPr>
        <w:t>第三部分 采购需求</w:t>
      </w:r>
      <w:r>
        <w:rPr>
          <w:sz w:val="24"/>
        </w:rPr>
        <w:tab/>
      </w:r>
      <w:r>
        <w:rPr>
          <w:sz w:val="24"/>
        </w:rPr>
        <w:fldChar w:fldCharType="begin"/>
      </w:r>
      <w:r>
        <w:rPr>
          <w:sz w:val="24"/>
        </w:rPr>
        <w:instrText xml:space="preserve"> PAGEREF _Toc16440 \h </w:instrText>
      </w:r>
      <w:r>
        <w:rPr>
          <w:sz w:val="24"/>
        </w:rPr>
        <w:fldChar w:fldCharType="separate"/>
      </w:r>
      <w:r>
        <w:rPr>
          <w:sz w:val="24"/>
        </w:rPr>
        <w:t>25</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"_Toc19986" </w:instrText>
      </w:r>
      <w:r>
        <w:fldChar w:fldCharType="separate"/>
      </w:r>
      <w:r>
        <w:rPr>
          <w:rFonts w:hint="eastAsia" w:ascii="宋体" w:hAnsi="宋体" w:cs="宋体"/>
          <w:sz w:val="24"/>
        </w:rPr>
        <w:t>第四部分 评标办法</w:t>
      </w:r>
      <w:r>
        <w:rPr>
          <w:sz w:val="24"/>
        </w:rPr>
        <w:tab/>
      </w:r>
      <w:r>
        <w:rPr>
          <w:sz w:val="24"/>
        </w:rPr>
        <w:fldChar w:fldCharType="begin"/>
      </w:r>
      <w:r>
        <w:rPr>
          <w:sz w:val="24"/>
        </w:rPr>
        <w:instrText xml:space="preserve"> PAGEREF _Toc19986 \h </w:instrText>
      </w:r>
      <w:r>
        <w:rPr>
          <w:sz w:val="24"/>
        </w:rPr>
        <w:fldChar w:fldCharType="separate"/>
      </w:r>
      <w:r>
        <w:rPr>
          <w:sz w:val="24"/>
        </w:rPr>
        <w:t>25</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"_Toc22571" </w:instrText>
      </w:r>
      <w:r>
        <w:fldChar w:fldCharType="separate"/>
      </w:r>
      <w:r>
        <w:rPr>
          <w:rFonts w:hint="eastAsia" w:ascii="宋体" w:hAnsi="宋体" w:cs="宋体"/>
          <w:sz w:val="24"/>
        </w:rPr>
        <w:t>第五部分 拟签订的合同文本</w:t>
      </w:r>
      <w:r>
        <w:rPr>
          <w:sz w:val="24"/>
        </w:rPr>
        <w:tab/>
      </w:r>
      <w:r>
        <w:rPr>
          <w:sz w:val="24"/>
        </w:rPr>
        <w:fldChar w:fldCharType="begin"/>
      </w:r>
      <w:r>
        <w:rPr>
          <w:sz w:val="24"/>
        </w:rPr>
        <w:instrText xml:space="preserve"> PAGEREF _Toc22571 \h </w:instrText>
      </w:r>
      <w:r>
        <w:rPr>
          <w:sz w:val="24"/>
        </w:rPr>
        <w:fldChar w:fldCharType="separate"/>
      </w:r>
      <w:r>
        <w:rPr>
          <w:sz w:val="24"/>
        </w:rPr>
        <w:t>48</w:t>
      </w:r>
      <w:r>
        <w:rPr>
          <w:sz w:val="24"/>
        </w:rPr>
        <w:fldChar w:fldCharType="end"/>
      </w:r>
      <w:r>
        <w:rPr>
          <w:sz w:val="24"/>
        </w:rPr>
        <w:fldChar w:fldCharType="end"/>
      </w:r>
    </w:p>
    <w:p>
      <w:pPr>
        <w:pStyle w:val="45"/>
        <w:tabs>
          <w:tab w:val="right" w:leader="dot" w:pos="9070"/>
        </w:tabs>
        <w:spacing w:line="360" w:lineRule="auto"/>
        <w:rPr>
          <w:sz w:val="24"/>
        </w:rPr>
      </w:pPr>
      <w:r>
        <w:fldChar w:fldCharType="begin"/>
      </w:r>
      <w:r>
        <w:instrText xml:space="preserve"> HYPERLINK \l "_Toc7034" </w:instrText>
      </w:r>
      <w:r>
        <w:fldChar w:fldCharType="separate"/>
      </w:r>
      <w:r>
        <w:rPr>
          <w:rFonts w:hint="eastAsia" w:ascii="宋体" w:hAnsi="宋体" w:cs="宋体"/>
          <w:sz w:val="24"/>
        </w:rPr>
        <w:t>第六部分 应提交的有关格式范例</w:t>
      </w:r>
      <w:r>
        <w:rPr>
          <w:sz w:val="24"/>
        </w:rPr>
        <w:tab/>
      </w:r>
      <w:r>
        <w:rPr>
          <w:sz w:val="24"/>
        </w:rPr>
        <w:fldChar w:fldCharType="begin"/>
      </w:r>
      <w:r>
        <w:rPr>
          <w:sz w:val="24"/>
        </w:rPr>
        <w:instrText xml:space="preserve"> PAGEREF _Toc7034 \h </w:instrText>
      </w:r>
      <w:r>
        <w:rPr>
          <w:sz w:val="24"/>
        </w:rPr>
        <w:fldChar w:fldCharType="separate"/>
      </w:r>
      <w:r>
        <w:rPr>
          <w:sz w:val="24"/>
        </w:rPr>
        <w:t>52</w:t>
      </w:r>
      <w:r>
        <w:rPr>
          <w:sz w:val="24"/>
        </w:rPr>
        <w:fldChar w:fldCharType="end"/>
      </w:r>
      <w:r>
        <w:rPr>
          <w:sz w:val="24"/>
        </w:rPr>
        <w:fldChar w:fldCharType="end"/>
      </w:r>
    </w:p>
    <w:p>
      <w:pPr>
        <w:spacing w:line="360" w:lineRule="auto"/>
        <w:ind w:firstLine="549" w:firstLineChars="229"/>
        <w:rPr>
          <w:rFonts w:ascii="宋体" w:hAnsi="宋体" w:cs="宋体"/>
          <w:sz w:val="24"/>
        </w:rPr>
      </w:pPr>
      <w:r>
        <w:rPr>
          <w:sz w:val="24"/>
        </w:rPr>
        <w:fldChar w:fldCharType="end"/>
      </w: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_Toc14161"/>
      <w:bookmarkStart w:id="9" w:name="第二部分"/>
      <w:bookmarkStart w:id="10" w:name="_Toc91899870"/>
      <w:bookmarkStart w:id="11" w:name="_Toc91899871"/>
      <w:r>
        <w:rPr>
          <w:rFonts w:hint="eastAsia" w:ascii="宋体" w:hAnsi="宋体" w:cs="宋体"/>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浙江省生态环境厅网络安全闭环管理系统项目</w:t>
      </w:r>
      <w:r>
        <w:rPr>
          <w:rFonts w:hint="eastAsia" w:ascii="宋体" w:hAnsi="宋体" w:cs="宋体"/>
          <w:sz w:val="24"/>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sz w:val="24"/>
          <w:u w:val="single"/>
        </w:rPr>
        <w:t>2022年0</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 xml:space="preserve">日09点 </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一、项目基本情况</w:t>
      </w:r>
    </w:p>
    <w:p>
      <w:pPr>
        <w:spacing w:line="360" w:lineRule="auto"/>
        <w:rPr>
          <w:rFonts w:ascii="宋体" w:hAnsi="宋体" w:cs="宋体"/>
          <w:sz w:val="24"/>
        </w:rPr>
      </w:pPr>
      <w:r>
        <w:rPr>
          <w:rFonts w:hint="eastAsia" w:ascii="宋体" w:hAnsi="宋体" w:cs="宋体"/>
          <w:b/>
          <w:sz w:val="24"/>
        </w:rPr>
        <w:t>项目编号：</w:t>
      </w:r>
      <w:r>
        <w:rPr>
          <w:rFonts w:hint="eastAsia" w:ascii="宋体" w:hAnsi="宋体" w:cs="宋体"/>
          <w:sz w:val="24"/>
        </w:rPr>
        <w:t>ZJXL-STJCZX-202215</w:t>
      </w:r>
    </w:p>
    <w:p>
      <w:pPr>
        <w:spacing w:line="360" w:lineRule="auto"/>
        <w:rPr>
          <w:rFonts w:ascii="宋体" w:hAnsi="宋体" w:cs="宋体"/>
          <w:sz w:val="24"/>
        </w:rPr>
      </w:pPr>
      <w:r>
        <w:rPr>
          <w:rFonts w:hint="eastAsia" w:ascii="宋体" w:hAnsi="宋体" w:cs="宋体"/>
          <w:b/>
          <w:sz w:val="24"/>
        </w:rPr>
        <w:t>项目名称：</w:t>
      </w:r>
      <w:r>
        <w:rPr>
          <w:rFonts w:hint="eastAsia" w:ascii="宋体" w:hAnsi="宋体" w:cs="宋体"/>
          <w:sz w:val="24"/>
        </w:rPr>
        <w:t>浙江省生态环境厅网络安全闭环管理系统项目</w:t>
      </w:r>
    </w:p>
    <w:p>
      <w:pPr>
        <w:spacing w:line="360" w:lineRule="auto"/>
        <w:rPr>
          <w:rFonts w:ascii="宋体" w:hAnsi="宋体" w:cs="宋体"/>
          <w:sz w:val="24"/>
        </w:rPr>
      </w:pPr>
      <w:r>
        <w:rPr>
          <w:rFonts w:hint="eastAsia" w:ascii="宋体" w:hAnsi="宋体" w:cs="宋体"/>
          <w:b/>
          <w:sz w:val="24"/>
        </w:rPr>
        <w:t>预算金额（元）：500000</w:t>
      </w:r>
    </w:p>
    <w:p>
      <w:pPr>
        <w:spacing w:line="360" w:lineRule="auto"/>
        <w:rPr>
          <w:rFonts w:ascii="宋体" w:hAnsi="宋体" w:cs="宋体"/>
          <w:sz w:val="24"/>
        </w:rPr>
      </w:pPr>
      <w:r>
        <w:rPr>
          <w:rFonts w:hint="eastAsia" w:ascii="宋体" w:hAnsi="宋体" w:cs="宋体"/>
          <w:b/>
          <w:sz w:val="24"/>
        </w:rPr>
        <w:t>最高限价（元）：500000</w:t>
      </w:r>
    </w:p>
    <w:p>
      <w:pPr>
        <w:pStyle w:val="17"/>
        <w:spacing w:line="360" w:lineRule="auto"/>
        <w:ind w:firstLine="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w:t>
      </w:r>
    </w:p>
    <w:tbl>
      <w:tblPr>
        <w:tblStyle w:val="63"/>
        <w:tblW w:w="95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9"/>
        <w:gridCol w:w="1697"/>
        <w:gridCol w:w="754"/>
        <w:gridCol w:w="1366"/>
        <w:gridCol w:w="900"/>
        <w:gridCol w:w="3395"/>
        <w:gridCol w:w="7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9" w:type="dxa"/>
            <w:vAlign w:val="center"/>
          </w:tcPr>
          <w:p>
            <w:pPr>
              <w:pStyle w:val="26"/>
              <w:ind w:firstLine="0"/>
              <w:jc w:val="center"/>
              <w:rPr>
                <w:rFonts w:hAnsi="宋体" w:cs="宋体"/>
                <w:szCs w:val="24"/>
              </w:rPr>
            </w:pPr>
            <w:r>
              <w:rPr>
                <w:rFonts w:hint="eastAsia" w:hAnsi="宋体" w:cs="宋体"/>
                <w:szCs w:val="24"/>
              </w:rPr>
              <w:t>标项序号</w:t>
            </w:r>
          </w:p>
        </w:tc>
        <w:tc>
          <w:tcPr>
            <w:tcW w:w="1697" w:type="dxa"/>
            <w:vAlign w:val="center"/>
          </w:tcPr>
          <w:p>
            <w:pPr>
              <w:pStyle w:val="26"/>
              <w:ind w:firstLine="0"/>
              <w:jc w:val="center"/>
              <w:rPr>
                <w:rFonts w:hAnsi="宋体" w:cs="宋体"/>
                <w:szCs w:val="24"/>
              </w:rPr>
            </w:pPr>
            <w:r>
              <w:rPr>
                <w:rFonts w:hint="eastAsia" w:hAnsi="宋体" w:cs="宋体"/>
                <w:szCs w:val="24"/>
              </w:rPr>
              <w:t>标项名称</w:t>
            </w:r>
          </w:p>
        </w:tc>
        <w:tc>
          <w:tcPr>
            <w:tcW w:w="754" w:type="dxa"/>
            <w:vAlign w:val="center"/>
          </w:tcPr>
          <w:p>
            <w:pPr>
              <w:pStyle w:val="26"/>
              <w:ind w:firstLine="0"/>
              <w:jc w:val="center"/>
              <w:rPr>
                <w:rFonts w:hAnsi="宋体" w:cs="宋体"/>
                <w:szCs w:val="24"/>
              </w:rPr>
            </w:pPr>
            <w:r>
              <w:rPr>
                <w:rFonts w:hint="eastAsia" w:hAnsi="宋体" w:cs="宋体"/>
                <w:szCs w:val="24"/>
              </w:rPr>
              <w:t>数量</w:t>
            </w:r>
          </w:p>
        </w:tc>
        <w:tc>
          <w:tcPr>
            <w:tcW w:w="1366" w:type="dxa"/>
            <w:vAlign w:val="center"/>
          </w:tcPr>
          <w:p>
            <w:pPr>
              <w:pStyle w:val="26"/>
              <w:ind w:firstLine="0"/>
              <w:jc w:val="center"/>
              <w:rPr>
                <w:rFonts w:hAnsi="宋体" w:cs="宋体"/>
                <w:szCs w:val="24"/>
              </w:rPr>
            </w:pPr>
            <w:r>
              <w:rPr>
                <w:rFonts w:hint="eastAsia" w:hAnsi="宋体" w:cs="宋体"/>
                <w:szCs w:val="24"/>
              </w:rPr>
              <w:t>预算金额(元)</w:t>
            </w:r>
          </w:p>
        </w:tc>
        <w:tc>
          <w:tcPr>
            <w:tcW w:w="900" w:type="dxa"/>
            <w:vAlign w:val="center"/>
          </w:tcPr>
          <w:p>
            <w:pPr>
              <w:pStyle w:val="26"/>
              <w:ind w:firstLine="0"/>
              <w:jc w:val="center"/>
              <w:rPr>
                <w:rFonts w:hAnsi="宋体" w:cs="宋体"/>
                <w:szCs w:val="24"/>
              </w:rPr>
            </w:pPr>
            <w:r>
              <w:rPr>
                <w:rFonts w:hint="eastAsia" w:hAnsi="宋体" w:cs="宋体"/>
                <w:szCs w:val="24"/>
              </w:rPr>
              <w:t>单位</w:t>
            </w:r>
          </w:p>
        </w:tc>
        <w:tc>
          <w:tcPr>
            <w:tcW w:w="3395" w:type="dxa"/>
            <w:vAlign w:val="center"/>
          </w:tcPr>
          <w:p>
            <w:pPr>
              <w:pStyle w:val="26"/>
              <w:ind w:firstLine="0"/>
              <w:jc w:val="center"/>
              <w:rPr>
                <w:rFonts w:hAnsi="宋体" w:cs="宋体"/>
                <w:szCs w:val="24"/>
              </w:rPr>
            </w:pPr>
            <w:r>
              <w:rPr>
                <w:rFonts w:hint="eastAsia" w:hAnsi="宋体" w:cs="宋体"/>
                <w:szCs w:val="24"/>
              </w:rPr>
              <w:t>简要规格描述</w:t>
            </w:r>
          </w:p>
        </w:tc>
        <w:tc>
          <w:tcPr>
            <w:tcW w:w="754" w:type="dxa"/>
            <w:vAlign w:val="center"/>
          </w:tcPr>
          <w:p>
            <w:pPr>
              <w:pStyle w:val="26"/>
              <w:ind w:firstLine="0"/>
              <w:jc w:val="center"/>
              <w:rPr>
                <w:rFonts w:hAnsi="宋体" w:cs="宋体"/>
                <w:szCs w:val="24"/>
              </w:rPr>
            </w:pPr>
            <w:r>
              <w:rPr>
                <w:rFonts w:hint="eastAsia" w:hAnsi="宋体" w:cs="宋体"/>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5" w:hRule="atLeast"/>
          <w:jc w:val="center"/>
        </w:trPr>
        <w:tc>
          <w:tcPr>
            <w:tcW w:w="649"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rPr>
              <w:t>1</w:t>
            </w:r>
          </w:p>
        </w:tc>
        <w:tc>
          <w:tcPr>
            <w:tcW w:w="1697" w:type="dxa"/>
            <w:vAlign w:val="center"/>
          </w:tcPr>
          <w:p>
            <w:pPr>
              <w:pStyle w:val="480"/>
              <w:spacing w:line="360" w:lineRule="auto"/>
              <w:jc w:val="center"/>
              <w:rPr>
                <w:rFonts w:ascii="宋体" w:hAnsi="宋体" w:cs="宋体"/>
                <w:sz w:val="24"/>
                <w:szCs w:val="24"/>
              </w:rPr>
            </w:pPr>
            <w:r>
              <w:rPr>
                <w:rFonts w:hint="eastAsia" w:ascii="宋体" w:hAnsi="宋体" w:cs="宋体"/>
                <w:sz w:val="24"/>
              </w:rPr>
              <w:t>浙江省生态环境厅网络安全闭环管理系统项目</w:t>
            </w:r>
          </w:p>
        </w:tc>
        <w:tc>
          <w:tcPr>
            <w:tcW w:w="754"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rPr>
              <w:t>1</w:t>
            </w:r>
          </w:p>
        </w:tc>
        <w:tc>
          <w:tcPr>
            <w:tcW w:w="1366"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rPr>
              <w:t>500000</w:t>
            </w:r>
          </w:p>
        </w:tc>
        <w:tc>
          <w:tcPr>
            <w:tcW w:w="900" w:type="dxa"/>
            <w:vAlign w:val="center"/>
          </w:tcPr>
          <w:p>
            <w:pPr>
              <w:pStyle w:val="480"/>
              <w:spacing w:line="360" w:lineRule="auto"/>
              <w:jc w:val="center"/>
              <w:rPr>
                <w:rFonts w:ascii="宋体" w:hAnsi="宋体" w:cs="宋体"/>
                <w:sz w:val="24"/>
                <w:szCs w:val="24"/>
              </w:rPr>
            </w:pPr>
            <w:r>
              <w:rPr>
                <w:rFonts w:hint="eastAsia" w:ascii="宋体" w:hAnsi="宋体" w:cs="宋体"/>
                <w:sz w:val="24"/>
                <w:szCs w:val="24"/>
              </w:rPr>
              <w:t>项</w:t>
            </w:r>
          </w:p>
        </w:tc>
        <w:tc>
          <w:tcPr>
            <w:tcW w:w="3395" w:type="dxa"/>
            <w:vAlign w:val="center"/>
          </w:tcPr>
          <w:p>
            <w:pPr>
              <w:snapToGrid w:val="0"/>
            </w:pPr>
            <w:r>
              <w:rPr>
                <w:rFonts w:hint="eastAsia" w:ascii="宋体" w:hAnsi="宋体" w:cs="宋体"/>
                <w:sz w:val="24"/>
                <w:shd w:val="clear" w:color="auto" w:fill="FFFFFF"/>
              </w:rPr>
              <w:t>实现省生态环境厅网络安全事件的统一管控，全面提升浙江省生态环境厅网络安全监管和治理能力。进而助力建立省生态环境厅“五位一体”网络安全工作体系，提升省生态环境厅网络安全整体水平，夯实省生态环境厅数字化改革网络安全底座，保障数字化改革稳步推进。详见招标文件第三部分采购需求。</w:t>
            </w:r>
          </w:p>
        </w:tc>
        <w:tc>
          <w:tcPr>
            <w:tcW w:w="754" w:type="dxa"/>
            <w:vAlign w:val="center"/>
          </w:tcPr>
          <w:p>
            <w:pPr>
              <w:pStyle w:val="27"/>
              <w:ind w:left="0" w:leftChars="0"/>
            </w:pPr>
          </w:p>
        </w:tc>
      </w:tr>
    </w:tbl>
    <w:p>
      <w:pPr>
        <w:pStyle w:val="17"/>
        <w:spacing w:line="360" w:lineRule="auto"/>
        <w:ind w:firstLine="480"/>
        <w:rPr>
          <w:rFonts w:hAnsi="宋体" w:cs="宋体"/>
          <w:bCs/>
          <w:color w:val="auto"/>
          <w:sz w:val="24"/>
        </w:rPr>
      </w:pPr>
      <w:r>
        <w:rPr>
          <w:rFonts w:hint="eastAsia" w:hAnsi="宋体" w:cs="宋体"/>
          <w:b/>
          <w:color w:val="auto"/>
          <w:sz w:val="24"/>
        </w:rPr>
        <w:t>合同履约期限：</w:t>
      </w:r>
      <w:r>
        <w:rPr>
          <w:rFonts w:hint="eastAsia" w:hAnsi="宋体" w:cs="宋体"/>
          <w:bCs/>
          <w:color w:val="auto"/>
          <w:sz w:val="24"/>
        </w:rPr>
        <w:t>详见招标文件第三部分采购需求。</w:t>
      </w:r>
    </w:p>
    <w:p>
      <w:pPr>
        <w:pStyle w:val="17"/>
        <w:spacing w:line="360" w:lineRule="auto"/>
        <w:ind w:firstLine="480"/>
        <w:rPr>
          <w:rFonts w:hAnsi="宋体" w:cs="宋体"/>
          <w:b/>
          <w:color w:val="auto"/>
          <w:sz w:val="24"/>
        </w:rPr>
      </w:pPr>
      <w:r>
        <w:rPr>
          <w:rFonts w:hint="eastAsia" w:hAnsi="宋体" w:cs="宋体"/>
          <w:b/>
          <w:color w:val="auto"/>
          <w:sz w:val="24"/>
        </w:rPr>
        <w:t>本项目接受联合体投标：</w:t>
      </w:r>
      <w:sdt>
        <w:sdtPr>
          <w:rPr>
            <w:rFonts w:hint="eastAsia" w:hAnsi="宋体" w:cs="宋体"/>
            <w:color w:val="auto"/>
            <w:kern w:val="0"/>
            <w:sz w:val="24"/>
          </w:rPr>
          <w:id w:val="-1276331357"/>
        </w:sdtPr>
        <w:sdtEndPr>
          <w:rPr>
            <w:rFonts w:hint="eastAsia" w:hAnsi="宋体" w:cs="宋体"/>
            <w:color w:val="auto"/>
            <w:kern w:val="0"/>
            <w:sz w:val="24"/>
          </w:rPr>
        </w:sdtEndPr>
        <w:sdtContent>
          <w:r>
            <w:rPr>
              <w:rFonts w:hint="eastAsia" w:hAnsi="宋体" w:cs="宋体"/>
              <w:color w:val="auto"/>
              <w:kern w:val="0"/>
              <w:sz w:val="24"/>
            </w:rPr>
            <w:sym w:font="Wingdings" w:char="00FE"/>
          </w:r>
        </w:sdtContent>
      </w:sdt>
      <w:r>
        <w:rPr>
          <w:rFonts w:hint="eastAsia" w:hAnsi="宋体" w:cs="宋体"/>
          <w:color w:val="auto"/>
          <w:kern w:val="0"/>
          <w:sz w:val="24"/>
        </w:rPr>
        <w:t xml:space="preserve"> </w:t>
      </w:r>
      <w:r>
        <w:rPr>
          <w:rFonts w:hint="eastAsia" w:hAnsi="宋体" w:cs="宋体"/>
          <w:b/>
          <w:color w:val="auto"/>
          <w:sz w:val="24"/>
        </w:rPr>
        <w:t xml:space="preserve">是，     </w:t>
      </w:r>
      <w:sdt>
        <w:sdtPr>
          <w:rPr>
            <w:rFonts w:hint="eastAsia" w:hAnsi="宋体" w:cs="宋体"/>
            <w:color w:val="auto"/>
            <w:kern w:val="0"/>
            <w:sz w:val="24"/>
          </w:rPr>
          <w:id w:val="513728509"/>
        </w:sdtPr>
        <w:sdtEndPr>
          <w:rPr>
            <w:rFonts w:hint="eastAsia" w:hAnsi="宋体" w:cs="宋体"/>
            <w:color w:val="auto"/>
            <w:kern w:val="0"/>
            <w:sz w:val="24"/>
          </w:rPr>
        </w:sdtEndPr>
        <w:sdtContent>
          <w:r>
            <w:rPr>
              <w:rFonts w:hint="eastAsia" w:hAnsi="宋体" w:cs="宋体"/>
              <w:color w:val="auto"/>
              <w:kern w:val="0"/>
              <w:sz w:val="24"/>
            </w:rPr>
            <w:sym w:font="Wingdings" w:char="00A8"/>
          </w:r>
        </w:sdtContent>
      </w:sdt>
      <w:r>
        <w:rPr>
          <w:rFonts w:hint="eastAsia" w:hAnsi="宋体" w:cs="宋体"/>
          <w:color w:val="auto"/>
          <w:kern w:val="0"/>
          <w:sz w:val="24"/>
        </w:rPr>
        <w:t xml:space="preserve"> </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538929364"/>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 xml:space="preserve"> </w:t>
      </w:r>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856555535"/>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专</w:t>
      </w:r>
      <w:r>
        <w:rPr>
          <w:rFonts w:hint="eastAsia" w:ascii="宋体" w:hAnsi="宋体" w:cs="宋体"/>
          <w:sz w:val="24"/>
        </w:rPr>
        <w:t>门面向中小企业</w:t>
      </w:r>
    </w:p>
    <w:p>
      <w:pPr>
        <w:spacing w:line="360" w:lineRule="auto"/>
        <w:ind w:firstLine="897" w:firstLineChars="374"/>
        <w:rPr>
          <w:rFonts w:ascii="宋体" w:hAnsi="宋体" w:cs="宋体"/>
          <w:sz w:val="24"/>
        </w:rPr>
      </w:pPr>
      <w:sdt>
        <w:sdtPr>
          <w:rPr>
            <w:rFonts w:hint="eastAsia" w:ascii="宋体" w:hAnsi="宋体" w:cs="宋体"/>
            <w:kern w:val="0"/>
            <w:sz w:val="24"/>
          </w:rPr>
          <w:id w:val="-184616534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rPr>
      </w:pPr>
      <w:sdt>
        <w:sdtPr>
          <w:rPr>
            <w:rFonts w:hint="eastAsia" w:ascii="宋体" w:hAnsi="宋体" w:cs="宋体"/>
            <w:kern w:val="0"/>
            <w:sz w:val="24"/>
          </w:rPr>
          <w:id w:val="-1999096846"/>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服务全部由符合政策要求的小微企业承接，提供中小企业声明函；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774066339"/>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要求以联合体形式参加，提供联合协议和中小企业声明函，联合协议中中小企业合同金额应当达到%，小微企业合同金额应当达到%;</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rPr>
          <w:rFonts w:ascii="宋体" w:hAnsi="宋体" w:cs="宋体"/>
          <w:sz w:val="24"/>
        </w:rPr>
      </w:pPr>
      <w:sdt>
        <w:sdtPr>
          <w:rPr>
            <w:rFonts w:hint="eastAsia" w:ascii="宋体" w:hAnsi="宋体" w:cs="宋体"/>
            <w:kern w:val="0"/>
            <w:sz w:val="24"/>
          </w:rPr>
          <w:id w:val="-448546302"/>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w:t>
      </w:r>
      <w:r>
        <w:rPr>
          <w:rFonts w:hint="eastAsia" w:ascii="宋体" w:hAnsi="宋体" w:cs="宋体"/>
          <w:sz w:val="24"/>
        </w:rPr>
        <w:t>要求合同分包，提供分包意向协议和中小企业声明函，分包意向协议中中小企业合同金额应当达到% ，小微企业合同金额应当达到%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3.本项目的特定资格要求：无；</w:t>
      </w:r>
    </w:p>
    <w:p>
      <w:pPr>
        <w:snapToGrid w:val="0"/>
        <w:spacing w:line="360" w:lineRule="auto"/>
        <w:ind w:firstLine="480" w:firstLineChars="200"/>
        <w:rPr>
          <w:rFonts w:ascii="宋体" w:hAnsi="宋体" w:cs="宋体"/>
          <w:sz w:val="24"/>
        </w:rPr>
      </w:pPr>
      <w:r>
        <w:rPr>
          <w:rFonts w:hint="eastAsia" w:ascii="宋体" w:hAnsi="宋体" w:cs="宋体"/>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三、获取招标文件</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公告发布之日起至投标截止时间</w:t>
      </w:r>
      <w:r>
        <w:rPr>
          <w:rFonts w:hint="eastAsia" w:ascii="宋体" w:hAnsi="宋体" w:cs="宋体"/>
          <w:sz w:val="24"/>
        </w:rPr>
        <w:t>（北京时间，线上获取法定节假日均可，线下获取文件法定节假日除外）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2022年0</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 xml:space="preserve">日09点 </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00秒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2022年0</w:t>
      </w:r>
      <w:r>
        <w:rPr>
          <w:rFonts w:hint="eastAsia" w:ascii="宋体" w:hAnsi="宋体" w:cs="宋体"/>
          <w:sz w:val="24"/>
          <w:u w:val="single"/>
          <w:lang w:val="en-US" w:eastAsia="zh-CN"/>
        </w:rPr>
        <w:t>8</w:t>
      </w:r>
      <w:r>
        <w:rPr>
          <w:rFonts w:hint="eastAsia" w:ascii="宋体" w:hAnsi="宋体" w:cs="宋体"/>
          <w:sz w:val="24"/>
          <w:u w:val="single"/>
        </w:rPr>
        <w:t>月</w:t>
      </w:r>
      <w:r>
        <w:rPr>
          <w:rFonts w:hint="eastAsia" w:ascii="宋体" w:hAnsi="宋体" w:cs="宋体"/>
          <w:sz w:val="24"/>
          <w:u w:val="single"/>
          <w:lang w:val="en-US" w:eastAsia="zh-CN"/>
        </w:rPr>
        <w:t>25</w:t>
      </w:r>
      <w:r>
        <w:rPr>
          <w:rFonts w:hint="eastAsia" w:ascii="宋体" w:hAnsi="宋体" w:cs="宋体"/>
          <w:sz w:val="24"/>
          <w:u w:val="single"/>
        </w:rPr>
        <w:t xml:space="preserve">日09点 </w:t>
      </w:r>
      <w:r>
        <w:rPr>
          <w:rFonts w:hint="eastAsia" w:ascii="宋体" w:hAnsi="宋体" w:cs="宋体"/>
          <w:sz w:val="24"/>
          <w:u w:val="single"/>
          <w:lang w:val="en-US" w:eastAsia="zh-CN"/>
        </w:rPr>
        <w:t>0</w:t>
      </w:r>
      <w:r>
        <w:rPr>
          <w:rFonts w:hint="eastAsia" w:ascii="宋体" w:hAnsi="宋体" w:cs="宋体"/>
          <w:sz w:val="24"/>
          <w:u w:val="single"/>
        </w:rPr>
        <w:t>0分</w:t>
      </w:r>
      <w:r>
        <w:rPr>
          <w:rFonts w:hint="eastAsia" w:ascii="宋体" w:hAnsi="宋体" w:cs="宋体"/>
          <w:bCs/>
          <w:sz w:val="24"/>
          <w:u w:val="single"/>
        </w:rPr>
        <w:t>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五、公告期限</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    称：浙江省生态环境监测中心</w:t>
      </w:r>
    </w:p>
    <w:p>
      <w:pPr>
        <w:spacing w:line="360" w:lineRule="auto"/>
        <w:ind w:firstLine="480" w:firstLineChars="200"/>
        <w:rPr>
          <w:rFonts w:ascii="宋体" w:hAnsi="宋体" w:cs="宋体"/>
          <w:sz w:val="24"/>
        </w:rPr>
      </w:pPr>
      <w:r>
        <w:rPr>
          <w:rFonts w:hint="eastAsia" w:ascii="宋体" w:hAnsi="宋体" w:cs="宋体"/>
          <w:sz w:val="24"/>
        </w:rPr>
        <w:t>地    址：杭州市西湖区学院路117号</w:t>
      </w:r>
    </w:p>
    <w:p>
      <w:pPr>
        <w:pStyle w:val="59"/>
        <w:spacing w:before="75" w:beforeAutospacing="0" w:after="75" w:afterAutospacing="0" w:line="360" w:lineRule="auto"/>
        <w:ind w:firstLine="480" w:firstLineChars="200"/>
        <w:rPr>
          <w:rStyle w:val="961"/>
          <w:rFonts w:cs="宋体"/>
        </w:rPr>
      </w:pPr>
      <w:r>
        <w:rPr>
          <w:rFonts w:hint="eastAsia" w:cs="宋体"/>
        </w:rPr>
        <w:t>项目联系人（询问）：陈老师</w:t>
      </w:r>
    </w:p>
    <w:p>
      <w:pPr>
        <w:pStyle w:val="59"/>
        <w:spacing w:before="75" w:beforeAutospacing="0" w:after="75" w:afterAutospacing="0" w:line="360" w:lineRule="auto"/>
        <w:ind w:firstLine="480" w:firstLineChars="200"/>
        <w:rPr>
          <w:rStyle w:val="961"/>
          <w:rFonts w:cs="宋体"/>
        </w:rPr>
      </w:pPr>
      <w:r>
        <w:rPr>
          <w:rFonts w:hint="eastAsia" w:cs="宋体"/>
        </w:rPr>
        <w:t>项目联系方式（询问）：</w:t>
      </w:r>
      <w:r>
        <w:rPr>
          <w:rStyle w:val="961"/>
          <w:rFonts w:hint="eastAsia" w:cs="宋体"/>
        </w:rPr>
        <w:t>0571-89921950</w:t>
      </w:r>
    </w:p>
    <w:p>
      <w:pPr>
        <w:pStyle w:val="59"/>
        <w:spacing w:before="75" w:beforeAutospacing="0" w:after="75" w:afterAutospacing="0" w:line="360" w:lineRule="auto"/>
        <w:ind w:firstLine="480" w:firstLineChars="200"/>
        <w:rPr>
          <w:rStyle w:val="961"/>
          <w:rFonts w:cs="宋体"/>
        </w:rPr>
      </w:pPr>
      <w:r>
        <w:rPr>
          <w:rFonts w:hint="eastAsia" w:cs="宋体"/>
        </w:rPr>
        <w:t>质疑联系人：郭老师</w:t>
      </w:r>
    </w:p>
    <w:p>
      <w:pPr>
        <w:pStyle w:val="59"/>
        <w:spacing w:before="75" w:beforeAutospacing="0" w:after="75" w:afterAutospacing="0" w:line="360" w:lineRule="auto"/>
        <w:ind w:firstLine="480" w:firstLineChars="200"/>
        <w:rPr>
          <w:rFonts w:cs="宋体"/>
        </w:rPr>
      </w:pPr>
      <w:r>
        <w:rPr>
          <w:rFonts w:hint="eastAsia" w:cs="宋体"/>
        </w:rPr>
        <w:t>质疑联系方式：</w:t>
      </w:r>
      <w:r>
        <w:rPr>
          <w:rStyle w:val="961"/>
          <w:rFonts w:hint="eastAsia" w:cs="宋体"/>
        </w:rPr>
        <w:t>0571-899219</w:t>
      </w:r>
      <w:r>
        <w:rPr>
          <w:rStyle w:val="961"/>
          <w:rFonts w:hint="eastAsia" w:cs="宋体"/>
          <w:lang w:val="en-US" w:eastAsia="zh-CN"/>
        </w:rPr>
        <w:t>4</w:t>
      </w:r>
      <w:r>
        <w:rPr>
          <w:rStyle w:val="961"/>
          <w:rFonts w:hint="eastAsia" w:cs="宋体"/>
        </w:rPr>
        <w:t>0</w:t>
      </w:r>
      <w:bookmarkStart w:id="433" w:name="_GoBack"/>
      <w:bookmarkEnd w:id="433"/>
    </w:p>
    <w:p>
      <w:pPr>
        <w:spacing w:line="360" w:lineRule="auto"/>
        <w:ind w:firstLine="480" w:firstLineChars="200"/>
        <w:rPr>
          <w:rFonts w:ascii="宋体" w:hAnsi="宋体" w:cs="宋体"/>
          <w:sz w:val="24"/>
        </w:rPr>
      </w:pPr>
      <w:r>
        <w:rPr>
          <w:rFonts w:hint="eastAsia" w:ascii="宋体" w:hAnsi="宋体" w:cs="宋体"/>
          <w:sz w:val="24"/>
        </w:rPr>
        <w:t>2.采购代理机构信息</w:t>
      </w:r>
    </w:p>
    <w:p>
      <w:pPr>
        <w:spacing w:line="360" w:lineRule="auto"/>
        <w:ind w:firstLine="480"/>
        <w:rPr>
          <w:rFonts w:ascii="宋体" w:hAnsi="宋体" w:cs="宋体"/>
          <w:sz w:val="24"/>
        </w:rPr>
      </w:pPr>
      <w:r>
        <w:rPr>
          <w:rFonts w:hint="eastAsia" w:ascii="宋体" w:hAnsi="宋体" w:cs="宋体"/>
          <w:sz w:val="24"/>
        </w:rPr>
        <w:t>名称：浙江信镧建设工程咨询有限公司</w:t>
      </w:r>
    </w:p>
    <w:p>
      <w:pPr>
        <w:pStyle w:val="59"/>
        <w:spacing w:before="75" w:beforeAutospacing="0" w:after="75" w:afterAutospacing="0" w:line="360" w:lineRule="auto"/>
        <w:ind w:firstLine="480" w:firstLineChars="200"/>
        <w:rPr>
          <w:rFonts w:cs="宋体"/>
        </w:rPr>
      </w:pPr>
      <w:r>
        <w:rPr>
          <w:rFonts w:hint="eastAsia" w:cs="宋体"/>
        </w:rPr>
        <w:t>地    址：</w:t>
      </w:r>
      <w:r>
        <w:rPr>
          <w:rStyle w:val="961"/>
          <w:rFonts w:hint="eastAsia" w:cs="宋体"/>
        </w:rPr>
        <w:t>浙江省杭州市西湖区文二路391号西湖国际科技大厦B2楼507室</w:t>
      </w:r>
    </w:p>
    <w:p>
      <w:pPr>
        <w:pStyle w:val="59"/>
        <w:spacing w:before="75" w:beforeAutospacing="0" w:after="75" w:afterAutospacing="0" w:line="360" w:lineRule="auto"/>
        <w:ind w:firstLine="480" w:firstLineChars="200"/>
        <w:rPr>
          <w:rFonts w:cs="宋体"/>
        </w:rPr>
      </w:pPr>
      <w:r>
        <w:rPr>
          <w:rFonts w:hint="eastAsia" w:cs="宋体"/>
        </w:rPr>
        <w:t>传真：</w:t>
      </w:r>
      <w:r>
        <w:rPr>
          <w:rStyle w:val="961"/>
          <w:rFonts w:hint="eastAsia" w:cs="宋体"/>
        </w:rPr>
        <w:t>0571-85024997</w:t>
      </w:r>
    </w:p>
    <w:p>
      <w:pPr>
        <w:pStyle w:val="59"/>
        <w:spacing w:before="75" w:beforeAutospacing="0" w:after="75" w:afterAutospacing="0" w:line="360" w:lineRule="auto"/>
        <w:ind w:firstLine="480" w:firstLineChars="200"/>
        <w:rPr>
          <w:rFonts w:cs="宋体"/>
        </w:rPr>
      </w:pPr>
      <w:r>
        <w:rPr>
          <w:rFonts w:hint="eastAsia" w:cs="宋体"/>
        </w:rPr>
        <w:t>项目联系人（询问）：曹威</w:t>
      </w:r>
    </w:p>
    <w:p>
      <w:pPr>
        <w:pStyle w:val="59"/>
        <w:spacing w:before="75" w:beforeAutospacing="0" w:after="75" w:afterAutospacing="0" w:line="360" w:lineRule="auto"/>
        <w:ind w:firstLine="480" w:firstLineChars="200"/>
        <w:rPr>
          <w:rFonts w:cs="宋体"/>
        </w:rPr>
      </w:pPr>
      <w:r>
        <w:rPr>
          <w:rFonts w:hint="eastAsia" w:cs="宋体"/>
        </w:rPr>
        <w:t>项目联系方式（询问）：</w:t>
      </w:r>
      <w:r>
        <w:rPr>
          <w:rStyle w:val="961"/>
          <w:rFonts w:hint="eastAsia" w:cs="宋体"/>
        </w:rPr>
        <w:t>0571-87967630</w:t>
      </w:r>
    </w:p>
    <w:p>
      <w:pPr>
        <w:pStyle w:val="59"/>
        <w:spacing w:before="75" w:beforeAutospacing="0" w:after="75" w:afterAutospacing="0" w:line="360" w:lineRule="auto"/>
        <w:ind w:firstLine="480" w:firstLineChars="200"/>
        <w:rPr>
          <w:rFonts w:cs="宋体"/>
        </w:rPr>
      </w:pPr>
      <w:r>
        <w:rPr>
          <w:rFonts w:hint="eastAsia" w:cs="宋体"/>
        </w:rPr>
        <w:t>质疑联系人：</w:t>
      </w:r>
      <w:r>
        <w:rPr>
          <w:rStyle w:val="961"/>
          <w:rFonts w:hint="eastAsia" w:cs="宋体"/>
        </w:rPr>
        <w:t>葛梅兰</w:t>
      </w:r>
    </w:p>
    <w:p>
      <w:pPr>
        <w:pStyle w:val="59"/>
        <w:spacing w:before="75" w:beforeAutospacing="0" w:after="75" w:afterAutospacing="0" w:line="360" w:lineRule="auto"/>
        <w:ind w:firstLine="480" w:firstLineChars="200"/>
        <w:rPr>
          <w:rStyle w:val="961"/>
          <w:rFonts w:cs="宋体"/>
        </w:rPr>
      </w:pPr>
      <w:r>
        <w:rPr>
          <w:rFonts w:hint="eastAsia" w:cs="宋体"/>
        </w:rPr>
        <w:t>质疑联系方式：</w:t>
      </w:r>
      <w:r>
        <w:rPr>
          <w:rStyle w:val="961"/>
          <w:rFonts w:hint="eastAsia" w:cs="宋体"/>
        </w:rPr>
        <w:t>0571-87967630</w:t>
      </w:r>
    </w:p>
    <w:p>
      <w:pPr>
        <w:pStyle w:val="26"/>
        <w:ind w:firstLine="482" w:firstLineChars="200"/>
        <w:rPr>
          <w:rFonts w:hAnsi="宋体" w:cs="宋体"/>
          <w:szCs w:val="24"/>
        </w:rPr>
      </w:pPr>
      <w:r>
        <w:rPr>
          <w:rFonts w:hint="eastAsia" w:hAnsi="宋体" w:cs="宋体"/>
          <w:b/>
          <w:bCs/>
          <w:szCs w:val="24"/>
        </w:rPr>
        <w:t>投标、中标通知书、合同签订联系人：</w:t>
      </w:r>
      <w:r>
        <w:rPr>
          <w:rFonts w:hint="eastAsia" w:hAnsi="宋体" w:cs="宋体"/>
          <w:szCs w:val="24"/>
        </w:rPr>
        <w:t>胡校芳</w:t>
      </w:r>
    </w:p>
    <w:p>
      <w:pPr>
        <w:pStyle w:val="59"/>
        <w:spacing w:before="75" w:beforeAutospacing="0" w:after="75" w:afterAutospacing="0" w:line="360" w:lineRule="auto"/>
        <w:ind w:firstLine="480" w:firstLineChars="200"/>
        <w:rPr>
          <w:rFonts w:cs="宋体"/>
        </w:rPr>
      </w:pPr>
      <w:r>
        <w:rPr>
          <w:rFonts w:hint="eastAsia" w:cs="宋体"/>
        </w:rPr>
        <w:t>联系电话：0571-87967630</w:t>
      </w:r>
    </w:p>
    <w:p>
      <w:pPr>
        <w:pStyle w:val="59"/>
        <w:spacing w:before="75" w:beforeAutospacing="0" w:after="75" w:afterAutospacing="0" w:line="360" w:lineRule="auto"/>
        <w:ind w:firstLine="482" w:firstLineChars="200"/>
        <w:rPr>
          <w:rFonts w:cs="宋体"/>
          <w:bCs/>
        </w:rPr>
      </w:pPr>
      <w:r>
        <w:rPr>
          <w:rFonts w:hint="eastAsia" w:cs="宋体"/>
          <w:b/>
          <w:bCs/>
        </w:rPr>
        <w:t>财务咨询（采购文件费、发票）联系人：</w:t>
      </w:r>
      <w:r>
        <w:rPr>
          <w:rFonts w:hint="eastAsia" w:cs="宋体"/>
        </w:rPr>
        <w:t>田</w:t>
      </w:r>
      <w:r>
        <w:rPr>
          <w:rFonts w:hint="eastAsia" w:cs="宋体"/>
          <w:bCs/>
        </w:rPr>
        <w:t>会计</w:t>
      </w:r>
    </w:p>
    <w:p>
      <w:pPr>
        <w:pStyle w:val="59"/>
        <w:spacing w:before="75" w:beforeAutospacing="0" w:after="75" w:afterAutospacing="0" w:line="360" w:lineRule="auto"/>
        <w:ind w:firstLine="480" w:firstLineChars="200"/>
        <w:rPr>
          <w:rFonts w:cs="宋体"/>
        </w:rPr>
      </w:pPr>
      <w:r>
        <w:rPr>
          <w:rFonts w:hint="eastAsia" w:cs="宋体"/>
        </w:rPr>
        <w:t>联系电话：18905813512</w:t>
      </w:r>
    </w:p>
    <w:p>
      <w:pPr>
        <w:pStyle w:val="59"/>
        <w:spacing w:before="75" w:beforeAutospacing="0" w:after="75" w:afterAutospacing="0" w:line="360" w:lineRule="auto"/>
        <w:ind w:firstLine="480" w:firstLineChars="200"/>
        <w:rPr>
          <w:rFonts w:cs="宋体"/>
        </w:rPr>
      </w:pPr>
      <w:r>
        <w:rPr>
          <w:rFonts w:hint="eastAsia" w:cs="宋体"/>
        </w:rPr>
        <w:t>3.同级政府采购监督管理部门</w:t>
      </w:r>
    </w:p>
    <w:p>
      <w:pPr>
        <w:pStyle w:val="59"/>
        <w:spacing w:before="75" w:beforeAutospacing="0" w:after="75" w:afterAutospacing="0" w:line="360" w:lineRule="auto"/>
        <w:ind w:firstLine="480" w:firstLineChars="200"/>
        <w:rPr>
          <w:rFonts w:cs="宋体"/>
        </w:rPr>
      </w:pPr>
      <w:r>
        <w:rPr>
          <w:rFonts w:hint="eastAsia" w:cs="宋体"/>
        </w:rPr>
        <w:t>名    称：</w:t>
      </w:r>
      <w:r>
        <w:rPr>
          <w:rStyle w:val="961"/>
          <w:rFonts w:hint="eastAsia" w:cs="宋体"/>
        </w:rPr>
        <w:t>浙江省财政厅政府采购监管处</w:t>
      </w:r>
    </w:p>
    <w:p>
      <w:pPr>
        <w:pStyle w:val="59"/>
        <w:spacing w:before="75" w:beforeAutospacing="0" w:after="75" w:afterAutospacing="0" w:line="360" w:lineRule="auto"/>
        <w:ind w:firstLine="480" w:firstLineChars="200"/>
        <w:rPr>
          <w:rFonts w:cs="宋体"/>
        </w:rPr>
      </w:pPr>
      <w:r>
        <w:rPr>
          <w:rFonts w:hint="eastAsia" w:cs="宋体"/>
        </w:rPr>
        <w:t>地    址：</w:t>
      </w:r>
      <w:r>
        <w:rPr>
          <w:rStyle w:val="961"/>
          <w:rFonts w:hint="eastAsia" w:cs="宋体"/>
        </w:rPr>
        <w:t>杭州市环城西路37号</w:t>
      </w:r>
    </w:p>
    <w:p>
      <w:pPr>
        <w:pStyle w:val="59"/>
        <w:spacing w:before="75" w:beforeAutospacing="0" w:after="75" w:afterAutospacing="0" w:line="360" w:lineRule="auto"/>
        <w:ind w:firstLine="480" w:firstLineChars="200"/>
        <w:rPr>
          <w:rFonts w:cs="宋体"/>
        </w:rPr>
      </w:pPr>
      <w:r>
        <w:rPr>
          <w:rFonts w:hint="eastAsia" w:cs="宋体"/>
        </w:rPr>
        <w:t>联系人：</w:t>
      </w:r>
      <w:r>
        <w:rPr>
          <w:rStyle w:val="961"/>
          <w:rFonts w:hint="eastAsia" w:cs="宋体"/>
        </w:rPr>
        <w:t>倪文良</w:t>
      </w:r>
    </w:p>
    <w:p>
      <w:pPr>
        <w:spacing w:line="360" w:lineRule="auto"/>
        <w:ind w:firstLine="480" w:firstLineChars="200"/>
        <w:rPr>
          <w:rFonts w:ascii="宋体" w:hAnsi="宋体" w:cs="宋体"/>
          <w:sz w:val="24"/>
        </w:rPr>
      </w:pPr>
      <w:r>
        <w:rPr>
          <w:rFonts w:hint="eastAsia" w:ascii="宋体" w:hAnsi="宋体" w:cs="宋体"/>
          <w:sz w:val="24"/>
        </w:rPr>
        <w:t>监督投诉电话：</w:t>
      </w:r>
      <w:r>
        <w:rPr>
          <w:rStyle w:val="961"/>
          <w:rFonts w:hint="eastAsia" w:ascii="宋体" w:hAnsi="宋体" w:cs="宋体"/>
          <w:sz w:val="24"/>
        </w:rPr>
        <w:t>0571-87057615</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bookmarkStart w:id="12" w:name="_Toc6635"/>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12"/>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开标一览表（报价表）是报价的唯一载体</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01481299"/>
              </w:sdtPr>
              <w:sdtEndPr>
                <w:rPr>
                  <w:rFonts w:hint="eastAsia" w:ascii="宋体" w:hAnsi="宋体" w:cs="宋体"/>
                  <w:kern w:val="0"/>
                  <w:sz w:val="24"/>
                </w:rPr>
              </w:sdtEndPr>
              <w:sdtContent>
                <w:r>
                  <w:rPr>
                    <w:rFonts w:hint="eastAsia" w:ascii="宋体" w:hAnsi="宋体" w:cs="宋体"/>
                    <w:kern w:val="0"/>
                    <w:sz w:val="24"/>
                  </w:rPr>
                  <w:sym w:font="Wingdings" w:char="00FE"/>
                </w:r>
              </w:sdtContent>
            </w:sdt>
            <w:r>
              <w:rPr>
                <w:rFonts w:hint="eastAsia" w:ascii="宋体" w:hAnsi="宋体" w:cs="宋体"/>
                <w:kern w:val="0"/>
                <w:sz w:val="24"/>
              </w:rPr>
              <w:t xml:space="preserve"> A</w:t>
            </w:r>
            <w:r>
              <w:rPr>
                <w:rFonts w:hint="eastAsia" w:ascii="宋体" w:hAnsi="宋体" w:cs="宋体"/>
                <w:sz w:val="24"/>
              </w:rPr>
              <w:t>同意将非主体、非关键性的工作分包。</w:t>
            </w:r>
            <w:sdt>
              <w:sdtPr>
                <w:rPr>
                  <w:rFonts w:hint="eastAsia" w:ascii="宋体" w:hAnsi="宋体" w:cs="宋体"/>
                  <w:kern w:val="0"/>
                  <w:sz w:val="24"/>
                </w:rPr>
                <w:id w:val="453675948"/>
              </w:sdtPr>
              <w:sdtEndPr>
                <w:rPr>
                  <w:rFonts w:hint="eastAsia" w:ascii="宋体" w:hAnsi="宋体" w:cs="宋体"/>
                  <w:kern w:val="0"/>
                  <w:sz w:val="24"/>
                </w:rPr>
              </w:sdtEndPr>
              <w:sdtContent>
                <w:r>
                  <w:rPr>
                    <w:rFonts w:hint="eastAsia" w:ascii="宋体" w:hAnsi="宋体" w:cs="宋体"/>
                    <w:kern w:val="0"/>
                    <w:sz w:val="24"/>
                  </w:rPr>
                  <w:sym w:font="Wingdings" w:char="00A8"/>
                </w:r>
              </w:sdtContent>
            </w:sdt>
            <w:r>
              <w:rPr>
                <w:rFonts w:hint="eastAsia" w:ascii="宋体" w:hAnsi="宋体" w:cs="宋体"/>
                <w:kern w:val="0"/>
                <w:sz w:val="24"/>
              </w:rPr>
              <w:t xml:space="preserve"> B</w:t>
            </w:r>
            <w:r>
              <w:rPr>
                <w:rFonts w:hint="eastAsia" w:ascii="宋体" w:hAnsi="宋体"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47488555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C</w:t>
            </w: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sdt>
            <w:sdtPr>
              <w:rPr>
                <w:rFonts w:hint="eastAsia" w:ascii="Times New Roman" w:hAnsi="Times New Roman"/>
                <w:sz w:val="21"/>
                <w:szCs w:val="24"/>
                <w:lang w:val="en-US"/>
              </w:rPr>
              <w:id w:val="-1859348549"/>
            </w:sdtPr>
            <w:sdtEndPr>
              <w:rPr>
                <w:rFonts w:hint="eastAsia" w:ascii="宋体" w:hAnsi="宋体" w:cs="宋体"/>
                <w:sz w:val="21"/>
                <w:szCs w:val="24"/>
                <w:lang w:val="en-US"/>
              </w:rPr>
            </w:sdtEndPr>
            <w:sdtContent>
              <w:p>
                <w:pPr>
                  <w:pStyle w:val="26"/>
                  <w:rPr>
                    <w:rFonts w:hAnsi="宋体" w:cs="宋体"/>
                    <w:szCs w:val="24"/>
                  </w:rPr>
                </w:pPr>
                <w:r>
                  <w:rPr>
                    <w:rFonts w:hint="eastAsia" w:hAnsi="宋体" w:cs="宋体"/>
                  </w:rPr>
                  <w:t></w:t>
                </w:r>
                <w:r>
                  <w:rPr>
                    <w:rFonts w:hint="eastAsia" w:hAnsi="宋体" w:cs="宋体"/>
                    <w:kern w:val="0"/>
                    <w:szCs w:val="24"/>
                  </w:rPr>
                  <w:sym w:font="Wingdings" w:char="00FE"/>
                </w:r>
                <w:r>
                  <w:rPr>
                    <w:rFonts w:hint="eastAsia" w:hAnsi="宋体" w:cs="宋体"/>
                    <w:kern w:val="0"/>
                    <w:szCs w:val="24"/>
                  </w:rPr>
                  <w:t>A</w:t>
                </w:r>
                <w:r>
                  <w:rPr>
                    <w:rFonts w:hint="eastAsia" w:hAnsi="宋体" w:cs="宋体"/>
                    <w:szCs w:val="24"/>
                  </w:rPr>
                  <w:t>不组织。</w:t>
                </w:r>
              </w:p>
              <w:p>
                <w:pPr>
                  <w:pStyle w:val="26"/>
                  <w:ind w:firstLine="720" w:firstLineChars="300"/>
                  <w:rPr>
                    <w:rFonts w:hAnsi="宋体" w:cs="宋体"/>
                    <w:kern w:val="0"/>
                    <w:szCs w:val="24"/>
                    <w:lang w:val="en-US"/>
                  </w:rPr>
                </w:pPr>
                <w:r>
                  <w:rPr>
                    <w:rFonts w:hint="eastAsia" w:hAnsi="宋体" w:cs="宋体"/>
                    <w:kern w:val="0"/>
                    <w:szCs w:val="24"/>
                  </w:rPr>
                  <w:t>☐B组织，</w:t>
                </w:r>
                <w:r>
                  <w:rPr>
                    <w:rFonts w:hint="eastAsia" w:hAnsi="宋体" w:cs="宋体"/>
                    <w:kern w:val="0"/>
                    <w:szCs w:val="24"/>
                    <w:lang w:val="en-US"/>
                  </w:rPr>
                  <w:t xml:space="preserve">本项目要求提供演示，演示由供应商事先提供10分钟视频演示，以介质存储（U盘）并且密封包装（外包装上要求标注项目名称、项目编号、演示视频字样、供应商名称并加盖公章）后在响应文件提交截止时间前递交一份（可邮寄，发生泄露、遗失、损坏或延期送达等情况的，由供应商自行负责），邮寄地址：浙江省文二路391号西湖国际科技大厦B2楼507室 林佩姬收 0571-87967630）。逾期送达或未密封将被拒收。 </w:t>
                </w:r>
              </w:p>
              <w:p>
                <w:pPr>
                  <w:snapToGrid w:val="0"/>
                  <w:spacing w:line="360" w:lineRule="auto"/>
                  <w:rPr>
                    <w:rFonts w:ascii="宋体" w:hAnsi="宋体" w:cs="宋体"/>
                  </w:rPr>
                </w:pPr>
                <w:r>
                  <w:rPr>
                    <w:rFonts w:hint="eastAsia" w:ascii="宋体" w:hAnsi="宋体" w:cs="宋体"/>
                    <w:kern w:val="0"/>
                    <w:sz w:val="24"/>
                  </w:rPr>
                  <w:t>演示内容详见技术评分要求。</w:t>
                </w:r>
              </w:p>
            </w:sdtContent>
          </w:sdt>
          <w:p>
            <w:pPr>
              <w:pStyle w:val="26"/>
              <w:ind w:firstLine="720" w:firstLineChars="300"/>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ind w:firstLine="240" w:firstLineChars="100"/>
              <w:rPr>
                <w:rFonts w:ascii="宋体" w:hAnsi="宋体" w:cs="宋体"/>
                <w:sz w:val="24"/>
              </w:rPr>
            </w:pPr>
            <w:r>
              <w:rPr>
                <w:rFonts w:hint="eastAsia" w:ascii="宋体" w:hAnsi="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标的：</w:t>
            </w:r>
            <w:r>
              <w:rPr>
                <w:rFonts w:hint="eastAsia" w:ascii="宋体" w:hAnsi="宋体" w:cs="宋体"/>
                <w:sz w:val="24"/>
                <w:u w:val="single"/>
                <w:shd w:val="clear" w:color="auto" w:fill="FFFFFF"/>
              </w:rPr>
              <w:t>浙江省生态环境厅网络安全闭环管理系统项目</w:t>
            </w:r>
            <w:r>
              <w:rPr>
                <w:rFonts w:hint="eastAsia" w:ascii="宋体" w:hAnsi="宋体" w:cs="宋体"/>
                <w:kern w:val="0"/>
                <w:sz w:val="24"/>
              </w:rPr>
              <w:t>，属于</w:t>
            </w:r>
            <w:r>
              <w:rPr>
                <w:rFonts w:hint="eastAsia" w:ascii="宋体" w:hAnsi="宋体" w:cs="宋体"/>
                <w:sz w:val="24"/>
                <w:u w:val="single"/>
              </w:rPr>
              <w:t>软件和信息技术服务</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6"/>
              <w:ind w:firstLine="480" w:firstLineChars="200"/>
              <w:rPr>
                <w:rFonts w:hAnsi="宋体" w:cs="宋体"/>
                <w:kern w:val="28"/>
              </w:rPr>
            </w:pPr>
            <w:r>
              <w:rPr>
                <w:rFonts w:hint="eastAsia" w:hAnsi="宋体" w:cs="宋体"/>
                <w:kern w:val="28"/>
                <w:szCs w:val="24"/>
              </w:rPr>
              <w:t>备份投标文件送达地点：</w:t>
            </w:r>
            <w:r>
              <w:rPr>
                <w:rStyle w:val="961"/>
                <w:rFonts w:hint="eastAsia" w:hAnsi="宋体" w:cs="宋体"/>
                <w:szCs w:val="24"/>
                <w:u w:val="single"/>
              </w:rPr>
              <w:t>浙江省杭州市西湖区文二路391号西湖国际科技大厦B2楼507室</w:t>
            </w:r>
            <w:r>
              <w:rPr>
                <w:rFonts w:hint="eastAsia" w:hAnsi="宋体" w:cs="宋体"/>
                <w:kern w:val="28"/>
                <w:szCs w:val="24"/>
              </w:rPr>
              <w:t>；备份投标文件签收人员</w:t>
            </w:r>
            <w:r>
              <w:rPr>
                <w:rFonts w:hint="eastAsia" w:hAnsi="宋体" w:cs="宋体"/>
                <w:szCs w:val="24"/>
                <w:u w:val="single"/>
              </w:rPr>
              <w:t>胡校芳</w:t>
            </w:r>
            <w:r>
              <w:rPr>
                <w:rFonts w:hint="eastAsia" w:hAnsi="宋体" w:cs="宋体"/>
                <w:szCs w:val="24"/>
              </w:rPr>
              <w:t>；联系电话：</w:t>
            </w:r>
            <w:r>
              <w:rPr>
                <w:rFonts w:hint="eastAsia" w:hAnsi="宋体" w:cs="宋体"/>
                <w:szCs w:val="24"/>
                <w:u w:val="single"/>
              </w:rPr>
              <w:t>0571-87967630</w:t>
            </w:r>
            <w:r>
              <w:rPr>
                <w:rFonts w:hint="eastAsia" w:hAnsi="宋体" w:cs="宋体"/>
                <w:szCs w:val="24"/>
              </w:rPr>
              <w:t>。</w:t>
            </w:r>
            <w:r>
              <w:rPr>
                <w:rFonts w:hint="eastAsia" w:hAnsi="宋体" w:cs="宋体"/>
                <w:b/>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rPr>
            </w:pPr>
          </w:p>
          <w:p>
            <w:pPr>
              <w:pStyle w:val="26"/>
              <w:rPr>
                <w:rFonts w:hAnsi="宋体" w:cs="宋体"/>
                <w:lang w:val="en-US"/>
              </w:rPr>
            </w:pPr>
          </w:p>
          <w:p>
            <w:pPr>
              <w:pStyle w:val="27"/>
              <w:rPr>
                <w:rFonts w:ascii="宋体" w:hAnsi="宋体" w:cs="宋体"/>
              </w:rPr>
            </w:pPr>
          </w:p>
          <w:p>
            <w:pPr>
              <w:rPr>
                <w:rFonts w:ascii="宋体" w:hAnsi="宋体" w:cs="宋体"/>
              </w:rPr>
            </w:pPr>
          </w:p>
          <w:p>
            <w:pPr>
              <w:pStyle w:val="26"/>
              <w:rPr>
                <w:rFonts w:hAnsi="宋体" w:cs="宋体"/>
                <w:lang w:val="en-US"/>
              </w:rPr>
            </w:pPr>
          </w:p>
          <w:p>
            <w:pPr>
              <w:pStyle w:val="27"/>
              <w:ind w:left="0" w:leftChars="0" w:firstLine="240" w:firstLineChars="100"/>
              <w:rPr>
                <w:rFonts w:ascii="宋体" w:hAnsi="宋体" w:cs="宋体"/>
              </w:rPr>
            </w:pPr>
            <w:r>
              <w:rPr>
                <w:rFonts w:hint="eastAsia" w:ascii="宋体" w:hAnsi="宋体" w:cs="宋体"/>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before="24" w:beforeLines="10" w:line="340" w:lineRule="atLeast"/>
              <w:jc w:val="left"/>
              <w:rPr>
                <w:rFonts w:ascii="宋体" w:hAnsi="宋体" w:cs="宋体"/>
                <w:kern w:val="0"/>
                <w:sz w:val="24"/>
              </w:rPr>
            </w:pPr>
            <w:r>
              <w:rPr>
                <w:rFonts w:hint="eastAsia" w:ascii="宋体" w:hAnsi="宋体" w:cs="宋体"/>
                <w:b/>
                <w:bCs/>
                <w:kern w:val="0"/>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rPr>
                <w:rFonts w:ascii="宋体" w:hAnsi="宋体" w:cs="宋体"/>
                <w:kern w:val="0"/>
                <w:sz w:val="24"/>
              </w:rPr>
            </w:pPr>
            <w:r>
              <w:rPr>
                <w:rFonts w:hint="eastAsia" w:ascii="宋体" w:hAnsi="宋体" w:cs="宋体"/>
                <w:kern w:val="0"/>
                <w:sz w:val="24"/>
              </w:rPr>
              <w:t>本项目的采购代理服务费为：</w:t>
            </w:r>
          </w:p>
          <w:p>
            <w:pPr>
              <w:spacing w:line="360" w:lineRule="auto"/>
              <w:ind w:firstLine="420"/>
              <w:rPr>
                <w:rFonts w:ascii="宋体" w:hAnsi="宋体" w:cs="宋体"/>
                <w:kern w:val="0"/>
                <w:sz w:val="24"/>
              </w:rPr>
            </w:pPr>
            <w:r>
              <w:rPr>
                <w:rFonts w:hint="eastAsia" w:ascii="宋体" w:hAnsi="宋体" w:cs="宋体"/>
                <w:kern w:val="0"/>
                <w:sz w:val="24"/>
              </w:rPr>
              <w:t>（1）采购代理服务收费采用差额定率累进计费方式，以成交金额为计算基数。</w:t>
            </w:r>
          </w:p>
          <w:p>
            <w:pPr>
              <w:spacing w:line="360" w:lineRule="auto"/>
              <w:ind w:firstLine="420"/>
              <w:rPr>
                <w:rFonts w:ascii="宋体" w:hAnsi="宋体" w:cs="宋体"/>
                <w:kern w:val="0"/>
                <w:sz w:val="24"/>
              </w:rPr>
            </w:pPr>
            <w:r>
              <w:rPr>
                <w:rFonts w:hint="eastAsia" w:ascii="宋体" w:hAnsi="宋体" w:cs="宋体"/>
                <w:kern w:val="0"/>
                <w:sz w:val="24"/>
              </w:rPr>
              <w:t>（2）各区段具体收费标准如下：</w:t>
            </w:r>
          </w:p>
          <w:p>
            <w:pPr>
              <w:spacing w:line="360" w:lineRule="auto"/>
              <w:ind w:firstLine="420"/>
              <w:rPr>
                <w:rFonts w:ascii="宋体" w:hAnsi="宋体" w:cs="宋体"/>
                <w:kern w:val="0"/>
                <w:sz w:val="24"/>
              </w:rPr>
            </w:pPr>
            <w:r>
              <w:rPr>
                <w:rFonts w:hint="eastAsia" w:ascii="宋体" w:hAnsi="宋体" w:cs="宋体"/>
                <w:kern w:val="0"/>
                <w:sz w:val="24"/>
              </w:rPr>
              <w:t>成交金额              费率</w:t>
            </w:r>
          </w:p>
          <w:p>
            <w:pPr>
              <w:spacing w:line="360" w:lineRule="auto"/>
              <w:ind w:firstLine="420"/>
              <w:rPr>
                <w:rFonts w:ascii="宋体" w:hAnsi="宋体" w:cs="宋体"/>
                <w:kern w:val="0"/>
                <w:sz w:val="24"/>
              </w:rPr>
            </w:pPr>
            <w:r>
              <w:rPr>
                <w:rFonts w:hint="eastAsia" w:ascii="宋体" w:hAnsi="宋体" w:cs="宋体"/>
                <w:kern w:val="0"/>
                <w:sz w:val="24"/>
              </w:rPr>
              <w:t>100万元以下          1.2%</w:t>
            </w:r>
          </w:p>
          <w:p>
            <w:pPr>
              <w:spacing w:line="360" w:lineRule="auto"/>
              <w:ind w:firstLine="420"/>
              <w:rPr>
                <w:rFonts w:ascii="宋体" w:hAnsi="宋体" w:cs="宋体"/>
                <w:kern w:val="0"/>
                <w:sz w:val="24"/>
              </w:rPr>
            </w:pPr>
            <w:r>
              <w:rPr>
                <w:rFonts w:hint="eastAsia" w:ascii="宋体" w:hAnsi="宋体" w:cs="宋体"/>
                <w:kern w:val="0"/>
                <w:sz w:val="24"/>
              </w:rPr>
              <w:t>100-500万元          0.64%</w:t>
            </w:r>
          </w:p>
          <w:p>
            <w:pPr>
              <w:spacing w:line="360" w:lineRule="auto"/>
              <w:ind w:firstLine="420"/>
              <w:rPr>
                <w:rFonts w:ascii="宋体" w:hAnsi="宋体" w:cs="宋体"/>
                <w:kern w:val="0"/>
                <w:sz w:val="24"/>
              </w:rPr>
            </w:pPr>
            <w:r>
              <w:rPr>
                <w:rFonts w:hint="eastAsia" w:ascii="宋体" w:hAnsi="宋体" w:cs="宋体"/>
                <w:kern w:val="0"/>
                <w:sz w:val="24"/>
              </w:rPr>
              <w:t>备注：本项费用在报价表中不单列报价子项，由供应商自行在企业运营成本等或各单价中列支。由成交人在领取成交通知书时一次性向采购代理机构付清。</w:t>
            </w:r>
          </w:p>
          <w:p>
            <w:pPr>
              <w:spacing w:line="360" w:lineRule="auto"/>
              <w:ind w:firstLine="420"/>
              <w:rPr>
                <w:rFonts w:ascii="宋体" w:hAnsi="宋体" w:cs="宋体"/>
                <w:sz w:val="24"/>
              </w:rPr>
            </w:pPr>
            <w:r>
              <w:rPr>
                <w:rFonts w:hint="eastAsia" w:ascii="宋体" w:hAnsi="宋体" w:cs="宋体"/>
                <w:kern w:val="0"/>
                <w:sz w:val="24"/>
              </w:rPr>
              <w:t>收款</w:t>
            </w:r>
            <w:r>
              <w:rPr>
                <w:rFonts w:hint="eastAsia" w:ascii="宋体" w:hAnsi="宋体" w:cs="宋体"/>
                <w:sz w:val="24"/>
              </w:rPr>
              <w:t>账号：</w:t>
            </w:r>
          </w:p>
          <w:p>
            <w:pPr>
              <w:spacing w:line="360" w:lineRule="auto"/>
              <w:ind w:firstLine="420"/>
              <w:rPr>
                <w:rFonts w:ascii="宋体" w:hAnsi="宋体" w:cs="宋体"/>
                <w:kern w:val="0"/>
                <w:sz w:val="24"/>
              </w:rPr>
            </w:pPr>
            <w:r>
              <w:rPr>
                <w:rFonts w:hint="eastAsia" w:ascii="宋体" w:hAnsi="宋体" w:cs="宋体"/>
                <w:kern w:val="0"/>
                <w:sz w:val="24"/>
              </w:rPr>
              <w:t>收款单位（户名）：浙江信镧建设工程咨询有限公司</w:t>
            </w:r>
          </w:p>
          <w:p>
            <w:pPr>
              <w:spacing w:line="360" w:lineRule="auto"/>
              <w:ind w:firstLine="420"/>
              <w:rPr>
                <w:rFonts w:ascii="宋体" w:hAnsi="宋体" w:cs="宋体"/>
                <w:kern w:val="0"/>
                <w:sz w:val="24"/>
              </w:rPr>
            </w:pPr>
            <w:r>
              <w:rPr>
                <w:rFonts w:hint="eastAsia" w:ascii="宋体" w:hAnsi="宋体" w:cs="宋体"/>
                <w:kern w:val="0"/>
                <w:sz w:val="24"/>
              </w:rPr>
              <w:t>开户银行：交通银行杭州华浙广场支行</w:t>
            </w:r>
          </w:p>
          <w:p>
            <w:pPr>
              <w:ind w:firstLine="420"/>
              <w:rPr>
                <w:rFonts w:ascii="宋体" w:hAnsi="宋体" w:cs="宋体"/>
                <w:sz w:val="24"/>
              </w:rPr>
            </w:pPr>
            <w:r>
              <w:rPr>
                <w:rFonts w:hint="eastAsia" w:ascii="宋体" w:hAnsi="宋体" w:cs="宋体"/>
                <w:kern w:val="0"/>
                <w:sz w:val="24"/>
              </w:rPr>
              <w:t>银行账号：331066090018170036304</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kern w:val="28"/>
                <w:sz w:val="24"/>
              </w:rPr>
            </w:pPr>
            <w:r>
              <w:rPr>
                <w:rFonts w:hint="eastAsia" w:ascii="宋体" w:hAnsi="宋体" w:cs="宋体"/>
                <w:sz w:val="24"/>
              </w:rPr>
              <w:t>中标供应商在合同签订时须提供投标文件的纸质版正副本各一份</w:t>
            </w:r>
            <w:r>
              <w:rPr>
                <w:rFonts w:hint="eastAsia" w:ascii="宋体" w:hAnsi="宋体" w:cs="宋体"/>
                <w:b/>
                <w:kern w:val="0"/>
                <w:sz w:val="24"/>
              </w:rPr>
              <w:t>。</w:t>
            </w:r>
          </w:p>
        </w:tc>
      </w:tr>
    </w:tbl>
    <w:p>
      <w:pPr>
        <w:snapToGrid w:val="0"/>
        <w:spacing w:line="360" w:lineRule="auto"/>
        <w:jc w:val="center"/>
        <w:rPr>
          <w:rFonts w:ascii="宋体" w:hAnsi="宋体" w:cs="宋体"/>
          <w:b/>
          <w:sz w:val="32"/>
          <w:szCs w:val="20"/>
        </w:rPr>
      </w:pPr>
    </w:p>
    <w:bookmarkEnd w:id="11"/>
    <w:p>
      <w:pPr>
        <w:rPr>
          <w:rFonts w:ascii="宋体" w:hAnsi="宋体" w:cs="宋体"/>
          <w:b/>
          <w:sz w:val="32"/>
          <w:szCs w:val="20"/>
        </w:rPr>
      </w:pPr>
      <w:bookmarkStart w:id="13" w:name="第三部分"/>
      <w:bookmarkStart w:id="14" w:name="_Toc164416483"/>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bookmarkStart w:id="15" w:name="_Toc364"/>
      <w:r>
        <w:rPr>
          <w:rFonts w:hint="eastAsia" w:ascii="宋体" w:hAnsi="宋体" w:cs="宋体"/>
          <w:b/>
          <w:sz w:val="32"/>
          <w:szCs w:val="20"/>
        </w:rPr>
        <w:t>一、总则</w:t>
      </w:r>
      <w:bookmarkEnd w:id="15"/>
    </w:p>
    <w:p>
      <w:pPr>
        <w:snapToGrid w:val="0"/>
        <w:spacing w:line="360" w:lineRule="auto"/>
        <w:jc w:val="left"/>
        <w:rPr>
          <w:rFonts w:ascii="宋体" w:hAnsi="宋体" w:cs="宋体"/>
          <w:b/>
          <w:sz w:val="24"/>
        </w:rPr>
      </w:pPr>
      <w:bookmarkStart w:id="16" w:name="_Toc18470"/>
      <w:r>
        <w:rPr>
          <w:rFonts w:hint="eastAsia" w:ascii="宋体" w:hAnsi="宋体" w:cs="宋体"/>
          <w:b/>
          <w:sz w:val="24"/>
        </w:rPr>
        <w:t>1. 适用范围</w:t>
      </w:r>
      <w:bookmarkEnd w:id="16"/>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snapToGrid w:val="0"/>
        <w:spacing w:line="360" w:lineRule="auto"/>
        <w:jc w:val="left"/>
        <w:rPr>
          <w:rFonts w:ascii="宋体" w:hAnsi="宋体" w:cs="宋体"/>
          <w:b/>
          <w:sz w:val="24"/>
        </w:rPr>
      </w:pPr>
      <w:r>
        <w:rPr>
          <w:rFonts w:hint="eastAsia" w:ascii="宋体" w:hAnsi="宋体" w:cs="宋体"/>
          <w:b/>
          <w:sz w:val="24"/>
        </w:rPr>
        <w:t>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“▲”系指实质性要求条款，“★” 指重要指标，“</w:t>
      </w:r>
      <w:sdt>
        <w:sdtPr>
          <w:rPr>
            <w:rFonts w:hint="eastAsia" w:ascii="宋体" w:hAnsi="宋体" w:cs="宋体"/>
            <w:kern w:val="0"/>
            <w:sz w:val="24"/>
          </w:rPr>
          <w:id w:val="512970236"/>
        </w:sdtPr>
        <w:sdtEndPr>
          <w:rPr>
            <w:rFonts w:hint="eastAsia" w:ascii="宋体" w:hAnsi="宋体" w:cs="宋体"/>
            <w:kern w:val="0"/>
            <w:sz w:val="24"/>
          </w:rPr>
        </w:sdtEndPr>
        <w:sdtContent>
          <w:sdt>
            <w:sdtPr>
              <w:rPr>
                <w:rFonts w:hint="eastAsia" w:ascii="宋体" w:hAnsi="宋体" w:cs="宋体"/>
                <w:kern w:val="0"/>
                <w:sz w:val="24"/>
              </w:rPr>
              <w:id w:val="-1475670923"/>
            </w:sdtPr>
            <w:sdtEndPr>
              <w:rPr>
                <w:rFonts w:hint="eastAsia" w:ascii="宋体" w:hAnsi="宋体" w:cs="宋体"/>
                <w:kern w:val="0"/>
                <w:sz w:val="24"/>
              </w:rPr>
            </w:sdtEndPr>
            <w:sdtContent>
              <w:r>
                <w:rPr>
                  <w:rFonts w:hint="eastAsia" w:ascii="宋体" w:hAnsi="宋体" w:cs="宋体"/>
                  <w:kern w:val="0"/>
                  <w:sz w:val="24"/>
                </w:rPr>
                <w:sym w:font="Wingdings" w:char="F0FE"/>
              </w:r>
            </w:sdtContent>
          </w:sdt>
        </w:sdtContent>
      </w:sdt>
      <w:r>
        <w:rPr>
          <w:rFonts w:hint="eastAsia" w:ascii="宋体" w:hAnsi="宋体" w:cs="宋体"/>
          <w:sz w:val="24"/>
        </w:rPr>
        <w:t>”系指适用本项目的要求，“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w:t>
      </w:r>
    </w:p>
    <w:p>
      <w:pPr>
        <w:spacing w:line="360" w:lineRule="auto"/>
        <w:rPr>
          <w:rFonts w:ascii="宋体" w:hAnsi="宋体" w:cs="宋体"/>
          <w:b/>
          <w:sz w:val="24"/>
        </w:rPr>
      </w:pPr>
      <w:r>
        <w:rPr>
          <w:rFonts w:hint="eastAsia" w:ascii="宋体" w:hAnsi="宋体" w:cs="宋体"/>
          <w:b/>
          <w:sz w:val="24"/>
        </w:rPr>
        <w:t>3.采购项目需要落实的政府采购政策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支持中小企业发展</w:t>
      </w:r>
    </w:p>
    <w:p>
      <w:pPr>
        <w:spacing w:line="360" w:lineRule="auto"/>
        <w:ind w:firstLine="480" w:firstLineChars="200"/>
        <w:rPr>
          <w:rFonts w:ascii="宋体" w:hAnsi="宋体" w:cs="宋体"/>
          <w:sz w:val="24"/>
        </w:rPr>
      </w:pPr>
      <w:r>
        <w:rPr>
          <w:rFonts w:hint="eastAsia" w:ascii="宋体" w:hAnsi="宋体" w:cs="宋体"/>
          <w:sz w:val="24"/>
        </w:rPr>
        <w:t>3.1.1中小企业，是指在中华人民共和国境内依法设立，依据国务院批准的中小企业划分标准确定的中型企业、小型企业和微型企业，但与大企业的负责人为同一人，或者与大企业存在直接控股、管理关系的除外。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3.1.2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3.1.2.3在服务采购项目中，服务由中小企业承接，即提供服务的人员为中小企业依照《中华人民共和国劳动合同法》订立劳动合同的从业人员。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3.1.3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3.1.4符合《关于促进残疾人就业政府采购政策的通知》（财库〔2017〕141号）规定的条件并提供《残疾人福利性单位声明函》（附件1）的残疾人福利性单位视同小型、微型企业；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3.1.5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3.1.6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b/>
          <w:sz w:val="24"/>
        </w:rPr>
      </w:pPr>
      <w:r>
        <w:rPr>
          <w:rFonts w:hint="eastAsia" w:ascii="宋体" w:hAnsi="宋体" w:cs="宋体"/>
          <w:sz w:val="24"/>
        </w:rPr>
        <w:t>3.1.7中小企业享受扶持政策获得政府采购合同的，小微企业不得将合同分包给大中型企业，中型企业不得将合同分包给大型企业。</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Ansi="宋体" w:cs="宋体"/>
          <w:sz w:val="24"/>
        </w:rPr>
      </w:pPr>
      <w:r>
        <w:rPr>
          <w:rFonts w:hint="eastAsia" w:hAnsi="宋体" w:cs="宋体"/>
          <w:kern w:val="0"/>
          <w:sz w:val="24"/>
          <w:lang w:val="zh-CN"/>
        </w:rPr>
        <w:t>4.2</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4.2.2.1对招标文件提出质疑的，质疑期限为供应商获得招标文件之日或者招标文件公告期限届满之日起计算。</w:t>
      </w:r>
    </w:p>
    <w:p>
      <w:pPr>
        <w:pStyle w:val="35"/>
        <w:spacing w:line="360" w:lineRule="auto"/>
        <w:ind w:firstLine="480" w:firstLineChars="200"/>
        <w:rPr>
          <w:rFonts w:hAnsi="宋体" w:cs="宋体"/>
          <w:sz w:val="24"/>
        </w:rPr>
      </w:pPr>
      <w:r>
        <w:rPr>
          <w:rFonts w:hint="eastAsia" w:hAnsi="宋体" w:cs="宋体"/>
          <w:sz w:val="24"/>
        </w:rPr>
        <w:t>4.2.2.2对采购过程提出质疑的，质疑期限为各采购程序环节结束之日起计算。对同一采购程序环节的质疑，供应商须一次性提出。</w:t>
      </w:r>
    </w:p>
    <w:p>
      <w:pPr>
        <w:pStyle w:val="35"/>
        <w:spacing w:line="360" w:lineRule="auto"/>
        <w:ind w:firstLine="480" w:firstLineChars="200"/>
        <w:rPr>
          <w:rFonts w:hAnsi="宋体" w:cs="宋体"/>
          <w:sz w:val="24"/>
        </w:rPr>
      </w:pPr>
      <w:r>
        <w:rPr>
          <w:rFonts w:hint="eastAsia" w:hAnsi="宋体" w:cs="宋体"/>
          <w:sz w:val="24"/>
        </w:rPr>
        <w:t>4.2.2.3对采购结果提出质疑的，质疑期限自采购结果公告期限届满之日起计算。</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w:t>
      </w:r>
      <w:r>
        <w:rPr>
          <w:rFonts w:hint="eastAsia" w:hAnsi="宋体" w:cs="宋体"/>
          <w:sz w:val="24"/>
        </w:rPr>
        <w:t>供应商提出质疑应当提交质疑函和必要的证明材料。质疑函应当包括下列内容：</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4.2.3.1供应商的姓名或者名称、地址、邮编、联系人及联系电话；</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4.2.3.2质疑项目的名称、编号；</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4.2.3.3具体、明确的质疑事项和与质疑事项相关的请求；</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4.2.3.4事实依据；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4.2.3.5必要的法律依据；</w:t>
      </w:r>
    </w:p>
    <w:p>
      <w:pPr>
        <w:pStyle w:val="35"/>
        <w:spacing w:line="360" w:lineRule="auto"/>
        <w:ind w:firstLine="480" w:firstLineChars="200"/>
        <w:rPr>
          <w:rFonts w:hAnsi="宋体" w:cs="宋体"/>
          <w:kern w:val="0"/>
          <w:sz w:val="24"/>
          <w:lang w:val="zh-CN"/>
        </w:rPr>
      </w:pPr>
      <w:r>
        <w:rPr>
          <w:rFonts w:hint="eastAsia" w:hAnsi="宋体" w:cs="宋体"/>
          <w:kern w:val="0"/>
          <w:sz w:val="24"/>
          <w:lang w:val="zh-CN"/>
        </w:rPr>
        <w:t>4.2.3.6提出质疑的日期。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4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4.2</w:t>
      </w:r>
      <w:r>
        <w:rPr>
          <w:rFonts w:hint="eastAsia"/>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4.3供应商投诉</w:t>
      </w:r>
    </w:p>
    <w:p>
      <w:pPr>
        <w:pStyle w:val="886"/>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4.3.3供应商投诉应当有明确的请求和必要的证明材料。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4.3.4以联合体形式参加政府采购活动的，其投诉应当由组成联合体的所有供应商共同提出。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9"/>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Toc15027"/>
    </w:p>
    <w:p>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bookmarkEnd w:id="17"/>
    </w:p>
    <w:p>
      <w:pPr>
        <w:pStyle w:val="35"/>
        <w:spacing w:line="360" w:lineRule="auto"/>
        <w:rPr>
          <w:rFonts w:hAnsi="宋体" w:cs="宋体"/>
          <w:b/>
          <w:sz w:val="24"/>
          <w:szCs w:val="24"/>
        </w:rPr>
      </w:pPr>
      <w:r>
        <w:rPr>
          <w:rFonts w:hint="eastAsia" w:hAnsi="宋体" w:cs="宋体"/>
          <w:b/>
          <w:sz w:val="24"/>
          <w:szCs w:val="24"/>
        </w:rPr>
        <w:t>5．招标文件的构成</w:t>
      </w:r>
    </w:p>
    <w:p>
      <w:pPr>
        <w:pStyle w:val="35"/>
        <w:spacing w:line="360" w:lineRule="auto"/>
        <w:ind w:firstLine="480" w:firstLineChars="200"/>
        <w:rPr>
          <w:rFonts w:hAnsi="宋体" w:cs="宋体"/>
          <w:sz w:val="24"/>
          <w:szCs w:val="24"/>
        </w:rPr>
      </w:pPr>
      <w:r>
        <w:rPr>
          <w:rFonts w:hint="eastAsia" w:hAnsi="宋体" w:cs="宋体"/>
          <w:sz w:val="24"/>
          <w:szCs w:val="24"/>
        </w:rPr>
        <w:t>5.1招标文件包括下列文件及附件：</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5.1.1招标公告；</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5.1.2投标人须知；</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5.1.4评标办法；</w:t>
      </w:r>
    </w:p>
    <w:p>
      <w:pPr>
        <w:pStyle w:val="35"/>
        <w:tabs>
          <w:tab w:val="left" w:pos="840"/>
        </w:tabs>
        <w:spacing w:line="360" w:lineRule="auto"/>
        <w:ind w:firstLine="480" w:firstLineChars="2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480" w:firstLineChars="2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6.招标文件的澄清、修改</w:t>
      </w:r>
    </w:p>
    <w:p>
      <w:pPr>
        <w:pStyle w:val="12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9"/>
        <w:snapToGrid w:val="0"/>
        <w:spacing w:before="0"/>
        <w:ind w:firstLine="480"/>
        <w:rPr>
          <w:rFonts w:ascii="宋体" w:hAnsi="宋体" w:cs="宋体"/>
          <w:sz w:val="18"/>
          <w:szCs w:val="18"/>
        </w:rPr>
      </w:pPr>
      <w:r>
        <w:rPr>
          <w:rFonts w:hint="eastAsia" w:ascii="宋体" w:hAnsi="宋体" w:cs="宋体"/>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sz w:val="30"/>
          <w:szCs w:val="20"/>
        </w:rPr>
        <w:sectPr>
          <w:pgSz w:w="11906" w:h="16838"/>
          <w:pgMar w:top="680" w:right="1418" w:bottom="468" w:left="1418" w:header="851" w:footer="992" w:gutter="0"/>
          <w:cols w:space="720" w:num="1"/>
          <w:titlePg/>
          <w:docGrid w:linePitch="312" w:charSpace="0"/>
        </w:sectPr>
      </w:pPr>
      <w:bookmarkStart w:id="18" w:name="_Toc5009"/>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bookmarkEnd w:id="18"/>
    </w:p>
    <w:p>
      <w:pPr>
        <w:pStyle w:val="35"/>
        <w:spacing w:line="360" w:lineRule="auto"/>
        <w:rPr>
          <w:rFonts w:hAnsi="宋体" w:cs="宋体"/>
          <w:b/>
          <w:sz w:val="24"/>
          <w:szCs w:val="24"/>
        </w:rPr>
      </w:pPr>
      <w:r>
        <w:rPr>
          <w:rFonts w:hint="eastAsia" w:hAnsi="宋体" w:cs="宋体"/>
          <w:b/>
          <w:sz w:val="24"/>
          <w:szCs w:val="24"/>
        </w:rPr>
        <w:t>7.招标文件的获取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5"/>
        <w:spacing w:line="360" w:lineRule="auto"/>
        <w:rPr>
          <w:rFonts w:hAnsi="宋体" w:cs="宋体"/>
          <w:b/>
          <w:sz w:val="24"/>
          <w:szCs w:val="24"/>
        </w:rPr>
      </w:pPr>
      <w:r>
        <w:rPr>
          <w:rFonts w:hint="eastAsia" w:hAnsi="宋体" w:cs="宋体"/>
          <w:b/>
          <w:sz w:val="24"/>
          <w:szCs w:val="24"/>
        </w:rPr>
        <w:t>8.开标前答疑会或现场考察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szCs w:val="24"/>
        </w:rPr>
      </w:pPr>
      <w:r>
        <w:rPr>
          <w:rFonts w:hint="eastAsia" w:hAnsi="宋体" w:cs="宋体"/>
          <w:b/>
          <w:kern w:val="28"/>
          <w:sz w:val="24"/>
          <w:szCs w:val="24"/>
        </w:rPr>
        <w:t>9.投标保证金</w:t>
      </w:r>
    </w:p>
    <w:p>
      <w:pPr>
        <w:pStyle w:val="1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rPr>
          <w:rFonts w:hAnsi="宋体" w:cs="宋体"/>
          <w:b/>
          <w:sz w:val="24"/>
          <w:szCs w:val="24"/>
        </w:rPr>
      </w:pPr>
      <w:r>
        <w:rPr>
          <w:rFonts w:hint="eastAsia" w:hAnsi="宋体" w:cs="宋体"/>
          <w:b/>
          <w:sz w:val="24"/>
          <w:szCs w:val="24"/>
        </w:rPr>
        <w:t>10.投标文件的语言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w:t>
      </w:r>
    </w:p>
    <w:p>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w:t>
      </w:r>
    </w:p>
    <w:p>
      <w:pPr>
        <w:snapToGrid w:val="0"/>
        <w:spacing w:line="360" w:lineRule="auto"/>
        <w:ind w:firstLine="480" w:firstLineChars="200"/>
        <w:rPr>
          <w:rFonts w:ascii="宋体" w:hAnsi="宋体" w:cs="宋体"/>
          <w:b/>
          <w:bCs/>
          <w:sz w:val="24"/>
          <w:lang w:val="zh-CN"/>
        </w:rPr>
      </w:pPr>
      <w:r>
        <w:rPr>
          <w:rFonts w:hint="eastAsia" w:ascii="宋体" w:hAnsi="宋体" w:cs="宋体"/>
          <w:sz w:val="24"/>
          <w:lang w:val="zh-CN"/>
        </w:rPr>
        <w:t>11</w:t>
      </w:r>
      <w:r>
        <w:rPr>
          <w:rFonts w:hint="eastAsia" w:ascii="宋体" w:hAnsi="宋体" w:cs="宋体"/>
          <w:b/>
          <w:bCs/>
          <w:sz w:val="24"/>
          <w:lang w:val="zh-CN"/>
        </w:rPr>
        <w:t>.</w:t>
      </w:r>
      <w:r>
        <w:rPr>
          <w:rFonts w:hint="eastAsia" w:ascii="宋体" w:hAnsi="宋体" w:cs="宋体"/>
          <w:b/>
          <w:bCs/>
          <w:sz w:val="24"/>
        </w:rPr>
        <w:t>2商务技术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11.2.1投标函；</w:t>
      </w:r>
    </w:p>
    <w:p>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11.2.3联合协议；</w:t>
      </w:r>
    </w:p>
    <w:p>
      <w:pPr>
        <w:snapToGrid w:val="0"/>
        <w:spacing w:line="360" w:lineRule="auto"/>
        <w:ind w:firstLine="480" w:firstLineChars="200"/>
        <w:rPr>
          <w:rFonts w:ascii="宋体" w:hAnsi="宋体" w:cs="宋体"/>
          <w:sz w:val="24"/>
        </w:rPr>
      </w:pPr>
      <w:r>
        <w:rPr>
          <w:rFonts w:hint="eastAsia" w:ascii="宋体" w:hAnsi="宋体" w:cs="宋体"/>
          <w:sz w:val="24"/>
        </w:rPr>
        <w:t>11.2.4分包意向协议；</w:t>
      </w:r>
    </w:p>
    <w:p>
      <w:pPr>
        <w:snapToGrid w:val="0"/>
        <w:spacing w:line="360" w:lineRule="auto"/>
        <w:ind w:firstLine="480" w:firstLineChars="200"/>
        <w:rPr>
          <w:rFonts w:ascii="宋体" w:hAnsi="宋体" w:cs="宋体"/>
          <w:sz w:val="24"/>
        </w:rPr>
      </w:pPr>
      <w:r>
        <w:rPr>
          <w:rFonts w:hint="eastAsia" w:ascii="宋体" w:hAnsi="宋体" w:cs="宋体"/>
          <w:sz w:val="24"/>
        </w:rPr>
        <w:t>11.2.5符合性审查资料；</w:t>
      </w:r>
    </w:p>
    <w:p>
      <w:pPr>
        <w:snapToGrid w:val="0"/>
        <w:spacing w:line="360" w:lineRule="auto"/>
        <w:ind w:firstLine="480" w:firstLineChars="200"/>
        <w:rPr>
          <w:rFonts w:ascii="宋体" w:hAnsi="宋体" w:cs="宋体"/>
          <w:sz w:val="24"/>
        </w:rPr>
      </w:pPr>
      <w:r>
        <w:rPr>
          <w:rFonts w:hint="eastAsia" w:ascii="宋体" w:hAnsi="宋体" w:cs="宋体"/>
          <w:sz w:val="24"/>
        </w:rPr>
        <w:t>11.2.6评标标准相应的商务技术资料；</w:t>
      </w:r>
    </w:p>
    <w:p>
      <w:pPr>
        <w:snapToGrid w:val="0"/>
        <w:spacing w:line="360" w:lineRule="auto"/>
        <w:ind w:firstLine="480" w:firstLineChars="200"/>
        <w:rPr>
          <w:rFonts w:ascii="宋体" w:hAnsi="宋体" w:cs="宋体"/>
          <w:sz w:val="24"/>
        </w:rPr>
      </w:pPr>
      <w:r>
        <w:rPr>
          <w:rFonts w:hint="eastAsia" w:ascii="宋体" w:hAnsi="宋体" w:cs="宋体"/>
          <w:sz w:val="24"/>
        </w:rPr>
        <w:t>11.2.7商务技术偏离表；</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b/>
          <w:sz w:val="24"/>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p>
    <w:p>
      <w:pPr>
        <w:snapToGrid w:val="0"/>
        <w:spacing w:line="360" w:lineRule="auto"/>
        <w:ind w:firstLine="480" w:firstLineChars="200"/>
        <w:rPr>
          <w:rFonts w:ascii="宋体" w:hAnsi="宋体" w:cs="宋体"/>
          <w:sz w:val="24"/>
        </w:rPr>
      </w:pPr>
      <w:r>
        <w:rPr>
          <w:rFonts w:hint="eastAsia" w:ascii="宋体" w:hAnsi="宋体" w:cs="宋体"/>
          <w:sz w:val="24"/>
        </w:rPr>
        <w:t>11.3.1开标一览表（报价表）；</w:t>
      </w:r>
    </w:p>
    <w:p>
      <w:pPr>
        <w:snapToGrid w:val="0"/>
        <w:spacing w:line="360" w:lineRule="auto"/>
        <w:ind w:firstLine="480" w:firstLineChars="2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35"/>
        <w:spacing w:line="360" w:lineRule="auto"/>
        <w:rPr>
          <w:rFonts w:hAnsi="宋体" w:cs="宋体"/>
          <w:b/>
          <w:sz w:val="24"/>
          <w:szCs w:val="24"/>
        </w:rPr>
      </w:pPr>
      <w:bookmarkStart w:id="19" w:name="_Toc10587"/>
      <w:r>
        <w:rPr>
          <w:rFonts w:hint="eastAsia" w:hAnsi="宋体" w:cs="宋体"/>
          <w:b/>
          <w:sz w:val="24"/>
          <w:szCs w:val="24"/>
        </w:rPr>
        <w:t>12.投标文件的编制</w:t>
      </w:r>
      <w:bookmarkEnd w:id="19"/>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cs="宋体"/>
          <w:b/>
          <w:sz w:val="24"/>
          <w:szCs w:val="24"/>
        </w:rPr>
      </w:pPr>
      <w:r>
        <w:rPr>
          <w:rFonts w:hint="eastAsia" w:hAnsi="宋体" w:cs="宋体"/>
          <w:b/>
          <w:sz w:val="24"/>
          <w:szCs w:val="24"/>
        </w:rPr>
        <w:t>15.备份投标文件</w:t>
      </w:r>
    </w:p>
    <w:p>
      <w:pPr>
        <w:pStyle w:val="35"/>
        <w:spacing w:line="360" w:lineRule="auto"/>
        <w:ind w:firstLine="480" w:firstLineChars="20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15.5投标人仅提交备份投标文件，没有在电子交易平台传输递交投标文件的，投标无效。</w:t>
      </w:r>
    </w:p>
    <w:p>
      <w:pPr>
        <w:pStyle w:val="129"/>
        <w:spacing w:before="0"/>
        <w:ind w:firstLine="0" w:firstLineChars="0"/>
        <w:rPr>
          <w:rFonts w:ascii="宋体" w:hAnsi="宋体" w:cs="宋体"/>
          <w:b/>
          <w:szCs w:val="24"/>
        </w:rPr>
      </w:pPr>
      <w:r>
        <w:rPr>
          <w:rFonts w:hint="eastAsia" w:ascii="宋体" w:hAnsi="宋体" w:cs="宋体"/>
          <w:b/>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hint="eastAsia" w:cs="宋体"/>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p>
    <w:p>
      <w:pPr>
        <w:pStyle w:val="129"/>
        <w:spacing w:before="0"/>
        <w:ind w:firstLine="1928" w:firstLineChars="600"/>
        <w:rPr>
          <w:rFonts w:ascii="宋体" w:hAnsi="宋体" w:cs="宋体"/>
          <w:b/>
          <w:sz w:val="32"/>
        </w:rPr>
        <w:sectPr>
          <w:pgSz w:w="11906" w:h="16838"/>
          <w:pgMar w:top="680" w:right="1418" w:bottom="468" w:left="1418" w:header="851" w:footer="992" w:gutter="0"/>
          <w:cols w:space="720" w:num="1"/>
          <w:titlePg/>
          <w:docGrid w:linePitch="312" w:charSpace="0"/>
        </w:sectPr>
      </w:pP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480" w:firstLineChars="200"/>
        <w:contextualSpacing/>
        <w:rPr>
          <w:rFonts w:ascii="宋体" w:hAnsi="宋体" w:cs="宋体"/>
          <w:b/>
          <w:sz w:val="24"/>
        </w:rPr>
      </w:pPr>
      <w:r>
        <w:rPr>
          <w:rFonts w:hint="eastAsia" w:ascii="宋体" w:hAnsi="宋体" w:cs="宋体"/>
          <w:sz w:val="24"/>
        </w:rPr>
        <w:t>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19、资格审查</w:t>
      </w:r>
    </w:p>
    <w:p>
      <w:pPr>
        <w:pStyle w:val="129"/>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采购人或采购机构依据法律法规和招标文件的规定，对投标人的基本资格条件、特定资格条件进行审查。</w:t>
      </w:r>
    </w:p>
    <w:p>
      <w:pPr>
        <w:pStyle w:val="129"/>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2"/>
          <w:szCs w:val="32"/>
        </w:rPr>
      </w:pPr>
      <w:bookmarkStart w:id="20" w:name="_Toc12543"/>
      <w:r>
        <w:rPr>
          <w:rFonts w:hint="eastAsia" w:ascii="宋体" w:hAnsi="宋体" w:cs="宋体"/>
          <w:b/>
          <w:sz w:val="32"/>
          <w:szCs w:val="32"/>
        </w:rPr>
        <w:t>五、评标</w:t>
      </w:r>
      <w:bookmarkEnd w:id="20"/>
    </w:p>
    <w:p>
      <w:pPr>
        <w:spacing w:line="360" w:lineRule="auto"/>
        <w:rPr>
          <w:rFonts w:ascii="宋体" w:hAnsi="宋体" w:cs="宋体"/>
          <w:b/>
          <w:sz w:val="24"/>
        </w:rPr>
      </w:pPr>
      <w:bookmarkStart w:id="21" w:name="_Toc91899903"/>
      <w:r>
        <w:rPr>
          <w:rFonts w:hint="eastAsia" w:ascii="宋体" w:hAnsi="宋体" w:cs="宋体"/>
          <w:b/>
          <w:sz w:val="24"/>
        </w:rPr>
        <w:t>21.</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sectPr>
          <w:pgSz w:w="11906" w:h="16838"/>
          <w:pgMar w:top="680" w:right="1418" w:bottom="468" w:left="1418" w:header="851" w:footer="992" w:gutter="0"/>
          <w:cols w:space="720" w:num="1"/>
          <w:titlePg/>
          <w:docGrid w:linePitch="312" w:charSpace="0"/>
        </w:sectPr>
      </w:pPr>
      <w:bookmarkStart w:id="22" w:name="_Toc125"/>
    </w:p>
    <w:p>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六、定标</w:t>
      </w:r>
      <w:bookmarkEnd w:id="22"/>
    </w:p>
    <w:p>
      <w:pPr>
        <w:pStyle w:val="3"/>
        <w:spacing w:line="360" w:lineRule="auto"/>
        <w:ind w:left="479" w:hanging="479" w:hangingChars="199"/>
        <w:rPr>
          <w:rFonts w:cs="宋体"/>
          <w:b/>
        </w:rPr>
      </w:pPr>
      <w:r>
        <w:rPr>
          <w:rFonts w:hint="eastAsia" w:cs="宋体"/>
          <w:b/>
        </w:rPr>
        <w:t>22.确定中标供应商</w:t>
      </w:r>
    </w:p>
    <w:p>
      <w:pPr>
        <w:pStyle w:val="129"/>
        <w:snapToGrid w:val="0"/>
        <w:spacing w:before="0"/>
        <w:ind w:firstLine="480"/>
        <w:rPr>
          <w:rFonts w:ascii="宋体" w:hAnsi="宋体" w:cs="宋体"/>
          <w:b/>
          <w:szCs w:val="24"/>
        </w:rPr>
      </w:pPr>
      <w:r>
        <w:rPr>
          <w:rFonts w:hint="eastAsia" w:ascii="宋体" w:hAnsi="宋体" w:cs="宋体"/>
          <w:szCs w:val="24"/>
        </w:rPr>
        <w:t>采购人将自收到评审报告之日起5个工作日内通过电子交易平台在评审报告推荐的中标候选人中按顺序确定中标供应商。</w:t>
      </w:r>
    </w:p>
    <w:p>
      <w:pPr>
        <w:pStyle w:val="129"/>
        <w:snapToGrid w:val="0"/>
        <w:spacing w:before="0"/>
        <w:ind w:firstLine="0" w:firstLineChars="0"/>
        <w:rPr>
          <w:rFonts w:ascii="宋体" w:hAnsi="宋体" w:cs="宋体"/>
          <w:b/>
          <w:szCs w:val="24"/>
        </w:rPr>
      </w:pPr>
      <w:r>
        <w:rPr>
          <w:rFonts w:hint="eastAsia" w:ascii="宋体" w:hAnsi="宋体" w:cs="宋体"/>
          <w:b/>
          <w:szCs w:val="24"/>
        </w:rPr>
        <w:t>23.中标通知与中标结果公告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pStyle w:val="26"/>
        <w:rPr>
          <w:rFonts w:hAnsi="宋体" w:cs="宋体"/>
          <w:b/>
          <w:sz w:val="32"/>
        </w:rPr>
      </w:pPr>
    </w:p>
    <w:p>
      <w:pPr>
        <w:pStyle w:val="27"/>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rPr>
          <w:rFonts w:ascii="宋体" w:hAnsi="宋体" w:cs="宋体"/>
          <w:b/>
          <w:sz w:val="32"/>
        </w:rPr>
      </w:pPr>
    </w:p>
    <w:p>
      <w:pPr>
        <w:snapToGrid w:val="0"/>
        <w:spacing w:line="360" w:lineRule="auto"/>
        <w:jc w:val="center"/>
        <w:rPr>
          <w:rFonts w:ascii="宋体" w:hAnsi="宋体" w:cs="宋体"/>
          <w:b/>
          <w:sz w:val="32"/>
        </w:rPr>
        <w:sectPr>
          <w:pgSz w:w="11906" w:h="16838"/>
          <w:pgMar w:top="680" w:right="1418" w:bottom="468" w:left="1418" w:header="851" w:footer="992" w:gutter="0"/>
          <w:cols w:space="720" w:num="1"/>
          <w:titlePg/>
          <w:docGrid w:linePitch="312" w:charSpace="0"/>
        </w:sectPr>
      </w:pPr>
    </w:p>
    <w:p>
      <w:pPr>
        <w:snapToGrid w:val="0"/>
        <w:spacing w:line="360" w:lineRule="auto"/>
        <w:jc w:val="center"/>
        <w:outlineLvl w:val="0"/>
        <w:rPr>
          <w:rFonts w:ascii="宋体" w:hAnsi="宋体" w:cs="宋体"/>
          <w:b/>
          <w:sz w:val="32"/>
          <w:szCs w:val="32"/>
        </w:rPr>
      </w:pPr>
      <w:r>
        <w:rPr>
          <w:rFonts w:hint="eastAsia" w:ascii="宋体" w:hAnsi="宋体" w:cs="宋体"/>
          <w:b/>
          <w:sz w:val="32"/>
          <w:szCs w:val="32"/>
        </w:rPr>
        <w:t>七、合同授予</w:t>
      </w:r>
    </w:p>
    <w:p>
      <w:pPr>
        <w:pStyle w:val="3"/>
        <w:spacing w:line="360" w:lineRule="auto"/>
        <w:ind w:left="479" w:hanging="479" w:hangingChars="199"/>
        <w:rPr>
          <w:rFonts w:cs="宋体"/>
          <w:b/>
        </w:rPr>
      </w:pPr>
      <w:r>
        <w:rPr>
          <w:rFonts w:hint="eastAsia" w:cs="宋体"/>
          <w:b/>
        </w:rPr>
        <w:t>24.</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采购人与中标人应当通过电子交易平台在中标通知书发出之日起三十日内，按照招标文件确定的事项签订政府采购合同，并在合同签订之日起2个工作日内依法发布合同公告。</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26.履约保证金</w:t>
      </w:r>
    </w:p>
    <w:p>
      <w:pPr>
        <w:tabs>
          <w:tab w:val="left" w:pos="0"/>
        </w:tabs>
        <w:spacing w:line="360" w:lineRule="auto"/>
        <w:ind w:firstLine="482"/>
        <w:rPr>
          <w:rFonts w:ascii="宋体" w:hAnsi="宋体" w:cs="宋体"/>
          <w:kern w:val="0"/>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履约保证金的数额不得超过政府采购合同金额的1%（具体以采购需求为准）。鼓励和支持供应商以银行、保险公司出具的保函形式提供履约保证金。采购人不得拒收履约保函。</w:t>
      </w:r>
      <w:bookmarkStart w:id="23" w:name="_Toc23154"/>
    </w:p>
    <w:p>
      <w:pPr>
        <w:tabs>
          <w:tab w:val="left" w:pos="0"/>
        </w:tabs>
        <w:spacing w:line="360" w:lineRule="auto"/>
        <w:ind w:firstLine="482"/>
        <w:rPr>
          <w:rFonts w:ascii="宋体" w:hAnsi="宋体" w:cs="宋体"/>
          <w:kern w:val="0"/>
          <w:sz w:val="24"/>
        </w:rPr>
      </w:pPr>
      <w:r>
        <w:rPr>
          <w:rFonts w:hint="eastAsia" w:ascii="宋体" w:hAnsi="宋体" w:cs="宋体"/>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23"/>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32"/>
        </w:rPr>
      </w:pPr>
    </w:p>
    <w:p>
      <w:pPr>
        <w:snapToGrid w:val="0"/>
        <w:spacing w:line="360" w:lineRule="auto"/>
        <w:rPr>
          <w:rFonts w:ascii="宋体" w:hAnsi="宋体" w:cs="宋体"/>
          <w:b/>
          <w:sz w:val="32"/>
        </w:rPr>
      </w:pPr>
    </w:p>
    <w:p>
      <w:pPr>
        <w:snapToGrid w:val="0"/>
        <w:spacing w:line="360" w:lineRule="auto"/>
        <w:ind w:firstLine="3357" w:firstLineChars="1045"/>
        <w:rPr>
          <w:rFonts w:ascii="宋体" w:hAnsi="宋体" w:cs="宋体"/>
          <w:b/>
          <w:sz w:val="32"/>
        </w:rPr>
        <w:sectPr>
          <w:pgSz w:w="11906" w:h="16838"/>
          <w:pgMar w:top="680" w:right="1418" w:bottom="468" w:left="1418" w:header="851" w:footer="992" w:gutter="0"/>
          <w:cols w:space="720" w:num="1"/>
          <w:titlePg/>
          <w:docGrid w:linePitch="312" w:charSpace="0"/>
        </w:sectPr>
      </w:pPr>
    </w:p>
    <w:p>
      <w:pPr>
        <w:snapToGrid w:val="0"/>
        <w:spacing w:line="360" w:lineRule="auto"/>
        <w:jc w:val="center"/>
        <w:outlineLvl w:val="0"/>
        <w:rPr>
          <w:rFonts w:ascii="宋体" w:hAnsi="宋体" w:cs="宋体"/>
          <w:b/>
          <w:sz w:val="32"/>
          <w:szCs w:val="32"/>
        </w:rPr>
      </w:pPr>
      <w:r>
        <w:rPr>
          <w:rFonts w:hint="eastAsia" w:ascii="宋体" w:hAnsi="宋体" w:cs="宋体"/>
          <w:b/>
          <w:sz w:val="32"/>
          <w:szCs w:val="32"/>
        </w:rPr>
        <w:t>八、电子交易活动的中止</w:t>
      </w:r>
    </w:p>
    <w:p>
      <w:pPr>
        <w:pStyle w:val="129"/>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9"/>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9"/>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sectPr>
          <w:pgSz w:w="11906" w:h="16838"/>
          <w:pgMar w:top="680" w:right="1418" w:bottom="468" w:left="1418" w:header="851" w:footer="992" w:gutter="0"/>
          <w:cols w:space="720" w:num="1"/>
          <w:titlePg/>
          <w:docGrid w:linePitch="312" w:charSpace="0"/>
        </w:sectPr>
      </w:pPr>
    </w:p>
    <w:p>
      <w:pPr>
        <w:snapToGrid w:val="0"/>
        <w:spacing w:line="360" w:lineRule="auto"/>
        <w:jc w:val="center"/>
        <w:outlineLvl w:val="0"/>
        <w:rPr>
          <w:rFonts w:ascii="宋体" w:hAnsi="宋体" w:cs="宋体"/>
          <w:b/>
          <w:sz w:val="32"/>
          <w:szCs w:val="32"/>
        </w:rPr>
      </w:pPr>
      <w:r>
        <w:rPr>
          <w:rFonts w:hint="eastAsia" w:ascii="宋体" w:hAnsi="宋体" w:cs="宋体"/>
          <w:b/>
          <w:sz w:val="32"/>
          <w:szCs w:val="32"/>
        </w:rPr>
        <w:t>九、验收</w:t>
      </w:r>
    </w:p>
    <w:p>
      <w:pPr>
        <w:pStyle w:val="3"/>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pPr>
        <w:tabs>
          <w:tab w:val="left" w:pos="0"/>
        </w:tabs>
        <w:spacing w:line="360" w:lineRule="auto"/>
        <w:ind w:firstLine="480"/>
        <w:rPr>
          <w:rFonts w:ascii="宋体" w:hAnsi="宋体" w:cs="宋体"/>
          <w:kern w:val="0"/>
          <w:sz w:val="24"/>
        </w:rPr>
        <w:sectPr>
          <w:pgSz w:w="11906" w:h="16838"/>
          <w:pgMar w:top="680" w:right="1418" w:bottom="468" w:left="1418" w:header="851" w:footer="992" w:gutter="0"/>
          <w:cols w:space="720" w:num="1"/>
          <w:titlePg/>
          <w:docGrid w:linePitch="312" w:charSpace="0"/>
        </w:sectPr>
      </w:pPr>
      <w:bookmarkStart w:id="24" w:name="_Hlt74730295"/>
      <w:bookmarkEnd w:id="24"/>
      <w:bookmarkStart w:id="25" w:name="_Hlt74707468"/>
      <w:bookmarkEnd w:id="25"/>
      <w:bookmarkStart w:id="26" w:name="_Hlt75236011"/>
      <w:bookmarkEnd w:id="26"/>
      <w:bookmarkStart w:id="27" w:name="_Hlt74714665"/>
      <w:bookmarkEnd w:id="27"/>
      <w:bookmarkStart w:id="28" w:name="_Hlt75236101"/>
      <w:bookmarkEnd w:id="28"/>
      <w:bookmarkStart w:id="29" w:name="_Hlt68072998"/>
      <w:bookmarkEnd w:id="29"/>
      <w:bookmarkStart w:id="30" w:name="_Hlt68072990"/>
      <w:bookmarkEnd w:id="30"/>
      <w:bookmarkStart w:id="31" w:name="_Hlt75236290"/>
      <w:bookmarkEnd w:id="31"/>
      <w:bookmarkStart w:id="32" w:name="_Hlt68057669"/>
      <w:bookmarkEnd w:id="32"/>
      <w:bookmarkStart w:id="33" w:name="_Hlt74729768"/>
      <w:bookmarkEnd w:id="33"/>
      <w:bookmarkStart w:id="34" w:name="_Hlt68073093"/>
      <w:bookmarkEnd w:id="34"/>
      <w:bookmarkStart w:id="35" w:name="_Hlt68403820"/>
      <w:bookmarkEnd w:id="35"/>
    </w:p>
    <w:bookmarkEnd w:id="13"/>
    <w:bookmarkEnd w:id="14"/>
    <w:p>
      <w:pPr>
        <w:spacing w:line="360" w:lineRule="auto"/>
        <w:jc w:val="center"/>
        <w:outlineLvl w:val="0"/>
        <w:rPr>
          <w:rFonts w:ascii="宋体" w:hAnsi="宋体" w:cs="宋体"/>
          <w:b/>
          <w:sz w:val="36"/>
          <w:szCs w:val="36"/>
        </w:rPr>
      </w:pPr>
      <w:bookmarkStart w:id="36" w:name="_Toc16440"/>
      <w:bookmarkStart w:id="37" w:name="第四部分"/>
      <w:r>
        <w:rPr>
          <w:rFonts w:hint="eastAsia" w:ascii="宋体" w:hAnsi="宋体" w:cs="宋体"/>
          <w:b/>
          <w:sz w:val="36"/>
          <w:szCs w:val="36"/>
        </w:rPr>
        <w:t>第三部分 采购需求</w:t>
      </w:r>
      <w:bookmarkEnd w:id="36"/>
    </w:p>
    <w:p>
      <w:pPr>
        <w:pStyle w:val="5"/>
        <w:spacing w:line="560" w:lineRule="exact"/>
        <w:rPr>
          <w:rFonts w:ascii="宋体" w:hAnsi="宋体" w:eastAsia="宋体" w:cs="宋体"/>
          <w:sz w:val="24"/>
          <w:szCs w:val="24"/>
        </w:rPr>
      </w:pPr>
      <w:bookmarkStart w:id="38" w:name="PO_TDCUS_ITEM_PB_REQ_FILE_1_1"/>
      <w:bookmarkStart w:id="39" w:name="_Toc19986"/>
      <w:r>
        <w:rPr>
          <w:rFonts w:hint="eastAsia" w:ascii="宋体" w:hAnsi="宋体" w:eastAsia="宋体" w:cs="宋体"/>
          <w:sz w:val="24"/>
          <w:szCs w:val="24"/>
        </w:rPr>
        <w:t>一、项目背景</w:t>
      </w:r>
    </w:p>
    <w:p>
      <w:pPr>
        <w:spacing w:line="560" w:lineRule="exact"/>
        <w:ind w:firstLine="560"/>
        <w:rPr>
          <w:rFonts w:ascii="宋体" w:hAnsi="宋体" w:cs="宋体"/>
          <w:sz w:val="24"/>
        </w:rPr>
      </w:pPr>
      <w:r>
        <w:rPr>
          <w:rFonts w:hint="eastAsia" w:ascii="宋体" w:hAnsi="宋体" w:cs="宋体"/>
          <w:sz w:val="24"/>
        </w:rPr>
        <w:t>2021年7月7日，我省召开数字化改革网络安全工作部署会，深入贯彻习近平总书记关于网络强国的重要思想，认真落实袁家军书记关于数字化改革网络安全工作的指示精神，部署数字化改革网络安全工作，进一步夯实数字化改革网络安全底座，全力服务保障数字化改革大局。</w:t>
      </w:r>
    </w:p>
    <w:p>
      <w:pPr>
        <w:autoSpaceDE w:val="0"/>
        <w:autoSpaceDN w:val="0"/>
        <w:spacing w:line="560" w:lineRule="exact"/>
        <w:ind w:firstLine="480" w:firstLineChars="200"/>
        <w:jc w:val="left"/>
        <w:rPr>
          <w:rFonts w:ascii="宋体" w:hAnsi="宋体" w:cs="宋体"/>
          <w:sz w:val="24"/>
        </w:rPr>
      </w:pPr>
      <w:r>
        <w:rPr>
          <w:rFonts w:hint="eastAsia" w:ascii="宋体" w:hAnsi="宋体" w:cs="宋体"/>
          <w:sz w:val="24"/>
        </w:rPr>
        <w:t>继此，省委网信办、省委改革办、省大数据局印发了我省数字化改革网络安全实施方案，提出了构建五位一体网络安全工作体系的重点任务，要求数字化改革“1+5”牵头部门和关键基础设施行业主管部门认真贯彻落实，其他单位根据实际情况参照执行。</w:t>
      </w:r>
    </w:p>
    <w:p>
      <w:pPr>
        <w:spacing w:line="560" w:lineRule="exact"/>
        <w:ind w:firstLine="480" w:firstLineChars="200"/>
        <w:rPr>
          <w:rFonts w:ascii="宋体" w:hAnsi="宋体" w:cs="宋体"/>
          <w:sz w:val="24"/>
        </w:rPr>
      </w:pPr>
      <w:r>
        <w:rPr>
          <w:rFonts w:hint="eastAsia" w:ascii="宋体" w:hAnsi="宋体" w:cs="宋体"/>
          <w:sz w:val="24"/>
        </w:rPr>
        <w:t>浙江省生态环境厅作为数字化改革“数字政府系统”中重点任务“打造生态文明”的牵头单位，为加强生态环境数字化改革安全底座，依据浙江省数字化改革网络安全实施方案以及其他相关国家法律政策文件要求，需要在现有网络安全基础上，查漏补缺，开展网络安全提升工作，以防范化解网络安全风险，保障数字化改革稳步推进。</w:t>
      </w:r>
    </w:p>
    <w:p>
      <w:pPr>
        <w:pStyle w:val="5"/>
        <w:spacing w:line="560" w:lineRule="exact"/>
        <w:rPr>
          <w:rFonts w:ascii="宋体" w:hAnsi="宋体" w:eastAsia="宋体" w:cs="宋体"/>
          <w:sz w:val="24"/>
          <w:szCs w:val="24"/>
        </w:rPr>
      </w:pPr>
      <w:r>
        <w:rPr>
          <w:rFonts w:hint="eastAsia" w:ascii="宋体" w:hAnsi="宋体" w:eastAsia="宋体" w:cs="宋体"/>
          <w:sz w:val="24"/>
          <w:szCs w:val="24"/>
        </w:rPr>
        <w:t>二、建设目标</w:t>
      </w:r>
    </w:p>
    <w:p>
      <w:pPr>
        <w:spacing w:line="560" w:lineRule="exact"/>
        <w:ind w:firstLine="424" w:firstLineChars="177"/>
        <w:jc w:val="left"/>
        <w:rPr>
          <w:rFonts w:ascii="宋体" w:hAnsi="宋体" w:cs="宋体"/>
          <w:sz w:val="24"/>
        </w:rPr>
      </w:pPr>
      <w:r>
        <w:rPr>
          <w:rFonts w:hint="eastAsia" w:ascii="宋体" w:hAnsi="宋体" w:cs="宋体"/>
          <w:sz w:val="24"/>
        </w:rPr>
        <w:t>实现省生态环境厅网络安全事件的统一管控，全面提升浙江省生态环境厅网络安全监管和治理能力。进而助力建立省生态环境厅“五位一体”网络安全工作体系，提升省生态环境厅网络安全整体水平，夯实省生态环境厅数字化改革网络安全底座，保障数字化改革稳步推进。</w:t>
      </w:r>
    </w:p>
    <w:p>
      <w:pPr>
        <w:pStyle w:val="5"/>
        <w:spacing w:line="560" w:lineRule="exact"/>
        <w:rPr>
          <w:rFonts w:ascii="宋体" w:hAnsi="宋体" w:eastAsia="宋体" w:cs="宋体"/>
          <w:sz w:val="24"/>
          <w:szCs w:val="24"/>
        </w:rPr>
      </w:pPr>
      <w:r>
        <w:rPr>
          <w:rFonts w:hint="eastAsia" w:ascii="宋体" w:hAnsi="宋体" w:eastAsia="宋体" w:cs="宋体"/>
          <w:sz w:val="24"/>
          <w:szCs w:val="24"/>
        </w:rPr>
        <w:t>三、建设内容</w:t>
      </w:r>
    </w:p>
    <w:p>
      <w:pPr>
        <w:spacing w:line="560" w:lineRule="exact"/>
        <w:ind w:firstLine="424" w:firstLineChars="177"/>
        <w:jc w:val="left"/>
        <w:rPr>
          <w:rFonts w:ascii="宋体" w:hAnsi="宋体" w:cs="宋体"/>
          <w:sz w:val="24"/>
        </w:rPr>
      </w:pPr>
      <w:r>
        <w:rPr>
          <w:rFonts w:hint="eastAsia" w:ascii="宋体" w:hAnsi="宋体" w:cs="宋体"/>
          <w:sz w:val="24"/>
        </w:rPr>
        <w:t>建设一套浙江省生态环境厅网络安全闭环管理系统。</w:t>
      </w:r>
    </w:p>
    <w:p>
      <w:pPr>
        <w:spacing w:line="560" w:lineRule="exact"/>
        <w:ind w:firstLine="424" w:firstLineChars="177"/>
        <w:jc w:val="left"/>
        <w:rPr>
          <w:rFonts w:ascii="宋体" w:hAnsi="宋体" w:cs="宋体"/>
          <w:sz w:val="24"/>
        </w:rPr>
      </w:pPr>
      <w:r>
        <w:rPr>
          <w:rFonts w:hint="eastAsia" w:ascii="宋体" w:hAnsi="宋体" w:cs="宋体"/>
          <w:sz w:val="24"/>
        </w:rPr>
        <w:t>系统包含整体网络安全态势综合展示、网络安全事件闭环处置等内容。</w:t>
      </w:r>
    </w:p>
    <w:p>
      <w:pPr>
        <w:spacing w:line="560" w:lineRule="exact"/>
        <w:ind w:firstLine="424" w:firstLineChars="177"/>
        <w:jc w:val="left"/>
        <w:rPr>
          <w:rFonts w:ascii="宋体" w:hAnsi="宋体" w:cs="宋体"/>
          <w:sz w:val="24"/>
        </w:rPr>
      </w:pPr>
      <w:r>
        <w:rPr>
          <w:rFonts w:hint="eastAsia" w:ascii="宋体" w:hAnsi="宋体" w:cs="宋体"/>
          <w:sz w:val="24"/>
        </w:rPr>
        <w:t xml:space="preserve">以下为初步业务工作需求，具体业务工作需求以签订合同后双方认可的需求规格说明书为准。 </w:t>
      </w:r>
    </w:p>
    <w:p>
      <w:pPr>
        <w:pStyle w:val="6"/>
        <w:keepNext w:val="0"/>
        <w:keepLines w:val="0"/>
        <w:numPr>
          <w:ilvl w:val="2"/>
          <w:numId w:val="0"/>
        </w:numPr>
        <w:spacing w:before="0" w:after="0" w:line="560" w:lineRule="exact"/>
        <w:rPr>
          <w:rFonts w:ascii="宋体" w:hAnsi="宋体" w:cs="宋体"/>
          <w:bCs w:val="0"/>
          <w:sz w:val="24"/>
          <w:szCs w:val="24"/>
        </w:rPr>
      </w:pPr>
      <w:r>
        <w:rPr>
          <w:rFonts w:hint="eastAsia" w:ascii="宋体" w:hAnsi="宋体" w:cs="宋体"/>
          <w:bCs w:val="0"/>
          <w:sz w:val="24"/>
          <w:szCs w:val="24"/>
        </w:rPr>
        <w:t>3.1、态势展示</w:t>
      </w:r>
    </w:p>
    <w:p>
      <w:pPr>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对浙江省生态环境厅整体网络安全态势进行综合直观展示。采用可视化方式（驾驶仓），按照浙江省数字化改革网络安全实施方案相关要求，从指挥、制度、技术、运营、监管等不同角度，通过安全态势指标设置、多维分析引擎、可视化技术等对管辖范围内资产信息概况、实时网络攻击、应急资源保障、制度体系规范、数据安全防护、检查督查考核、系统健康指数和安全指数等维度进行全方位展示，直观展示浙江省生态环境厅网络信息资产的总体安全态势。</w:t>
      </w:r>
    </w:p>
    <w:p>
      <w:pPr>
        <w:pStyle w:val="6"/>
        <w:keepNext w:val="0"/>
        <w:keepLines w:val="0"/>
        <w:numPr>
          <w:ilvl w:val="2"/>
          <w:numId w:val="0"/>
        </w:numPr>
        <w:spacing w:before="0" w:after="0" w:line="560" w:lineRule="exact"/>
        <w:rPr>
          <w:rFonts w:ascii="宋体" w:hAnsi="宋体" w:cs="宋体"/>
          <w:bCs w:val="0"/>
          <w:sz w:val="24"/>
          <w:szCs w:val="24"/>
        </w:rPr>
      </w:pPr>
      <w:r>
        <w:rPr>
          <w:rFonts w:hint="eastAsia" w:ascii="宋体" w:hAnsi="宋体" w:cs="宋体"/>
          <w:bCs w:val="0"/>
          <w:sz w:val="24"/>
          <w:szCs w:val="24"/>
        </w:rPr>
        <w:t>3.2、闭环管理</w:t>
      </w:r>
    </w:p>
    <w:p>
      <w:pPr>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建立网络安全事件闭环管理处置流程。根据需要与省大数据局、省委网信办监管及指挥平台对接，与省生态环境厅已有安全设备及系统(如态势感知系统、商用密码服务平台、数据库权限管控系统等)对接。采集以上设备、系统的网络安全相关通报、告警数据，同时建立事件手工录入入口。结合网络安全监管业务需求，采用日常通报、专项通报、综合通报等方式进行通报和预警管理，将安全监测、资源监测、等级保护等系统产生的漏洞、木马、僵尸网络、网站篡改、网站仿冒、网站挂马、暗链、APT攻击、DDoS攻击等安全事件数据，进行分析研判后及时通报涉事单位，协调不同单位协同联动。涉事单位对通报进行问题处置、反馈、催办；反馈情况验证通过则进行事件归档；不通过则重新下发通报。完成对网络安全隐患及网络安全事件业务闭环管理。</w:t>
      </w:r>
    </w:p>
    <w:p>
      <w:pPr>
        <w:pStyle w:val="7"/>
        <w:rPr>
          <w:rFonts w:ascii="宋体" w:hAnsi="宋体" w:eastAsia="宋体" w:cs="宋体"/>
          <w:sz w:val="24"/>
          <w:szCs w:val="24"/>
        </w:rPr>
      </w:pPr>
      <w:r>
        <w:rPr>
          <w:rFonts w:hint="eastAsia" w:ascii="宋体" w:hAnsi="宋体" w:eastAsia="宋体" w:cs="宋体"/>
          <w:sz w:val="24"/>
          <w:szCs w:val="24"/>
        </w:rPr>
        <w:t>1、事件通报</w:t>
      </w:r>
    </w:p>
    <w:p>
      <w:pPr>
        <w:spacing w:line="360" w:lineRule="auto"/>
        <w:ind w:firstLine="480" w:firstLineChars="200"/>
        <w:rPr>
          <w:rFonts w:ascii="宋体" w:hAnsi="宋体" w:cs="宋体"/>
          <w:sz w:val="24"/>
        </w:rPr>
      </w:pPr>
      <w:r>
        <w:rPr>
          <w:rFonts w:hint="eastAsia" w:ascii="宋体" w:hAnsi="宋体" w:cs="宋体"/>
          <w:sz w:val="24"/>
        </w:rPr>
        <w:t>接收事件通报，下发给涉事单位。接收到来自省委网信办、省大数据局推送来的通报事件，通过浙政钉、短信等通讯手段，及时通报涉事的单位，协调涉事单位完成对网络安全隐患及网络安全事件的处置、反馈业务流程闭环管理。参考《浙江省电子政务外网安全评估指标体系（试行）》考核中“组织本地区网络安全重大事件处置及报告工作”的相关要求。</w:t>
      </w:r>
    </w:p>
    <w:p>
      <w:pPr>
        <w:pStyle w:val="7"/>
        <w:rPr>
          <w:rFonts w:ascii="宋体" w:hAnsi="宋体" w:eastAsia="宋体" w:cs="宋体"/>
          <w:sz w:val="24"/>
          <w:szCs w:val="24"/>
        </w:rPr>
      </w:pPr>
      <w:r>
        <w:rPr>
          <w:rFonts w:hint="eastAsia" w:ascii="宋体" w:hAnsi="宋体" w:eastAsia="宋体" w:cs="宋体"/>
          <w:sz w:val="24"/>
          <w:szCs w:val="24"/>
        </w:rPr>
        <w:t>2、安全预警</w:t>
      </w:r>
    </w:p>
    <w:p>
      <w:pPr>
        <w:spacing w:line="360" w:lineRule="auto"/>
        <w:ind w:firstLine="480" w:firstLineChars="200"/>
        <w:rPr>
          <w:rFonts w:ascii="宋体" w:hAnsi="宋体" w:cs="宋体"/>
          <w:sz w:val="24"/>
        </w:rPr>
      </w:pPr>
      <w:r>
        <w:rPr>
          <w:rFonts w:hint="eastAsia" w:ascii="宋体" w:hAnsi="宋体" w:cs="宋体"/>
          <w:sz w:val="24"/>
        </w:rPr>
        <w:t>将分析产生、接收的告警，下发给下属单位。将监测分析产生的漏洞利用告警、网络攻击告警、威胁情报告警等以及接收到来自省委网信办、省大数据局推送来的网络安全预警信息等，通过浙政钉、短信等通讯手段，及时下发给下属单位，下属单位结合各自网络安全现状自查、自检，未雨绸缪。参考《浙江省电子政务外网安全评估指标体系（试行）》考核中“专项检查”的相关要求。</w:t>
      </w:r>
    </w:p>
    <w:p>
      <w:pPr>
        <w:pStyle w:val="7"/>
        <w:rPr>
          <w:rFonts w:ascii="宋体" w:hAnsi="宋体" w:eastAsia="宋体" w:cs="宋体"/>
          <w:sz w:val="24"/>
          <w:szCs w:val="24"/>
        </w:rPr>
      </w:pPr>
      <w:r>
        <w:rPr>
          <w:rFonts w:hint="eastAsia" w:ascii="宋体" w:hAnsi="宋体" w:eastAsia="宋体" w:cs="宋体"/>
          <w:sz w:val="24"/>
          <w:szCs w:val="24"/>
        </w:rPr>
        <w:t>3、应急管理</w:t>
      </w:r>
    </w:p>
    <w:p>
      <w:pPr>
        <w:spacing w:line="360" w:lineRule="auto"/>
        <w:ind w:firstLine="480" w:firstLineChars="200"/>
        <w:rPr>
          <w:rFonts w:ascii="宋体" w:hAnsi="宋体" w:cs="宋体"/>
          <w:sz w:val="24"/>
        </w:rPr>
      </w:pPr>
      <w:r>
        <w:rPr>
          <w:rFonts w:hint="eastAsia" w:ascii="宋体" w:hAnsi="宋体" w:cs="宋体"/>
          <w:sz w:val="24"/>
        </w:rPr>
        <w:t>应急资源整合，保障突发网络安全事件能够有效应对。整合浙江省生态环境厅现有网络安全的保障资源，包括各级单位、人员（业内专家、安全支撑单位、外包人员）、武器（知识库、预案），构建网络安全生态体系，有效应对重大网络安全事件应急等工作场景。参考《浙江省电子政务外网安全评估指标体系（试行）》考核中“应急预案、外包人员管理等”的相关要求。</w:t>
      </w:r>
    </w:p>
    <w:p>
      <w:pPr>
        <w:pStyle w:val="7"/>
        <w:rPr>
          <w:rFonts w:ascii="宋体" w:hAnsi="宋体" w:eastAsia="宋体" w:cs="宋体"/>
          <w:sz w:val="24"/>
          <w:szCs w:val="24"/>
        </w:rPr>
      </w:pPr>
      <w:r>
        <w:rPr>
          <w:rFonts w:hint="eastAsia" w:ascii="宋体" w:hAnsi="宋体" w:eastAsia="宋体" w:cs="宋体"/>
          <w:sz w:val="24"/>
          <w:szCs w:val="24"/>
        </w:rPr>
        <w:t>4、重保指挥</w:t>
      </w:r>
    </w:p>
    <w:p>
      <w:pPr>
        <w:spacing w:line="360" w:lineRule="auto"/>
        <w:ind w:firstLine="480" w:firstLineChars="200"/>
        <w:rPr>
          <w:rFonts w:ascii="宋体" w:hAnsi="宋体" w:cs="宋体"/>
          <w:sz w:val="24"/>
        </w:rPr>
      </w:pPr>
      <w:r>
        <w:rPr>
          <w:rFonts w:hint="eastAsia" w:ascii="宋体" w:hAnsi="宋体" w:cs="宋体"/>
          <w:sz w:val="24"/>
        </w:rPr>
        <w:t>在重要会议或重大活动期间，加强网络安保人员调度。在重要时期，全方位全天候掌握活动相关的单位、系统和网站安全状况，重保单位网络安全情况的实时监测，以及重保任务的全生命周期管理，覆盖筹备阶段、临战阶段、决战阶段、战后总结等多个环节，及时通报预警网络安全隐患，高效处置网络安全事件，并对监测过程所产生的数据及结果进行管理，协同多家技术支撑单位、安全厂商及网络安全专家、驻场人员，保障整个过程的网络安全和数据安全，提升重大活动的网络安全保障能力。</w:t>
      </w:r>
    </w:p>
    <w:p>
      <w:pPr>
        <w:pStyle w:val="7"/>
        <w:rPr>
          <w:rFonts w:ascii="宋体" w:hAnsi="宋体" w:eastAsia="宋体" w:cs="宋体"/>
          <w:sz w:val="24"/>
          <w:szCs w:val="24"/>
        </w:rPr>
      </w:pPr>
      <w:r>
        <w:rPr>
          <w:rFonts w:hint="eastAsia" w:ascii="宋体" w:hAnsi="宋体" w:eastAsia="宋体" w:cs="宋体"/>
          <w:sz w:val="24"/>
          <w:szCs w:val="24"/>
        </w:rPr>
        <w:t>5、检查监督</w:t>
      </w:r>
    </w:p>
    <w:p>
      <w:pPr>
        <w:spacing w:line="360" w:lineRule="auto"/>
        <w:ind w:firstLine="480" w:firstLineChars="200"/>
        <w:rPr>
          <w:rFonts w:ascii="宋体" w:hAnsi="宋体" w:cs="宋体"/>
          <w:sz w:val="24"/>
        </w:rPr>
      </w:pPr>
      <w:r>
        <w:rPr>
          <w:rFonts w:hint="eastAsia" w:ascii="宋体" w:hAnsi="宋体" w:cs="宋体"/>
          <w:sz w:val="24"/>
        </w:rPr>
        <w:t>实现以查代促、以查促改、以查促管、以查促防，达到有效推动各级单位落实网络安全工作目标任务。主要用于网络安全检查任务的下发、跟踪、监督，如弱密码专项检查任务、安全加固检查等。对工作任务完成的情况进行检查，检查需要制定周密的检查计划和实施方案，将检查的内容和项目列成各种表，要求各被检查的单位，按照要求填写上报。参考《浙江省电子政务外网安全评估指标体系（试行）》考核中“每年组织本地区网络安全专项检查”的相关要求。</w:t>
      </w:r>
    </w:p>
    <w:p>
      <w:pPr>
        <w:pStyle w:val="6"/>
        <w:keepNext w:val="0"/>
        <w:keepLines w:val="0"/>
        <w:numPr>
          <w:ilvl w:val="2"/>
          <w:numId w:val="0"/>
        </w:numPr>
        <w:spacing w:before="0" w:after="0" w:line="560" w:lineRule="exact"/>
        <w:rPr>
          <w:rFonts w:ascii="宋体" w:hAnsi="宋体" w:cs="宋体"/>
          <w:sz w:val="24"/>
          <w:szCs w:val="24"/>
        </w:rPr>
      </w:pPr>
      <w:r>
        <w:rPr>
          <w:rFonts w:hint="eastAsia" w:ascii="宋体" w:hAnsi="宋体" w:cs="宋体"/>
          <w:sz w:val="24"/>
          <w:szCs w:val="24"/>
        </w:rPr>
        <w:t>3.3、监测分析</w:t>
      </w:r>
    </w:p>
    <w:p>
      <w:pPr>
        <w:pStyle w:val="7"/>
        <w:rPr>
          <w:rFonts w:ascii="宋体" w:hAnsi="宋体" w:eastAsia="宋体" w:cs="宋体"/>
          <w:sz w:val="24"/>
          <w:szCs w:val="24"/>
        </w:rPr>
      </w:pPr>
      <w:r>
        <w:rPr>
          <w:rFonts w:hint="eastAsia" w:ascii="宋体" w:hAnsi="宋体" w:eastAsia="宋体" w:cs="宋体"/>
          <w:sz w:val="24"/>
          <w:szCs w:val="24"/>
        </w:rPr>
        <w:t>1、资产管理</w:t>
      </w:r>
    </w:p>
    <w:p>
      <w:pPr>
        <w:spacing w:line="360" w:lineRule="auto"/>
        <w:ind w:firstLine="480" w:firstLineChars="200"/>
        <w:rPr>
          <w:rFonts w:ascii="宋体" w:hAnsi="宋体" w:cs="宋体"/>
          <w:sz w:val="24"/>
        </w:rPr>
      </w:pPr>
      <w:r>
        <w:rPr>
          <w:rFonts w:hint="eastAsia" w:ascii="宋体" w:hAnsi="宋体" w:cs="宋体"/>
          <w:sz w:val="24"/>
        </w:rPr>
        <w:t>对网络安全资产进行管理。利用被动发现、人工运营的方式不断完善资产基本属性以及责任归属，并以此为基础当发现网络中存在的安全隐患、安全事件时，能够协助定位到具体是哪些资产存在网络攻击或者安全隐患，并且最终定位到责任单位或者责任人。</w:t>
      </w:r>
    </w:p>
    <w:p>
      <w:pPr>
        <w:pStyle w:val="7"/>
        <w:rPr>
          <w:rFonts w:ascii="宋体" w:hAnsi="宋体" w:eastAsia="宋体" w:cs="宋体"/>
          <w:sz w:val="24"/>
          <w:szCs w:val="24"/>
        </w:rPr>
      </w:pPr>
      <w:r>
        <w:rPr>
          <w:rFonts w:hint="eastAsia" w:ascii="宋体" w:hAnsi="宋体" w:eastAsia="宋体" w:cs="宋体"/>
          <w:sz w:val="24"/>
          <w:szCs w:val="24"/>
        </w:rPr>
        <w:t>2、数据采集</w:t>
      </w:r>
    </w:p>
    <w:p>
      <w:pPr>
        <w:spacing w:line="360" w:lineRule="auto"/>
        <w:ind w:firstLine="480" w:firstLineChars="200"/>
        <w:rPr>
          <w:rFonts w:ascii="宋体" w:hAnsi="宋体" w:cs="宋体"/>
          <w:sz w:val="24"/>
        </w:rPr>
      </w:pPr>
      <w:r>
        <w:rPr>
          <w:rFonts w:hint="eastAsia" w:ascii="宋体" w:hAnsi="宋体" w:cs="宋体"/>
          <w:sz w:val="24"/>
        </w:rPr>
        <w:t>对相关数据进行采集，形成统一的数据池。主要用于多源异构数据的接入、解析、分析富化，归并等，并支持对数据采集接入进行性能监控、数据接入管理、数据处理管理、查询检索、参数配置、插件管理以及在线智能运维。在本次的软件开发中还需与现有的态势感知系统和终端安全管理系统按需对接，接收该系统的告警数据、日志数据、资产数据等；与省委网信办协调指挥平台、省大数据局监管系统实施无缝对接，接收上述系统和平台推送过来的通报数据、预警数据等。参考《浙江省电子政务外网安全评估指标体系（试行）》考核中“响应处置、隐患事件、政务终端”的相关要求。</w:t>
      </w:r>
    </w:p>
    <w:p>
      <w:pPr>
        <w:pStyle w:val="6"/>
        <w:keepNext w:val="0"/>
        <w:keepLines w:val="0"/>
        <w:numPr>
          <w:ilvl w:val="2"/>
          <w:numId w:val="0"/>
        </w:numPr>
        <w:spacing w:before="0" w:after="0" w:line="560" w:lineRule="exact"/>
        <w:rPr>
          <w:rFonts w:ascii="宋体" w:hAnsi="宋体" w:cs="宋体"/>
          <w:sz w:val="24"/>
          <w:szCs w:val="24"/>
        </w:rPr>
      </w:pPr>
      <w:r>
        <w:rPr>
          <w:rFonts w:hint="eastAsia" w:ascii="宋体" w:hAnsi="宋体" w:cs="宋体"/>
          <w:sz w:val="24"/>
          <w:szCs w:val="24"/>
        </w:rPr>
        <w:t>3.4、运营管理</w:t>
      </w:r>
    </w:p>
    <w:p>
      <w:pPr>
        <w:pStyle w:val="7"/>
        <w:rPr>
          <w:rFonts w:ascii="宋体" w:hAnsi="宋体" w:eastAsia="宋体" w:cs="宋体"/>
          <w:sz w:val="24"/>
          <w:szCs w:val="24"/>
        </w:rPr>
      </w:pPr>
      <w:r>
        <w:rPr>
          <w:rFonts w:hint="eastAsia" w:ascii="宋体" w:hAnsi="宋体" w:eastAsia="宋体" w:cs="宋体"/>
          <w:sz w:val="24"/>
          <w:szCs w:val="24"/>
        </w:rPr>
        <w:t>1、日志检索</w:t>
      </w:r>
    </w:p>
    <w:p>
      <w:pPr>
        <w:spacing w:line="360" w:lineRule="auto"/>
        <w:ind w:firstLine="480" w:firstLineChars="200"/>
        <w:rPr>
          <w:rFonts w:ascii="宋体" w:hAnsi="宋体" w:cs="宋体"/>
          <w:sz w:val="24"/>
        </w:rPr>
      </w:pPr>
      <w:r>
        <w:rPr>
          <w:rFonts w:hint="eastAsia" w:ascii="宋体" w:hAnsi="宋体" w:cs="宋体"/>
          <w:sz w:val="24"/>
        </w:rPr>
        <w:t>采用分布式全文检索方式，能适应任何格式的数据来源。该系统需是一个实时的分布式搜索和分析引擎，可以帮助用户以前所未有的速度处理海量数据，可以用于全文搜索、结构化搜索以及分析。提供面向安全分析人员的高级搜索方式，提供类SQL语句的数据分析和数据挖掘功能，能够有效的帮助安全分析师进行威胁溯源，还原安全事件全过程。</w:t>
      </w:r>
    </w:p>
    <w:p>
      <w:pPr>
        <w:pStyle w:val="7"/>
        <w:rPr>
          <w:rFonts w:ascii="宋体" w:hAnsi="宋体" w:eastAsia="宋体" w:cs="宋体"/>
          <w:sz w:val="24"/>
          <w:szCs w:val="24"/>
        </w:rPr>
      </w:pPr>
      <w:r>
        <w:rPr>
          <w:rFonts w:hint="eastAsia" w:ascii="宋体" w:hAnsi="宋体" w:eastAsia="宋体" w:cs="宋体"/>
          <w:sz w:val="24"/>
          <w:szCs w:val="24"/>
        </w:rPr>
        <w:t>2、系统管理</w:t>
      </w:r>
    </w:p>
    <w:p>
      <w:pPr>
        <w:spacing w:line="360" w:lineRule="auto"/>
        <w:ind w:firstLine="480" w:firstLineChars="200"/>
        <w:rPr>
          <w:rFonts w:ascii="宋体" w:hAnsi="宋体" w:cs="宋体"/>
          <w:sz w:val="24"/>
        </w:rPr>
      </w:pPr>
      <w:r>
        <w:rPr>
          <w:rFonts w:hint="eastAsia" w:ascii="宋体" w:hAnsi="宋体" w:cs="宋体"/>
          <w:sz w:val="24"/>
        </w:rPr>
        <w:t>建立管理系统相关用户信息(省本级及市级下属单位)。用户信息包括账号管理、角色管理、组织管理等，并对系统基本功能进行相关的配置，管理系统等相关日志，实现系统相关统一配置管理。各单位凭借各自账号可以登录网络安全闭环管理系统，查看与本单位相关的检查任务列表、通报预警信息、通报告警信息等。</w:t>
      </w:r>
    </w:p>
    <w:p>
      <w:pPr>
        <w:pStyle w:val="7"/>
        <w:rPr>
          <w:rFonts w:ascii="宋体" w:hAnsi="宋体" w:eastAsia="宋体" w:cs="宋体"/>
          <w:sz w:val="24"/>
          <w:szCs w:val="24"/>
        </w:rPr>
      </w:pPr>
      <w:r>
        <w:rPr>
          <w:rFonts w:hint="eastAsia" w:ascii="宋体" w:hAnsi="宋体" w:eastAsia="宋体" w:cs="宋体"/>
          <w:sz w:val="24"/>
          <w:szCs w:val="24"/>
        </w:rPr>
        <w:t>3、考核评估</w:t>
      </w:r>
    </w:p>
    <w:p>
      <w:pPr>
        <w:spacing w:line="360" w:lineRule="auto"/>
        <w:ind w:firstLine="480" w:firstLineChars="200"/>
        <w:rPr>
          <w:rFonts w:ascii="宋体" w:hAnsi="宋体" w:cs="宋体"/>
          <w:sz w:val="24"/>
        </w:rPr>
      </w:pPr>
      <w:r>
        <w:rPr>
          <w:rFonts w:hint="eastAsia" w:ascii="宋体" w:hAnsi="宋体" w:cs="宋体"/>
          <w:sz w:val="24"/>
        </w:rPr>
        <w:t>对驻场人员、地市单位、应用系统安全等进行考核评估。主要涉及驻场人员任务管理(日常任务和临时任务)、驻场人员考核管理、地市考核结果（专网连通率得分、国产密码得分、信息安全得分）展示、与IRS平台对接的应用系统安全等功能。驻场人员考核指标参考浙江省生态环境厅与技术支撑单位签订的服务合同内容，服务内容根据日常工作情况量化体现到每个工作日中，每月输出月度运维记录</w:t>
      </w:r>
      <w:bookmarkStart w:id="40" w:name="_Hlk101535350"/>
      <w:r>
        <w:rPr>
          <w:rFonts w:hint="eastAsia" w:ascii="宋体" w:hAnsi="宋体" w:cs="宋体"/>
          <w:sz w:val="24"/>
        </w:rPr>
        <w:t>以及本地区网络安全工作月报，网络安全事件的响应度、处置效率。参考《浙江省电子政务外网安全评估指标体系（试行）》考核中“常态化开展本地区网络安全运维、发布本地区网络安全工作月报”的相关要求。</w:t>
      </w:r>
      <w:bookmarkEnd w:id="40"/>
    </w:p>
    <w:p>
      <w:pPr>
        <w:pStyle w:val="5"/>
        <w:spacing w:line="560" w:lineRule="exact"/>
        <w:rPr>
          <w:rFonts w:ascii="宋体" w:hAnsi="宋体" w:eastAsia="宋体" w:cs="宋体"/>
          <w:sz w:val="24"/>
          <w:szCs w:val="24"/>
        </w:rPr>
      </w:pPr>
      <w:r>
        <w:rPr>
          <w:rFonts w:hint="eastAsia" w:ascii="宋体" w:hAnsi="宋体" w:eastAsia="宋体" w:cs="宋体"/>
          <w:sz w:val="24"/>
          <w:szCs w:val="24"/>
        </w:rPr>
        <w:t>四、技术开发要求</w:t>
      </w:r>
    </w:p>
    <w:p>
      <w:pPr>
        <w:pStyle w:val="6"/>
        <w:keepNext w:val="0"/>
        <w:keepLines w:val="0"/>
        <w:numPr>
          <w:ilvl w:val="2"/>
          <w:numId w:val="0"/>
        </w:numPr>
        <w:spacing w:before="0" w:after="0" w:line="560" w:lineRule="exact"/>
        <w:rPr>
          <w:rFonts w:ascii="宋体" w:hAnsi="宋体" w:cs="宋体"/>
          <w:sz w:val="24"/>
          <w:szCs w:val="24"/>
        </w:rPr>
      </w:pPr>
      <w:r>
        <w:rPr>
          <w:rFonts w:hint="eastAsia" w:ascii="宋体" w:hAnsi="宋体" w:cs="宋体"/>
          <w:sz w:val="24"/>
          <w:szCs w:val="24"/>
        </w:rPr>
        <w:t>（一）部署环境要求</w:t>
      </w:r>
    </w:p>
    <w:p>
      <w:pPr>
        <w:overflowPunct w:val="0"/>
        <w:topLinePunct/>
        <w:spacing w:line="560" w:lineRule="exact"/>
        <w:ind w:firstLine="480" w:firstLineChars="200"/>
        <w:rPr>
          <w:rFonts w:ascii="宋体" w:hAnsi="宋体" w:cs="宋体"/>
          <w:sz w:val="24"/>
        </w:rPr>
      </w:pPr>
      <w:r>
        <w:rPr>
          <w:rFonts w:hint="eastAsia" w:ascii="宋体" w:hAnsi="宋体" w:cs="宋体"/>
          <w:sz w:val="24"/>
        </w:rPr>
        <w:t>该系统依托浙江省电子政务云平台运行，使用政务云相关ECS、RDS、SLB、OSS及其它资源及环境，采用政务云/信创云统一的架构设计，主体网络使用政务外网，系统设计开发部署需满足政务云平台相关要求。</w:t>
      </w:r>
    </w:p>
    <w:p>
      <w:pPr>
        <w:overflowPunct w:val="0"/>
        <w:topLinePunct/>
        <w:spacing w:line="560" w:lineRule="exact"/>
        <w:ind w:firstLine="480" w:firstLineChars="200"/>
        <w:rPr>
          <w:rFonts w:ascii="宋体" w:hAnsi="宋体" w:cs="宋体"/>
          <w:sz w:val="24"/>
        </w:rPr>
      </w:pPr>
      <w:r>
        <w:rPr>
          <w:rFonts w:hint="eastAsia" w:ascii="宋体" w:hAnsi="宋体" w:cs="宋体"/>
          <w:sz w:val="24"/>
        </w:rPr>
        <w:t>根据相关信创要求，系统应满足省厅信创电脑及非信创电脑的访问使用需求。</w:t>
      </w:r>
    </w:p>
    <w:p>
      <w:pPr>
        <w:pStyle w:val="6"/>
        <w:keepNext w:val="0"/>
        <w:keepLines w:val="0"/>
        <w:numPr>
          <w:ilvl w:val="2"/>
          <w:numId w:val="0"/>
        </w:numPr>
        <w:spacing w:before="0" w:after="0" w:line="560" w:lineRule="exact"/>
        <w:rPr>
          <w:rFonts w:ascii="宋体" w:hAnsi="宋体" w:cs="宋体"/>
          <w:sz w:val="24"/>
          <w:szCs w:val="24"/>
        </w:rPr>
      </w:pPr>
      <w:r>
        <w:rPr>
          <w:rFonts w:hint="eastAsia" w:ascii="宋体" w:hAnsi="宋体" w:cs="宋体"/>
          <w:sz w:val="24"/>
          <w:szCs w:val="24"/>
        </w:rPr>
        <w:t>（二）信息安全</w:t>
      </w:r>
    </w:p>
    <w:p>
      <w:pPr>
        <w:widowControl/>
        <w:snapToGrid w:val="0"/>
        <w:spacing w:line="560" w:lineRule="exact"/>
        <w:ind w:firstLine="480" w:firstLineChars="200"/>
        <w:rPr>
          <w:rFonts w:ascii="宋体" w:hAnsi="宋体" w:cs="宋体"/>
          <w:kern w:val="0"/>
          <w:sz w:val="24"/>
        </w:rPr>
      </w:pPr>
      <w:r>
        <w:rPr>
          <w:rFonts w:hint="eastAsia" w:ascii="宋体" w:hAnsi="宋体" w:cs="宋体"/>
          <w:kern w:val="0"/>
          <w:sz w:val="24"/>
        </w:rPr>
        <w:t>1、根据《浙江省信息技术服务外包网络安全管理办法》相关要求，投标方应全面落实《网络安全法》等法规标准，加强对拟派本项目团队的人员管理，进行安全背景审查，与其签署保密等协议；建立健全拟派本项目团队的人员离职（调离）管理制度，做好工作交接，签订离岗保密协议；定期开展网络安全知识、职业道德、保密和法律法规等方面培训，强化警示教育，不断增强本项目团队的人员职业操守和法律观念；接到人员异常或违规行为通报后，要及时开展内部行为惩戒，实行解除聘任合同、取消技术资质等惩戒措施，并将惩戒结果第一时间向招标方和相关行业协会报告。</w:t>
      </w:r>
    </w:p>
    <w:p>
      <w:pPr>
        <w:overflowPunct w:val="0"/>
        <w:topLinePunct/>
        <w:spacing w:line="560" w:lineRule="exact"/>
        <w:ind w:firstLine="480" w:firstLineChars="200"/>
        <w:rPr>
          <w:rFonts w:ascii="宋体" w:hAnsi="宋体" w:cs="宋体"/>
          <w:sz w:val="24"/>
        </w:rPr>
      </w:pPr>
      <w:r>
        <w:rPr>
          <w:rFonts w:hint="eastAsia" w:ascii="宋体" w:hAnsi="宋体" w:cs="宋体"/>
          <w:sz w:val="24"/>
        </w:rPr>
        <w:t>2、系统部署在浙江省电子政务云平台，依托省政府统筹建设的数字化基础设施，包括基础网络、网络服务、存储服务、数据库服务、安全服务、容灾服务、异地备份服务、物理感知等，配合做好安全策略部署(域名防护、病毒防护、非法链接、SQL注入、跨站攻击等)，定期开展信息安全巡查，强化日常安全监测，重要会议或活动保障信息安全。</w:t>
      </w:r>
    </w:p>
    <w:p>
      <w:pPr>
        <w:overflowPunct w:val="0"/>
        <w:topLinePunct/>
        <w:spacing w:line="560" w:lineRule="exact"/>
        <w:ind w:firstLine="480" w:firstLineChars="200"/>
        <w:rPr>
          <w:rFonts w:ascii="宋体" w:hAnsi="宋体" w:cs="宋体"/>
          <w:sz w:val="24"/>
        </w:rPr>
      </w:pPr>
      <w:r>
        <w:rPr>
          <w:rFonts w:hint="eastAsia" w:ascii="宋体" w:hAnsi="宋体" w:cs="宋体"/>
          <w:sz w:val="24"/>
        </w:rPr>
        <w:t>3、系统开发建设应按照《信息系统安全等级保护基本要求》（GB/T 22239-2019）中的相关安全要求并实现相应安全功能，开发完毕后须配合第三方安全评测单位对系统本身的安全性进行核查并需通过，如不通过需按要求进行整改。核查内容如下（以等保测评公司具体要求为准）：</w:t>
      </w:r>
    </w:p>
    <w:tbl>
      <w:tblPr>
        <w:tblStyle w:val="6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26"/>
        <w:gridCol w:w="1360"/>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shd w:val="clear" w:color="auto" w:fill="E6E6E6"/>
            <w:vAlign w:val="center"/>
          </w:tcPr>
          <w:p>
            <w:pPr>
              <w:spacing w:line="560" w:lineRule="exact"/>
              <w:jc w:val="center"/>
              <w:rPr>
                <w:rFonts w:ascii="宋体" w:hAnsi="宋体" w:cs="宋体"/>
                <w:b/>
                <w:sz w:val="24"/>
              </w:rPr>
            </w:pPr>
            <w:r>
              <w:rPr>
                <w:rFonts w:hint="eastAsia" w:ascii="宋体" w:hAnsi="宋体" w:cs="宋体"/>
                <w:b/>
                <w:sz w:val="24"/>
              </w:rPr>
              <w:t>核查类别</w:t>
            </w:r>
          </w:p>
        </w:tc>
        <w:tc>
          <w:tcPr>
            <w:tcW w:w="1326" w:type="dxa"/>
            <w:shd w:val="clear" w:color="auto" w:fill="E6E6E6"/>
            <w:vAlign w:val="center"/>
          </w:tcPr>
          <w:p>
            <w:pPr>
              <w:spacing w:line="560" w:lineRule="exact"/>
              <w:jc w:val="center"/>
              <w:rPr>
                <w:rFonts w:ascii="宋体" w:hAnsi="宋体" w:cs="宋体"/>
                <w:b/>
                <w:sz w:val="24"/>
              </w:rPr>
            </w:pPr>
            <w:r>
              <w:rPr>
                <w:rFonts w:hint="eastAsia" w:ascii="宋体" w:hAnsi="宋体" w:cs="宋体"/>
                <w:b/>
                <w:sz w:val="24"/>
              </w:rPr>
              <w:t>核查内容</w:t>
            </w:r>
          </w:p>
        </w:tc>
        <w:tc>
          <w:tcPr>
            <w:tcW w:w="1360" w:type="dxa"/>
            <w:shd w:val="clear" w:color="auto" w:fill="E6E6E6"/>
            <w:vAlign w:val="center"/>
          </w:tcPr>
          <w:p>
            <w:pPr>
              <w:spacing w:line="560" w:lineRule="exact"/>
              <w:jc w:val="center"/>
              <w:rPr>
                <w:rFonts w:ascii="宋体" w:hAnsi="宋体" w:cs="宋体"/>
                <w:b/>
                <w:sz w:val="24"/>
              </w:rPr>
            </w:pPr>
            <w:r>
              <w:rPr>
                <w:rFonts w:hint="eastAsia" w:ascii="宋体" w:hAnsi="宋体" w:cs="宋体"/>
                <w:b/>
                <w:sz w:val="24"/>
              </w:rPr>
              <w:t>核查项目</w:t>
            </w:r>
          </w:p>
        </w:tc>
        <w:tc>
          <w:tcPr>
            <w:tcW w:w="4594" w:type="dxa"/>
            <w:shd w:val="clear" w:color="auto" w:fill="E6E6E6"/>
            <w:vAlign w:val="center"/>
          </w:tcPr>
          <w:p>
            <w:pPr>
              <w:spacing w:line="560" w:lineRule="exact"/>
              <w:jc w:val="center"/>
              <w:rPr>
                <w:rFonts w:ascii="宋体" w:hAnsi="宋体" w:cs="宋体"/>
                <w:b/>
                <w:sz w:val="24"/>
              </w:rPr>
            </w:pPr>
            <w:r>
              <w:rPr>
                <w:rFonts w:hint="eastAsia" w:ascii="宋体" w:hAnsi="宋体" w:cs="宋体"/>
                <w:b/>
                <w:sz w:val="24"/>
              </w:rPr>
              <w:t>核查方法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spacing w:before="120" w:beforeLines="50" w:after="120" w:afterLines="50"/>
              <w:rPr>
                <w:rFonts w:ascii="宋体" w:hAnsi="宋体" w:cs="宋体"/>
                <w:sz w:val="24"/>
              </w:rPr>
            </w:pPr>
            <w:r>
              <w:rPr>
                <w:rFonts w:hint="eastAsia" w:ascii="宋体" w:hAnsi="宋体" w:cs="宋体"/>
                <w:sz w:val="24"/>
              </w:rPr>
              <w:t>系统信息</w:t>
            </w:r>
          </w:p>
        </w:tc>
        <w:tc>
          <w:tcPr>
            <w:tcW w:w="1326" w:type="dxa"/>
            <w:vMerge w:val="restart"/>
            <w:vAlign w:val="center"/>
          </w:tcPr>
          <w:p>
            <w:pPr>
              <w:spacing w:before="120" w:beforeLines="50" w:after="120" w:afterLines="50"/>
              <w:rPr>
                <w:rFonts w:ascii="宋体" w:hAnsi="宋体" w:cs="宋体"/>
                <w:sz w:val="24"/>
              </w:rPr>
            </w:pPr>
            <w:r>
              <w:rPr>
                <w:rFonts w:hint="eastAsia" w:ascii="宋体" w:hAnsi="宋体" w:cs="宋体"/>
                <w:sz w:val="24"/>
              </w:rPr>
              <w:t>基本信息</w:t>
            </w: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系统名称/版本</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查验系统登录界面/项目合同/软件开发文档中的系统名称，并和用户确认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软件开发商</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软件开发商名称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spacing w:before="120" w:beforeLines="50" w:after="120" w:afterLines="50"/>
              <w:rPr>
                <w:rFonts w:ascii="宋体" w:hAnsi="宋体" w:cs="宋体"/>
                <w:sz w:val="24"/>
              </w:rPr>
            </w:pPr>
            <w:r>
              <w:rPr>
                <w:rFonts w:hint="eastAsia" w:ascii="宋体" w:hAnsi="宋体" w:cs="宋体"/>
                <w:sz w:val="24"/>
              </w:rPr>
              <w:t>安全审计</w:t>
            </w:r>
          </w:p>
        </w:tc>
        <w:tc>
          <w:tcPr>
            <w:tcW w:w="1326" w:type="dxa"/>
            <w:vMerge w:val="restart"/>
            <w:vAlign w:val="center"/>
          </w:tcPr>
          <w:p>
            <w:pPr>
              <w:spacing w:before="120" w:beforeLines="50" w:after="120" w:afterLines="50"/>
              <w:rPr>
                <w:rFonts w:ascii="宋体" w:hAnsi="宋体" w:cs="宋体"/>
                <w:sz w:val="24"/>
              </w:rPr>
            </w:pPr>
            <w:r>
              <w:rPr>
                <w:rFonts w:hint="eastAsia" w:ascii="宋体" w:hAnsi="宋体" w:cs="宋体"/>
                <w:sz w:val="24"/>
              </w:rPr>
              <w:t>应用系统在安全审计方面应包括认出、记录、存储和分析哪些与安全相关活动有关的信息。</w:t>
            </w: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安全审计策略</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查验系统对用户的哪些关键操作操作行为（如用户登录、数据修改、删除等）进行了审计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审计事件和用户的关联</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查验审计日志能和用户的什么主体身份（如用户名等）相关联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审计内容</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查验审计日志记录了用户操作行为的哪些关键信息（如日期、用户名、事件、结果等）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安全审计授权</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系统设定了哪些特定人员（如审计员）具有审计日志的查阅权限。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日志的可阅读性</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确定审计日志是否易读懂，且表示清晰；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审计事件查询</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查验审计日志能根据哪些字段（如功能模块，员工，操作类型、关键字）等进行筛选查询；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审计事件排序</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查验系统能基于哪些字段对审计事件进行分类排序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审计事件安全存储</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分析系统日志保护措施：是否允许相关人员随意删除日志、是否设定了数据备份措施，是否能在日志存贮空间满溢前提出告警，并在满溢时提供合理的日志覆盖机制。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spacing w:before="120" w:beforeLines="50" w:after="120" w:afterLines="50"/>
              <w:rPr>
                <w:rFonts w:ascii="宋体" w:hAnsi="宋体" w:cs="宋体"/>
                <w:sz w:val="24"/>
              </w:rPr>
            </w:pPr>
            <w:r>
              <w:rPr>
                <w:rFonts w:hint="eastAsia" w:ascii="宋体" w:hAnsi="宋体" w:cs="宋体"/>
                <w:sz w:val="24"/>
              </w:rPr>
              <w:t>用户数据保护</w:t>
            </w:r>
          </w:p>
        </w:tc>
        <w:tc>
          <w:tcPr>
            <w:tcW w:w="1326" w:type="dxa"/>
            <w:vMerge w:val="restart"/>
            <w:vAlign w:val="center"/>
          </w:tcPr>
          <w:p>
            <w:pPr>
              <w:spacing w:before="120" w:beforeLines="50" w:after="120" w:afterLines="50"/>
              <w:rPr>
                <w:rFonts w:ascii="宋体" w:hAnsi="宋体" w:cs="宋体"/>
                <w:sz w:val="24"/>
              </w:rPr>
            </w:pPr>
            <w:r>
              <w:rPr>
                <w:rFonts w:hint="eastAsia" w:ascii="宋体" w:hAnsi="宋体" w:cs="宋体"/>
                <w:sz w:val="24"/>
              </w:rPr>
              <w:t>应用系统在用户数据保护方面应包括保护用户数据相关的系统安全功能策略和安全功能要求。</w:t>
            </w: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访问控制策略结构</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查验系统是否具备明确且详细的访问控制策略，确定访问控制策略的基本结构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访问控制策略合理性</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查验系统内各类用户的操作权限是否设置合理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访问控制功能</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查验系统是否访问控制策略实现了访问控制功能，即确定用户的权限是否和管理员设置的权限相一致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数据真实性</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查验系统是否采用数字签名等机制以保护重要数据存贮的真实性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数据完整性</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查验系统是否采用了散列值等方法以保护重要数据在传输/存贮中的完整性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spacing w:before="120" w:beforeLines="50" w:after="120" w:afterLines="50"/>
              <w:rPr>
                <w:rFonts w:ascii="宋体" w:hAnsi="宋体" w:cs="宋体"/>
                <w:sz w:val="24"/>
              </w:rPr>
            </w:pPr>
            <w:r>
              <w:rPr>
                <w:rFonts w:hint="eastAsia" w:ascii="宋体" w:hAnsi="宋体" w:cs="宋体"/>
                <w:sz w:val="24"/>
              </w:rPr>
              <w:t>标识与鉴别</w:t>
            </w:r>
          </w:p>
        </w:tc>
        <w:tc>
          <w:tcPr>
            <w:tcW w:w="1326" w:type="dxa"/>
            <w:vMerge w:val="restart"/>
            <w:vAlign w:val="center"/>
          </w:tcPr>
          <w:p>
            <w:pPr>
              <w:spacing w:before="120" w:beforeLines="50" w:after="120" w:afterLines="50"/>
              <w:rPr>
                <w:rFonts w:ascii="宋体" w:hAnsi="宋体" w:cs="宋体"/>
                <w:sz w:val="24"/>
              </w:rPr>
            </w:pPr>
            <w:r>
              <w:rPr>
                <w:rFonts w:hint="eastAsia" w:ascii="宋体" w:hAnsi="宋体" w:cs="宋体"/>
                <w:sz w:val="24"/>
              </w:rPr>
              <w:t>应用系统应通过标识和鉴别机制确保用户与正确的安全属性（如：身份、组、角色、安全级或完整性类）相关联。</w:t>
            </w: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用户标识</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查验用户登录系统时，所需提供的唯一标识；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用户鉴别</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确定系统通过何种方式（如口令、证书或两者结合）鉴别用户，验证系统是否能正确地鉴别用户。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超时退出机制</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验证系统在一定时间（如5分钟）内不做任何操作，是否自动退出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系统登录提示</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查验系统在鉴别失败（用户名错及密码错）和鉴别成功时的提示消息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鉴别失败限制</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验证系统是否实现了鉴别失败次数的最大限制值，是否提供帐户锁定功能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用户属性</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验证系统用户能维护修改本身的哪些安全属性（用户号、口令等）；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秘密的规范</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验证系统对用户在设置口令口令强度上的要求。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spacing w:before="120" w:beforeLines="50" w:after="120" w:afterLines="50"/>
              <w:rPr>
                <w:rFonts w:ascii="宋体" w:hAnsi="宋体" w:cs="宋体"/>
                <w:sz w:val="24"/>
              </w:rPr>
            </w:pPr>
            <w:r>
              <w:rPr>
                <w:rFonts w:hint="eastAsia" w:ascii="宋体" w:hAnsi="宋体" w:cs="宋体"/>
                <w:sz w:val="24"/>
              </w:rPr>
              <w:t>系统访问</w:t>
            </w:r>
          </w:p>
        </w:tc>
        <w:tc>
          <w:tcPr>
            <w:tcW w:w="1326" w:type="dxa"/>
            <w:vMerge w:val="restart"/>
            <w:vAlign w:val="center"/>
          </w:tcPr>
          <w:p>
            <w:pPr>
              <w:spacing w:before="120" w:beforeLines="50" w:after="120" w:afterLines="50"/>
              <w:rPr>
                <w:rFonts w:ascii="宋体" w:hAnsi="宋体" w:cs="宋体"/>
                <w:sz w:val="24"/>
              </w:rPr>
            </w:pPr>
            <w:r>
              <w:rPr>
                <w:rFonts w:hint="eastAsia" w:ascii="宋体" w:hAnsi="宋体" w:cs="宋体"/>
                <w:sz w:val="24"/>
              </w:rPr>
              <w:t>应用系统应对用户的访问行为进行记录，并控制访问的并发量，具体包括：</w:t>
            </w: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会话并发限制</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查看系统设计文档，确定系统是否允许在同一台计算机或多台计算机上使用同一帐户登录系统；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访问历史</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验证系统在用户成功登录系统后，是否向用户提示上次登录的会话信息。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spacing w:before="120" w:beforeLines="50" w:after="120" w:afterLines="50"/>
              <w:rPr>
                <w:rFonts w:ascii="宋体" w:hAnsi="宋体" w:cs="宋体"/>
                <w:sz w:val="24"/>
              </w:rPr>
            </w:pPr>
            <w:r>
              <w:rPr>
                <w:rFonts w:hint="eastAsia" w:ascii="宋体" w:hAnsi="宋体" w:cs="宋体"/>
                <w:sz w:val="24"/>
              </w:rPr>
              <w:t>密码支持</w:t>
            </w:r>
          </w:p>
        </w:tc>
        <w:tc>
          <w:tcPr>
            <w:tcW w:w="1326" w:type="dxa"/>
            <w:vMerge w:val="restart"/>
            <w:vAlign w:val="center"/>
          </w:tcPr>
          <w:p>
            <w:pPr>
              <w:spacing w:before="120" w:beforeLines="50" w:after="120" w:afterLines="50"/>
              <w:rPr>
                <w:rFonts w:ascii="宋体" w:hAnsi="宋体" w:cs="宋体"/>
                <w:sz w:val="24"/>
              </w:rPr>
            </w:pPr>
            <w:r>
              <w:rPr>
                <w:rFonts w:hint="eastAsia" w:ascii="宋体" w:hAnsi="宋体" w:cs="宋体"/>
                <w:sz w:val="24"/>
              </w:rPr>
              <w:t>系统所采用的密码技术或密码产品必须符合国家密码主管部门的相关要求。</w:t>
            </w: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密码算法</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查看系统设计文档，确定系统何种采用的密码算法及版本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密码算法的国家许可</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查看系统相关文档，确定国家相关许可文件的文号。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242" w:type="dxa"/>
            <w:vMerge w:val="restart"/>
            <w:vAlign w:val="center"/>
          </w:tcPr>
          <w:p>
            <w:pPr>
              <w:spacing w:before="120" w:beforeLines="50" w:after="120" w:afterLines="50"/>
              <w:rPr>
                <w:rFonts w:ascii="宋体" w:hAnsi="宋体" w:cs="宋体"/>
                <w:sz w:val="24"/>
              </w:rPr>
            </w:pPr>
            <w:r>
              <w:rPr>
                <w:rFonts w:hint="eastAsia" w:ascii="宋体" w:hAnsi="宋体" w:cs="宋体"/>
                <w:sz w:val="24"/>
              </w:rPr>
              <w:t>个人信息保护</w:t>
            </w:r>
          </w:p>
        </w:tc>
        <w:tc>
          <w:tcPr>
            <w:tcW w:w="1326" w:type="dxa"/>
            <w:vMerge w:val="restart"/>
            <w:vAlign w:val="center"/>
          </w:tcPr>
          <w:p>
            <w:pPr>
              <w:spacing w:before="120" w:beforeLines="50" w:after="120" w:afterLines="50"/>
              <w:rPr>
                <w:rFonts w:ascii="宋体" w:hAnsi="宋体" w:cs="宋体"/>
                <w:sz w:val="24"/>
              </w:rPr>
            </w:pPr>
            <w:r>
              <w:rPr>
                <w:rFonts w:hint="eastAsia" w:ascii="宋体" w:hAnsi="宋体" w:cs="宋体"/>
                <w:sz w:val="24"/>
              </w:rPr>
              <w:t>应仅采集和保存业务必需的用户个人信息；应禁止未授权访问和非法使用用户个人信息。</w:t>
            </w: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用户个人信息的采集保存</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检查是否最小化收集用户个人信息，检查应用是否对收集、使用的个人信息的目的、方式、用途进行说明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用户个人信息的使用</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检查是否对已经收集的个人敏感信息做加密存储以及传输过程中的加密处理，检查用户个人信息的展示是否进行脱敏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before="120" w:beforeLines="50" w:after="120" w:afterLines="50"/>
              <w:rPr>
                <w:rFonts w:ascii="宋体" w:hAnsi="宋体" w:cs="宋体"/>
                <w:sz w:val="24"/>
              </w:rPr>
            </w:pPr>
            <w:r>
              <w:rPr>
                <w:rFonts w:hint="eastAsia" w:ascii="宋体" w:hAnsi="宋体" w:cs="宋体"/>
                <w:sz w:val="24"/>
              </w:rPr>
              <w:t>资源利用</w:t>
            </w:r>
          </w:p>
        </w:tc>
        <w:tc>
          <w:tcPr>
            <w:tcW w:w="1326" w:type="dxa"/>
            <w:vAlign w:val="center"/>
          </w:tcPr>
          <w:p>
            <w:pPr>
              <w:spacing w:before="120" w:beforeLines="50" w:after="120" w:afterLines="50"/>
              <w:rPr>
                <w:rFonts w:ascii="宋体" w:hAnsi="宋体" w:cs="宋体"/>
                <w:sz w:val="24"/>
              </w:rPr>
            </w:pPr>
            <w:r>
              <w:rPr>
                <w:rFonts w:hint="eastAsia" w:ascii="宋体" w:hAnsi="宋体" w:cs="宋体"/>
                <w:sz w:val="24"/>
              </w:rPr>
              <w:t>系统确保当重要设备发生局部故障时，主要安全功能可正常运行。</w:t>
            </w: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安全功能的容错性。</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验证系统在部分设备及环境发生故障（如服务器故障、网络阻塞等）时，重要安全功能是否可被绕开或失去作用。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pPr>
              <w:spacing w:before="120" w:beforeLines="50" w:after="120" w:afterLines="50"/>
              <w:rPr>
                <w:rFonts w:ascii="宋体" w:hAnsi="宋体" w:cs="宋体"/>
                <w:sz w:val="24"/>
              </w:rPr>
            </w:pPr>
            <w:r>
              <w:rPr>
                <w:rFonts w:hint="eastAsia" w:ascii="宋体" w:hAnsi="宋体" w:cs="宋体"/>
                <w:sz w:val="24"/>
              </w:rPr>
              <w:t>安全管理</w:t>
            </w:r>
          </w:p>
        </w:tc>
        <w:tc>
          <w:tcPr>
            <w:tcW w:w="1326" w:type="dxa"/>
            <w:vMerge w:val="restart"/>
            <w:vAlign w:val="center"/>
          </w:tcPr>
          <w:p>
            <w:pPr>
              <w:spacing w:before="120" w:beforeLines="50" w:after="120" w:afterLines="50"/>
              <w:rPr>
                <w:rFonts w:ascii="宋体" w:hAnsi="宋体" w:cs="宋体"/>
                <w:sz w:val="24"/>
              </w:rPr>
            </w:pPr>
            <w:r>
              <w:rPr>
                <w:rFonts w:hint="eastAsia" w:ascii="宋体" w:hAnsi="宋体" w:cs="宋体"/>
                <w:sz w:val="24"/>
              </w:rPr>
              <w:t>系统应设置各种不同安全角色，建立用户和角色的关联，并设置各种角色的安全属性及属性到期机制。</w:t>
            </w: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安全角色</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验证系统是否可维护不同角色（系统管理员、系统安全员、系统审计员、各模块系统操作员、一般操作人员等），并把用户和角色关联起来。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安全属性管理</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验证系统特定用户（系统管理员、安全管理员等）是否具备对系统全局属性进行查询、修改、删除及默认值修改的能力。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安全属性默认值</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验证系统安全属性中关于允许或限制规定的默认值是适当的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pPr>
              <w:spacing w:before="120" w:beforeLines="50" w:after="120" w:afterLines="50"/>
              <w:rPr>
                <w:rFonts w:ascii="宋体" w:hAnsi="宋体" w:cs="宋体"/>
                <w:sz w:val="24"/>
              </w:rPr>
            </w:pPr>
          </w:p>
        </w:tc>
        <w:tc>
          <w:tcPr>
            <w:tcW w:w="1326" w:type="dxa"/>
            <w:vMerge w:val="continue"/>
            <w:vAlign w:val="center"/>
          </w:tcPr>
          <w:p>
            <w:pPr>
              <w:spacing w:before="120" w:beforeLines="50" w:after="120" w:afterLines="50"/>
              <w:rPr>
                <w:rFonts w:ascii="宋体" w:hAnsi="宋体" w:cs="宋体"/>
                <w:sz w:val="24"/>
              </w:rPr>
            </w:pPr>
          </w:p>
        </w:tc>
        <w:tc>
          <w:tcPr>
            <w:tcW w:w="1360" w:type="dxa"/>
            <w:vAlign w:val="center"/>
          </w:tcPr>
          <w:p>
            <w:pPr>
              <w:spacing w:before="120" w:beforeLines="50" w:after="120" w:afterLines="50"/>
              <w:rPr>
                <w:rFonts w:ascii="宋体" w:hAnsi="宋体" w:cs="宋体"/>
                <w:sz w:val="24"/>
              </w:rPr>
            </w:pPr>
            <w:r>
              <w:rPr>
                <w:rFonts w:hint="eastAsia" w:ascii="宋体" w:hAnsi="宋体" w:cs="宋体"/>
                <w:sz w:val="24"/>
              </w:rPr>
              <w:t>安全属性到期</w:t>
            </w:r>
          </w:p>
        </w:tc>
        <w:tc>
          <w:tcPr>
            <w:tcW w:w="4594" w:type="dxa"/>
            <w:vAlign w:val="center"/>
          </w:tcPr>
          <w:p>
            <w:pPr>
              <w:spacing w:before="120" w:beforeLines="50" w:after="120" w:afterLines="50"/>
              <w:rPr>
                <w:rFonts w:ascii="宋体" w:hAnsi="宋体" w:cs="宋体"/>
                <w:sz w:val="24"/>
              </w:rPr>
            </w:pPr>
            <w:r>
              <w:rPr>
                <w:rFonts w:hint="eastAsia" w:ascii="宋体" w:hAnsi="宋体" w:cs="宋体"/>
                <w:sz w:val="24"/>
              </w:rPr>
              <w:t>验证系统是否具备对操作人员的安全属性（如口令、证书等）设置有效期，并在超过指定的有效期后对其采取适当行动的功能，并实现了合理的配置。</w:t>
            </w:r>
          </w:p>
        </w:tc>
      </w:tr>
    </w:tbl>
    <w:p>
      <w:pPr>
        <w:overflowPunct w:val="0"/>
        <w:topLinePunct/>
        <w:spacing w:line="560" w:lineRule="exact"/>
        <w:ind w:firstLine="480" w:firstLineChars="200"/>
        <w:rPr>
          <w:rFonts w:ascii="宋体" w:hAnsi="宋体" w:cs="宋体"/>
          <w:sz w:val="24"/>
        </w:rPr>
      </w:pPr>
      <w:r>
        <w:rPr>
          <w:rFonts w:hint="eastAsia" w:ascii="宋体" w:hAnsi="宋体" w:cs="宋体"/>
          <w:sz w:val="24"/>
        </w:rPr>
        <w:t>4、项目建设部署中如使用第三方软件（如中间件、Web应用服务器等），在开发过程中需使用该第三方软件的最新版本进行开发部署并安装最新补丁（双方另行商定的除外），以确保应用系统整体安全性。</w:t>
      </w:r>
    </w:p>
    <w:p>
      <w:pPr>
        <w:overflowPunct w:val="0"/>
        <w:topLinePunct/>
        <w:spacing w:line="560" w:lineRule="exact"/>
        <w:ind w:firstLine="480" w:firstLineChars="200"/>
        <w:rPr>
          <w:rFonts w:ascii="宋体" w:hAnsi="宋体" w:cs="宋体"/>
          <w:sz w:val="24"/>
        </w:rPr>
      </w:pPr>
      <w:r>
        <w:rPr>
          <w:rFonts w:hint="eastAsia" w:ascii="宋体" w:hAnsi="宋体" w:cs="宋体"/>
          <w:sz w:val="24"/>
        </w:rPr>
        <w:t>5、系统上线前应通过第三方的软件代码安全检测，并提供软件代码安全检测报告，费用包含在本项目中。</w:t>
      </w:r>
    </w:p>
    <w:p>
      <w:pPr>
        <w:overflowPunct w:val="0"/>
        <w:topLinePunct/>
        <w:spacing w:line="560" w:lineRule="exact"/>
        <w:ind w:firstLine="480" w:firstLineChars="200"/>
        <w:rPr>
          <w:rFonts w:ascii="宋体" w:hAnsi="宋体" w:cs="宋体"/>
          <w:sz w:val="24"/>
        </w:rPr>
      </w:pPr>
      <w:r>
        <w:rPr>
          <w:rFonts w:hint="eastAsia" w:ascii="宋体" w:hAnsi="宋体" w:cs="宋体"/>
          <w:sz w:val="24"/>
        </w:rPr>
        <w:t>6、项目建设验收后，在质保期内，中标方至少每半年进行一次安全检查（包括应用软件和使用的第三方软件），对应用软件本身发现的BUG进行修补升级，对第三方软件已公布的安全漏洞实施升级等安全措施。</w:t>
      </w:r>
    </w:p>
    <w:p>
      <w:pPr>
        <w:pStyle w:val="6"/>
        <w:keepNext w:val="0"/>
        <w:keepLines w:val="0"/>
        <w:numPr>
          <w:ilvl w:val="2"/>
          <w:numId w:val="0"/>
        </w:numPr>
        <w:spacing w:before="0" w:after="0" w:line="560" w:lineRule="exact"/>
        <w:ind w:firstLine="482" w:firstLineChars="200"/>
        <w:rPr>
          <w:rFonts w:ascii="宋体" w:hAnsi="宋体" w:cs="宋体"/>
          <w:sz w:val="24"/>
          <w:szCs w:val="24"/>
        </w:rPr>
      </w:pPr>
      <w:r>
        <w:rPr>
          <w:rFonts w:hint="eastAsia" w:ascii="宋体" w:hAnsi="宋体" w:cs="宋体"/>
          <w:sz w:val="24"/>
          <w:szCs w:val="24"/>
        </w:rPr>
        <w:t>（三）使用要求</w:t>
      </w:r>
    </w:p>
    <w:p>
      <w:pPr>
        <w:overflowPunct w:val="0"/>
        <w:topLinePunct/>
        <w:spacing w:line="560" w:lineRule="exact"/>
        <w:ind w:firstLine="480" w:firstLineChars="200"/>
        <w:rPr>
          <w:rFonts w:ascii="宋体" w:hAnsi="宋体" w:cs="宋体"/>
          <w:sz w:val="24"/>
        </w:rPr>
      </w:pPr>
      <w:r>
        <w:rPr>
          <w:rFonts w:hint="eastAsia" w:ascii="宋体" w:hAnsi="宋体" w:cs="宋体"/>
          <w:sz w:val="24"/>
        </w:rPr>
        <w:t>1、操作简单：操作人员对照简单的使用说明书就可操作，或者略经培训就可方便操作；</w:t>
      </w:r>
    </w:p>
    <w:p>
      <w:pPr>
        <w:overflowPunct w:val="0"/>
        <w:topLinePunct/>
        <w:spacing w:line="560" w:lineRule="exact"/>
        <w:ind w:firstLine="480" w:firstLineChars="200"/>
        <w:rPr>
          <w:rFonts w:ascii="宋体" w:hAnsi="宋体" w:cs="宋体"/>
          <w:sz w:val="24"/>
        </w:rPr>
      </w:pPr>
      <w:r>
        <w:rPr>
          <w:rFonts w:hint="eastAsia" w:ascii="宋体" w:hAnsi="宋体" w:cs="宋体"/>
          <w:sz w:val="24"/>
        </w:rPr>
        <w:t>2、功能完善：系统能够完成要求的所有功能操作，满足日常省厅网络安全闭环管理工作需要。</w:t>
      </w:r>
    </w:p>
    <w:p>
      <w:pPr>
        <w:overflowPunct w:val="0"/>
        <w:topLinePunct/>
        <w:spacing w:line="560" w:lineRule="exact"/>
        <w:ind w:firstLine="480" w:firstLineChars="200"/>
        <w:rPr>
          <w:rFonts w:ascii="宋体" w:hAnsi="宋体" w:cs="宋体"/>
          <w:sz w:val="24"/>
        </w:rPr>
      </w:pPr>
      <w:r>
        <w:rPr>
          <w:rFonts w:hint="eastAsia" w:ascii="宋体" w:hAnsi="宋体" w:cs="宋体"/>
          <w:sz w:val="24"/>
        </w:rPr>
        <w:t>3、响应迅速：系统具有良好的运行速度，有较高的数据承载能力。主要页面响应（打开）速度≦3秒，一般查询速度≦2秒（网络延迟等外部原因除外）。</w:t>
      </w:r>
    </w:p>
    <w:p>
      <w:pPr>
        <w:pStyle w:val="5"/>
        <w:spacing w:line="560" w:lineRule="exact"/>
        <w:rPr>
          <w:rFonts w:ascii="宋体" w:hAnsi="宋体" w:eastAsia="宋体" w:cs="宋体"/>
          <w:sz w:val="24"/>
          <w:szCs w:val="24"/>
        </w:rPr>
      </w:pPr>
      <w:r>
        <w:rPr>
          <w:rFonts w:hint="eastAsia" w:ascii="宋体" w:hAnsi="宋体" w:eastAsia="宋体" w:cs="宋体"/>
          <w:sz w:val="24"/>
          <w:szCs w:val="24"/>
        </w:rPr>
        <w:t>五、项目实施要求</w:t>
      </w:r>
    </w:p>
    <w:p>
      <w:pPr>
        <w:pStyle w:val="6"/>
        <w:keepNext w:val="0"/>
        <w:keepLines w:val="0"/>
        <w:numPr>
          <w:ilvl w:val="2"/>
          <w:numId w:val="0"/>
        </w:numPr>
        <w:spacing w:before="0" w:after="0" w:line="560" w:lineRule="exact"/>
        <w:rPr>
          <w:rFonts w:ascii="宋体" w:hAnsi="宋体" w:cs="宋体"/>
          <w:sz w:val="24"/>
          <w:szCs w:val="24"/>
        </w:rPr>
      </w:pPr>
      <w:r>
        <w:rPr>
          <w:rFonts w:hint="eastAsia" w:ascii="宋体" w:hAnsi="宋体" w:cs="宋体"/>
          <w:sz w:val="24"/>
          <w:szCs w:val="24"/>
        </w:rPr>
        <w:t>（一）工期要求</w:t>
      </w:r>
    </w:p>
    <w:p>
      <w:pPr>
        <w:spacing w:before="120" w:after="120" w:line="560" w:lineRule="exact"/>
        <w:ind w:firstLine="560"/>
        <w:rPr>
          <w:rFonts w:ascii="宋体" w:hAnsi="宋体" w:cs="宋体"/>
          <w:sz w:val="24"/>
        </w:rPr>
      </w:pPr>
      <w:r>
        <w:rPr>
          <w:rFonts w:hint="eastAsia" w:ascii="宋体" w:hAnsi="宋体" w:cs="宋体"/>
          <w:sz w:val="24"/>
        </w:rPr>
        <w:t>项目建设工期要求见商务要求表中供货时间（项目工期）及地点。</w:t>
      </w:r>
    </w:p>
    <w:p>
      <w:pPr>
        <w:spacing w:before="120" w:after="120" w:line="560" w:lineRule="exact"/>
        <w:ind w:firstLine="560"/>
        <w:rPr>
          <w:rFonts w:ascii="宋体" w:hAnsi="宋体" w:cs="宋体"/>
          <w:sz w:val="24"/>
        </w:rPr>
      </w:pPr>
      <w:r>
        <w:rPr>
          <w:rFonts w:hint="eastAsia" w:ascii="宋体" w:hAnsi="宋体" w:cs="宋体"/>
          <w:sz w:val="24"/>
        </w:rPr>
        <w:t>投标人应提供科学、合理的项目进度计划，进度计划应符合软件开发管理流程，并贯穿整个项目的过程（不限于项目立项、需求调研、设计、开发、测试、上线、培训、验收）。项目进度计划须有完备的时间点和对应的资源。根据工程总体进度的变化，采购人可能会延长工期或调整进度计划，投标人应在投标总价中充分考虑这种工期风险，在实施过程中不得借此要求增加任何费用。</w:t>
      </w:r>
    </w:p>
    <w:p>
      <w:pPr>
        <w:pStyle w:val="6"/>
        <w:keepNext w:val="0"/>
        <w:keepLines w:val="0"/>
        <w:numPr>
          <w:ilvl w:val="2"/>
          <w:numId w:val="0"/>
        </w:numPr>
        <w:spacing w:before="0" w:after="0" w:line="560" w:lineRule="exact"/>
        <w:rPr>
          <w:rFonts w:ascii="宋体" w:hAnsi="宋体" w:cs="宋体"/>
          <w:sz w:val="24"/>
          <w:szCs w:val="24"/>
        </w:rPr>
      </w:pPr>
      <w:r>
        <w:rPr>
          <w:rFonts w:hint="eastAsia" w:ascii="宋体" w:hAnsi="宋体" w:cs="宋体"/>
          <w:sz w:val="24"/>
          <w:szCs w:val="24"/>
        </w:rPr>
        <w:t>（二）实施要求</w:t>
      </w:r>
    </w:p>
    <w:p>
      <w:pPr>
        <w:pStyle w:val="966"/>
        <w:spacing w:before="120" w:after="120" w:line="560" w:lineRule="exact"/>
        <w:ind w:firstLine="480"/>
        <w:rPr>
          <w:rFonts w:ascii="宋体" w:hAnsi="宋体" w:cs="宋体"/>
          <w:szCs w:val="24"/>
        </w:rPr>
      </w:pPr>
      <w:r>
        <w:rPr>
          <w:rFonts w:hint="eastAsia" w:ascii="宋体" w:hAnsi="宋体" w:cs="宋体"/>
          <w:szCs w:val="24"/>
        </w:rPr>
        <w:t>1、为确保项目有序的推进，投标人需提供详细的实施方案，包含项目的管理方案、实施步骤、项目的保障机制等。</w:t>
      </w:r>
    </w:p>
    <w:p>
      <w:pPr>
        <w:pStyle w:val="966"/>
        <w:spacing w:before="120" w:after="120" w:line="560" w:lineRule="exact"/>
        <w:ind w:firstLine="480"/>
        <w:rPr>
          <w:rFonts w:ascii="宋体" w:hAnsi="宋体" w:cs="宋体"/>
          <w:szCs w:val="24"/>
        </w:rPr>
      </w:pPr>
      <w:r>
        <w:rPr>
          <w:rFonts w:hint="eastAsia" w:ascii="宋体" w:hAnsi="宋体" w:cs="宋体"/>
          <w:szCs w:val="24"/>
        </w:rPr>
        <w:t>2、必须根据本项目的特点和建设内容，组建一支技术经验丰富、人员相对稳定的项目团队为项目建设服务，并在投标文件中确定说明每个人的职责和主要任务。</w:t>
      </w:r>
    </w:p>
    <w:p>
      <w:pPr>
        <w:pStyle w:val="966"/>
        <w:spacing w:before="120" w:after="120" w:line="560" w:lineRule="exact"/>
        <w:ind w:firstLine="480"/>
        <w:rPr>
          <w:rFonts w:ascii="宋体" w:hAnsi="宋体" w:cs="宋体"/>
          <w:szCs w:val="24"/>
        </w:rPr>
      </w:pPr>
      <w:r>
        <w:rPr>
          <w:rFonts w:hint="eastAsia" w:ascii="宋体" w:hAnsi="宋体" w:cs="宋体"/>
          <w:szCs w:val="24"/>
        </w:rPr>
        <w:t>3、为保证本项目的开发和实施顺利进行，要求中标人提供专业的驻场人员进行需求调研、系统开发，解决上线后及试运行期间出现的问题。人数不少于2人，驻场日期为合同签订至项目验收结束。</w:t>
      </w:r>
    </w:p>
    <w:p>
      <w:pPr>
        <w:pStyle w:val="966"/>
        <w:spacing w:before="120" w:after="120" w:line="560" w:lineRule="exact"/>
        <w:ind w:firstLine="480"/>
        <w:rPr>
          <w:rFonts w:ascii="宋体" w:hAnsi="宋体" w:cs="宋体"/>
          <w:szCs w:val="24"/>
        </w:rPr>
      </w:pPr>
      <w:r>
        <w:rPr>
          <w:rFonts w:hint="eastAsia" w:ascii="宋体" w:hAnsi="宋体" w:cs="宋体"/>
          <w:szCs w:val="24"/>
        </w:rPr>
        <w:t>4、本项目实行项目监理制度，在项目实施全过程中，采购人及监理方有对项目进度和质量进行监督控制的职责和权利，中标人应全面配合采购人及及监理方，确保人力、物力的定量投入，定期向采购人及监理方提交最新的进展情况报告。</w:t>
      </w:r>
    </w:p>
    <w:p>
      <w:pPr>
        <w:pStyle w:val="966"/>
        <w:spacing w:before="120" w:after="120" w:line="560" w:lineRule="exact"/>
        <w:ind w:firstLine="480"/>
        <w:rPr>
          <w:rFonts w:ascii="宋体" w:hAnsi="宋体" w:cs="宋体"/>
          <w:szCs w:val="24"/>
        </w:rPr>
      </w:pPr>
      <w:r>
        <w:rPr>
          <w:rFonts w:hint="eastAsia" w:ascii="宋体" w:hAnsi="宋体" w:cs="宋体"/>
          <w:szCs w:val="24"/>
        </w:rPr>
        <w:t>5、对软件的开发应严格按照软件工程规范进行管理。各阶段应提交相应的文档，并经采购人及监理方认可后方可进行下阶段工作。</w:t>
      </w:r>
    </w:p>
    <w:p>
      <w:pPr>
        <w:pStyle w:val="966"/>
        <w:spacing w:before="120" w:after="120" w:line="560" w:lineRule="exact"/>
        <w:ind w:firstLine="480"/>
        <w:rPr>
          <w:rFonts w:ascii="宋体" w:hAnsi="宋体" w:cs="宋体"/>
          <w:szCs w:val="24"/>
        </w:rPr>
      </w:pPr>
      <w:r>
        <w:rPr>
          <w:rFonts w:hint="eastAsia" w:ascii="宋体" w:hAnsi="宋体" w:cs="宋体"/>
          <w:szCs w:val="24"/>
        </w:rPr>
        <w:t>6、应将本项目的所有文档和相关资料移交给采购人，并保证文档的一致性和完整性。</w:t>
      </w:r>
    </w:p>
    <w:p>
      <w:pPr>
        <w:pStyle w:val="966"/>
        <w:spacing w:before="120" w:after="120" w:line="560" w:lineRule="exact"/>
        <w:ind w:firstLine="480"/>
        <w:rPr>
          <w:rFonts w:ascii="宋体" w:hAnsi="宋体" w:cs="宋体"/>
          <w:szCs w:val="24"/>
        </w:rPr>
      </w:pPr>
      <w:r>
        <w:rPr>
          <w:rFonts w:hint="eastAsia" w:ascii="宋体" w:hAnsi="宋体" w:cs="宋体"/>
          <w:szCs w:val="24"/>
        </w:rPr>
        <w:t>7、为确保该项目高质量地如期完成，中标人在系统开发过程中需严格按照ISO质量保证体系，及“软件工程规范”进行开发，并提供项目过程中关键流程、进度偏差控制等管理措施说明。</w:t>
      </w:r>
    </w:p>
    <w:p>
      <w:pPr>
        <w:pStyle w:val="6"/>
        <w:keepNext w:val="0"/>
        <w:keepLines w:val="0"/>
        <w:numPr>
          <w:ilvl w:val="2"/>
          <w:numId w:val="0"/>
        </w:numPr>
        <w:spacing w:before="0" w:after="0" w:line="560" w:lineRule="exact"/>
        <w:rPr>
          <w:rFonts w:ascii="宋体" w:hAnsi="宋体" w:cs="宋体"/>
          <w:sz w:val="24"/>
          <w:szCs w:val="24"/>
        </w:rPr>
      </w:pPr>
      <w:r>
        <w:rPr>
          <w:rFonts w:hint="eastAsia" w:ascii="宋体" w:hAnsi="宋体" w:cs="宋体"/>
          <w:sz w:val="24"/>
          <w:szCs w:val="24"/>
        </w:rPr>
        <w:t>（三）对接要求</w:t>
      </w:r>
    </w:p>
    <w:p>
      <w:pPr>
        <w:pStyle w:val="966"/>
        <w:spacing w:before="120" w:after="120" w:line="560" w:lineRule="exact"/>
        <w:ind w:firstLine="480"/>
        <w:rPr>
          <w:rFonts w:ascii="宋体" w:hAnsi="宋体" w:cs="宋体"/>
          <w:szCs w:val="24"/>
        </w:rPr>
      </w:pPr>
      <w:r>
        <w:rPr>
          <w:rFonts w:hint="eastAsia" w:ascii="宋体" w:hAnsi="宋体" w:cs="宋体"/>
          <w:szCs w:val="24"/>
        </w:rPr>
        <w:t>根据项目需要，与省大数据局、省委网信办监管及指挥平台对接，与省生态环境厅已有安全设备及系统(如态势感知系统、政务云平台、集中管控平台、商用密码服务平台、数据库权限管控系统、省大数据IRS平台等)对接，相关费用包含在本项目中。</w:t>
      </w:r>
    </w:p>
    <w:p>
      <w:pPr>
        <w:pStyle w:val="6"/>
        <w:keepNext w:val="0"/>
        <w:keepLines w:val="0"/>
        <w:numPr>
          <w:ilvl w:val="2"/>
          <w:numId w:val="0"/>
        </w:numPr>
        <w:spacing w:before="0" w:after="0" w:line="560" w:lineRule="exact"/>
        <w:rPr>
          <w:rFonts w:ascii="宋体" w:hAnsi="宋体" w:cs="宋体"/>
          <w:sz w:val="24"/>
          <w:szCs w:val="24"/>
        </w:rPr>
      </w:pPr>
      <w:r>
        <w:rPr>
          <w:rFonts w:hint="eastAsia" w:ascii="宋体" w:hAnsi="宋体" w:cs="宋体"/>
          <w:sz w:val="24"/>
          <w:szCs w:val="24"/>
        </w:rPr>
        <w:t>（四）文档要求</w:t>
      </w:r>
    </w:p>
    <w:p>
      <w:pPr>
        <w:spacing w:before="120" w:after="120" w:line="560" w:lineRule="exact"/>
        <w:ind w:firstLine="560"/>
        <w:rPr>
          <w:rFonts w:ascii="宋体" w:hAnsi="宋体" w:cs="宋体"/>
          <w:sz w:val="24"/>
        </w:rPr>
      </w:pPr>
      <w:r>
        <w:rPr>
          <w:rFonts w:hint="eastAsia" w:ascii="宋体" w:hAnsi="宋体" w:cs="宋体"/>
          <w:sz w:val="24"/>
        </w:rPr>
        <w:t>文档的提交应包括但不限于以下内容：</w:t>
      </w:r>
    </w:p>
    <w:p>
      <w:pPr>
        <w:spacing w:before="120" w:after="120" w:line="560" w:lineRule="exact"/>
        <w:ind w:firstLine="560"/>
        <w:rPr>
          <w:rFonts w:ascii="宋体" w:hAnsi="宋体" w:cs="宋体"/>
          <w:sz w:val="24"/>
        </w:rPr>
      </w:pPr>
      <w:r>
        <w:rPr>
          <w:rFonts w:hint="eastAsia" w:ascii="宋体" w:hAnsi="宋体" w:cs="宋体"/>
          <w:sz w:val="24"/>
        </w:rPr>
        <w:t>技术文档：需求分析报告、系统设计文档、数据库设计文档、系统接口文档、用户手册、测试报告、系统培训资料等。</w:t>
      </w:r>
    </w:p>
    <w:p>
      <w:pPr>
        <w:spacing w:before="120" w:after="120" w:line="560" w:lineRule="exact"/>
        <w:ind w:firstLine="560"/>
        <w:rPr>
          <w:rFonts w:ascii="宋体" w:hAnsi="宋体" w:cs="宋体"/>
          <w:sz w:val="24"/>
        </w:rPr>
      </w:pPr>
      <w:r>
        <w:rPr>
          <w:rFonts w:hint="eastAsia" w:ascii="宋体" w:hAnsi="宋体" w:cs="宋体"/>
          <w:sz w:val="24"/>
        </w:rPr>
        <w:t>管理文档：项目实施计划、工作报告、会议记录等。</w:t>
      </w:r>
    </w:p>
    <w:p>
      <w:pPr>
        <w:spacing w:before="120" w:after="120" w:line="560" w:lineRule="exact"/>
        <w:ind w:firstLine="560"/>
        <w:rPr>
          <w:rFonts w:ascii="宋体" w:hAnsi="宋体" w:cs="宋体"/>
          <w:sz w:val="24"/>
        </w:rPr>
      </w:pPr>
      <w:r>
        <w:rPr>
          <w:rFonts w:hint="eastAsia" w:ascii="宋体" w:hAnsi="宋体" w:cs="宋体"/>
          <w:sz w:val="24"/>
        </w:rPr>
        <w:t>具体以采购人及监理方要求为准。</w:t>
      </w:r>
    </w:p>
    <w:p>
      <w:pPr>
        <w:pStyle w:val="6"/>
        <w:keepNext w:val="0"/>
        <w:keepLines w:val="0"/>
        <w:numPr>
          <w:ilvl w:val="2"/>
          <w:numId w:val="0"/>
        </w:numPr>
        <w:spacing w:before="0" w:after="0" w:line="560" w:lineRule="exact"/>
        <w:rPr>
          <w:rFonts w:ascii="宋体" w:hAnsi="宋体" w:cs="宋体"/>
          <w:sz w:val="24"/>
          <w:szCs w:val="24"/>
        </w:rPr>
      </w:pPr>
      <w:r>
        <w:rPr>
          <w:rFonts w:hint="eastAsia" w:ascii="宋体" w:hAnsi="宋体" w:cs="宋体"/>
          <w:sz w:val="24"/>
          <w:szCs w:val="24"/>
        </w:rPr>
        <w:t>（五）系统测试要求</w:t>
      </w:r>
    </w:p>
    <w:p>
      <w:pPr>
        <w:spacing w:before="120" w:after="120" w:line="560" w:lineRule="exact"/>
        <w:ind w:firstLine="561"/>
        <w:rPr>
          <w:rFonts w:ascii="宋体" w:hAnsi="宋体" w:cs="宋体"/>
          <w:sz w:val="24"/>
        </w:rPr>
      </w:pPr>
      <w:r>
        <w:rPr>
          <w:rFonts w:hint="eastAsia" w:ascii="宋体" w:hAnsi="宋体" w:cs="宋体"/>
          <w:sz w:val="24"/>
        </w:rPr>
        <w:t>1、本项目验收前必须至少经过如下测试，并提供自测报告：</w:t>
      </w:r>
    </w:p>
    <w:p>
      <w:pPr>
        <w:spacing w:before="120" w:after="120" w:line="560" w:lineRule="exact"/>
        <w:ind w:firstLine="561"/>
        <w:rPr>
          <w:rFonts w:ascii="宋体" w:hAnsi="宋体" w:cs="宋体"/>
          <w:sz w:val="24"/>
        </w:rPr>
      </w:pPr>
      <w:r>
        <w:rPr>
          <w:rFonts w:hint="eastAsia" w:ascii="宋体" w:hAnsi="宋体" w:cs="宋体"/>
          <w:sz w:val="24"/>
        </w:rPr>
        <w:t>（1）内部联调集成测试；</w:t>
      </w:r>
    </w:p>
    <w:p>
      <w:pPr>
        <w:spacing w:before="120" w:after="120" w:line="560" w:lineRule="exact"/>
        <w:ind w:firstLine="561"/>
        <w:rPr>
          <w:rFonts w:ascii="宋体" w:hAnsi="宋体" w:cs="宋体"/>
          <w:sz w:val="24"/>
        </w:rPr>
      </w:pPr>
      <w:r>
        <w:rPr>
          <w:rFonts w:hint="eastAsia" w:ascii="宋体" w:hAnsi="宋体" w:cs="宋体"/>
          <w:sz w:val="24"/>
        </w:rPr>
        <w:t>（2）由业务人员参与的功能性测试；</w:t>
      </w:r>
    </w:p>
    <w:p>
      <w:pPr>
        <w:spacing w:before="120" w:after="120" w:line="560" w:lineRule="exact"/>
        <w:ind w:firstLine="561"/>
        <w:rPr>
          <w:rFonts w:ascii="宋体" w:hAnsi="宋体" w:cs="宋体"/>
          <w:sz w:val="24"/>
        </w:rPr>
      </w:pPr>
      <w:r>
        <w:rPr>
          <w:rFonts w:hint="eastAsia" w:ascii="宋体" w:hAnsi="宋体" w:cs="宋体"/>
          <w:sz w:val="24"/>
        </w:rPr>
        <w:t xml:space="preserve">（3）与其它有关系统进行信息互通和资源共享方面的测试（数据接口可用性测试）； </w:t>
      </w:r>
    </w:p>
    <w:p>
      <w:pPr>
        <w:spacing w:before="120" w:after="120" w:line="560" w:lineRule="exact"/>
        <w:ind w:firstLine="561"/>
        <w:rPr>
          <w:rFonts w:ascii="宋体" w:hAnsi="宋体" w:cs="宋体"/>
          <w:sz w:val="24"/>
        </w:rPr>
      </w:pPr>
      <w:r>
        <w:rPr>
          <w:rFonts w:hint="eastAsia" w:ascii="宋体" w:hAnsi="宋体" w:cs="宋体"/>
          <w:sz w:val="24"/>
        </w:rPr>
        <w:t>（5）系统整体性能、兼容性和压力测试；</w:t>
      </w:r>
    </w:p>
    <w:p>
      <w:pPr>
        <w:pStyle w:val="6"/>
        <w:keepNext w:val="0"/>
        <w:keepLines w:val="0"/>
        <w:numPr>
          <w:ilvl w:val="2"/>
          <w:numId w:val="0"/>
        </w:numPr>
        <w:spacing w:before="0" w:after="0" w:line="560" w:lineRule="exact"/>
        <w:rPr>
          <w:rFonts w:ascii="宋体" w:hAnsi="宋体" w:cs="宋体"/>
          <w:sz w:val="24"/>
          <w:szCs w:val="24"/>
        </w:rPr>
      </w:pPr>
      <w:r>
        <w:rPr>
          <w:rFonts w:hint="eastAsia" w:ascii="宋体" w:hAnsi="宋体" w:cs="宋体"/>
          <w:sz w:val="24"/>
          <w:szCs w:val="24"/>
        </w:rPr>
        <w:t>（六）培训要求</w:t>
      </w:r>
    </w:p>
    <w:p>
      <w:pPr>
        <w:overflowPunct w:val="0"/>
        <w:topLinePunct/>
        <w:spacing w:line="560" w:lineRule="exact"/>
        <w:ind w:firstLine="480" w:firstLineChars="200"/>
        <w:rPr>
          <w:rFonts w:ascii="宋体" w:hAnsi="宋体" w:cs="宋体"/>
          <w:sz w:val="24"/>
        </w:rPr>
      </w:pPr>
      <w:r>
        <w:rPr>
          <w:rFonts w:hint="eastAsia" w:ascii="宋体" w:hAnsi="宋体" w:cs="宋体"/>
          <w:sz w:val="24"/>
        </w:rPr>
        <w:t>1、投标人必须为本项目中开发的系统提供安装、使用、维护等方面的培训，应对用户单位有关业务人员提供应用培训，使用户熟练使用系统各项功能。</w:t>
      </w:r>
    </w:p>
    <w:p>
      <w:pPr>
        <w:overflowPunct w:val="0"/>
        <w:topLinePunct/>
        <w:spacing w:line="560" w:lineRule="exact"/>
        <w:ind w:firstLine="480" w:firstLineChars="200"/>
        <w:rPr>
          <w:rFonts w:ascii="宋体" w:hAnsi="宋体" w:cs="宋体"/>
          <w:sz w:val="24"/>
        </w:rPr>
      </w:pPr>
      <w:r>
        <w:rPr>
          <w:rFonts w:hint="eastAsia" w:ascii="宋体" w:hAnsi="宋体" w:cs="宋体"/>
          <w:sz w:val="24"/>
        </w:rPr>
        <w:t>2、投标人应负责提供培训计划，培训资料，包括：电子媒体和手册等资料，投标人应为每位受训人员免费发放培训资料，用户单位有权在系统内部使用这些资料。培训内容包括应用系统日常应用、维护培训和系统管理等培训。所有培训费用包含在本次项目中。</w:t>
      </w:r>
    </w:p>
    <w:p>
      <w:pPr>
        <w:pStyle w:val="6"/>
        <w:keepNext w:val="0"/>
        <w:keepLines w:val="0"/>
        <w:numPr>
          <w:ilvl w:val="2"/>
          <w:numId w:val="0"/>
        </w:numPr>
        <w:spacing w:before="0" w:after="0" w:line="560" w:lineRule="exact"/>
        <w:rPr>
          <w:rFonts w:ascii="宋体" w:hAnsi="宋体" w:cs="宋体"/>
          <w:sz w:val="24"/>
          <w:szCs w:val="24"/>
        </w:rPr>
      </w:pPr>
      <w:r>
        <w:rPr>
          <w:rFonts w:hint="eastAsia" w:ascii="宋体" w:hAnsi="宋体" w:cs="宋体"/>
          <w:sz w:val="24"/>
          <w:szCs w:val="24"/>
        </w:rPr>
        <w:t>（七）验收要求</w:t>
      </w:r>
    </w:p>
    <w:p>
      <w:pPr>
        <w:spacing w:before="120" w:after="120" w:line="560" w:lineRule="exact"/>
        <w:ind w:firstLine="560"/>
        <w:rPr>
          <w:rFonts w:ascii="宋体" w:hAnsi="宋体" w:cs="宋体"/>
          <w:sz w:val="24"/>
        </w:rPr>
      </w:pPr>
      <w:r>
        <w:rPr>
          <w:rFonts w:hint="eastAsia" w:ascii="宋体" w:hAnsi="宋体" w:cs="宋体"/>
          <w:sz w:val="24"/>
        </w:rPr>
        <w:t>项目验收工作由包括采购人、专家和投标人等在内的项目验收小组来完成，具体成员和组织形式由采购人确定。</w:t>
      </w:r>
    </w:p>
    <w:p>
      <w:pPr>
        <w:spacing w:before="120" w:after="120" w:line="560" w:lineRule="exact"/>
        <w:ind w:firstLine="560"/>
        <w:rPr>
          <w:rFonts w:ascii="宋体" w:hAnsi="宋体" w:cs="宋体"/>
          <w:sz w:val="24"/>
        </w:rPr>
      </w:pPr>
      <w:r>
        <w:rPr>
          <w:rFonts w:hint="eastAsia" w:ascii="宋体" w:hAnsi="宋体" w:cs="宋体"/>
          <w:sz w:val="24"/>
        </w:rPr>
        <w:t>1、试运行。项目完成部署实施初验后进入试运行，试运行期为3个月。试运行期间，投标人应进行全程跟踪，提供全面技术支持服务，确保试运行的顺利进行。如发生故障给采购人造成损失的，投标人应当承担损失赔偿责任。在试运行期间，投标人应当根据需求规格要求，不断修改和完善软件的功能和性能，直至采购人满意。</w:t>
      </w:r>
    </w:p>
    <w:p>
      <w:pPr>
        <w:spacing w:before="120" w:after="120" w:line="560" w:lineRule="exact"/>
        <w:ind w:firstLine="560"/>
        <w:rPr>
          <w:rFonts w:ascii="宋体" w:hAnsi="宋体" w:cs="宋体"/>
          <w:sz w:val="24"/>
        </w:rPr>
      </w:pPr>
      <w:r>
        <w:rPr>
          <w:rFonts w:hint="eastAsia" w:ascii="宋体" w:hAnsi="宋体" w:cs="宋体"/>
          <w:sz w:val="24"/>
        </w:rPr>
        <w:t>2、项目验收。试运行期后，投标人向采购人提交试运行报告和项目验收申请，采购人组织验收。验收时，投标人应至少提供相关的纸质技术资料。</w:t>
      </w:r>
    </w:p>
    <w:p>
      <w:pPr>
        <w:spacing w:before="120" w:after="120" w:line="560" w:lineRule="exact"/>
        <w:ind w:firstLine="560"/>
        <w:rPr>
          <w:rFonts w:ascii="宋体" w:hAnsi="宋体" w:cs="宋体"/>
          <w:sz w:val="24"/>
        </w:rPr>
      </w:pPr>
      <w:r>
        <w:rPr>
          <w:rFonts w:hint="eastAsia" w:ascii="宋体" w:hAnsi="宋体" w:cs="宋体"/>
          <w:sz w:val="24"/>
        </w:rPr>
        <w:t>3、投标人在本项目投标总报价中应包含项目有关验收费用，也包括相关管理部门对项目竣工验收所需的等材料编制费用。</w:t>
      </w:r>
    </w:p>
    <w:p>
      <w:pPr>
        <w:pStyle w:val="5"/>
        <w:spacing w:line="560" w:lineRule="exact"/>
        <w:rPr>
          <w:rFonts w:ascii="宋体" w:hAnsi="宋体" w:eastAsia="宋体" w:cs="宋体"/>
          <w:sz w:val="24"/>
          <w:szCs w:val="24"/>
        </w:rPr>
      </w:pPr>
      <w:r>
        <w:rPr>
          <w:rFonts w:hint="eastAsia" w:ascii="宋体" w:hAnsi="宋体" w:eastAsia="宋体" w:cs="宋体"/>
          <w:sz w:val="24"/>
          <w:szCs w:val="24"/>
        </w:rPr>
        <w:t>六、售后服务要求</w:t>
      </w:r>
    </w:p>
    <w:p>
      <w:pPr>
        <w:overflowPunct w:val="0"/>
        <w:topLinePunct/>
        <w:spacing w:line="560" w:lineRule="exact"/>
        <w:ind w:firstLine="600" w:firstLineChars="250"/>
        <w:rPr>
          <w:rFonts w:ascii="宋体" w:hAnsi="宋体" w:cs="宋体"/>
          <w:sz w:val="24"/>
        </w:rPr>
      </w:pPr>
      <w:r>
        <w:rPr>
          <w:rFonts w:hint="eastAsia" w:ascii="宋体" w:hAnsi="宋体" w:cs="宋体"/>
          <w:sz w:val="24"/>
        </w:rPr>
        <w:t>1、本项目系统软件质保期为1年，自用户验收合格之日起计算。质保期间，供应商需免费为采购人进行版本升级、软件维护、数据维护，使用培训等服务。</w:t>
      </w:r>
    </w:p>
    <w:p>
      <w:pPr>
        <w:overflowPunct w:val="0"/>
        <w:topLinePunct/>
        <w:spacing w:line="560" w:lineRule="exact"/>
        <w:ind w:firstLine="480" w:firstLineChars="200"/>
        <w:rPr>
          <w:rFonts w:ascii="宋体" w:hAnsi="宋体" w:cs="宋体"/>
          <w:sz w:val="24"/>
        </w:rPr>
      </w:pPr>
      <w:r>
        <w:rPr>
          <w:rFonts w:hint="eastAsia" w:ascii="宋体" w:hAnsi="宋体" w:cs="宋体"/>
          <w:sz w:val="24"/>
        </w:rPr>
        <w:t>2、质保期满后，供应商如需继续为采购人提供系统维护服务的，由此发生的费用由采购人承担。</w:t>
      </w:r>
    </w:p>
    <w:p>
      <w:pPr>
        <w:pStyle w:val="5"/>
        <w:spacing w:line="560" w:lineRule="exact"/>
        <w:rPr>
          <w:rFonts w:ascii="宋体" w:hAnsi="宋体" w:eastAsia="宋体" w:cs="宋体"/>
          <w:sz w:val="24"/>
          <w:szCs w:val="24"/>
        </w:rPr>
      </w:pPr>
      <w:r>
        <w:rPr>
          <w:rFonts w:hint="eastAsia" w:ascii="宋体" w:hAnsi="宋体" w:eastAsia="宋体" w:cs="宋体"/>
          <w:sz w:val="24"/>
          <w:szCs w:val="24"/>
        </w:rPr>
        <w:t>七、其他要求</w:t>
      </w:r>
    </w:p>
    <w:p>
      <w:pPr>
        <w:spacing w:line="560" w:lineRule="exact"/>
        <w:rPr>
          <w:rFonts w:ascii="宋体" w:hAnsi="宋体" w:cs="宋体"/>
          <w:sz w:val="24"/>
        </w:rPr>
      </w:pPr>
      <w:r>
        <w:rPr>
          <w:rFonts w:hint="eastAsia" w:ascii="宋体" w:hAnsi="宋体" w:cs="宋体"/>
          <w:sz w:val="24"/>
        </w:rPr>
        <w:t>1、知识产权</w:t>
      </w:r>
    </w:p>
    <w:p>
      <w:pPr>
        <w:spacing w:line="560" w:lineRule="exact"/>
        <w:ind w:firstLine="480" w:firstLineChars="200"/>
        <w:rPr>
          <w:rFonts w:ascii="宋体" w:hAnsi="宋体" w:cs="宋体"/>
          <w:sz w:val="24"/>
        </w:rPr>
      </w:pPr>
      <w:r>
        <w:rPr>
          <w:rFonts w:hint="eastAsia" w:ascii="宋体" w:hAnsi="宋体" w:cs="宋体"/>
          <w:sz w:val="24"/>
        </w:rPr>
        <w:t>在本项目过程中所产生的技术成果（包括软件、技术资料等）的知识产权、版权包括相关权益归采购人所有，未经同意，不得将涉及知识产权的技术秘密透露给第三方。响应方有不可争议的义务确保采购人依据本次采购所获得的知识产权不存在任何瑕疵并且可以不受限制地行使相关权利，包括各项延伸权利。</w:t>
      </w:r>
    </w:p>
    <w:p>
      <w:pPr>
        <w:spacing w:line="560" w:lineRule="exact"/>
        <w:rPr>
          <w:rFonts w:ascii="宋体" w:hAnsi="宋体" w:cs="宋体"/>
          <w:sz w:val="24"/>
        </w:rPr>
      </w:pPr>
      <w:r>
        <w:rPr>
          <w:rFonts w:hint="eastAsia" w:ascii="宋体" w:hAnsi="宋体" w:cs="宋体"/>
          <w:sz w:val="24"/>
        </w:rPr>
        <w:t>2、保密要求</w:t>
      </w:r>
    </w:p>
    <w:p>
      <w:pPr>
        <w:spacing w:line="560" w:lineRule="exact"/>
        <w:ind w:firstLine="480" w:firstLineChars="200"/>
        <w:rPr>
          <w:rFonts w:ascii="宋体" w:hAnsi="宋体" w:cs="宋体"/>
          <w:sz w:val="24"/>
        </w:rPr>
      </w:pPr>
      <w:r>
        <w:rPr>
          <w:rFonts w:hint="eastAsia" w:ascii="宋体" w:hAnsi="宋体" w:cs="宋体"/>
          <w:sz w:val="24"/>
        </w:rPr>
        <w:t>投标人必须对项目技术文件以及由采购人提供的所有内部资料、技术文档、数据和信息予以保密。投标人必须遵守与采购人签订的保密协议，未经采购人书面许可，投标人不得以任何形式向第三方透露本项目标书以及本项目的任何内容。未经采购人同意，不得将采购人的数据透露给第三方或利用采购人的数据从事盈利性工作。</w:t>
      </w:r>
      <w:r>
        <w:rPr>
          <w:rFonts w:hint="eastAsia" w:ascii="宋体" w:hAnsi="宋体" w:cs="宋体"/>
          <w:sz w:val="24"/>
        </w:rPr>
        <w:br w:type="textWrapping"/>
      </w:r>
      <w:r>
        <w:rPr>
          <w:rFonts w:hint="eastAsia" w:ascii="宋体" w:hAnsi="宋体" w:cs="宋体"/>
          <w:sz w:val="24"/>
        </w:rPr>
        <w:t>八、商务要求</w:t>
      </w:r>
    </w:p>
    <w:p>
      <w:pPr>
        <w:spacing w:line="560" w:lineRule="exact"/>
        <w:ind w:firstLine="480" w:firstLineChars="200"/>
        <w:rPr>
          <w:rFonts w:ascii="宋体" w:hAnsi="宋体" w:cs="宋体"/>
          <w:sz w:val="24"/>
        </w:rPr>
      </w:pPr>
      <w:r>
        <w:rPr>
          <w:rFonts w:hint="eastAsia" w:ascii="宋体" w:hAnsi="宋体" w:cs="宋体"/>
          <w:sz w:val="24"/>
        </w:rPr>
        <w:t>1、项目进度安排：整体项目建设周期为自采购合同签订之日起5个月完成项目开发部署初验，试运行3个月后进行项目终验。</w:t>
      </w:r>
    </w:p>
    <w:p>
      <w:pPr>
        <w:pStyle w:val="967"/>
        <w:spacing w:line="560" w:lineRule="exact"/>
        <w:ind w:firstLine="480" w:firstLineChars="200"/>
        <w:rPr>
          <w:rFonts w:ascii="宋体" w:hAnsi="宋体"/>
          <w:sz w:val="24"/>
          <w:szCs w:val="24"/>
        </w:rPr>
      </w:pPr>
      <w:r>
        <w:rPr>
          <w:rFonts w:hint="eastAsia" w:ascii="宋体" w:hAnsi="宋体"/>
          <w:sz w:val="24"/>
          <w:szCs w:val="24"/>
        </w:rPr>
        <w:t>2、履约保证金：无。</w:t>
      </w:r>
    </w:p>
    <w:p>
      <w:pPr>
        <w:pStyle w:val="967"/>
        <w:spacing w:line="560" w:lineRule="exact"/>
        <w:ind w:firstLine="480" w:firstLineChars="200"/>
        <w:rPr>
          <w:rFonts w:ascii="宋体" w:hAnsi="宋体"/>
          <w:sz w:val="24"/>
          <w:szCs w:val="24"/>
        </w:rPr>
      </w:pPr>
      <w:r>
        <w:rPr>
          <w:rFonts w:hint="eastAsia" w:ascii="宋体" w:hAnsi="宋体"/>
          <w:sz w:val="24"/>
          <w:szCs w:val="24"/>
        </w:rPr>
        <w:t>3、合同款项支付：分两次支付，合同签订后支付8万元，2023年度财政资金下达且项目终验后，支付合同尾款。</w:t>
      </w:r>
    </w:p>
    <w:p>
      <w:pPr>
        <w:pStyle w:val="967"/>
        <w:spacing w:line="560" w:lineRule="exact"/>
        <w:ind w:firstLine="480" w:firstLineChars="200"/>
        <w:rPr>
          <w:rFonts w:ascii="宋体" w:hAnsi="宋体"/>
          <w:sz w:val="24"/>
          <w:szCs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ascii="宋体" w:hAnsi="宋体"/>
          <w:sz w:val="24"/>
          <w:szCs w:val="24"/>
        </w:rPr>
        <w:t>4、质保期为项目验收合格后一年。</w:t>
      </w:r>
      <w:bookmarkEnd w:id="38"/>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第四部分</w:t>
      </w:r>
      <w:bookmarkStart w:id="41" w:name="_Toc184310307"/>
      <w:bookmarkEnd w:id="41"/>
      <w:bookmarkStart w:id="42" w:name="_Toc184312073"/>
      <w:bookmarkEnd w:id="42"/>
      <w:bookmarkStart w:id="43" w:name="_Toc184314442"/>
      <w:bookmarkEnd w:id="43"/>
      <w:bookmarkStart w:id="44" w:name="_Toc184310282"/>
      <w:bookmarkEnd w:id="44"/>
      <w:bookmarkStart w:id="45" w:name="_Toc184314476"/>
      <w:bookmarkEnd w:id="45"/>
      <w:bookmarkStart w:id="46" w:name="_Toc184310330"/>
      <w:bookmarkEnd w:id="46"/>
      <w:bookmarkStart w:id="47" w:name="_Toc184310319"/>
      <w:bookmarkEnd w:id="47"/>
      <w:bookmarkStart w:id="48" w:name="_Toc184310306"/>
      <w:bookmarkEnd w:id="48"/>
      <w:bookmarkStart w:id="49" w:name="_Toc184312129"/>
      <w:bookmarkEnd w:id="49"/>
      <w:bookmarkStart w:id="50" w:name="_Toc184314444"/>
      <w:bookmarkEnd w:id="50"/>
      <w:bookmarkStart w:id="51" w:name="_Toc184314453"/>
      <w:bookmarkEnd w:id="51"/>
      <w:bookmarkStart w:id="52" w:name="_Toc184308053"/>
      <w:bookmarkEnd w:id="52"/>
      <w:bookmarkStart w:id="53" w:name="_Toc184314475"/>
      <w:bookmarkEnd w:id="53"/>
      <w:bookmarkStart w:id="54" w:name="_Toc184312131"/>
      <w:bookmarkEnd w:id="54"/>
      <w:bookmarkStart w:id="55" w:name="_Toc184310318"/>
      <w:bookmarkEnd w:id="55"/>
      <w:bookmarkStart w:id="56" w:name="_Toc184310274"/>
      <w:bookmarkEnd w:id="56"/>
      <w:bookmarkStart w:id="57" w:name="_Toc184310283"/>
      <w:bookmarkEnd w:id="57"/>
      <w:bookmarkStart w:id="58" w:name="_Toc184308099"/>
      <w:bookmarkEnd w:id="58"/>
      <w:bookmarkStart w:id="59" w:name="_Toc184312104"/>
      <w:bookmarkEnd w:id="59"/>
      <w:bookmarkStart w:id="60" w:name="_Toc184308064"/>
      <w:bookmarkEnd w:id="60"/>
      <w:bookmarkStart w:id="61" w:name="_Toc184308104"/>
      <w:bookmarkEnd w:id="61"/>
      <w:bookmarkStart w:id="62" w:name="_Toc184310276"/>
      <w:bookmarkEnd w:id="62"/>
      <w:bookmarkStart w:id="63" w:name="_Toc184314482"/>
      <w:bookmarkEnd w:id="63"/>
      <w:bookmarkStart w:id="64" w:name="_Toc184312099"/>
      <w:bookmarkEnd w:id="64"/>
      <w:bookmarkStart w:id="65" w:name="_Toc184312067"/>
      <w:bookmarkEnd w:id="65"/>
      <w:bookmarkStart w:id="66" w:name="_Toc184314462"/>
      <w:bookmarkEnd w:id="66"/>
      <w:bookmarkStart w:id="67" w:name="_Toc184308100"/>
      <w:bookmarkEnd w:id="67"/>
      <w:bookmarkStart w:id="68" w:name="_Toc184313275"/>
      <w:bookmarkEnd w:id="68"/>
      <w:bookmarkStart w:id="69" w:name="_Toc184308078"/>
      <w:bookmarkEnd w:id="69"/>
      <w:bookmarkStart w:id="70" w:name="_Toc184308051"/>
      <w:bookmarkEnd w:id="70"/>
      <w:bookmarkStart w:id="71" w:name="_Toc184314450"/>
      <w:bookmarkEnd w:id="71"/>
      <w:bookmarkStart w:id="72" w:name="_Toc184310331"/>
      <w:bookmarkEnd w:id="72"/>
      <w:bookmarkStart w:id="73" w:name="_Toc184310334"/>
      <w:bookmarkEnd w:id="73"/>
      <w:bookmarkStart w:id="74" w:name="_Toc184312112"/>
      <w:bookmarkEnd w:id="74"/>
      <w:bookmarkStart w:id="75" w:name="_Toc184310332"/>
      <w:bookmarkEnd w:id="75"/>
      <w:bookmarkStart w:id="76" w:name="_Toc184314411"/>
      <w:bookmarkEnd w:id="76"/>
      <w:bookmarkStart w:id="77" w:name="_Toc184310323"/>
      <w:bookmarkEnd w:id="77"/>
      <w:bookmarkStart w:id="78" w:name="_Toc184310335"/>
      <w:bookmarkEnd w:id="78"/>
      <w:bookmarkStart w:id="79" w:name="_Toc184312106"/>
      <w:bookmarkEnd w:id="79"/>
      <w:bookmarkStart w:id="80" w:name="_Toc184313303"/>
      <w:bookmarkEnd w:id="80"/>
      <w:bookmarkStart w:id="81" w:name="_Toc184312093"/>
      <w:bookmarkEnd w:id="81"/>
      <w:bookmarkStart w:id="82" w:name="_Toc184310280"/>
      <w:bookmarkEnd w:id="82"/>
      <w:bookmarkStart w:id="83" w:name="_Toc184308094"/>
      <w:bookmarkEnd w:id="83"/>
      <w:bookmarkStart w:id="84" w:name="_Toc184308093"/>
      <w:bookmarkEnd w:id="84"/>
      <w:bookmarkStart w:id="85" w:name="_Toc184313289"/>
      <w:bookmarkEnd w:id="85"/>
      <w:bookmarkStart w:id="86" w:name="_Toc184314436"/>
      <w:bookmarkEnd w:id="86"/>
      <w:bookmarkStart w:id="87" w:name="_Toc184313242"/>
      <w:bookmarkEnd w:id="87"/>
      <w:bookmarkStart w:id="88" w:name="_Toc184313263"/>
      <w:bookmarkEnd w:id="88"/>
      <w:bookmarkStart w:id="89" w:name="_Toc184314451"/>
      <w:bookmarkEnd w:id="89"/>
      <w:bookmarkStart w:id="90" w:name="_Toc184313254"/>
      <w:bookmarkEnd w:id="90"/>
      <w:bookmarkStart w:id="91" w:name="_Toc184310290"/>
      <w:bookmarkEnd w:id="91"/>
      <w:bookmarkStart w:id="92" w:name="_Toc184314417"/>
      <w:bookmarkEnd w:id="92"/>
      <w:bookmarkStart w:id="93" w:name="_Toc184312095"/>
      <w:bookmarkEnd w:id="93"/>
      <w:bookmarkStart w:id="94" w:name="_Toc184314425"/>
      <w:bookmarkEnd w:id="94"/>
      <w:bookmarkStart w:id="95" w:name="_Toc184313266"/>
      <w:bookmarkEnd w:id="95"/>
      <w:bookmarkStart w:id="96" w:name="_Toc184310320"/>
      <w:bookmarkEnd w:id="96"/>
      <w:bookmarkStart w:id="97" w:name="_Toc184308091"/>
      <w:bookmarkEnd w:id="97"/>
      <w:bookmarkStart w:id="98" w:name="_Toc184308059"/>
      <w:bookmarkEnd w:id="98"/>
      <w:bookmarkStart w:id="99" w:name="_Toc184313282"/>
      <w:bookmarkEnd w:id="99"/>
      <w:bookmarkStart w:id="100" w:name="_Toc184310315"/>
      <w:bookmarkEnd w:id="100"/>
      <w:bookmarkStart w:id="101" w:name="_Toc184313259"/>
      <w:bookmarkEnd w:id="101"/>
      <w:bookmarkStart w:id="102" w:name="_Toc184312072"/>
      <w:bookmarkEnd w:id="102"/>
      <w:bookmarkStart w:id="103" w:name="_Toc184313253"/>
      <w:bookmarkEnd w:id="103"/>
      <w:bookmarkStart w:id="104" w:name="_Toc184314438"/>
      <w:bookmarkEnd w:id="104"/>
      <w:bookmarkStart w:id="105" w:name="_Toc184314446"/>
      <w:bookmarkEnd w:id="105"/>
      <w:bookmarkStart w:id="106" w:name="_Toc184308045"/>
      <w:bookmarkEnd w:id="106"/>
      <w:bookmarkStart w:id="107" w:name="_Toc184313271"/>
      <w:bookmarkEnd w:id="107"/>
      <w:bookmarkStart w:id="108" w:name="_Toc184310277"/>
      <w:bookmarkEnd w:id="108"/>
      <w:bookmarkStart w:id="109" w:name="_Toc184312122"/>
      <w:bookmarkEnd w:id="109"/>
      <w:bookmarkStart w:id="110" w:name="_Toc184313244"/>
      <w:bookmarkEnd w:id="110"/>
      <w:bookmarkStart w:id="111" w:name="_Toc184312135"/>
      <w:bookmarkEnd w:id="111"/>
      <w:bookmarkStart w:id="112" w:name="_Toc184310322"/>
      <w:bookmarkEnd w:id="112"/>
      <w:bookmarkStart w:id="113" w:name="_Toc184313268"/>
      <w:bookmarkEnd w:id="113"/>
      <w:bookmarkStart w:id="114" w:name="_Toc184312126"/>
      <w:bookmarkEnd w:id="114"/>
      <w:bookmarkStart w:id="115" w:name="_Toc184308042"/>
      <w:bookmarkEnd w:id="115"/>
      <w:bookmarkStart w:id="116" w:name="_Toc184314481"/>
      <w:bookmarkEnd w:id="116"/>
      <w:bookmarkStart w:id="117" w:name="_Toc184308092"/>
      <w:bookmarkEnd w:id="117"/>
      <w:bookmarkStart w:id="118" w:name="_Toc184314422"/>
      <w:bookmarkEnd w:id="118"/>
      <w:bookmarkStart w:id="119" w:name="_Toc184308087"/>
      <w:bookmarkEnd w:id="119"/>
      <w:bookmarkStart w:id="120" w:name="_Toc184313280"/>
      <w:bookmarkEnd w:id="120"/>
      <w:bookmarkStart w:id="121" w:name="_Toc184312076"/>
      <w:bookmarkEnd w:id="121"/>
      <w:bookmarkStart w:id="122" w:name="_Toc184313310"/>
      <w:bookmarkEnd w:id="122"/>
      <w:bookmarkStart w:id="123" w:name="_Toc184308081"/>
      <w:bookmarkEnd w:id="123"/>
      <w:bookmarkStart w:id="124" w:name="_Toc184313290"/>
      <w:bookmarkEnd w:id="124"/>
      <w:bookmarkStart w:id="125" w:name="_Toc184308048"/>
      <w:bookmarkEnd w:id="125"/>
      <w:bookmarkStart w:id="126" w:name="_Toc184313257"/>
      <w:bookmarkEnd w:id="126"/>
      <w:bookmarkStart w:id="127" w:name="_Toc184314449"/>
      <w:bookmarkEnd w:id="127"/>
      <w:bookmarkStart w:id="128" w:name="_Toc184312068"/>
      <w:bookmarkEnd w:id="128"/>
      <w:bookmarkStart w:id="129" w:name="_Toc184313301"/>
      <w:bookmarkEnd w:id="129"/>
      <w:bookmarkStart w:id="130" w:name="_Toc184312107"/>
      <w:bookmarkEnd w:id="130"/>
      <w:bookmarkStart w:id="131" w:name="_Toc184312086"/>
      <w:bookmarkEnd w:id="131"/>
      <w:bookmarkStart w:id="132" w:name="_Toc184310336"/>
      <w:bookmarkEnd w:id="132"/>
      <w:bookmarkStart w:id="133" w:name="_Toc184310288"/>
      <w:bookmarkEnd w:id="133"/>
      <w:bookmarkStart w:id="134" w:name="_Toc184310333"/>
      <w:bookmarkEnd w:id="134"/>
      <w:bookmarkStart w:id="135" w:name="_Toc184314432"/>
      <w:bookmarkEnd w:id="135"/>
      <w:bookmarkStart w:id="136" w:name="_Toc184310313"/>
      <w:bookmarkEnd w:id="136"/>
      <w:bookmarkStart w:id="137" w:name="_Toc184314469"/>
      <w:bookmarkEnd w:id="137"/>
      <w:bookmarkStart w:id="138" w:name="_Toc184308105"/>
      <w:bookmarkEnd w:id="138"/>
      <w:bookmarkStart w:id="139" w:name="_Toc184314433"/>
      <w:bookmarkEnd w:id="139"/>
      <w:bookmarkStart w:id="140" w:name="_Toc184314457"/>
      <w:bookmarkEnd w:id="140"/>
      <w:bookmarkStart w:id="141" w:name="_Toc184310293"/>
      <w:bookmarkEnd w:id="141"/>
      <w:bookmarkStart w:id="142" w:name="_Toc184313264"/>
      <w:bookmarkEnd w:id="142"/>
      <w:bookmarkStart w:id="143" w:name="_Toc184308055"/>
      <w:bookmarkEnd w:id="143"/>
      <w:bookmarkStart w:id="144" w:name="_Toc184312102"/>
      <w:bookmarkEnd w:id="144"/>
      <w:bookmarkStart w:id="145" w:name="_Toc184310309"/>
      <w:bookmarkEnd w:id="145"/>
      <w:bookmarkStart w:id="146" w:name="_Toc184308044"/>
      <w:bookmarkEnd w:id="146"/>
      <w:bookmarkStart w:id="147" w:name="_Toc184310275"/>
      <w:bookmarkEnd w:id="147"/>
      <w:bookmarkStart w:id="148" w:name="_Toc184314416"/>
      <w:bookmarkEnd w:id="148"/>
      <w:bookmarkStart w:id="149" w:name="_Toc184310289"/>
      <w:bookmarkEnd w:id="149"/>
      <w:bookmarkStart w:id="150" w:name="_Toc184314461"/>
      <w:bookmarkEnd w:id="150"/>
      <w:bookmarkStart w:id="151" w:name="_Toc184308058"/>
      <w:bookmarkEnd w:id="151"/>
      <w:bookmarkStart w:id="152" w:name="_Toc184310342"/>
      <w:bookmarkEnd w:id="152"/>
      <w:bookmarkStart w:id="153" w:name="_Toc184310308"/>
      <w:bookmarkEnd w:id="153"/>
      <w:bookmarkStart w:id="154" w:name="_Toc184308074"/>
      <w:bookmarkEnd w:id="154"/>
      <w:bookmarkStart w:id="155" w:name="_Toc184308041"/>
      <w:bookmarkEnd w:id="155"/>
      <w:bookmarkStart w:id="156" w:name="_Toc184313296"/>
      <w:bookmarkEnd w:id="156"/>
      <w:bookmarkStart w:id="157" w:name="_Toc184308103"/>
      <w:bookmarkEnd w:id="157"/>
      <w:bookmarkStart w:id="158" w:name="_Toc184308082"/>
      <w:bookmarkEnd w:id="158"/>
      <w:bookmarkStart w:id="159" w:name="_Toc184308070"/>
      <w:bookmarkEnd w:id="159"/>
      <w:bookmarkStart w:id="160" w:name="_Toc184313288"/>
      <w:bookmarkEnd w:id="160"/>
      <w:bookmarkStart w:id="161" w:name="_Toc184310305"/>
      <w:bookmarkEnd w:id="161"/>
      <w:bookmarkStart w:id="162" w:name="_Toc184312091"/>
      <w:bookmarkEnd w:id="162"/>
      <w:bookmarkStart w:id="163" w:name="_Toc184314463"/>
      <w:bookmarkEnd w:id="163"/>
      <w:bookmarkStart w:id="164" w:name="_Toc184314480"/>
      <w:bookmarkEnd w:id="164"/>
      <w:bookmarkStart w:id="165" w:name="_Toc184310278"/>
      <w:bookmarkEnd w:id="165"/>
      <w:bookmarkStart w:id="166" w:name="_Toc184310317"/>
      <w:bookmarkEnd w:id="166"/>
      <w:bookmarkStart w:id="167" w:name="_Toc184312116"/>
      <w:bookmarkEnd w:id="167"/>
      <w:bookmarkStart w:id="168" w:name="_Toc184310314"/>
      <w:bookmarkEnd w:id="168"/>
      <w:bookmarkStart w:id="169" w:name="_Toc184313291"/>
      <w:bookmarkEnd w:id="169"/>
      <w:bookmarkStart w:id="170" w:name="_Toc184310341"/>
      <w:bookmarkEnd w:id="170"/>
      <w:bookmarkStart w:id="171" w:name="_Toc184310273"/>
      <w:bookmarkEnd w:id="171"/>
      <w:bookmarkStart w:id="172" w:name="_Toc184313281"/>
      <w:bookmarkEnd w:id="172"/>
      <w:bookmarkStart w:id="173" w:name="_Toc184314472"/>
      <w:bookmarkEnd w:id="173"/>
      <w:bookmarkStart w:id="174" w:name="_Toc184312101"/>
      <w:bookmarkEnd w:id="174"/>
      <w:bookmarkStart w:id="175" w:name="_Toc184313243"/>
      <w:bookmarkEnd w:id="175"/>
      <w:bookmarkStart w:id="176" w:name="_Toc184312071"/>
      <w:bookmarkEnd w:id="176"/>
      <w:bookmarkStart w:id="177" w:name="_Toc184313252"/>
      <w:bookmarkEnd w:id="177"/>
      <w:bookmarkStart w:id="178" w:name="_Toc184313270"/>
      <w:bookmarkEnd w:id="178"/>
      <w:bookmarkStart w:id="179" w:name="_Toc184310344"/>
      <w:bookmarkEnd w:id="179"/>
      <w:bookmarkStart w:id="180" w:name="_Toc184308089"/>
      <w:bookmarkEnd w:id="180"/>
      <w:bookmarkStart w:id="181" w:name="_Toc184314419"/>
      <w:bookmarkEnd w:id="181"/>
      <w:bookmarkStart w:id="182" w:name="_Toc184310281"/>
      <w:bookmarkEnd w:id="182"/>
      <w:bookmarkStart w:id="183" w:name="_Toc184312123"/>
      <w:bookmarkEnd w:id="183"/>
      <w:bookmarkStart w:id="184" w:name="_Toc184308079"/>
      <w:bookmarkEnd w:id="184"/>
      <w:bookmarkStart w:id="185" w:name="_Toc184308096"/>
      <w:bookmarkEnd w:id="185"/>
      <w:bookmarkStart w:id="186" w:name="_Toc184308101"/>
      <w:bookmarkEnd w:id="186"/>
      <w:bookmarkStart w:id="187" w:name="_Toc184312096"/>
      <w:bookmarkEnd w:id="187"/>
      <w:bookmarkStart w:id="188" w:name="_Toc184314410"/>
      <w:bookmarkEnd w:id="188"/>
      <w:bookmarkStart w:id="189" w:name="_Toc184308043"/>
      <w:bookmarkEnd w:id="189"/>
      <w:bookmarkStart w:id="190" w:name="_Toc184308067"/>
      <w:bookmarkEnd w:id="190"/>
      <w:bookmarkStart w:id="191" w:name="_Toc184313250"/>
      <w:bookmarkEnd w:id="191"/>
      <w:bookmarkStart w:id="192" w:name="_Toc184310286"/>
      <w:bookmarkEnd w:id="192"/>
      <w:bookmarkStart w:id="193" w:name="_Toc184313294"/>
      <w:bookmarkEnd w:id="193"/>
      <w:bookmarkStart w:id="194" w:name="_Toc184313284"/>
      <w:bookmarkEnd w:id="194"/>
      <w:bookmarkStart w:id="195" w:name="_Toc184314435"/>
      <w:bookmarkEnd w:id="195"/>
      <w:bookmarkStart w:id="196" w:name="_Toc184313292"/>
      <w:bookmarkEnd w:id="196"/>
      <w:bookmarkStart w:id="197" w:name="_Toc184314468"/>
      <w:bookmarkEnd w:id="197"/>
      <w:bookmarkStart w:id="198" w:name="_Toc184314471"/>
      <w:bookmarkEnd w:id="198"/>
      <w:bookmarkStart w:id="199" w:name="_Toc184312124"/>
      <w:bookmarkEnd w:id="199"/>
      <w:bookmarkStart w:id="200" w:name="_Toc184312108"/>
      <w:bookmarkEnd w:id="200"/>
      <w:bookmarkStart w:id="201" w:name="_Toc184313273"/>
      <w:bookmarkEnd w:id="201"/>
      <w:bookmarkStart w:id="202" w:name="_Toc184308084"/>
      <w:bookmarkEnd w:id="202"/>
      <w:bookmarkStart w:id="203" w:name="_Toc184314466"/>
      <w:bookmarkEnd w:id="203"/>
      <w:bookmarkStart w:id="204" w:name="_Toc184310272"/>
      <w:bookmarkEnd w:id="204"/>
      <w:bookmarkStart w:id="205" w:name="_Toc184312069"/>
      <w:bookmarkEnd w:id="205"/>
      <w:bookmarkStart w:id="206" w:name="_Toc184312075"/>
      <w:bookmarkEnd w:id="206"/>
      <w:bookmarkStart w:id="207" w:name="_Toc184314418"/>
      <w:bookmarkEnd w:id="207"/>
      <w:bookmarkStart w:id="208" w:name="_Toc184310325"/>
      <w:bookmarkEnd w:id="208"/>
      <w:bookmarkStart w:id="209" w:name="_Toc184312137"/>
      <w:bookmarkEnd w:id="209"/>
      <w:bookmarkStart w:id="210" w:name="_Toc184310304"/>
      <w:bookmarkEnd w:id="210"/>
      <w:bookmarkStart w:id="211" w:name="_Toc184308071"/>
      <w:bookmarkEnd w:id="211"/>
      <w:bookmarkStart w:id="212" w:name="_Toc184313308"/>
      <w:bookmarkEnd w:id="212"/>
      <w:bookmarkStart w:id="213" w:name="_Toc184310338"/>
      <w:bookmarkEnd w:id="213"/>
      <w:bookmarkStart w:id="214" w:name="_Toc184312088"/>
      <w:bookmarkEnd w:id="214"/>
      <w:bookmarkStart w:id="215" w:name="_Toc184313286"/>
      <w:bookmarkEnd w:id="215"/>
      <w:bookmarkStart w:id="216" w:name="_Toc184313293"/>
      <w:bookmarkEnd w:id="216"/>
      <w:bookmarkStart w:id="217" w:name="_Toc184314478"/>
      <w:bookmarkEnd w:id="217"/>
      <w:bookmarkStart w:id="218" w:name="_Toc184308036"/>
      <w:bookmarkEnd w:id="218"/>
      <w:bookmarkStart w:id="219" w:name="_Toc184310284"/>
      <w:bookmarkEnd w:id="219"/>
      <w:bookmarkStart w:id="220" w:name="_Toc184313306"/>
      <w:bookmarkEnd w:id="220"/>
      <w:bookmarkStart w:id="221" w:name="_Toc184312127"/>
      <w:bookmarkEnd w:id="221"/>
      <w:bookmarkStart w:id="222" w:name="_Toc184314427"/>
      <w:bookmarkEnd w:id="222"/>
      <w:bookmarkStart w:id="223" w:name="_Toc184308083"/>
      <w:bookmarkEnd w:id="223"/>
      <w:bookmarkStart w:id="224" w:name="_Toc184312133"/>
      <w:bookmarkEnd w:id="224"/>
      <w:bookmarkStart w:id="225" w:name="_Toc184310302"/>
      <w:bookmarkEnd w:id="225"/>
      <w:bookmarkStart w:id="226" w:name="_Toc184310297"/>
      <w:bookmarkEnd w:id="226"/>
      <w:bookmarkStart w:id="227" w:name="_Toc184314434"/>
      <w:bookmarkEnd w:id="227"/>
      <w:bookmarkStart w:id="228" w:name="_Toc184308068"/>
      <w:bookmarkEnd w:id="228"/>
      <w:bookmarkStart w:id="229" w:name="_Toc184313300"/>
      <w:bookmarkEnd w:id="229"/>
      <w:bookmarkStart w:id="230" w:name="_Toc184310300"/>
      <w:bookmarkEnd w:id="230"/>
      <w:bookmarkStart w:id="231" w:name="_Toc184314437"/>
      <w:bookmarkEnd w:id="231"/>
      <w:bookmarkStart w:id="232" w:name="_Toc184314459"/>
      <w:bookmarkEnd w:id="232"/>
      <w:bookmarkStart w:id="233" w:name="_Toc184314429"/>
      <w:bookmarkEnd w:id="233"/>
      <w:bookmarkStart w:id="234" w:name="_Toc184312118"/>
      <w:bookmarkEnd w:id="234"/>
      <w:bookmarkStart w:id="235" w:name="_Toc184312120"/>
      <w:bookmarkEnd w:id="235"/>
      <w:bookmarkStart w:id="236" w:name="_Toc184313245"/>
      <w:bookmarkEnd w:id="236"/>
      <w:bookmarkStart w:id="237" w:name="_Toc184310287"/>
      <w:bookmarkEnd w:id="237"/>
      <w:bookmarkStart w:id="238" w:name="_Toc184310291"/>
      <w:bookmarkEnd w:id="238"/>
      <w:bookmarkStart w:id="239" w:name="_Toc184310339"/>
      <w:bookmarkEnd w:id="239"/>
      <w:bookmarkStart w:id="240" w:name="_Toc184314454"/>
      <w:bookmarkEnd w:id="240"/>
      <w:bookmarkStart w:id="241" w:name="_Toc184314441"/>
      <w:bookmarkEnd w:id="241"/>
      <w:bookmarkStart w:id="242" w:name="_Toc184313246"/>
      <w:bookmarkEnd w:id="242"/>
      <w:bookmarkStart w:id="243" w:name="_Toc184314414"/>
      <w:bookmarkEnd w:id="243"/>
      <w:bookmarkStart w:id="244" w:name="_Toc184314465"/>
      <w:bookmarkEnd w:id="244"/>
      <w:bookmarkStart w:id="245" w:name="_Toc184308066"/>
      <w:bookmarkEnd w:id="245"/>
      <w:bookmarkStart w:id="246" w:name="_Toc184313247"/>
      <w:bookmarkEnd w:id="246"/>
      <w:bookmarkStart w:id="247" w:name="_Toc184312103"/>
      <w:bookmarkEnd w:id="247"/>
      <w:bookmarkStart w:id="248" w:name="_Toc184314470"/>
      <w:bookmarkEnd w:id="248"/>
      <w:bookmarkStart w:id="249" w:name="_Toc184308107"/>
      <w:bookmarkEnd w:id="249"/>
      <w:bookmarkStart w:id="250" w:name="_Toc184313239"/>
      <w:bookmarkEnd w:id="250"/>
      <w:bookmarkStart w:id="251" w:name="_Toc184308072"/>
      <w:bookmarkEnd w:id="251"/>
      <w:bookmarkStart w:id="252" w:name="_Toc184313256"/>
      <w:bookmarkEnd w:id="252"/>
      <w:bookmarkStart w:id="253" w:name="_Toc184312070"/>
      <w:bookmarkEnd w:id="253"/>
      <w:bookmarkStart w:id="254" w:name="_Toc184313285"/>
      <w:bookmarkEnd w:id="254"/>
      <w:bookmarkStart w:id="255" w:name="_Toc184310295"/>
      <w:bookmarkEnd w:id="255"/>
      <w:bookmarkStart w:id="256" w:name="_Toc184308060"/>
      <w:bookmarkEnd w:id="256"/>
      <w:bookmarkStart w:id="257" w:name="_Toc184308086"/>
      <w:bookmarkEnd w:id="257"/>
      <w:bookmarkStart w:id="258" w:name="_Toc184308075"/>
      <w:bookmarkEnd w:id="258"/>
      <w:bookmarkStart w:id="259" w:name="_Toc184312138"/>
      <w:bookmarkEnd w:id="259"/>
      <w:bookmarkStart w:id="260" w:name="_Toc184314460"/>
      <w:bookmarkEnd w:id="260"/>
      <w:bookmarkStart w:id="261" w:name="_Toc184308063"/>
      <w:bookmarkEnd w:id="261"/>
      <w:bookmarkStart w:id="262" w:name="_Toc184308077"/>
      <w:bookmarkEnd w:id="262"/>
      <w:bookmarkStart w:id="263" w:name="_Toc184310340"/>
      <w:bookmarkEnd w:id="263"/>
      <w:bookmarkStart w:id="264" w:name="_Toc184310326"/>
      <w:bookmarkEnd w:id="264"/>
      <w:bookmarkStart w:id="265" w:name="_Toc184308062"/>
      <w:bookmarkEnd w:id="265"/>
      <w:bookmarkStart w:id="266" w:name="_Toc184313309"/>
      <w:bookmarkEnd w:id="266"/>
      <w:bookmarkStart w:id="267" w:name="_Toc184313248"/>
      <w:bookmarkEnd w:id="267"/>
      <w:bookmarkStart w:id="268" w:name="_Toc184310324"/>
      <w:bookmarkEnd w:id="268"/>
      <w:bookmarkStart w:id="269" w:name="_Toc184310299"/>
      <w:bookmarkEnd w:id="269"/>
      <w:bookmarkStart w:id="270" w:name="_Toc184312121"/>
      <w:bookmarkEnd w:id="270"/>
      <w:bookmarkStart w:id="271" w:name="_Toc184313283"/>
      <w:bookmarkEnd w:id="271"/>
      <w:bookmarkStart w:id="272" w:name="_Toc184314456"/>
      <w:bookmarkEnd w:id="272"/>
      <w:bookmarkStart w:id="273" w:name="_Toc184313238"/>
      <w:bookmarkEnd w:id="273"/>
      <w:bookmarkStart w:id="274" w:name="_Toc184312128"/>
      <w:bookmarkEnd w:id="274"/>
      <w:bookmarkStart w:id="275" w:name="_Toc184312105"/>
      <w:bookmarkEnd w:id="275"/>
      <w:bookmarkStart w:id="276" w:name="_Toc184312117"/>
      <w:bookmarkEnd w:id="276"/>
      <w:bookmarkStart w:id="277" w:name="_Toc184314421"/>
      <w:bookmarkEnd w:id="277"/>
      <w:bookmarkStart w:id="278" w:name="_Toc184314413"/>
      <w:bookmarkEnd w:id="278"/>
      <w:bookmarkStart w:id="279" w:name="_Toc184312080"/>
      <w:bookmarkEnd w:id="279"/>
      <w:bookmarkStart w:id="280" w:name="_Toc184313304"/>
      <w:bookmarkEnd w:id="280"/>
      <w:bookmarkStart w:id="281" w:name="_Toc184312079"/>
      <w:bookmarkEnd w:id="281"/>
      <w:bookmarkStart w:id="282" w:name="_Toc184314467"/>
      <w:bookmarkEnd w:id="282"/>
      <w:bookmarkStart w:id="283" w:name="_Toc184314424"/>
      <w:bookmarkEnd w:id="283"/>
      <w:bookmarkStart w:id="284" w:name="_Toc184308095"/>
      <w:bookmarkEnd w:id="284"/>
      <w:bookmarkStart w:id="285" w:name="_Toc184308065"/>
      <w:bookmarkEnd w:id="285"/>
      <w:bookmarkStart w:id="286" w:name="_Toc184313272"/>
      <w:bookmarkEnd w:id="286"/>
      <w:bookmarkStart w:id="287" w:name="_Toc184312084"/>
      <w:bookmarkEnd w:id="287"/>
      <w:bookmarkStart w:id="288" w:name="_Toc184310328"/>
      <w:bookmarkEnd w:id="288"/>
      <w:bookmarkStart w:id="289" w:name="_Toc184313240"/>
      <w:bookmarkEnd w:id="289"/>
      <w:bookmarkStart w:id="290" w:name="_Toc184314440"/>
      <w:bookmarkEnd w:id="290"/>
      <w:bookmarkStart w:id="291" w:name="_Toc184312110"/>
      <w:bookmarkEnd w:id="291"/>
      <w:bookmarkStart w:id="292" w:name="_Toc184313261"/>
      <w:bookmarkEnd w:id="292"/>
      <w:bookmarkStart w:id="293" w:name="_Toc184312078"/>
      <w:bookmarkEnd w:id="293"/>
      <w:bookmarkStart w:id="294" w:name="_Toc184308050"/>
      <w:bookmarkEnd w:id="294"/>
      <w:bookmarkStart w:id="295" w:name="_Toc184308088"/>
      <w:bookmarkEnd w:id="295"/>
      <w:bookmarkStart w:id="296" w:name="_Toc184312081"/>
      <w:bookmarkEnd w:id="296"/>
      <w:bookmarkStart w:id="297" w:name="_Toc184314474"/>
      <w:bookmarkEnd w:id="297"/>
      <w:bookmarkStart w:id="298" w:name="_Toc184314431"/>
      <w:bookmarkEnd w:id="298"/>
      <w:bookmarkStart w:id="299" w:name="_Toc184312097"/>
      <w:bookmarkEnd w:id="299"/>
      <w:bookmarkStart w:id="300" w:name="_Toc184313267"/>
      <w:bookmarkEnd w:id="300"/>
      <w:bookmarkStart w:id="301" w:name="_Toc184310301"/>
      <w:bookmarkEnd w:id="301"/>
      <w:bookmarkStart w:id="302" w:name="_Toc184308108"/>
      <w:bookmarkEnd w:id="302"/>
      <w:bookmarkStart w:id="303" w:name="_Toc184314430"/>
      <w:bookmarkEnd w:id="303"/>
      <w:bookmarkStart w:id="304" w:name="_Toc184310303"/>
      <w:bookmarkEnd w:id="304"/>
      <w:bookmarkStart w:id="305" w:name="_Toc184313307"/>
      <w:bookmarkEnd w:id="305"/>
      <w:bookmarkStart w:id="306" w:name="_Toc184312083"/>
      <w:bookmarkEnd w:id="306"/>
      <w:bookmarkStart w:id="307" w:name="_Toc184310292"/>
      <w:bookmarkEnd w:id="307"/>
      <w:bookmarkStart w:id="308" w:name="_Toc184314439"/>
      <w:bookmarkEnd w:id="308"/>
      <w:bookmarkStart w:id="309" w:name="_Toc184308037"/>
      <w:bookmarkEnd w:id="309"/>
      <w:bookmarkStart w:id="310" w:name="_Toc184314420"/>
      <w:bookmarkEnd w:id="310"/>
      <w:bookmarkStart w:id="311" w:name="_Toc184308054"/>
      <w:bookmarkEnd w:id="311"/>
      <w:bookmarkStart w:id="312" w:name="_Toc184308039"/>
      <w:bookmarkEnd w:id="312"/>
      <w:bookmarkStart w:id="313" w:name="_Toc184308069"/>
      <w:bookmarkEnd w:id="313"/>
      <w:bookmarkStart w:id="314" w:name="_Toc184313298"/>
      <w:bookmarkEnd w:id="314"/>
      <w:bookmarkStart w:id="315" w:name="_Toc184313299"/>
      <w:bookmarkEnd w:id="315"/>
      <w:bookmarkStart w:id="316" w:name="_Toc184310327"/>
      <w:bookmarkEnd w:id="316"/>
      <w:bookmarkStart w:id="317" w:name="_Toc184314426"/>
      <w:bookmarkEnd w:id="317"/>
      <w:bookmarkStart w:id="318" w:name="_Toc184312082"/>
      <w:bookmarkEnd w:id="318"/>
      <w:bookmarkStart w:id="319" w:name="_Toc184314455"/>
      <w:bookmarkEnd w:id="319"/>
      <w:bookmarkStart w:id="320" w:name="_Toc184310310"/>
      <w:bookmarkEnd w:id="320"/>
      <w:bookmarkStart w:id="321" w:name="_Toc184314477"/>
      <w:bookmarkEnd w:id="321"/>
      <w:bookmarkStart w:id="322" w:name="_Toc184314428"/>
      <w:bookmarkEnd w:id="322"/>
      <w:bookmarkStart w:id="323" w:name="_Toc184312134"/>
      <w:bookmarkEnd w:id="323"/>
      <w:bookmarkStart w:id="324" w:name="_Toc184312119"/>
      <w:bookmarkEnd w:id="324"/>
      <w:bookmarkStart w:id="325" w:name="_Toc184308102"/>
      <w:bookmarkEnd w:id="325"/>
      <w:bookmarkStart w:id="326" w:name="_Toc184308047"/>
      <w:bookmarkEnd w:id="326"/>
      <w:bookmarkStart w:id="327" w:name="_Toc184313265"/>
      <w:bookmarkEnd w:id="327"/>
      <w:bookmarkStart w:id="328" w:name="_Toc184308052"/>
      <w:bookmarkEnd w:id="328"/>
      <w:bookmarkStart w:id="329" w:name="_Toc184310329"/>
      <w:bookmarkEnd w:id="329"/>
      <w:bookmarkStart w:id="330" w:name="_Toc184314452"/>
      <w:bookmarkEnd w:id="330"/>
      <w:bookmarkStart w:id="331" w:name="_Toc184310296"/>
      <w:bookmarkEnd w:id="331"/>
      <w:bookmarkStart w:id="332" w:name="_Toc184313277"/>
      <w:bookmarkEnd w:id="332"/>
      <w:bookmarkStart w:id="333" w:name="_Toc184308097"/>
      <w:bookmarkEnd w:id="333"/>
      <w:bookmarkStart w:id="334" w:name="_Toc184308098"/>
      <w:bookmarkEnd w:id="334"/>
      <w:bookmarkStart w:id="335" w:name="_Toc184312092"/>
      <w:bookmarkEnd w:id="335"/>
      <w:bookmarkStart w:id="336" w:name="_Toc184313255"/>
      <w:bookmarkEnd w:id="336"/>
      <w:bookmarkStart w:id="337" w:name="_Toc184314443"/>
      <w:bookmarkEnd w:id="337"/>
      <w:bookmarkStart w:id="338" w:name="_Toc184312114"/>
      <w:bookmarkEnd w:id="338"/>
      <w:bookmarkStart w:id="339" w:name="_Toc184313241"/>
      <w:bookmarkEnd w:id="339"/>
      <w:bookmarkStart w:id="340" w:name="_Toc184308080"/>
      <w:bookmarkEnd w:id="340"/>
      <w:bookmarkStart w:id="341" w:name="_Toc184308057"/>
      <w:bookmarkEnd w:id="341"/>
      <w:bookmarkStart w:id="342" w:name="_Toc184308038"/>
      <w:bookmarkEnd w:id="342"/>
      <w:bookmarkStart w:id="343" w:name="_Toc184308056"/>
      <w:bookmarkEnd w:id="343"/>
      <w:bookmarkStart w:id="344" w:name="_Toc184313260"/>
      <w:bookmarkEnd w:id="344"/>
      <w:bookmarkStart w:id="345" w:name="_Toc184312100"/>
      <w:bookmarkEnd w:id="345"/>
      <w:bookmarkStart w:id="346" w:name="_Toc184310337"/>
      <w:bookmarkEnd w:id="346"/>
      <w:bookmarkStart w:id="347" w:name="_Toc184308076"/>
      <w:bookmarkEnd w:id="347"/>
      <w:bookmarkStart w:id="348" w:name="_Toc184312074"/>
      <w:bookmarkEnd w:id="348"/>
      <w:bookmarkStart w:id="349" w:name="_Toc184310316"/>
      <w:bookmarkEnd w:id="349"/>
      <w:bookmarkStart w:id="350" w:name="_Toc184312094"/>
      <w:bookmarkEnd w:id="350"/>
      <w:bookmarkStart w:id="351" w:name="_Toc184313262"/>
      <w:bookmarkEnd w:id="351"/>
      <w:bookmarkStart w:id="352" w:name="_Toc184312132"/>
      <w:bookmarkEnd w:id="352"/>
      <w:bookmarkStart w:id="353" w:name="_Toc184310285"/>
      <w:bookmarkEnd w:id="353"/>
      <w:bookmarkStart w:id="354" w:name="_Toc184312089"/>
      <w:bookmarkEnd w:id="354"/>
      <w:bookmarkStart w:id="355" w:name="_Toc184312130"/>
      <w:bookmarkEnd w:id="355"/>
      <w:bookmarkStart w:id="356" w:name="_Toc184308085"/>
      <w:bookmarkEnd w:id="356"/>
      <w:bookmarkStart w:id="357" w:name="_Toc184312125"/>
      <w:bookmarkEnd w:id="357"/>
      <w:bookmarkStart w:id="358" w:name="_Toc184313295"/>
      <w:bookmarkEnd w:id="358"/>
      <w:bookmarkStart w:id="359" w:name="_Toc184313258"/>
      <w:bookmarkEnd w:id="359"/>
      <w:bookmarkStart w:id="360" w:name="_Toc184314415"/>
      <w:bookmarkEnd w:id="360"/>
      <w:bookmarkStart w:id="361" w:name="_Toc184312098"/>
      <w:bookmarkEnd w:id="361"/>
      <w:bookmarkStart w:id="362" w:name="_Toc184312109"/>
      <w:bookmarkEnd w:id="362"/>
      <w:bookmarkStart w:id="363" w:name="_Toc184308106"/>
      <w:bookmarkEnd w:id="363"/>
      <w:bookmarkStart w:id="364" w:name="_Toc184308046"/>
      <w:bookmarkEnd w:id="364"/>
      <w:bookmarkStart w:id="365" w:name="_Toc184312077"/>
      <w:bookmarkEnd w:id="365"/>
      <w:bookmarkStart w:id="366" w:name="_Toc184312111"/>
      <w:bookmarkEnd w:id="366"/>
      <w:bookmarkStart w:id="367" w:name="_Toc184313269"/>
      <w:bookmarkEnd w:id="367"/>
      <w:bookmarkStart w:id="368" w:name="_Toc184314412"/>
      <w:bookmarkEnd w:id="368"/>
      <w:bookmarkStart w:id="369" w:name="_Toc184308073"/>
      <w:bookmarkEnd w:id="369"/>
      <w:bookmarkStart w:id="370" w:name="_Toc184310294"/>
      <w:bookmarkEnd w:id="370"/>
      <w:bookmarkStart w:id="371" w:name="_Toc184310321"/>
      <w:bookmarkEnd w:id="371"/>
      <w:bookmarkStart w:id="372" w:name="_Toc184313287"/>
      <w:bookmarkEnd w:id="372"/>
      <w:bookmarkStart w:id="373" w:name="_Toc184312085"/>
      <w:bookmarkEnd w:id="373"/>
      <w:bookmarkStart w:id="374" w:name="_Toc184310311"/>
      <w:bookmarkEnd w:id="374"/>
      <w:bookmarkStart w:id="375" w:name="_Toc184308040"/>
      <w:bookmarkEnd w:id="375"/>
      <w:bookmarkStart w:id="376" w:name="_Toc184314473"/>
      <w:bookmarkEnd w:id="376"/>
      <w:bookmarkStart w:id="377" w:name="_Toc184314464"/>
      <w:bookmarkEnd w:id="377"/>
      <w:bookmarkStart w:id="378" w:name="_Toc184312136"/>
      <w:bookmarkEnd w:id="378"/>
      <w:bookmarkStart w:id="379" w:name="_Toc184313274"/>
      <w:bookmarkEnd w:id="379"/>
      <w:bookmarkStart w:id="380" w:name="_Toc184314447"/>
      <w:bookmarkEnd w:id="380"/>
      <w:bookmarkStart w:id="381" w:name="_Toc184314479"/>
      <w:bookmarkEnd w:id="381"/>
      <w:bookmarkStart w:id="382" w:name="_Toc184314445"/>
      <w:bookmarkEnd w:id="382"/>
      <w:bookmarkStart w:id="383" w:name="_Toc184312087"/>
      <w:bookmarkEnd w:id="383"/>
      <w:bookmarkStart w:id="384" w:name="_Toc184308090"/>
      <w:bookmarkEnd w:id="384"/>
      <w:bookmarkStart w:id="385" w:name="_Toc184313302"/>
      <w:bookmarkEnd w:id="385"/>
      <w:bookmarkStart w:id="386" w:name="_Toc184308049"/>
      <w:bookmarkEnd w:id="386"/>
      <w:bookmarkStart w:id="387" w:name="_Toc184313297"/>
      <w:bookmarkEnd w:id="387"/>
      <w:bookmarkStart w:id="388" w:name="_Toc184310279"/>
      <w:bookmarkEnd w:id="388"/>
      <w:bookmarkStart w:id="389" w:name="_Toc184310298"/>
      <w:bookmarkEnd w:id="389"/>
      <w:bookmarkStart w:id="390" w:name="_Toc184313276"/>
      <w:bookmarkEnd w:id="390"/>
      <w:bookmarkStart w:id="391" w:name="_Toc184313251"/>
      <w:bookmarkEnd w:id="391"/>
      <w:bookmarkStart w:id="392" w:name="_Toc184313305"/>
      <w:bookmarkEnd w:id="392"/>
      <w:bookmarkStart w:id="393" w:name="_Toc184308061"/>
      <w:bookmarkEnd w:id="393"/>
      <w:bookmarkStart w:id="394" w:name="_Toc184314448"/>
      <w:bookmarkEnd w:id="394"/>
      <w:bookmarkStart w:id="395" w:name="_Toc184313278"/>
      <w:bookmarkEnd w:id="395"/>
      <w:bookmarkStart w:id="396" w:name="_Toc184312115"/>
      <w:bookmarkEnd w:id="396"/>
      <w:bookmarkStart w:id="397" w:name="_Toc184312090"/>
      <w:bookmarkEnd w:id="397"/>
      <w:bookmarkStart w:id="398" w:name="_Toc184312113"/>
      <w:bookmarkEnd w:id="398"/>
      <w:bookmarkStart w:id="399" w:name="_Toc184310343"/>
      <w:bookmarkEnd w:id="399"/>
      <w:bookmarkStart w:id="400" w:name="_Toc184312139"/>
      <w:bookmarkEnd w:id="400"/>
      <w:bookmarkStart w:id="401" w:name="_Toc184310312"/>
      <w:bookmarkEnd w:id="401"/>
      <w:bookmarkStart w:id="402" w:name="_Toc184314458"/>
      <w:bookmarkEnd w:id="402"/>
      <w:bookmarkStart w:id="403" w:name="_Toc184314423"/>
      <w:bookmarkEnd w:id="403"/>
      <w:bookmarkStart w:id="404" w:name="_Toc184313249"/>
      <w:bookmarkEnd w:id="404"/>
      <w:bookmarkStart w:id="405" w:name="_Toc184313279"/>
      <w:bookmarkEnd w:id="405"/>
      <w:r>
        <w:rPr>
          <w:rFonts w:hint="eastAsia" w:ascii="宋体" w:hAnsi="宋体" w:cs="宋体"/>
          <w:b/>
          <w:sz w:val="36"/>
          <w:szCs w:val="36"/>
        </w:rPr>
        <w:t xml:space="preserve"> 评标办法</w:t>
      </w:r>
      <w:bookmarkEnd w:id="39"/>
    </w:p>
    <w:p>
      <w:pPr>
        <w:snapToGrid w:val="0"/>
        <w:spacing w:line="360" w:lineRule="auto"/>
        <w:rPr>
          <w:rFonts w:ascii="宋体" w:hAnsi="宋体" w:cs="宋体"/>
          <w:b/>
          <w:sz w:val="24"/>
        </w:rPr>
      </w:pPr>
    </w:p>
    <w:p>
      <w:pPr>
        <w:spacing w:line="360" w:lineRule="auto"/>
        <w:outlineLvl w:val="1"/>
        <w:rPr>
          <w:rFonts w:ascii="宋体" w:hAnsi="宋体" w:cs="宋体"/>
          <w:b/>
          <w:sz w:val="36"/>
          <w:szCs w:val="36"/>
        </w:rPr>
      </w:pPr>
      <w:r>
        <w:rPr>
          <w:rFonts w:hint="eastAsia" w:ascii="宋体" w:hAnsi="宋体" w:cs="宋体"/>
          <w:b/>
          <w:sz w:val="36"/>
          <w:szCs w:val="36"/>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spacing w:line="360" w:lineRule="auto"/>
        <w:outlineLvl w:val="1"/>
        <w:rPr>
          <w:rFonts w:ascii="宋体" w:hAnsi="宋体" w:cs="宋体"/>
          <w:b/>
          <w:sz w:val="36"/>
          <w:szCs w:val="36"/>
        </w:rPr>
      </w:pPr>
      <w:r>
        <w:rPr>
          <w:rFonts w:hint="eastAsia" w:ascii="宋体" w:hAnsi="宋体" w:cs="宋体"/>
          <w:b/>
          <w:sz w:val="36"/>
          <w:szCs w:val="36"/>
        </w:rPr>
        <w:t>二、评标标准</w:t>
      </w:r>
    </w:p>
    <w:p>
      <w:pPr>
        <w:spacing w:line="360" w:lineRule="auto"/>
        <w:ind w:firstLine="420"/>
        <w:rPr>
          <w:rFonts w:ascii="宋体" w:hAnsi="宋体" w:cs="宋体"/>
          <w:sz w:val="24"/>
        </w:rPr>
      </w:pPr>
      <w:r>
        <w:rPr>
          <w:rFonts w:hint="eastAsia" w:ascii="宋体" w:hAnsi="宋体" w:cs="宋体"/>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ascii="宋体" w:hAnsi="宋体" w:cs="宋体"/>
          <w:sz w:val="24"/>
        </w:rPr>
      </w:pPr>
      <w:r>
        <w:rPr>
          <w:rFonts w:hint="eastAsia" w:ascii="宋体" w:hAnsi="宋体" w:cs="宋体"/>
          <w:sz w:val="24"/>
        </w:rPr>
        <w:t>每个投标人最终得分=商务报价分+资信分+技术分</w:t>
      </w:r>
    </w:p>
    <w:p>
      <w:pPr>
        <w:spacing w:line="360" w:lineRule="auto"/>
        <w:ind w:firstLine="420"/>
        <w:rPr>
          <w:rFonts w:ascii="宋体" w:hAnsi="宋体" w:cs="宋体"/>
          <w:sz w:val="24"/>
        </w:rPr>
      </w:pPr>
      <w:r>
        <w:rPr>
          <w:rFonts w:hint="eastAsia" w:ascii="宋体" w:hAnsi="宋体" w:cs="宋体"/>
          <w:sz w:val="24"/>
        </w:rPr>
        <w:t>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1 商务报价分 10 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商务报价评分将在有效投标人范围内进行，最高得10分，小数点后保留2位小数。满足招标文件要求且投标价格最低的投标报价为评标基准价，其商务报价分为满分。其他投标人的价格分按照下列公式计算：</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商务报价分=(评标基准价／投标报价)×10。</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在报价评审时对小型和微型企业（监狱企业、残疾人福利性单位视同小微企业,须按要求提供相关材料，未提供或提供不全均不给予价格扣除）的投标报价给予相关价格扣除政策优惠，以扣除后的价格作为评标价。</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此项由评标委员会集体核实后统一打分。</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2 资信评分4分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.2.1投标人自2019年</w:t>
      </w:r>
      <w:r>
        <w:rPr>
          <w:rFonts w:hint="eastAsia" w:cs="仿宋_GB2312" w:asciiTheme="minorEastAsia" w:hAnsiTheme="minorEastAsia" w:eastAsiaTheme="minorEastAsia"/>
          <w:sz w:val="24"/>
        </w:rPr>
        <w:t>7</w:t>
      </w:r>
      <w:r>
        <w:rPr>
          <w:rFonts w:cs="仿宋_GB2312" w:asciiTheme="minorEastAsia" w:hAnsiTheme="minorEastAsia" w:eastAsiaTheme="minorEastAsia"/>
          <w:sz w:val="24"/>
        </w:rPr>
        <w:t>月以来有</w:t>
      </w:r>
      <w:r>
        <w:rPr>
          <w:rFonts w:hint="eastAsia" w:cs="仿宋_GB2312" w:asciiTheme="minorEastAsia" w:hAnsiTheme="minorEastAsia" w:eastAsiaTheme="minorEastAsia"/>
          <w:sz w:val="24"/>
        </w:rPr>
        <w:t>同类项目</w:t>
      </w:r>
      <w:r>
        <w:rPr>
          <w:rFonts w:cs="仿宋_GB2312" w:asciiTheme="minorEastAsia" w:hAnsiTheme="minorEastAsia" w:eastAsiaTheme="minorEastAsia"/>
          <w:sz w:val="24"/>
        </w:rPr>
        <w:t>业绩的，每个合同得0.5分，满分1分。须提供相应的证明文件合同复印件，时间以合同签订时间为准。</w:t>
      </w:r>
    </w:p>
    <w:p>
      <w:pPr>
        <w:spacing w:line="360" w:lineRule="auto"/>
        <w:ind w:firstLine="420"/>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.2.2</w:t>
      </w:r>
      <w:r>
        <w:rPr>
          <w:rFonts w:hint="eastAsia" w:cs="仿宋_GB2312" w:asciiTheme="minorEastAsia" w:hAnsiTheme="minorEastAsia" w:eastAsiaTheme="minorEastAsia"/>
          <w:sz w:val="24"/>
        </w:rPr>
        <w:t>投标人具有有效的ISO27001信息安全管理体系认证、ISO22301业务连续性管理体系认证证书、中国电子信息行业联合会颁发的信息系统建设和服务能力等级证书，每提供一个得1分，最多得3分。提供证明材料，不提供不得分。</w:t>
      </w:r>
    </w:p>
    <w:p>
      <w:pPr>
        <w:spacing w:line="360" w:lineRule="auto"/>
        <w:ind w:firstLine="420"/>
        <w:rPr>
          <w:rFonts w:cs="仿宋_GB2312" w:asciiTheme="minorEastAsia" w:hAnsiTheme="minorEastAsia" w:eastAsiaTheme="minorEastAsia"/>
          <w:sz w:val="24"/>
        </w:rPr>
      </w:pPr>
      <w:r>
        <w:rPr>
          <w:rFonts w:hint="eastAsia" w:cs="仿宋_GB2312" w:asciiTheme="minorEastAsia" w:hAnsiTheme="minorEastAsia" w:eastAsiaTheme="minorEastAsia"/>
          <w:sz w:val="24"/>
        </w:rPr>
        <w:t>此项由评标委员会集体核实后统一打分。</w:t>
      </w:r>
    </w:p>
    <w:p>
      <w:pPr>
        <w:keepNext/>
        <w:keepLines/>
        <w:spacing w:line="360" w:lineRule="auto"/>
        <w:ind w:firstLine="422"/>
        <w:outlineLvl w:val="2"/>
        <w:rPr>
          <w:rFonts w:ascii="宋体" w:hAnsi="宋体" w:cs="宋体"/>
          <w:b/>
          <w:bCs/>
          <w:kern w:val="0"/>
          <w:sz w:val="24"/>
        </w:rPr>
      </w:pPr>
      <w:r>
        <w:rPr>
          <w:rFonts w:hint="eastAsia" w:ascii="宋体" w:hAnsi="宋体" w:cs="宋体"/>
          <w:b/>
          <w:bCs/>
          <w:kern w:val="0"/>
          <w:sz w:val="24"/>
        </w:rPr>
        <w:t>3 技术评分86分</w:t>
      </w:r>
    </w:p>
    <w:p>
      <w:pPr>
        <w:spacing w:line="360" w:lineRule="auto"/>
        <w:ind w:firstLine="420"/>
        <w:rPr>
          <w:rFonts w:ascii="宋体" w:hAnsi="宋体" w:cs="宋体"/>
          <w:sz w:val="24"/>
        </w:rPr>
      </w:pPr>
      <w:r>
        <w:rPr>
          <w:rFonts w:hint="eastAsia" w:ascii="宋体" w:hAnsi="宋体" w:cs="宋体"/>
          <w:sz w:val="24"/>
        </w:rPr>
        <w:t>该评分分值由评标委员会根据评审情况在分值范围内独立打分（具体分值设定详见表格），小数点后保留2位小数。每个投标人的最终技术得分为评标委员会打分的算术平均值。</w:t>
      </w:r>
    </w:p>
    <w:tbl>
      <w:tblPr>
        <w:tblStyle w:val="62"/>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41"/>
        <w:gridCol w:w="521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宋体" w:hAnsi="宋体" w:cs="宋体"/>
                <w:color w:val="000000"/>
                <w:sz w:val="24"/>
              </w:rPr>
            </w:pPr>
            <w:r>
              <w:rPr>
                <w:rFonts w:hint="eastAsia" w:ascii="宋体" w:hAnsi="宋体" w:cs="宋体"/>
                <w:color w:val="000000"/>
                <w:sz w:val="24"/>
                <w:lang w:bidi="ar"/>
              </w:rPr>
              <w:t>序号</w:t>
            </w:r>
          </w:p>
        </w:tc>
        <w:tc>
          <w:tcPr>
            <w:tcW w:w="6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宋体" w:hAnsi="宋体" w:cs="宋体"/>
                <w:color w:val="000000"/>
                <w:sz w:val="24"/>
              </w:rPr>
            </w:pPr>
            <w:r>
              <w:rPr>
                <w:rFonts w:hint="eastAsia" w:ascii="宋体" w:hAnsi="宋体" w:cs="宋体"/>
                <w:color w:val="000000"/>
                <w:sz w:val="24"/>
                <w:lang w:bidi="ar"/>
              </w:rPr>
              <w:t>评分标准</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宋体" w:hAnsi="宋体" w:cs="宋体"/>
                <w:color w:val="000000"/>
                <w:sz w:val="24"/>
              </w:rPr>
            </w:pPr>
            <w:r>
              <w:rPr>
                <w:rFonts w:hint="eastAsia" w:ascii="宋体" w:hAnsi="宋体" w:cs="宋体"/>
                <w:color w:val="000000"/>
                <w:sz w:val="24"/>
                <w:lang w:bidi="ar"/>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宋体" w:hAnsi="宋体" w:cs="宋体"/>
                <w:color w:val="000000"/>
                <w:sz w:val="24"/>
              </w:rPr>
            </w:pPr>
            <w:r>
              <w:rPr>
                <w:rFonts w:hint="eastAsia" w:ascii="宋体" w:hAnsi="宋体" w:cs="宋体"/>
                <w:color w:val="000000"/>
                <w:sz w:val="24"/>
                <w:lang w:bidi="ar"/>
              </w:rPr>
              <w:t>1</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rPr>
                <w:rFonts w:ascii="宋体" w:hAnsi="宋体" w:cs="宋体"/>
                <w:color w:val="000000"/>
                <w:sz w:val="24"/>
              </w:rPr>
            </w:pPr>
            <w:r>
              <w:rPr>
                <w:rFonts w:hint="eastAsia" w:ascii="宋体" w:hAnsi="宋体" w:cs="宋体"/>
                <w:sz w:val="24"/>
                <w:lang w:bidi="ar"/>
              </w:rPr>
              <w:t>针对本项目的整体理解</w:t>
            </w:r>
          </w:p>
        </w:tc>
        <w:tc>
          <w:tcPr>
            <w:tcW w:w="521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snapToGrid w:val="0"/>
              <w:spacing w:line="560" w:lineRule="exact"/>
              <w:rPr>
                <w:rFonts w:ascii="宋体" w:hAnsi="宋体" w:cs="宋体"/>
                <w:sz w:val="24"/>
                <w:lang w:bidi="ar"/>
              </w:rPr>
            </w:pPr>
            <w:r>
              <w:rPr>
                <w:rFonts w:hint="eastAsia" w:ascii="宋体" w:hAnsi="宋体" w:cs="宋体"/>
                <w:sz w:val="24"/>
                <w:lang w:bidi="ar"/>
              </w:rPr>
              <w:t>投标人对本项目的熟悉及了解程度 0-5分：</w:t>
            </w:r>
          </w:p>
          <w:p>
            <w:pPr>
              <w:snapToGrid w:val="0"/>
              <w:spacing w:line="560" w:lineRule="exact"/>
              <w:rPr>
                <w:rFonts w:ascii="宋体" w:hAnsi="宋体" w:cs="宋体"/>
                <w:sz w:val="24"/>
                <w:lang w:bidi="ar"/>
              </w:rPr>
            </w:pPr>
            <w:r>
              <w:rPr>
                <w:rFonts w:hint="eastAsia" w:ascii="宋体" w:hAnsi="宋体" w:cs="宋体"/>
                <w:color w:val="000000"/>
                <w:sz w:val="24"/>
              </w:rPr>
              <w:t>分析全面、准确5分；分析基本合理3分；分析欠全面合理1分；没有不得分。</w:t>
            </w:r>
          </w:p>
          <w:p>
            <w:pPr>
              <w:snapToGrid w:val="0"/>
              <w:spacing w:line="560" w:lineRule="exact"/>
            </w:pPr>
            <w:r>
              <w:rPr>
                <w:rFonts w:hint="eastAsia" w:ascii="宋体" w:hAnsi="宋体" w:cs="宋体"/>
                <w:sz w:val="24"/>
                <w:lang w:bidi="ar"/>
              </w:rPr>
              <w:t>2、对本项目的难点、要点的理解分析0-5分：</w:t>
            </w:r>
            <w:r>
              <w:rPr>
                <w:rFonts w:hint="eastAsia" w:ascii="宋体" w:hAnsi="宋体" w:cs="宋体"/>
                <w:color w:val="000000"/>
                <w:sz w:val="24"/>
              </w:rPr>
              <w:t>分析全面、准确5分；分析基本合理3分；分析欠全面合理1分；没有不得分。</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rPr>
                <w:rFonts w:ascii="宋体" w:hAnsi="宋体" w:cs="宋体"/>
                <w:sz w:val="24"/>
              </w:rPr>
            </w:pPr>
            <w:r>
              <w:rPr>
                <w:rFonts w:hint="eastAsia" w:ascii="宋体" w:hAnsi="宋体" w:cs="宋体"/>
                <w:sz w:val="24"/>
                <w:lang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rPr>
                <w:rFonts w:ascii="宋体" w:hAnsi="宋体" w:cs="宋体"/>
                <w:color w:val="000000"/>
                <w:sz w:val="24"/>
              </w:rPr>
            </w:pPr>
            <w:r>
              <w:rPr>
                <w:rFonts w:hint="eastAsia" w:ascii="宋体" w:hAnsi="宋体" w:cs="宋体"/>
                <w:color w:val="000000"/>
                <w:sz w:val="24"/>
                <w:lang w:bidi="ar"/>
              </w:rPr>
              <w:t>2</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textAlignment w:val="top"/>
              <w:rPr>
                <w:rFonts w:ascii="宋体" w:hAnsi="宋体" w:cs="宋体"/>
                <w:color w:val="000000"/>
                <w:sz w:val="24"/>
              </w:rPr>
            </w:pPr>
            <w:r>
              <w:rPr>
                <w:rFonts w:hint="eastAsia" w:ascii="宋体" w:hAnsi="宋体" w:cs="宋体"/>
                <w:color w:val="000000"/>
                <w:sz w:val="24"/>
              </w:rPr>
              <w:t>整体服务方案</w:t>
            </w:r>
          </w:p>
        </w:tc>
        <w:tc>
          <w:tcPr>
            <w:tcW w:w="521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snapToGrid w:val="0"/>
              <w:spacing w:line="560" w:lineRule="exact"/>
              <w:rPr>
                <w:rFonts w:ascii="宋体" w:hAnsi="宋体" w:cs="宋体"/>
                <w:sz w:val="24"/>
              </w:rPr>
            </w:pPr>
            <w:r>
              <w:rPr>
                <w:rFonts w:hint="eastAsia" w:ascii="宋体" w:hAnsi="宋体" w:cs="宋体"/>
                <w:sz w:val="24"/>
              </w:rPr>
              <w:t>总体服务方案0-5分：</w:t>
            </w:r>
            <w:r>
              <w:rPr>
                <w:rFonts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2"/>
              </w:numPr>
              <w:snapToGrid w:val="0"/>
              <w:spacing w:line="560" w:lineRule="exact"/>
              <w:rPr>
                <w:rFonts w:ascii="宋体" w:hAnsi="宋体" w:cs="宋体"/>
                <w:sz w:val="24"/>
              </w:rPr>
            </w:pPr>
            <w:r>
              <w:rPr>
                <w:rFonts w:hint="eastAsia" w:ascii="宋体" w:hAnsi="宋体" w:cs="宋体"/>
                <w:sz w:val="24"/>
              </w:rPr>
              <w:t>与省委网信办相关平台的对接方案：</w:t>
            </w:r>
            <w:r>
              <w:rPr>
                <w:rFonts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2"/>
              </w:numPr>
              <w:snapToGrid w:val="0"/>
              <w:spacing w:line="560" w:lineRule="exact"/>
              <w:rPr>
                <w:rFonts w:ascii="宋体" w:hAnsi="宋体" w:cs="宋体"/>
                <w:sz w:val="24"/>
              </w:rPr>
            </w:pPr>
            <w:r>
              <w:rPr>
                <w:rFonts w:hint="eastAsia" w:ascii="宋体" w:hAnsi="宋体" w:cs="宋体"/>
                <w:sz w:val="24"/>
              </w:rPr>
              <w:t>与省大数据局相关平台的对接方案：</w:t>
            </w:r>
            <w:r>
              <w:rPr>
                <w:rFonts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2"/>
              </w:numPr>
              <w:snapToGrid w:val="0"/>
              <w:spacing w:line="560" w:lineRule="exact"/>
              <w:rPr>
                <w:rFonts w:ascii="宋体" w:hAnsi="宋体" w:cs="宋体"/>
                <w:sz w:val="24"/>
              </w:rPr>
            </w:pPr>
            <w:r>
              <w:rPr>
                <w:rFonts w:hint="eastAsia" w:ascii="宋体" w:hAnsi="宋体" w:cs="宋体"/>
                <w:sz w:val="24"/>
              </w:rPr>
              <w:t>与省生态环境厅原有网络安全态势感知系统的对接方案：</w:t>
            </w:r>
            <w:r>
              <w:rPr>
                <w:rFonts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2"/>
              </w:numPr>
              <w:snapToGrid w:val="0"/>
              <w:spacing w:line="560" w:lineRule="exact"/>
              <w:rPr>
                <w:rFonts w:ascii="宋体" w:hAnsi="宋体" w:cs="宋体"/>
                <w:sz w:val="24"/>
              </w:rPr>
            </w:pPr>
            <w:r>
              <w:rPr>
                <w:rFonts w:hint="eastAsia" w:ascii="宋体" w:hAnsi="宋体" w:cs="宋体"/>
                <w:sz w:val="24"/>
              </w:rPr>
              <w:t>展示功能（驾驶仓）的理解响应方案：</w:t>
            </w:r>
            <w:r>
              <w:rPr>
                <w:rFonts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2"/>
              </w:numPr>
              <w:snapToGrid w:val="0"/>
              <w:spacing w:line="560" w:lineRule="exact"/>
              <w:rPr>
                <w:rFonts w:ascii="宋体" w:hAnsi="宋体" w:cs="宋体"/>
                <w:sz w:val="24"/>
              </w:rPr>
            </w:pPr>
            <w:r>
              <w:rPr>
                <w:rFonts w:hint="eastAsia" w:ascii="宋体" w:hAnsi="宋体" w:cs="宋体"/>
                <w:sz w:val="24"/>
              </w:rPr>
              <w:t>具体网络安全事件闭环管理的理解响应方案：</w:t>
            </w:r>
            <w:r>
              <w:rPr>
                <w:rFonts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2"/>
              </w:numPr>
              <w:snapToGrid w:val="0"/>
              <w:spacing w:line="560" w:lineRule="exact"/>
              <w:rPr>
                <w:rFonts w:ascii="宋体" w:hAnsi="宋体" w:cs="宋体"/>
                <w:sz w:val="24"/>
              </w:rPr>
            </w:pPr>
            <w:r>
              <w:rPr>
                <w:rFonts w:hint="eastAsia" w:ascii="宋体" w:hAnsi="宋体" w:cs="宋体"/>
                <w:sz w:val="24"/>
              </w:rPr>
              <w:t>对系统的其他功能需求的理解响应方案：</w:t>
            </w:r>
            <w:r>
              <w:rPr>
                <w:rFonts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2"/>
              </w:numPr>
              <w:snapToGrid w:val="0"/>
              <w:spacing w:line="560" w:lineRule="exact"/>
              <w:rPr>
                <w:rFonts w:ascii="宋体" w:hAnsi="宋体" w:cs="宋体"/>
                <w:sz w:val="24"/>
              </w:rPr>
            </w:pPr>
            <w:r>
              <w:rPr>
                <w:rFonts w:hint="eastAsia" w:ascii="宋体" w:hAnsi="宋体" w:cs="宋体"/>
                <w:sz w:val="24"/>
              </w:rPr>
              <w:t>对系统的性能、兼容性要求的理解响应方案：</w:t>
            </w:r>
            <w:r>
              <w:rPr>
                <w:rFonts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2"/>
              </w:numPr>
              <w:snapToGrid w:val="0"/>
              <w:spacing w:line="560" w:lineRule="exact"/>
              <w:rPr>
                <w:rFonts w:ascii="宋体" w:hAnsi="宋体" w:cs="宋体"/>
                <w:sz w:val="24"/>
              </w:rPr>
            </w:pPr>
            <w:r>
              <w:rPr>
                <w:rFonts w:hint="eastAsia" w:ascii="宋体" w:hAnsi="宋体" w:cs="宋体"/>
                <w:sz w:val="24"/>
              </w:rPr>
              <w:t>对系统的安全性要求的理解响应方案：</w:t>
            </w:r>
            <w:r>
              <w:rPr>
                <w:rFonts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2"/>
              </w:numPr>
              <w:snapToGrid w:val="0"/>
              <w:spacing w:line="560" w:lineRule="exact"/>
              <w:rPr>
                <w:rFonts w:ascii="宋体" w:hAnsi="宋体" w:cs="宋体"/>
                <w:sz w:val="24"/>
              </w:rPr>
            </w:pPr>
            <w:r>
              <w:rPr>
                <w:rFonts w:hint="eastAsia" w:ascii="宋体" w:hAnsi="宋体" w:cs="宋体"/>
                <w:sz w:val="24"/>
              </w:rPr>
              <w:t>系统开发、测试、验收的方案：</w:t>
            </w:r>
            <w:r>
              <w:rPr>
                <w:rFonts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2"/>
              </w:numPr>
              <w:snapToGrid w:val="0"/>
              <w:spacing w:line="560" w:lineRule="exact"/>
              <w:rPr>
                <w:rFonts w:ascii="宋体" w:hAnsi="宋体" w:cs="宋体"/>
                <w:sz w:val="24"/>
              </w:rPr>
            </w:pPr>
            <w:r>
              <w:rPr>
                <w:rFonts w:hint="eastAsia" w:ascii="宋体" w:hAnsi="宋体" w:cs="宋体"/>
                <w:sz w:val="24"/>
              </w:rPr>
              <w:t>系统培训方案（包括但不限于师资、材料、时间场地的安排等）：</w:t>
            </w:r>
            <w:r>
              <w:rPr>
                <w:rFonts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2"/>
              </w:numPr>
              <w:snapToGrid w:val="0"/>
              <w:spacing w:line="560" w:lineRule="exact"/>
              <w:rPr>
                <w:rFonts w:ascii="宋体" w:hAnsi="宋体" w:cs="宋体"/>
                <w:sz w:val="24"/>
              </w:rPr>
            </w:pPr>
            <w:r>
              <w:rPr>
                <w:rFonts w:hint="eastAsia" w:ascii="宋体" w:hAnsi="宋体" w:cs="宋体"/>
                <w:sz w:val="24"/>
              </w:rPr>
              <w:t>项目维护计划（定期巡检等情况）、售后服务的响应情况（对用户故障响应、处理等）的方案：</w:t>
            </w:r>
            <w:r>
              <w:rPr>
                <w:rFonts w:ascii="宋体" w:hAnsi="宋体" w:cs="宋体"/>
                <w:sz w:val="24"/>
              </w:rPr>
              <w:t>方案内容详实，逻辑缜密，具有针对性，可实施性强的得5分；方案内容较详实，基本能符合采购需要，针对性，可实施性一般的得3分；方案或明显存在缺陷的，得1分；未提供相关描述不得分</w:t>
            </w:r>
          </w:p>
          <w:p>
            <w:pPr>
              <w:numPr>
                <w:ilvl w:val="0"/>
                <w:numId w:val="2"/>
              </w:numPr>
              <w:snapToGrid w:val="0"/>
              <w:spacing w:line="560" w:lineRule="exact"/>
              <w:rPr>
                <w:rFonts w:ascii="宋体" w:hAnsi="宋体" w:cs="宋体"/>
                <w:sz w:val="24"/>
              </w:rPr>
            </w:pPr>
            <w:r>
              <w:rPr>
                <w:rFonts w:hint="eastAsia" w:ascii="宋体" w:hAnsi="宋体" w:cs="宋体"/>
                <w:sz w:val="24"/>
              </w:rPr>
              <w:t>投标人承诺配合采购人开展相关网络和数据安全审查，内容包括企业资质、管理制度、技术监管、核心运维人员背景审查等，并承诺做到满足《浙江省信息技术服务外包网络安全管理办法》有关要求。承诺得2分（格式自拟），未承诺不得分。</w:t>
            </w:r>
          </w:p>
          <w:p>
            <w:pPr>
              <w:numPr>
                <w:ilvl w:val="0"/>
                <w:numId w:val="2"/>
              </w:numPr>
              <w:snapToGrid w:val="0"/>
              <w:spacing w:line="560" w:lineRule="exact"/>
              <w:rPr>
                <w:rFonts w:ascii="宋体" w:hAnsi="宋体" w:cs="宋体"/>
                <w:sz w:val="24"/>
              </w:rPr>
            </w:pPr>
            <w:r>
              <w:rPr>
                <w:rFonts w:hint="eastAsia" w:ascii="宋体" w:hAnsi="宋体" w:cs="宋体"/>
                <w:sz w:val="24"/>
              </w:rPr>
              <w:t>项目成果提交方案：</w:t>
            </w:r>
            <w:r>
              <w:rPr>
                <w:rFonts w:ascii="宋体" w:hAnsi="宋体" w:cs="宋体"/>
                <w:sz w:val="24"/>
              </w:rPr>
              <w:t>方案内容详实，逻辑缜密，具有针对性，可实施性强的得</w:t>
            </w:r>
            <w:r>
              <w:rPr>
                <w:rFonts w:hint="eastAsia" w:ascii="宋体" w:hAnsi="宋体" w:cs="宋体"/>
                <w:sz w:val="24"/>
              </w:rPr>
              <w:t>5</w:t>
            </w:r>
            <w:r>
              <w:rPr>
                <w:rFonts w:ascii="宋体" w:hAnsi="宋体" w:cs="宋体"/>
                <w:sz w:val="24"/>
              </w:rPr>
              <w:t>分；方案内容较详实，基本能符合采购需要，针对性，可实施性一般的得</w:t>
            </w:r>
            <w:r>
              <w:rPr>
                <w:rFonts w:hint="eastAsia" w:ascii="宋体" w:hAnsi="宋体" w:cs="宋体"/>
                <w:sz w:val="24"/>
              </w:rPr>
              <w:t>3</w:t>
            </w:r>
            <w:r>
              <w:rPr>
                <w:rFonts w:ascii="宋体" w:hAnsi="宋体" w:cs="宋体"/>
                <w:sz w:val="24"/>
              </w:rPr>
              <w:t>分；方案或明显存在缺陷的，得1分；未提供相关描述不得分</w:t>
            </w:r>
            <w:r>
              <w:rPr>
                <w:rFonts w:hint="eastAsia" w:ascii="宋体" w:hAnsi="宋体" w:cs="宋体"/>
                <w:sz w:val="24"/>
              </w:rPr>
              <w:t>。</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宋体" w:hAnsi="宋体" w:cs="宋体"/>
                <w:sz w:val="24"/>
              </w:rPr>
            </w:pPr>
            <w:r>
              <w:rPr>
                <w:rFonts w:hint="eastAsia" w:ascii="宋体" w:hAnsi="宋体" w:cs="宋体"/>
                <w:sz w:val="24"/>
                <w:lang w:bidi="ar"/>
              </w:rPr>
              <w:t>0-67分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rPr>
                <w:rFonts w:ascii="宋体" w:hAnsi="宋体" w:cs="宋体"/>
                <w:color w:val="000000"/>
                <w:sz w:val="24"/>
              </w:rPr>
            </w:pPr>
            <w:r>
              <w:rPr>
                <w:rFonts w:hint="eastAsia" w:ascii="宋体" w:hAnsi="宋体" w:cs="宋体"/>
                <w:color w:val="000000"/>
                <w:sz w:val="24"/>
                <w:lang w:bidi="ar"/>
              </w:rPr>
              <w:t>3</w:t>
            </w:r>
          </w:p>
        </w:tc>
        <w:tc>
          <w:tcPr>
            <w:tcW w:w="1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560" w:lineRule="exact"/>
              <w:rPr>
                <w:rFonts w:ascii="宋体" w:hAnsi="宋体" w:cs="宋体"/>
                <w:color w:val="000000"/>
                <w:sz w:val="24"/>
              </w:rPr>
            </w:pPr>
            <w:r>
              <w:rPr>
                <w:rFonts w:hint="eastAsia" w:ascii="宋体" w:hAnsi="宋体" w:cs="宋体"/>
                <w:color w:val="000000"/>
                <w:sz w:val="24"/>
                <w:lang w:bidi="ar"/>
              </w:rPr>
              <w:t>项目团队力量</w:t>
            </w:r>
            <w:r>
              <w:rPr>
                <w:rFonts w:hint="eastAsia" w:ascii="宋体" w:hAnsi="宋体" w:cs="宋体"/>
                <w:sz w:val="24"/>
                <w:lang w:bidi="ar"/>
              </w:rPr>
              <w:t>（提供人员近6个月社保资料，不提供不得分）</w:t>
            </w:r>
          </w:p>
        </w:tc>
        <w:tc>
          <w:tcPr>
            <w:tcW w:w="5218"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3"/>
              </w:numPr>
              <w:snapToGrid w:val="0"/>
              <w:spacing w:line="560" w:lineRule="exact"/>
              <w:rPr>
                <w:rFonts w:ascii="宋体" w:hAnsi="宋体" w:cs="宋体"/>
                <w:sz w:val="24"/>
                <w:lang w:bidi="ar"/>
              </w:rPr>
            </w:pPr>
            <w:r>
              <w:rPr>
                <w:rFonts w:hint="eastAsia" w:ascii="宋体" w:hAnsi="宋体" w:cs="宋体"/>
                <w:sz w:val="24"/>
                <w:lang w:bidi="ar"/>
              </w:rPr>
              <w:t>项目负责人：</w:t>
            </w:r>
          </w:p>
          <w:p>
            <w:pPr>
              <w:snapToGrid w:val="0"/>
              <w:spacing w:line="560" w:lineRule="exact"/>
              <w:rPr>
                <w:rFonts w:ascii="宋体" w:hAnsi="宋体" w:cs="宋体"/>
                <w:sz w:val="24"/>
                <w:lang w:bidi="ar"/>
              </w:rPr>
            </w:pPr>
            <w:r>
              <w:rPr>
                <w:rFonts w:hint="eastAsia" w:ascii="宋体" w:hAnsi="宋体" w:cs="宋体"/>
                <w:sz w:val="24"/>
                <w:lang w:bidi="ar"/>
              </w:rPr>
              <w:t>投入本次项目负责人具有高级工程师、系统集成项目管理工程师、ITIL证书、信息安全保障人员认证（CISAW）证书，每提供一个得1分，最高得4分，提供证明材料，没有不得分。</w:t>
            </w:r>
          </w:p>
          <w:p>
            <w:pPr>
              <w:numPr>
                <w:ilvl w:val="0"/>
                <w:numId w:val="4"/>
              </w:numPr>
              <w:snapToGrid w:val="0"/>
              <w:spacing w:line="560" w:lineRule="exact"/>
              <w:rPr>
                <w:rFonts w:ascii="宋体" w:hAnsi="宋体" w:cs="宋体"/>
                <w:sz w:val="24"/>
                <w:lang w:bidi="ar"/>
              </w:rPr>
            </w:pPr>
            <w:r>
              <w:rPr>
                <w:rFonts w:hint="eastAsia" w:ascii="宋体" w:hAnsi="宋体" w:cs="宋体"/>
                <w:sz w:val="24"/>
                <w:lang w:bidi="ar"/>
              </w:rPr>
              <w:t>服务团队人员（除项目负责人）：</w:t>
            </w:r>
          </w:p>
          <w:p>
            <w:pPr>
              <w:snapToGrid w:val="0"/>
              <w:spacing w:line="560" w:lineRule="exact"/>
              <w:ind w:firstLine="480" w:firstLineChars="200"/>
              <w:rPr>
                <w:rFonts w:ascii="宋体" w:hAnsi="宋体" w:cs="宋体"/>
                <w:sz w:val="24"/>
                <w:lang w:bidi="ar"/>
              </w:rPr>
            </w:pPr>
            <w:r>
              <w:rPr>
                <w:rFonts w:hint="eastAsia" w:ascii="宋体" w:hAnsi="宋体" w:cs="宋体"/>
                <w:sz w:val="24"/>
                <w:lang w:bidi="ar"/>
              </w:rPr>
              <w:t>投标人实施团队具有高级工程师、ITIL证书、信息安全保障人员认证（CISAW）证书、信息系统项目管理师、系统架构设计师、ACE(云计算架构师)、 注册渗透测试工程师CISP-PTE，每提供一个得1分，最高5分，提供证明材料，不提供不得分。</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宋体" w:hAnsi="宋体" w:cs="宋体"/>
                <w:sz w:val="24"/>
              </w:rPr>
            </w:pPr>
            <w:r>
              <w:rPr>
                <w:rFonts w:hint="eastAsia" w:ascii="宋体" w:hAnsi="宋体" w:cs="宋体"/>
                <w:sz w:val="24"/>
                <w:lang w:bidi="ar"/>
              </w:rPr>
              <w:t>0-9分</w:t>
            </w:r>
          </w:p>
        </w:tc>
      </w:tr>
    </w:tbl>
    <w:p>
      <w:pPr>
        <w:pStyle w:val="26"/>
        <w:rPr>
          <w:rFonts w:hAnsi="宋体" w:cs="宋体"/>
        </w:rPr>
      </w:pPr>
    </w:p>
    <w:p>
      <w:pPr>
        <w:pStyle w:val="2"/>
        <w:ind w:firstLine="420"/>
      </w:pPr>
    </w:p>
    <w:p>
      <w:pPr>
        <w:pStyle w:val="26"/>
        <w:rPr>
          <w:rFonts w:hAnsi="宋体" w:cs="宋体"/>
        </w:rPr>
        <w:sectPr>
          <w:pgSz w:w="11906" w:h="16838"/>
          <w:pgMar w:top="1276" w:right="1418" w:bottom="1247" w:left="1418" w:header="851" w:footer="992" w:gutter="0"/>
          <w:cols w:space="720" w:num="1"/>
          <w:titlePg/>
          <w:docGrid w:linePitch="312" w:charSpace="0"/>
        </w:sectPr>
      </w:pPr>
    </w:p>
    <w:p>
      <w:pPr>
        <w:spacing w:line="360" w:lineRule="auto"/>
        <w:outlineLvl w:val="1"/>
        <w:rPr>
          <w:rFonts w:ascii="宋体" w:hAnsi="宋体" w:cs="宋体"/>
          <w:b/>
          <w:sz w:val="36"/>
          <w:szCs w:val="36"/>
        </w:rPr>
      </w:pPr>
      <w:bookmarkStart w:id="406" w:name="_Toc7888"/>
      <w:r>
        <w:rPr>
          <w:rFonts w:hint="eastAsia" w:ascii="宋体" w:hAnsi="宋体" w:cs="宋体"/>
          <w:b/>
          <w:sz w:val="36"/>
          <w:szCs w:val="36"/>
        </w:rPr>
        <w:t>三、评标程序</w:t>
      </w:r>
      <w:bookmarkEnd w:id="406"/>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委员会推荐得分最高的投标人为第一中标候选人、得分次高的投标人为第二中标候选人，并编写评标报告。得分相同的，按投标报价由低到高顺序排列。得分且投标报价相同的并列，投标文件满足招标文件全部实质性要求，且按照评审因素的量化指标评审得分最高的投标人为排名第一的中标候选人。评审因素的量化指标评审得分也相同的则抽签决定。</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outlineLvl w:val="1"/>
        <w:rPr>
          <w:rFonts w:ascii="宋体" w:hAnsi="宋体" w:cs="宋体"/>
          <w:b/>
          <w:sz w:val="36"/>
          <w:szCs w:val="36"/>
        </w:rPr>
      </w:pPr>
      <w:r>
        <w:rPr>
          <w:rFonts w:hint="eastAsia" w:ascii="宋体" w:hAnsi="宋体" w:cs="宋体"/>
          <w:b/>
          <w:sz w:val="36"/>
          <w:szCs w:val="36"/>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有下列情况之一的，投标无效：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480" w:firstLineChars="20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4.2.12投标人仅提交备份投标文件，没有在电子交易平台传输递交投标文件的，投标无效；</w:t>
      </w:r>
    </w:p>
    <w:p>
      <w:pPr>
        <w:spacing w:line="360" w:lineRule="auto"/>
        <w:ind w:firstLine="480" w:firstLineChars="200"/>
        <w:rPr>
          <w:rFonts w:ascii="宋体" w:hAnsi="宋体" w:cs="宋体"/>
          <w:kern w:val="0"/>
          <w:sz w:val="24"/>
        </w:rPr>
      </w:pPr>
      <w:bookmarkStart w:id="407" w:name="_Toc4159"/>
      <w:r>
        <w:rPr>
          <w:rFonts w:hint="eastAsia" w:ascii="宋体" w:hAnsi="宋体" w:cs="宋体"/>
          <w:kern w:val="0"/>
          <w:sz w:val="24"/>
        </w:rPr>
        <w:t>4.2.13投标文件不满足招标文件的其它实质性要求的；</w:t>
      </w:r>
      <w:bookmarkEnd w:id="407"/>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4.2.14法律、法规、规章及省级以上规范性文件规定的其他无效情形。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废标后，采购机构应当将废标理由通知所有投标人。</w:t>
      </w:r>
    </w:p>
    <w:p>
      <w:pPr>
        <w:pStyle w:val="3"/>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3"/>
        <w:snapToGrid w:val="0"/>
        <w:spacing w:line="360" w:lineRule="auto"/>
        <w:rPr>
          <w:rFonts w:cs="宋体"/>
        </w:rPr>
      </w:pPr>
      <w:r>
        <w:rPr>
          <w:rFonts w:hint="eastAsia" w:cs="宋体"/>
        </w:rPr>
        <w:t>7.1未确定中标或者中标人的，终止本次政府采购活动，重新开展政府采购活动。</w:t>
      </w:r>
    </w:p>
    <w:p>
      <w:pPr>
        <w:pStyle w:val="3"/>
        <w:snapToGrid w:val="0"/>
        <w:spacing w:line="360" w:lineRule="auto"/>
        <w:rPr>
          <w:rFonts w:cs="宋体"/>
        </w:rPr>
      </w:pPr>
      <w:r>
        <w:rPr>
          <w:rFonts w:hint="eastAsia"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bookmarkEnd w:id="37"/>
    <w:p>
      <w:pPr>
        <w:rPr>
          <w:rFonts w:ascii="宋体" w:hAnsi="宋体" w:cs="宋体"/>
          <w:b/>
          <w:sz w:val="36"/>
          <w:szCs w:val="36"/>
        </w:rPr>
      </w:pPr>
      <w:bookmarkStart w:id="408" w:name="第五部分"/>
      <w:bookmarkStart w:id="409" w:name="_Toc86217003"/>
    </w:p>
    <w:p>
      <w:pPr>
        <w:spacing w:line="360" w:lineRule="auto"/>
        <w:jc w:val="center"/>
        <w:outlineLvl w:val="0"/>
        <w:rPr>
          <w:rFonts w:ascii="宋体" w:hAnsi="宋体" w:cs="宋体"/>
          <w:b/>
          <w:sz w:val="36"/>
          <w:szCs w:val="36"/>
        </w:rPr>
        <w:sectPr>
          <w:pgSz w:w="11906" w:h="16838"/>
          <w:pgMar w:top="1276" w:right="1418" w:bottom="1247" w:left="1418" w:header="851" w:footer="992" w:gutter="0"/>
          <w:cols w:space="720" w:num="1"/>
          <w:titlePg/>
          <w:docGrid w:linePitch="312" w:charSpace="0"/>
        </w:sectPr>
      </w:pPr>
      <w:bookmarkStart w:id="410" w:name="_Toc22571"/>
    </w:p>
    <w:p>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bookmarkEnd w:id="410"/>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360" w:lineRule="auto"/>
        <w:ind w:firstLine="420"/>
        <w:rPr>
          <w:rFonts w:ascii="宋体" w:hAnsi="宋体" w:cs="宋体"/>
          <w:sz w:val="24"/>
        </w:rPr>
      </w:pPr>
      <w:r>
        <w:rPr>
          <w:rFonts w:hint="eastAsia" w:ascii="宋体" w:hAnsi="宋体" w:cs="宋体"/>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5"/>
        <w:rPr>
          <w:rFonts w:ascii="宋体" w:hAnsi="宋体" w:eastAsia="宋体" w:cs="宋体"/>
          <w:sz w:val="24"/>
          <w:szCs w:val="24"/>
        </w:rPr>
      </w:pPr>
      <w:bookmarkStart w:id="411" w:name="_Toc32330"/>
      <w:bookmarkStart w:id="412" w:name="_Toc26339"/>
      <w:bookmarkStart w:id="413" w:name="_Toc5679"/>
      <w:r>
        <w:rPr>
          <w:rFonts w:hint="eastAsia" w:ascii="宋体" w:hAnsi="宋体" w:eastAsia="宋体" w:cs="宋体"/>
          <w:sz w:val="24"/>
          <w:szCs w:val="24"/>
        </w:rPr>
        <w:t>浙江省政府采购合同指引</w:t>
      </w:r>
      <w:bookmarkEnd w:id="411"/>
      <w:bookmarkEnd w:id="412"/>
      <w:bookmarkEnd w:id="413"/>
    </w:p>
    <w:p>
      <w:pPr>
        <w:spacing w:line="360" w:lineRule="auto"/>
        <w:ind w:firstLine="420"/>
        <w:rPr>
          <w:rFonts w:ascii="宋体" w:hAnsi="宋体" w:cs="宋体"/>
          <w:sz w:val="24"/>
        </w:rPr>
      </w:pPr>
      <w:r>
        <w:rPr>
          <w:rFonts w:hint="eastAsia" w:ascii="宋体" w:hAnsi="宋体" w:cs="宋体"/>
          <w:sz w:val="24"/>
        </w:rPr>
        <w:t>项目名称：                                     项目编号：</w:t>
      </w:r>
    </w:p>
    <w:p>
      <w:pPr>
        <w:spacing w:line="360" w:lineRule="auto"/>
        <w:ind w:firstLine="420"/>
        <w:rPr>
          <w:rFonts w:ascii="宋体" w:hAnsi="宋体" w:cs="宋体"/>
          <w:sz w:val="24"/>
        </w:rPr>
      </w:pPr>
      <w:r>
        <w:rPr>
          <w:rFonts w:hint="eastAsia" w:ascii="宋体" w:hAnsi="宋体" w:cs="宋体"/>
          <w:sz w:val="24"/>
        </w:rPr>
        <w:t>甲方：（买方）</w:t>
      </w:r>
    </w:p>
    <w:p>
      <w:pPr>
        <w:spacing w:line="360" w:lineRule="auto"/>
        <w:ind w:firstLine="420"/>
        <w:rPr>
          <w:rFonts w:ascii="宋体" w:hAnsi="宋体" w:cs="宋体"/>
          <w:sz w:val="24"/>
        </w:rPr>
      </w:pPr>
      <w:r>
        <w:rPr>
          <w:rFonts w:hint="eastAsia" w:ascii="宋体" w:hAnsi="宋体" w:cs="宋体"/>
          <w:sz w:val="24"/>
        </w:rPr>
        <w:t>乙方：（卖方）</w:t>
      </w:r>
    </w:p>
    <w:p>
      <w:pPr>
        <w:spacing w:line="360" w:lineRule="auto"/>
        <w:ind w:firstLine="420"/>
        <w:rPr>
          <w:rFonts w:ascii="宋体" w:hAnsi="宋体" w:cs="宋体"/>
          <w:b/>
          <w:sz w:val="24"/>
        </w:rPr>
      </w:pPr>
      <w:r>
        <w:rPr>
          <w:rFonts w:hint="eastAsia" w:ascii="宋体" w:hAnsi="宋体" w:cs="宋体"/>
          <w:sz w:val="24"/>
        </w:rPr>
        <w:t>甲、乙双方根据 的结果，签署本合同。</w:t>
      </w:r>
    </w:p>
    <w:p>
      <w:pPr>
        <w:pStyle w:val="6"/>
        <w:spacing w:line="360" w:lineRule="auto"/>
        <w:rPr>
          <w:rFonts w:ascii="宋体" w:hAnsi="宋体" w:cs="宋体"/>
          <w:sz w:val="24"/>
          <w:szCs w:val="24"/>
        </w:rPr>
      </w:pPr>
      <w:r>
        <w:rPr>
          <w:rFonts w:hint="eastAsia" w:ascii="宋体" w:hAnsi="宋体" w:cs="宋体"/>
          <w:sz w:val="24"/>
          <w:szCs w:val="24"/>
        </w:rPr>
        <w:t>一、服务内容</w:t>
      </w:r>
    </w:p>
    <w:p>
      <w:pPr>
        <w:pStyle w:val="6"/>
        <w:spacing w:line="360" w:lineRule="auto"/>
        <w:rPr>
          <w:rFonts w:ascii="宋体" w:hAnsi="宋体" w:cs="宋体"/>
          <w:sz w:val="24"/>
          <w:szCs w:val="24"/>
        </w:rPr>
      </w:pPr>
      <w:r>
        <w:rPr>
          <w:rFonts w:hint="eastAsia" w:ascii="宋体" w:hAnsi="宋体" w:cs="宋体"/>
          <w:sz w:val="24"/>
          <w:szCs w:val="24"/>
        </w:rPr>
        <w:t>二、合同金额</w:t>
      </w:r>
    </w:p>
    <w:p>
      <w:pPr>
        <w:spacing w:line="360" w:lineRule="auto"/>
        <w:ind w:firstLine="420"/>
        <w:rPr>
          <w:rFonts w:ascii="宋体" w:hAnsi="宋体" w:cs="宋体"/>
          <w:sz w:val="24"/>
        </w:rPr>
      </w:pPr>
      <w:r>
        <w:rPr>
          <w:rFonts w:hint="eastAsia" w:ascii="宋体" w:hAnsi="宋体" w:cs="宋体"/>
          <w:sz w:val="24"/>
        </w:rPr>
        <w:t>2.1 本合同金额为（大写）：____________________________________元（￥_______________元）人民币。</w:t>
      </w:r>
    </w:p>
    <w:p>
      <w:pPr>
        <w:pStyle w:val="6"/>
        <w:spacing w:line="360" w:lineRule="auto"/>
        <w:rPr>
          <w:rFonts w:ascii="宋体" w:hAnsi="宋体" w:cs="宋体"/>
          <w:sz w:val="24"/>
          <w:szCs w:val="24"/>
        </w:rPr>
      </w:pPr>
      <w:r>
        <w:rPr>
          <w:rFonts w:hint="eastAsia" w:ascii="宋体" w:hAnsi="宋体" w:cs="宋体"/>
          <w:sz w:val="24"/>
          <w:szCs w:val="24"/>
        </w:rPr>
        <w:t>三、技术资料</w:t>
      </w:r>
    </w:p>
    <w:p>
      <w:pPr>
        <w:spacing w:line="360" w:lineRule="auto"/>
        <w:ind w:firstLine="420"/>
        <w:rPr>
          <w:rFonts w:ascii="宋体" w:hAnsi="宋体" w:cs="宋体"/>
          <w:sz w:val="24"/>
        </w:rPr>
      </w:pPr>
      <w:r>
        <w:rPr>
          <w:rFonts w:hint="eastAsia" w:ascii="宋体" w:hAnsi="宋体" w:cs="宋体"/>
          <w:sz w:val="24"/>
        </w:rPr>
        <w:t>3.1乙方应按采购文件规定的时间向甲方提供有关技术资料。</w:t>
      </w:r>
    </w:p>
    <w:p>
      <w:pPr>
        <w:spacing w:line="360" w:lineRule="auto"/>
        <w:ind w:firstLine="420"/>
        <w:rPr>
          <w:rFonts w:ascii="宋体" w:hAnsi="宋体" w:cs="宋体"/>
          <w:sz w:val="24"/>
        </w:rPr>
      </w:pPr>
      <w:r>
        <w:rPr>
          <w:rFonts w:hint="eastAsia" w:ascii="宋体" w:hAnsi="宋体" w:cs="宋体"/>
          <w:sz w:val="24"/>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spacing w:line="360" w:lineRule="auto"/>
        <w:rPr>
          <w:rFonts w:ascii="宋体" w:hAnsi="宋体" w:cs="宋体"/>
          <w:sz w:val="24"/>
          <w:szCs w:val="24"/>
        </w:rPr>
      </w:pPr>
      <w:r>
        <w:rPr>
          <w:rFonts w:hint="eastAsia" w:ascii="宋体" w:hAnsi="宋体" w:cs="宋体"/>
          <w:sz w:val="24"/>
          <w:szCs w:val="24"/>
        </w:rPr>
        <w:t>四、知识产权</w:t>
      </w:r>
    </w:p>
    <w:p>
      <w:pPr>
        <w:spacing w:line="360" w:lineRule="auto"/>
        <w:ind w:firstLine="420"/>
        <w:rPr>
          <w:rFonts w:ascii="宋体" w:hAnsi="宋体" w:cs="宋体"/>
          <w:b/>
          <w:bCs/>
          <w:sz w:val="24"/>
        </w:rPr>
      </w:pPr>
      <w:r>
        <w:rPr>
          <w:rFonts w:hint="eastAsia" w:ascii="宋体" w:hAnsi="宋体" w:cs="宋体"/>
          <w:sz w:val="24"/>
        </w:rPr>
        <w:t>4.1乙方应保证提供服务过程中不会侵犯任何第三方的知识产权</w:t>
      </w:r>
      <w:r>
        <w:rPr>
          <w:rFonts w:hint="eastAsia" w:ascii="宋体" w:hAnsi="宋体" w:cs="宋体"/>
          <w:bCs/>
          <w:sz w:val="24"/>
        </w:rPr>
        <w:t>。</w:t>
      </w:r>
    </w:p>
    <w:p>
      <w:pPr>
        <w:pStyle w:val="6"/>
        <w:spacing w:line="360" w:lineRule="auto"/>
        <w:rPr>
          <w:rFonts w:ascii="宋体" w:hAnsi="宋体" w:cs="宋体"/>
          <w:sz w:val="24"/>
          <w:szCs w:val="24"/>
        </w:rPr>
      </w:pPr>
      <w:r>
        <w:rPr>
          <w:rFonts w:hint="eastAsia" w:ascii="宋体" w:hAnsi="宋体" w:cs="宋体"/>
          <w:sz w:val="24"/>
          <w:szCs w:val="24"/>
        </w:rPr>
        <w:t>五、履约保证金</w:t>
      </w:r>
    </w:p>
    <w:p>
      <w:pPr>
        <w:spacing w:line="360" w:lineRule="auto"/>
        <w:ind w:firstLine="422"/>
        <w:rPr>
          <w:rFonts w:ascii="宋体" w:hAnsi="宋体" w:cs="宋体"/>
          <w:sz w:val="24"/>
        </w:rPr>
      </w:pPr>
      <w:r>
        <w:rPr>
          <w:rFonts w:hint="eastAsia" w:ascii="宋体" w:hAnsi="宋体" w:cs="宋体"/>
          <w:sz w:val="24"/>
        </w:rPr>
        <w:t>无</w:t>
      </w:r>
    </w:p>
    <w:p>
      <w:pPr>
        <w:pStyle w:val="6"/>
        <w:spacing w:line="360" w:lineRule="auto"/>
        <w:rPr>
          <w:rFonts w:ascii="宋体" w:hAnsi="宋体" w:cs="宋体"/>
          <w:sz w:val="24"/>
          <w:szCs w:val="24"/>
        </w:rPr>
      </w:pPr>
      <w:r>
        <w:rPr>
          <w:rFonts w:hint="eastAsia" w:ascii="宋体" w:hAnsi="宋体" w:cs="宋体"/>
          <w:sz w:val="24"/>
          <w:szCs w:val="24"/>
        </w:rPr>
        <w:t>六、转包或分包</w:t>
      </w:r>
    </w:p>
    <w:p>
      <w:pPr>
        <w:spacing w:line="360" w:lineRule="auto"/>
        <w:ind w:firstLine="420"/>
        <w:rPr>
          <w:rFonts w:ascii="宋体" w:hAnsi="宋体" w:cs="宋体"/>
          <w:sz w:val="24"/>
        </w:rPr>
      </w:pPr>
      <w:r>
        <w:rPr>
          <w:rFonts w:hint="eastAsia" w:ascii="宋体" w:hAnsi="宋体" w:cs="宋体"/>
          <w:sz w:val="24"/>
        </w:rPr>
        <w:t>6.1本合同范围的服务，应由乙方直接供应，不得转让他人供应；</w:t>
      </w:r>
    </w:p>
    <w:p>
      <w:pPr>
        <w:spacing w:line="360" w:lineRule="auto"/>
        <w:ind w:firstLine="420"/>
        <w:rPr>
          <w:rFonts w:ascii="宋体" w:hAnsi="宋体" w:cs="宋体"/>
          <w:sz w:val="24"/>
        </w:rPr>
      </w:pPr>
      <w:r>
        <w:rPr>
          <w:rFonts w:hint="eastAsia" w:ascii="宋体" w:hAnsi="宋体" w:cs="宋体"/>
          <w:sz w:val="24"/>
        </w:rPr>
        <w:t>6.2除非得到甲方的书面同意，乙方不得将本合同范围的服务全部或部分分包给他人供应；</w:t>
      </w:r>
    </w:p>
    <w:p>
      <w:pPr>
        <w:spacing w:line="360" w:lineRule="auto"/>
        <w:ind w:firstLine="420"/>
        <w:rPr>
          <w:rFonts w:ascii="宋体" w:hAnsi="宋体" w:cs="宋体"/>
          <w:sz w:val="24"/>
        </w:rPr>
      </w:pPr>
      <w:r>
        <w:rPr>
          <w:rFonts w:hint="eastAsia" w:ascii="宋体" w:hAnsi="宋体" w:cs="宋体"/>
          <w:sz w:val="24"/>
        </w:rPr>
        <w:t>6.3如有转让和未经甲方同意的分包行为，甲方有权解除合同，没收履约保证金并追究乙方的违约责任。</w:t>
      </w:r>
    </w:p>
    <w:p>
      <w:pPr>
        <w:pStyle w:val="6"/>
        <w:spacing w:line="360" w:lineRule="auto"/>
        <w:rPr>
          <w:rFonts w:ascii="宋体" w:hAnsi="宋体" w:cs="宋体"/>
          <w:sz w:val="24"/>
          <w:szCs w:val="24"/>
        </w:rPr>
      </w:pPr>
      <w:r>
        <w:rPr>
          <w:rFonts w:hint="eastAsia" w:ascii="宋体" w:hAnsi="宋体" w:cs="宋体"/>
          <w:sz w:val="24"/>
          <w:szCs w:val="24"/>
        </w:rPr>
        <w:t>七、服务质量保证期(选用)</w:t>
      </w:r>
    </w:p>
    <w:p>
      <w:pPr>
        <w:spacing w:line="360" w:lineRule="auto"/>
        <w:ind w:firstLine="420"/>
        <w:rPr>
          <w:rFonts w:ascii="宋体" w:hAnsi="宋体" w:cs="宋体"/>
          <w:sz w:val="24"/>
        </w:rPr>
      </w:pPr>
      <w:r>
        <w:rPr>
          <w:rFonts w:hint="eastAsia" w:ascii="宋体" w:hAnsi="宋体" w:cs="宋体"/>
          <w:sz w:val="24"/>
        </w:rPr>
        <w:t>7.1服务质量保证期  年。（自验收合格之日起计）</w:t>
      </w:r>
    </w:p>
    <w:p>
      <w:pPr>
        <w:pStyle w:val="6"/>
        <w:spacing w:line="360" w:lineRule="auto"/>
        <w:rPr>
          <w:rFonts w:ascii="宋体" w:hAnsi="宋体" w:cs="宋体"/>
          <w:sz w:val="24"/>
          <w:szCs w:val="24"/>
        </w:rPr>
      </w:pPr>
      <w:r>
        <w:rPr>
          <w:rFonts w:hint="eastAsia" w:ascii="宋体" w:hAnsi="宋体" w:cs="宋体"/>
          <w:sz w:val="24"/>
          <w:szCs w:val="24"/>
        </w:rPr>
        <w:t>八、合同履行时间、履行方式及履行地点</w:t>
      </w:r>
    </w:p>
    <w:p>
      <w:pPr>
        <w:spacing w:line="360" w:lineRule="auto"/>
        <w:ind w:firstLine="420"/>
        <w:rPr>
          <w:rFonts w:ascii="宋体" w:hAnsi="宋体" w:cs="宋体"/>
          <w:bCs/>
          <w:sz w:val="24"/>
        </w:rPr>
      </w:pPr>
      <w:r>
        <w:rPr>
          <w:rFonts w:hint="eastAsia" w:ascii="宋体" w:hAnsi="宋体" w:cs="宋体"/>
          <w:bCs/>
          <w:sz w:val="24"/>
        </w:rPr>
        <w:t>8.1</w:t>
      </w:r>
      <w:r>
        <w:rPr>
          <w:rFonts w:hint="eastAsia" w:ascii="宋体" w:hAnsi="宋体" w:cs="宋体"/>
          <w:sz w:val="24"/>
        </w:rPr>
        <w:t>履行时间</w:t>
      </w:r>
      <w:r>
        <w:rPr>
          <w:rFonts w:hint="eastAsia" w:ascii="宋体" w:hAnsi="宋体" w:cs="宋体"/>
          <w:bCs/>
          <w:sz w:val="24"/>
        </w:rPr>
        <w:t>：</w:t>
      </w:r>
    </w:p>
    <w:p>
      <w:pPr>
        <w:spacing w:line="360" w:lineRule="auto"/>
        <w:ind w:firstLine="420"/>
        <w:rPr>
          <w:rFonts w:ascii="宋体" w:hAnsi="宋体" w:cs="宋体"/>
          <w:bCs/>
          <w:sz w:val="24"/>
        </w:rPr>
      </w:pPr>
      <w:r>
        <w:rPr>
          <w:rFonts w:hint="eastAsia" w:ascii="宋体" w:hAnsi="宋体" w:cs="宋体"/>
          <w:bCs/>
          <w:sz w:val="24"/>
        </w:rPr>
        <w:t>8.2</w:t>
      </w:r>
      <w:r>
        <w:rPr>
          <w:rFonts w:hint="eastAsia" w:ascii="宋体" w:hAnsi="宋体" w:cs="宋体"/>
          <w:sz w:val="24"/>
        </w:rPr>
        <w:t>履行方式</w:t>
      </w:r>
      <w:r>
        <w:rPr>
          <w:rFonts w:hint="eastAsia" w:ascii="宋体" w:hAnsi="宋体" w:cs="宋体"/>
          <w:bCs/>
          <w:sz w:val="24"/>
        </w:rPr>
        <w:t>：</w:t>
      </w:r>
    </w:p>
    <w:p>
      <w:pPr>
        <w:spacing w:line="360" w:lineRule="auto"/>
        <w:ind w:firstLine="420"/>
        <w:rPr>
          <w:rFonts w:ascii="宋体" w:hAnsi="宋体" w:cs="宋体"/>
          <w:sz w:val="24"/>
        </w:rPr>
      </w:pPr>
      <w:r>
        <w:rPr>
          <w:rFonts w:hint="eastAsia" w:ascii="宋体" w:hAnsi="宋体" w:cs="宋体"/>
          <w:bCs/>
          <w:sz w:val="24"/>
        </w:rPr>
        <w:t>8.3</w:t>
      </w:r>
      <w:r>
        <w:rPr>
          <w:rFonts w:hint="eastAsia" w:ascii="宋体" w:hAnsi="宋体" w:cs="宋体"/>
          <w:sz w:val="24"/>
        </w:rPr>
        <w:t>履行地点</w:t>
      </w:r>
      <w:r>
        <w:rPr>
          <w:rFonts w:hint="eastAsia" w:ascii="宋体" w:hAnsi="宋体" w:cs="宋体"/>
          <w:bCs/>
          <w:sz w:val="24"/>
        </w:rPr>
        <w:t>：</w:t>
      </w:r>
    </w:p>
    <w:p>
      <w:pPr>
        <w:pStyle w:val="6"/>
        <w:spacing w:line="360" w:lineRule="auto"/>
        <w:rPr>
          <w:rFonts w:ascii="宋体" w:hAnsi="宋体" w:cs="宋体"/>
          <w:sz w:val="24"/>
          <w:szCs w:val="24"/>
        </w:rPr>
      </w:pPr>
      <w:r>
        <w:rPr>
          <w:rFonts w:hint="eastAsia" w:ascii="宋体" w:hAnsi="宋体" w:cs="宋体"/>
          <w:sz w:val="24"/>
          <w:szCs w:val="24"/>
        </w:rPr>
        <w:t>九、款项支付</w:t>
      </w:r>
    </w:p>
    <w:p>
      <w:pPr>
        <w:spacing w:line="360" w:lineRule="auto"/>
        <w:ind w:firstLine="420"/>
        <w:rPr>
          <w:rFonts w:ascii="宋体" w:hAnsi="宋体" w:cs="宋体"/>
          <w:bCs/>
          <w:sz w:val="24"/>
        </w:rPr>
      </w:pPr>
      <w:r>
        <w:rPr>
          <w:rFonts w:hint="eastAsia" w:ascii="宋体" w:hAnsi="宋体" w:cs="宋体"/>
          <w:bCs/>
          <w:sz w:val="24"/>
        </w:rPr>
        <w:t>9.1付款方式：</w:t>
      </w:r>
    </w:p>
    <w:p>
      <w:pPr>
        <w:pStyle w:val="6"/>
        <w:spacing w:line="360" w:lineRule="auto"/>
        <w:rPr>
          <w:rFonts w:ascii="宋体" w:hAnsi="宋体" w:cs="宋体"/>
          <w:sz w:val="24"/>
          <w:szCs w:val="24"/>
        </w:rPr>
      </w:pPr>
      <w:r>
        <w:rPr>
          <w:rFonts w:hint="eastAsia" w:ascii="宋体" w:hAnsi="宋体" w:cs="宋体"/>
          <w:sz w:val="24"/>
          <w:szCs w:val="24"/>
        </w:rPr>
        <w:t>十、税费</w:t>
      </w:r>
    </w:p>
    <w:p>
      <w:pPr>
        <w:spacing w:line="360" w:lineRule="auto"/>
        <w:ind w:firstLine="420"/>
        <w:rPr>
          <w:rFonts w:ascii="宋体" w:hAnsi="宋体" w:cs="宋体"/>
          <w:sz w:val="24"/>
        </w:rPr>
      </w:pPr>
      <w:r>
        <w:rPr>
          <w:rFonts w:hint="eastAsia" w:ascii="宋体" w:hAnsi="宋体" w:cs="宋体"/>
          <w:sz w:val="24"/>
        </w:rPr>
        <w:t>10.1本合同执行中相关的一切税费均由乙方负担。</w:t>
      </w:r>
    </w:p>
    <w:p>
      <w:pPr>
        <w:pStyle w:val="6"/>
        <w:spacing w:line="360" w:lineRule="auto"/>
        <w:rPr>
          <w:rFonts w:ascii="宋体" w:hAnsi="宋体" w:cs="宋体"/>
          <w:sz w:val="24"/>
          <w:szCs w:val="24"/>
        </w:rPr>
      </w:pPr>
      <w:r>
        <w:rPr>
          <w:rFonts w:hint="eastAsia" w:ascii="宋体" w:hAnsi="宋体" w:cs="宋体"/>
          <w:sz w:val="24"/>
          <w:szCs w:val="24"/>
        </w:rPr>
        <w:t>十一、质量保证及后续服务</w:t>
      </w:r>
    </w:p>
    <w:p>
      <w:pPr>
        <w:spacing w:line="360" w:lineRule="auto"/>
        <w:ind w:firstLine="420"/>
        <w:rPr>
          <w:rFonts w:ascii="宋体" w:hAnsi="宋体" w:cs="宋体"/>
          <w:sz w:val="24"/>
        </w:rPr>
      </w:pPr>
      <w:r>
        <w:rPr>
          <w:rFonts w:hint="eastAsia" w:ascii="宋体" w:hAnsi="宋体" w:cs="宋体"/>
          <w:sz w:val="24"/>
        </w:rPr>
        <w:t>11.1乙方应按采购文件规定向甲方提供服务。</w:t>
      </w:r>
    </w:p>
    <w:p>
      <w:pPr>
        <w:spacing w:line="360" w:lineRule="auto"/>
        <w:ind w:firstLine="420"/>
        <w:rPr>
          <w:rFonts w:ascii="宋体" w:hAnsi="宋体" w:cs="宋体"/>
          <w:sz w:val="24"/>
        </w:rPr>
      </w:pPr>
      <w:r>
        <w:rPr>
          <w:rFonts w:hint="eastAsia" w:ascii="宋体" w:hAnsi="宋体" w:cs="宋体"/>
          <w:sz w:val="24"/>
        </w:rPr>
        <w:t>11.2乙方提供的服务成果在服务质量保证期内发生故障，乙方应负责免费提供后续服务。对达不到要求者，根据实际情况，经双方协商，可按以下办法处理：</w:t>
      </w:r>
    </w:p>
    <w:p>
      <w:pPr>
        <w:spacing w:line="360" w:lineRule="auto"/>
        <w:ind w:firstLine="420"/>
        <w:rPr>
          <w:rFonts w:ascii="宋体" w:hAnsi="宋体" w:cs="宋体"/>
          <w:sz w:val="24"/>
        </w:rPr>
      </w:pPr>
      <w:r>
        <w:rPr>
          <w:rFonts w:hint="eastAsia" w:ascii="宋体" w:hAnsi="宋体" w:cs="宋体"/>
          <w:sz w:val="24"/>
        </w:rPr>
        <w:t>⑴重做：由乙方承担所发生的全部费用。</w:t>
      </w:r>
    </w:p>
    <w:p>
      <w:pPr>
        <w:spacing w:line="360" w:lineRule="auto"/>
        <w:ind w:firstLine="420"/>
        <w:rPr>
          <w:rFonts w:ascii="宋体" w:hAnsi="宋体" w:cs="宋体"/>
          <w:sz w:val="24"/>
        </w:rPr>
      </w:pPr>
      <w:r>
        <w:rPr>
          <w:rFonts w:hint="eastAsia" w:ascii="宋体" w:hAnsi="宋体" w:cs="宋体"/>
          <w:sz w:val="24"/>
        </w:rPr>
        <w:t>⑵贬值处理：由甲乙双方合议定价。</w:t>
      </w:r>
    </w:p>
    <w:p>
      <w:pPr>
        <w:spacing w:line="360" w:lineRule="auto"/>
        <w:ind w:firstLine="420"/>
        <w:rPr>
          <w:rFonts w:ascii="宋体" w:hAnsi="宋体" w:cs="宋体"/>
          <w:sz w:val="24"/>
        </w:rPr>
      </w:pPr>
      <w:r>
        <w:rPr>
          <w:rFonts w:hint="eastAsia" w:ascii="宋体" w:hAnsi="宋体" w:cs="宋体"/>
          <w:sz w:val="24"/>
        </w:rPr>
        <w:t>⑶解除合同。</w:t>
      </w:r>
    </w:p>
    <w:p>
      <w:pPr>
        <w:spacing w:line="360" w:lineRule="auto"/>
        <w:ind w:firstLine="420"/>
        <w:rPr>
          <w:rFonts w:ascii="宋体" w:hAnsi="宋体" w:cs="宋体"/>
          <w:sz w:val="24"/>
        </w:rPr>
      </w:pPr>
      <w:r>
        <w:rPr>
          <w:rFonts w:hint="eastAsia" w:ascii="宋体" w:hAnsi="宋体" w:cs="宋体"/>
          <w:sz w:val="24"/>
        </w:rPr>
        <w:t>11.3如在使用过程中发生问题，乙方在接到甲方通知后在△小时内到达甲方现场。</w:t>
      </w:r>
    </w:p>
    <w:p>
      <w:pPr>
        <w:spacing w:line="360" w:lineRule="auto"/>
        <w:ind w:firstLine="420"/>
        <w:rPr>
          <w:rFonts w:ascii="宋体" w:hAnsi="宋体" w:cs="宋体"/>
          <w:sz w:val="24"/>
        </w:rPr>
      </w:pPr>
      <w:r>
        <w:rPr>
          <w:rFonts w:hint="eastAsia" w:ascii="宋体" w:hAnsi="宋体" w:cs="宋体"/>
          <w:sz w:val="24"/>
        </w:rPr>
        <w:t>11.4在服务质量保证期内，乙方应对出现的质量及安全问题负责处理解决并承担</w:t>
      </w:r>
    </w:p>
    <w:p>
      <w:pPr>
        <w:spacing w:line="360" w:lineRule="auto"/>
        <w:ind w:firstLine="420"/>
        <w:rPr>
          <w:rFonts w:ascii="宋体" w:hAnsi="宋体" w:cs="宋体"/>
          <w:sz w:val="24"/>
        </w:rPr>
      </w:pPr>
      <w:r>
        <w:rPr>
          <w:rFonts w:hint="eastAsia" w:ascii="宋体" w:hAnsi="宋体" w:cs="宋体"/>
          <w:sz w:val="24"/>
        </w:rPr>
        <w:t>一切费用。</w:t>
      </w:r>
    </w:p>
    <w:p>
      <w:pPr>
        <w:pStyle w:val="6"/>
        <w:spacing w:line="360" w:lineRule="auto"/>
        <w:rPr>
          <w:rFonts w:ascii="宋体" w:hAnsi="宋体" w:cs="宋体"/>
          <w:sz w:val="24"/>
          <w:szCs w:val="24"/>
        </w:rPr>
      </w:pPr>
      <w:r>
        <w:rPr>
          <w:rFonts w:hint="eastAsia" w:ascii="宋体" w:hAnsi="宋体" w:cs="宋体"/>
          <w:sz w:val="24"/>
          <w:szCs w:val="24"/>
        </w:rPr>
        <w:t>十二、违约责任</w:t>
      </w:r>
    </w:p>
    <w:p>
      <w:pPr>
        <w:spacing w:line="360" w:lineRule="auto"/>
        <w:ind w:firstLine="420"/>
        <w:rPr>
          <w:rFonts w:ascii="宋体" w:hAnsi="宋体" w:cs="宋体"/>
          <w:sz w:val="24"/>
        </w:rPr>
      </w:pPr>
      <w:r>
        <w:rPr>
          <w:rFonts w:hint="eastAsia" w:ascii="宋体" w:hAnsi="宋体" w:cs="宋体"/>
          <w:sz w:val="24"/>
        </w:rPr>
        <w:t>12.1甲方无正当理由拒收接受服务的，甲方向乙方偿付合同款项百分之五作为违约金。</w:t>
      </w:r>
    </w:p>
    <w:p>
      <w:pPr>
        <w:spacing w:line="360" w:lineRule="auto"/>
        <w:ind w:firstLine="420"/>
        <w:rPr>
          <w:rFonts w:ascii="宋体" w:hAnsi="宋体" w:cs="宋体"/>
          <w:sz w:val="24"/>
        </w:rPr>
      </w:pPr>
      <w:r>
        <w:rPr>
          <w:rFonts w:hint="eastAsia" w:ascii="宋体" w:hAnsi="宋体" w:cs="宋体"/>
          <w:sz w:val="24"/>
        </w:rPr>
        <w:t>12.2甲方无故逾期验收和办理款项支付手续的,甲方应按逾期付款总额每日万分之五向乙方支付违约金。</w:t>
      </w:r>
    </w:p>
    <w:p>
      <w:pPr>
        <w:spacing w:line="360" w:lineRule="auto"/>
        <w:ind w:firstLine="420"/>
        <w:rPr>
          <w:rFonts w:ascii="宋体" w:hAnsi="宋体" w:cs="宋体"/>
          <w:sz w:val="24"/>
        </w:rPr>
      </w:pPr>
      <w:r>
        <w:rPr>
          <w:rFonts w:hint="eastAsia" w:ascii="宋体" w:hAnsi="宋体" w:cs="宋体"/>
          <w:sz w:val="24"/>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6"/>
        <w:spacing w:line="360" w:lineRule="auto"/>
        <w:rPr>
          <w:rFonts w:ascii="宋体" w:hAnsi="宋体" w:cs="宋体"/>
          <w:sz w:val="24"/>
          <w:szCs w:val="24"/>
        </w:rPr>
      </w:pPr>
      <w:r>
        <w:rPr>
          <w:rFonts w:hint="eastAsia" w:ascii="宋体" w:hAnsi="宋体" w:cs="宋体"/>
          <w:sz w:val="24"/>
          <w:szCs w:val="24"/>
        </w:rPr>
        <w:t>十三、不可抗力事件处理</w:t>
      </w:r>
    </w:p>
    <w:p>
      <w:pPr>
        <w:spacing w:line="360" w:lineRule="auto"/>
        <w:ind w:firstLine="420"/>
        <w:rPr>
          <w:rFonts w:ascii="宋体" w:hAnsi="宋体" w:cs="宋体"/>
          <w:sz w:val="24"/>
        </w:rPr>
      </w:pPr>
      <w:r>
        <w:rPr>
          <w:rFonts w:hint="eastAsia" w:ascii="宋体" w:hAnsi="宋体" w:cs="宋体"/>
          <w:sz w:val="24"/>
        </w:rPr>
        <w:t>13.1在合同有效期内，任何一方因不可抗力事件导致不能履行合同，则合同履行期可延长，其延长期与不可抗力影响期相同。</w:t>
      </w:r>
    </w:p>
    <w:p>
      <w:pPr>
        <w:spacing w:line="360" w:lineRule="auto"/>
        <w:ind w:firstLine="420"/>
        <w:rPr>
          <w:rFonts w:ascii="宋体" w:hAnsi="宋体" w:cs="宋体"/>
          <w:sz w:val="24"/>
        </w:rPr>
      </w:pPr>
      <w:r>
        <w:rPr>
          <w:rFonts w:hint="eastAsia" w:ascii="宋体" w:hAnsi="宋体" w:cs="宋体"/>
          <w:sz w:val="24"/>
        </w:rPr>
        <w:t>13.2不可抗力事件发生后，应立即通知对方，并寄送有关权威机构出具的证明。</w:t>
      </w:r>
    </w:p>
    <w:p>
      <w:pPr>
        <w:spacing w:line="360" w:lineRule="auto"/>
        <w:ind w:firstLine="420"/>
        <w:rPr>
          <w:rFonts w:ascii="宋体" w:hAnsi="宋体" w:cs="宋体"/>
          <w:sz w:val="24"/>
        </w:rPr>
      </w:pPr>
      <w:r>
        <w:rPr>
          <w:rFonts w:hint="eastAsia" w:ascii="宋体" w:hAnsi="宋体" w:cs="宋体"/>
          <w:sz w:val="24"/>
        </w:rPr>
        <w:t>13.3不可抗力事件延续120天以上，双方应通过友好协商，确定是否继续履行合同。</w:t>
      </w:r>
    </w:p>
    <w:p>
      <w:pPr>
        <w:pStyle w:val="6"/>
        <w:spacing w:line="360" w:lineRule="auto"/>
        <w:rPr>
          <w:rFonts w:ascii="宋体" w:hAnsi="宋体" w:cs="宋体"/>
          <w:sz w:val="24"/>
          <w:szCs w:val="24"/>
        </w:rPr>
      </w:pPr>
      <w:r>
        <w:rPr>
          <w:rFonts w:hint="eastAsia" w:ascii="宋体" w:hAnsi="宋体" w:cs="宋体"/>
          <w:sz w:val="24"/>
          <w:szCs w:val="24"/>
        </w:rPr>
        <w:t>十四、诉讼</w:t>
      </w:r>
    </w:p>
    <w:p>
      <w:pPr>
        <w:spacing w:line="360" w:lineRule="auto"/>
        <w:ind w:firstLine="420"/>
        <w:rPr>
          <w:rFonts w:ascii="宋体" w:hAnsi="宋体" w:cs="宋体"/>
          <w:sz w:val="24"/>
        </w:rPr>
      </w:pPr>
      <w:r>
        <w:rPr>
          <w:rFonts w:hint="eastAsia" w:ascii="宋体" w:hAnsi="宋体" w:cs="宋体"/>
          <w:sz w:val="24"/>
        </w:rPr>
        <w:t>14.1双方在执行合同中所发生的一切争议，应通过协商解决。如协商不成，可向甲方所在地法院起诉。</w:t>
      </w:r>
    </w:p>
    <w:p>
      <w:pPr>
        <w:pStyle w:val="6"/>
        <w:spacing w:line="360" w:lineRule="auto"/>
        <w:rPr>
          <w:rFonts w:ascii="宋体" w:hAnsi="宋体" w:cs="宋体"/>
          <w:sz w:val="24"/>
          <w:szCs w:val="24"/>
        </w:rPr>
      </w:pPr>
      <w:r>
        <w:rPr>
          <w:rFonts w:hint="eastAsia" w:ascii="宋体" w:hAnsi="宋体" w:cs="宋体"/>
          <w:sz w:val="24"/>
          <w:szCs w:val="24"/>
        </w:rPr>
        <w:t>十五、合同生效及其它</w:t>
      </w:r>
    </w:p>
    <w:p>
      <w:pPr>
        <w:spacing w:line="360" w:lineRule="auto"/>
        <w:ind w:firstLine="420"/>
        <w:rPr>
          <w:rFonts w:ascii="宋体" w:hAnsi="宋体" w:cs="宋体"/>
          <w:sz w:val="24"/>
        </w:rPr>
      </w:pPr>
      <w:r>
        <w:rPr>
          <w:rFonts w:hint="eastAsia" w:ascii="宋体" w:hAnsi="宋体" w:cs="宋体"/>
          <w:sz w:val="24"/>
        </w:rPr>
        <w:t>15.1合同经双方法定代表人或授权代表签字并加盖单位公章后生效。</w:t>
      </w:r>
    </w:p>
    <w:p>
      <w:pPr>
        <w:spacing w:line="360" w:lineRule="auto"/>
        <w:ind w:firstLine="420"/>
        <w:rPr>
          <w:rFonts w:ascii="宋体" w:hAnsi="宋体" w:cs="宋体"/>
          <w:sz w:val="24"/>
        </w:rPr>
      </w:pPr>
      <w:r>
        <w:rPr>
          <w:rFonts w:hint="eastAsia" w:ascii="宋体" w:hAnsi="宋体" w:cs="宋体"/>
          <w:sz w:val="24"/>
        </w:rPr>
        <w:t>15.2合同执行中涉及采购资金和采购内容修改或补充的，须经财政部门审批，并签书面补充协议报政府采购监督管理部门备案，方可作为主合同不可分割的一部分。</w:t>
      </w:r>
    </w:p>
    <w:p>
      <w:pPr>
        <w:spacing w:line="360" w:lineRule="auto"/>
        <w:ind w:firstLine="420"/>
        <w:rPr>
          <w:rFonts w:ascii="宋体" w:hAnsi="宋体" w:cs="宋体"/>
          <w:sz w:val="24"/>
        </w:rPr>
      </w:pPr>
      <w:r>
        <w:rPr>
          <w:rFonts w:hint="eastAsia" w:ascii="宋体" w:hAnsi="宋体" w:cs="宋体"/>
          <w:sz w:val="24"/>
        </w:rPr>
        <w:t>3．本合同未尽事宜，遵照《民法典》有关条文执行。</w:t>
      </w:r>
    </w:p>
    <w:p>
      <w:pPr>
        <w:spacing w:line="360" w:lineRule="auto"/>
        <w:ind w:firstLine="420"/>
        <w:rPr>
          <w:rFonts w:ascii="宋体" w:hAnsi="宋体" w:cs="宋体"/>
          <w:sz w:val="24"/>
        </w:rPr>
      </w:pPr>
      <w:r>
        <w:rPr>
          <w:rFonts w:hint="eastAsia" w:ascii="宋体" w:hAnsi="宋体" w:cs="宋体"/>
          <w:sz w:val="24"/>
        </w:rPr>
        <w:t>4．本合同正本一式份，具有同等法律效力，甲乙双方各执份；副本份，(用途)。</w:t>
      </w:r>
    </w:p>
    <w:p>
      <w:pPr>
        <w:spacing w:line="360" w:lineRule="auto"/>
        <w:ind w:firstLine="420"/>
        <w:rPr>
          <w:rFonts w:ascii="宋体" w:hAnsi="宋体" w:cs="宋体"/>
          <w:sz w:val="24"/>
        </w:rPr>
      </w:pPr>
    </w:p>
    <w:p>
      <w:pPr>
        <w:spacing w:line="360" w:lineRule="auto"/>
        <w:ind w:firstLine="420"/>
        <w:rPr>
          <w:rFonts w:ascii="宋体" w:hAnsi="宋体" w:cs="宋体"/>
          <w:sz w:val="24"/>
        </w:rPr>
      </w:pPr>
      <w:r>
        <w:rPr>
          <w:rFonts w:hint="eastAsia" w:ascii="宋体" w:hAnsi="宋体" w:cs="宋体"/>
          <w:sz w:val="24"/>
        </w:rPr>
        <w:t>甲方（盖章）：                   乙方（盖章）：</w:t>
      </w:r>
    </w:p>
    <w:p>
      <w:pPr>
        <w:spacing w:line="360" w:lineRule="auto"/>
        <w:ind w:firstLine="420"/>
        <w:rPr>
          <w:rFonts w:ascii="宋体" w:hAnsi="宋体" w:cs="宋体"/>
          <w:sz w:val="24"/>
        </w:rPr>
      </w:pPr>
      <w:r>
        <w:rPr>
          <w:rFonts w:hint="eastAsia" w:ascii="宋体" w:hAnsi="宋体" w:cs="宋体"/>
          <w:sz w:val="24"/>
        </w:rPr>
        <w:t>法定代表人（或授权代表）：        法定代表人（或授权代表）：</w:t>
      </w:r>
    </w:p>
    <w:p>
      <w:pPr>
        <w:spacing w:line="360" w:lineRule="auto"/>
        <w:ind w:firstLine="420"/>
        <w:rPr>
          <w:rFonts w:ascii="宋体" w:hAnsi="宋体" w:cs="宋体"/>
          <w:sz w:val="24"/>
        </w:rPr>
      </w:pPr>
      <w:r>
        <w:rPr>
          <w:rFonts w:hint="eastAsia" w:ascii="宋体" w:hAnsi="宋体" w:cs="宋体"/>
          <w:sz w:val="24"/>
        </w:rPr>
        <w:t>地址：                           地址：</w:t>
      </w:r>
    </w:p>
    <w:p>
      <w:pPr>
        <w:spacing w:line="360" w:lineRule="auto"/>
        <w:ind w:firstLine="420"/>
        <w:rPr>
          <w:rFonts w:ascii="宋体" w:hAnsi="宋体" w:cs="宋体"/>
          <w:sz w:val="24"/>
        </w:rPr>
      </w:pPr>
      <w:r>
        <w:rPr>
          <w:rFonts w:hint="eastAsia" w:ascii="宋体" w:hAnsi="宋体" w:cs="宋体"/>
          <w:sz w:val="24"/>
        </w:rPr>
        <w:t>联系人：                           联系人：</w:t>
      </w:r>
    </w:p>
    <w:p>
      <w:pPr>
        <w:spacing w:line="360" w:lineRule="auto"/>
        <w:ind w:firstLine="420"/>
        <w:rPr>
          <w:rFonts w:ascii="宋体" w:hAnsi="宋体" w:cs="宋体"/>
          <w:sz w:val="24"/>
        </w:rPr>
      </w:pPr>
      <w:r>
        <w:rPr>
          <w:rFonts w:hint="eastAsia" w:ascii="宋体" w:hAnsi="宋体" w:cs="宋体"/>
          <w:sz w:val="24"/>
        </w:rPr>
        <w:t>联系电话：                         联系电话：</w:t>
      </w:r>
    </w:p>
    <w:p>
      <w:pPr>
        <w:spacing w:line="360" w:lineRule="auto"/>
        <w:ind w:firstLine="420"/>
        <w:rPr>
          <w:rFonts w:ascii="宋体" w:hAnsi="宋体" w:cs="宋体"/>
          <w:sz w:val="24"/>
        </w:rPr>
      </w:pPr>
      <w:r>
        <w:rPr>
          <w:rFonts w:hint="eastAsia" w:ascii="宋体" w:hAnsi="宋体" w:cs="宋体"/>
          <w:sz w:val="24"/>
        </w:rPr>
        <w:t>传真：                             传真：</w:t>
      </w:r>
    </w:p>
    <w:p>
      <w:pPr>
        <w:spacing w:line="360" w:lineRule="auto"/>
        <w:ind w:firstLine="420"/>
        <w:rPr>
          <w:rFonts w:ascii="宋体" w:hAnsi="宋体" w:cs="宋体"/>
          <w:sz w:val="24"/>
        </w:rPr>
      </w:pPr>
      <w:r>
        <w:rPr>
          <w:rFonts w:hint="eastAsia" w:ascii="宋体" w:hAnsi="宋体" w:cs="宋体"/>
          <w:sz w:val="24"/>
        </w:rPr>
        <w:t>开户银行：                         开户银行：</w:t>
      </w:r>
    </w:p>
    <w:p>
      <w:pPr>
        <w:spacing w:line="360" w:lineRule="auto"/>
        <w:ind w:firstLine="420"/>
        <w:rPr>
          <w:rFonts w:ascii="宋体" w:hAnsi="宋体" w:cs="宋体"/>
          <w:sz w:val="24"/>
        </w:rPr>
      </w:pPr>
      <w:r>
        <w:rPr>
          <w:rFonts w:hint="eastAsia" w:ascii="宋体" w:hAnsi="宋体" w:cs="宋体"/>
          <w:sz w:val="24"/>
        </w:rPr>
        <w:t>银行账号：                         银行账号：</w:t>
      </w:r>
    </w:p>
    <w:p>
      <w:pPr>
        <w:spacing w:line="360" w:lineRule="auto"/>
        <w:ind w:firstLine="420"/>
        <w:rPr>
          <w:rFonts w:ascii="宋体" w:hAnsi="宋体" w:cs="宋体"/>
          <w:sz w:val="24"/>
        </w:rPr>
      </w:pPr>
      <w:r>
        <w:rPr>
          <w:rFonts w:hint="eastAsia" w:ascii="宋体" w:hAnsi="宋体" w:cs="宋体"/>
          <w:sz w:val="24"/>
        </w:rPr>
        <w:t>签订地点：                       签订日期：</w:t>
      </w:r>
    </w:p>
    <w:p>
      <w:pPr>
        <w:spacing w:line="360" w:lineRule="auto"/>
        <w:ind w:firstLine="420"/>
        <w:rPr>
          <w:rFonts w:ascii="宋体" w:hAnsi="宋体" w:cs="宋体"/>
          <w:sz w:val="24"/>
        </w:rPr>
      </w:pPr>
    </w:p>
    <w:p>
      <w:pPr>
        <w:spacing w:line="360" w:lineRule="auto"/>
        <w:ind w:firstLine="420"/>
        <w:rPr>
          <w:rFonts w:ascii="宋体" w:hAnsi="宋体" w:cs="宋体"/>
          <w:sz w:val="24"/>
        </w:rPr>
      </w:pPr>
      <w:r>
        <w:rPr>
          <w:rFonts w:hint="eastAsia" w:ascii="宋体" w:hAnsi="宋体" w:cs="宋体"/>
          <w:sz w:val="24"/>
        </w:rPr>
        <w:t>鉴证方（盖章）</w:t>
      </w:r>
    </w:p>
    <w:p>
      <w:pPr>
        <w:spacing w:line="360" w:lineRule="auto"/>
        <w:ind w:firstLine="420"/>
        <w:rPr>
          <w:rFonts w:ascii="宋体" w:hAnsi="宋体" w:cs="宋体"/>
          <w:sz w:val="24"/>
        </w:rPr>
      </w:pPr>
      <w:r>
        <w:rPr>
          <w:rFonts w:hint="eastAsia" w:ascii="宋体" w:hAnsi="宋体" w:cs="宋体"/>
          <w:sz w:val="24"/>
        </w:rPr>
        <w:t>法定代表人（或授权代表）：</w:t>
      </w:r>
    </w:p>
    <w:p>
      <w:pPr>
        <w:spacing w:line="360" w:lineRule="auto"/>
        <w:ind w:firstLine="420"/>
        <w:rPr>
          <w:rFonts w:ascii="宋体" w:hAnsi="宋体" w:cs="宋体"/>
          <w:sz w:val="24"/>
        </w:rPr>
      </w:pPr>
      <w:r>
        <w:rPr>
          <w:rFonts w:hint="eastAsia" w:ascii="宋体" w:hAnsi="宋体" w:cs="宋体"/>
          <w:sz w:val="24"/>
        </w:rPr>
        <w:t xml:space="preserve">地址：                      </w:t>
      </w:r>
    </w:p>
    <w:p>
      <w:pPr>
        <w:spacing w:line="360" w:lineRule="auto"/>
        <w:ind w:firstLine="420"/>
        <w:rPr>
          <w:rFonts w:ascii="宋体" w:hAnsi="宋体" w:cs="宋体"/>
          <w:sz w:val="24"/>
        </w:rPr>
      </w:pPr>
      <w:r>
        <w:rPr>
          <w:rFonts w:hint="eastAsia" w:ascii="宋体" w:hAnsi="宋体" w:cs="宋体"/>
          <w:sz w:val="24"/>
        </w:rPr>
        <w:t>联系人：</w:t>
      </w:r>
    </w:p>
    <w:p>
      <w:pPr>
        <w:spacing w:line="360" w:lineRule="auto"/>
        <w:ind w:firstLine="420"/>
        <w:rPr>
          <w:rFonts w:ascii="宋体" w:hAnsi="宋体" w:cs="宋体"/>
          <w:sz w:val="24"/>
        </w:rPr>
      </w:pPr>
      <w:r>
        <w:rPr>
          <w:rFonts w:hint="eastAsia" w:ascii="宋体" w:hAnsi="宋体" w:cs="宋体"/>
          <w:sz w:val="24"/>
        </w:rPr>
        <w:t>联系电话：</w:t>
      </w:r>
    </w:p>
    <w:p>
      <w:pPr>
        <w:spacing w:line="360" w:lineRule="auto"/>
        <w:ind w:firstLine="420"/>
        <w:rPr>
          <w:rFonts w:ascii="宋体" w:hAnsi="宋体" w:cs="宋体"/>
          <w:sz w:val="24"/>
        </w:rPr>
      </w:pPr>
      <w:r>
        <w:rPr>
          <w:rFonts w:hint="eastAsia" w:ascii="宋体" w:hAnsi="宋体" w:cs="宋体"/>
          <w:sz w:val="24"/>
        </w:rPr>
        <w:t>传真：</w:t>
      </w:r>
    </w:p>
    <w:p>
      <w:pPr>
        <w:spacing w:line="360" w:lineRule="auto"/>
        <w:ind w:firstLine="420"/>
        <w:rPr>
          <w:rFonts w:ascii="宋体" w:hAnsi="宋体" w:cs="宋体"/>
          <w:sz w:val="24"/>
        </w:rPr>
      </w:pPr>
      <w:r>
        <w:rPr>
          <w:rFonts w:hint="eastAsia" w:ascii="宋体" w:hAnsi="宋体" w:cs="宋体"/>
          <w:sz w:val="24"/>
        </w:rPr>
        <w:t>鉴证日期：</w:t>
      </w:r>
    </w:p>
    <w:p>
      <w:pPr>
        <w:rPr>
          <w:rFonts w:ascii="宋体" w:hAnsi="宋体" w:cs="宋体"/>
          <w:b/>
          <w:sz w:val="36"/>
          <w:szCs w:val="20"/>
        </w:rPr>
      </w:pPr>
      <w:r>
        <w:rPr>
          <w:rFonts w:hint="eastAsia" w:ascii="宋体" w:hAnsi="宋体" w:cs="宋体"/>
          <w:b/>
          <w:sz w:val="36"/>
          <w:szCs w:val="20"/>
        </w:rPr>
        <w:br w:type="page"/>
      </w:r>
    </w:p>
    <w:p>
      <w:pPr>
        <w:spacing w:line="360" w:lineRule="auto"/>
        <w:jc w:val="center"/>
        <w:outlineLvl w:val="0"/>
        <w:rPr>
          <w:rFonts w:ascii="宋体" w:hAnsi="宋体" w:cs="宋体"/>
          <w:b/>
          <w:sz w:val="36"/>
          <w:szCs w:val="20"/>
        </w:rPr>
      </w:pPr>
      <w:bookmarkStart w:id="414" w:name="_Toc7034"/>
      <w:r>
        <w:rPr>
          <w:rFonts w:hint="eastAsia" w:ascii="宋体" w:hAnsi="宋体" w:cs="宋体"/>
          <w:b/>
          <w:sz w:val="36"/>
          <w:szCs w:val="20"/>
        </w:rPr>
        <w:t>第六部分</w:t>
      </w:r>
      <w:bookmarkEnd w:id="408"/>
      <w:bookmarkEnd w:id="409"/>
      <w:r>
        <w:rPr>
          <w:rFonts w:hint="eastAsia" w:ascii="宋体" w:hAnsi="宋体" w:cs="宋体"/>
          <w:b/>
          <w:sz w:val="36"/>
          <w:szCs w:val="20"/>
        </w:rPr>
        <w:t xml:space="preserve"> 应提交的有关格式范例</w:t>
      </w:r>
      <w:bookmarkEnd w:id="414"/>
    </w:p>
    <w:p>
      <w:pPr>
        <w:spacing w:line="360" w:lineRule="auto"/>
        <w:jc w:val="center"/>
        <w:outlineLvl w:val="0"/>
        <w:rPr>
          <w:rFonts w:ascii="宋体" w:hAnsi="宋体" w:cs="宋体"/>
          <w:b/>
          <w:kern w:val="0"/>
          <w:sz w:val="36"/>
          <w:szCs w:val="36"/>
        </w:rPr>
      </w:pPr>
      <w:bookmarkStart w:id="415" w:name="_Toc2950"/>
      <w:r>
        <w:rPr>
          <w:rFonts w:hint="eastAsia" w:ascii="宋体" w:hAnsi="宋体" w:cs="宋体"/>
          <w:b/>
          <w:kern w:val="0"/>
          <w:sz w:val="36"/>
          <w:szCs w:val="36"/>
        </w:rPr>
        <w:t>资格文件部分</w:t>
      </w:r>
      <w:bookmarkEnd w:id="415"/>
      <w:bookmarkStart w:id="416" w:name="_Toc16846"/>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bookmarkEnd w:id="416"/>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z w:val="24"/>
        </w:rPr>
        <w:t>（2）落实政府采购政策需满足的资格要求………………………………（页码）</w:t>
      </w:r>
    </w:p>
    <w:p>
      <w:pPr>
        <w:snapToGrid w:val="0"/>
        <w:spacing w:line="360" w:lineRule="auto"/>
        <w:rPr>
          <w:rFonts w:ascii="宋体" w:hAnsi="宋体" w:cs="宋体"/>
          <w:sz w:val="24"/>
        </w:rPr>
      </w:pPr>
      <w:r>
        <w:rPr>
          <w:rFonts w:hint="eastAsia" w:ascii="宋体" w:hAnsi="宋体" w:cs="宋体"/>
          <w:sz w:val="24"/>
        </w:rPr>
        <w:t>（3）本项目的特定资格要求………………………………………………（页码）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浙江省生态环境监测中心、浙江信镧建设工程咨询有限公司：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我方参与浙江省生态环境厅网络安全闭环管理系统项目【招标编号：ZJXL-STJCZX-202215】政府采购活动，郑重承诺：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 w:val="32"/>
          <w:szCs w:val="32"/>
          <w:lang w:val="zh-CN"/>
        </w:rPr>
      </w:pP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浙江省生态环境厅网络安全闭环管理系统项目【招标编号：ZJXL-STJCZX-202215】</w:t>
      </w:r>
      <w:r>
        <w:rPr>
          <w:rFonts w:hint="eastAsia" w:ascii="宋体" w:hAnsi="宋体" w:cs="宋体"/>
          <w:kern w:val="0"/>
          <w:sz w:val="24"/>
          <w:lang w:val="zh-CN"/>
        </w:rPr>
        <w:t>投标。</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中小企业合同金额达到%，小微企业合同金额达到%</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浙江省生态环境厅网络安全闭环管理系统项目【招标编号：ZJXL-STJCZX-202215】</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bookmarkStart w:id="417" w:name="_Toc14623"/>
      <w:r>
        <w:rPr>
          <w:rFonts w:hint="eastAsia" w:ascii="宋体" w:hAnsi="宋体" w:eastAsia="宋体" w:cs="宋体"/>
          <w:kern w:val="0"/>
          <w:sz w:val="24"/>
          <w:szCs w:val="24"/>
        </w:rPr>
        <w:t>……</w:t>
      </w:r>
      <w:bookmarkEnd w:id="417"/>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中小企业合同金额达到%，小微企业合同金额达到%</w:t>
      </w:r>
      <w:r>
        <w:rPr>
          <w:rFonts w:hint="eastAsia" w:ascii="宋体" w:hAnsi="宋体" w:cs="宋体"/>
          <w:kern w:val="0"/>
          <w:sz w:val="24"/>
          <w:lang w:val="zh-CN"/>
        </w:rPr>
        <w:t xml:space="preserve">  。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widowControl/>
        <w:spacing w:line="360" w:lineRule="auto"/>
        <w:ind w:left="150"/>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bookmarkStart w:id="418" w:name="_Toc15453"/>
      <w:r>
        <w:rPr>
          <w:rFonts w:hint="eastAsia" w:ascii="宋体" w:hAnsi="宋体" w:cs="宋体"/>
          <w:b/>
          <w:kern w:val="0"/>
          <w:sz w:val="28"/>
          <w:szCs w:val="28"/>
        </w:rPr>
        <w:t>目录</w:t>
      </w:r>
      <w:bookmarkEnd w:id="418"/>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（3）联合协议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（4）分包意向协议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（5）符合性审查资料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（6）评标标准相应的商务技术资料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（7）商务技术偏离表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sz w:val="32"/>
          <w:szCs w:val="32"/>
        </w:rPr>
      </w:pPr>
      <w:bookmarkStart w:id="419" w:name="_Toc4096"/>
      <w:r>
        <w:rPr>
          <w:rFonts w:hint="eastAsia" w:ascii="宋体" w:hAnsi="宋体" w:cs="宋体"/>
          <w:b/>
          <w:kern w:val="0"/>
          <w:sz w:val="32"/>
          <w:szCs w:val="32"/>
        </w:rPr>
        <w:t>一、投标</w:t>
      </w:r>
      <w:r>
        <w:rPr>
          <w:rFonts w:hint="eastAsia" w:ascii="宋体" w:hAnsi="宋体" w:cs="宋体"/>
          <w:b/>
          <w:sz w:val="32"/>
          <w:szCs w:val="32"/>
        </w:rPr>
        <w:t>函</w:t>
      </w:r>
      <w:bookmarkEnd w:id="419"/>
    </w:p>
    <w:p>
      <w:pPr>
        <w:snapToGrid w:val="0"/>
        <w:spacing w:line="360" w:lineRule="auto"/>
        <w:rPr>
          <w:rFonts w:ascii="宋体" w:hAnsi="宋体" w:cs="宋体"/>
          <w:sz w:val="24"/>
        </w:rPr>
      </w:pPr>
      <w:r>
        <w:rPr>
          <w:rFonts w:hint="eastAsia" w:ascii="宋体" w:hAnsi="宋体" w:cs="宋体"/>
          <w:sz w:val="24"/>
        </w:rPr>
        <w:t>浙江省生态环境监测中心、浙江信镧建设工程咨询有限公司：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我方参加你方组织的浙江省生态环境厅网络安全闭环管理系统项目【招标编号：ZJXL-STJCZX-202215】招标的有关活动，并对此项目进行投标。为此：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2.1.3本项目的特定资格要求（如果有）。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p>
    <w:p>
      <w:pPr>
        <w:spacing w:line="360" w:lineRule="auto"/>
        <w:ind w:firstLine="3600" w:firstLineChars="1500"/>
        <w:rPr>
          <w:rFonts w:ascii="宋体" w:hAnsi="宋体" w:cs="宋体"/>
          <w:sz w:val="24"/>
        </w:rPr>
      </w:pPr>
      <w:r>
        <w:rPr>
          <w:rFonts w:hint="eastAsia" w:ascii="宋体" w:hAnsi="宋体" w:cs="宋体"/>
          <w:sz w:val="24"/>
        </w:rPr>
        <w:t>投标人名称（电子签名）：</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lang w:val="zh-CN"/>
        </w:rPr>
      </w:pPr>
    </w:p>
    <w:p>
      <w:pPr>
        <w:snapToGrid w:val="0"/>
        <w:spacing w:line="360" w:lineRule="auto"/>
        <w:jc w:val="center"/>
        <w:rPr>
          <w:rFonts w:ascii="宋体" w:hAnsi="宋体" w:cs="宋体"/>
          <w:b/>
          <w:kern w:val="0"/>
          <w:sz w:val="32"/>
          <w:szCs w:val="32"/>
          <w:lang w:val="zh-CN"/>
        </w:rPr>
      </w:pPr>
    </w:p>
    <w:p>
      <w:pPr>
        <w:snapToGrid w:val="0"/>
        <w:spacing w:line="360" w:lineRule="auto"/>
        <w:rPr>
          <w:rFonts w:ascii="宋体" w:hAnsi="宋体" w:cs="宋体"/>
          <w:sz w:val="24"/>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jc w:val="center"/>
        <w:rPr>
          <w:rFonts w:ascii="宋体" w:hAnsi="宋体" w:cs="宋体"/>
          <w:b/>
          <w:kern w:val="0"/>
          <w:sz w:val="32"/>
          <w:szCs w:val="32"/>
          <w:lang w:val="zh-CN"/>
        </w:rPr>
      </w:pPr>
    </w:p>
    <w:p>
      <w:pPr>
        <w:rPr>
          <w:rFonts w:ascii="宋体" w:hAnsi="宋体" w:cs="宋体"/>
          <w:b/>
          <w:kern w:val="0"/>
          <w:sz w:val="32"/>
          <w:szCs w:val="32"/>
          <w:lang w:val="zh-CN"/>
        </w:rPr>
      </w:pPr>
      <w:r>
        <w:rPr>
          <w:rFonts w:hint="eastAsia" w:ascii="宋体" w:hAnsi="宋体" w:cs="宋体"/>
          <w:b/>
          <w:kern w:val="0"/>
          <w:sz w:val="32"/>
          <w:szCs w:val="32"/>
          <w:lang w:val="zh-CN"/>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pPr>
        <w:snapToGrid w:val="0"/>
        <w:spacing w:line="360" w:lineRule="auto"/>
        <w:rPr>
          <w:rFonts w:ascii="宋体" w:hAnsi="宋体" w:cs="宋体"/>
          <w:kern w:val="0"/>
          <w:sz w:val="24"/>
        </w:rPr>
      </w:pPr>
      <w:r>
        <w:rPr>
          <w:rFonts w:hint="eastAsia" w:ascii="宋体" w:hAnsi="宋体" w:cs="宋体"/>
          <w:sz w:val="24"/>
        </w:rPr>
        <w:t>浙江省生态环境监测中心、浙江信镧建设工程咨询有限公司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w:t>
      </w:r>
      <w:r>
        <w:rPr>
          <w:rFonts w:hint="eastAsia" w:ascii="宋体" w:hAnsi="宋体" w:cs="宋体"/>
          <w:kern w:val="0"/>
          <w:sz w:val="24"/>
          <w:highlight w:val="cyan"/>
          <w:lang w:val="zh-CN"/>
        </w:rPr>
        <w:t>处理</w:t>
      </w:r>
      <w:r>
        <w:rPr>
          <w:rFonts w:hint="eastAsia" w:ascii="宋体" w:hAnsi="宋体" w:cs="宋体"/>
          <w:sz w:val="24"/>
          <w:highlight w:val="cyan"/>
        </w:rPr>
        <w:t>浙江省生态环境厅网络安全闭环管理系统项目</w:t>
      </w:r>
      <w:r>
        <w:rPr>
          <w:rFonts w:hint="eastAsia" w:ascii="宋体" w:hAnsi="宋体" w:cs="宋体"/>
          <w:sz w:val="24"/>
        </w:rPr>
        <w:t>【招标编号：ZJXL-STJCZX-202215】</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浙江省生态环境监测中心、浙江信镧建设工程咨询有限公司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委托（姓名）为我方代理人（身份证号码：，手机：），以我方名义</w:t>
      </w:r>
      <w:r>
        <w:rPr>
          <w:rFonts w:hint="eastAsia" w:ascii="宋体" w:hAnsi="宋体" w:cs="宋体"/>
          <w:kern w:val="0"/>
          <w:sz w:val="24"/>
          <w:highlight w:val="cyan"/>
          <w:lang w:val="zh-CN"/>
        </w:rPr>
        <w:t>处理</w:t>
      </w:r>
      <w:r>
        <w:rPr>
          <w:rFonts w:hint="eastAsia" w:ascii="宋体" w:hAnsi="宋体" w:cs="宋体"/>
          <w:sz w:val="24"/>
          <w:highlight w:val="cyan"/>
        </w:rPr>
        <w:t>浙江省生态环境厅网络安全闭环管理系统项目</w:t>
      </w:r>
      <w:r>
        <w:rPr>
          <w:rFonts w:hint="eastAsia" w:ascii="宋体" w:hAnsi="宋体" w:cs="宋体"/>
          <w:sz w:val="24"/>
        </w:rPr>
        <w:t>【招标编号：ZJXL-STJCZX-202215】</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自年月日起至年月日止。</w:t>
      </w:r>
    </w:p>
    <w:p>
      <w:pPr>
        <w:snapToGrid w:val="0"/>
        <w:spacing w:line="360" w:lineRule="auto"/>
        <w:rPr>
          <w:rFonts w:ascii="宋体" w:hAnsi="宋体" w:cs="宋体"/>
          <w:kern w:val="0"/>
          <w:sz w:val="24"/>
        </w:rPr>
      </w:pP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rPr>
        <w:t>三、</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highlight w:val="cyan"/>
          <w:u w:val="single"/>
        </w:rPr>
        <w:t>（联合体所有成员名称）</w:t>
      </w:r>
      <w:r>
        <w:rPr>
          <w:rFonts w:hint="eastAsia" w:ascii="宋体" w:hAnsi="宋体" w:cs="宋体"/>
          <w:kern w:val="0"/>
          <w:sz w:val="24"/>
          <w:highlight w:val="cyan"/>
        </w:rPr>
        <w:t>自愿</w:t>
      </w:r>
      <w:r>
        <w:rPr>
          <w:rFonts w:hint="eastAsia" w:ascii="宋体" w:hAnsi="宋体" w:cs="宋体"/>
          <w:kern w:val="0"/>
          <w:sz w:val="24"/>
          <w:highlight w:val="cyan"/>
          <w:lang w:val="zh-CN"/>
        </w:rPr>
        <w:t>组成一个联合体，以一个投标人的身份</w:t>
      </w:r>
      <w:r>
        <w:rPr>
          <w:rFonts w:hint="eastAsia" w:ascii="宋体" w:hAnsi="宋体" w:cs="宋体"/>
          <w:kern w:val="0"/>
          <w:sz w:val="24"/>
          <w:highlight w:val="cyan"/>
        </w:rPr>
        <w:t>参加</w:t>
      </w:r>
      <w:r>
        <w:rPr>
          <w:rFonts w:hint="eastAsia" w:ascii="宋体" w:hAnsi="宋体" w:cs="宋体"/>
          <w:sz w:val="24"/>
          <w:highlight w:val="cyan"/>
        </w:rPr>
        <w:t>浙江省生态环境厅网络安全闭环管理系统项目</w:t>
      </w:r>
      <w:r>
        <w:rPr>
          <w:rFonts w:hint="eastAsia" w:ascii="宋体" w:hAnsi="宋体" w:cs="宋体"/>
          <w:sz w:val="24"/>
        </w:rPr>
        <w:t>【招标编号：ZJXL-STJCZX-202215】</w:t>
      </w:r>
      <w:r>
        <w:rPr>
          <w:rFonts w:hint="eastAsia" w:ascii="宋体" w:hAnsi="宋体" w:cs="宋体"/>
          <w:kern w:val="0"/>
          <w:sz w:val="24"/>
          <w:lang w:val="zh-CN"/>
        </w:rPr>
        <w:t>投标。</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四、</w:t>
      </w:r>
      <w:r>
        <w:rPr>
          <w:rFonts w:hint="eastAsia" w:ascii="宋体" w:hAnsi="宋体" w:cs="宋体"/>
          <w:kern w:val="0"/>
          <w:sz w:val="24"/>
          <w:u w:val="single"/>
        </w:rPr>
        <w:t>（联合体其中一方成员名称）</w:t>
      </w:r>
      <w:r>
        <w:rPr>
          <w:rFonts w:hint="eastAsia" w:ascii="宋体" w:hAnsi="宋体" w:cs="宋体"/>
          <w:kern w:val="0"/>
          <w:sz w:val="24"/>
        </w:rPr>
        <w:t>提供的全部服务由小微企业提供，其合同份额占到合同总金额%以上；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（未预留份额专门面向中小企业采购的采购项目，以及预留份额中的非预留部分采购包，接受联合体投标的，联合体其中一方</w:t>
      </w:r>
      <w:r>
        <w:rPr>
          <w:rFonts w:hint="eastAsia" w:ascii="宋体" w:hAnsi="宋体" w:cs="宋体"/>
          <w:b/>
          <w:kern w:val="0"/>
          <w:sz w:val="24"/>
        </w:rPr>
        <w:t>是</w:t>
      </w:r>
      <w:r>
        <w:rPr>
          <w:rFonts w:hint="eastAsia" w:ascii="宋体" w:hAnsi="宋体" w:cs="宋体"/>
          <w:b/>
          <w:kern w:val="0"/>
          <w:sz w:val="24"/>
          <w:lang w:val="zh-CN"/>
        </w:rPr>
        <w:t>小微企业</w:t>
      </w:r>
      <w:r>
        <w:rPr>
          <w:rFonts w:hint="eastAsia" w:ascii="宋体" w:hAnsi="宋体" w:cs="宋体"/>
          <w:b/>
          <w:kern w:val="0"/>
          <w:sz w:val="24"/>
        </w:rPr>
        <w:t>的</w:t>
      </w:r>
      <w:r>
        <w:rPr>
          <w:rFonts w:hint="eastAsia" w:ascii="宋体" w:hAnsi="宋体" w:cs="宋体"/>
          <w:b/>
          <w:kern w:val="0"/>
          <w:sz w:val="24"/>
          <w:lang w:val="zh-CN"/>
        </w:rPr>
        <w:t>，且其合同份额占到合同总金额 30%以上，对联合体报价给予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right="480"/>
        <w:rPr>
          <w:rFonts w:ascii="宋体" w:hAnsi="宋体" w:cs="宋体"/>
          <w:b/>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四、分包意向协议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浙江省生态环境厅网络安全闭环管理系统项目【招标编号：ZJXL-STJCZX-202215】</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5"/>
        <w:ind w:left="664" w:leftChars="316" w:firstLine="229" w:firstLineChars="95"/>
        <w:rPr>
          <w:rFonts w:ascii="宋体" w:hAnsi="宋体" w:eastAsia="宋体" w:cs="宋体"/>
        </w:rPr>
      </w:pPr>
      <w:bookmarkStart w:id="420" w:name="_Toc29237"/>
      <w:r>
        <w:rPr>
          <w:rFonts w:hint="eastAsia" w:ascii="宋体" w:hAnsi="宋体" w:eastAsia="宋体" w:cs="宋体"/>
          <w:kern w:val="0"/>
          <w:sz w:val="24"/>
          <w:szCs w:val="24"/>
        </w:rPr>
        <w:t>……</w:t>
      </w:r>
      <w:bookmarkEnd w:id="420"/>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firstLine="576"/>
        <w:rPr>
          <w:rFonts w:ascii="宋体" w:hAnsi="宋体" w:cs="宋体"/>
          <w:b/>
          <w:kern w:val="0"/>
          <w:sz w:val="24"/>
          <w:lang w:val="zh-CN"/>
        </w:rPr>
      </w:pPr>
      <w:r>
        <w:rPr>
          <w:rFonts w:hint="eastAsia" w:ascii="宋体" w:hAnsi="宋体" w:cs="宋体"/>
          <w:kern w:val="0"/>
          <w:sz w:val="24"/>
          <w:u w:val="single"/>
        </w:rPr>
        <w:t>（分包供应商名称）提供的服务全部由小微企业提供，</w:t>
      </w:r>
      <w:r>
        <w:rPr>
          <w:rFonts w:hint="eastAsia" w:ascii="宋体" w:hAnsi="宋体" w:cs="宋体"/>
          <w:kern w:val="0"/>
          <w:sz w:val="24"/>
        </w:rPr>
        <w:t>其合同份额占到合同总金额%以上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（未预留份额专门面向中小企业采购的采购项目，以及预留份额中的非预留部分采购包，允许分包的，分包供应商</w:t>
      </w:r>
      <w:r>
        <w:rPr>
          <w:rFonts w:hint="eastAsia" w:ascii="宋体" w:hAnsi="宋体" w:cs="宋体"/>
          <w:b/>
          <w:kern w:val="0"/>
          <w:sz w:val="24"/>
        </w:rPr>
        <w:t>是</w:t>
      </w:r>
      <w:r>
        <w:rPr>
          <w:rFonts w:hint="eastAsia" w:ascii="宋体" w:hAnsi="宋体" w:cs="宋体"/>
          <w:b/>
          <w:kern w:val="0"/>
          <w:sz w:val="24"/>
          <w:lang w:val="zh-CN"/>
        </w:rPr>
        <w:t>小微企业</w:t>
      </w:r>
      <w:r>
        <w:rPr>
          <w:rFonts w:hint="eastAsia" w:ascii="宋体" w:hAnsi="宋体" w:cs="宋体"/>
          <w:b/>
          <w:kern w:val="0"/>
          <w:sz w:val="24"/>
        </w:rPr>
        <w:t>的</w:t>
      </w:r>
      <w:r>
        <w:rPr>
          <w:rFonts w:hint="eastAsia" w:ascii="宋体" w:hAnsi="宋体" w:cs="宋体"/>
          <w:b/>
          <w:kern w:val="0"/>
          <w:sz w:val="24"/>
          <w:lang w:val="zh-CN"/>
        </w:rPr>
        <w:t>，且其合同份额占到合同总金额 30%以上的，对大中型企业的报价给予</w:t>
      </w:r>
      <w:r>
        <w:rPr>
          <w:rFonts w:hint="eastAsia" w:ascii="宋体" w:hAnsi="宋体" w:cs="宋体"/>
          <w:b/>
          <w:kern w:val="0"/>
          <w:sz w:val="24"/>
        </w:rPr>
        <w:t>6</w:t>
      </w:r>
      <w:r>
        <w:rPr>
          <w:rFonts w:hint="eastAsia" w:ascii="宋体" w:hAnsi="宋体" w:cs="宋体"/>
          <w:b/>
          <w:kern w:val="0"/>
          <w:sz w:val="24"/>
          <w:lang w:val="zh-CN"/>
        </w:rPr>
        <w:t>%的扣除）</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r>
        <w:rPr>
          <w:rFonts w:hint="eastAsia" w:ascii="宋体" w:hAnsi="宋体" w:cs="宋体"/>
          <w:b/>
          <w:kern w:val="0"/>
          <w:sz w:val="32"/>
          <w:szCs w:val="32"/>
        </w:rPr>
        <w:t>五、符合性审查资料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sz w:val="24"/>
              </w:rPr>
            </w:pPr>
            <w:r>
              <w:rPr>
                <w:rFonts w:hint="eastAsia" w:ascii="宋体" w:hAnsi="宋体"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sz w:val="24"/>
              </w:rPr>
            </w:pPr>
            <w:r>
              <w:rPr>
                <w:rFonts w:hint="eastAsia" w:ascii="宋体" w:hAnsi="宋体"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sz w:val="24"/>
              </w:rPr>
            </w:pPr>
            <w:r>
              <w:rPr>
                <w:rFonts w:hint="eastAsia" w:ascii="宋体" w:hAnsi="宋体" w:cs="宋体"/>
                <w:sz w:val="24"/>
              </w:rPr>
              <w:t>见投标文件第页</w:t>
            </w:r>
          </w:p>
        </w:tc>
      </w:tr>
    </w:tbl>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六、评标标准相应的商务技术资料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（按招标文件第四部分评标办法中“投标文件中评标标准相应的商务技术资料要求”提供资料）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autoSpaceDE w:val="0"/>
        <w:autoSpaceDN w:val="0"/>
        <w:spacing w:line="360" w:lineRule="auto"/>
        <w:ind w:right="1120" w:firstLine="3360" w:firstLineChars="14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jc w:val="center"/>
        <w:rPr>
          <w:rFonts w:ascii="宋体" w:hAnsi="宋体" w:cs="宋体"/>
          <w:b/>
          <w:kern w:val="0"/>
          <w:sz w:val="32"/>
          <w:szCs w:val="32"/>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bCs/>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2891" w:firstLineChars="900"/>
        <w:rPr>
          <w:rFonts w:ascii="宋体" w:hAnsi="宋体" w:cs="宋体"/>
          <w:b/>
          <w:kern w:val="0"/>
          <w:sz w:val="32"/>
          <w:szCs w:val="32"/>
        </w:rPr>
      </w:pPr>
    </w:p>
    <w:p>
      <w:pPr>
        <w:ind w:firstLine="1911" w:firstLineChars="595"/>
        <w:rPr>
          <w:rFonts w:ascii="宋体" w:hAnsi="宋体" w:cs="宋体"/>
          <w:b/>
          <w:kern w:val="0"/>
          <w:sz w:val="32"/>
          <w:szCs w:val="32"/>
        </w:rPr>
      </w:pPr>
      <w:r>
        <w:rPr>
          <w:rFonts w:hint="eastAsia" w:ascii="宋体" w:hAnsi="宋体" w:cs="宋体"/>
          <w:b/>
          <w:kern w:val="0"/>
          <w:sz w:val="32"/>
          <w:szCs w:val="32"/>
        </w:rPr>
        <w:t>八、</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浙江省生态环境监测中心、浙江信镧建设工程咨询有限公司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bookmarkStart w:id="421" w:name="_Toc5292"/>
      <w:r>
        <w:rPr>
          <w:rFonts w:hint="eastAsia" w:ascii="宋体" w:hAnsi="宋体" w:cs="宋体"/>
          <w:b/>
          <w:kern w:val="0"/>
          <w:sz w:val="36"/>
          <w:szCs w:val="36"/>
        </w:rPr>
        <w:t>报价文件部分</w:t>
      </w:r>
      <w:bookmarkEnd w:id="421"/>
    </w:p>
    <w:p>
      <w:pPr>
        <w:spacing w:line="360" w:lineRule="auto"/>
        <w:jc w:val="center"/>
        <w:outlineLvl w:val="0"/>
        <w:rPr>
          <w:rFonts w:ascii="宋体" w:hAnsi="宋体" w:cs="宋体"/>
          <w:b/>
          <w:kern w:val="0"/>
          <w:sz w:val="36"/>
          <w:szCs w:val="36"/>
        </w:rPr>
      </w:pPr>
      <w:bookmarkStart w:id="422" w:name="_Toc28848"/>
      <w:r>
        <w:rPr>
          <w:rFonts w:hint="eastAsia" w:ascii="宋体" w:hAnsi="宋体" w:cs="宋体"/>
          <w:b/>
          <w:kern w:val="0"/>
          <w:sz w:val="36"/>
          <w:szCs w:val="36"/>
        </w:rPr>
        <w:t>目录</w:t>
      </w:r>
      <w:bookmarkEnd w:id="422"/>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23" w:name="_Toc30300"/>
      <w:r>
        <w:rPr>
          <w:rFonts w:hint="eastAsia" w:ascii="宋体" w:hAnsi="宋体" w:eastAsia="宋体" w:cs="宋体"/>
          <w:kern w:val="2"/>
          <w:sz w:val="32"/>
          <w:szCs w:val="32"/>
        </w:rPr>
        <w:t>一、开标一览表（报价表）</w:t>
      </w:r>
      <w:bookmarkEnd w:id="423"/>
    </w:p>
    <w:p>
      <w:pPr>
        <w:snapToGrid w:val="0"/>
        <w:spacing w:line="360" w:lineRule="auto"/>
        <w:rPr>
          <w:rFonts w:ascii="宋体" w:hAnsi="宋体" w:cs="宋体"/>
          <w:kern w:val="0"/>
          <w:sz w:val="24"/>
        </w:rPr>
      </w:pPr>
      <w:r>
        <w:rPr>
          <w:rFonts w:hint="eastAsia" w:ascii="宋体" w:hAnsi="宋体" w:cs="宋体"/>
          <w:sz w:val="24"/>
        </w:rPr>
        <w:t>浙江省生态环境监测中心、浙江信镧建设工程咨询有限公司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浙江省生态环境厅网络安全闭环管理系统项目</w:t>
      </w:r>
      <w:r>
        <w:rPr>
          <w:rFonts w:hint="eastAsia" w:ascii="宋体" w:hAnsi="宋体" w:cs="宋体"/>
          <w:kern w:val="0"/>
          <w:sz w:val="24"/>
          <w:lang w:val="zh-CN"/>
        </w:rPr>
        <w:t>【招标编号：</w:t>
      </w:r>
      <w:r>
        <w:rPr>
          <w:rFonts w:hint="eastAsia" w:ascii="宋体" w:hAnsi="宋体" w:cs="宋体"/>
          <w:sz w:val="24"/>
        </w:rPr>
        <w:t>ZJXL-STJCZX-202215】的实施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具体服务</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总价</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服务要求</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pStyle w:val="2"/>
        <w:ind w:firstLine="420"/>
        <w:rPr>
          <w:lang w:val="zh-CN"/>
        </w:rPr>
      </w:pPr>
    </w:p>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1、投标人需按本表格式填写，不得自行更改。</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4、特别提示：采购机构将对项目名称和项目编号，中标供应商名称、地址和中标金额，主要中标标的的名称、</w:t>
      </w:r>
      <w:r>
        <w:rPr>
          <w:rFonts w:hint="eastAsia" w:ascii="宋体" w:hAnsi="宋体" w:cs="宋体"/>
          <w:bCs/>
          <w:sz w:val="24"/>
        </w:rPr>
        <w:t>具体服务</w:t>
      </w:r>
      <w:r>
        <w:rPr>
          <w:rFonts w:hint="eastAsia" w:ascii="宋体" w:hAnsi="宋体" w:cs="宋体"/>
          <w:kern w:val="0"/>
          <w:sz w:val="24"/>
          <w:lang w:val="zh-CN"/>
        </w:rPr>
        <w:t>、数量、单价、服务要求等予以公示。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zh-CN"/>
        </w:rPr>
        <w:t>5、</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bookmarkStart w:id="424" w:name="_Toc11360"/>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End w:id="424"/>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25" w:name="_Toc19341"/>
      <w:bookmarkStart w:id="426" w:name="_Toc465665161"/>
      <w:r>
        <w:rPr>
          <w:rFonts w:hint="eastAsia" w:ascii="宋体" w:hAnsi="宋体" w:cs="宋体"/>
        </w:rPr>
        <w:t>附件</w:t>
      </w:r>
      <w:bookmarkEnd w:id="425"/>
      <w:bookmarkEnd w:id="426"/>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27" w:name="OLE_LINK13"/>
      <w:bookmarkStart w:id="428" w:name="OLE_LINK14"/>
      <w:r>
        <w:rPr>
          <w:rFonts w:hint="eastAsia" w:ascii="宋体" w:hAnsi="宋体" w:cs="宋体"/>
          <w:b/>
          <w:spacing w:val="6"/>
          <w:sz w:val="32"/>
          <w:szCs w:val="32"/>
        </w:rPr>
        <w:t>残疾人福利性单位声明函</w:t>
      </w:r>
    </w:p>
    <w:bookmarkEnd w:id="427"/>
    <w:bookmarkEnd w:id="42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sz w:val="24"/>
        </w:rPr>
      </w:pPr>
      <w:r>
        <w:rPr>
          <w:rFonts w:hint="eastAsia" w:ascii="宋体" w:hAnsi="宋体" w:cs="宋体"/>
          <w:sz w:val="24"/>
        </w:rPr>
        <w:t>联系人：联系电话：</w:t>
      </w:r>
    </w:p>
    <w:p>
      <w:pPr>
        <w:snapToGrid w:val="0"/>
        <w:spacing w:line="360" w:lineRule="auto"/>
        <w:rPr>
          <w:rFonts w:ascii="宋体" w:hAnsi="宋体" w:cs="宋体"/>
          <w:sz w:val="24"/>
          <w:u w:val="dotted"/>
        </w:rPr>
      </w:pPr>
      <w:r>
        <w:rPr>
          <w:rFonts w:hint="eastAsia" w:ascii="宋体" w:hAnsi="宋体" w:cs="宋体"/>
          <w:sz w:val="24"/>
        </w:rPr>
        <w:t>授权代表：</w:t>
      </w:r>
    </w:p>
    <w:p>
      <w:pPr>
        <w:snapToGrid w:val="0"/>
        <w:spacing w:line="360" w:lineRule="auto"/>
        <w:rPr>
          <w:rFonts w:ascii="宋体" w:hAnsi="宋体" w:cs="宋体"/>
          <w:sz w:val="24"/>
        </w:rPr>
      </w:pPr>
      <w:r>
        <w:rPr>
          <w:rFonts w:hint="eastAsia" w:ascii="宋体" w:hAnsi="宋体" w:cs="宋体"/>
          <w:sz w:val="24"/>
        </w:rPr>
        <w:t>联系电话：</w:t>
      </w:r>
    </w:p>
    <w:p>
      <w:pPr>
        <w:snapToGrid w:val="0"/>
        <w:spacing w:line="360" w:lineRule="auto"/>
        <w:rPr>
          <w:rFonts w:ascii="宋体" w:hAnsi="宋体" w:cs="宋体"/>
          <w:sz w:val="24"/>
        </w:rPr>
      </w:pPr>
      <w:r>
        <w:rPr>
          <w:rFonts w:hint="eastAsia" w:ascii="宋体" w:hAnsi="宋体" w:cs="宋体"/>
          <w:sz w:val="24"/>
        </w:rPr>
        <w:t>地址：邮编：</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p>
    <w:p>
      <w:pPr>
        <w:snapToGrid w:val="0"/>
        <w:spacing w:line="360" w:lineRule="auto"/>
        <w:rPr>
          <w:rFonts w:ascii="宋体" w:hAnsi="宋体" w:cs="宋体"/>
          <w:sz w:val="24"/>
        </w:rPr>
      </w:pPr>
      <w:r>
        <w:rPr>
          <w:rFonts w:hint="eastAsia" w:ascii="宋体" w:hAnsi="宋体" w:cs="宋体"/>
          <w:sz w:val="24"/>
        </w:rPr>
        <w:t>质疑项目的编号：包号：</w:t>
      </w:r>
    </w:p>
    <w:p>
      <w:pPr>
        <w:snapToGrid w:val="0"/>
        <w:spacing w:line="360" w:lineRule="auto"/>
        <w:rPr>
          <w:rFonts w:ascii="宋体" w:hAnsi="宋体" w:cs="宋体"/>
          <w:sz w:val="24"/>
          <w:u w:val="dotted"/>
        </w:rPr>
      </w:pPr>
      <w:r>
        <w:rPr>
          <w:rFonts w:hint="eastAsia" w:ascii="宋体" w:hAnsi="宋体" w:cs="宋体"/>
          <w:sz w:val="24"/>
        </w:rPr>
        <w:t>采购人名称：</w:t>
      </w:r>
    </w:p>
    <w:p>
      <w:pPr>
        <w:snapToGrid w:val="0"/>
        <w:spacing w:line="360" w:lineRule="auto"/>
        <w:rPr>
          <w:rFonts w:ascii="宋体" w:hAnsi="宋体" w:cs="宋体"/>
          <w:sz w:val="24"/>
        </w:rPr>
      </w:pPr>
      <w:r>
        <w:rPr>
          <w:rFonts w:hint="eastAsia" w:ascii="宋体" w:hAnsi="宋体" w:cs="宋体"/>
          <w:sz w:val="24"/>
        </w:rPr>
        <w:t>采购文件获取日期：</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p>
    <w:p>
      <w:pPr>
        <w:snapToGrid w:val="0"/>
        <w:spacing w:line="360" w:lineRule="auto"/>
        <w:rPr>
          <w:rFonts w:ascii="宋体" w:hAnsi="宋体" w:cs="宋体"/>
          <w:sz w:val="24"/>
          <w:u w:val="dotted"/>
        </w:rPr>
      </w:pPr>
      <w:r>
        <w:rPr>
          <w:rFonts w:hint="eastAsia" w:ascii="宋体" w:hAnsi="宋体" w:cs="宋体"/>
          <w:sz w:val="24"/>
        </w:rPr>
        <w:t>事实依据：</w:t>
      </w:r>
    </w:p>
    <w:p>
      <w:pPr>
        <w:snapToGrid w:val="0"/>
        <w:spacing w:line="360" w:lineRule="auto"/>
        <w:rPr>
          <w:rFonts w:ascii="宋体" w:hAnsi="宋体" w:cs="宋体"/>
          <w:sz w:val="24"/>
        </w:rPr>
      </w:pPr>
    </w:p>
    <w:p>
      <w:pPr>
        <w:snapToGrid w:val="0"/>
        <w:spacing w:line="360" w:lineRule="auto"/>
        <w:rPr>
          <w:rFonts w:ascii="宋体" w:hAnsi="宋体" w:cs="宋体"/>
          <w:sz w:val="24"/>
          <w:u w:val="dotted"/>
        </w:rPr>
      </w:pPr>
      <w:r>
        <w:rPr>
          <w:rFonts w:hint="eastAsia" w:ascii="宋体" w:hAnsi="宋体" w:cs="宋体"/>
          <w:sz w:val="24"/>
        </w:rPr>
        <w:t>法律依据：</w:t>
      </w:r>
    </w:p>
    <w:p>
      <w:pPr>
        <w:snapToGrid w:val="0"/>
        <w:spacing w:line="360" w:lineRule="auto"/>
        <w:rPr>
          <w:rFonts w:ascii="宋体" w:hAnsi="宋体" w:cs="宋体"/>
          <w:sz w:val="24"/>
          <w:u w:val="dotted"/>
        </w:rPr>
      </w:pP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日期：</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p>
    <w:p>
      <w:pPr>
        <w:spacing w:line="360" w:lineRule="auto"/>
        <w:rPr>
          <w:rFonts w:ascii="宋体" w:hAnsi="宋体" w:cs="宋体"/>
          <w:sz w:val="24"/>
          <w:u w:val="single"/>
        </w:rPr>
      </w:pPr>
      <w:r>
        <w:rPr>
          <w:rFonts w:hint="eastAsia" w:ascii="宋体" w:hAnsi="宋体" w:cs="宋体"/>
          <w:sz w:val="24"/>
        </w:rPr>
        <w:t>地址：邮编：</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rPr>
          <w:rFonts w:ascii="宋体" w:hAnsi="宋体" w:cs="宋体"/>
          <w:sz w:val="24"/>
          <w:u w:val="dotted"/>
        </w:rPr>
      </w:pPr>
      <w:r>
        <w:rPr>
          <w:rFonts w:hint="eastAsia" w:ascii="宋体" w:hAnsi="宋体" w:cs="宋体"/>
          <w:sz w:val="24"/>
        </w:rPr>
        <w:t>联系电话：</w:t>
      </w:r>
    </w:p>
    <w:p>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pPr>
        <w:spacing w:line="360" w:lineRule="auto"/>
        <w:rPr>
          <w:rFonts w:ascii="宋体" w:hAnsi="宋体" w:cs="宋体"/>
          <w:sz w:val="24"/>
          <w:u w:val="dotted"/>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被投诉人1：</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p>
    <w:p>
      <w:pPr>
        <w:spacing w:line="360" w:lineRule="auto"/>
        <w:rPr>
          <w:rFonts w:ascii="宋体" w:hAnsi="宋体" w:cs="宋体"/>
          <w:sz w:val="24"/>
          <w:u w:val="single"/>
        </w:rPr>
      </w:pPr>
      <w:r>
        <w:rPr>
          <w:rFonts w:hint="eastAsia" w:ascii="宋体" w:hAnsi="宋体" w:cs="宋体"/>
          <w:sz w:val="24"/>
        </w:rPr>
        <w:t>地址：邮编：</w:t>
      </w:r>
    </w:p>
    <w:p>
      <w:pPr>
        <w:spacing w:line="360" w:lineRule="auto"/>
        <w:rPr>
          <w:rFonts w:ascii="宋体" w:hAnsi="宋体" w:cs="宋体"/>
          <w:sz w:val="24"/>
          <w:u w:val="single"/>
        </w:rPr>
      </w:pPr>
      <w:r>
        <w:rPr>
          <w:rFonts w:hint="eastAsia" w:ascii="宋体" w:hAnsi="宋体" w:cs="宋体"/>
          <w:sz w:val="24"/>
        </w:rPr>
        <w:t>联系人：联系电话：</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p>
    <w:p>
      <w:pPr>
        <w:spacing w:line="360" w:lineRule="auto"/>
        <w:rPr>
          <w:rFonts w:ascii="宋体" w:hAnsi="宋体" w:cs="宋体"/>
          <w:sz w:val="24"/>
          <w:u w:val="single"/>
        </w:rPr>
      </w:pPr>
      <w:r>
        <w:rPr>
          <w:rFonts w:hint="eastAsia" w:ascii="宋体" w:hAnsi="宋体" w:cs="宋体"/>
          <w:sz w:val="24"/>
        </w:rPr>
        <w:t>采购项目编号：包号：</w:t>
      </w:r>
    </w:p>
    <w:p>
      <w:pPr>
        <w:spacing w:line="360" w:lineRule="auto"/>
        <w:rPr>
          <w:rFonts w:ascii="宋体" w:hAnsi="宋体" w:cs="宋体"/>
          <w:sz w:val="24"/>
        </w:rPr>
      </w:pPr>
      <w:r>
        <w:rPr>
          <w:rFonts w:hint="eastAsia" w:ascii="宋体" w:hAnsi="宋体" w:cs="宋体"/>
          <w:sz w:val="24"/>
        </w:rPr>
        <w:t>采购人名称：</w:t>
      </w:r>
    </w:p>
    <w:p>
      <w:pPr>
        <w:spacing w:line="360" w:lineRule="auto"/>
        <w:rPr>
          <w:rFonts w:ascii="宋体" w:hAnsi="宋体" w:cs="宋体"/>
          <w:sz w:val="24"/>
          <w:u w:val="single"/>
        </w:rPr>
      </w:pPr>
      <w:r>
        <w:rPr>
          <w:rFonts w:hint="eastAsia" w:ascii="宋体" w:hAnsi="宋体" w:cs="宋体"/>
          <w:sz w:val="24"/>
        </w:rPr>
        <w:t>代理机构名称：</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pPr>
        <w:spacing w:line="360" w:lineRule="auto"/>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p>
    <w:p>
      <w:pPr>
        <w:spacing w:line="360" w:lineRule="auto"/>
        <w:rPr>
          <w:rFonts w:ascii="宋体" w:hAnsi="宋体" w:cs="宋体"/>
          <w:sz w:val="24"/>
        </w:rPr>
      </w:pPr>
      <w:r>
        <w:rPr>
          <w:rFonts w:hint="eastAsia" w:ascii="宋体" w:hAnsi="宋体" w:cs="宋体"/>
          <w:sz w:val="24"/>
        </w:rPr>
        <w:t>事实依据：</w:t>
      </w:r>
    </w:p>
    <w:p>
      <w:pPr>
        <w:spacing w:line="360" w:lineRule="auto"/>
        <w:rPr>
          <w:rFonts w:ascii="宋体" w:hAnsi="宋体" w:cs="宋体"/>
          <w:sz w:val="24"/>
          <w:u w:val="dotted"/>
        </w:rPr>
      </w:pPr>
    </w:p>
    <w:p>
      <w:pPr>
        <w:spacing w:line="360" w:lineRule="auto"/>
        <w:rPr>
          <w:rFonts w:ascii="宋体" w:hAnsi="宋体" w:cs="宋体"/>
          <w:sz w:val="24"/>
          <w:u w:val="single"/>
        </w:rPr>
      </w:pPr>
      <w:r>
        <w:rPr>
          <w:rFonts w:hint="eastAsia" w:ascii="宋体" w:hAnsi="宋体" w:cs="宋体"/>
          <w:sz w:val="24"/>
        </w:rPr>
        <w:t>法律依据：</w:t>
      </w:r>
    </w:p>
    <w:p>
      <w:pPr>
        <w:spacing w:line="360" w:lineRule="auto"/>
        <w:rPr>
          <w:rFonts w:ascii="宋体" w:hAnsi="宋体" w:cs="宋体"/>
          <w:sz w:val="24"/>
          <w:u w:val="dotted"/>
        </w:rPr>
      </w:pP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日期：</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rPr>
          <w:rFonts w:ascii="宋体" w:hAnsi="宋体" w:cs="宋体"/>
          <w:b/>
          <w:spacing w:val="6"/>
          <w:sz w:val="32"/>
          <w:szCs w:val="32"/>
        </w:rPr>
      </w:pPr>
      <w:r>
        <w:rPr>
          <w:rFonts w:hint="eastAsia" w:ascii="宋体" w:hAnsi="宋体" w:cs="宋体"/>
          <w:b/>
          <w:spacing w:val="6"/>
          <w:sz w:val="32"/>
          <w:szCs w:val="32"/>
        </w:rPr>
        <w:br w:type="page"/>
      </w: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rPr>
      </w:pPr>
      <w:r>
        <w:rPr>
          <w:rFonts w:hint="eastAsia" w:ascii="宋体" w:hAnsi="宋体" w:cs="宋体"/>
          <w:sz w:val="24"/>
          <w:u w:val="single"/>
        </w:rPr>
        <w:t>浙江省生态环境监测中心、浙江信镧建设工程咨询有限公司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你方组织的浙江省生态环境厅网络安全闭环管理系统项目项目【招标编号：ZJXL-STJCZX-202215】</w:t>
      </w:r>
      <w:r>
        <w:rPr>
          <w:rFonts w:hint="eastAsia" w:ascii="宋体" w:hAnsi="宋体" w:cs="宋体"/>
          <w:bCs/>
          <w:sz w:val="24"/>
        </w:rPr>
        <w:t>投标活动中作如下说明：</w:t>
      </w:r>
      <w:r>
        <w:rPr>
          <w:rFonts w:hint="eastAsia" w:ascii="宋体" w:hAnsi="宋体" w:cs="宋体"/>
          <w:sz w:val="24"/>
        </w:rPr>
        <w:t>我方所使用的“XX专用章”与法定名称章具有同等的法律效力，对使用“XX专用章”的行为予以完全承认，并愿意承担相应责任。</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附件5：</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中小企业声明函（工程、服务）</w:t>
      </w: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号）的规定，本公司（联合体）参加（单位名称）的浙江省生态环境厅网络安全闭环管理系统项目</w:t>
      </w:r>
      <w:r>
        <w:rPr>
          <w:rFonts w:hint="eastAsia" w:ascii="宋体" w:hAnsi="宋体" w:cs="宋体"/>
          <w:sz w:val="24"/>
          <w:highlight w:val="cyan"/>
        </w:rPr>
        <w:t>采购</w:t>
      </w:r>
      <w:r>
        <w:rPr>
          <w:rFonts w:hint="eastAsia" w:ascii="宋体" w:hAnsi="宋体" w:cs="宋体"/>
          <w:sz w:val="24"/>
        </w:rPr>
        <w:t>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，从业人员人，营业收入为万元，资产总额为万元属于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日期：</w:t>
      </w:r>
    </w:p>
    <w:p>
      <w:pPr>
        <w:spacing w:line="360" w:lineRule="auto"/>
        <w:ind w:right="420"/>
        <w:rPr>
          <w:rFonts w:ascii="宋体" w:hAnsi="宋体" w:cs="宋体"/>
          <w:bCs/>
          <w:szCs w:val="21"/>
        </w:rPr>
      </w:pPr>
      <w:r>
        <w:rPr>
          <w:rFonts w:hint="eastAsia" w:ascii="宋体" w:hAnsi="宋体" w:cs="宋体"/>
          <w:bCs/>
          <w:szCs w:val="21"/>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rPr>
          <w:rFonts w:ascii="宋体" w:hAnsi="宋体" w:cs="宋体"/>
          <w:bCs/>
        </w:rPr>
      </w:pPr>
      <w:r>
        <w:rPr>
          <w:rFonts w:hint="eastAsia" w:ascii="宋体" w:hAnsi="宋体" w:cs="宋体"/>
          <w:bCs/>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429" w:name="_Toc131845147"/>
    <w:bookmarkStart w:id="430" w:name="_Toc36110187"/>
    <w:bookmarkStart w:id="431" w:name="_Toc164085800"/>
    <w:bookmarkStart w:id="432" w:name="_Toc91899912"/>
    <w:r>
      <w:rPr>
        <w:rFonts w:hint="eastAsia" w:ascii="仿宋_GB2312" w:eastAsia="仿宋_GB2312"/>
        <w:kern w:val="0"/>
        <w:szCs w:val="21"/>
      </w:rPr>
      <w:t xml:space="preserve"> 页</w:t>
    </w:r>
    <w:bookmarkEnd w:id="429"/>
    <w:bookmarkEnd w:id="430"/>
    <w:bookmarkEnd w:id="431"/>
    <w:bookmarkEnd w:id="43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b/>
        <w:i/>
        <w:u w:val="single"/>
      </w:rPr>
    </w:pPr>
    <w:r>
      <w:t></w:t>
    </w:r>
    <w:r>
      <w:rPr>
        <w:rFonts w:hint="eastAsia"/>
      </w:rPr>
      <w:t>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eastAsia="仿宋_GB2312"/>
      </w:rPr>
      <w:t>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b/>
        <w:i/>
        <w:iCs/>
        <w:u w:val="single"/>
      </w:rPr>
    </w:pPr>
    <w:r>
      <w:t></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4B19E"/>
    <w:multiLevelType w:val="singleLevel"/>
    <w:tmpl w:val="8564B19E"/>
    <w:lvl w:ilvl="0" w:tentative="0">
      <w:start w:val="1"/>
      <w:numFmt w:val="decimal"/>
      <w:suff w:val="nothing"/>
      <w:lvlText w:val="%1、"/>
      <w:lvlJc w:val="left"/>
    </w:lvl>
  </w:abstractNum>
  <w:abstractNum w:abstractNumId="1">
    <w:nsid w:val="CAB1904E"/>
    <w:multiLevelType w:val="singleLevel"/>
    <w:tmpl w:val="CAB1904E"/>
    <w:lvl w:ilvl="0" w:tentative="0">
      <w:start w:val="2"/>
      <w:numFmt w:val="decimal"/>
      <w:suff w:val="nothing"/>
      <w:lvlText w:val="%1、"/>
      <w:lvlJc w:val="left"/>
    </w:lvl>
  </w:abstractNum>
  <w:abstractNum w:abstractNumId="2">
    <w:nsid w:val="DF058C13"/>
    <w:multiLevelType w:val="singleLevel"/>
    <w:tmpl w:val="DF058C13"/>
    <w:lvl w:ilvl="0" w:tentative="0">
      <w:start w:val="1"/>
      <w:numFmt w:val="decimal"/>
      <w:suff w:val="nothing"/>
      <w:lvlText w:val="%1、"/>
      <w:lvlJc w:val="left"/>
    </w:lvl>
  </w:abstractNum>
  <w:abstractNum w:abstractNumId="3">
    <w:nsid w:val="6475C030"/>
    <w:multiLevelType w:val="singleLevel"/>
    <w:tmpl w:val="6475C030"/>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2E0MzM3YTg4ODc3MWFkNmFlNjIyNzE2ZWZiM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A60"/>
    <w:rsid w:val="00032EA0"/>
    <w:rsid w:val="000331B0"/>
    <w:rsid w:val="000336D4"/>
    <w:rsid w:val="00033EF4"/>
    <w:rsid w:val="00034FA7"/>
    <w:rsid w:val="0003533D"/>
    <w:rsid w:val="000357E4"/>
    <w:rsid w:val="00035ACA"/>
    <w:rsid w:val="00035D25"/>
    <w:rsid w:val="00040447"/>
    <w:rsid w:val="00040494"/>
    <w:rsid w:val="00040B70"/>
    <w:rsid w:val="00042441"/>
    <w:rsid w:val="00042533"/>
    <w:rsid w:val="00042DBB"/>
    <w:rsid w:val="00042E65"/>
    <w:rsid w:val="0004347C"/>
    <w:rsid w:val="00043907"/>
    <w:rsid w:val="00044635"/>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C1D"/>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B95"/>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6DC"/>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A7B"/>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6A7"/>
    <w:rsid w:val="00135769"/>
    <w:rsid w:val="00135BE9"/>
    <w:rsid w:val="00135E5C"/>
    <w:rsid w:val="00136762"/>
    <w:rsid w:val="00136A59"/>
    <w:rsid w:val="00136E33"/>
    <w:rsid w:val="0013773D"/>
    <w:rsid w:val="0014042F"/>
    <w:rsid w:val="00140693"/>
    <w:rsid w:val="00140D7A"/>
    <w:rsid w:val="00141D28"/>
    <w:rsid w:val="00141DFE"/>
    <w:rsid w:val="00142185"/>
    <w:rsid w:val="001422E2"/>
    <w:rsid w:val="001433BC"/>
    <w:rsid w:val="00143872"/>
    <w:rsid w:val="00143A85"/>
    <w:rsid w:val="0014456A"/>
    <w:rsid w:val="00144649"/>
    <w:rsid w:val="00145022"/>
    <w:rsid w:val="00145662"/>
    <w:rsid w:val="00145C6D"/>
    <w:rsid w:val="00145D24"/>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92"/>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9E6"/>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48F"/>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B7F94"/>
    <w:rsid w:val="001C08DB"/>
    <w:rsid w:val="001C10BD"/>
    <w:rsid w:val="001C1F01"/>
    <w:rsid w:val="001C2092"/>
    <w:rsid w:val="001C232F"/>
    <w:rsid w:val="001C2544"/>
    <w:rsid w:val="001C2A17"/>
    <w:rsid w:val="001C31F5"/>
    <w:rsid w:val="001C6047"/>
    <w:rsid w:val="001C6698"/>
    <w:rsid w:val="001C6C5B"/>
    <w:rsid w:val="001C7399"/>
    <w:rsid w:val="001C770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6382"/>
    <w:rsid w:val="00227214"/>
    <w:rsid w:val="00227DDC"/>
    <w:rsid w:val="0023079F"/>
    <w:rsid w:val="00231135"/>
    <w:rsid w:val="00231B0B"/>
    <w:rsid w:val="00232555"/>
    <w:rsid w:val="00233538"/>
    <w:rsid w:val="00234248"/>
    <w:rsid w:val="0023449F"/>
    <w:rsid w:val="002344F5"/>
    <w:rsid w:val="0023454D"/>
    <w:rsid w:val="00234654"/>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A3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394"/>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1D6"/>
    <w:rsid w:val="002A7748"/>
    <w:rsid w:val="002A7ED3"/>
    <w:rsid w:val="002A7FB1"/>
    <w:rsid w:val="002A7FC9"/>
    <w:rsid w:val="002B139C"/>
    <w:rsid w:val="002B1881"/>
    <w:rsid w:val="002B1F61"/>
    <w:rsid w:val="002B2070"/>
    <w:rsid w:val="002B2906"/>
    <w:rsid w:val="002B2C66"/>
    <w:rsid w:val="002B34E3"/>
    <w:rsid w:val="002B3BE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BE2"/>
    <w:rsid w:val="002D0C27"/>
    <w:rsid w:val="002D0E88"/>
    <w:rsid w:val="002D0EA7"/>
    <w:rsid w:val="002D0F31"/>
    <w:rsid w:val="002D1593"/>
    <w:rsid w:val="002D1A1E"/>
    <w:rsid w:val="002D22A6"/>
    <w:rsid w:val="002D2819"/>
    <w:rsid w:val="002D2955"/>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987"/>
    <w:rsid w:val="002F4BA9"/>
    <w:rsid w:val="002F541B"/>
    <w:rsid w:val="002F5BFE"/>
    <w:rsid w:val="002F5DA5"/>
    <w:rsid w:val="002F5E17"/>
    <w:rsid w:val="002F647C"/>
    <w:rsid w:val="002F6C6B"/>
    <w:rsid w:val="002F6CB0"/>
    <w:rsid w:val="002F6EFF"/>
    <w:rsid w:val="002F7DF0"/>
    <w:rsid w:val="002F7FAF"/>
    <w:rsid w:val="00300573"/>
    <w:rsid w:val="00300ACF"/>
    <w:rsid w:val="003016C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B7A"/>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0FA4"/>
    <w:rsid w:val="00321DB7"/>
    <w:rsid w:val="00321E7A"/>
    <w:rsid w:val="0032226D"/>
    <w:rsid w:val="003235E6"/>
    <w:rsid w:val="00323F80"/>
    <w:rsid w:val="00324038"/>
    <w:rsid w:val="00324951"/>
    <w:rsid w:val="003249F6"/>
    <w:rsid w:val="00324B2F"/>
    <w:rsid w:val="00325FCC"/>
    <w:rsid w:val="00326106"/>
    <w:rsid w:val="00326805"/>
    <w:rsid w:val="003269B7"/>
    <w:rsid w:val="00326C0E"/>
    <w:rsid w:val="00326C36"/>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7DB"/>
    <w:rsid w:val="0035455F"/>
    <w:rsid w:val="00355D75"/>
    <w:rsid w:val="00355D8F"/>
    <w:rsid w:val="00356A73"/>
    <w:rsid w:val="00356FF0"/>
    <w:rsid w:val="003577EF"/>
    <w:rsid w:val="00357A60"/>
    <w:rsid w:val="00360304"/>
    <w:rsid w:val="00360A78"/>
    <w:rsid w:val="00361750"/>
    <w:rsid w:val="00363894"/>
    <w:rsid w:val="00363B2A"/>
    <w:rsid w:val="00363BF1"/>
    <w:rsid w:val="003651A6"/>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72B"/>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70B"/>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38B9"/>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0F98"/>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A83"/>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5DDF"/>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3FF"/>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33"/>
    <w:rsid w:val="00475BAB"/>
    <w:rsid w:val="004764C6"/>
    <w:rsid w:val="00476AC1"/>
    <w:rsid w:val="00476F97"/>
    <w:rsid w:val="00477247"/>
    <w:rsid w:val="004776BB"/>
    <w:rsid w:val="004776FB"/>
    <w:rsid w:val="00477E92"/>
    <w:rsid w:val="0048055E"/>
    <w:rsid w:val="00480725"/>
    <w:rsid w:val="00480C2B"/>
    <w:rsid w:val="00480DC5"/>
    <w:rsid w:val="00480FD9"/>
    <w:rsid w:val="0048131D"/>
    <w:rsid w:val="00481D0B"/>
    <w:rsid w:val="004824A9"/>
    <w:rsid w:val="00483091"/>
    <w:rsid w:val="00483140"/>
    <w:rsid w:val="00483984"/>
    <w:rsid w:val="00483BC7"/>
    <w:rsid w:val="00483CF0"/>
    <w:rsid w:val="00484B62"/>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2FE0"/>
    <w:rsid w:val="004A3A21"/>
    <w:rsid w:val="004A407A"/>
    <w:rsid w:val="004A4E3B"/>
    <w:rsid w:val="004A6110"/>
    <w:rsid w:val="004A61B8"/>
    <w:rsid w:val="004A6415"/>
    <w:rsid w:val="004A64F9"/>
    <w:rsid w:val="004A65F4"/>
    <w:rsid w:val="004A6D2C"/>
    <w:rsid w:val="004A6E80"/>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378"/>
    <w:rsid w:val="004B6E50"/>
    <w:rsid w:val="004B728F"/>
    <w:rsid w:val="004B7317"/>
    <w:rsid w:val="004B75B2"/>
    <w:rsid w:val="004B75C6"/>
    <w:rsid w:val="004C02C5"/>
    <w:rsid w:val="004C0BF0"/>
    <w:rsid w:val="004C0D40"/>
    <w:rsid w:val="004C114F"/>
    <w:rsid w:val="004C11A9"/>
    <w:rsid w:val="004C27CF"/>
    <w:rsid w:val="004C2A43"/>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584"/>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61A"/>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129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0E3C"/>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933"/>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A6C"/>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94A"/>
    <w:rsid w:val="00576B5C"/>
    <w:rsid w:val="005770CC"/>
    <w:rsid w:val="005802F9"/>
    <w:rsid w:val="005806D5"/>
    <w:rsid w:val="00580DFC"/>
    <w:rsid w:val="0058134C"/>
    <w:rsid w:val="005815CD"/>
    <w:rsid w:val="00581BD4"/>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38A"/>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2F6"/>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1B7"/>
    <w:rsid w:val="005E3596"/>
    <w:rsid w:val="005E4543"/>
    <w:rsid w:val="005E4A1C"/>
    <w:rsid w:val="005E56C9"/>
    <w:rsid w:val="005E5CF7"/>
    <w:rsid w:val="005E5FF0"/>
    <w:rsid w:val="005E62FF"/>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350"/>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CC0"/>
    <w:rsid w:val="006811F3"/>
    <w:rsid w:val="00681240"/>
    <w:rsid w:val="00683068"/>
    <w:rsid w:val="00683DAD"/>
    <w:rsid w:val="00684592"/>
    <w:rsid w:val="00684963"/>
    <w:rsid w:val="00685033"/>
    <w:rsid w:val="0068517F"/>
    <w:rsid w:val="00685D65"/>
    <w:rsid w:val="00685FC8"/>
    <w:rsid w:val="00686E80"/>
    <w:rsid w:val="0068740E"/>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85"/>
    <w:rsid w:val="006B0DA2"/>
    <w:rsid w:val="006B0F70"/>
    <w:rsid w:val="006B1486"/>
    <w:rsid w:val="006B169F"/>
    <w:rsid w:val="006B1BEB"/>
    <w:rsid w:val="006B1CF6"/>
    <w:rsid w:val="006B1D06"/>
    <w:rsid w:val="006B2823"/>
    <w:rsid w:val="006B29DC"/>
    <w:rsid w:val="006B2F60"/>
    <w:rsid w:val="006B2F99"/>
    <w:rsid w:val="006B33DB"/>
    <w:rsid w:val="006B3669"/>
    <w:rsid w:val="006B36E5"/>
    <w:rsid w:val="006B3D00"/>
    <w:rsid w:val="006B4CF8"/>
    <w:rsid w:val="006B506B"/>
    <w:rsid w:val="006B54E8"/>
    <w:rsid w:val="006B5FBC"/>
    <w:rsid w:val="006B6AA6"/>
    <w:rsid w:val="006B6ED2"/>
    <w:rsid w:val="006B7F74"/>
    <w:rsid w:val="006C0230"/>
    <w:rsid w:val="006C05C7"/>
    <w:rsid w:val="006C25AB"/>
    <w:rsid w:val="006C2C31"/>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899"/>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755"/>
    <w:rsid w:val="006F1DE9"/>
    <w:rsid w:val="006F2046"/>
    <w:rsid w:val="006F2F59"/>
    <w:rsid w:val="006F311E"/>
    <w:rsid w:val="006F3442"/>
    <w:rsid w:val="006F36A5"/>
    <w:rsid w:val="006F41F4"/>
    <w:rsid w:val="006F4576"/>
    <w:rsid w:val="006F5813"/>
    <w:rsid w:val="006F59A8"/>
    <w:rsid w:val="006F5A1D"/>
    <w:rsid w:val="006F71A6"/>
    <w:rsid w:val="006F792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798"/>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9F0"/>
    <w:rsid w:val="00775F3F"/>
    <w:rsid w:val="0077710B"/>
    <w:rsid w:val="0077765A"/>
    <w:rsid w:val="00780032"/>
    <w:rsid w:val="00780636"/>
    <w:rsid w:val="00780C37"/>
    <w:rsid w:val="00780E86"/>
    <w:rsid w:val="0078108C"/>
    <w:rsid w:val="00781727"/>
    <w:rsid w:val="00781FD1"/>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241"/>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DCE"/>
    <w:rsid w:val="0080348B"/>
    <w:rsid w:val="00803D82"/>
    <w:rsid w:val="00803D98"/>
    <w:rsid w:val="00804325"/>
    <w:rsid w:val="008052CE"/>
    <w:rsid w:val="008058D0"/>
    <w:rsid w:val="008058D8"/>
    <w:rsid w:val="00806A4C"/>
    <w:rsid w:val="0080705B"/>
    <w:rsid w:val="0080723C"/>
    <w:rsid w:val="00807F71"/>
    <w:rsid w:val="0081000F"/>
    <w:rsid w:val="008109E0"/>
    <w:rsid w:val="00812657"/>
    <w:rsid w:val="00812A1A"/>
    <w:rsid w:val="00812DFF"/>
    <w:rsid w:val="008132C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468"/>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453"/>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1A3"/>
    <w:rsid w:val="009259AE"/>
    <w:rsid w:val="00925A3E"/>
    <w:rsid w:val="009261DB"/>
    <w:rsid w:val="00926939"/>
    <w:rsid w:val="00926F4C"/>
    <w:rsid w:val="00927330"/>
    <w:rsid w:val="00927710"/>
    <w:rsid w:val="00927AF0"/>
    <w:rsid w:val="009307CA"/>
    <w:rsid w:val="009312F9"/>
    <w:rsid w:val="00931445"/>
    <w:rsid w:val="009317E4"/>
    <w:rsid w:val="00931AB8"/>
    <w:rsid w:val="00931C19"/>
    <w:rsid w:val="00931C63"/>
    <w:rsid w:val="00931D10"/>
    <w:rsid w:val="0093218A"/>
    <w:rsid w:val="00932673"/>
    <w:rsid w:val="0093386D"/>
    <w:rsid w:val="00934C8E"/>
    <w:rsid w:val="00935194"/>
    <w:rsid w:val="00936EA5"/>
    <w:rsid w:val="00937114"/>
    <w:rsid w:val="0094015D"/>
    <w:rsid w:val="00940916"/>
    <w:rsid w:val="009412B7"/>
    <w:rsid w:val="00941B13"/>
    <w:rsid w:val="00941FA7"/>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9B9"/>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980"/>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D0B"/>
    <w:rsid w:val="009C5E42"/>
    <w:rsid w:val="009C620F"/>
    <w:rsid w:val="009C657D"/>
    <w:rsid w:val="009C724B"/>
    <w:rsid w:val="009C7266"/>
    <w:rsid w:val="009C748A"/>
    <w:rsid w:val="009C7A6D"/>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82"/>
    <w:rsid w:val="00A21838"/>
    <w:rsid w:val="00A22243"/>
    <w:rsid w:val="00A22C3E"/>
    <w:rsid w:val="00A22C4D"/>
    <w:rsid w:val="00A2334E"/>
    <w:rsid w:val="00A23442"/>
    <w:rsid w:val="00A249D2"/>
    <w:rsid w:val="00A254AB"/>
    <w:rsid w:val="00A259F2"/>
    <w:rsid w:val="00A266CC"/>
    <w:rsid w:val="00A26DB4"/>
    <w:rsid w:val="00A27425"/>
    <w:rsid w:val="00A27944"/>
    <w:rsid w:val="00A3023E"/>
    <w:rsid w:val="00A305C5"/>
    <w:rsid w:val="00A30919"/>
    <w:rsid w:val="00A30F90"/>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D65"/>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1DCB"/>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6CCA"/>
    <w:rsid w:val="00AB7204"/>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F65"/>
    <w:rsid w:val="00AE315E"/>
    <w:rsid w:val="00AE319F"/>
    <w:rsid w:val="00AE31D9"/>
    <w:rsid w:val="00AE3CF0"/>
    <w:rsid w:val="00AE4546"/>
    <w:rsid w:val="00AE6575"/>
    <w:rsid w:val="00AE71EE"/>
    <w:rsid w:val="00AF00A0"/>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6CB2"/>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4FF"/>
    <w:rsid w:val="00B20760"/>
    <w:rsid w:val="00B2125C"/>
    <w:rsid w:val="00B21676"/>
    <w:rsid w:val="00B219E1"/>
    <w:rsid w:val="00B21D7B"/>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653"/>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33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C33"/>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9C9"/>
    <w:rsid w:val="00BE3B14"/>
    <w:rsid w:val="00BE3C65"/>
    <w:rsid w:val="00BE4222"/>
    <w:rsid w:val="00BE472D"/>
    <w:rsid w:val="00BE4C03"/>
    <w:rsid w:val="00BE7F4D"/>
    <w:rsid w:val="00BF03C0"/>
    <w:rsid w:val="00BF0EBF"/>
    <w:rsid w:val="00BF1534"/>
    <w:rsid w:val="00BF2021"/>
    <w:rsid w:val="00BF21D4"/>
    <w:rsid w:val="00BF2DDC"/>
    <w:rsid w:val="00BF32DE"/>
    <w:rsid w:val="00BF3734"/>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264C"/>
    <w:rsid w:val="00C332D4"/>
    <w:rsid w:val="00C33A66"/>
    <w:rsid w:val="00C33E51"/>
    <w:rsid w:val="00C34C45"/>
    <w:rsid w:val="00C34C47"/>
    <w:rsid w:val="00C34FCE"/>
    <w:rsid w:val="00C35411"/>
    <w:rsid w:val="00C35EED"/>
    <w:rsid w:val="00C36B2C"/>
    <w:rsid w:val="00C3701A"/>
    <w:rsid w:val="00C379EF"/>
    <w:rsid w:val="00C405C8"/>
    <w:rsid w:val="00C40C2F"/>
    <w:rsid w:val="00C4147E"/>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0BE"/>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975"/>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3FB2"/>
    <w:rsid w:val="00C94CB9"/>
    <w:rsid w:val="00C95853"/>
    <w:rsid w:val="00C95C2F"/>
    <w:rsid w:val="00C95F87"/>
    <w:rsid w:val="00C96035"/>
    <w:rsid w:val="00C968EF"/>
    <w:rsid w:val="00C972CE"/>
    <w:rsid w:val="00CA0492"/>
    <w:rsid w:val="00CA05B0"/>
    <w:rsid w:val="00CA0632"/>
    <w:rsid w:val="00CA0A04"/>
    <w:rsid w:val="00CA0A64"/>
    <w:rsid w:val="00CA2528"/>
    <w:rsid w:val="00CA3CAB"/>
    <w:rsid w:val="00CA3FC0"/>
    <w:rsid w:val="00CA5685"/>
    <w:rsid w:val="00CA6A2E"/>
    <w:rsid w:val="00CA6B56"/>
    <w:rsid w:val="00CA6D56"/>
    <w:rsid w:val="00CA7233"/>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24D"/>
    <w:rsid w:val="00CC291E"/>
    <w:rsid w:val="00CC2D03"/>
    <w:rsid w:val="00CC2EB0"/>
    <w:rsid w:val="00CC4353"/>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5D3"/>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26E"/>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3DFA"/>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963"/>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662"/>
    <w:rsid w:val="00D45236"/>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CD0"/>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999"/>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A9E"/>
    <w:rsid w:val="00DB6F96"/>
    <w:rsid w:val="00DB71B9"/>
    <w:rsid w:val="00DB7662"/>
    <w:rsid w:val="00DB7E46"/>
    <w:rsid w:val="00DC1395"/>
    <w:rsid w:val="00DC28F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63"/>
    <w:rsid w:val="00E50BDD"/>
    <w:rsid w:val="00E510CF"/>
    <w:rsid w:val="00E513D7"/>
    <w:rsid w:val="00E519FE"/>
    <w:rsid w:val="00E5206C"/>
    <w:rsid w:val="00E52AAB"/>
    <w:rsid w:val="00E52D78"/>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A43"/>
    <w:rsid w:val="00E77124"/>
    <w:rsid w:val="00E77341"/>
    <w:rsid w:val="00E77504"/>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222"/>
    <w:rsid w:val="00E95C2A"/>
    <w:rsid w:val="00E961CB"/>
    <w:rsid w:val="00E963BC"/>
    <w:rsid w:val="00E966A6"/>
    <w:rsid w:val="00E96E91"/>
    <w:rsid w:val="00E9751D"/>
    <w:rsid w:val="00E97DC6"/>
    <w:rsid w:val="00E97F7A"/>
    <w:rsid w:val="00EA0010"/>
    <w:rsid w:val="00EA0143"/>
    <w:rsid w:val="00EA089B"/>
    <w:rsid w:val="00EA1535"/>
    <w:rsid w:val="00EA1ACC"/>
    <w:rsid w:val="00EA2E21"/>
    <w:rsid w:val="00EA2EAA"/>
    <w:rsid w:val="00EA380C"/>
    <w:rsid w:val="00EA40CE"/>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460"/>
    <w:rsid w:val="00EC3852"/>
    <w:rsid w:val="00EC4528"/>
    <w:rsid w:val="00EC5241"/>
    <w:rsid w:val="00EC5817"/>
    <w:rsid w:val="00EC594C"/>
    <w:rsid w:val="00EC5C7B"/>
    <w:rsid w:val="00EC5E1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FD5"/>
    <w:rsid w:val="00ED3692"/>
    <w:rsid w:val="00ED4181"/>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4AD"/>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782"/>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0F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F0A"/>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3D3"/>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6D1"/>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16B64"/>
    <w:rsid w:val="011E4B27"/>
    <w:rsid w:val="011F6449"/>
    <w:rsid w:val="01236AFB"/>
    <w:rsid w:val="017A7984"/>
    <w:rsid w:val="019F6513"/>
    <w:rsid w:val="019F7441"/>
    <w:rsid w:val="01B37585"/>
    <w:rsid w:val="01D55165"/>
    <w:rsid w:val="01DF6BF8"/>
    <w:rsid w:val="01EC2C57"/>
    <w:rsid w:val="02054855"/>
    <w:rsid w:val="026B2E25"/>
    <w:rsid w:val="02824D4D"/>
    <w:rsid w:val="02DC4B10"/>
    <w:rsid w:val="02DD76CE"/>
    <w:rsid w:val="02F36323"/>
    <w:rsid w:val="02F5619C"/>
    <w:rsid w:val="02FC7879"/>
    <w:rsid w:val="0326446A"/>
    <w:rsid w:val="032D5555"/>
    <w:rsid w:val="036634D2"/>
    <w:rsid w:val="037527A1"/>
    <w:rsid w:val="03DD35E4"/>
    <w:rsid w:val="03E2554B"/>
    <w:rsid w:val="04076900"/>
    <w:rsid w:val="040C4DAB"/>
    <w:rsid w:val="041A5A3B"/>
    <w:rsid w:val="042311BA"/>
    <w:rsid w:val="042B157A"/>
    <w:rsid w:val="045E4FDA"/>
    <w:rsid w:val="048F763B"/>
    <w:rsid w:val="049727D9"/>
    <w:rsid w:val="049F330E"/>
    <w:rsid w:val="04AA775C"/>
    <w:rsid w:val="04AF1889"/>
    <w:rsid w:val="04F66F48"/>
    <w:rsid w:val="05251E14"/>
    <w:rsid w:val="054A3526"/>
    <w:rsid w:val="056F1060"/>
    <w:rsid w:val="0577613E"/>
    <w:rsid w:val="05A16594"/>
    <w:rsid w:val="05A7762D"/>
    <w:rsid w:val="0609536E"/>
    <w:rsid w:val="060E5941"/>
    <w:rsid w:val="06110FAF"/>
    <w:rsid w:val="062D29C6"/>
    <w:rsid w:val="06493CA7"/>
    <w:rsid w:val="065A6178"/>
    <w:rsid w:val="066F1CF3"/>
    <w:rsid w:val="06930BB8"/>
    <w:rsid w:val="06986394"/>
    <w:rsid w:val="069A210C"/>
    <w:rsid w:val="07245D42"/>
    <w:rsid w:val="07264C62"/>
    <w:rsid w:val="075F0C22"/>
    <w:rsid w:val="0779354C"/>
    <w:rsid w:val="079A4D38"/>
    <w:rsid w:val="07D72EEC"/>
    <w:rsid w:val="08061376"/>
    <w:rsid w:val="083E2F6B"/>
    <w:rsid w:val="08452D77"/>
    <w:rsid w:val="086401F8"/>
    <w:rsid w:val="08751CAA"/>
    <w:rsid w:val="087E4C40"/>
    <w:rsid w:val="08D66AD6"/>
    <w:rsid w:val="08DA33A3"/>
    <w:rsid w:val="08E80F13"/>
    <w:rsid w:val="08E873D7"/>
    <w:rsid w:val="0930082A"/>
    <w:rsid w:val="09335624"/>
    <w:rsid w:val="0944690F"/>
    <w:rsid w:val="09535675"/>
    <w:rsid w:val="095F057D"/>
    <w:rsid w:val="09616AAF"/>
    <w:rsid w:val="09642282"/>
    <w:rsid w:val="09733572"/>
    <w:rsid w:val="09772C16"/>
    <w:rsid w:val="098353B5"/>
    <w:rsid w:val="09A92330"/>
    <w:rsid w:val="09B06B87"/>
    <w:rsid w:val="09B96033"/>
    <w:rsid w:val="09C13146"/>
    <w:rsid w:val="09E04166"/>
    <w:rsid w:val="09E51FB1"/>
    <w:rsid w:val="0A002560"/>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B11F5E"/>
    <w:rsid w:val="0CB3197D"/>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1C7491"/>
    <w:rsid w:val="0E5604B2"/>
    <w:rsid w:val="0E573B5F"/>
    <w:rsid w:val="0E6D5D79"/>
    <w:rsid w:val="0E9D0089"/>
    <w:rsid w:val="0EB803EE"/>
    <w:rsid w:val="0EF94D4B"/>
    <w:rsid w:val="0F0547E3"/>
    <w:rsid w:val="0F37271E"/>
    <w:rsid w:val="0F4958DC"/>
    <w:rsid w:val="0F515DF7"/>
    <w:rsid w:val="0F596BA8"/>
    <w:rsid w:val="0F6248D2"/>
    <w:rsid w:val="0F693536"/>
    <w:rsid w:val="0F7B0511"/>
    <w:rsid w:val="0F7B76D9"/>
    <w:rsid w:val="0F816ACD"/>
    <w:rsid w:val="0F8D168B"/>
    <w:rsid w:val="0F9832DB"/>
    <w:rsid w:val="0FBF3FD2"/>
    <w:rsid w:val="0FBF7FF3"/>
    <w:rsid w:val="104913C2"/>
    <w:rsid w:val="105B2DD7"/>
    <w:rsid w:val="10646583"/>
    <w:rsid w:val="107D4B15"/>
    <w:rsid w:val="108A3C80"/>
    <w:rsid w:val="10AD0F8B"/>
    <w:rsid w:val="10C26171"/>
    <w:rsid w:val="10F33360"/>
    <w:rsid w:val="10F90377"/>
    <w:rsid w:val="10FC16EA"/>
    <w:rsid w:val="110F1D40"/>
    <w:rsid w:val="11266F33"/>
    <w:rsid w:val="114809B7"/>
    <w:rsid w:val="118963A1"/>
    <w:rsid w:val="11BD13A5"/>
    <w:rsid w:val="11C6522A"/>
    <w:rsid w:val="11E104CC"/>
    <w:rsid w:val="11E20309"/>
    <w:rsid w:val="12183532"/>
    <w:rsid w:val="12255233"/>
    <w:rsid w:val="1226519C"/>
    <w:rsid w:val="12530213"/>
    <w:rsid w:val="125E68AE"/>
    <w:rsid w:val="127723A9"/>
    <w:rsid w:val="12862074"/>
    <w:rsid w:val="12883966"/>
    <w:rsid w:val="1291530D"/>
    <w:rsid w:val="129E45B4"/>
    <w:rsid w:val="12D81596"/>
    <w:rsid w:val="13072A44"/>
    <w:rsid w:val="135F4BE2"/>
    <w:rsid w:val="139B1A0A"/>
    <w:rsid w:val="139D25C7"/>
    <w:rsid w:val="139D7038"/>
    <w:rsid w:val="13BF3CE4"/>
    <w:rsid w:val="141008D8"/>
    <w:rsid w:val="14125FE6"/>
    <w:rsid w:val="145002CF"/>
    <w:rsid w:val="146D271E"/>
    <w:rsid w:val="147518EE"/>
    <w:rsid w:val="14982588"/>
    <w:rsid w:val="149A5AD9"/>
    <w:rsid w:val="14A7619D"/>
    <w:rsid w:val="14C16100"/>
    <w:rsid w:val="14C33176"/>
    <w:rsid w:val="14F44AB2"/>
    <w:rsid w:val="150536C3"/>
    <w:rsid w:val="150C1963"/>
    <w:rsid w:val="151447A0"/>
    <w:rsid w:val="154A6454"/>
    <w:rsid w:val="15762120"/>
    <w:rsid w:val="15B34F99"/>
    <w:rsid w:val="15C14EEE"/>
    <w:rsid w:val="162B0FD3"/>
    <w:rsid w:val="16706D6C"/>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65FF3"/>
    <w:rsid w:val="19AE03F1"/>
    <w:rsid w:val="19BD558B"/>
    <w:rsid w:val="19C71013"/>
    <w:rsid w:val="1A071A03"/>
    <w:rsid w:val="1A131575"/>
    <w:rsid w:val="1A1F16AE"/>
    <w:rsid w:val="1A3B5C77"/>
    <w:rsid w:val="1A984BAD"/>
    <w:rsid w:val="1AB8220E"/>
    <w:rsid w:val="1AE4166C"/>
    <w:rsid w:val="1AF06CFB"/>
    <w:rsid w:val="1AF11B8D"/>
    <w:rsid w:val="1B11359C"/>
    <w:rsid w:val="1B2A271F"/>
    <w:rsid w:val="1B530544"/>
    <w:rsid w:val="1B6D259D"/>
    <w:rsid w:val="1B6E5FB3"/>
    <w:rsid w:val="1B713184"/>
    <w:rsid w:val="1BA209CF"/>
    <w:rsid w:val="1BB4777D"/>
    <w:rsid w:val="1BD75AB8"/>
    <w:rsid w:val="1C0459C2"/>
    <w:rsid w:val="1C146065"/>
    <w:rsid w:val="1C1B3B4A"/>
    <w:rsid w:val="1C5E2D90"/>
    <w:rsid w:val="1C88086E"/>
    <w:rsid w:val="1D0460DA"/>
    <w:rsid w:val="1D266CE1"/>
    <w:rsid w:val="1D3963AF"/>
    <w:rsid w:val="1D490EAC"/>
    <w:rsid w:val="1D580ABE"/>
    <w:rsid w:val="1D5B4ED9"/>
    <w:rsid w:val="1D6A673C"/>
    <w:rsid w:val="1D7B502E"/>
    <w:rsid w:val="1D9247AE"/>
    <w:rsid w:val="1DB567EC"/>
    <w:rsid w:val="1DBA6E5D"/>
    <w:rsid w:val="1DF51A98"/>
    <w:rsid w:val="1DF61EC7"/>
    <w:rsid w:val="1E3D060F"/>
    <w:rsid w:val="1E3F7D2E"/>
    <w:rsid w:val="1E4134E4"/>
    <w:rsid w:val="1E5062B3"/>
    <w:rsid w:val="1E523514"/>
    <w:rsid w:val="1E5F59E4"/>
    <w:rsid w:val="1E714A66"/>
    <w:rsid w:val="1E802593"/>
    <w:rsid w:val="1EA703CC"/>
    <w:rsid w:val="1EB7330C"/>
    <w:rsid w:val="1F0A0FF3"/>
    <w:rsid w:val="1F5771FF"/>
    <w:rsid w:val="1F6A4875"/>
    <w:rsid w:val="1FC35DD8"/>
    <w:rsid w:val="1FE868A9"/>
    <w:rsid w:val="20034907"/>
    <w:rsid w:val="20173E4B"/>
    <w:rsid w:val="20362A4E"/>
    <w:rsid w:val="204E48BC"/>
    <w:rsid w:val="20856F1F"/>
    <w:rsid w:val="208921B3"/>
    <w:rsid w:val="20973DEB"/>
    <w:rsid w:val="20B26522"/>
    <w:rsid w:val="20B44310"/>
    <w:rsid w:val="211116EB"/>
    <w:rsid w:val="216133FC"/>
    <w:rsid w:val="21D56769"/>
    <w:rsid w:val="21E52EF3"/>
    <w:rsid w:val="21FB5D7B"/>
    <w:rsid w:val="220B1C3D"/>
    <w:rsid w:val="221D1D20"/>
    <w:rsid w:val="22334A87"/>
    <w:rsid w:val="226F3FF6"/>
    <w:rsid w:val="22BE6801"/>
    <w:rsid w:val="22EB3FC4"/>
    <w:rsid w:val="230C34FA"/>
    <w:rsid w:val="233500BF"/>
    <w:rsid w:val="23377FF7"/>
    <w:rsid w:val="233A662C"/>
    <w:rsid w:val="23483118"/>
    <w:rsid w:val="23641172"/>
    <w:rsid w:val="236B425F"/>
    <w:rsid w:val="23736492"/>
    <w:rsid w:val="23836192"/>
    <w:rsid w:val="238503D1"/>
    <w:rsid w:val="238B4E5F"/>
    <w:rsid w:val="23901F29"/>
    <w:rsid w:val="239C0061"/>
    <w:rsid w:val="23B908A4"/>
    <w:rsid w:val="23DC1B5F"/>
    <w:rsid w:val="23E95BEF"/>
    <w:rsid w:val="23ED78C8"/>
    <w:rsid w:val="23FD0064"/>
    <w:rsid w:val="245375B0"/>
    <w:rsid w:val="245A2AD1"/>
    <w:rsid w:val="24627185"/>
    <w:rsid w:val="24642C0A"/>
    <w:rsid w:val="246A0F18"/>
    <w:rsid w:val="2474663E"/>
    <w:rsid w:val="24A7216D"/>
    <w:rsid w:val="24B22173"/>
    <w:rsid w:val="24B93C4E"/>
    <w:rsid w:val="24B95AD9"/>
    <w:rsid w:val="24BE24DA"/>
    <w:rsid w:val="24CF5825"/>
    <w:rsid w:val="24D663E6"/>
    <w:rsid w:val="24D77F2B"/>
    <w:rsid w:val="24E8008F"/>
    <w:rsid w:val="24E82E11"/>
    <w:rsid w:val="24F41CE7"/>
    <w:rsid w:val="25461CF3"/>
    <w:rsid w:val="254C6BC5"/>
    <w:rsid w:val="258B00E2"/>
    <w:rsid w:val="25A55C6A"/>
    <w:rsid w:val="25A917A6"/>
    <w:rsid w:val="25BE27CC"/>
    <w:rsid w:val="25F74A5C"/>
    <w:rsid w:val="2628662C"/>
    <w:rsid w:val="262D45DE"/>
    <w:rsid w:val="26A53EF9"/>
    <w:rsid w:val="26A94201"/>
    <w:rsid w:val="26AC274F"/>
    <w:rsid w:val="26EC2BE5"/>
    <w:rsid w:val="27044A29"/>
    <w:rsid w:val="271D34C8"/>
    <w:rsid w:val="276142BF"/>
    <w:rsid w:val="27783712"/>
    <w:rsid w:val="27907362"/>
    <w:rsid w:val="279A191D"/>
    <w:rsid w:val="27F356C9"/>
    <w:rsid w:val="281E6C58"/>
    <w:rsid w:val="28333E1D"/>
    <w:rsid w:val="28454BD6"/>
    <w:rsid w:val="28455253"/>
    <w:rsid w:val="28551971"/>
    <w:rsid w:val="285B1C53"/>
    <w:rsid w:val="289F7086"/>
    <w:rsid w:val="28B704A4"/>
    <w:rsid w:val="28C32028"/>
    <w:rsid w:val="28CC490F"/>
    <w:rsid w:val="28CF091C"/>
    <w:rsid w:val="28DE40AA"/>
    <w:rsid w:val="2914146A"/>
    <w:rsid w:val="29345E77"/>
    <w:rsid w:val="294C65AD"/>
    <w:rsid w:val="29806583"/>
    <w:rsid w:val="298B3C4C"/>
    <w:rsid w:val="29BF5862"/>
    <w:rsid w:val="29F26D24"/>
    <w:rsid w:val="2A15033F"/>
    <w:rsid w:val="2A1662C1"/>
    <w:rsid w:val="2A1C7367"/>
    <w:rsid w:val="2A2815FA"/>
    <w:rsid w:val="2A5222B6"/>
    <w:rsid w:val="2A6D6092"/>
    <w:rsid w:val="2A7D76B4"/>
    <w:rsid w:val="2B437463"/>
    <w:rsid w:val="2B4D3E13"/>
    <w:rsid w:val="2B7807EE"/>
    <w:rsid w:val="2BBF00EC"/>
    <w:rsid w:val="2BC37CFD"/>
    <w:rsid w:val="2BD5237F"/>
    <w:rsid w:val="2BE536CE"/>
    <w:rsid w:val="2BE758D9"/>
    <w:rsid w:val="2C09049E"/>
    <w:rsid w:val="2C0A653C"/>
    <w:rsid w:val="2C191F85"/>
    <w:rsid w:val="2C5614F4"/>
    <w:rsid w:val="2C896AC5"/>
    <w:rsid w:val="2CA73DBA"/>
    <w:rsid w:val="2CE82D6F"/>
    <w:rsid w:val="2D343236"/>
    <w:rsid w:val="2D377E06"/>
    <w:rsid w:val="2D46629B"/>
    <w:rsid w:val="2DD15014"/>
    <w:rsid w:val="2DF72DE4"/>
    <w:rsid w:val="2E0220AF"/>
    <w:rsid w:val="2E4B082A"/>
    <w:rsid w:val="2E5D4E86"/>
    <w:rsid w:val="2E5D790B"/>
    <w:rsid w:val="2E9444EC"/>
    <w:rsid w:val="2E9A3C18"/>
    <w:rsid w:val="2EBB0FEE"/>
    <w:rsid w:val="2EC13E2B"/>
    <w:rsid w:val="2EC63002"/>
    <w:rsid w:val="2F0A6B38"/>
    <w:rsid w:val="2F1523C9"/>
    <w:rsid w:val="2F946CCB"/>
    <w:rsid w:val="2FB66570"/>
    <w:rsid w:val="2FD25781"/>
    <w:rsid w:val="2FE106D0"/>
    <w:rsid w:val="2FFD7934"/>
    <w:rsid w:val="305D6C11"/>
    <w:rsid w:val="30733ACD"/>
    <w:rsid w:val="308C3862"/>
    <w:rsid w:val="309379D8"/>
    <w:rsid w:val="30A270F7"/>
    <w:rsid w:val="30A45220"/>
    <w:rsid w:val="30CA36BF"/>
    <w:rsid w:val="30DF1478"/>
    <w:rsid w:val="30EC586F"/>
    <w:rsid w:val="30F249BC"/>
    <w:rsid w:val="31002BE0"/>
    <w:rsid w:val="3135196C"/>
    <w:rsid w:val="3154527D"/>
    <w:rsid w:val="31806313"/>
    <w:rsid w:val="319C6071"/>
    <w:rsid w:val="31AC537E"/>
    <w:rsid w:val="31CB4573"/>
    <w:rsid w:val="31E3679B"/>
    <w:rsid w:val="31E732FD"/>
    <w:rsid w:val="31F255AF"/>
    <w:rsid w:val="32517576"/>
    <w:rsid w:val="325F576F"/>
    <w:rsid w:val="3268696E"/>
    <w:rsid w:val="32AE2918"/>
    <w:rsid w:val="32BE5C2C"/>
    <w:rsid w:val="32C0264B"/>
    <w:rsid w:val="32F347CF"/>
    <w:rsid w:val="32FB6478"/>
    <w:rsid w:val="33263B3F"/>
    <w:rsid w:val="3354729C"/>
    <w:rsid w:val="336963EB"/>
    <w:rsid w:val="33816EEB"/>
    <w:rsid w:val="33B25991"/>
    <w:rsid w:val="33EB55CD"/>
    <w:rsid w:val="33EC4C02"/>
    <w:rsid w:val="340D2360"/>
    <w:rsid w:val="3410665D"/>
    <w:rsid w:val="34211214"/>
    <w:rsid w:val="342E63AB"/>
    <w:rsid w:val="34950E68"/>
    <w:rsid w:val="34986E94"/>
    <w:rsid w:val="34AF62C9"/>
    <w:rsid w:val="34CB4388"/>
    <w:rsid w:val="34CF7F33"/>
    <w:rsid w:val="34FA6E12"/>
    <w:rsid w:val="34FD7B87"/>
    <w:rsid w:val="35005DCC"/>
    <w:rsid w:val="35093679"/>
    <w:rsid w:val="358D5588"/>
    <w:rsid w:val="35991050"/>
    <w:rsid w:val="35C475F8"/>
    <w:rsid w:val="363A3B40"/>
    <w:rsid w:val="365302AE"/>
    <w:rsid w:val="36580576"/>
    <w:rsid w:val="36607A0A"/>
    <w:rsid w:val="366E227C"/>
    <w:rsid w:val="366F2E0D"/>
    <w:rsid w:val="367B6A5C"/>
    <w:rsid w:val="36A74ADA"/>
    <w:rsid w:val="36AD60D5"/>
    <w:rsid w:val="36B224F9"/>
    <w:rsid w:val="36E56B24"/>
    <w:rsid w:val="36EC0CC9"/>
    <w:rsid w:val="36F17328"/>
    <w:rsid w:val="373F410B"/>
    <w:rsid w:val="37640B94"/>
    <w:rsid w:val="37DC3354"/>
    <w:rsid w:val="37DC59A5"/>
    <w:rsid w:val="37EE7094"/>
    <w:rsid w:val="38296C89"/>
    <w:rsid w:val="382F0057"/>
    <w:rsid w:val="383002EB"/>
    <w:rsid w:val="38586797"/>
    <w:rsid w:val="38AC16BA"/>
    <w:rsid w:val="38BC0149"/>
    <w:rsid w:val="38D87D1C"/>
    <w:rsid w:val="39007C46"/>
    <w:rsid w:val="391B682D"/>
    <w:rsid w:val="39636459"/>
    <w:rsid w:val="396B7F6C"/>
    <w:rsid w:val="39B417A9"/>
    <w:rsid w:val="39BA7DF4"/>
    <w:rsid w:val="39FC5695"/>
    <w:rsid w:val="3A006D8E"/>
    <w:rsid w:val="3A0B68A2"/>
    <w:rsid w:val="3A3651E5"/>
    <w:rsid w:val="3A7055DF"/>
    <w:rsid w:val="3A744481"/>
    <w:rsid w:val="3A8C7BEF"/>
    <w:rsid w:val="3A906246"/>
    <w:rsid w:val="3AE56840"/>
    <w:rsid w:val="3AEC62ED"/>
    <w:rsid w:val="3B2349B7"/>
    <w:rsid w:val="3B5A363D"/>
    <w:rsid w:val="3B616CFF"/>
    <w:rsid w:val="3B6259F6"/>
    <w:rsid w:val="3B976654"/>
    <w:rsid w:val="3BC01EFC"/>
    <w:rsid w:val="3BCA786A"/>
    <w:rsid w:val="3BD31E2F"/>
    <w:rsid w:val="3BF15831"/>
    <w:rsid w:val="3BFA6BCE"/>
    <w:rsid w:val="3C105946"/>
    <w:rsid w:val="3C471448"/>
    <w:rsid w:val="3C5F759A"/>
    <w:rsid w:val="3C6C525A"/>
    <w:rsid w:val="3C7249B6"/>
    <w:rsid w:val="3CCE23CB"/>
    <w:rsid w:val="3CD17D17"/>
    <w:rsid w:val="3D0B545A"/>
    <w:rsid w:val="3D141F11"/>
    <w:rsid w:val="3D3C7F39"/>
    <w:rsid w:val="3D440F09"/>
    <w:rsid w:val="3D4504A0"/>
    <w:rsid w:val="3D626ECE"/>
    <w:rsid w:val="3D8734BB"/>
    <w:rsid w:val="3D9A11D4"/>
    <w:rsid w:val="3DA16D89"/>
    <w:rsid w:val="3DA364BE"/>
    <w:rsid w:val="3DB8289D"/>
    <w:rsid w:val="3DC226DF"/>
    <w:rsid w:val="3DE041CB"/>
    <w:rsid w:val="3E0D48F6"/>
    <w:rsid w:val="3E0F3162"/>
    <w:rsid w:val="3E1868B4"/>
    <w:rsid w:val="3E377251"/>
    <w:rsid w:val="3E42664B"/>
    <w:rsid w:val="3E4D56DD"/>
    <w:rsid w:val="3E5A7334"/>
    <w:rsid w:val="3E7B5D6B"/>
    <w:rsid w:val="3E843E66"/>
    <w:rsid w:val="3E8F51FE"/>
    <w:rsid w:val="3E926F87"/>
    <w:rsid w:val="3E9A59DE"/>
    <w:rsid w:val="3EAF4836"/>
    <w:rsid w:val="3EC33DFA"/>
    <w:rsid w:val="3EC534C3"/>
    <w:rsid w:val="3ED2798E"/>
    <w:rsid w:val="3EF21DDE"/>
    <w:rsid w:val="3F060E16"/>
    <w:rsid w:val="3F1D1096"/>
    <w:rsid w:val="3F2007FE"/>
    <w:rsid w:val="3F2F0234"/>
    <w:rsid w:val="3F5605BF"/>
    <w:rsid w:val="3F6363FE"/>
    <w:rsid w:val="3F725597"/>
    <w:rsid w:val="3F756B8F"/>
    <w:rsid w:val="3F7B0026"/>
    <w:rsid w:val="3F95482B"/>
    <w:rsid w:val="3FF47CAA"/>
    <w:rsid w:val="4019356B"/>
    <w:rsid w:val="40592157"/>
    <w:rsid w:val="406E1CAE"/>
    <w:rsid w:val="40890521"/>
    <w:rsid w:val="40A0133A"/>
    <w:rsid w:val="40C31A53"/>
    <w:rsid w:val="40FF545D"/>
    <w:rsid w:val="410067C8"/>
    <w:rsid w:val="41891797"/>
    <w:rsid w:val="418F0D2A"/>
    <w:rsid w:val="41AE46E3"/>
    <w:rsid w:val="41D01505"/>
    <w:rsid w:val="41E50A6E"/>
    <w:rsid w:val="42474939"/>
    <w:rsid w:val="424C3C57"/>
    <w:rsid w:val="42613FF3"/>
    <w:rsid w:val="42660D96"/>
    <w:rsid w:val="428667D2"/>
    <w:rsid w:val="42CD1CE0"/>
    <w:rsid w:val="42E1381E"/>
    <w:rsid w:val="42EB4B28"/>
    <w:rsid w:val="42ED6459"/>
    <w:rsid w:val="42FE58DD"/>
    <w:rsid w:val="43174B3D"/>
    <w:rsid w:val="434B790E"/>
    <w:rsid w:val="4360274F"/>
    <w:rsid w:val="43977AB6"/>
    <w:rsid w:val="43A3342B"/>
    <w:rsid w:val="43C77C27"/>
    <w:rsid w:val="43DE09EE"/>
    <w:rsid w:val="44002FAD"/>
    <w:rsid w:val="44316F05"/>
    <w:rsid w:val="443A0288"/>
    <w:rsid w:val="447D0308"/>
    <w:rsid w:val="449101DD"/>
    <w:rsid w:val="44955ACA"/>
    <w:rsid w:val="44956002"/>
    <w:rsid w:val="44DE1391"/>
    <w:rsid w:val="451B225C"/>
    <w:rsid w:val="452410C9"/>
    <w:rsid w:val="45317DFB"/>
    <w:rsid w:val="456D3CE4"/>
    <w:rsid w:val="4579042C"/>
    <w:rsid w:val="457F0571"/>
    <w:rsid w:val="45851176"/>
    <w:rsid w:val="458D460F"/>
    <w:rsid w:val="459A2FF4"/>
    <w:rsid w:val="45C63B94"/>
    <w:rsid w:val="45F0214F"/>
    <w:rsid w:val="460E7DA5"/>
    <w:rsid w:val="46223D03"/>
    <w:rsid w:val="46422483"/>
    <w:rsid w:val="4659254A"/>
    <w:rsid w:val="465B0637"/>
    <w:rsid w:val="465E3F0D"/>
    <w:rsid w:val="466A16E6"/>
    <w:rsid w:val="46893F2B"/>
    <w:rsid w:val="469A6B7A"/>
    <w:rsid w:val="46C4686E"/>
    <w:rsid w:val="46DD1C51"/>
    <w:rsid w:val="46FA3F26"/>
    <w:rsid w:val="4704316B"/>
    <w:rsid w:val="47114CDF"/>
    <w:rsid w:val="477B778F"/>
    <w:rsid w:val="478203EC"/>
    <w:rsid w:val="47B025FA"/>
    <w:rsid w:val="47D06A35"/>
    <w:rsid w:val="4809698F"/>
    <w:rsid w:val="4811697D"/>
    <w:rsid w:val="486C2C02"/>
    <w:rsid w:val="487A3E25"/>
    <w:rsid w:val="488B5503"/>
    <w:rsid w:val="48937E21"/>
    <w:rsid w:val="489A0361"/>
    <w:rsid w:val="48B94FF3"/>
    <w:rsid w:val="48CB7FB5"/>
    <w:rsid w:val="48E37AAB"/>
    <w:rsid w:val="48F350D1"/>
    <w:rsid w:val="48FD4B4C"/>
    <w:rsid w:val="490A68E0"/>
    <w:rsid w:val="490D2A48"/>
    <w:rsid w:val="491055FE"/>
    <w:rsid w:val="49296D45"/>
    <w:rsid w:val="495F5B3E"/>
    <w:rsid w:val="496F77D7"/>
    <w:rsid w:val="497654FD"/>
    <w:rsid w:val="49B64211"/>
    <w:rsid w:val="49EA16E0"/>
    <w:rsid w:val="49F6167F"/>
    <w:rsid w:val="4A064FA0"/>
    <w:rsid w:val="4A16615C"/>
    <w:rsid w:val="4A4424D7"/>
    <w:rsid w:val="4AB82D0F"/>
    <w:rsid w:val="4AEB7664"/>
    <w:rsid w:val="4AF23CE8"/>
    <w:rsid w:val="4AFD7C19"/>
    <w:rsid w:val="4B0567D1"/>
    <w:rsid w:val="4B236AAE"/>
    <w:rsid w:val="4B707271"/>
    <w:rsid w:val="4B9739F7"/>
    <w:rsid w:val="4BBF270A"/>
    <w:rsid w:val="4BCC36DF"/>
    <w:rsid w:val="4BEE2503"/>
    <w:rsid w:val="4BF21B51"/>
    <w:rsid w:val="4C245A30"/>
    <w:rsid w:val="4C7E2F03"/>
    <w:rsid w:val="4C8C216E"/>
    <w:rsid w:val="4CA741DD"/>
    <w:rsid w:val="4CB6685F"/>
    <w:rsid w:val="4CC367FE"/>
    <w:rsid w:val="4D077F3C"/>
    <w:rsid w:val="4D0E4287"/>
    <w:rsid w:val="4D123355"/>
    <w:rsid w:val="4D2A3B31"/>
    <w:rsid w:val="4D312C52"/>
    <w:rsid w:val="4D5D7395"/>
    <w:rsid w:val="4D8C52E0"/>
    <w:rsid w:val="4D905305"/>
    <w:rsid w:val="4D964A72"/>
    <w:rsid w:val="4D986247"/>
    <w:rsid w:val="4D9C1254"/>
    <w:rsid w:val="4DC777C6"/>
    <w:rsid w:val="4E471FF9"/>
    <w:rsid w:val="4E793892"/>
    <w:rsid w:val="4E800872"/>
    <w:rsid w:val="4EAD3592"/>
    <w:rsid w:val="4EB710E1"/>
    <w:rsid w:val="4EC569ED"/>
    <w:rsid w:val="4ECB3CD2"/>
    <w:rsid w:val="4ED50EA1"/>
    <w:rsid w:val="4EEC050C"/>
    <w:rsid w:val="4EEF2AAB"/>
    <w:rsid w:val="4F104EC3"/>
    <w:rsid w:val="4F47354A"/>
    <w:rsid w:val="4F7A081E"/>
    <w:rsid w:val="4F7B197C"/>
    <w:rsid w:val="4F911C54"/>
    <w:rsid w:val="4FE625E0"/>
    <w:rsid w:val="5021480F"/>
    <w:rsid w:val="508B7511"/>
    <w:rsid w:val="50962ECB"/>
    <w:rsid w:val="50A42E38"/>
    <w:rsid w:val="50A4577F"/>
    <w:rsid w:val="50A53821"/>
    <w:rsid w:val="50B73D1F"/>
    <w:rsid w:val="50BD5BC9"/>
    <w:rsid w:val="50C11EEE"/>
    <w:rsid w:val="50E97CFC"/>
    <w:rsid w:val="50F65785"/>
    <w:rsid w:val="50FA4028"/>
    <w:rsid w:val="510D65B7"/>
    <w:rsid w:val="511157AB"/>
    <w:rsid w:val="511E6BD5"/>
    <w:rsid w:val="51221A60"/>
    <w:rsid w:val="514013BA"/>
    <w:rsid w:val="5142540C"/>
    <w:rsid w:val="51862A27"/>
    <w:rsid w:val="518832C8"/>
    <w:rsid w:val="51A0432A"/>
    <w:rsid w:val="51A86090"/>
    <w:rsid w:val="51B7396D"/>
    <w:rsid w:val="51EE33AC"/>
    <w:rsid w:val="51FB017D"/>
    <w:rsid w:val="522E2CD6"/>
    <w:rsid w:val="522E4CC3"/>
    <w:rsid w:val="5244713B"/>
    <w:rsid w:val="524520A3"/>
    <w:rsid w:val="52615633"/>
    <w:rsid w:val="5264616A"/>
    <w:rsid w:val="52977FD4"/>
    <w:rsid w:val="52A25790"/>
    <w:rsid w:val="52A96B6F"/>
    <w:rsid w:val="52B45975"/>
    <w:rsid w:val="52C04ED3"/>
    <w:rsid w:val="52D94AA4"/>
    <w:rsid w:val="52EA3A62"/>
    <w:rsid w:val="52F50BB8"/>
    <w:rsid w:val="53097272"/>
    <w:rsid w:val="53544462"/>
    <w:rsid w:val="53680C7C"/>
    <w:rsid w:val="5397158E"/>
    <w:rsid w:val="54013861"/>
    <w:rsid w:val="54487265"/>
    <w:rsid w:val="544D6070"/>
    <w:rsid w:val="545D5AF4"/>
    <w:rsid w:val="54605E1E"/>
    <w:rsid w:val="546E385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22241"/>
    <w:rsid w:val="55F3683A"/>
    <w:rsid w:val="563A7E9B"/>
    <w:rsid w:val="566B6D1E"/>
    <w:rsid w:val="56B539C6"/>
    <w:rsid w:val="57032A2C"/>
    <w:rsid w:val="570F5219"/>
    <w:rsid w:val="575D12B5"/>
    <w:rsid w:val="57610A87"/>
    <w:rsid w:val="577B1140"/>
    <w:rsid w:val="577B7F21"/>
    <w:rsid w:val="577F181B"/>
    <w:rsid w:val="578D2F1C"/>
    <w:rsid w:val="57921984"/>
    <w:rsid w:val="579737F0"/>
    <w:rsid w:val="57AB7B30"/>
    <w:rsid w:val="57AF5251"/>
    <w:rsid w:val="57B26373"/>
    <w:rsid w:val="57B63F04"/>
    <w:rsid w:val="57CD20C2"/>
    <w:rsid w:val="57CD4D3F"/>
    <w:rsid w:val="57CD7772"/>
    <w:rsid w:val="57D675AB"/>
    <w:rsid w:val="57D95FDD"/>
    <w:rsid w:val="58444517"/>
    <w:rsid w:val="58906498"/>
    <w:rsid w:val="58917D2F"/>
    <w:rsid w:val="5894085C"/>
    <w:rsid w:val="58AE4F0C"/>
    <w:rsid w:val="58B85899"/>
    <w:rsid w:val="58DC4F76"/>
    <w:rsid w:val="58DE7204"/>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AD6F28"/>
    <w:rsid w:val="5AD63A24"/>
    <w:rsid w:val="5AE76118"/>
    <w:rsid w:val="5B2E1A1D"/>
    <w:rsid w:val="5B653C13"/>
    <w:rsid w:val="5B843A1C"/>
    <w:rsid w:val="5B873E3F"/>
    <w:rsid w:val="5B8F2A37"/>
    <w:rsid w:val="5C02690E"/>
    <w:rsid w:val="5C196DA7"/>
    <w:rsid w:val="5C2A048C"/>
    <w:rsid w:val="5C2B604B"/>
    <w:rsid w:val="5C790AF3"/>
    <w:rsid w:val="5C80234E"/>
    <w:rsid w:val="5C8A680C"/>
    <w:rsid w:val="5C8E54F6"/>
    <w:rsid w:val="5C95646F"/>
    <w:rsid w:val="5CAB1AF3"/>
    <w:rsid w:val="5CC520C1"/>
    <w:rsid w:val="5D04344D"/>
    <w:rsid w:val="5D0C4701"/>
    <w:rsid w:val="5D0F0395"/>
    <w:rsid w:val="5D221076"/>
    <w:rsid w:val="5D243653"/>
    <w:rsid w:val="5D397964"/>
    <w:rsid w:val="5D4F626D"/>
    <w:rsid w:val="5D567FD3"/>
    <w:rsid w:val="5D5A391C"/>
    <w:rsid w:val="5D5F10C0"/>
    <w:rsid w:val="5D755C5D"/>
    <w:rsid w:val="5D8845B2"/>
    <w:rsid w:val="5D891B7B"/>
    <w:rsid w:val="5DAD38EE"/>
    <w:rsid w:val="5DC462DC"/>
    <w:rsid w:val="5E006862"/>
    <w:rsid w:val="5E0207B9"/>
    <w:rsid w:val="5E1834A1"/>
    <w:rsid w:val="5E261785"/>
    <w:rsid w:val="5E4A7017"/>
    <w:rsid w:val="5E552BBA"/>
    <w:rsid w:val="5E611C10"/>
    <w:rsid w:val="5EC251B6"/>
    <w:rsid w:val="5EFB03E4"/>
    <w:rsid w:val="5EFC7377"/>
    <w:rsid w:val="5F06174D"/>
    <w:rsid w:val="5F1A6ABC"/>
    <w:rsid w:val="5F3A3602"/>
    <w:rsid w:val="5F3E58C0"/>
    <w:rsid w:val="5F6277C6"/>
    <w:rsid w:val="5F6D0B1D"/>
    <w:rsid w:val="5F8D0B82"/>
    <w:rsid w:val="5FA85D7B"/>
    <w:rsid w:val="5FBB783A"/>
    <w:rsid w:val="5FCC5339"/>
    <w:rsid w:val="5FE34A5B"/>
    <w:rsid w:val="5FFE1E36"/>
    <w:rsid w:val="60232584"/>
    <w:rsid w:val="60327E35"/>
    <w:rsid w:val="6037369D"/>
    <w:rsid w:val="60567F87"/>
    <w:rsid w:val="607330CE"/>
    <w:rsid w:val="60825176"/>
    <w:rsid w:val="608A5EC3"/>
    <w:rsid w:val="609E371C"/>
    <w:rsid w:val="609F2AC4"/>
    <w:rsid w:val="60BA121F"/>
    <w:rsid w:val="60EC72F5"/>
    <w:rsid w:val="60FA2EE8"/>
    <w:rsid w:val="61054A27"/>
    <w:rsid w:val="610A52BC"/>
    <w:rsid w:val="611D2366"/>
    <w:rsid w:val="612105D5"/>
    <w:rsid w:val="61421856"/>
    <w:rsid w:val="615227C4"/>
    <w:rsid w:val="615D0DCD"/>
    <w:rsid w:val="61654E3F"/>
    <w:rsid w:val="6182292A"/>
    <w:rsid w:val="619F7F92"/>
    <w:rsid w:val="61A05F72"/>
    <w:rsid w:val="61BF1856"/>
    <w:rsid w:val="61F94C26"/>
    <w:rsid w:val="62000E56"/>
    <w:rsid w:val="624F3E49"/>
    <w:rsid w:val="62632286"/>
    <w:rsid w:val="62885958"/>
    <w:rsid w:val="62F40B65"/>
    <w:rsid w:val="62FC2CFE"/>
    <w:rsid w:val="63024505"/>
    <w:rsid w:val="635B1DB5"/>
    <w:rsid w:val="63711FED"/>
    <w:rsid w:val="63880DDC"/>
    <w:rsid w:val="638D750D"/>
    <w:rsid w:val="63AC6CC0"/>
    <w:rsid w:val="63B03787"/>
    <w:rsid w:val="64055776"/>
    <w:rsid w:val="64240056"/>
    <w:rsid w:val="643E143A"/>
    <w:rsid w:val="64436AB5"/>
    <w:rsid w:val="64720330"/>
    <w:rsid w:val="648B6EEF"/>
    <w:rsid w:val="64AE3A53"/>
    <w:rsid w:val="64C158BF"/>
    <w:rsid w:val="64CE2EAA"/>
    <w:rsid w:val="64EA6F30"/>
    <w:rsid w:val="64F46001"/>
    <w:rsid w:val="651E6781"/>
    <w:rsid w:val="653C3090"/>
    <w:rsid w:val="65854376"/>
    <w:rsid w:val="658767BE"/>
    <w:rsid w:val="65892531"/>
    <w:rsid w:val="66195831"/>
    <w:rsid w:val="662E75B1"/>
    <w:rsid w:val="66342C2E"/>
    <w:rsid w:val="663E784C"/>
    <w:rsid w:val="66415276"/>
    <w:rsid w:val="668B6A45"/>
    <w:rsid w:val="669E7FD2"/>
    <w:rsid w:val="66F66143"/>
    <w:rsid w:val="672F3F24"/>
    <w:rsid w:val="6737224A"/>
    <w:rsid w:val="673E055F"/>
    <w:rsid w:val="67551CE3"/>
    <w:rsid w:val="6760172C"/>
    <w:rsid w:val="67A22552"/>
    <w:rsid w:val="67B22DCC"/>
    <w:rsid w:val="67BE71AA"/>
    <w:rsid w:val="67D90273"/>
    <w:rsid w:val="67DE5875"/>
    <w:rsid w:val="67E55852"/>
    <w:rsid w:val="67EB1AB4"/>
    <w:rsid w:val="67FA1285"/>
    <w:rsid w:val="68551F4F"/>
    <w:rsid w:val="68554D02"/>
    <w:rsid w:val="687C10C9"/>
    <w:rsid w:val="68840C16"/>
    <w:rsid w:val="68876EFB"/>
    <w:rsid w:val="68884654"/>
    <w:rsid w:val="689F444F"/>
    <w:rsid w:val="68AE04BF"/>
    <w:rsid w:val="68B96DBB"/>
    <w:rsid w:val="68CA2805"/>
    <w:rsid w:val="68E937A3"/>
    <w:rsid w:val="69142A25"/>
    <w:rsid w:val="693E15D3"/>
    <w:rsid w:val="69627681"/>
    <w:rsid w:val="69721360"/>
    <w:rsid w:val="6977531D"/>
    <w:rsid w:val="69CC2BFF"/>
    <w:rsid w:val="69FD55B8"/>
    <w:rsid w:val="6A0B1C62"/>
    <w:rsid w:val="6A2406C8"/>
    <w:rsid w:val="6ADE0BD1"/>
    <w:rsid w:val="6AE96859"/>
    <w:rsid w:val="6B147746"/>
    <w:rsid w:val="6B24787C"/>
    <w:rsid w:val="6B2A62D8"/>
    <w:rsid w:val="6B573233"/>
    <w:rsid w:val="6B5B6274"/>
    <w:rsid w:val="6B935D53"/>
    <w:rsid w:val="6BFB7A4E"/>
    <w:rsid w:val="6C0F0C37"/>
    <w:rsid w:val="6C196F71"/>
    <w:rsid w:val="6C1E3C67"/>
    <w:rsid w:val="6C226FCB"/>
    <w:rsid w:val="6C31226F"/>
    <w:rsid w:val="6C32195A"/>
    <w:rsid w:val="6C552F0B"/>
    <w:rsid w:val="6C8C67B7"/>
    <w:rsid w:val="6C9003BD"/>
    <w:rsid w:val="6C9D744C"/>
    <w:rsid w:val="6CB93DB8"/>
    <w:rsid w:val="6CD84D8D"/>
    <w:rsid w:val="6D167928"/>
    <w:rsid w:val="6D26299B"/>
    <w:rsid w:val="6D4772EC"/>
    <w:rsid w:val="6D884B00"/>
    <w:rsid w:val="6D9078AF"/>
    <w:rsid w:val="6DAA3FEF"/>
    <w:rsid w:val="6DC0172B"/>
    <w:rsid w:val="6DCB690C"/>
    <w:rsid w:val="6DD41A5B"/>
    <w:rsid w:val="6DF43C2E"/>
    <w:rsid w:val="6DF51CA3"/>
    <w:rsid w:val="6E8335BD"/>
    <w:rsid w:val="6E895A0C"/>
    <w:rsid w:val="6E8E12EF"/>
    <w:rsid w:val="6E972936"/>
    <w:rsid w:val="6ED446C5"/>
    <w:rsid w:val="6F0A1397"/>
    <w:rsid w:val="6F2A7D94"/>
    <w:rsid w:val="6F8331F1"/>
    <w:rsid w:val="6F9A34EE"/>
    <w:rsid w:val="6FAE1A09"/>
    <w:rsid w:val="6FB63007"/>
    <w:rsid w:val="6FD75BF8"/>
    <w:rsid w:val="6FE25A5E"/>
    <w:rsid w:val="70545BA6"/>
    <w:rsid w:val="707723D0"/>
    <w:rsid w:val="70CB0A31"/>
    <w:rsid w:val="70CC6752"/>
    <w:rsid w:val="70F5661B"/>
    <w:rsid w:val="71360107"/>
    <w:rsid w:val="713B688E"/>
    <w:rsid w:val="714B17FB"/>
    <w:rsid w:val="71D17CA8"/>
    <w:rsid w:val="71D43752"/>
    <w:rsid w:val="71F1796A"/>
    <w:rsid w:val="72154626"/>
    <w:rsid w:val="72262B5D"/>
    <w:rsid w:val="72283FF7"/>
    <w:rsid w:val="722E7212"/>
    <w:rsid w:val="723A0474"/>
    <w:rsid w:val="72457067"/>
    <w:rsid w:val="725923E4"/>
    <w:rsid w:val="72864BF7"/>
    <w:rsid w:val="729023FC"/>
    <w:rsid w:val="73007A0C"/>
    <w:rsid w:val="730123AF"/>
    <w:rsid w:val="739F0CFB"/>
    <w:rsid w:val="73B444DE"/>
    <w:rsid w:val="73C0646E"/>
    <w:rsid w:val="73CA0659"/>
    <w:rsid w:val="742065D6"/>
    <w:rsid w:val="742222F5"/>
    <w:rsid w:val="74476126"/>
    <w:rsid w:val="74706664"/>
    <w:rsid w:val="747F3682"/>
    <w:rsid w:val="749C4185"/>
    <w:rsid w:val="75067759"/>
    <w:rsid w:val="752E6DCD"/>
    <w:rsid w:val="7551380D"/>
    <w:rsid w:val="755503F6"/>
    <w:rsid w:val="75600BE5"/>
    <w:rsid w:val="7564475C"/>
    <w:rsid w:val="75755F2D"/>
    <w:rsid w:val="757A14BE"/>
    <w:rsid w:val="7583797F"/>
    <w:rsid w:val="75A60C51"/>
    <w:rsid w:val="75D20F1D"/>
    <w:rsid w:val="75DA2C18"/>
    <w:rsid w:val="75F54412"/>
    <w:rsid w:val="761D08E0"/>
    <w:rsid w:val="76394C4B"/>
    <w:rsid w:val="765D347C"/>
    <w:rsid w:val="76826699"/>
    <w:rsid w:val="76C87133"/>
    <w:rsid w:val="76CD08D5"/>
    <w:rsid w:val="76DB4B92"/>
    <w:rsid w:val="77052AA4"/>
    <w:rsid w:val="77136511"/>
    <w:rsid w:val="77340A39"/>
    <w:rsid w:val="77351FD0"/>
    <w:rsid w:val="77472422"/>
    <w:rsid w:val="777A3A38"/>
    <w:rsid w:val="777F31F2"/>
    <w:rsid w:val="77B84C6C"/>
    <w:rsid w:val="77D1700D"/>
    <w:rsid w:val="77EC04CC"/>
    <w:rsid w:val="7855070D"/>
    <w:rsid w:val="785A4320"/>
    <w:rsid w:val="78722FC6"/>
    <w:rsid w:val="78775729"/>
    <w:rsid w:val="789254BD"/>
    <w:rsid w:val="78A42DB0"/>
    <w:rsid w:val="78A656AB"/>
    <w:rsid w:val="78B2245C"/>
    <w:rsid w:val="78CE0730"/>
    <w:rsid w:val="78E172CC"/>
    <w:rsid w:val="78EA1D1F"/>
    <w:rsid w:val="78F32400"/>
    <w:rsid w:val="7904172F"/>
    <w:rsid w:val="790F7E27"/>
    <w:rsid w:val="792A231A"/>
    <w:rsid w:val="79316829"/>
    <w:rsid w:val="79556C16"/>
    <w:rsid w:val="797E66A9"/>
    <w:rsid w:val="79A83661"/>
    <w:rsid w:val="79A97383"/>
    <w:rsid w:val="79B25A5D"/>
    <w:rsid w:val="79E27E8B"/>
    <w:rsid w:val="79E97B6D"/>
    <w:rsid w:val="79F850CE"/>
    <w:rsid w:val="79FD443C"/>
    <w:rsid w:val="7A1D1975"/>
    <w:rsid w:val="7A2B38E0"/>
    <w:rsid w:val="7A3E5150"/>
    <w:rsid w:val="7A4670D6"/>
    <w:rsid w:val="7A534B63"/>
    <w:rsid w:val="7A615382"/>
    <w:rsid w:val="7A67303B"/>
    <w:rsid w:val="7A7B4D00"/>
    <w:rsid w:val="7AA4209F"/>
    <w:rsid w:val="7AAB1D04"/>
    <w:rsid w:val="7ABA4368"/>
    <w:rsid w:val="7AD05746"/>
    <w:rsid w:val="7B257FFD"/>
    <w:rsid w:val="7B343476"/>
    <w:rsid w:val="7B5A2978"/>
    <w:rsid w:val="7B5A7E4C"/>
    <w:rsid w:val="7B667AF9"/>
    <w:rsid w:val="7B7468F8"/>
    <w:rsid w:val="7BCD518A"/>
    <w:rsid w:val="7BEE0103"/>
    <w:rsid w:val="7BFB07E7"/>
    <w:rsid w:val="7C0A0FE4"/>
    <w:rsid w:val="7C254906"/>
    <w:rsid w:val="7C590818"/>
    <w:rsid w:val="7C606846"/>
    <w:rsid w:val="7C7C10F6"/>
    <w:rsid w:val="7C853BEA"/>
    <w:rsid w:val="7C881368"/>
    <w:rsid w:val="7CE27788"/>
    <w:rsid w:val="7CE85C78"/>
    <w:rsid w:val="7D0C32F1"/>
    <w:rsid w:val="7D0F408D"/>
    <w:rsid w:val="7D210FAE"/>
    <w:rsid w:val="7D321A55"/>
    <w:rsid w:val="7D491C6C"/>
    <w:rsid w:val="7D5429C0"/>
    <w:rsid w:val="7D6E6D43"/>
    <w:rsid w:val="7DB57A34"/>
    <w:rsid w:val="7DE60973"/>
    <w:rsid w:val="7DEF0916"/>
    <w:rsid w:val="7E1E5218"/>
    <w:rsid w:val="7E9A4E1F"/>
    <w:rsid w:val="7EA30424"/>
    <w:rsid w:val="7EA7723A"/>
    <w:rsid w:val="7EF56FBB"/>
    <w:rsid w:val="7F0768EB"/>
    <w:rsid w:val="7F143BEC"/>
    <w:rsid w:val="7F715AF2"/>
    <w:rsid w:val="7F886E69"/>
    <w:rsid w:val="7F954211"/>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9"/>
    <w:qFormat/>
    <w:uiPriority w:val="0"/>
    <w:pPr>
      <w:adjustRightInd/>
      <w:spacing w:after="120" w:line="240" w:lineRule="auto"/>
      <w:ind w:left="420" w:leftChars="200" w:firstLine="210"/>
    </w:pPr>
    <w:rPr>
      <w:sz w:val="21"/>
    </w:rPr>
  </w:style>
  <w:style w:type="paragraph" w:styleId="3">
    <w:name w:val="Body Text Indent"/>
    <w:basedOn w:val="1"/>
    <w:link w:val="263"/>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9"/>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3"/>
    <w:basedOn w:val="35"/>
    <w:qFormat/>
    <w:uiPriority w:val="0"/>
    <w:pPr>
      <w:tabs>
        <w:tab w:val="left" w:pos="2790"/>
        <w:tab w:val="left" w:pos="4230"/>
      </w:tabs>
      <w:spacing w:beforeLines="100"/>
      <w:jc w:val="left"/>
    </w:p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8"/>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sz w:val="24"/>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69"/>
    <w:qFormat/>
    <w:uiPriority w:val="0"/>
  </w:style>
  <w:style w:type="paragraph" w:customStyle="1" w:styleId="96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963">
    <w:name w:val="NormalCharacter"/>
    <w:basedOn w:val="69"/>
    <w:qFormat/>
    <w:uiPriority w:val="0"/>
  </w:style>
  <w:style w:type="paragraph" w:customStyle="1" w:styleId="964">
    <w:name w:val="正文ok"/>
    <w:basedOn w:val="1"/>
    <w:qFormat/>
    <w:uiPriority w:val="0"/>
    <w:pPr>
      <w:widowControl/>
      <w:spacing w:line="360" w:lineRule="auto"/>
      <w:ind w:firstLine="200" w:firstLineChars="200"/>
      <w:jc w:val="left"/>
    </w:pPr>
    <w:rPr>
      <w:rFonts w:hint="eastAsia" w:ascii="宋体"/>
      <w:kern w:val="0"/>
      <w:sz w:val="24"/>
      <w:szCs w:val="20"/>
    </w:rPr>
  </w:style>
  <w:style w:type="paragraph" w:customStyle="1" w:styleId="965">
    <w:name w:val="2"/>
    <w:basedOn w:val="1"/>
    <w:next w:val="35"/>
    <w:qFormat/>
    <w:uiPriority w:val="0"/>
    <w:rPr>
      <w:rFonts w:ascii="宋体" w:hAnsi="Courier New"/>
    </w:rPr>
  </w:style>
  <w:style w:type="paragraph" w:customStyle="1" w:styleId="966">
    <w:name w:val="0段落文字"/>
    <w:basedOn w:val="1"/>
    <w:qFormat/>
    <w:uiPriority w:val="0"/>
    <w:pPr>
      <w:spacing w:line="360" w:lineRule="auto"/>
      <w:ind w:firstLine="200" w:firstLineChars="200"/>
    </w:pPr>
    <w:rPr>
      <w:sz w:val="24"/>
      <w:szCs w:val="21"/>
    </w:rPr>
  </w:style>
  <w:style w:type="paragraph" w:customStyle="1" w:styleId="967">
    <w:name w:val="表"/>
    <w:basedOn w:val="1"/>
    <w:qFormat/>
    <w:uiPriority w:val="0"/>
    <w:rPr>
      <w:rFonts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87FD05-4533-4B5C-AA4D-3EAE3ACB528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34961</Words>
  <Characters>36758</Characters>
  <Lines>283</Lines>
  <Paragraphs>79</Paragraphs>
  <TotalTime>6</TotalTime>
  <ScaleCrop>false</ScaleCrop>
  <LinksUpToDate>false</LinksUpToDate>
  <CharactersWithSpaces>37916</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2022-04-08T09:17:00Z</dcterms:created>
  <dc:creator>玥</dc:creator>
  <cp:lastModifiedBy>xinlan</cp:lastModifiedBy>
  <cp:lastPrinted>2022-08-01T03:04:00Z</cp:lastPrinted>
  <dcterms:modified xsi:type="dcterms:W3CDTF">2022-08-05T00:38:23Z</dcterms:modified>
  <dc:title>杭州市市民卡扩大发卡工程</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3CCE1290A4D1418DA18E3B850F7E8AB0</vt:lpwstr>
  </property>
</Properties>
</file>