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hint="eastAsia" w:ascii="宋体" w:hAnsi="宋体" w:eastAsia="宋体" w:cs="宋体"/>
          <w:sz w:val="48"/>
          <w:szCs w:val="48"/>
          <w:lang w:eastAsia="zh-CN"/>
        </w:rPr>
      </w:pPr>
      <w:r>
        <w:rPr>
          <w:rFonts w:hint="eastAsia" w:ascii="宋体" w:hAnsi="宋体" w:cs="宋体"/>
          <w:sz w:val="48"/>
          <w:szCs w:val="48"/>
          <w:lang w:eastAsia="zh-CN"/>
        </w:rPr>
        <w:t>物业服务项目</w:t>
      </w:r>
    </w:p>
    <w:p>
      <w:pPr>
        <w:adjustRightInd/>
        <w:spacing w:line="360" w:lineRule="auto"/>
        <w:jc w:val="center"/>
        <w:rPr>
          <w:rFonts w:ascii="宋体" w:hAnsi="宋体" w:cs="宋体"/>
          <w:sz w:val="48"/>
          <w:szCs w:val="48"/>
        </w:rPr>
      </w:pPr>
      <w:r>
        <w:rPr>
          <w:rFonts w:hint="eastAsia" w:ascii="宋体" w:hAnsi="宋体" w:cs="宋体"/>
          <w:sz w:val="48"/>
          <w:szCs w:val="48"/>
        </w:rPr>
        <w:t>招标文件</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eastAsia" w:ascii="宋体" w:hAnsi="宋体" w:eastAsia="宋体" w:cs="宋体"/>
          <w:sz w:val="30"/>
          <w:szCs w:val="30"/>
          <w:lang w:eastAsia="zh-CN"/>
        </w:rPr>
      </w:pPr>
      <w:r>
        <w:rPr>
          <w:rFonts w:hint="eastAsia" w:ascii="宋体" w:hAnsi="宋体" w:cs="宋体"/>
          <w:sz w:val="30"/>
          <w:szCs w:val="30"/>
        </w:rPr>
        <w:t>编号:</w:t>
      </w:r>
      <w:r>
        <w:rPr>
          <w:rFonts w:hint="eastAsia" w:ascii="宋体" w:hAnsi="宋体" w:cs="宋体"/>
          <w:sz w:val="30"/>
          <w:szCs w:val="30"/>
          <w:lang w:eastAsia="zh-CN"/>
        </w:rPr>
        <w:t>ZJXL-KFYL-202225</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pStyle w:val="2"/>
        <w:rPr>
          <w:rFonts w:hAnsi="宋体" w:cs="宋体"/>
          <w:b/>
          <w:sz w:val="44"/>
          <w:szCs w:val="44"/>
        </w:rPr>
      </w:pPr>
    </w:p>
    <w:p>
      <w:pPr>
        <w:pStyle w:val="4"/>
        <w:rPr>
          <w:rFonts w:ascii="宋体" w:hAnsi="宋体" w:cs="宋体"/>
          <w:b/>
          <w:sz w:val="44"/>
          <w:szCs w:val="44"/>
        </w:rPr>
      </w:pPr>
    </w:p>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hint="eastAsia" w:ascii="宋体" w:hAnsi="宋体" w:eastAsia="宋体" w:cs="宋体"/>
          <w:sz w:val="32"/>
          <w:szCs w:val="32"/>
          <w:lang w:eastAsia="zh-CN"/>
        </w:rPr>
      </w:pPr>
      <w:r>
        <w:rPr>
          <w:rFonts w:hint="eastAsia" w:ascii="宋体" w:hAnsi="宋体" w:cs="宋体"/>
          <w:sz w:val="32"/>
          <w:szCs w:val="32"/>
          <w:lang w:eastAsia="zh-CN"/>
        </w:rPr>
        <w:t>浙江康复医疗中心</w:t>
      </w:r>
    </w:p>
    <w:p>
      <w:pPr>
        <w:spacing w:line="360" w:lineRule="auto"/>
        <w:jc w:val="center"/>
        <w:rPr>
          <w:rFonts w:ascii="宋体" w:hAnsi="宋体" w:cs="宋体"/>
          <w:bCs/>
          <w:sz w:val="32"/>
          <w:szCs w:val="32"/>
        </w:rPr>
      </w:pPr>
      <w:r>
        <w:rPr>
          <w:rFonts w:hint="eastAsia" w:ascii="宋体" w:hAnsi="宋体" w:cs="宋体"/>
          <w:bCs/>
          <w:sz w:val="32"/>
          <w:szCs w:val="32"/>
        </w:rPr>
        <w:t>浙江信镧建设工程咨询有限公司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二〇二二年</w:t>
      </w:r>
      <w:r>
        <w:rPr>
          <w:rFonts w:hint="eastAsia" w:ascii="宋体" w:hAnsi="宋体" w:cs="宋体"/>
          <w:bCs/>
          <w:sz w:val="32"/>
          <w:szCs w:val="32"/>
          <w:lang w:val="en-US" w:eastAsia="zh-CN"/>
        </w:rPr>
        <w:t>十</w:t>
      </w:r>
      <w:r>
        <w:rPr>
          <w:rFonts w:hint="eastAsia" w:ascii="宋体" w:hAnsi="宋体" w:cs="宋体"/>
          <w:bCs/>
          <w:sz w:val="32"/>
          <w:szCs w:val="32"/>
        </w:rPr>
        <w:t>月</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目录</w:t>
      </w:r>
    </w:p>
    <w:p>
      <w:pPr>
        <w:spacing w:line="360" w:lineRule="auto"/>
        <w:rPr>
          <w:rFonts w:ascii="宋体" w:hAnsi="宋体" w:cs="宋体"/>
          <w:sz w:val="32"/>
          <w:szCs w:val="32"/>
        </w:rPr>
      </w:pPr>
    </w:p>
    <w:p>
      <w:pPr>
        <w:pStyle w:val="45"/>
        <w:tabs>
          <w:tab w:val="right" w:leader="dot" w:pos="9070"/>
        </w:tabs>
        <w:spacing w:line="360" w:lineRule="auto"/>
        <w:rPr>
          <w:sz w:val="24"/>
        </w:rPr>
      </w:pPr>
      <w:bookmarkStart w:id="1" w:name="_Hlt91233176"/>
      <w:bookmarkEnd w:id="1"/>
      <w:bookmarkStart w:id="2" w:name="_Toc91899869"/>
      <w:r>
        <w:rPr>
          <w:sz w:val="24"/>
        </w:rPr>
        <w:fldChar w:fldCharType="begin"/>
      </w:r>
      <w:r>
        <w:rPr>
          <w:sz w:val="24"/>
        </w:rPr>
        <w:instrText xml:space="preserve"> TOC \o "1-2" \h \z \u </w:instrText>
      </w:r>
      <w:r>
        <w:rPr>
          <w:sz w:val="24"/>
        </w:rPr>
        <w:fldChar w:fldCharType="separate"/>
      </w:r>
      <w:r>
        <w:fldChar w:fldCharType="begin"/>
      </w:r>
      <w:r>
        <w:instrText xml:space="preserve"> HYPERLINK \l "_Toc14161" </w:instrText>
      </w:r>
      <w:r>
        <w:fldChar w:fldCharType="separate"/>
      </w:r>
      <w:r>
        <w:rPr>
          <w:rFonts w:hint="eastAsia" w:ascii="宋体" w:hAnsi="宋体" w:cs="宋体"/>
          <w:sz w:val="24"/>
        </w:rPr>
        <w:t>第一部分 招标公告</w:t>
      </w:r>
      <w:r>
        <w:rPr>
          <w:sz w:val="24"/>
        </w:rPr>
        <w:tab/>
      </w:r>
      <w:r>
        <w:rPr>
          <w:sz w:val="24"/>
        </w:rPr>
        <w:fldChar w:fldCharType="begin"/>
      </w:r>
      <w:r>
        <w:rPr>
          <w:sz w:val="24"/>
        </w:rPr>
        <w:instrText xml:space="preserve"> PAGEREF _Toc14161 \h </w:instrText>
      </w:r>
      <w:r>
        <w:rPr>
          <w:sz w:val="24"/>
        </w:rPr>
        <w:fldChar w:fldCharType="separate"/>
      </w:r>
      <w:r>
        <w:rPr>
          <w:sz w:val="24"/>
        </w:rPr>
        <w:t>3</w:t>
      </w:r>
      <w:r>
        <w:rPr>
          <w:sz w:val="24"/>
        </w:rPr>
        <w:fldChar w:fldCharType="end"/>
      </w:r>
      <w:r>
        <w:rPr>
          <w:sz w:val="24"/>
        </w:rPr>
        <w:fldChar w:fldCharType="end"/>
      </w:r>
    </w:p>
    <w:p>
      <w:pPr>
        <w:pStyle w:val="45"/>
        <w:tabs>
          <w:tab w:val="right" w:leader="dot" w:pos="9070"/>
        </w:tabs>
        <w:spacing w:line="360" w:lineRule="auto"/>
        <w:rPr>
          <w:sz w:val="24"/>
        </w:rPr>
      </w:pPr>
      <w:r>
        <w:fldChar w:fldCharType="begin"/>
      </w:r>
      <w:r>
        <w:instrText xml:space="preserve"> HYPERLINK \l "_Toc6635" </w:instrText>
      </w:r>
      <w:r>
        <w:fldChar w:fldCharType="separate"/>
      </w:r>
      <w:r>
        <w:rPr>
          <w:rFonts w:hint="eastAsia" w:ascii="宋体" w:hAnsi="宋体" w:cs="宋体"/>
          <w:sz w:val="24"/>
        </w:rPr>
        <w:t>第二部分 投标人须知</w:t>
      </w:r>
      <w:r>
        <w:rPr>
          <w:sz w:val="24"/>
        </w:rPr>
        <w:tab/>
      </w:r>
      <w:r>
        <w:rPr>
          <w:sz w:val="24"/>
        </w:rPr>
        <w:fldChar w:fldCharType="begin"/>
      </w:r>
      <w:r>
        <w:rPr>
          <w:sz w:val="24"/>
        </w:rPr>
        <w:instrText xml:space="preserve"> PAGEREF _Toc6635 \h </w:instrText>
      </w:r>
      <w:r>
        <w:rPr>
          <w:sz w:val="24"/>
        </w:rPr>
        <w:fldChar w:fldCharType="separate"/>
      </w:r>
      <w:r>
        <w:rPr>
          <w:sz w:val="24"/>
        </w:rPr>
        <w:t>8</w:t>
      </w:r>
      <w:r>
        <w:rPr>
          <w:sz w:val="24"/>
        </w:rPr>
        <w:fldChar w:fldCharType="end"/>
      </w:r>
      <w:r>
        <w:rPr>
          <w:sz w:val="24"/>
        </w:rPr>
        <w:fldChar w:fldCharType="end"/>
      </w:r>
    </w:p>
    <w:p>
      <w:pPr>
        <w:pStyle w:val="45"/>
        <w:tabs>
          <w:tab w:val="right" w:leader="dot" w:pos="9070"/>
        </w:tabs>
        <w:spacing w:line="360" w:lineRule="auto"/>
        <w:rPr>
          <w:sz w:val="24"/>
        </w:rPr>
      </w:pPr>
      <w:r>
        <w:fldChar w:fldCharType="begin"/>
      </w:r>
      <w:r>
        <w:instrText xml:space="preserve"> HYPERLINK \l "_Toc16440" </w:instrText>
      </w:r>
      <w:r>
        <w:fldChar w:fldCharType="separate"/>
      </w:r>
      <w:r>
        <w:rPr>
          <w:rFonts w:hint="eastAsia" w:ascii="宋体" w:hAnsi="宋体" w:cs="宋体"/>
          <w:sz w:val="24"/>
        </w:rPr>
        <w:t>第三部分 采购需求</w:t>
      </w:r>
      <w:r>
        <w:rPr>
          <w:sz w:val="24"/>
        </w:rPr>
        <w:tab/>
      </w:r>
      <w:r>
        <w:rPr>
          <w:sz w:val="24"/>
        </w:rPr>
        <w:fldChar w:fldCharType="begin"/>
      </w:r>
      <w:r>
        <w:rPr>
          <w:sz w:val="24"/>
        </w:rPr>
        <w:instrText xml:space="preserve"> PAGEREF _Toc16440 \h </w:instrText>
      </w:r>
      <w:r>
        <w:rPr>
          <w:sz w:val="24"/>
        </w:rPr>
        <w:fldChar w:fldCharType="separate"/>
      </w:r>
      <w:r>
        <w:rPr>
          <w:sz w:val="24"/>
        </w:rPr>
        <w:t>25</w:t>
      </w:r>
      <w:r>
        <w:rPr>
          <w:sz w:val="24"/>
        </w:rPr>
        <w:fldChar w:fldCharType="end"/>
      </w:r>
      <w:r>
        <w:rPr>
          <w:sz w:val="24"/>
        </w:rPr>
        <w:fldChar w:fldCharType="end"/>
      </w:r>
    </w:p>
    <w:p>
      <w:pPr>
        <w:pStyle w:val="45"/>
        <w:tabs>
          <w:tab w:val="right" w:leader="dot" w:pos="9070"/>
        </w:tabs>
        <w:spacing w:line="360" w:lineRule="auto"/>
        <w:rPr>
          <w:sz w:val="24"/>
        </w:rPr>
      </w:pPr>
      <w:r>
        <w:fldChar w:fldCharType="begin"/>
      </w:r>
      <w:r>
        <w:instrText xml:space="preserve"> HYPERLINK \l "_Toc19986" </w:instrText>
      </w:r>
      <w:r>
        <w:fldChar w:fldCharType="separate"/>
      </w:r>
      <w:r>
        <w:rPr>
          <w:rFonts w:hint="eastAsia" w:ascii="宋体" w:hAnsi="宋体" w:cs="宋体"/>
          <w:sz w:val="24"/>
        </w:rPr>
        <w:t>第四部分 评标办法</w:t>
      </w:r>
      <w:r>
        <w:rPr>
          <w:sz w:val="24"/>
        </w:rPr>
        <w:tab/>
      </w:r>
      <w:r>
        <w:rPr>
          <w:sz w:val="24"/>
        </w:rPr>
        <w:fldChar w:fldCharType="begin"/>
      </w:r>
      <w:r>
        <w:rPr>
          <w:sz w:val="24"/>
        </w:rPr>
        <w:instrText xml:space="preserve"> PAGEREF _Toc19986 \h </w:instrText>
      </w:r>
      <w:r>
        <w:rPr>
          <w:sz w:val="24"/>
        </w:rPr>
        <w:fldChar w:fldCharType="separate"/>
      </w:r>
      <w:r>
        <w:rPr>
          <w:sz w:val="24"/>
        </w:rPr>
        <w:t>29</w:t>
      </w:r>
      <w:r>
        <w:rPr>
          <w:sz w:val="24"/>
        </w:rPr>
        <w:fldChar w:fldCharType="end"/>
      </w:r>
      <w:r>
        <w:rPr>
          <w:sz w:val="24"/>
        </w:rPr>
        <w:fldChar w:fldCharType="end"/>
      </w:r>
    </w:p>
    <w:p>
      <w:pPr>
        <w:pStyle w:val="45"/>
        <w:tabs>
          <w:tab w:val="right" w:leader="dot" w:pos="9070"/>
        </w:tabs>
        <w:spacing w:line="360" w:lineRule="auto"/>
        <w:rPr>
          <w:sz w:val="24"/>
        </w:rPr>
      </w:pPr>
      <w:r>
        <w:fldChar w:fldCharType="begin"/>
      </w:r>
      <w:r>
        <w:instrText xml:space="preserve"> HYPERLINK \l "_Toc22571" </w:instrText>
      </w:r>
      <w:r>
        <w:fldChar w:fldCharType="separate"/>
      </w:r>
      <w:r>
        <w:rPr>
          <w:rFonts w:hint="eastAsia" w:ascii="宋体" w:hAnsi="宋体" w:cs="宋体"/>
          <w:sz w:val="24"/>
        </w:rPr>
        <w:t>第五部分 拟签订的合同文本</w:t>
      </w:r>
      <w:r>
        <w:rPr>
          <w:sz w:val="24"/>
        </w:rPr>
        <w:tab/>
      </w:r>
      <w:r>
        <w:rPr>
          <w:sz w:val="24"/>
        </w:rPr>
        <w:fldChar w:fldCharType="begin"/>
      </w:r>
      <w:r>
        <w:rPr>
          <w:sz w:val="24"/>
        </w:rPr>
        <w:instrText xml:space="preserve"> PAGEREF _Toc22571 \h </w:instrText>
      </w:r>
      <w:r>
        <w:rPr>
          <w:sz w:val="24"/>
        </w:rPr>
        <w:fldChar w:fldCharType="separate"/>
      </w:r>
      <w:r>
        <w:rPr>
          <w:sz w:val="24"/>
        </w:rPr>
        <w:t>37</w:t>
      </w:r>
      <w:r>
        <w:rPr>
          <w:sz w:val="24"/>
        </w:rPr>
        <w:fldChar w:fldCharType="end"/>
      </w:r>
      <w:r>
        <w:rPr>
          <w:sz w:val="24"/>
        </w:rPr>
        <w:fldChar w:fldCharType="end"/>
      </w:r>
    </w:p>
    <w:p>
      <w:pPr>
        <w:pStyle w:val="45"/>
        <w:tabs>
          <w:tab w:val="right" w:leader="dot" w:pos="9070"/>
        </w:tabs>
        <w:spacing w:line="360" w:lineRule="auto"/>
        <w:rPr>
          <w:sz w:val="24"/>
        </w:rPr>
      </w:pPr>
      <w:r>
        <w:fldChar w:fldCharType="begin"/>
      </w:r>
      <w:r>
        <w:instrText xml:space="preserve"> HYPERLINK \l "_Toc7034" </w:instrText>
      </w:r>
      <w:r>
        <w:fldChar w:fldCharType="separate"/>
      </w:r>
      <w:r>
        <w:rPr>
          <w:rFonts w:hint="eastAsia" w:ascii="宋体" w:hAnsi="宋体" w:cs="宋体"/>
          <w:sz w:val="24"/>
        </w:rPr>
        <w:t>第六部分 应提交的有关格式范例</w:t>
      </w:r>
      <w:r>
        <w:rPr>
          <w:sz w:val="24"/>
        </w:rPr>
        <w:tab/>
      </w:r>
      <w:r>
        <w:rPr>
          <w:sz w:val="24"/>
        </w:rPr>
        <w:fldChar w:fldCharType="begin"/>
      </w:r>
      <w:r>
        <w:rPr>
          <w:sz w:val="24"/>
        </w:rPr>
        <w:instrText xml:space="preserve"> PAGEREF _Toc7034 \h </w:instrText>
      </w:r>
      <w:r>
        <w:rPr>
          <w:sz w:val="24"/>
        </w:rPr>
        <w:fldChar w:fldCharType="separate"/>
      </w:r>
      <w:r>
        <w:rPr>
          <w:sz w:val="24"/>
        </w:rPr>
        <w:t>41</w:t>
      </w:r>
      <w:r>
        <w:rPr>
          <w:sz w:val="24"/>
        </w:rPr>
        <w:fldChar w:fldCharType="end"/>
      </w:r>
      <w:r>
        <w:rPr>
          <w:sz w:val="24"/>
        </w:rPr>
        <w:fldChar w:fldCharType="end"/>
      </w:r>
    </w:p>
    <w:p>
      <w:pPr>
        <w:spacing w:line="360" w:lineRule="auto"/>
        <w:ind w:firstLine="549" w:firstLineChars="229"/>
        <w:rPr>
          <w:rFonts w:ascii="宋体" w:hAnsi="宋体" w:cs="宋体"/>
          <w:sz w:val="24"/>
        </w:rPr>
      </w:pPr>
      <w:r>
        <w:rPr>
          <w:sz w:val="24"/>
        </w:rPr>
        <w:fldChar w:fldCharType="end"/>
      </w: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_Toc14161"/>
      <w:bookmarkStart w:id="9" w:name="第二部分"/>
      <w:bookmarkStart w:id="10" w:name="_Toc91899870"/>
      <w:bookmarkStart w:id="11" w:name="_Toc91899871"/>
      <w:r>
        <w:rPr>
          <w:rFonts w:hint="eastAsia" w:ascii="宋体" w:hAnsi="宋体" w:cs="宋体"/>
          <w:b/>
          <w:sz w:val="36"/>
          <w:szCs w:val="20"/>
        </w:rPr>
        <w:t>第一部分 招标公告</w:t>
      </w:r>
      <w:bookmarkEnd w:id="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lang w:eastAsia="zh-CN"/>
        </w:rPr>
        <w:t>物业服务项目</w:t>
      </w:r>
      <w:r>
        <w:rPr>
          <w:rFonts w:hint="eastAsia" w:ascii="宋体" w:hAnsi="宋体" w:cs="宋体"/>
          <w:sz w:val="24"/>
        </w:rPr>
        <w:t>招标项目的潜在投标人</w:t>
      </w:r>
      <w:r>
        <w:rPr>
          <w:rFonts w:hint="eastAsia" w:ascii="宋体" w:hAnsi="宋体" w:cs="宋体"/>
          <w:color w:val="auto"/>
          <w:sz w:val="24"/>
        </w:rPr>
        <w:t>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6"/>
          <w:rFonts w:hint="eastAsia" w:ascii="宋体" w:hAnsi="宋体" w:eastAsia="宋体" w:cs="宋体"/>
          <w:snapToGrid/>
          <w:color w:val="auto"/>
          <w:kern w:val="2"/>
          <w:sz w:val="24"/>
          <w:szCs w:val="24"/>
        </w:rPr>
        <w:t>https://www.zcygov.cn/）获取（下载）招标文件，并于</w:t>
      </w:r>
      <w:r>
        <w:rPr>
          <w:rFonts w:hint="eastAsia" w:ascii="宋体" w:hAnsi="宋体" w:cs="宋体"/>
          <w:color w:val="auto"/>
          <w:sz w:val="24"/>
          <w:u w:val="single"/>
        </w:rPr>
        <w:t>2022年</w:t>
      </w:r>
      <w:r>
        <w:rPr>
          <w:rFonts w:hint="eastAsia" w:ascii="宋体" w:hAnsi="宋体" w:cs="宋体"/>
          <w:color w:val="auto"/>
          <w:sz w:val="24"/>
          <w:u w:val="single"/>
          <w:lang w:val="en-US" w:eastAsia="zh-CN"/>
        </w:rPr>
        <w:t>11</w:t>
      </w:r>
      <w:r>
        <w:rPr>
          <w:rFonts w:hint="eastAsia" w:ascii="宋体" w:hAnsi="宋体" w:cs="宋体"/>
          <w:color w:val="auto"/>
          <w:sz w:val="24"/>
          <w:u w:val="single"/>
        </w:rPr>
        <w:t>月</w:t>
      </w:r>
      <w:r>
        <w:rPr>
          <w:rFonts w:hint="eastAsia" w:ascii="宋体" w:hAnsi="宋体" w:cs="宋体"/>
          <w:color w:val="auto"/>
          <w:sz w:val="24"/>
          <w:u w:val="single"/>
          <w:lang w:val="en-US" w:eastAsia="zh-CN"/>
        </w:rPr>
        <w:t>07</w:t>
      </w:r>
      <w:r>
        <w:rPr>
          <w:rFonts w:hint="eastAsia" w:ascii="宋体" w:hAnsi="宋体" w:cs="宋体"/>
          <w:color w:val="auto"/>
          <w:sz w:val="24"/>
          <w:u w:val="single"/>
        </w:rPr>
        <w:t>日</w:t>
      </w:r>
      <w:r>
        <w:rPr>
          <w:rFonts w:hint="eastAsia" w:ascii="宋体" w:hAnsi="宋体" w:cs="宋体"/>
          <w:color w:val="auto"/>
          <w:sz w:val="24"/>
          <w:u w:val="single"/>
          <w:lang w:val="en-US" w:eastAsia="zh-CN"/>
        </w:rPr>
        <w:t>09</w:t>
      </w:r>
      <w:r>
        <w:rPr>
          <w:rFonts w:hint="eastAsia" w:ascii="宋体" w:hAnsi="宋体" w:cs="宋体"/>
          <w:color w:val="auto"/>
          <w:sz w:val="24"/>
          <w:u w:val="single"/>
        </w:rPr>
        <w:t>点</w:t>
      </w:r>
      <w:r>
        <w:rPr>
          <w:rFonts w:hint="eastAsia" w:ascii="宋体" w:hAnsi="宋体" w:cs="宋体"/>
          <w:color w:val="auto"/>
          <w:sz w:val="24"/>
          <w:u w:val="single"/>
          <w:lang w:val="en-US" w:eastAsia="zh-CN"/>
        </w:rPr>
        <w:t>3</w:t>
      </w:r>
      <w:r>
        <w:rPr>
          <w:rFonts w:hint="eastAsia" w:ascii="宋体" w:hAnsi="宋体" w:cs="宋体"/>
          <w:color w:val="auto"/>
          <w:sz w:val="24"/>
          <w:u w:val="single"/>
        </w:rPr>
        <w:t>0分</w:t>
      </w:r>
      <w:r>
        <w:rPr>
          <w:rFonts w:hint="eastAsia" w:ascii="宋体" w:hAnsi="宋体" w:cs="宋体"/>
          <w:bCs/>
          <w:color w:val="auto"/>
          <w:sz w:val="24"/>
          <w:u w:val="single"/>
        </w:rPr>
        <w:t>00秒</w:t>
      </w:r>
      <w:r>
        <w:rPr>
          <w:rFonts w:hint="eastAsia" w:ascii="宋体" w:hAnsi="宋体" w:cs="宋体"/>
          <w:bCs/>
          <w:color w:val="auto"/>
          <w:sz w:val="24"/>
          <w:u w:val="single"/>
        </w:rPr>
        <w:fldChar w:fldCharType="end"/>
      </w:r>
      <w:r>
        <w:rPr>
          <w:rFonts w:hint="eastAsia" w:ascii="宋体" w:hAnsi="宋体" w:cs="宋体"/>
          <w:bCs/>
          <w:color w:val="auto"/>
          <w:sz w:val="24"/>
        </w:rPr>
        <w:t>（</w:t>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一、项目基本情况</w:t>
      </w:r>
    </w:p>
    <w:p>
      <w:pPr>
        <w:spacing w:line="360" w:lineRule="auto"/>
        <w:rPr>
          <w:rFonts w:hint="eastAsia" w:ascii="宋体" w:hAnsi="宋体" w:eastAsia="宋体" w:cs="宋体"/>
          <w:sz w:val="24"/>
          <w:lang w:eastAsia="zh-CN"/>
        </w:rPr>
      </w:pPr>
      <w:r>
        <w:rPr>
          <w:rFonts w:hint="eastAsia" w:ascii="宋体" w:hAnsi="宋体" w:cs="宋体"/>
          <w:b/>
          <w:sz w:val="24"/>
        </w:rPr>
        <w:t>项目编号：</w:t>
      </w:r>
      <w:r>
        <w:rPr>
          <w:rFonts w:hint="eastAsia" w:ascii="宋体" w:hAnsi="宋体" w:cs="宋体"/>
          <w:sz w:val="24"/>
          <w:lang w:eastAsia="zh-CN"/>
        </w:rPr>
        <w:t>ZJXL-KFYL-202225</w:t>
      </w:r>
    </w:p>
    <w:p>
      <w:pPr>
        <w:spacing w:line="360" w:lineRule="auto"/>
        <w:rPr>
          <w:rFonts w:hint="eastAsia" w:ascii="宋体" w:hAnsi="宋体" w:eastAsia="宋体" w:cs="宋体"/>
          <w:sz w:val="24"/>
          <w:lang w:eastAsia="zh-CN"/>
        </w:rPr>
      </w:pPr>
      <w:r>
        <w:rPr>
          <w:rFonts w:hint="eastAsia" w:ascii="宋体" w:hAnsi="宋体" w:cs="宋体"/>
          <w:b/>
          <w:sz w:val="24"/>
        </w:rPr>
        <w:t>项目名称</w:t>
      </w:r>
      <w:r>
        <w:rPr>
          <w:rFonts w:hint="eastAsia" w:ascii="宋体" w:hAnsi="宋体" w:cs="宋体"/>
          <w:sz w:val="24"/>
        </w:rPr>
        <w:t>：</w:t>
      </w:r>
      <w:r>
        <w:rPr>
          <w:rFonts w:hint="eastAsia" w:ascii="宋体" w:hAnsi="宋体" w:cs="宋体"/>
          <w:sz w:val="24"/>
          <w:lang w:eastAsia="zh-CN"/>
        </w:rPr>
        <w:t>物业服务项目</w:t>
      </w:r>
    </w:p>
    <w:p>
      <w:pPr>
        <w:spacing w:line="360" w:lineRule="auto"/>
        <w:rPr>
          <w:rFonts w:ascii="宋体" w:hAnsi="宋体" w:cs="宋体"/>
          <w:sz w:val="24"/>
        </w:rPr>
      </w:pPr>
      <w:r>
        <w:rPr>
          <w:rFonts w:hint="eastAsia" w:ascii="宋体" w:hAnsi="宋体" w:cs="宋体"/>
          <w:b/>
          <w:sz w:val="24"/>
        </w:rPr>
        <w:t xml:space="preserve">预算金额（元）： </w:t>
      </w:r>
      <w:r>
        <w:rPr>
          <w:rFonts w:hint="eastAsia" w:ascii="宋体" w:hAnsi="宋体" w:cs="宋体"/>
          <w:b/>
          <w:sz w:val="24"/>
          <w:lang w:eastAsia="zh-CN"/>
        </w:rPr>
        <w:t>8760000</w:t>
      </w:r>
      <w:r>
        <w:rPr>
          <w:rFonts w:hint="eastAsia" w:ascii="宋体" w:hAnsi="宋体" w:cs="宋体"/>
          <w:b/>
          <w:sz w:val="24"/>
        </w:rPr>
        <w:t xml:space="preserve">  </w:t>
      </w:r>
    </w:p>
    <w:p>
      <w:pPr>
        <w:spacing w:line="360" w:lineRule="auto"/>
        <w:rPr>
          <w:rFonts w:hint="eastAsia" w:ascii="宋体" w:hAnsi="宋体" w:eastAsia="宋体" w:cs="宋体"/>
          <w:sz w:val="24"/>
          <w:lang w:eastAsia="zh-CN"/>
        </w:rPr>
      </w:pPr>
      <w:r>
        <w:rPr>
          <w:rFonts w:hint="eastAsia" w:ascii="宋体" w:hAnsi="宋体" w:cs="宋体"/>
          <w:b/>
          <w:sz w:val="24"/>
        </w:rPr>
        <w:t xml:space="preserve">最高限价（元）： </w:t>
      </w:r>
      <w:r>
        <w:rPr>
          <w:rFonts w:hint="eastAsia" w:ascii="宋体" w:hAnsi="宋体" w:cs="宋体"/>
          <w:b/>
          <w:sz w:val="24"/>
          <w:lang w:eastAsia="zh-CN"/>
        </w:rPr>
        <w:t>8760000</w:t>
      </w:r>
    </w:p>
    <w:p>
      <w:pPr>
        <w:pStyle w:val="18"/>
        <w:spacing w:line="360" w:lineRule="auto"/>
        <w:ind w:firstLine="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rPr>
        <w:t>：</w:t>
      </w:r>
    </w:p>
    <w:tbl>
      <w:tblPr>
        <w:tblStyle w:val="63"/>
        <w:tblW w:w="951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49"/>
        <w:gridCol w:w="1697"/>
        <w:gridCol w:w="553"/>
        <w:gridCol w:w="1507"/>
        <w:gridCol w:w="553"/>
        <w:gridCol w:w="3859"/>
        <w:gridCol w:w="6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49" w:type="dxa"/>
            <w:vAlign w:val="center"/>
          </w:tcPr>
          <w:p>
            <w:pPr>
              <w:pStyle w:val="2"/>
              <w:ind w:firstLine="0"/>
              <w:jc w:val="center"/>
              <w:rPr>
                <w:rFonts w:hAnsi="宋体" w:cs="宋体"/>
                <w:szCs w:val="24"/>
              </w:rPr>
            </w:pPr>
            <w:r>
              <w:rPr>
                <w:rFonts w:hint="eastAsia" w:hAnsi="宋体" w:cs="宋体"/>
                <w:szCs w:val="24"/>
              </w:rPr>
              <w:t>标项序号</w:t>
            </w:r>
          </w:p>
        </w:tc>
        <w:tc>
          <w:tcPr>
            <w:tcW w:w="1697" w:type="dxa"/>
            <w:vAlign w:val="center"/>
          </w:tcPr>
          <w:p>
            <w:pPr>
              <w:pStyle w:val="2"/>
              <w:ind w:firstLine="0"/>
              <w:jc w:val="center"/>
              <w:rPr>
                <w:rFonts w:hAnsi="宋体" w:cs="宋体"/>
                <w:szCs w:val="24"/>
              </w:rPr>
            </w:pPr>
            <w:r>
              <w:rPr>
                <w:rFonts w:hint="eastAsia" w:hAnsi="宋体" w:cs="宋体"/>
                <w:szCs w:val="24"/>
              </w:rPr>
              <w:t>标项名称</w:t>
            </w:r>
          </w:p>
        </w:tc>
        <w:tc>
          <w:tcPr>
            <w:tcW w:w="553" w:type="dxa"/>
            <w:vAlign w:val="center"/>
          </w:tcPr>
          <w:p>
            <w:pPr>
              <w:pStyle w:val="2"/>
              <w:ind w:firstLine="0"/>
              <w:jc w:val="center"/>
              <w:rPr>
                <w:rFonts w:hAnsi="宋体" w:cs="宋体"/>
                <w:szCs w:val="24"/>
              </w:rPr>
            </w:pPr>
            <w:r>
              <w:rPr>
                <w:rFonts w:hint="eastAsia" w:hAnsi="宋体" w:cs="宋体"/>
                <w:szCs w:val="24"/>
              </w:rPr>
              <w:t>数量</w:t>
            </w:r>
          </w:p>
        </w:tc>
        <w:tc>
          <w:tcPr>
            <w:tcW w:w="1507" w:type="dxa"/>
            <w:vAlign w:val="center"/>
          </w:tcPr>
          <w:p>
            <w:pPr>
              <w:pStyle w:val="2"/>
              <w:ind w:firstLine="0"/>
              <w:jc w:val="center"/>
              <w:rPr>
                <w:rFonts w:hAnsi="宋体" w:cs="宋体"/>
                <w:szCs w:val="24"/>
              </w:rPr>
            </w:pPr>
            <w:r>
              <w:rPr>
                <w:rFonts w:hint="eastAsia" w:hAnsi="宋体" w:cs="宋体"/>
                <w:szCs w:val="24"/>
              </w:rPr>
              <w:t>预算金额(元)</w:t>
            </w:r>
          </w:p>
        </w:tc>
        <w:tc>
          <w:tcPr>
            <w:tcW w:w="553" w:type="dxa"/>
            <w:vAlign w:val="center"/>
          </w:tcPr>
          <w:p>
            <w:pPr>
              <w:pStyle w:val="2"/>
              <w:ind w:firstLine="0"/>
              <w:jc w:val="center"/>
              <w:rPr>
                <w:rFonts w:hAnsi="宋体" w:cs="宋体"/>
                <w:szCs w:val="24"/>
              </w:rPr>
            </w:pPr>
            <w:r>
              <w:rPr>
                <w:rFonts w:hint="eastAsia" w:hAnsi="宋体" w:cs="宋体"/>
                <w:szCs w:val="24"/>
              </w:rPr>
              <w:t>单位</w:t>
            </w:r>
          </w:p>
        </w:tc>
        <w:tc>
          <w:tcPr>
            <w:tcW w:w="3859" w:type="dxa"/>
            <w:vAlign w:val="center"/>
          </w:tcPr>
          <w:p>
            <w:pPr>
              <w:pStyle w:val="2"/>
              <w:ind w:firstLine="0"/>
              <w:jc w:val="center"/>
              <w:rPr>
                <w:rFonts w:hAnsi="宋体" w:cs="宋体"/>
                <w:szCs w:val="24"/>
              </w:rPr>
            </w:pPr>
            <w:r>
              <w:rPr>
                <w:rFonts w:hint="eastAsia" w:hAnsi="宋体" w:cs="宋体"/>
                <w:szCs w:val="24"/>
              </w:rPr>
              <w:t>简要规格描述</w:t>
            </w:r>
          </w:p>
        </w:tc>
        <w:tc>
          <w:tcPr>
            <w:tcW w:w="697" w:type="dxa"/>
            <w:vAlign w:val="center"/>
          </w:tcPr>
          <w:p>
            <w:pPr>
              <w:pStyle w:val="2"/>
              <w:ind w:firstLine="0"/>
              <w:jc w:val="center"/>
              <w:rPr>
                <w:rFonts w:hAnsi="宋体" w:cs="宋体"/>
                <w:szCs w:val="24"/>
              </w:rPr>
            </w:pPr>
            <w:r>
              <w:rPr>
                <w:rFonts w:hint="eastAsia" w:hAnsi="宋体" w:cs="宋体"/>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5" w:hRule="atLeast"/>
          <w:jc w:val="center"/>
        </w:trPr>
        <w:tc>
          <w:tcPr>
            <w:tcW w:w="649" w:type="dxa"/>
            <w:vAlign w:val="center"/>
          </w:tcPr>
          <w:p>
            <w:pPr>
              <w:pStyle w:val="480"/>
              <w:spacing w:line="360" w:lineRule="auto"/>
              <w:jc w:val="center"/>
              <w:rPr>
                <w:rFonts w:ascii="宋体" w:hAnsi="宋体" w:cs="宋体"/>
                <w:sz w:val="24"/>
                <w:szCs w:val="24"/>
              </w:rPr>
            </w:pPr>
            <w:r>
              <w:rPr>
                <w:rFonts w:hint="eastAsia" w:ascii="宋体" w:hAnsi="宋体" w:cs="宋体"/>
                <w:sz w:val="24"/>
                <w:szCs w:val="24"/>
              </w:rPr>
              <w:t>1</w:t>
            </w:r>
          </w:p>
        </w:tc>
        <w:tc>
          <w:tcPr>
            <w:tcW w:w="1697" w:type="dxa"/>
            <w:vAlign w:val="center"/>
          </w:tcPr>
          <w:p>
            <w:pPr>
              <w:pStyle w:val="480"/>
              <w:spacing w:line="360" w:lineRule="auto"/>
              <w:jc w:val="center"/>
              <w:rPr>
                <w:rFonts w:hint="eastAsia" w:ascii="宋体" w:hAnsi="宋体" w:eastAsia="宋体" w:cs="宋体"/>
                <w:sz w:val="24"/>
                <w:szCs w:val="24"/>
                <w:lang w:eastAsia="zh-CN"/>
              </w:rPr>
            </w:pPr>
            <w:r>
              <w:rPr>
                <w:rFonts w:hint="eastAsia" w:ascii="宋体" w:hAnsi="宋体" w:cs="宋体"/>
                <w:sz w:val="24"/>
                <w:szCs w:val="24"/>
                <w:shd w:val="clear" w:color="auto" w:fill="FFFFFF"/>
                <w:lang w:eastAsia="zh-CN"/>
              </w:rPr>
              <w:t>物业服务项目</w:t>
            </w:r>
          </w:p>
        </w:tc>
        <w:tc>
          <w:tcPr>
            <w:tcW w:w="553" w:type="dxa"/>
            <w:vAlign w:val="center"/>
          </w:tcPr>
          <w:p>
            <w:pPr>
              <w:pStyle w:val="480"/>
              <w:spacing w:line="360" w:lineRule="auto"/>
              <w:jc w:val="center"/>
              <w:rPr>
                <w:rFonts w:ascii="宋体" w:hAnsi="宋体" w:cs="宋体"/>
                <w:sz w:val="24"/>
                <w:szCs w:val="24"/>
              </w:rPr>
            </w:pPr>
            <w:r>
              <w:rPr>
                <w:rFonts w:hint="eastAsia" w:ascii="宋体" w:hAnsi="宋体" w:cs="宋体"/>
                <w:sz w:val="24"/>
                <w:szCs w:val="24"/>
              </w:rPr>
              <w:t>1</w:t>
            </w:r>
          </w:p>
        </w:tc>
        <w:tc>
          <w:tcPr>
            <w:tcW w:w="1507" w:type="dxa"/>
            <w:vAlign w:val="center"/>
          </w:tcPr>
          <w:p>
            <w:pPr>
              <w:pStyle w:val="480"/>
              <w:spacing w:line="360" w:lineRule="auto"/>
              <w:ind w:firstLine="240" w:firstLineChars="100"/>
              <w:rPr>
                <w:rFonts w:hint="eastAsia" w:ascii="宋体" w:hAnsi="宋体" w:eastAsia="宋体" w:cs="宋体"/>
                <w:sz w:val="24"/>
                <w:szCs w:val="24"/>
                <w:lang w:eastAsia="zh-CN"/>
              </w:rPr>
            </w:pPr>
            <w:r>
              <w:rPr>
                <w:rFonts w:hint="eastAsia" w:ascii="宋体" w:hAnsi="宋体" w:cs="宋体"/>
                <w:sz w:val="24"/>
                <w:szCs w:val="24"/>
              </w:rPr>
              <w:t xml:space="preserve"> </w:t>
            </w:r>
            <w:r>
              <w:rPr>
                <w:rFonts w:hint="eastAsia" w:ascii="宋体" w:hAnsi="宋体" w:cs="宋体"/>
                <w:sz w:val="24"/>
                <w:szCs w:val="24"/>
                <w:lang w:eastAsia="zh-CN"/>
              </w:rPr>
              <w:t>8760000</w:t>
            </w:r>
          </w:p>
        </w:tc>
        <w:tc>
          <w:tcPr>
            <w:tcW w:w="553" w:type="dxa"/>
            <w:vAlign w:val="center"/>
          </w:tcPr>
          <w:p>
            <w:pPr>
              <w:pStyle w:val="480"/>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项</w:t>
            </w:r>
          </w:p>
        </w:tc>
        <w:tc>
          <w:tcPr>
            <w:tcW w:w="3859" w:type="dxa"/>
            <w:vAlign w:val="center"/>
          </w:tcPr>
          <w:p>
            <w:pPr>
              <w:shd w:val="clear" w:color="auto" w:fill="FFFFFF"/>
              <w:rPr>
                <w:rFonts w:hint="eastAsia" w:ascii="宋体" w:hAnsi="宋体" w:cs="宋体"/>
                <w:sz w:val="24"/>
                <w:shd w:val="clear" w:color="auto" w:fill="FFFFFF"/>
              </w:rPr>
            </w:pPr>
            <w:r>
              <w:rPr>
                <w:rFonts w:hint="eastAsia" w:ascii="宋体" w:hAnsi="宋体" w:cs="宋体"/>
                <w:sz w:val="24"/>
                <w:shd w:val="clear" w:color="auto" w:fill="FFFFFF"/>
              </w:rPr>
              <w:t>服务内容及范围</w:t>
            </w:r>
            <w:r>
              <w:rPr>
                <w:rFonts w:hint="eastAsia" w:ascii="宋体" w:hAnsi="宋体" w:cs="宋体"/>
                <w:sz w:val="24"/>
                <w:shd w:val="clear" w:color="auto" w:fill="FFFFFF"/>
                <w:lang w:eastAsia="zh-CN"/>
              </w:rPr>
              <w:t>：</w:t>
            </w:r>
            <w:r>
              <w:rPr>
                <w:rFonts w:hint="eastAsia" w:ascii="宋体" w:hAnsi="宋体" w:cs="宋体"/>
                <w:sz w:val="24"/>
                <w:shd w:val="clear" w:color="auto" w:fill="FFFFFF"/>
              </w:rPr>
              <w:t>（1）转运服务：院区内的病人、标本、药品、物资及其他等转运。</w:t>
            </w:r>
          </w:p>
          <w:p>
            <w:pPr>
              <w:shd w:val="clear" w:color="auto" w:fill="FFFFFF"/>
              <w:rPr>
                <w:rFonts w:hint="eastAsia" w:ascii="宋体" w:hAnsi="宋体" w:cs="宋体"/>
                <w:sz w:val="24"/>
                <w:shd w:val="clear" w:color="auto" w:fill="FFFFFF"/>
              </w:rPr>
            </w:pPr>
            <w:r>
              <w:rPr>
                <w:rFonts w:hint="eastAsia" w:ascii="宋体" w:hAnsi="宋体" w:cs="宋体"/>
                <w:sz w:val="24"/>
                <w:shd w:val="clear" w:color="auto" w:fill="FFFFFF"/>
              </w:rPr>
              <w:t>（2）保洁：中心园区内的所有保洁</w:t>
            </w:r>
          </w:p>
          <w:p>
            <w:pPr>
              <w:shd w:val="clear" w:color="auto" w:fill="FFFFFF"/>
              <w:rPr>
                <w:rFonts w:hint="eastAsia" w:ascii="宋体" w:hAnsi="宋体" w:cs="宋体"/>
                <w:sz w:val="24"/>
                <w:shd w:val="clear" w:color="auto" w:fill="FFFFFF"/>
              </w:rPr>
            </w:pPr>
            <w:r>
              <w:rPr>
                <w:rFonts w:hint="eastAsia" w:ascii="宋体" w:hAnsi="宋体" w:cs="宋体"/>
                <w:sz w:val="24"/>
                <w:shd w:val="clear" w:color="auto" w:fill="FFFFFF"/>
              </w:rPr>
              <w:t>（3）工程维修：日常维修、物业设施的维护和管理等。</w:t>
            </w:r>
          </w:p>
          <w:p>
            <w:pPr>
              <w:shd w:val="clear" w:color="auto" w:fill="FFFFFF"/>
              <w:rPr>
                <w:rFonts w:ascii="宋体" w:hAnsi="宋体" w:cs="宋体"/>
                <w:sz w:val="24"/>
              </w:rPr>
            </w:pPr>
            <w:r>
              <w:rPr>
                <w:rFonts w:hint="eastAsia" w:ascii="宋体" w:hAnsi="宋体" w:cs="宋体"/>
                <w:sz w:val="24"/>
                <w:shd w:val="clear" w:color="auto" w:fill="FFFFFF"/>
              </w:rPr>
              <w:t>（4）护理员：协助护理人员完成相关的工作。详见招标文件第三部分采购需求。</w:t>
            </w:r>
          </w:p>
        </w:tc>
        <w:tc>
          <w:tcPr>
            <w:tcW w:w="697" w:type="dxa"/>
            <w:vAlign w:val="center"/>
          </w:tcPr>
          <w:p>
            <w:pPr>
              <w:pStyle w:val="2"/>
              <w:ind w:firstLine="0"/>
              <w:jc w:val="center"/>
              <w:rPr>
                <w:rFonts w:hAnsi="宋体" w:cs="宋体"/>
                <w:szCs w:val="24"/>
              </w:rPr>
            </w:pPr>
          </w:p>
        </w:tc>
      </w:tr>
    </w:tbl>
    <w:p>
      <w:pPr>
        <w:pStyle w:val="128"/>
        <w:ind w:firstLine="482"/>
        <w:outlineLvl w:val="2"/>
        <w:rPr>
          <w:rFonts w:ascii="宋体" w:hAnsi="宋体" w:cs="宋体"/>
          <w:szCs w:val="24"/>
        </w:rPr>
      </w:pPr>
      <w:r>
        <w:rPr>
          <w:rFonts w:hint="eastAsia" w:ascii="仿宋_GB2312" w:hAnsi="仿宋" w:eastAsia="仿宋_GB2312"/>
          <w:b/>
        </w:rPr>
        <w:t>合同履约期限：</w:t>
      </w:r>
      <w:r>
        <w:rPr>
          <w:rFonts w:hint="eastAsia" w:ascii="仿宋_GB2312" w:hAnsi="仿宋" w:eastAsia="仿宋_GB2312"/>
          <w:b/>
          <w:lang w:val="en-US" w:eastAsia="zh-CN"/>
        </w:rPr>
        <w:t>二年</w:t>
      </w:r>
      <w:r>
        <w:rPr>
          <w:rFonts w:hint="eastAsia" w:ascii="仿宋_GB2312" w:hAnsi="仿宋" w:eastAsia="仿宋_GB2312"/>
          <w:b/>
        </w:rPr>
        <w:t>。</w:t>
      </w:r>
    </w:p>
    <w:p>
      <w:pPr>
        <w:pStyle w:val="18"/>
        <w:spacing w:line="360" w:lineRule="auto"/>
        <w:ind w:firstLine="480"/>
        <w:rPr>
          <w:rFonts w:hAnsi="宋体" w:cs="宋体"/>
          <w:b/>
          <w:sz w:val="24"/>
        </w:rPr>
      </w:pPr>
      <w:r>
        <w:rPr>
          <w:rFonts w:hint="eastAsia" w:hAnsi="宋体" w:cs="宋体"/>
          <w:b/>
          <w:color w:val="auto"/>
          <w:sz w:val="24"/>
        </w:rPr>
        <w:t>本项目接受联合体投标：</w:t>
      </w:r>
      <w:sdt>
        <w:sdtPr>
          <w:rPr>
            <w:rFonts w:hint="eastAsia" w:hAnsi="宋体" w:cs="宋体"/>
            <w:kern w:val="0"/>
            <w:sz w:val="24"/>
          </w:rPr>
          <w:id w:val="-1276331357"/>
        </w:sdtPr>
        <w:sdtEndPr>
          <w:rPr>
            <w:rFonts w:hint="eastAsia" w:hAnsi="宋体" w:cs="宋体"/>
            <w:kern w:val="0"/>
            <w:sz w:val="24"/>
          </w:rPr>
        </w:sdtEndPr>
        <w:sdtContent>
          <w:r>
            <w:rPr>
              <w:rFonts w:hint="eastAsia" w:hAnsi="宋体" w:cs="宋体"/>
              <w:kern w:val="0"/>
              <w:sz w:val="24"/>
            </w:rPr>
            <w:sym w:font="Wingdings" w:char="00A8"/>
          </w:r>
        </w:sdtContent>
      </w:sdt>
      <w:r>
        <w:rPr>
          <w:rFonts w:hint="eastAsia" w:hAnsi="宋体" w:cs="宋体"/>
          <w:kern w:val="0"/>
          <w:sz w:val="24"/>
        </w:rPr>
        <w:t xml:space="preserve"> </w:t>
      </w:r>
      <w:r>
        <w:rPr>
          <w:rFonts w:hint="eastAsia" w:hAnsi="宋体" w:cs="宋体"/>
          <w:b/>
          <w:color w:val="auto"/>
          <w:sz w:val="24"/>
        </w:rPr>
        <w:t xml:space="preserve">是， </w:t>
      </w:r>
      <w:r>
        <w:rPr>
          <w:rFonts w:hint="eastAsia" w:hAnsi="宋体" w:cs="宋体"/>
          <w:kern w:val="0"/>
          <w:sz w:val="24"/>
        </w:rPr>
        <w:sym w:font="Wingdings" w:char="00FE"/>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hAnsi="宋体" w:cs="宋体"/>
          <w:snapToGrid w:val="0"/>
          <w:kern w:val="28"/>
          <w:sz w:val="24"/>
          <w:szCs w:val="20"/>
        </w:rPr>
      </w:pPr>
      <w:r>
        <w:rPr>
          <w:rFonts w:hint="eastAsia" w:ascii="宋体" w:hAnsi="宋体" w:cs="宋体"/>
          <w:snapToGrid w:val="0"/>
          <w:kern w:val="28"/>
          <w:sz w:val="24"/>
          <w:szCs w:val="20"/>
        </w:rPr>
        <w:t>2.落实政府采购政策需满足的资格要求：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59256098"/>
        </w:sdtPr>
        <w:sdtEndPr>
          <w:rPr>
            <w:rFonts w:hint="eastAsia" w:ascii="宋体" w:hAnsi="宋体" w:cs="宋体"/>
            <w:kern w:val="0"/>
            <w:sz w:val="24"/>
          </w:rPr>
        </w:sdtEndPr>
        <w:sdtContent>
          <w:r>
            <w:rPr>
              <w:rFonts w:hint="eastAsia" w:ascii="宋体" w:hAnsi="宋体" w:cs="宋体"/>
              <w:kern w:val="0"/>
              <w:sz w:val="24"/>
            </w:rPr>
            <w:sym w:font="Wingdings" w:char="00A8"/>
          </w:r>
        </w:sdtContent>
      </w:sdt>
      <w:r>
        <w:rPr>
          <w:rFonts w:hint="eastAsia" w:ascii="宋体" w:hAnsi="宋体" w:cs="宋体"/>
          <w:kern w:val="0"/>
          <w:sz w:val="24"/>
        </w:rPr>
        <w:t xml:space="preserve"> </w:t>
      </w:r>
      <w:r>
        <w:rPr>
          <w:rFonts w:hint="eastAsia" w:ascii="宋体" w:hAnsi="宋体" w:cs="宋体"/>
          <w:sz w:val="24"/>
        </w:rPr>
        <w:t>无；</w:t>
      </w:r>
    </w:p>
    <w:p>
      <w:pPr>
        <w:spacing w:line="360" w:lineRule="auto"/>
        <w:ind w:firstLine="480" w:firstLineChars="200"/>
        <w:rPr>
          <w:rFonts w:ascii="宋体" w:hAnsi="宋体" w:cs="宋体"/>
          <w:sz w:val="24"/>
        </w:rPr>
      </w:pPr>
      <w:sdt>
        <w:sdtPr>
          <w:rPr>
            <w:rFonts w:hint="eastAsia" w:ascii="宋体" w:hAnsi="宋体" w:cs="宋体"/>
            <w:kern w:val="0"/>
            <w:sz w:val="24"/>
          </w:rPr>
          <w:id w:val="-182671158"/>
        </w:sdtPr>
        <w:sdtEndPr>
          <w:rPr>
            <w:rFonts w:hint="eastAsia" w:ascii="宋体" w:hAnsi="宋体" w:cs="宋体"/>
            <w:kern w:val="0"/>
            <w:sz w:val="24"/>
          </w:rPr>
        </w:sdtEndPr>
        <w:sdtContent>
          <w:r>
            <w:rPr>
              <w:rFonts w:hint="eastAsia" w:ascii="宋体" w:hAnsi="宋体" w:cs="宋体"/>
              <w:kern w:val="0"/>
              <w:sz w:val="24"/>
            </w:rPr>
            <w:sym w:font="Wingdings" w:char="00FE"/>
          </w:r>
        </w:sdtContent>
      </w:sdt>
      <w:r>
        <w:rPr>
          <w:rFonts w:hint="eastAsia" w:ascii="宋体" w:hAnsi="宋体" w:cs="宋体"/>
          <w:kern w:val="0"/>
          <w:sz w:val="24"/>
        </w:rPr>
        <w:t xml:space="preserve"> 专</w:t>
      </w:r>
      <w:r>
        <w:rPr>
          <w:rFonts w:hint="eastAsia" w:ascii="宋体" w:hAnsi="宋体" w:cs="宋体"/>
          <w:sz w:val="24"/>
        </w:rPr>
        <w:t>门面向中小企业</w:t>
      </w:r>
    </w:p>
    <w:p>
      <w:pPr>
        <w:spacing w:line="360" w:lineRule="auto"/>
        <w:ind w:firstLine="897" w:firstLineChars="374"/>
        <w:rPr>
          <w:rFonts w:ascii="宋体" w:hAnsi="宋体" w:cs="宋体"/>
          <w:sz w:val="24"/>
        </w:rPr>
      </w:pPr>
      <w:sdt>
        <w:sdtPr>
          <w:rPr>
            <w:rFonts w:hint="eastAsia" w:ascii="宋体" w:hAnsi="宋体" w:cs="宋体"/>
            <w:kern w:val="0"/>
            <w:sz w:val="24"/>
          </w:rPr>
          <w:id w:val="-1415853968"/>
        </w:sdtPr>
        <w:sdtEndPr>
          <w:rPr>
            <w:rFonts w:hint="eastAsia" w:ascii="宋体" w:hAnsi="宋体" w:cs="宋体"/>
            <w:kern w:val="0"/>
            <w:sz w:val="24"/>
          </w:rPr>
        </w:sdtEndPr>
        <w:sdtContent>
          <w:r>
            <w:rPr>
              <w:rFonts w:hint="eastAsia" w:ascii="宋体" w:hAnsi="宋体" w:cs="宋体"/>
              <w:kern w:val="0"/>
              <w:sz w:val="24"/>
            </w:rPr>
            <w:sym w:font="Wingdings" w:char="00FE"/>
          </w:r>
        </w:sdtContent>
      </w:sdt>
      <w:r>
        <w:rPr>
          <w:rFonts w:hint="eastAsia" w:ascii="宋体" w:hAnsi="宋体" w:cs="宋体"/>
          <w:kern w:val="0"/>
          <w:sz w:val="24"/>
        </w:rPr>
        <w:t xml:space="preserve"> </w:t>
      </w:r>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877551070"/>
        </w:sdtPr>
        <w:sdtEndPr>
          <w:rPr>
            <w:rFonts w:hint="eastAsia" w:ascii="宋体" w:hAnsi="宋体" w:cs="宋体"/>
            <w:kern w:val="0"/>
            <w:sz w:val="24"/>
          </w:rPr>
        </w:sdtEndPr>
        <w:sdtContent>
          <w:r>
            <w:rPr>
              <w:rFonts w:hint="eastAsia" w:ascii="宋体" w:hAnsi="宋体" w:cs="宋体"/>
              <w:kern w:val="0"/>
              <w:sz w:val="24"/>
            </w:rPr>
            <w:sym w:font="Wingdings" w:char="00A8"/>
          </w:r>
        </w:sdtContent>
      </w:sdt>
      <w:r>
        <w:rPr>
          <w:rFonts w:hint="eastAsia" w:ascii="宋体" w:hAnsi="宋体" w:cs="宋体"/>
          <w:kern w:val="0"/>
          <w:sz w:val="24"/>
        </w:rPr>
        <w:t xml:space="preserve"> </w:t>
      </w:r>
      <w:r>
        <w:rPr>
          <w:rFonts w:hint="eastAsia" w:ascii="宋体" w:hAnsi="宋体" w:cs="宋体"/>
          <w:sz w:val="24"/>
        </w:rPr>
        <w:t>服务全部由符合政策要求的小微企业承接，提供中小企业声明函；</w:t>
      </w:r>
    </w:p>
    <w:p>
      <w:pPr>
        <w:spacing w:line="360" w:lineRule="auto"/>
        <w:ind w:firstLine="480" w:firstLineChars="200"/>
        <w:rPr>
          <w:rFonts w:ascii="宋体" w:hAnsi="宋体" w:cs="宋体"/>
          <w:sz w:val="24"/>
        </w:rPr>
      </w:pPr>
      <w:sdt>
        <w:sdtPr>
          <w:rPr>
            <w:rFonts w:hint="eastAsia" w:ascii="宋体" w:hAnsi="宋体" w:cs="宋体"/>
            <w:kern w:val="0"/>
            <w:sz w:val="24"/>
          </w:rPr>
          <w:id w:val="1647475142"/>
        </w:sdtPr>
        <w:sdtEndPr>
          <w:rPr>
            <w:rFonts w:hint="eastAsia" w:ascii="宋体" w:hAnsi="宋体" w:cs="宋体"/>
            <w:kern w:val="0"/>
            <w:sz w:val="24"/>
          </w:rPr>
        </w:sdtEndPr>
        <w:sdtContent>
          <w:r>
            <w:rPr>
              <w:rFonts w:hint="eastAsia" w:ascii="宋体" w:hAnsi="宋体" w:cs="宋体"/>
              <w:kern w:val="0"/>
              <w:sz w:val="24"/>
            </w:rPr>
            <w:sym w:font="Wingdings" w:char="00A8"/>
          </w:r>
        </w:sdtContent>
      </w:sdt>
      <w:r>
        <w:rPr>
          <w:rFonts w:hint="eastAsia" w:ascii="宋体" w:hAnsi="宋体" w:cs="宋体"/>
          <w:kern w:val="0"/>
          <w:sz w:val="24"/>
        </w:rPr>
        <w:t xml:space="preserve"> </w:t>
      </w:r>
      <w:r>
        <w:rPr>
          <w:rFonts w:hint="eastAsia" w:ascii="宋体" w:hAnsi="宋体" w:cs="宋体"/>
          <w:sz w:val="24"/>
        </w:rPr>
        <w:t>要求以联合体形式参加，提供联合协议和中小企业声明函，联合协议中中小企业合同金额应当达到%，小微企业合同金额应当达到%;</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297690269"/>
        </w:sdtPr>
        <w:sdtEndPr>
          <w:rPr>
            <w:rFonts w:hint="eastAsia" w:ascii="宋体" w:hAnsi="宋体" w:cs="宋体"/>
            <w:kern w:val="0"/>
            <w:sz w:val="24"/>
          </w:rPr>
        </w:sdtEndPr>
        <w:sdtContent>
          <w:r>
            <w:rPr>
              <w:rFonts w:hint="eastAsia" w:ascii="宋体" w:hAnsi="宋体" w:cs="宋体"/>
              <w:kern w:val="0"/>
              <w:sz w:val="24"/>
            </w:rPr>
            <w:sym w:font="Wingdings" w:char="00A8"/>
          </w:r>
        </w:sdtContent>
      </w:sdt>
      <w:r>
        <w:rPr>
          <w:rFonts w:hint="eastAsia" w:ascii="宋体" w:hAnsi="宋体" w:cs="宋体"/>
          <w:kern w:val="0"/>
          <w:sz w:val="24"/>
        </w:rPr>
        <w:t xml:space="preserve"> </w:t>
      </w:r>
      <w:r>
        <w:rPr>
          <w:rFonts w:hint="eastAsia" w:ascii="宋体" w:hAnsi="宋体" w:cs="宋体"/>
          <w:sz w:val="24"/>
        </w:rPr>
        <w:t>要求合同分包，提供分包意向协议和中小企业声明函，分包意向协议中中小企业合同金额应当达到% ，小微企业合同金额应当达到% ;</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numPr>
          <w:ilvl w:val="0"/>
          <w:numId w:val="1"/>
        </w:numPr>
        <w:spacing w:line="360" w:lineRule="auto"/>
        <w:ind w:firstLine="420"/>
        <w:rPr>
          <w:rFonts w:ascii="宋体" w:hAnsi="宋体" w:cs="宋体"/>
          <w:sz w:val="24"/>
        </w:rPr>
      </w:pPr>
      <w:r>
        <w:rPr>
          <w:rFonts w:hint="eastAsia" w:ascii="宋体" w:hAnsi="宋体" w:cs="宋体"/>
          <w:sz w:val="24"/>
        </w:rPr>
        <w:t>本项目的特定资格要求：</w:t>
      </w:r>
    </w:p>
    <w:p>
      <w:pPr>
        <w:pStyle w:val="2"/>
        <w:rPr>
          <w:rFonts w:hint="eastAsia" w:hAnsi="宋体" w:cs="宋体"/>
          <w:spacing w:val="8"/>
          <w:kern w:val="0"/>
          <w:szCs w:val="24"/>
          <w:lang w:val="en-US"/>
        </w:rPr>
      </w:pPr>
      <w:r>
        <w:rPr>
          <w:rFonts w:hint="eastAsia" w:hAnsi="宋体" w:cs="宋体"/>
          <w:spacing w:val="8"/>
          <w:kern w:val="0"/>
          <w:szCs w:val="24"/>
          <w:lang w:val="en-US"/>
        </w:rPr>
        <w:t>无。</w:t>
      </w:r>
    </w:p>
    <w:p>
      <w:pPr>
        <w:snapToGrid w:val="0"/>
        <w:spacing w:line="360" w:lineRule="auto"/>
        <w:ind w:firstLine="480" w:firstLineChars="200"/>
        <w:rPr>
          <w:rFonts w:ascii="宋体" w:hAnsi="宋体" w:cs="宋体"/>
          <w:sz w:val="24"/>
        </w:rPr>
      </w:pPr>
      <w:r>
        <w:rPr>
          <w:rFonts w:hint="eastAsia" w:ascii="宋体" w:hAnsi="宋体" w:cs="宋体"/>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三、获取招标文件</w:t>
      </w:r>
    </w:p>
    <w:p>
      <w:pPr>
        <w:spacing w:line="360" w:lineRule="auto"/>
        <w:ind w:firstLine="482" w:firstLineChars="200"/>
        <w:rPr>
          <w:rFonts w:ascii="宋体" w:hAnsi="宋体" w:cs="宋体"/>
          <w:color w:val="FF0000"/>
          <w:sz w:val="24"/>
        </w:rPr>
      </w:pPr>
      <w:r>
        <w:rPr>
          <w:rFonts w:hint="eastAsia" w:ascii="宋体" w:hAnsi="宋体" w:cs="宋体"/>
          <w:b/>
          <w:sz w:val="24"/>
        </w:rPr>
        <w:t>时间：</w:t>
      </w:r>
      <w:r>
        <w:rPr>
          <w:rFonts w:hint="eastAsia" w:ascii="宋体" w:hAnsi="宋体" w:cs="宋体"/>
          <w:sz w:val="24"/>
          <w:u w:val="single"/>
        </w:rPr>
        <w:t>公告发布之日起至投标截止时间</w:t>
      </w:r>
      <w:r>
        <w:rPr>
          <w:rFonts w:hint="eastAsia" w:ascii="宋体" w:hAnsi="宋体" w:cs="宋体"/>
          <w:sz w:val="24"/>
        </w:rPr>
        <w:t>（北京时间，线上获取法定节假日均可，线下获取文件法定节假日除外）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u w:val="single"/>
        </w:rPr>
        <w:t>2022年</w:t>
      </w:r>
      <w:r>
        <w:rPr>
          <w:rFonts w:hint="eastAsia" w:ascii="宋体" w:hAnsi="宋体" w:cs="宋体"/>
          <w:color w:val="auto"/>
          <w:sz w:val="24"/>
          <w:u w:val="single"/>
          <w:lang w:val="en-US" w:eastAsia="zh-CN"/>
        </w:rPr>
        <w:t>11</w:t>
      </w:r>
      <w:r>
        <w:rPr>
          <w:rFonts w:hint="eastAsia" w:ascii="宋体" w:hAnsi="宋体" w:cs="宋体"/>
          <w:color w:val="auto"/>
          <w:sz w:val="24"/>
          <w:u w:val="single"/>
        </w:rPr>
        <w:t>月</w:t>
      </w:r>
      <w:r>
        <w:rPr>
          <w:rFonts w:hint="eastAsia" w:ascii="宋体" w:hAnsi="宋体" w:cs="宋体"/>
          <w:color w:val="auto"/>
          <w:sz w:val="24"/>
          <w:u w:val="single"/>
          <w:lang w:val="en-US" w:eastAsia="zh-CN"/>
        </w:rPr>
        <w:t>07</w:t>
      </w:r>
      <w:r>
        <w:rPr>
          <w:rFonts w:hint="eastAsia" w:ascii="宋体" w:hAnsi="宋体" w:cs="宋体"/>
          <w:color w:val="auto"/>
          <w:sz w:val="24"/>
          <w:u w:val="single"/>
        </w:rPr>
        <w:t>日</w:t>
      </w:r>
      <w:r>
        <w:rPr>
          <w:rFonts w:hint="eastAsia" w:ascii="宋体" w:hAnsi="宋体" w:cs="宋体"/>
          <w:color w:val="auto"/>
          <w:sz w:val="24"/>
          <w:u w:val="single"/>
          <w:lang w:val="en-US" w:eastAsia="zh-CN"/>
        </w:rPr>
        <w:t>09</w:t>
      </w:r>
      <w:r>
        <w:rPr>
          <w:rFonts w:hint="eastAsia" w:ascii="宋体" w:hAnsi="宋体" w:cs="宋体"/>
          <w:color w:val="auto"/>
          <w:sz w:val="24"/>
          <w:u w:val="single"/>
        </w:rPr>
        <w:t>点</w:t>
      </w:r>
      <w:r>
        <w:rPr>
          <w:rFonts w:hint="eastAsia" w:ascii="宋体" w:hAnsi="宋体" w:cs="宋体"/>
          <w:color w:val="auto"/>
          <w:sz w:val="24"/>
          <w:u w:val="single"/>
          <w:lang w:val="en-US" w:eastAsia="zh-CN"/>
        </w:rPr>
        <w:t>3</w:t>
      </w:r>
      <w:r>
        <w:rPr>
          <w:rFonts w:hint="eastAsia" w:ascii="宋体" w:hAnsi="宋体" w:cs="宋体"/>
          <w:color w:val="auto"/>
          <w:sz w:val="24"/>
          <w:u w:val="single"/>
        </w:rPr>
        <w:t>0分</w:t>
      </w:r>
      <w:r>
        <w:rPr>
          <w:rFonts w:hint="eastAsia" w:ascii="宋体" w:hAnsi="宋体" w:cs="宋体"/>
          <w:bCs/>
          <w:color w:val="auto"/>
          <w:sz w:val="24"/>
          <w:u w:val="single"/>
        </w:rPr>
        <w:t>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u w:val="single"/>
        </w:rPr>
        <w:t>2022年</w:t>
      </w:r>
      <w:r>
        <w:rPr>
          <w:rFonts w:hint="eastAsia" w:ascii="宋体" w:hAnsi="宋体" w:cs="宋体"/>
          <w:color w:val="auto"/>
          <w:sz w:val="24"/>
          <w:u w:val="single"/>
          <w:lang w:val="en-US" w:eastAsia="zh-CN"/>
        </w:rPr>
        <w:t>11</w:t>
      </w:r>
      <w:r>
        <w:rPr>
          <w:rFonts w:hint="eastAsia" w:ascii="宋体" w:hAnsi="宋体" w:cs="宋体"/>
          <w:color w:val="auto"/>
          <w:sz w:val="24"/>
          <w:u w:val="single"/>
        </w:rPr>
        <w:t>月</w:t>
      </w:r>
      <w:r>
        <w:rPr>
          <w:rFonts w:hint="eastAsia" w:ascii="宋体" w:hAnsi="宋体" w:cs="宋体"/>
          <w:color w:val="auto"/>
          <w:sz w:val="24"/>
          <w:u w:val="single"/>
          <w:lang w:val="en-US" w:eastAsia="zh-CN"/>
        </w:rPr>
        <w:t>07</w:t>
      </w:r>
      <w:r>
        <w:rPr>
          <w:rFonts w:hint="eastAsia" w:ascii="宋体" w:hAnsi="宋体" w:cs="宋体"/>
          <w:color w:val="auto"/>
          <w:sz w:val="24"/>
          <w:u w:val="single"/>
        </w:rPr>
        <w:t>日</w:t>
      </w:r>
      <w:r>
        <w:rPr>
          <w:rFonts w:hint="eastAsia" w:ascii="宋体" w:hAnsi="宋体" w:cs="宋体"/>
          <w:color w:val="auto"/>
          <w:sz w:val="24"/>
          <w:u w:val="single"/>
          <w:lang w:val="en-US" w:eastAsia="zh-CN"/>
        </w:rPr>
        <w:t>09</w:t>
      </w:r>
      <w:r>
        <w:rPr>
          <w:rFonts w:hint="eastAsia" w:ascii="宋体" w:hAnsi="宋体" w:cs="宋体"/>
          <w:color w:val="auto"/>
          <w:sz w:val="24"/>
          <w:u w:val="single"/>
        </w:rPr>
        <w:t>点</w:t>
      </w:r>
      <w:r>
        <w:rPr>
          <w:rFonts w:hint="eastAsia" w:ascii="宋体" w:hAnsi="宋体" w:cs="宋体"/>
          <w:color w:val="auto"/>
          <w:sz w:val="24"/>
          <w:u w:val="single"/>
          <w:lang w:val="en-US" w:eastAsia="zh-CN"/>
        </w:rPr>
        <w:t>3</w:t>
      </w:r>
      <w:r>
        <w:rPr>
          <w:rFonts w:hint="eastAsia" w:ascii="宋体" w:hAnsi="宋体" w:cs="宋体"/>
          <w:color w:val="auto"/>
          <w:sz w:val="24"/>
          <w:u w:val="single"/>
        </w:rPr>
        <w:t>0分</w:t>
      </w:r>
      <w:r>
        <w:rPr>
          <w:rFonts w:hint="eastAsia" w:ascii="宋体" w:hAnsi="宋体" w:cs="宋体"/>
          <w:bCs/>
          <w:color w:val="auto"/>
          <w:sz w:val="24"/>
          <w:u w:val="single"/>
        </w:rPr>
        <w:t>00秒</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五、公告期限</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cs="宋体"/>
          <w:sz w:val="24"/>
        </w:rPr>
      </w:pPr>
      <w:r>
        <w:rPr>
          <w:rFonts w:hint="eastAsia" w:ascii="宋体" w:hAnsi="宋体" w:cs="宋体"/>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ind w:firstLine="480" w:firstLineChars="200"/>
        <w:rPr>
          <w:rFonts w:ascii="宋体" w:hAnsi="宋体" w:cs="宋体"/>
          <w:sz w:val="24"/>
        </w:rPr>
      </w:pPr>
      <w:r>
        <w:rPr>
          <w:rFonts w:hint="eastAsia" w:ascii="宋体" w:hAnsi="宋体" w:cs="宋体"/>
          <w:sz w:val="24"/>
        </w:rPr>
        <w:t>1.采购人信息</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名    称：</w:t>
      </w:r>
      <w:r>
        <w:rPr>
          <w:rFonts w:hint="eastAsia" w:ascii="宋体" w:hAnsi="宋体" w:cs="宋体"/>
          <w:sz w:val="24"/>
          <w:lang w:eastAsia="zh-CN"/>
        </w:rPr>
        <w:t>浙江康复医疗中心</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地    址：</w:t>
      </w:r>
      <w:r>
        <w:rPr>
          <w:rFonts w:hint="eastAsia" w:ascii="宋体" w:hAnsi="宋体" w:cs="宋体"/>
          <w:sz w:val="24"/>
          <w:lang w:eastAsia="zh-CN"/>
        </w:rPr>
        <w:t>浙江省杭州市滨江区滨盛路2828号</w:t>
      </w:r>
    </w:p>
    <w:p>
      <w:pPr>
        <w:pStyle w:val="59"/>
        <w:spacing w:before="75" w:beforeAutospacing="0" w:after="75" w:afterAutospacing="0" w:line="360" w:lineRule="auto"/>
        <w:ind w:firstLine="480" w:firstLineChars="200"/>
        <w:rPr>
          <w:rStyle w:val="961"/>
          <w:rFonts w:cs="宋体"/>
          <w:color w:val="auto"/>
          <w:highlight w:val="none"/>
        </w:rPr>
      </w:pPr>
      <w:r>
        <w:rPr>
          <w:rFonts w:hint="eastAsia" w:cs="宋体"/>
          <w:color w:val="auto"/>
          <w:highlight w:val="none"/>
        </w:rPr>
        <w:t>项目联系人（询问）：</w:t>
      </w:r>
      <w:r>
        <w:rPr>
          <w:rFonts w:hint="eastAsia" w:ascii="宋体" w:hAnsi="宋体" w:cs="宋体"/>
          <w:kern w:val="0"/>
          <w:szCs w:val="21"/>
          <w:u w:val="single"/>
        </w:rPr>
        <w:t>李老师</w:t>
      </w:r>
      <w:r>
        <w:rPr>
          <w:rFonts w:hint="eastAsia" w:cs="宋体"/>
          <w:color w:val="auto"/>
          <w:highlight w:val="none"/>
        </w:rPr>
        <w:t xml:space="preserve"> </w:t>
      </w:r>
    </w:p>
    <w:p>
      <w:pPr>
        <w:pStyle w:val="59"/>
        <w:spacing w:before="75" w:beforeAutospacing="0" w:after="75" w:afterAutospacing="0" w:line="360" w:lineRule="auto"/>
        <w:ind w:firstLine="480" w:firstLineChars="200"/>
        <w:rPr>
          <w:rStyle w:val="961"/>
          <w:rFonts w:hint="eastAsia" w:eastAsia="宋体" w:cs="宋体"/>
          <w:color w:val="auto"/>
          <w:highlight w:val="none"/>
          <w:lang w:eastAsia="zh-CN"/>
        </w:rPr>
      </w:pPr>
      <w:r>
        <w:rPr>
          <w:rFonts w:hint="eastAsia" w:cs="宋体"/>
          <w:color w:val="auto"/>
          <w:highlight w:val="none"/>
        </w:rPr>
        <w:t>项目联系方式（询问）：</w:t>
      </w:r>
      <w:r>
        <w:rPr>
          <w:rFonts w:hint="eastAsia" w:ascii="宋体" w:hAnsi="宋体" w:cs="宋体"/>
          <w:kern w:val="0"/>
          <w:szCs w:val="21"/>
          <w:u w:val="single"/>
        </w:rPr>
        <w:t>0571-88050200</w:t>
      </w:r>
    </w:p>
    <w:p>
      <w:pPr>
        <w:pStyle w:val="59"/>
        <w:spacing w:before="75" w:beforeAutospacing="0" w:after="75" w:afterAutospacing="0" w:line="360" w:lineRule="auto"/>
        <w:ind w:firstLine="480" w:firstLineChars="200"/>
        <w:rPr>
          <w:rStyle w:val="961"/>
          <w:rFonts w:hint="eastAsia" w:eastAsia="宋体" w:cs="宋体"/>
          <w:color w:val="auto"/>
          <w:highlight w:val="none"/>
          <w:lang w:eastAsia="zh-CN"/>
        </w:rPr>
      </w:pPr>
      <w:r>
        <w:rPr>
          <w:rFonts w:hint="eastAsia" w:cs="宋体"/>
          <w:color w:val="auto"/>
          <w:highlight w:val="none"/>
        </w:rPr>
        <w:t>质疑联系人：</w:t>
      </w:r>
      <w:r>
        <w:rPr>
          <w:rFonts w:hint="eastAsia" w:cs="宋体"/>
          <w:color w:val="auto"/>
          <w:highlight w:val="none"/>
          <w:u w:val="single"/>
          <w:lang w:eastAsia="zh-CN"/>
        </w:rPr>
        <w:t>胡</w:t>
      </w:r>
      <w:r>
        <w:rPr>
          <w:rFonts w:hint="eastAsia" w:cs="宋体"/>
          <w:color w:val="auto"/>
          <w:highlight w:val="none"/>
          <w:u w:val="single"/>
          <w:lang w:val="en-US" w:eastAsia="zh-CN"/>
        </w:rPr>
        <w:t>老师</w:t>
      </w:r>
      <w:r>
        <w:rPr>
          <w:rFonts w:hint="eastAsia" w:cs="宋体"/>
          <w:color w:val="auto"/>
          <w:highlight w:val="none"/>
        </w:rPr>
        <w:t xml:space="preserve"> </w:t>
      </w:r>
    </w:p>
    <w:p>
      <w:pPr>
        <w:pStyle w:val="59"/>
        <w:spacing w:before="75" w:beforeAutospacing="0" w:after="75" w:afterAutospacing="0" w:line="360" w:lineRule="auto"/>
        <w:ind w:firstLine="480" w:firstLineChars="200"/>
        <w:rPr>
          <w:rFonts w:hint="eastAsia" w:eastAsia="宋体" w:cs="宋体"/>
          <w:color w:val="FF0000"/>
          <w:highlight w:val="yellow"/>
          <w:lang w:eastAsia="zh-CN"/>
        </w:rPr>
      </w:pPr>
      <w:r>
        <w:rPr>
          <w:rFonts w:hint="eastAsia" w:cs="宋体"/>
          <w:color w:val="auto"/>
          <w:highlight w:val="none"/>
        </w:rPr>
        <w:t>质疑联系方式：</w:t>
      </w:r>
      <w:r>
        <w:rPr>
          <w:rFonts w:hint="eastAsia" w:cs="仿宋_GB2312" w:asciiTheme="minorEastAsia" w:hAnsiTheme="minorEastAsia" w:eastAsiaTheme="minorEastAsia"/>
        </w:rPr>
        <w:t>0571-86790875</w:t>
      </w:r>
    </w:p>
    <w:p>
      <w:pPr>
        <w:spacing w:line="360" w:lineRule="auto"/>
        <w:ind w:firstLine="480" w:firstLineChars="200"/>
        <w:rPr>
          <w:rFonts w:ascii="宋体" w:hAnsi="宋体" w:cs="宋体"/>
          <w:sz w:val="24"/>
        </w:rPr>
      </w:pPr>
      <w:r>
        <w:rPr>
          <w:rFonts w:hint="eastAsia" w:ascii="宋体" w:hAnsi="宋体" w:cs="宋体"/>
          <w:sz w:val="24"/>
        </w:rPr>
        <w:t>2.采购代理机构信息</w:t>
      </w:r>
    </w:p>
    <w:p>
      <w:pPr>
        <w:spacing w:line="360" w:lineRule="auto"/>
        <w:ind w:firstLine="480"/>
        <w:rPr>
          <w:rFonts w:ascii="宋体" w:hAnsi="宋体" w:cs="宋体"/>
          <w:sz w:val="24"/>
        </w:rPr>
      </w:pPr>
      <w:r>
        <w:rPr>
          <w:rFonts w:hint="eastAsia" w:ascii="宋体" w:hAnsi="宋体" w:cs="宋体"/>
          <w:sz w:val="24"/>
        </w:rPr>
        <w:t>名称：浙江信镧建设工程咨询有限公司</w:t>
      </w:r>
    </w:p>
    <w:p>
      <w:pPr>
        <w:pStyle w:val="59"/>
        <w:spacing w:before="75" w:beforeAutospacing="0" w:after="75" w:afterAutospacing="0" w:line="360" w:lineRule="auto"/>
        <w:ind w:firstLine="480" w:firstLineChars="200"/>
        <w:rPr>
          <w:rFonts w:cs="宋体"/>
        </w:rPr>
      </w:pPr>
      <w:r>
        <w:rPr>
          <w:rFonts w:hint="eastAsia" w:cs="宋体"/>
        </w:rPr>
        <w:t>地    址：</w:t>
      </w:r>
      <w:r>
        <w:rPr>
          <w:rStyle w:val="961"/>
          <w:rFonts w:hint="eastAsia" w:cs="宋体"/>
        </w:rPr>
        <w:t>浙江省杭州市西湖区文二路391号西湖国际科技大厦B2楼507室</w:t>
      </w:r>
    </w:p>
    <w:p>
      <w:pPr>
        <w:pStyle w:val="59"/>
        <w:spacing w:before="75" w:beforeAutospacing="0" w:after="75" w:afterAutospacing="0" w:line="360" w:lineRule="auto"/>
        <w:ind w:firstLine="480" w:firstLineChars="200"/>
        <w:rPr>
          <w:rFonts w:cs="宋体"/>
        </w:rPr>
      </w:pPr>
      <w:r>
        <w:rPr>
          <w:rFonts w:hint="eastAsia" w:cs="宋体"/>
        </w:rPr>
        <w:t>传真：</w:t>
      </w:r>
      <w:r>
        <w:rPr>
          <w:rStyle w:val="961"/>
          <w:rFonts w:hint="eastAsia" w:cs="宋体"/>
        </w:rPr>
        <w:t>0571-85024997</w:t>
      </w:r>
    </w:p>
    <w:p>
      <w:pPr>
        <w:pStyle w:val="59"/>
        <w:spacing w:before="75" w:beforeAutospacing="0" w:after="75" w:afterAutospacing="0" w:line="360" w:lineRule="auto"/>
        <w:ind w:firstLine="480" w:firstLineChars="200"/>
        <w:rPr>
          <w:rFonts w:hint="default" w:eastAsia="宋体" w:cs="宋体"/>
          <w:lang w:val="en-US" w:eastAsia="zh-CN"/>
        </w:rPr>
      </w:pPr>
      <w:r>
        <w:rPr>
          <w:rFonts w:hint="eastAsia" w:cs="宋体"/>
        </w:rPr>
        <w:t>项目联系人（询问）：曹威</w:t>
      </w:r>
      <w:r>
        <w:rPr>
          <w:rFonts w:hint="eastAsia" w:cs="宋体"/>
          <w:lang w:eastAsia="zh-CN"/>
        </w:rPr>
        <w:t>、</w:t>
      </w:r>
      <w:r>
        <w:rPr>
          <w:rFonts w:hint="eastAsia" w:cs="宋体"/>
          <w:lang w:val="en-US" w:eastAsia="zh-CN"/>
        </w:rPr>
        <w:t>叶鸣辉</w:t>
      </w:r>
    </w:p>
    <w:p>
      <w:pPr>
        <w:pStyle w:val="59"/>
        <w:spacing w:before="75" w:beforeAutospacing="0" w:after="75" w:afterAutospacing="0" w:line="360" w:lineRule="auto"/>
        <w:ind w:firstLine="480" w:firstLineChars="200"/>
        <w:rPr>
          <w:rFonts w:cs="宋体"/>
        </w:rPr>
      </w:pPr>
      <w:r>
        <w:rPr>
          <w:rFonts w:hint="eastAsia" w:cs="宋体"/>
        </w:rPr>
        <w:t>项目联系方式（询问）：</w:t>
      </w:r>
      <w:r>
        <w:rPr>
          <w:rStyle w:val="961"/>
          <w:rFonts w:hint="eastAsia" w:cs="宋体"/>
        </w:rPr>
        <w:t>0571-87967630</w:t>
      </w:r>
    </w:p>
    <w:p>
      <w:pPr>
        <w:pStyle w:val="59"/>
        <w:spacing w:before="75" w:beforeAutospacing="0" w:after="75" w:afterAutospacing="0" w:line="360" w:lineRule="auto"/>
        <w:ind w:firstLine="480" w:firstLineChars="200"/>
        <w:rPr>
          <w:rFonts w:cs="宋体"/>
        </w:rPr>
      </w:pPr>
      <w:r>
        <w:rPr>
          <w:rFonts w:hint="eastAsia" w:cs="宋体"/>
        </w:rPr>
        <w:t>质疑联系人：</w:t>
      </w:r>
      <w:r>
        <w:rPr>
          <w:rStyle w:val="961"/>
          <w:rFonts w:hint="eastAsia" w:cs="宋体"/>
        </w:rPr>
        <w:t>葛梅兰</w:t>
      </w:r>
    </w:p>
    <w:p>
      <w:pPr>
        <w:pStyle w:val="59"/>
        <w:spacing w:before="75" w:beforeAutospacing="0" w:after="75" w:afterAutospacing="0" w:line="360" w:lineRule="auto"/>
        <w:ind w:firstLine="480" w:firstLineChars="200"/>
        <w:rPr>
          <w:rStyle w:val="961"/>
          <w:rFonts w:cs="宋体"/>
        </w:rPr>
      </w:pPr>
      <w:r>
        <w:rPr>
          <w:rFonts w:hint="eastAsia" w:cs="宋体"/>
        </w:rPr>
        <w:t>质疑联系方式：</w:t>
      </w:r>
      <w:r>
        <w:rPr>
          <w:rStyle w:val="961"/>
          <w:rFonts w:hint="eastAsia" w:cs="宋体"/>
        </w:rPr>
        <w:t>0571-87967630</w:t>
      </w:r>
    </w:p>
    <w:p>
      <w:pPr>
        <w:pStyle w:val="2"/>
        <w:ind w:firstLine="482" w:firstLineChars="200"/>
        <w:rPr>
          <w:rFonts w:hint="eastAsia" w:hAnsi="宋体" w:eastAsia="宋体" w:cs="宋体"/>
          <w:szCs w:val="24"/>
          <w:lang w:eastAsia="zh-CN"/>
        </w:rPr>
      </w:pPr>
      <w:r>
        <w:rPr>
          <w:rFonts w:hint="eastAsia" w:hAnsi="宋体" w:cs="宋体"/>
          <w:b/>
          <w:bCs/>
          <w:szCs w:val="24"/>
        </w:rPr>
        <w:t>投标、中标通知书、合同签订联系人：</w:t>
      </w:r>
      <w:r>
        <w:rPr>
          <w:rFonts w:hint="eastAsia" w:hAnsi="宋体" w:cs="宋体"/>
          <w:szCs w:val="24"/>
          <w:lang w:eastAsia="zh-CN"/>
        </w:rPr>
        <w:t>吕俊峰</w:t>
      </w:r>
    </w:p>
    <w:p>
      <w:pPr>
        <w:pStyle w:val="59"/>
        <w:spacing w:before="75" w:beforeAutospacing="0" w:after="75" w:afterAutospacing="0" w:line="360" w:lineRule="auto"/>
        <w:ind w:firstLine="480" w:firstLineChars="200"/>
        <w:rPr>
          <w:rFonts w:cs="宋体"/>
        </w:rPr>
      </w:pPr>
      <w:r>
        <w:rPr>
          <w:rFonts w:hint="eastAsia" w:cs="宋体"/>
        </w:rPr>
        <w:t>联系电话：0571-87967630</w:t>
      </w:r>
    </w:p>
    <w:p>
      <w:pPr>
        <w:pStyle w:val="59"/>
        <w:spacing w:before="75" w:beforeAutospacing="0" w:after="75" w:afterAutospacing="0" w:line="360" w:lineRule="auto"/>
        <w:ind w:firstLine="482" w:firstLineChars="200"/>
        <w:rPr>
          <w:rFonts w:cs="宋体"/>
          <w:bCs/>
        </w:rPr>
      </w:pPr>
      <w:r>
        <w:rPr>
          <w:rFonts w:hint="eastAsia" w:cs="宋体"/>
          <w:b/>
          <w:bCs/>
        </w:rPr>
        <w:t>财务咨询（采购文件费、发票）联系人：</w:t>
      </w:r>
      <w:r>
        <w:rPr>
          <w:rFonts w:hint="eastAsia" w:cs="宋体"/>
        </w:rPr>
        <w:t>姚</w:t>
      </w:r>
      <w:r>
        <w:rPr>
          <w:rFonts w:hint="eastAsia" w:cs="宋体"/>
          <w:bCs/>
        </w:rPr>
        <w:t>会计</w:t>
      </w:r>
    </w:p>
    <w:p>
      <w:pPr>
        <w:pStyle w:val="59"/>
        <w:spacing w:before="75" w:beforeAutospacing="0" w:after="75" w:afterAutospacing="0" w:line="360" w:lineRule="auto"/>
        <w:ind w:firstLine="480" w:firstLineChars="200"/>
        <w:rPr>
          <w:rFonts w:cs="宋体"/>
        </w:rPr>
      </w:pPr>
      <w:r>
        <w:rPr>
          <w:rFonts w:hint="eastAsia" w:cs="宋体"/>
        </w:rPr>
        <w:t>联系电话：18905813512</w:t>
      </w:r>
    </w:p>
    <w:p>
      <w:pPr>
        <w:pStyle w:val="59"/>
        <w:spacing w:before="75" w:beforeAutospacing="0" w:after="75" w:afterAutospacing="0" w:line="360" w:lineRule="auto"/>
        <w:ind w:firstLine="480" w:firstLineChars="200"/>
        <w:rPr>
          <w:rFonts w:cs="宋体"/>
        </w:rPr>
      </w:pPr>
      <w:r>
        <w:rPr>
          <w:rFonts w:hint="eastAsia" w:cs="宋体"/>
        </w:rPr>
        <w:t>3.同级政府采购监督管理部门</w:t>
      </w:r>
    </w:p>
    <w:p>
      <w:pPr>
        <w:pStyle w:val="59"/>
        <w:spacing w:before="75" w:beforeAutospacing="0" w:after="75" w:afterAutospacing="0" w:line="360" w:lineRule="auto"/>
        <w:ind w:firstLine="480" w:firstLineChars="200"/>
        <w:rPr>
          <w:rFonts w:cs="宋体"/>
        </w:rPr>
      </w:pPr>
      <w:r>
        <w:rPr>
          <w:rFonts w:hint="eastAsia" w:cs="宋体"/>
        </w:rPr>
        <w:t>名    称：</w:t>
      </w:r>
      <w:r>
        <w:rPr>
          <w:rStyle w:val="961"/>
          <w:rFonts w:hint="eastAsia" w:cs="宋体"/>
        </w:rPr>
        <w:t>浙江省财政厅政府采购监管处</w:t>
      </w:r>
    </w:p>
    <w:p>
      <w:pPr>
        <w:pStyle w:val="59"/>
        <w:spacing w:before="75" w:beforeAutospacing="0" w:after="75" w:afterAutospacing="0" w:line="360" w:lineRule="auto"/>
        <w:ind w:firstLine="480" w:firstLineChars="200"/>
        <w:rPr>
          <w:rFonts w:cs="宋体"/>
        </w:rPr>
      </w:pPr>
      <w:r>
        <w:rPr>
          <w:rFonts w:hint="eastAsia" w:cs="宋体"/>
        </w:rPr>
        <w:t>地    址：</w:t>
      </w:r>
      <w:r>
        <w:rPr>
          <w:rStyle w:val="961"/>
          <w:rFonts w:hint="eastAsia" w:cs="宋体"/>
        </w:rPr>
        <w:t>杭州市环城西路37号</w:t>
      </w:r>
    </w:p>
    <w:p>
      <w:pPr>
        <w:pStyle w:val="59"/>
        <w:spacing w:before="75" w:beforeAutospacing="0" w:after="75" w:afterAutospacing="0" w:line="360" w:lineRule="auto"/>
        <w:ind w:firstLine="480" w:firstLineChars="200"/>
        <w:rPr>
          <w:rFonts w:hint="eastAsia" w:eastAsia="宋体" w:cs="宋体"/>
          <w:lang w:eastAsia="zh-CN"/>
        </w:rPr>
      </w:pPr>
      <w:r>
        <w:rPr>
          <w:rFonts w:hint="eastAsia" w:cs="宋体"/>
        </w:rPr>
        <w:t>联系人：</w:t>
      </w:r>
      <w:r>
        <w:rPr>
          <w:rStyle w:val="961"/>
          <w:rFonts w:hint="eastAsia" w:cs="宋体"/>
          <w:lang w:eastAsia="zh-CN"/>
        </w:rPr>
        <w:t>齐鲁、吴聪瑜</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监督投诉电话：</w:t>
      </w:r>
      <w:r>
        <w:rPr>
          <w:rStyle w:val="961"/>
          <w:rFonts w:hint="eastAsia" w:ascii="宋体" w:hAnsi="宋体" w:cs="宋体"/>
          <w:sz w:val="24"/>
          <w:lang w:eastAsia="zh-CN"/>
        </w:rPr>
        <w:t>0571-87057612、87058489</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br w:type="page"/>
      </w:r>
      <w:bookmarkStart w:id="12" w:name="_Toc6635"/>
      <w:r>
        <w:rPr>
          <w:rFonts w:hint="eastAsia" w:ascii="宋体" w:hAnsi="宋体" w:cs="宋体"/>
          <w:b/>
          <w:sz w:val="36"/>
          <w:szCs w:val="20"/>
        </w:rPr>
        <w:t>第二部分</w:t>
      </w:r>
      <w:bookmarkEnd w:id="9"/>
      <w:r>
        <w:rPr>
          <w:rFonts w:hint="eastAsia" w:ascii="宋体" w:hAnsi="宋体" w:cs="宋体"/>
          <w:b/>
          <w:sz w:val="36"/>
          <w:szCs w:val="20"/>
        </w:rPr>
        <w:t xml:space="preserve"> 投标人须知</w:t>
      </w:r>
      <w:bookmarkEnd w:id="10"/>
      <w:bookmarkEnd w:id="12"/>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97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。投标文件中价格全部采用人民币报价。招标文件未列明，而投标人认为必需的费用也需列入报价。</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34759962"/>
                <w:showingPlcHdr/>
              </w:sdtPr>
              <w:sdtEndPr>
                <w:rPr>
                  <w:rFonts w:hint="eastAsia" w:ascii="宋体" w:hAnsi="宋体" w:cs="宋体"/>
                  <w:kern w:val="0"/>
                  <w:sz w:val="24"/>
                </w:rPr>
              </w:sdtEndPr>
              <w:sdtContent/>
            </w:sdt>
            <w:r>
              <w:rPr>
                <w:rFonts w:hint="eastAsia" w:ascii="宋体" w:hAnsi="宋体" w:cs="宋体"/>
                <w:kern w:val="0"/>
                <w:sz w:val="24"/>
              </w:rPr>
              <w:t xml:space="preserve"> </w:t>
            </w:r>
            <w:sdt>
              <w:sdtPr>
                <w:rPr>
                  <w:rFonts w:hint="eastAsia" w:ascii="宋体" w:hAnsi="宋体" w:cs="宋体"/>
                  <w:kern w:val="0"/>
                  <w:sz w:val="24"/>
                </w:rPr>
                <w:id w:val="-1834759962"/>
              </w:sdtPr>
              <w:sdtEndPr>
                <w:rPr>
                  <w:rFonts w:hint="eastAsia" w:ascii="宋体" w:hAnsi="宋体" w:cs="宋体"/>
                  <w:kern w:val="0"/>
                  <w:sz w:val="24"/>
                </w:rPr>
              </w:sdtEndPr>
              <w:sdtContent>
                <w:r>
                  <w:rPr>
                    <w:rFonts w:hint="eastAsia" w:ascii="宋体" w:hAnsi="宋体" w:cs="宋体"/>
                    <w:kern w:val="0"/>
                    <w:sz w:val="24"/>
                  </w:rPr>
                  <w:sym w:font="Wingdings" w:char="00A8"/>
                </w:r>
                <w:sdt>
                  <w:sdtPr>
                    <w:rPr>
                      <w:rFonts w:hint="eastAsia" w:ascii="宋体" w:hAnsi="宋体" w:cs="宋体"/>
                      <w:kern w:val="0"/>
                      <w:sz w:val="24"/>
                    </w:rPr>
                    <w:id w:val="2064821333"/>
                    <w:showingPlcHdr/>
                  </w:sdtPr>
                  <w:sdtEndPr>
                    <w:rPr>
                      <w:rFonts w:hint="eastAsia" w:ascii="宋体" w:hAnsi="宋体" w:cs="宋体"/>
                      <w:kern w:val="0"/>
                      <w:sz w:val="24"/>
                    </w:rPr>
                  </w:sdtEndPr>
                  <w:sdtContent/>
                </w:sdt>
              </w:sdtContent>
            </w:sdt>
            <w:r>
              <w:rPr>
                <w:rFonts w:hint="eastAsia" w:ascii="宋体" w:hAnsi="宋体" w:cs="宋体"/>
                <w:kern w:val="0"/>
                <w:sz w:val="24"/>
              </w:rPr>
              <w:t>A</w:t>
            </w:r>
            <w:r>
              <w:rPr>
                <w:rFonts w:hint="eastAsia" w:ascii="宋体" w:hAnsi="宋体" w:cs="宋体"/>
                <w:sz w:val="24"/>
              </w:rPr>
              <w:t>同意将非主体、非关键性的工作分包。</w:t>
            </w:r>
            <w:r>
              <w:rPr>
                <w:rFonts w:hint="eastAsia" w:ascii="宋体" w:hAnsi="宋体" w:cs="宋体"/>
                <w:kern w:val="0"/>
                <w:sz w:val="24"/>
              </w:rPr>
              <w:sym w:font="Wingdings" w:char="00FE"/>
            </w:r>
            <w:sdt>
              <w:sdtPr>
                <w:rPr>
                  <w:rFonts w:hint="eastAsia" w:ascii="宋体" w:hAnsi="宋体" w:cs="宋体"/>
                  <w:kern w:val="0"/>
                  <w:sz w:val="24"/>
                </w:rPr>
                <w:id w:val="2064821333"/>
                <w:showingPlcHdr/>
              </w:sdtPr>
              <w:sdtEndPr>
                <w:rPr>
                  <w:rFonts w:hint="eastAsia" w:ascii="宋体" w:hAnsi="宋体" w:cs="宋体"/>
                  <w:kern w:val="0"/>
                  <w:sz w:val="24"/>
                </w:rPr>
              </w:sdtEndPr>
              <w:sdtContent/>
            </w:sdt>
            <w:r>
              <w:rPr>
                <w:rFonts w:hint="eastAsia"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szCs w:val="20"/>
              </w:rPr>
            </w:pPr>
            <w:r>
              <w:rPr>
                <w:rFonts w:hint="eastAsia" w:ascii="宋体" w:hAnsi="宋体" w:cs="宋体"/>
              </w:rPr>
              <w:t>√不集中组织，为了供应商更好地了解项目需求，本项目要求供应商自行前往现场踏勘，要求供应商参加现场踏勘，请各供应商自行考虑各项费用并综合报价，一旦中标，则不增加任何费用；各供应商现场踏勘所发生的所有费用自理，未按要求参加现场踏勘的单位自行承担后果。（去现场踏勘时请</w:t>
            </w:r>
            <w:r>
              <w:rPr>
                <w:rFonts w:hint="eastAsia" w:ascii="宋体" w:hAnsi="宋体" w:cs="宋体"/>
                <w:lang w:val="en-US" w:eastAsia="zh-CN"/>
              </w:rPr>
              <w:t>提前</w:t>
            </w:r>
            <w:r>
              <w:rPr>
                <w:rFonts w:hint="eastAsia" w:ascii="宋体" w:hAnsi="宋体" w:cs="宋体"/>
              </w:rPr>
              <w:t xml:space="preserve">联系采购人） </w:t>
            </w:r>
            <w:r>
              <w:rPr>
                <w:rFonts w:hint="eastAsia" w:ascii="宋体" w:hAnsi="宋体" w:cs="宋体"/>
                <w:color w:val="auto"/>
                <w:szCs w:val="24"/>
                <w:highlight w:val="none"/>
              </w:rPr>
              <w:t>踏勘时间：周一至周五</w:t>
            </w:r>
            <w:r>
              <w:rPr>
                <w:rFonts w:hint="eastAsia" w:ascii="宋体" w:hAnsi="宋体" w:cs="宋体"/>
                <w:color w:val="auto"/>
                <w:szCs w:val="24"/>
                <w:highlight w:val="none"/>
                <w:lang w:eastAsia="zh-CN"/>
              </w:rPr>
              <w:t>（</w:t>
            </w:r>
            <w:r>
              <w:rPr>
                <w:rFonts w:hint="eastAsia" w:ascii="宋体" w:hAnsi="宋体" w:cs="宋体"/>
                <w:color w:val="auto"/>
                <w:szCs w:val="24"/>
                <w:highlight w:val="none"/>
                <w:lang w:val="en-US" w:eastAsia="zh-CN"/>
              </w:rPr>
              <w:t>工作日</w:t>
            </w:r>
            <w:r>
              <w:rPr>
                <w:rFonts w:hint="eastAsia" w:ascii="宋体" w:hAnsi="宋体" w:cs="宋体"/>
                <w:color w:val="auto"/>
                <w:szCs w:val="24"/>
                <w:highlight w:val="none"/>
                <w:lang w:eastAsia="zh-CN"/>
              </w:rPr>
              <w:t>）</w:t>
            </w:r>
            <w:r>
              <w:rPr>
                <w:rFonts w:hint="eastAsia" w:ascii="宋体" w:hAnsi="宋体" w:cs="宋体"/>
                <w:color w:val="auto"/>
                <w:szCs w:val="24"/>
                <w:highlight w:val="none"/>
              </w:rPr>
              <w:t xml:space="preserve"> 09:00-11：00；14:30-16:00 </w:t>
            </w:r>
            <w:r>
              <w:rPr>
                <w:rFonts w:hint="eastAsia" w:ascii="宋体" w:hAnsi="宋体" w:cs="宋体"/>
                <w:color w:val="auto"/>
                <w:highlight w:val="none"/>
              </w:rPr>
              <w:t>地点：</w:t>
            </w:r>
            <w:r>
              <w:rPr>
                <w:rFonts w:hint="eastAsia" w:ascii="宋体" w:hAnsi="宋体" w:cs="宋体"/>
                <w:color w:val="auto"/>
                <w:highlight w:val="none"/>
                <w:lang w:eastAsia="zh-CN"/>
              </w:rPr>
              <w:t xml:space="preserve">浙江省杭州市滨江区滨盛路2828号 </w:t>
            </w:r>
            <w:r>
              <w:rPr>
                <w:rFonts w:hint="eastAsia" w:ascii="宋体" w:hAnsi="宋体" w:cs="宋体"/>
                <w:color w:val="auto"/>
                <w:highlight w:val="none"/>
              </w:rPr>
              <w:t>联系人：</w:t>
            </w:r>
            <w:r>
              <w:rPr>
                <w:rFonts w:hint="eastAsia" w:ascii="宋体" w:hAnsi="宋体" w:eastAsia="宋体" w:cs="宋体"/>
                <w:color w:val="auto"/>
                <w:highlight w:val="none"/>
                <w:lang w:val="en-US" w:eastAsia="zh-CN"/>
              </w:rPr>
              <w:t>李老师</w:t>
            </w:r>
            <w:r>
              <w:rPr>
                <w:rFonts w:hint="eastAsia" w:ascii="宋体" w:hAnsi="宋体" w:cs="宋体"/>
                <w:color w:val="auto"/>
                <w:highlight w:val="none"/>
                <w:lang w:eastAsia="zh-CN"/>
              </w:rPr>
              <w:t xml:space="preserve">  </w:t>
            </w:r>
            <w:r>
              <w:rPr>
                <w:rFonts w:hint="eastAsia" w:ascii="宋体" w:hAnsi="宋体" w:cs="宋体"/>
                <w:color w:val="auto"/>
                <w:highlight w:val="none"/>
              </w:rPr>
              <w:t>联系电话：</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0571-88050200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474885559"/>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C</w:t>
            </w: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83"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sdtPr>
              <w:sdtEndPr>
                <w:rPr>
                  <w:rFonts w:hint="eastAsia" w:ascii="宋体" w:hAnsi="宋体" w:cs="宋体"/>
                  <w:kern w:val="0"/>
                  <w:sz w:val="24"/>
                </w:rPr>
              </w:sdtEndPr>
              <w:sdtContent>
                <w:sdt>
                  <w:sdtPr>
                    <w:rPr>
                      <w:rFonts w:hint="eastAsia" w:ascii="宋体" w:hAnsi="宋体" w:cs="宋体"/>
                      <w:kern w:val="0"/>
                      <w:sz w:val="24"/>
                    </w:rPr>
                    <w:id w:val="-418256748"/>
                  </w:sdtPr>
                  <w:sdtEndPr>
                    <w:rPr>
                      <w:rFonts w:hint="eastAsia" w:ascii="宋体" w:hAnsi="宋体" w:cs="宋体"/>
                      <w:kern w:val="0"/>
                      <w:sz w:val="24"/>
                    </w:rPr>
                  </w:sdtEndPr>
                  <w:sdtContent>
                    <w:r>
                      <w:rPr>
                        <w:rFonts w:hint="eastAsia" w:ascii="宋体" w:hAnsi="宋体" w:cs="宋体"/>
                        <w:kern w:val="0"/>
                        <w:sz w:val="24"/>
                      </w:rPr>
                      <w:sym w:font="Wingdings" w:char="00FE"/>
                    </w:r>
                  </w:sdtContent>
                </w:sdt>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349569338"/>
              </w:sdtPr>
              <w:sdtEndPr>
                <w:rPr>
                  <w:rFonts w:hint="eastAsia" w:ascii="宋体" w:hAnsi="宋体" w:cs="宋体"/>
                  <w:kern w:val="0"/>
                  <w:sz w:val="24"/>
                </w:rPr>
              </w:sdtEndPr>
              <w:sdtContent>
                <w:r>
                  <w:rPr>
                    <w:rFonts w:hint="eastAsia" w:ascii="宋体" w:hAnsi="宋体" w:cs="宋体"/>
                    <w:kern w:val="0"/>
                    <w:sz w:val="24"/>
                  </w:rPr>
                  <w:sym w:font="Wingdings" w:char="00A8"/>
                </w:r>
              </w:sdtContent>
            </w:sdt>
            <w:r>
              <w:rPr>
                <w:rFonts w:hint="eastAsia" w:ascii="宋体" w:hAnsi="宋体" w:cs="宋体"/>
                <w:kern w:val="0"/>
                <w:sz w:val="24"/>
              </w:rPr>
              <w:t xml:space="preserve"> B组织。</w:t>
            </w:r>
          </w:p>
          <w:p>
            <w:pPr>
              <w:snapToGrid w:val="0"/>
              <w:spacing w:line="360" w:lineRule="auto"/>
              <w:rPr>
                <w:rFonts w:ascii="宋体" w:hAnsi="宋体" w:cs="宋体"/>
                <w:b/>
                <w:kern w:val="0"/>
                <w:sz w:val="24"/>
                <w:lang w:val="zh-CN"/>
              </w:rPr>
            </w:pPr>
            <w:r>
              <w:rPr>
                <w:rFonts w:hint="eastAsia" w:ascii="宋体" w:hAnsi="宋体" w:cs="宋体"/>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ind w:firstLine="240" w:firstLineChars="100"/>
              <w:rPr>
                <w:rFonts w:ascii="宋体" w:hAnsi="宋体" w:cs="宋体"/>
                <w:sz w:val="24"/>
              </w:rPr>
            </w:pPr>
            <w:r>
              <w:rPr>
                <w:rFonts w:hint="eastAsia" w:ascii="宋体" w:hAnsi="宋体" w:cs="宋体"/>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标的：</w:t>
            </w:r>
            <w:r>
              <w:rPr>
                <w:rFonts w:hint="eastAsia" w:ascii="宋体" w:hAnsi="宋体" w:cs="宋体"/>
                <w:sz w:val="24"/>
                <w:u w:val="single"/>
                <w:shd w:val="clear" w:color="auto" w:fill="FFFFFF"/>
                <w:lang w:eastAsia="zh-CN"/>
              </w:rPr>
              <w:t>物业服务项目</w:t>
            </w:r>
            <w:r>
              <w:rPr>
                <w:rFonts w:hint="eastAsia" w:ascii="宋体" w:hAnsi="宋体" w:cs="宋体"/>
                <w:kern w:val="0"/>
                <w:sz w:val="24"/>
              </w:rPr>
              <w:t>，属于</w:t>
            </w:r>
            <w:r>
              <w:rPr>
                <w:rFonts w:hint="eastAsia" w:ascii="宋体" w:hAnsi="宋体" w:cs="宋体"/>
                <w:kern w:val="0"/>
                <w:sz w:val="24"/>
                <w:u w:val="single"/>
                <w:lang w:val="en-US" w:eastAsia="zh-CN"/>
              </w:rPr>
              <w:t>物业</w:t>
            </w:r>
            <w:r>
              <w:rPr>
                <w:rFonts w:hint="eastAsia" w:ascii="宋体" w:hAnsi="宋体" w:cs="宋体"/>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rPr>
            </w:pPr>
          </w:p>
          <w:p>
            <w:pPr>
              <w:snapToGrid w:val="0"/>
              <w:spacing w:line="360" w:lineRule="auto"/>
              <w:jc w:val="center"/>
              <w:rPr>
                <w:rFonts w:ascii="宋体" w:hAnsi="宋体" w:cs="宋体"/>
              </w:rPr>
            </w:pPr>
          </w:p>
          <w:p>
            <w:pPr>
              <w:pStyle w:val="2"/>
              <w:rPr>
                <w:rFonts w:hAnsi="宋体" w:cs="宋体"/>
              </w:rPr>
            </w:pPr>
          </w:p>
          <w:p>
            <w:pPr>
              <w:pStyle w:val="2"/>
              <w:rPr>
                <w:rFonts w:hAnsi="宋体" w:cs="宋体"/>
              </w:rPr>
            </w:pPr>
          </w:p>
          <w:p>
            <w:pPr>
              <w:pStyle w:val="2"/>
              <w:rPr>
                <w:rFonts w:hAnsi="宋体" w:cs="宋体"/>
              </w:rPr>
            </w:pPr>
          </w:p>
          <w:p>
            <w:pPr>
              <w:pStyle w:val="2"/>
              <w:ind w:firstLine="240" w:firstLineChars="100"/>
              <w:rPr>
                <w:rFonts w:hAnsi="宋体" w:cs="宋体"/>
                <w:lang w:val="en-US"/>
              </w:rPr>
            </w:pPr>
            <w:r>
              <w:rPr>
                <w:rFonts w:hint="eastAsia" w:hAnsi="宋体" w:cs="宋体"/>
                <w:lang w:val="en-US"/>
              </w:rPr>
              <w:t>8</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ascii="宋体" w:hAnsi="宋体" w:cs="宋体"/>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宋体" w:hAnsi="宋体" w:cs="宋体"/>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ind w:firstLine="480" w:firstLineChars="200"/>
              <w:rPr>
                <w:rFonts w:hAnsi="宋体" w:cs="宋体"/>
                <w:kern w:val="28"/>
              </w:rPr>
            </w:pPr>
            <w:r>
              <w:rPr>
                <w:rFonts w:hint="eastAsia" w:hAnsi="宋体" w:cs="宋体"/>
                <w:kern w:val="28"/>
                <w:szCs w:val="24"/>
              </w:rPr>
              <w:t>备份投标文件送达地点：</w:t>
            </w:r>
            <w:r>
              <w:rPr>
                <w:rStyle w:val="961"/>
                <w:rFonts w:hint="eastAsia" w:hAnsi="宋体" w:cs="宋体"/>
                <w:szCs w:val="24"/>
                <w:u w:val="single"/>
              </w:rPr>
              <w:t>浙江省杭州市西湖区文二路391号西湖国际科技大厦B2楼507室</w:t>
            </w:r>
            <w:r>
              <w:rPr>
                <w:rFonts w:hint="eastAsia" w:hAnsi="宋体" w:cs="宋体"/>
                <w:kern w:val="28"/>
                <w:szCs w:val="24"/>
              </w:rPr>
              <w:t>；备份投标文件签收人员</w:t>
            </w:r>
            <w:r>
              <w:rPr>
                <w:rFonts w:hint="eastAsia" w:hAnsi="宋体" w:cs="宋体"/>
                <w:szCs w:val="24"/>
                <w:u w:val="single"/>
                <w:lang w:eastAsia="zh-CN"/>
              </w:rPr>
              <w:t>吕俊峰</w:t>
            </w:r>
            <w:r>
              <w:rPr>
                <w:rFonts w:hint="eastAsia" w:hAnsi="宋体" w:cs="宋体"/>
                <w:szCs w:val="24"/>
              </w:rPr>
              <w:t>；联系电话：</w:t>
            </w:r>
            <w:r>
              <w:rPr>
                <w:rFonts w:hint="eastAsia" w:hAnsi="宋体" w:cs="宋体"/>
                <w:szCs w:val="24"/>
                <w:u w:val="single"/>
              </w:rPr>
              <w:t>0571-87967630</w:t>
            </w:r>
            <w:r>
              <w:rPr>
                <w:rFonts w:hint="eastAsia" w:hAnsi="宋体" w:cs="宋体"/>
                <w:szCs w:val="24"/>
              </w:rPr>
              <w:t>。</w:t>
            </w:r>
            <w:r>
              <w:rPr>
                <w:rFonts w:hint="eastAsia" w:hAnsi="宋体" w:cs="宋体"/>
                <w:b/>
                <w:szCs w:val="24"/>
              </w:rPr>
              <w:t>采购人、采购</w:t>
            </w:r>
            <w:r>
              <w:rPr>
                <w:rFonts w:hint="eastAsia" w:hAnsi="宋体" w:cs="宋体"/>
                <w:b/>
                <w:szCs w:val="24"/>
                <w:lang w:val="en-US"/>
              </w:rPr>
              <w:t>代理</w:t>
            </w:r>
            <w:r>
              <w:rPr>
                <w:rFonts w:hint="eastAsia" w:hAnsi="宋体" w:cs="宋体"/>
                <w:b/>
                <w:szCs w:val="24"/>
              </w:rPr>
              <w:t>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rPr>
            </w:pPr>
          </w:p>
          <w:p>
            <w:pPr>
              <w:pStyle w:val="2"/>
              <w:rPr>
                <w:rFonts w:hAnsi="宋体" w:cs="宋体"/>
                <w:lang w:val="en-US"/>
              </w:rPr>
            </w:pPr>
          </w:p>
          <w:p>
            <w:pPr>
              <w:pStyle w:val="4"/>
              <w:rPr>
                <w:rFonts w:ascii="宋体" w:hAnsi="宋体" w:cs="宋体"/>
              </w:rPr>
            </w:pPr>
          </w:p>
          <w:p>
            <w:pPr>
              <w:rPr>
                <w:rFonts w:ascii="宋体" w:hAnsi="宋体" w:cs="宋体"/>
              </w:rPr>
            </w:pPr>
          </w:p>
          <w:p>
            <w:pPr>
              <w:pStyle w:val="2"/>
              <w:rPr>
                <w:rFonts w:hAnsi="宋体" w:cs="宋体"/>
                <w:lang w:val="en-US"/>
              </w:rPr>
            </w:pPr>
          </w:p>
          <w:p>
            <w:pPr>
              <w:pStyle w:val="4"/>
              <w:rPr>
                <w:rFonts w:ascii="宋体" w:hAnsi="宋体" w:cs="宋体"/>
              </w:rPr>
            </w:pPr>
          </w:p>
          <w:p>
            <w:pPr>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p>
            <w:pPr>
              <w:pStyle w:val="2"/>
              <w:rPr>
                <w:rFonts w:hAnsi="宋体" w:cs="宋体"/>
                <w:lang w:val="en-US"/>
              </w:rPr>
            </w:pPr>
          </w:p>
          <w:p>
            <w:pPr>
              <w:pStyle w:val="4"/>
              <w:rPr>
                <w:rFonts w:ascii="宋体" w:hAnsi="宋体" w:cs="宋体"/>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before="24" w:beforeLines="10" w:line="340" w:lineRule="atLeast"/>
              <w:jc w:val="left"/>
              <w:rPr>
                <w:rFonts w:ascii="宋体" w:hAnsi="宋体" w:cs="宋体"/>
                <w:kern w:val="0"/>
                <w:sz w:val="24"/>
              </w:rPr>
            </w:pPr>
            <w:r>
              <w:rPr>
                <w:rFonts w:hint="eastAsia" w:ascii="宋体" w:hAnsi="宋体" w:cs="宋体"/>
                <w:b/>
                <w:bCs/>
                <w:kern w:val="0"/>
                <w:sz w:val="24"/>
              </w:rPr>
              <w:t>招标代理服务费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20"/>
              <w:rPr>
                <w:rFonts w:ascii="宋体" w:hAnsi="宋体" w:cs="宋体"/>
                <w:kern w:val="0"/>
                <w:sz w:val="24"/>
              </w:rPr>
            </w:pPr>
            <w:r>
              <w:rPr>
                <w:rFonts w:hint="eastAsia" w:ascii="宋体" w:hAnsi="宋体" w:cs="宋体"/>
                <w:kern w:val="0"/>
                <w:sz w:val="24"/>
              </w:rPr>
              <w:t>本项目的采购代理服务费为：</w:t>
            </w:r>
          </w:p>
          <w:p>
            <w:pPr>
              <w:spacing w:line="360" w:lineRule="auto"/>
              <w:ind w:firstLine="420"/>
              <w:rPr>
                <w:rFonts w:ascii="宋体" w:hAnsi="宋体" w:cs="宋体"/>
                <w:kern w:val="0"/>
                <w:sz w:val="24"/>
              </w:rPr>
            </w:pPr>
            <w:r>
              <w:rPr>
                <w:rFonts w:hint="eastAsia" w:ascii="宋体" w:hAnsi="宋体" w:cs="宋体"/>
                <w:kern w:val="0"/>
                <w:sz w:val="24"/>
              </w:rPr>
              <w:t>（1）采购代理服务收费采用差额定率累进计费方式，以成交金额为计算基数。</w:t>
            </w:r>
          </w:p>
          <w:p>
            <w:pPr>
              <w:spacing w:line="360" w:lineRule="auto"/>
              <w:ind w:firstLine="420"/>
              <w:rPr>
                <w:rFonts w:ascii="宋体" w:hAnsi="宋体" w:cs="宋体"/>
                <w:kern w:val="0"/>
                <w:sz w:val="24"/>
              </w:rPr>
            </w:pPr>
            <w:r>
              <w:rPr>
                <w:rFonts w:hint="eastAsia" w:ascii="宋体" w:hAnsi="宋体" w:cs="宋体"/>
                <w:kern w:val="0"/>
                <w:sz w:val="24"/>
              </w:rPr>
              <w:t>（2）各区段具体收费标准如下：</w:t>
            </w:r>
          </w:p>
          <w:p>
            <w:pPr>
              <w:spacing w:line="360" w:lineRule="auto"/>
              <w:ind w:firstLine="420"/>
              <w:rPr>
                <w:rFonts w:ascii="宋体" w:hAnsi="宋体" w:cs="宋体"/>
                <w:kern w:val="0"/>
                <w:sz w:val="24"/>
              </w:rPr>
            </w:pPr>
            <w:r>
              <w:rPr>
                <w:rFonts w:hint="eastAsia" w:ascii="宋体" w:hAnsi="宋体" w:cs="宋体"/>
                <w:kern w:val="0"/>
                <w:sz w:val="24"/>
              </w:rPr>
              <w:t>成交金额              费率</w:t>
            </w:r>
          </w:p>
          <w:p>
            <w:pPr>
              <w:spacing w:line="360" w:lineRule="auto"/>
              <w:ind w:firstLine="420"/>
              <w:rPr>
                <w:rFonts w:ascii="宋体" w:hAnsi="宋体" w:cs="宋体"/>
                <w:kern w:val="0"/>
                <w:sz w:val="24"/>
              </w:rPr>
            </w:pPr>
            <w:r>
              <w:rPr>
                <w:rFonts w:hint="eastAsia" w:ascii="宋体" w:hAnsi="宋体" w:cs="宋体"/>
                <w:kern w:val="0"/>
                <w:sz w:val="24"/>
              </w:rPr>
              <w:t>100万元以下         1.</w:t>
            </w:r>
            <w:r>
              <w:rPr>
                <w:rFonts w:hint="eastAsia" w:ascii="宋体" w:hAnsi="宋体" w:cs="宋体"/>
                <w:kern w:val="0"/>
                <w:sz w:val="24"/>
                <w:lang w:val="en-US" w:eastAsia="zh-CN"/>
              </w:rPr>
              <w:t>05</w:t>
            </w:r>
            <w:r>
              <w:rPr>
                <w:rFonts w:hint="eastAsia" w:ascii="宋体" w:hAnsi="宋体" w:cs="宋体"/>
                <w:kern w:val="0"/>
                <w:sz w:val="24"/>
              </w:rPr>
              <w:t>%</w:t>
            </w:r>
          </w:p>
          <w:p>
            <w:pPr>
              <w:spacing w:line="360" w:lineRule="auto"/>
              <w:ind w:firstLine="420"/>
              <w:rPr>
                <w:rFonts w:ascii="宋体" w:hAnsi="宋体" w:cs="宋体"/>
                <w:kern w:val="0"/>
                <w:sz w:val="24"/>
              </w:rPr>
            </w:pPr>
            <w:r>
              <w:rPr>
                <w:rFonts w:hint="eastAsia" w:ascii="宋体" w:hAnsi="宋体" w:cs="宋体"/>
                <w:kern w:val="0"/>
                <w:sz w:val="24"/>
              </w:rPr>
              <w:t>100-500万元         0.</w:t>
            </w:r>
            <w:r>
              <w:rPr>
                <w:rFonts w:hint="eastAsia" w:ascii="宋体" w:hAnsi="宋体" w:cs="宋体"/>
                <w:kern w:val="0"/>
                <w:sz w:val="24"/>
                <w:lang w:val="en-US" w:eastAsia="zh-CN"/>
              </w:rPr>
              <w:t>56</w:t>
            </w:r>
            <w:r>
              <w:rPr>
                <w:rFonts w:hint="eastAsia" w:ascii="宋体" w:hAnsi="宋体" w:cs="宋体"/>
                <w:kern w:val="0"/>
                <w:sz w:val="24"/>
              </w:rPr>
              <w:t>%</w:t>
            </w:r>
          </w:p>
          <w:p>
            <w:pPr>
              <w:spacing w:line="360" w:lineRule="auto"/>
              <w:ind w:firstLine="420"/>
              <w:rPr>
                <w:rFonts w:ascii="宋体" w:hAnsi="宋体" w:cs="宋体"/>
                <w:kern w:val="0"/>
                <w:sz w:val="24"/>
              </w:rPr>
            </w:pPr>
            <w:r>
              <w:rPr>
                <w:rFonts w:hint="eastAsia" w:ascii="宋体" w:hAnsi="宋体" w:cs="宋体"/>
                <w:kern w:val="0"/>
                <w:sz w:val="24"/>
              </w:rPr>
              <w:t>备注：本项费用在报价表中不单列报价子项，由供应商自行在企业运营成本等或各单价中列支。由成交人在领取成交通知书时一次性向采购代理机构付清。</w:t>
            </w:r>
          </w:p>
          <w:p>
            <w:pPr>
              <w:spacing w:line="360" w:lineRule="auto"/>
              <w:ind w:firstLine="420"/>
              <w:rPr>
                <w:rFonts w:ascii="宋体" w:hAnsi="宋体" w:cs="宋体"/>
                <w:sz w:val="24"/>
              </w:rPr>
            </w:pPr>
            <w:r>
              <w:rPr>
                <w:rFonts w:hint="eastAsia" w:ascii="宋体" w:hAnsi="宋体" w:cs="宋体"/>
                <w:kern w:val="0"/>
                <w:sz w:val="24"/>
              </w:rPr>
              <w:t>收款</w:t>
            </w:r>
            <w:r>
              <w:rPr>
                <w:rFonts w:hint="eastAsia" w:ascii="宋体" w:hAnsi="宋体" w:cs="宋体"/>
                <w:sz w:val="24"/>
              </w:rPr>
              <w:t>账号：</w:t>
            </w:r>
          </w:p>
          <w:p>
            <w:pPr>
              <w:spacing w:line="360" w:lineRule="auto"/>
              <w:ind w:firstLine="420"/>
              <w:rPr>
                <w:rFonts w:ascii="宋体" w:hAnsi="宋体" w:cs="宋体"/>
                <w:kern w:val="0"/>
                <w:sz w:val="24"/>
              </w:rPr>
            </w:pPr>
            <w:r>
              <w:rPr>
                <w:rFonts w:hint="eastAsia" w:ascii="宋体" w:hAnsi="宋体" w:cs="宋体"/>
                <w:kern w:val="0"/>
                <w:sz w:val="24"/>
              </w:rPr>
              <w:t>收款单位（户名）：浙江信镧建设工程咨询有限公司</w:t>
            </w:r>
          </w:p>
          <w:p>
            <w:pPr>
              <w:spacing w:line="360" w:lineRule="auto"/>
              <w:ind w:firstLine="420"/>
              <w:rPr>
                <w:rFonts w:ascii="宋体" w:hAnsi="宋体" w:cs="宋体"/>
                <w:kern w:val="0"/>
                <w:sz w:val="24"/>
              </w:rPr>
            </w:pPr>
            <w:r>
              <w:rPr>
                <w:rFonts w:hint="eastAsia" w:ascii="宋体" w:hAnsi="宋体" w:cs="宋体"/>
                <w:kern w:val="0"/>
                <w:sz w:val="24"/>
              </w:rPr>
              <w:t>开户银行：交通银行杭州华浙广场支行</w:t>
            </w:r>
          </w:p>
          <w:p>
            <w:pPr>
              <w:ind w:firstLine="420"/>
              <w:rPr>
                <w:rFonts w:ascii="宋体" w:hAnsi="宋体" w:cs="宋体"/>
                <w:sz w:val="24"/>
              </w:rPr>
            </w:pPr>
            <w:r>
              <w:rPr>
                <w:rFonts w:hint="eastAsia" w:ascii="宋体" w:hAnsi="宋体" w:cs="宋体"/>
                <w:kern w:val="0"/>
                <w:sz w:val="24"/>
              </w:rPr>
              <w:t>银行账号：331066090018170036304</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color w:val="000000" w:themeColor="text1"/>
                <w:sz w:val="24"/>
                <w14:textFill>
                  <w14:solidFill>
                    <w14:schemeClr w14:val="tx1"/>
                  </w14:solidFill>
                </w14:textFill>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rPr>
            </w:pPr>
            <w:r>
              <w:rPr>
                <w:rFonts w:hint="eastAsia" w:ascii="宋体" w:hAnsi="宋体" w:cs="宋体"/>
                <w:sz w:val="24"/>
              </w:rPr>
              <w:t>中标供应商在合同签订时须提供投标文件的纸质版正副本各一份</w:t>
            </w:r>
            <w:r>
              <w:rPr>
                <w:rFonts w:hint="eastAsia" w:ascii="宋体" w:hAnsi="宋体" w:cs="宋体"/>
                <w:b/>
                <w:kern w:val="0"/>
                <w:sz w:val="24"/>
              </w:rPr>
              <w:t>。</w:t>
            </w:r>
          </w:p>
        </w:tc>
      </w:tr>
    </w:tbl>
    <w:p>
      <w:pPr>
        <w:snapToGrid w:val="0"/>
        <w:spacing w:line="360" w:lineRule="auto"/>
        <w:jc w:val="center"/>
        <w:rPr>
          <w:rFonts w:ascii="宋体" w:hAnsi="宋体" w:cs="宋体"/>
          <w:b/>
          <w:sz w:val="32"/>
          <w:szCs w:val="20"/>
        </w:rPr>
      </w:pPr>
    </w:p>
    <w:bookmarkEnd w:id="11"/>
    <w:p>
      <w:pPr>
        <w:rPr>
          <w:rFonts w:ascii="宋体" w:hAnsi="宋体" w:cs="宋体"/>
          <w:b/>
          <w:sz w:val="32"/>
          <w:szCs w:val="20"/>
        </w:rPr>
      </w:pPr>
      <w:bookmarkStart w:id="13" w:name="_Toc164416483"/>
      <w:bookmarkStart w:id="14" w:name="第三部分"/>
      <w:r>
        <w:rPr>
          <w:rFonts w:hint="eastAsia" w:ascii="宋体" w:hAnsi="宋体" w:cs="宋体"/>
          <w:b/>
          <w:sz w:val="32"/>
          <w:szCs w:val="20"/>
        </w:rPr>
        <w:br w:type="page"/>
      </w:r>
    </w:p>
    <w:p>
      <w:pPr>
        <w:adjustRightInd/>
        <w:spacing w:line="360" w:lineRule="auto"/>
        <w:ind w:firstLine="3845" w:firstLineChars="1197"/>
        <w:outlineLvl w:val="0"/>
        <w:rPr>
          <w:rFonts w:ascii="宋体" w:hAnsi="宋体" w:cs="宋体"/>
          <w:b/>
          <w:sz w:val="32"/>
          <w:szCs w:val="20"/>
        </w:rPr>
      </w:pPr>
      <w:bookmarkStart w:id="15" w:name="_Toc364"/>
      <w:r>
        <w:rPr>
          <w:rFonts w:hint="eastAsia" w:ascii="宋体" w:hAnsi="宋体" w:cs="宋体"/>
          <w:b/>
          <w:sz w:val="32"/>
          <w:szCs w:val="20"/>
        </w:rPr>
        <w:t>一、总则</w:t>
      </w:r>
      <w:bookmarkEnd w:id="15"/>
    </w:p>
    <w:p>
      <w:pPr>
        <w:snapToGrid w:val="0"/>
        <w:spacing w:line="360" w:lineRule="auto"/>
        <w:jc w:val="left"/>
        <w:outlineLvl w:val="1"/>
        <w:rPr>
          <w:rFonts w:ascii="宋体" w:hAnsi="宋体" w:cs="宋体"/>
          <w:b/>
          <w:sz w:val="24"/>
        </w:rPr>
      </w:pPr>
      <w:bookmarkStart w:id="16" w:name="_Toc18470"/>
      <w:r>
        <w:rPr>
          <w:rFonts w:hint="eastAsia" w:ascii="宋体" w:hAnsi="宋体" w:cs="宋体"/>
          <w:b/>
          <w:sz w:val="24"/>
        </w:rPr>
        <w:t>1. 适用范围</w:t>
      </w:r>
      <w:bookmarkEnd w:id="16"/>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snapToGrid w:val="0"/>
        <w:spacing w:line="360" w:lineRule="auto"/>
        <w:jc w:val="left"/>
        <w:rPr>
          <w:rFonts w:ascii="宋体" w:hAnsi="宋体" w:cs="宋体"/>
          <w:b/>
          <w:sz w:val="24"/>
        </w:rPr>
      </w:pPr>
      <w:r>
        <w:rPr>
          <w:rFonts w:hint="eastAsia" w:ascii="宋体" w:hAnsi="宋体" w:cs="宋体"/>
          <w:b/>
          <w:sz w:val="24"/>
        </w:rPr>
        <w:t>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“▲”系指实质性要求条款，“★” 指重要指标，“</w:t>
      </w:r>
      <w:sdt>
        <w:sdtPr>
          <w:rPr>
            <w:rFonts w:hint="eastAsia" w:ascii="宋体" w:hAnsi="宋体" w:cs="宋体"/>
            <w:kern w:val="0"/>
            <w:sz w:val="24"/>
          </w:rPr>
          <w:id w:val="512970236"/>
        </w:sdtPr>
        <w:sdtEndPr>
          <w:rPr>
            <w:rFonts w:hint="eastAsia" w:ascii="宋体" w:hAnsi="宋体" w:cs="宋体"/>
            <w:kern w:val="0"/>
            <w:sz w:val="24"/>
          </w:rPr>
        </w:sdtEndPr>
        <w:sdtContent>
          <w:sdt>
            <w:sdtPr>
              <w:rPr>
                <w:rFonts w:hint="eastAsia" w:ascii="宋体" w:hAnsi="宋体" w:cs="宋体"/>
                <w:kern w:val="0"/>
                <w:sz w:val="24"/>
              </w:rPr>
              <w:id w:val="1849205359"/>
            </w:sdtPr>
            <w:sdtEndPr>
              <w:rPr>
                <w:rFonts w:hint="eastAsia" w:ascii="宋体" w:hAnsi="宋体" w:cs="宋体"/>
                <w:kern w:val="0"/>
                <w:sz w:val="24"/>
              </w:rPr>
            </w:sdtEndPr>
            <w:sdtContent>
              <w:r>
                <w:rPr>
                  <w:rFonts w:hint="eastAsia" w:ascii="宋体" w:hAnsi="宋体" w:cs="宋体"/>
                  <w:kern w:val="0"/>
                  <w:sz w:val="24"/>
                </w:rPr>
                <w:sym w:font="Wingdings" w:char="F0FE"/>
              </w:r>
            </w:sdtContent>
          </w:sdt>
        </w:sdtContent>
      </w:sdt>
      <w:r>
        <w:rPr>
          <w:rFonts w:hint="eastAsia" w:ascii="宋体" w:hAnsi="宋体" w:cs="宋体"/>
          <w:sz w:val="24"/>
        </w:rPr>
        <w:t>”系指适用本项目的要求，“</w:t>
      </w:r>
      <w:sdt>
        <w:sdtPr>
          <w:rPr>
            <w:rFonts w:hint="eastAsia" w:ascii="宋体" w:hAnsi="宋体" w:cs="宋体"/>
            <w:kern w:val="0"/>
            <w:sz w:val="24"/>
          </w:rPr>
          <w:id w:val="40488885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”系指不适用本项目的要求。</w:t>
      </w:r>
    </w:p>
    <w:p>
      <w:pPr>
        <w:spacing w:line="360" w:lineRule="auto"/>
        <w:rPr>
          <w:rFonts w:ascii="宋体" w:hAnsi="宋体" w:cs="宋体"/>
          <w:b/>
          <w:sz w:val="24"/>
        </w:rPr>
      </w:pPr>
      <w:r>
        <w:rPr>
          <w:rFonts w:hint="eastAsia" w:ascii="宋体" w:hAnsi="宋体" w:cs="宋体"/>
          <w:b/>
          <w:sz w:val="24"/>
        </w:rPr>
        <w:t>3.采购项目需要落实的政府采购政策</w:t>
      </w:r>
    </w:p>
    <w:p>
      <w:pPr>
        <w:spacing w:line="360" w:lineRule="auto"/>
        <w:ind w:firstLine="480" w:firstLineChars="200"/>
        <w:rPr>
          <w:rFonts w:ascii="宋体" w:hAnsi="宋体" w:cs="宋体"/>
          <w:sz w:val="24"/>
        </w:rPr>
      </w:pPr>
      <w:r>
        <w:rPr>
          <w:rFonts w:hint="eastAsia" w:ascii="宋体" w:hAnsi="宋体" w:cs="宋体"/>
          <w:sz w:val="24"/>
        </w:rPr>
        <w:t>3.1 支持中小企业发展</w:t>
      </w:r>
    </w:p>
    <w:p>
      <w:pPr>
        <w:spacing w:line="360" w:lineRule="auto"/>
        <w:ind w:firstLine="480" w:firstLineChars="200"/>
        <w:rPr>
          <w:rFonts w:ascii="宋体" w:hAnsi="宋体" w:cs="宋体"/>
          <w:sz w:val="24"/>
        </w:rPr>
      </w:pPr>
      <w:r>
        <w:rPr>
          <w:rFonts w:hint="eastAsia" w:ascii="宋体" w:hAnsi="宋体" w:cs="宋体"/>
          <w:sz w:val="24"/>
        </w:rPr>
        <w:t>3.1.1中小企业，是指在中华人民共和国境内依法设立，依据国务院批准的中小企业划分标准确定的中型企业、小型企业和微型企业，但与大企业的负责人为同一人，或者与大企业存在直接控股、管理关系的除外。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hint="eastAsia" w:ascii="宋体" w:hAnsi="宋体" w:cs="宋体"/>
          <w:bCs/>
          <w:sz w:val="24"/>
        </w:rPr>
        <w:t>3.1.2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3.1.2.1在货物采购项目中，货物由中小企业制造，即货物由中小企业生产且使用该中小企业商号或者注册商标；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3.1.2.2在工程采购项目中，工程由中小企业承建，即工程施工单位为中小企业；</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3.1.2.3在服务采购项目中，服务由中小企业承接，即提供服务的人员为中小企业依照《中华人民共和国劳动合同法》订立劳动合同的从业人员。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3.1.3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3.1.4符合《关于促进残疾人就业政府采购政策的通知》（财库〔2017〕141号）规定的条件并提供《残疾人福利性单位声明函》（附件1）的残疾人福利性单位视同小型、微型企业；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3.1.5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3.1.6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3.1.7中小企业享受扶持政策获得政府采购合同的，小微企业不得将合同分包给大中型企业，中型企业不得将合同分包给大型企业。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b/>
          <w:sz w:val="24"/>
        </w:rPr>
      </w:pPr>
      <w:r>
        <w:rPr>
          <w:rFonts w:hint="eastAsia" w:ascii="宋体" w:hAnsi="宋体" w:cs="宋体"/>
          <w:sz w:val="24"/>
        </w:rPr>
        <w:t>3.2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4.2供应商质疑</w:t>
      </w:r>
    </w:p>
    <w:p>
      <w:pPr>
        <w:pStyle w:val="35"/>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8"/>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hAnsi="宋体" w:cs="宋体"/>
          <w:sz w:val="24"/>
        </w:rPr>
      </w:pPr>
      <w:r>
        <w:rPr>
          <w:rFonts w:hint="eastAsia" w:hAnsi="宋体" w:cs="宋体"/>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hAnsi="宋体" w:cs="宋体"/>
          <w:sz w:val="24"/>
        </w:rPr>
      </w:pPr>
      <w:r>
        <w:rPr>
          <w:rFonts w:hint="eastAsia" w:hAnsi="宋体" w:cs="宋体"/>
          <w:sz w:val="24"/>
        </w:rPr>
        <w:t>4.2.2.3对采购结果提出质疑的，质疑期限自采购结果公告期限届满之日起计算。</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4.2.3</w:t>
      </w:r>
      <w:r>
        <w:rPr>
          <w:rFonts w:hint="eastAsia" w:hAnsi="宋体" w:cs="宋体"/>
          <w:sz w:val="24"/>
        </w:rPr>
        <w:t>供应商提出质疑应当提交质疑函和必要的证明材料。质疑函应当包括下列内容：</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4.2.3.1供应商的姓名或者名称、地址、邮编、联系人及联系电话；</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4.2.3.2质疑项目的名称、编号；</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4.2.3.3具体、明确的质疑事项和与质疑事项相关的请求；</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4.2.3.4事实依据；</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4.2.3.5必要的法律依据；</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4.2.3.6提出质疑的日期。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lang w:val="zh-CN"/>
        </w:rPr>
        <w:t>4.2</w:t>
      </w:r>
      <w:r>
        <w:rPr>
          <w:rFonts w:hint="eastAsia"/>
        </w:rPr>
        <w:t>.4采购人或者采购代理机构应当在收到供应商的书面质疑后七个工作日内作出答复，并以书面形式通知质疑供应商和其他与质疑处理结果有利害关系的政府采购当事人，但答复的内容不得涉及商业秘密。根据《浙江省财政厅关于进一步促进政府采购公平竞争打造最优营商环境的通知》（浙财采监〔2021〕22号）,采购人或者采购代理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4.2</w:t>
      </w:r>
      <w:r>
        <w:rPr>
          <w:rFonts w:hint="eastAsia"/>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4.3供应商投诉</w:t>
      </w:r>
    </w:p>
    <w:p>
      <w:pPr>
        <w:pStyle w:val="886"/>
        <w:shd w:val="clear" w:color="auto" w:fill="FFFFFF"/>
        <w:snapToGrid w:val="0"/>
        <w:spacing w:after="240" w:afterAutospacing="0" w:line="360" w:lineRule="auto"/>
        <w:ind w:firstLine="400"/>
        <w:contextualSpacing/>
      </w:pPr>
      <w:r>
        <w:rPr>
          <w:rFonts w:hint="eastAsia"/>
        </w:rPr>
        <w:t>4.3.1质疑供应商对采购人、采购代理机构的答复不满意或者采购人、采购代理机构未在规定的时间内作出答复的，可以在答复期满后十五个工作日内向同级政府采购监督管理部门提出投诉。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4.3.3供应商投诉应当有明确的请求和必要的证明材料。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4.3.4以联合体形式参加政府采购活动的，其投诉应当由组成联合体的所有供应商共同提出。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bookmarkStart w:id="17" w:name="_Toc15027"/>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二、招标文件的构成、澄清、修改</w:t>
      </w:r>
      <w:bookmarkEnd w:id="17"/>
    </w:p>
    <w:p>
      <w:pPr>
        <w:pStyle w:val="35"/>
        <w:spacing w:line="360" w:lineRule="auto"/>
        <w:rPr>
          <w:rFonts w:hAnsi="宋体" w:cs="宋体"/>
          <w:b/>
          <w:sz w:val="24"/>
          <w:szCs w:val="24"/>
        </w:rPr>
      </w:pPr>
      <w:r>
        <w:rPr>
          <w:rFonts w:hint="eastAsia" w:hAnsi="宋体" w:cs="宋体"/>
          <w:b/>
          <w:sz w:val="24"/>
          <w:szCs w:val="24"/>
        </w:rPr>
        <w:t>5．招标文件的构成</w:t>
      </w:r>
    </w:p>
    <w:p>
      <w:pPr>
        <w:pStyle w:val="35"/>
        <w:spacing w:line="360" w:lineRule="auto"/>
        <w:ind w:firstLine="480" w:firstLineChars="200"/>
        <w:rPr>
          <w:rFonts w:hAnsi="宋体" w:cs="宋体"/>
          <w:sz w:val="24"/>
          <w:szCs w:val="24"/>
        </w:rPr>
      </w:pPr>
      <w:r>
        <w:rPr>
          <w:rFonts w:hint="eastAsia" w:hAnsi="宋体" w:cs="宋体"/>
          <w:sz w:val="24"/>
          <w:szCs w:val="24"/>
        </w:rPr>
        <w:t>5.1招标文件包括下列文件及附件：</w:t>
      </w:r>
    </w:p>
    <w:p>
      <w:pPr>
        <w:pStyle w:val="35"/>
        <w:tabs>
          <w:tab w:val="left" w:pos="840"/>
        </w:tabs>
        <w:spacing w:line="360" w:lineRule="auto"/>
        <w:ind w:firstLine="480" w:firstLineChars="200"/>
        <w:rPr>
          <w:rFonts w:hAnsi="宋体" w:cs="宋体"/>
          <w:sz w:val="24"/>
          <w:szCs w:val="24"/>
        </w:rPr>
      </w:pPr>
      <w:r>
        <w:rPr>
          <w:rFonts w:hint="eastAsia" w:hAnsi="宋体" w:cs="宋体"/>
          <w:sz w:val="24"/>
          <w:szCs w:val="24"/>
        </w:rPr>
        <w:t>5.1.1招标公告；</w:t>
      </w:r>
    </w:p>
    <w:p>
      <w:pPr>
        <w:pStyle w:val="35"/>
        <w:tabs>
          <w:tab w:val="left" w:pos="840"/>
        </w:tabs>
        <w:spacing w:line="360" w:lineRule="auto"/>
        <w:ind w:firstLine="480" w:firstLineChars="200"/>
        <w:rPr>
          <w:rFonts w:hAnsi="宋体" w:cs="宋体"/>
          <w:sz w:val="24"/>
          <w:szCs w:val="24"/>
        </w:rPr>
      </w:pPr>
      <w:r>
        <w:rPr>
          <w:rFonts w:hint="eastAsia" w:hAnsi="宋体" w:cs="宋体"/>
          <w:sz w:val="24"/>
          <w:szCs w:val="24"/>
        </w:rPr>
        <w:t>5.1.2投标人须知；</w:t>
      </w:r>
    </w:p>
    <w:p>
      <w:pPr>
        <w:pStyle w:val="35"/>
        <w:tabs>
          <w:tab w:val="left" w:pos="840"/>
        </w:tabs>
        <w:spacing w:line="360" w:lineRule="auto"/>
        <w:ind w:firstLine="480" w:firstLineChars="200"/>
        <w:rPr>
          <w:rFonts w:hAnsi="宋体" w:cs="宋体"/>
          <w:sz w:val="24"/>
          <w:szCs w:val="24"/>
        </w:rPr>
      </w:pPr>
      <w:r>
        <w:rPr>
          <w:rFonts w:hint="eastAsia" w:hAnsi="宋体" w:cs="宋体"/>
          <w:sz w:val="24"/>
          <w:szCs w:val="24"/>
        </w:rPr>
        <w:t>5.1.3采购需求；</w:t>
      </w:r>
    </w:p>
    <w:p>
      <w:pPr>
        <w:pStyle w:val="35"/>
        <w:tabs>
          <w:tab w:val="left" w:pos="840"/>
        </w:tabs>
        <w:spacing w:line="360" w:lineRule="auto"/>
        <w:ind w:firstLine="480" w:firstLineChars="200"/>
        <w:rPr>
          <w:rFonts w:hAnsi="宋体" w:cs="宋体"/>
          <w:sz w:val="24"/>
          <w:szCs w:val="24"/>
        </w:rPr>
      </w:pPr>
      <w:r>
        <w:rPr>
          <w:rFonts w:hint="eastAsia" w:hAnsi="宋体" w:cs="宋体"/>
          <w:sz w:val="24"/>
          <w:szCs w:val="24"/>
        </w:rPr>
        <w:t>5.1.4评标办法；</w:t>
      </w:r>
    </w:p>
    <w:p>
      <w:pPr>
        <w:pStyle w:val="35"/>
        <w:tabs>
          <w:tab w:val="left" w:pos="840"/>
        </w:tabs>
        <w:spacing w:line="360" w:lineRule="auto"/>
        <w:ind w:firstLine="480" w:firstLineChars="200"/>
        <w:rPr>
          <w:rFonts w:hAnsi="宋体" w:cs="宋体"/>
          <w:sz w:val="24"/>
          <w:szCs w:val="24"/>
        </w:rPr>
      </w:pPr>
      <w:r>
        <w:rPr>
          <w:rFonts w:hint="eastAsia" w:hAnsi="宋体" w:cs="宋体"/>
          <w:sz w:val="24"/>
          <w:szCs w:val="24"/>
        </w:rPr>
        <w:t>5.1.5拟签订的合同文本；</w:t>
      </w:r>
    </w:p>
    <w:p>
      <w:pPr>
        <w:pStyle w:val="35"/>
        <w:tabs>
          <w:tab w:val="left" w:pos="840"/>
        </w:tabs>
        <w:spacing w:line="360" w:lineRule="auto"/>
        <w:ind w:firstLine="480" w:firstLineChars="2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5"/>
        <w:spacing w:line="360" w:lineRule="auto"/>
        <w:rPr>
          <w:rFonts w:hAnsi="宋体" w:cs="宋体"/>
          <w:b/>
          <w:sz w:val="24"/>
          <w:szCs w:val="24"/>
        </w:rPr>
      </w:pPr>
      <w:r>
        <w:rPr>
          <w:rFonts w:hint="eastAsia" w:hAnsi="宋体" w:cs="宋体"/>
          <w:b/>
          <w:sz w:val="24"/>
          <w:szCs w:val="24"/>
        </w:rPr>
        <w:t>6.招标文件的澄清、修改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28"/>
        <w:snapToGrid w:val="0"/>
        <w:spacing w:before="0"/>
        <w:ind w:firstLine="480"/>
        <w:rPr>
          <w:rFonts w:ascii="宋体" w:hAnsi="宋体" w:cs="宋体"/>
          <w:sz w:val="18"/>
          <w:szCs w:val="18"/>
        </w:rPr>
      </w:pPr>
      <w:r>
        <w:rPr>
          <w:rFonts w:hint="eastAsia" w:ascii="宋体" w:hAnsi="宋体" w:cs="宋体"/>
        </w:rPr>
        <w:t>6.2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0"/>
        <w:rPr>
          <w:rFonts w:ascii="宋体" w:hAnsi="宋体" w:cs="宋体"/>
          <w:b/>
          <w:sz w:val="30"/>
          <w:szCs w:val="20"/>
        </w:rPr>
      </w:pPr>
    </w:p>
    <w:p>
      <w:pPr>
        <w:adjustRightInd/>
        <w:spacing w:line="360" w:lineRule="auto"/>
        <w:jc w:val="center"/>
        <w:outlineLvl w:val="0"/>
        <w:rPr>
          <w:rFonts w:ascii="宋体" w:hAnsi="宋体" w:cs="宋体"/>
          <w:b/>
          <w:sz w:val="30"/>
          <w:szCs w:val="20"/>
        </w:rPr>
      </w:pPr>
      <w:bookmarkStart w:id="18" w:name="_Toc5009"/>
    </w:p>
    <w:p>
      <w:pPr>
        <w:adjustRightInd/>
        <w:spacing w:line="360" w:lineRule="auto"/>
        <w:jc w:val="center"/>
        <w:outlineLvl w:val="0"/>
        <w:rPr>
          <w:rFonts w:ascii="宋体" w:hAnsi="宋体" w:cs="宋体"/>
          <w:b/>
          <w:sz w:val="30"/>
          <w:szCs w:val="20"/>
        </w:rPr>
      </w:pPr>
    </w:p>
    <w:p>
      <w:pPr>
        <w:adjustRightInd/>
        <w:spacing w:line="360" w:lineRule="auto"/>
        <w:jc w:val="center"/>
        <w:outlineLvl w:val="0"/>
        <w:rPr>
          <w:rFonts w:ascii="宋体" w:hAnsi="宋体" w:cs="宋体"/>
          <w:b/>
          <w:sz w:val="30"/>
          <w:szCs w:val="20"/>
        </w:rPr>
      </w:pPr>
    </w:p>
    <w:p>
      <w:pPr>
        <w:adjustRightInd/>
        <w:spacing w:line="360" w:lineRule="auto"/>
        <w:jc w:val="center"/>
        <w:outlineLvl w:val="0"/>
        <w:rPr>
          <w:rFonts w:ascii="宋体" w:hAnsi="宋体" w:cs="宋体"/>
          <w:b/>
          <w:sz w:val="30"/>
          <w:szCs w:val="20"/>
        </w:rPr>
      </w:pPr>
    </w:p>
    <w:p>
      <w:pPr>
        <w:adjustRightInd/>
        <w:spacing w:line="360" w:lineRule="auto"/>
        <w:jc w:val="center"/>
        <w:outlineLvl w:val="0"/>
        <w:rPr>
          <w:rFonts w:ascii="宋体" w:hAnsi="宋体" w:cs="宋体"/>
          <w:b/>
          <w:sz w:val="30"/>
          <w:szCs w:val="20"/>
        </w:rPr>
      </w:pPr>
    </w:p>
    <w:p>
      <w:pPr>
        <w:adjustRightInd/>
        <w:spacing w:line="360" w:lineRule="auto"/>
        <w:jc w:val="center"/>
        <w:outlineLvl w:val="0"/>
        <w:rPr>
          <w:rFonts w:ascii="宋体" w:hAnsi="宋体" w:cs="宋体"/>
          <w:b/>
          <w:sz w:val="30"/>
          <w:szCs w:val="20"/>
        </w:rPr>
      </w:pPr>
    </w:p>
    <w:p>
      <w:pPr>
        <w:adjustRightInd/>
        <w:spacing w:line="360" w:lineRule="auto"/>
        <w:jc w:val="center"/>
        <w:outlineLvl w:val="0"/>
        <w:rPr>
          <w:rFonts w:ascii="宋体" w:hAnsi="宋体" w:cs="宋体"/>
          <w:b/>
          <w:sz w:val="30"/>
          <w:szCs w:val="20"/>
        </w:rPr>
      </w:pPr>
    </w:p>
    <w:p>
      <w:pPr>
        <w:adjustRightInd/>
        <w:spacing w:line="360" w:lineRule="auto"/>
        <w:jc w:val="center"/>
        <w:outlineLvl w:val="0"/>
        <w:rPr>
          <w:rFonts w:ascii="宋体" w:hAnsi="宋体" w:cs="宋体"/>
          <w:b/>
          <w:sz w:val="30"/>
          <w:szCs w:val="20"/>
        </w:rPr>
      </w:pPr>
    </w:p>
    <w:p>
      <w:pPr>
        <w:adjustRightInd/>
        <w:spacing w:line="360" w:lineRule="auto"/>
        <w:jc w:val="center"/>
        <w:outlineLvl w:val="0"/>
        <w:rPr>
          <w:rFonts w:ascii="宋体" w:hAnsi="宋体" w:cs="宋体"/>
          <w:b/>
          <w:sz w:val="30"/>
          <w:szCs w:val="20"/>
        </w:rPr>
      </w:pPr>
    </w:p>
    <w:p>
      <w:pPr>
        <w:adjustRightInd/>
        <w:spacing w:line="360" w:lineRule="auto"/>
        <w:jc w:val="center"/>
        <w:outlineLvl w:val="0"/>
        <w:rPr>
          <w:rFonts w:ascii="宋体" w:hAnsi="宋体" w:cs="宋体"/>
          <w:b/>
          <w:sz w:val="30"/>
          <w:szCs w:val="20"/>
        </w:rPr>
      </w:pPr>
    </w:p>
    <w:p>
      <w:pPr>
        <w:adjustRightInd/>
        <w:spacing w:line="360" w:lineRule="auto"/>
        <w:jc w:val="center"/>
        <w:outlineLvl w:val="0"/>
        <w:rPr>
          <w:rFonts w:ascii="宋体" w:hAnsi="宋体" w:cs="宋体"/>
          <w:b/>
          <w:sz w:val="32"/>
          <w:szCs w:val="21"/>
        </w:rPr>
      </w:pPr>
      <w:r>
        <w:rPr>
          <w:rFonts w:hint="eastAsia" w:ascii="宋体" w:hAnsi="宋体" w:cs="宋体"/>
          <w:b/>
          <w:sz w:val="32"/>
          <w:szCs w:val="21"/>
        </w:rPr>
        <w:t>三、投标</w:t>
      </w:r>
      <w:bookmarkEnd w:id="18"/>
    </w:p>
    <w:p>
      <w:pPr>
        <w:pStyle w:val="35"/>
        <w:spacing w:line="360" w:lineRule="auto"/>
        <w:rPr>
          <w:rFonts w:hAnsi="宋体" w:cs="宋体"/>
          <w:b/>
          <w:sz w:val="24"/>
          <w:szCs w:val="24"/>
        </w:rPr>
      </w:pPr>
      <w:r>
        <w:rPr>
          <w:rFonts w:hint="eastAsia" w:hAnsi="宋体" w:cs="宋体"/>
          <w:b/>
          <w:sz w:val="24"/>
          <w:szCs w:val="24"/>
        </w:rPr>
        <w:t>7.招标文件的获取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5"/>
        <w:spacing w:line="360" w:lineRule="auto"/>
        <w:rPr>
          <w:rFonts w:hAnsi="宋体" w:cs="宋体"/>
          <w:b/>
          <w:sz w:val="24"/>
          <w:szCs w:val="24"/>
        </w:rPr>
      </w:pPr>
      <w:r>
        <w:rPr>
          <w:rFonts w:hint="eastAsia" w:hAnsi="宋体" w:cs="宋体"/>
          <w:b/>
          <w:sz w:val="24"/>
          <w:szCs w:val="24"/>
        </w:rPr>
        <w:t>8.开标前答疑会或现场考察</w:t>
      </w:r>
    </w:p>
    <w:p>
      <w:pPr>
        <w:pStyle w:val="35"/>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szCs w:val="24"/>
        </w:rPr>
      </w:pPr>
      <w:r>
        <w:rPr>
          <w:rFonts w:hint="eastAsia" w:hAnsi="宋体" w:cs="宋体"/>
          <w:b/>
          <w:kern w:val="28"/>
          <w:sz w:val="24"/>
          <w:szCs w:val="24"/>
        </w:rPr>
        <w:t>9.投标保证金</w:t>
      </w:r>
    </w:p>
    <w:p>
      <w:pPr>
        <w:pStyle w:val="18"/>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5"/>
        <w:spacing w:line="360" w:lineRule="auto"/>
        <w:rPr>
          <w:rFonts w:hAnsi="宋体" w:cs="宋体"/>
          <w:b/>
          <w:sz w:val="24"/>
          <w:szCs w:val="24"/>
        </w:rPr>
      </w:pPr>
      <w:r>
        <w:rPr>
          <w:rFonts w:hint="eastAsia" w:hAnsi="宋体" w:cs="宋体"/>
          <w:b/>
          <w:sz w:val="24"/>
          <w:szCs w:val="24"/>
        </w:rPr>
        <w:t>10.投标文件的语言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5"/>
        <w:spacing w:line="360" w:lineRule="auto"/>
        <w:rPr>
          <w:rFonts w:hAnsi="宋体" w:cs="宋体"/>
          <w:b/>
          <w:sz w:val="24"/>
          <w:szCs w:val="24"/>
        </w:rPr>
      </w:pPr>
      <w:r>
        <w:rPr>
          <w:rFonts w:hint="eastAsia" w:hAnsi="宋体" w:cs="宋体"/>
          <w:b/>
          <w:sz w:val="24"/>
          <w:szCs w:val="24"/>
        </w:rPr>
        <w:t>11.投标文件的组成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480" w:firstLineChars="200"/>
        <w:rPr>
          <w:rFonts w:ascii="宋体" w:hAnsi="宋体" w:cs="宋体"/>
          <w:sz w:val="24"/>
        </w:rPr>
      </w:pPr>
      <w:r>
        <w:rPr>
          <w:rFonts w:hint="eastAsia" w:ascii="宋体" w:hAnsi="宋体" w:cs="宋体"/>
          <w:sz w:val="24"/>
        </w:rPr>
        <w:t>11.1.2落实政府采购政策需满足的资格要求；</w:t>
      </w:r>
    </w:p>
    <w:p>
      <w:pPr>
        <w:snapToGrid w:val="0"/>
        <w:spacing w:line="360" w:lineRule="auto"/>
        <w:ind w:firstLine="480" w:firstLineChars="200"/>
        <w:rPr>
          <w:rFonts w:ascii="宋体" w:hAnsi="宋体" w:cs="宋体"/>
          <w:sz w:val="24"/>
        </w:rPr>
      </w:pPr>
      <w:r>
        <w:rPr>
          <w:rFonts w:hint="eastAsia" w:ascii="宋体" w:hAnsi="宋体" w:cs="宋体"/>
          <w:sz w:val="24"/>
        </w:rPr>
        <w:t>11.1.3本项目的特定资格要求。</w:t>
      </w:r>
    </w:p>
    <w:p>
      <w:pPr>
        <w:snapToGrid w:val="0"/>
        <w:spacing w:line="360" w:lineRule="auto"/>
        <w:ind w:firstLine="480" w:firstLineChars="200"/>
        <w:rPr>
          <w:rFonts w:ascii="宋体" w:hAnsi="宋体" w:cs="宋体"/>
          <w:b/>
          <w:bCs/>
          <w:sz w:val="24"/>
          <w:lang w:val="zh-CN"/>
        </w:rPr>
      </w:pPr>
      <w:r>
        <w:rPr>
          <w:rFonts w:hint="eastAsia" w:ascii="宋体" w:hAnsi="宋体" w:cs="宋体"/>
          <w:sz w:val="24"/>
          <w:lang w:val="zh-CN"/>
        </w:rPr>
        <w:t>11</w:t>
      </w:r>
      <w:r>
        <w:rPr>
          <w:rFonts w:hint="eastAsia" w:ascii="宋体" w:hAnsi="宋体" w:cs="宋体"/>
          <w:b/>
          <w:bCs/>
          <w:sz w:val="24"/>
          <w:lang w:val="zh-CN"/>
        </w:rPr>
        <w:t>.</w:t>
      </w:r>
      <w:r>
        <w:rPr>
          <w:rFonts w:hint="eastAsia" w:ascii="宋体" w:hAnsi="宋体" w:cs="宋体"/>
          <w:b/>
          <w:bCs/>
          <w:sz w:val="24"/>
        </w:rPr>
        <w:t>2商务技术</w:t>
      </w:r>
      <w:r>
        <w:rPr>
          <w:rFonts w:hint="eastAsia" w:ascii="宋体" w:hAnsi="宋体" w:cs="宋体"/>
          <w:b/>
          <w:bCs/>
          <w:sz w:val="24"/>
          <w:lang w:val="zh-CN"/>
        </w:rPr>
        <w:t>文件：</w:t>
      </w:r>
    </w:p>
    <w:p>
      <w:pPr>
        <w:snapToGrid w:val="0"/>
        <w:spacing w:line="360" w:lineRule="auto"/>
        <w:ind w:firstLine="480" w:firstLineChars="200"/>
        <w:rPr>
          <w:rFonts w:ascii="宋体" w:hAnsi="宋体" w:cs="宋体"/>
          <w:sz w:val="24"/>
        </w:rPr>
      </w:pPr>
      <w:r>
        <w:rPr>
          <w:rFonts w:hint="eastAsia" w:ascii="宋体" w:hAnsi="宋体" w:cs="宋体"/>
          <w:sz w:val="24"/>
        </w:rPr>
        <w:t>11.2.1投标函；</w:t>
      </w:r>
    </w:p>
    <w:p>
      <w:pPr>
        <w:snapToGrid w:val="0"/>
        <w:spacing w:line="360" w:lineRule="auto"/>
        <w:ind w:firstLine="480" w:firstLineChars="2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480" w:firstLineChars="200"/>
        <w:rPr>
          <w:rFonts w:ascii="宋体" w:hAnsi="宋体" w:cs="宋体"/>
          <w:sz w:val="24"/>
        </w:rPr>
      </w:pPr>
      <w:r>
        <w:rPr>
          <w:rFonts w:hint="eastAsia" w:ascii="宋体" w:hAnsi="宋体" w:cs="宋体"/>
          <w:sz w:val="24"/>
        </w:rPr>
        <w:t>11.2.3联合协议；</w:t>
      </w:r>
    </w:p>
    <w:p>
      <w:pPr>
        <w:snapToGrid w:val="0"/>
        <w:spacing w:line="360" w:lineRule="auto"/>
        <w:ind w:firstLine="480" w:firstLineChars="200"/>
        <w:rPr>
          <w:rFonts w:ascii="宋体" w:hAnsi="宋体" w:cs="宋体"/>
          <w:sz w:val="24"/>
        </w:rPr>
      </w:pPr>
      <w:r>
        <w:rPr>
          <w:rFonts w:hint="eastAsia" w:ascii="宋体" w:hAnsi="宋体" w:cs="宋体"/>
          <w:sz w:val="24"/>
        </w:rPr>
        <w:t>11.2.4分包意向协议；</w:t>
      </w:r>
    </w:p>
    <w:p>
      <w:pPr>
        <w:snapToGrid w:val="0"/>
        <w:spacing w:line="360" w:lineRule="auto"/>
        <w:ind w:firstLine="480" w:firstLineChars="200"/>
        <w:rPr>
          <w:rFonts w:ascii="宋体" w:hAnsi="宋体" w:cs="宋体"/>
          <w:sz w:val="24"/>
        </w:rPr>
      </w:pPr>
      <w:r>
        <w:rPr>
          <w:rFonts w:hint="eastAsia" w:ascii="宋体" w:hAnsi="宋体" w:cs="宋体"/>
          <w:sz w:val="24"/>
        </w:rPr>
        <w:t>11.2.5符合性审查资料；</w:t>
      </w:r>
    </w:p>
    <w:p>
      <w:pPr>
        <w:snapToGrid w:val="0"/>
        <w:spacing w:line="360" w:lineRule="auto"/>
        <w:ind w:firstLine="480" w:firstLineChars="200"/>
        <w:rPr>
          <w:rFonts w:ascii="宋体" w:hAnsi="宋体" w:cs="宋体"/>
          <w:sz w:val="24"/>
        </w:rPr>
      </w:pPr>
      <w:r>
        <w:rPr>
          <w:rFonts w:hint="eastAsia" w:ascii="宋体" w:hAnsi="宋体" w:cs="宋体"/>
          <w:sz w:val="24"/>
        </w:rPr>
        <w:t>11.2.6评标标准相应的商务技术资料；</w:t>
      </w:r>
    </w:p>
    <w:p>
      <w:pPr>
        <w:snapToGrid w:val="0"/>
        <w:spacing w:line="360" w:lineRule="auto"/>
        <w:ind w:firstLine="480" w:firstLineChars="200"/>
        <w:rPr>
          <w:rFonts w:ascii="宋体" w:hAnsi="宋体" w:cs="宋体"/>
          <w:sz w:val="24"/>
        </w:rPr>
      </w:pPr>
      <w:r>
        <w:rPr>
          <w:rFonts w:hint="eastAsia" w:ascii="宋体" w:hAnsi="宋体" w:cs="宋体"/>
          <w:sz w:val="24"/>
        </w:rPr>
        <w:t>11.2.7商务技术偏离表；</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b/>
          <w:sz w:val="24"/>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p>
    <w:p>
      <w:pPr>
        <w:snapToGrid w:val="0"/>
        <w:spacing w:line="360" w:lineRule="auto"/>
        <w:ind w:firstLine="480" w:firstLineChars="200"/>
        <w:rPr>
          <w:rFonts w:ascii="宋体" w:hAnsi="宋体" w:cs="宋体"/>
          <w:sz w:val="24"/>
        </w:rPr>
      </w:pPr>
      <w:r>
        <w:rPr>
          <w:rFonts w:hint="eastAsia" w:ascii="宋体" w:hAnsi="宋体" w:cs="宋体"/>
          <w:sz w:val="24"/>
        </w:rPr>
        <w:t>11.3.1开标一览表（报价表）；</w:t>
      </w:r>
    </w:p>
    <w:p>
      <w:pPr>
        <w:snapToGrid w:val="0"/>
        <w:spacing w:line="360" w:lineRule="auto"/>
        <w:ind w:firstLine="480" w:firstLineChars="2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bookmarkStart w:id="19" w:name="_Toc10587"/>
      <w:r>
        <w:rPr>
          <w:rFonts w:hint="eastAsia" w:ascii="宋体" w:hAnsi="宋体" w:cs="宋体"/>
          <w:b/>
          <w:szCs w:val="24"/>
        </w:rPr>
        <w:t>12</w:t>
      </w:r>
      <w:r>
        <w:rPr>
          <w:rFonts w:hint="eastAsia" w:ascii="宋体" w:hAnsi="宋体" w:cs="宋体"/>
          <w:b/>
          <w:kern w:val="0"/>
          <w:szCs w:val="24"/>
          <w:lang w:val="zh-CN"/>
        </w:rPr>
        <w:t>.</w:t>
      </w:r>
      <w:r>
        <w:rPr>
          <w:rFonts w:hint="eastAsia" w:ascii="宋体" w:hAnsi="宋体" w:cs="宋体"/>
          <w:b/>
          <w:szCs w:val="24"/>
        </w:rPr>
        <w:t>投标文件的编制</w:t>
      </w:r>
      <w:bookmarkEnd w:id="19"/>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5"/>
        <w:spacing w:line="360" w:lineRule="auto"/>
        <w:rPr>
          <w:rFonts w:hAnsi="宋体" w:cs="宋体"/>
          <w:b/>
          <w:sz w:val="24"/>
          <w:szCs w:val="24"/>
        </w:rPr>
      </w:pPr>
      <w:r>
        <w:rPr>
          <w:rFonts w:hint="eastAsia" w:hAnsi="宋体" w:cs="宋体"/>
          <w:b/>
          <w:sz w:val="24"/>
          <w:szCs w:val="24"/>
        </w:rPr>
        <w:t>15.备份投标文件</w:t>
      </w:r>
    </w:p>
    <w:p>
      <w:pPr>
        <w:pStyle w:val="35"/>
        <w:spacing w:line="360" w:lineRule="auto"/>
        <w:ind w:firstLine="480" w:firstLineChars="200"/>
        <w:rPr>
          <w:rFonts w:hAnsi="宋体" w:cs="宋体"/>
          <w:b/>
          <w:sz w:val="24"/>
          <w:szCs w:val="24"/>
        </w:rPr>
      </w:pPr>
      <w:r>
        <w:rPr>
          <w:rFonts w:hint="eastAsia" w:hAnsi="宋体" w:cs="宋体"/>
          <w:sz w:val="24"/>
          <w:szCs w:val="24"/>
        </w:rPr>
        <w:t>15.1投标人在电子交易平台传输递交投标文件后，还可以在投标截止时间前直接提交或者以邮政快递方式递交备份投标文件1份，</w:t>
      </w:r>
      <w:r>
        <w:rPr>
          <w:rFonts w:hint="eastAsia" w:hAnsi="宋体" w:cs="宋体"/>
          <w:b/>
          <w:sz w:val="24"/>
          <w:szCs w:val="24"/>
        </w:rPr>
        <w:t>但采购人、采购代理机构不强制或变相强制投标人提交备份投标文件。</w:t>
      </w:r>
    </w:p>
    <w:p>
      <w:pPr>
        <w:pStyle w:val="35"/>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U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5"/>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5"/>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sz w:val="24"/>
          <w:szCs w:val="24"/>
        </w:rPr>
      </w:pPr>
      <w:r>
        <w:rPr>
          <w:rFonts w:hint="eastAsia" w:hAnsi="宋体" w:cs="宋体"/>
          <w:b/>
          <w:sz w:val="24"/>
          <w:szCs w:val="24"/>
        </w:rPr>
        <w:t>15.5投标人仅提交备份投标文件，没有在电子交易平台传输递交投标文件的，投标无效。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hint="eastAsia" w:cs="宋体"/>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rPr>
      </w:pPr>
    </w:p>
    <w:p>
      <w:pPr>
        <w:pStyle w:val="128"/>
        <w:spacing w:before="0"/>
        <w:ind w:firstLine="643"/>
        <w:rPr>
          <w:rFonts w:ascii="宋体" w:hAnsi="宋体" w:cs="宋体"/>
          <w:b/>
          <w:sz w:val="32"/>
        </w:rPr>
      </w:pPr>
    </w:p>
    <w:p>
      <w:pPr>
        <w:pStyle w:val="128"/>
        <w:spacing w:before="0"/>
        <w:ind w:firstLine="1928" w:firstLineChars="600"/>
        <w:rPr>
          <w:rFonts w:ascii="宋体" w:hAnsi="宋体" w:cs="宋体"/>
          <w:b/>
          <w:sz w:val="32"/>
        </w:rPr>
      </w:pPr>
    </w:p>
    <w:p>
      <w:pPr>
        <w:pStyle w:val="128"/>
        <w:spacing w:before="0"/>
        <w:ind w:firstLine="1928" w:firstLineChars="600"/>
        <w:rPr>
          <w:rFonts w:ascii="宋体" w:hAnsi="宋体" w:cs="宋体"/>
          <w:b/>
          <w:sz w:val="32"/>
        </w:rPr>
      </w:pPr>
    </w:p>
    <w:p>
      <w:pPr>
        <w:pStyle w:val="128"/>
        <w:spacing w:before="0"/>
        <w:ind w:firstLine="1928" w:firstLineChars="600"/>
        <w:rPr>
          <w:rFonts w:ascii="宋体" w:hAnsi="宋体" w:cs="宋体"/>
          <w:b/>
          <w:sz w:val="32"/>
        </w:rPr>
      </w:pP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18.2开标时，电子交易平台按开标时间自动提取所有投标文件。采购代理机构依托电子交易平台发起开始解密指令，投标人按照平台提示和招标文件的规定在半小时内完成在线解密。</w:t>
      </w:r>
    </w:p>
    <w:p>
      <w:pPr>
        <w:pStyle w:val="554"/>
        <w:spacing w:before="0" w:line="360" w:lineRule="auto"/>
        <w:ind w:left="0" w:firstLine="480" w:firstLineChars="200"/>
        <w:contextualSpacing/>
        <w:rPr>
          <w:rFonts w:ascii="宋体" w:hAnsi="宋体" w:cs="宋体"/>
          <w:b/>
          <w:sz w:val="24"/>
        </w:rPr>
      </w:pPr>
      <w:r>
        <w:rPr>
          <w:rFonts w:hint="eastAsia" w:ascii="宋体" w:hAnsi="宋体" w:cs="宋体"/>
          <w:sz w:val="24"/>
        </w:rPr>
        <w:t>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19、资格审查</w:t>
      </w:r>
    </w:p>
    <w:p>
      <w:pPr>
        <w:pStyle w:val="128"/>
        <w:spacing w:before="0"/>
        <w:ind w:firstLine="480"/>
        <w:rPr>
          <w:rFonts w:ascii="宋体" w:hAnsi="宋体" w:cs="宋体"/>
          <w:kern w:val="0"/>
          <w:szCs w:val="24"/>
        </w:rPr>
      </w:pPr>
      <w:r>
        <w:rPr>
          <w:rFonts w:hint="eastAsia" w:ascii="宋体" w:hAnsi="宋体" w:cs="宋体"/>
          <w:kern w:val="0"/>
          <w:szCs w:val="24"/>
        </w:rPr>
        <w:t>19.1开标后，采购人或采购代理机构将依法对投标人的资格进行审查。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采购人或采购代理机构依据法律法规和招标文件的规定，对投标人的基本资格条件、特定资格条件进行审查。</w:t>
      </w:r>
    </w:p>
    <w:p>
      <w:pPr>
        <w:pStyle w:val="128"/>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4对未通过资格审查的投标人，采购人或采购代理机构告知其未通过的原因。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20.1信用信息查询渠道及截止时间：采购代理机构将通过“信用中国”网站(www.creditchina.gov.cn)、中国政府采购网(www.ccgp.gov.cn)渠道查询投标人投标截止时间当天的信用记录。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2"/>
          <w:szCs w:val="32"/>
        </w:rPr>
      </w:pPr>
      <w:bookmarkStart w:id="20" w:name="_Toc12543"/>
      <w:r>
        <w:rPr>
          <w:rFonts w:hint="eastAsia" w:ascii="宋体" w:hAnsi="宋体" w:cs="宋体"/>
          <w:b/>
          <w:sz w:val="32"/>
          <w:szCs w:val="32"/>
        </w:rPr>
        <w:t>五、评标</w:t>
      </w:r>
      <w:bookmarkEnd w:id="20"/>
    </w:p>
    <w:p>
      <w:pPr>
        <w:spacing w:line="360" w:lineRule="auto"/>
        <w:rPr>
          <w:rFonts w:ascii="宋体" w:hAnsi="宋体" w:cs="宋体"/>
          <w:b/>
          <w:sz w:val="24"/>
        </w:rPr>
      </w:pPr>
      <w:bookmarkStart w:id="21" w:name="_Toc91899903"/>
      <w:r>
        <w:rPr>
          <w:rFonts w:hint="eastAsia" w:ascii="宋体" w:hAnsi="宋体" w:cs="宋体"/>
          <w:b/>
          <w:sz w:val="24"/>
        </w:rPr>
        <w:t>21.</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bookmarkStart w:id="22" w:name="_Toc125"/>
    </w:p>
    <w:p>
      <w:pPr>
        <w:snapToGrid w:val="0"/>
        <w:spacing w:line="360" w:lineRule="auto"/>
        <w:jc w:val="center"/>
        <w:outlineLvl w:val="0"/>
        <w:rPr>
          <w:rFonts w:ascii="宋体" w:hAnsi="宋体" w:cs="宋体"/>
          <w:b/>
          <w:sz w:val="36"/>
          <w:szCs w:val="36"/>
        </w:rPr>
      </w:pPr>
    </w:p>
    <w:p>
      <w:pPr>
        <w:snapToGrid w:val="0"/>
        <w:spacing w:line="360" w:lineRule="auto"/>
        <w:jc w:val="center"/>
        <w:outlineLvl w:val="0"/>
        <w:rPr>
          <w:rFonts w:ascii="宋体" w:hAnsi="宋体" w:cs="宋体"/>
          <w:b/>
          <w:sz w:val="36"/>
          <w:szCs w:val="36"/>
        </w:rPr>
      </w:pPr>
    </w:p>
    <w:p>
      <w:pPr>
        <w:snapToGrid w:val="0"/>
        <w:spacing w:line="360" w:lineRule="auto"/>
        <w:jc w:val="center"/>
        <w:outlineLvl w:val="0"/>
        <w:rPr>
          <w:rFonts w:ascii="宋体" w:hAnsi="宋体" w:cs="宋体"/>
          <w:b/>
          <w:sz w:val="36"/>
          <w:szCs w:val="36"/>
        </w:rPr>
      </w:pPr>
    </w:p>
    <w:p>
      <w:pPr>
        <w:snapToGrid w:val="0"/>
        <w:spacing w:line="360" w:lineRule="auto"/>
        <w:jc w:val="center"/>
        <w:outlineLvl w:val="0"/>
        <w:rPr>
          <w:rFonts w:ascii="宋体" w:hAnsi="宋体" w:cs="宋体"/>
          <w:b/>
          <w:sz w:val="36"/>
          <w:szCs w:val="36"/>
        </w:rPr>
      </w:pPr>
    </w:p>
    <w:p>
      <w:pPr>
        <w:snapToGrid w:val="0"/>
        <w:spacing w:line="360" w:lineRule="auto"/>
        <w:jc w:val="center"/>
        <w:outlineLvl w:val="0"/>
        <w:rPr>
          <w:rFonts w:ascii="宋体" w:hAnsi="宋体" w:cs="宋体"/>
          <w:b/>
          <w:sz w:val="36"/>
          <w:szCs w:val="36"/>
        </w:rPr>
      </w:pPr>
    </w:p>
    <w:p>
      <w:pPr>
        <w:snapToGrid w:val="0"/>
        <w:spacing w:line="360" w:lineRule="auto"/>
        <w:jc w:val="center"/>
        <w:outlineLvl w:val="0"/>
        <w:rPr>
          <w:rFonts w:ascii="宋体" w:hAnsi="宋体" w:cs="宋体"/>
          <w:b/>
          <w:sz w:val="36"/>
          <w:szCs w:val="36"/>
        </w:rPr>
      </w:pPr>
    </w:p>
    <w:p>
      <w:pPr>
        <w:snapToGrid w:val="0"/>
        <w:spacing w:line="360" w:lineRule="auto"/>
        <w:jc w:val="center"/>
        <w:outlineLvl w:val="0"/>
        <w:rPr>
          <w:rFonts w:ascii="宋体" w:hAnsi="宋体" w:cs="宋体"/>
          <w:b/>
          <w:sz w:val="36"/>
          <w:szCs w:val="36"/>
        </w:rPr>
      </w:pPr>
    </w:p>
    <w:p>
      <w:pPr>
        <w:snapToGrid w:val="0"/>
        <w:spacing w:line="360" w:lineRule="auto"/>
        <w:jc w:val="center"/>
        <w:outlineLvl w:val="0"/>
        <w:rPr>
          <w:rFonts w:ascii="宋体" w:hAnsi="宋体" w:cs="宋体"/>
          <w:b/>
          <w:sz w:val="36"/>
          <w:szCs w:val="36"/>
        </w:rPr>
      </w:pPr>
    </w:p>
    <w:p>
      <w:pPr>
        <w:snapToGrid w:val="0"/>
        <w:spacing w:line="360" w:lineRule="auto"/>
        <w:jc w:val="center"/>
        <w:outlineLvl w:val="0"/>
        <w:rPr>
          <w:rFonts w:ascii="宋体" w:hAnsi="宋体" w:cs="宋体"/>
          <w:b/>
          <w:sz w:val="36"/>
          <w:szCs w:val="36"/>
        </w:rPr>
      </w:pPr>
    </w:p>
    <w:p>
      <w:pPr>
        <w:snapToGrid w:val="0"/>
        <w:spacing w:line="360" w:lineRule="auto"/>
        <w:jc w:val="center"/>
        <w:outlineLvl w:val="0"/>
        <w:rPr>
          <w:rFonts w:ascii="宋体" w:hAnsi="宋体" w:cs="宋体"/>
          <w:b/>
          <w:sz w:val="36"/>
          <w:szCs w:val="36"/>
        </w:rPr>
      </w:pPr>
    </w:p>
    <w:p>
      <w:pPr>
        <w:snapToGrid w:val="0"/>
        <w:spacing w:line="360" w:lineRule="auto"/>
        <w:jc w:val="center"/>
        <w:outlineLvl w:val="0"/>
        <w:rPr>
          <w:rFonts w:ascii="宋体" w:hAnsi="宋体" w:cs="宋体"/>
          <w:b/>
          <w:sz w:val="36"/>
          <w:szCs w:val="36"/>
        </w:rPr>
      </w:pPr>
    </w:p>
    <w:p>
      <w:pPr>
        <w:snapToGrid w:val="0"/>
        <w:spacing w:line="360" w:lineRule="auto"/>
        <w:jc w:val="center"/>
        <w:outlineLvl w:val="0"/>
        <w:rPr>
          <w:rFonts w:ascii="宋体" w:hAnsi="宋体" w:cs="宋体"/>
          <w:b/>
          <w:sz w:val="36"/>
          <w:szCs w:val="36"/>
        </w:rPr>
      </w:pPr>
    </w:p>
    <w:p>
      <w:pPr>
        <w:snapToGrid w:val="0"/>
        <w:spacing w:line="360" w:lineRule="auto"/>
        <w:jc w:val="center"/>
        <w:outlineLvl w:val="0"/>
        <w:rPr>
          <w:rFonts w:ascii="宋体" w:hAnsi="宋体" w:cs="宋体"/>
          <w:b/>
          <w:sz w:val="36"/>
          <w:szCs w:val="36"/>
        </w:rPr>
      </w:pPr>
    </w:p>
    <w:p>
      <w:pPr>
        <w:snapToGrid w:val="0"/>
        <w:spacing w:line="360" w:lineRule="auto"/>
        <w:jc w:val="center"/>
        <w:outlineLvl w:val="0"/>
        <w:rPr>
          <w:rFonts w:ascii="宋体" w:hAnsi="宋体" w:cs="宋体"/>
          <w:b/>
          <w:sz w:val="36"/>
          <w:szCs w:val="36"/>
        </w:rPr>
      </w:pPr>
    </w:p>
    <w:p>
      <w:pPr>
        <w:snapToGrid w:val="0"/>
        <w:spacing w:line="360" w:lineRule="auto"/>
        <w:jc w:val="center"/>
        <w:outlineLvl w:val="0"/>
        <w:rPr>
          <w:rFonts w:ascii="宋体" w:hAnsi="宋体" w:cs="宋体"/>
          <w:b/>
          <w:sz w:val="36"/>
          <w:szCs w:val="36"/>
        </w:rPr>
      </w:pPr>
    </w:p>
    <w:p>
      <w:pPr>
        <w:snapToGrid w:val="0"/>
        <w:spacing w:line="360" w:lineRule="auto"/>
        <w:jc w:val="center"/>
        <w:outlineLvl w:val="0"/>
        <w:rPr>
          <w:rFonts w:ascii="宋体" w:hAnsi="宋体" w:cs="宋体"/>
          <w:b/>
          <w:sz w:val="32"/>
          <w:szCs w:val="32"/>
        </w:rPr>
      </w:pPr>
      <w:r>
        <w:rPr>
          <w:rFonts w:hint="eastAsia" w:ascii="宋体" w:hAnsi="宋体" w:cs="宋体"/>
          <w:b/>
          <w:sz w:val="32"/>
          <w:szCs w:val="32"/>
        </w:rPr>
        <w:t>六、定标</w:t>
      </w:r>
      <w:bookmarkEnd w:id="22"/>
    </w:p>
    <w:p>
      <w:pPr>
        <w:pStyle w:val="26"/>
        <w:spacing w:line="360" w:lineRule="auto"/>
        <w:ind w:left="479" w:hanging="479" w:hangingChars="199"/>
        <w:rPr>
          <w:rFonts w:cs="宋体"/>
          <w:b/>
        </w:rPr>
      </w:pPr>
      <w:r>
        <w:rPr>
          <w:rFonts w:hint="eastAsia" w:cs="宋体"/>
          <w:b/>
        </w:rPr>
        <w:t>22.确定中标供应商</w:t>
      </w:r>
    </w:p>
    <w:p>
      <w:pPr>
        <w:pStyle w:val="128"/>
        <w:snapToGrid w:val="0"/>
        <w:spacing w:before="0"/>
        <w:ind w:firstLine="480"/>
        <w:rPr>
          <w:rFonts w:ascii="宋体" w:hAnsi="宋体" w:cs="宋体"/>
          <w:b/>
          <w:szCs w:val="24"/>
        </w:rPr>
      </w:pPr>
      <w:r>
        <w:rPr>
          <w:rFonts w:hint="eastAsia" w:ascii="宋体" w:hAnsi="宋体" w:cs="宋体"/>
          <w:szCs w:val="24"/>
        </w:rPr>
        <w:t>采购人将自收到评审报告之日起5个工作日内通过电子交易平台在评审报告推荐的中标候选人中按顺序确定中标供应商。</w:t>
      </w:r>
    </w:p>
    <w:p>
      <w:pPr>
        <w:pStyle w:val="128"/>
        <w:snapToGrid w:val="0"/>
        <w:spacing w:before="0"/>
        <w:ind w:firstLine="0" w:firstLineChars="0"/>
        <w:rPr>
          <w:rFonts w:ascii="宋体" w:hAnsi="宋体" w:cs="宋体"/>
          <w:b/>
          <w:szCs w:val="24"/>
        </w:rPr>
      </w:pPr>
      <w:r>
        <w:rPr>
          <w:rFonts w:hint="eastAsia" w:ascii="宋体" w:hAnsi="宋体" w:cs="宋体"/>
          <w:b/>
          <w:szCs w:val="24"/>
        </w:rPr>
        <w:t>23.中标通知与中标结果公告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pStyle w:val="2"/>
        <w:rPr>
          <w:rFonts w:hAnsi="宋体" w:cs="宋体"/>
          <w:b/>
          <w:sz w:val="32"/>
        </w:rPr>
      </w:pPr>
    </w:p>
    <w:p>
      <w:pPr>
        <w:pStyle w:val="4"/>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jc w:val="center"/>
        <w:rPr>
          <w:rFonts w:ascii="宋体" w:hAnsi="宋体" w:cs="宋体"/>
          <w:b/>
          <w:sz w:val="32"/>
        </w:rPr>
      </w:pPr>
    </w:p>
    <w:p>
      <w:pPr>
        <w:snapToGrid w:val="0"/>
        <w:spacing w:line="360" w:lineRule="auto"/>
        <w:jc w:val="center"/>
        <w:rPr>
          <w:rFonts w:ascii="宋体" w:hAnsi="宋体" w:cs="宋体"/>
          <w:b/>
          <w:sz w:val="32"/>
        </w:rPr>
      </w:pPr>
    </w:p>
    <w:p>
      <w:pPr>
        <w:snapToGrid w:val="0"/>
        <w:spacing w:line="360" w:lineRule="auto"/>
        <w:jc w:val="center"/>
        <w:rPr>
          <w:rFonts w:ascii="宋体" w:hAnsi="宋体" w:cs="宋体"/>
          <w:b/>
          <w:sz w:val="32"/>
        </w:rPr>
      </w:pPr>
    </w:p>
    <w:p>
      <w:pPr>
        <w:snapToGrid w:val="0"/>
        <w:spacing w:line="360" w:lineRule="auto"/>
        <w:jc w:val="center"/>
        <w:rPr>
          <w:rFonts w:ascii="宋体" w:hAnsi="宋体" w:cs="宋体"/>
          <w:b/>
          <w:sz w:val="32"/>
        </w:rPr>
      </w:pPr>
    </w:p>
    <w:p>
      <w:pPr>
        <w:snapToGrid w:val="0"/>
        <w:spacing w:line="360" w:lineRule="auto"/>
        <w:jc w:val="center"/>
        <w:rPr>
          <w:rFonts w:ascii="宋体" w:hAnsi="宋体" w:cs="宋体"/>
          <w:b/>
          <w:sz w:val="32"/>
        </w:rPr>
      </w:pPr>
      <w:r>
        <w:rPr>
          <w:rFonts w:hint="eastAsia" w:ascii="宋体" w:hAnsi="宋体" w:cs="宋体"/>
          <w:b/>
          <w:sz w:val="32"/>
        </w:rPr>
        <w:t>七、合同授予</w:t>
      </w:r>
    </w:p>
    <w:p>
      <w:pPr>
        <w:pStyle w:val="26"/>
        <w:spacing w:line="360" w:lineRule="auto"/>
        <w:ind w:left="479" w:hanging="479" w:hangingChars="199"/>
        <w:rPr>
          <w:rFonts w:cs="宋体"/>
          <w:b/>
        </w:rPr>
      </w:pPr>
      <w:r>
        <w:rPr>
          <w:rFonts w:hint="eastAsia" w:cs="宋体"/>
          <w:b/>
        </w:rPr>
        <w:t>24.</w:t>
      </w:r>
      <w:r>
        <w:rPr>
          <w:rFonts w:hint="eastAsia" w:cs="宋体"/>
        </w:rPr>
        <w:t>合同主要条款详见第五部分拟签订的合同文本。</w:t>
      </w:r>
    </w:p>
    <w:p>
      <w:pPr>
        <w:pStyle w:val="26"/>
        <w:spacing w:line="360" w:lineRule="auto"/>
        <w:ind w:left="479" w:hanging="479" w:hangingChars="199"/>
        <w:rPr>
          <w:rFonts w:cs="宋体"/>
          <w:b/>
        </w:rPr>
      </w:pPr>
      <w:r>
        <w:rPr>
          <w:rFonts w:hint="eastAsia" w:cs="宋体"/>
          <w:b/>
        </w:rPr>
        <w:t>25.合同的签订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采购人与中标人应当通过电子交易平台在中标通知书发出之日起三十日内，按照招标文件确定的事项签订政府采购合同，并在合同签订之日起2个工作日内依法发布合同公告。</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rPr>
      </w:pPr>
      <w:r>
        <w:rPr>
          <w:rFonts w:hint="eastAsia" w:cs="宋体"/>
          <w:b/>
        </w:rPr>
        <w:t>26.履约保证金</w:t>
      </w:r>
    </w:p>
    <w:p>
      <w:pPr>
        <w:tabs>
          <w:tab w:val="left" w:pos="0"/>
        </w:tabs>
        <w:spacing w:line="360" w:lineRule="auto"/>
        <w:ind w:firstLine="482"/>
        <w:rPr>
          <w:rFonts w:ascii="宋体" w:hAnsi="宋体" w:cs="宋体"/>
          <w:b/>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。履约保证金的数额不得超过政府采购合同金额的1%。鼓励和支持供应商以银行、保险公司出具的保函形式提供履约保证金。</w:t>
      </w:r>
      <w:r>
        <w:rPr>
          <w:rFonts w:hint="eastAsia" w:ascii="宋体" w:hAnsi="宋体" w:cs="宋体"/>
          <w:b/>
          <w:sz w:val="24"/>
        </w:rPr>
        <w:t>采购人不得拒收履约保函。</w:t>
      </w:r>
    </w:p>
    <w:p>
      <w:pPr>
        <w:pStyle w:val="6"/>
        <w:ind w:left="0" w:firstLine="480" w:firstLineChars="200"/>
        <w:rPr>
          <w:rFonts w:ascii="宋体" w:hAnsi="宋体" w:eastAsia="宋体" w:cs="宋体"/>
          <w:lang w:val="en-US"/>
        </w:rPr>
      </w:pPr>
      <w:bookmarkStart w:id="23" w:name="_Toc23154"/>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bookmarkEnd w:id="23"/>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32"/>
        </w:rPr>
      </w:pPr>
    </w:p>
    <w:p>
      <w:pPr>
        <w:snapToGrid w:val="0"/>
        <w:spacing w:line="360" w:lineRule="auto"/>
        <w:rPr>
          <w:rFonts w:ascii="宋体" w:hAnsi="宋体" w:cs="宋体"/>
          <w:b/>
          <w:sz w:val="32"/>
        </w:rPr>
      </w:pPr>
    </w:p>
    <w:p>
      <w:pPr>
        <w:snapToGrid w:val="0"/>
        <w:spacing w:line="360" w:lineRule="auto"/>
        <w:jc w:val="center"/>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hint="eastAsia" w:ascii="宋体" w:hAnsi="宋体" w:cs="宋体"/>
          <w:b/>
          <w:bCs/>
        </w:rPr>
        <w:t>2</w:t>
      </w:r>
      <w:r>
        <w:rPr>
          <w:rFonts w:hint="eastAsia" w:ascii="宋体" w:hAnsi="宋体" w:cs="宋体"/>
          <w:b/>
          <w:bCs/>
          <w:szCs w:val="24"/>
        </w:rPr>
        <w:t>7</w:t>
      </w:r>
      <w:r>
        <w:rPr>
          <w:rFonts w:hint="eastAsia" w:ascii="宋体" w:hAnsi="宋体" w:cs="宋体"/>
          <w:b/>
          <w:szCs w:val="24"/>
        </w:rPr>
        <w:t>.电子交易活动的中止。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28"/>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28"/>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28"/>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6"/>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21"/>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24" w:name="_Hlt75236101"/>
      <w:bookmarkEnd w:id="24"/>
      <w:bookmarkStart w:id="25" w:name="_Hlt68072998"/>
      <w:bookmarkEnd w:id="25"/>
      <w:bookmarkStart w:id="26" w:name="_Hlt68073093"/>
      <w:bookmarkEnd w:id="26"/>
      <w:bookmarkStart w:id="27" w:name="_Hlt74714665"/>
      <w:bookmarkEnd w:id="27"/>
      <w:bookmarkStart w:id="28" w:name="_Hlt68057669"/>
      <w:bookmarkEnd w:id="28"/>
      <w:bookmarkStart w:id="29" w:name="_Hlt68072990"/>
      <w:bookmarkEnd w:id="29"/>
      <w:bookmarkStart w:id="30" w:name="_Hlt68403820"/>
      <w:bookmarkEnd w:id="30"/>
      <w:bookmarkStart w:id="31" w:name="_Hlt74707468"/>
      <w:bookmarkEnd w:id="31"/>
      <w:bookmarkStart w:id="32" w:name="_Hlt74730295"/>
      <w:bookmarkEnd w:id="32"/>
      <w:bookmarkStart w:id="33" w:name="_Hlt75236290"/>
      <w:bookmarkEnd w:id="33"/>
      <w:bookmarkStart w:id="34" w:name="_Hlt75236011"/>
      <w:bookmarkEnd w:id="34"/>
      <w:bookmarkStart w:id="35" w:name="_Hlt74729768"/>
      <w:bookmarkEnd w:id="35"/>
    </w:p>
    <w:bookmarkEnd w:id="13"/>
    <w:bookmarkEnd w:id="14"/>
    <w:p>
      <w:pPr>
        <w:spacing w:line="360" w:lineRule="auto"/>
        <w:jc w:val="center"/>
        <w:outlineLvl w:val="0"/>
        <w:rPr>
          <w:rFonts w:ascii="宋体" w:hAnsi="宋体" w:cs="宋体"/>
          <w:b/>
          <w:sz w:val="36"/>
          <w:szCs w:val="36"/>
        </w:rPr>
      </w:pPr>
      <w:bookmarkStart w:id="36" w:name="_Toc16440"/>
      <w:bookmarkStart w:id="37" w:name="第四部分"/>
      <w:r>
        <w:rPr>
          <w:rFonts w:hint="eastAsia" w:ascii="宋体" w:hAnsi="宋体" w:cs="宋体"/>
          <w:b/>
          <w:sz w:val="36"/>
          <w:szCs w:val="36"/>
        </w:rPr>
        <w:t>第三部分 采购需求</w:t>
      </w:r>
      <w:bookmarkEnd w:id="36"/>
    </w:p>
    <w:p>
      <w:pPr>
        <w:pStyle w:val="6"/>
        <w:rPr>
          <w:rFonts w:hint="eastAsia" w:ascii="宋体" w:hAnsi="宋体" w:eastAsia="宋体" w:cs="宋体"/>
          <w:sz w:val="24"/>
          <w:szCs w:val="24"/>
        </w:rPr>
      </w:pPr>
      <w:bookmarkStart w:id="38" w:name="_Toc54782917"/>
      <w:bookmarkStart w:id="39" w:name="_Toc13175"/>
      <w:bookmarkStart w:id="40" w:name="_Toc472932000"/>
      <w:bookmarkStart w:id="41" w:name="_Toc38877426"/>
      <w:bookmarkStart w:id="42" w:name="_Toc10100"/>
      <w:bookmarkStart w:id="43" w:name="_Toc9727"/>
      <w:bookmarkStart w:id="44" w:name="_Toc450840086"/>
      <w:bookmarkStart w:id="45" w:name="_Toc499111228"/>
      <w:bookmarkStart w:id="46" w:name="_Toc42693870"/>
      <w:bookmarkStart w:id="47" w:name="_Toc536097814"/>
      <w:r>
        <w:rPr>
          <w:rFonts w:hint="eastAsia" w:ascii="宋体" w:hAnsi="宋体" w:eastAsia="宋体" w:cs="宋体"/>
          <w:sz w:val="24"/>
          <w:szCs w:val="24"/>
        </w:rPr>
        <w:t>一、项目概况</w:t>
      </w:r>
      <w:bookmarkEnd w:id="38"/>
    </w:p>
    <w:p>
      <w:pPr>
        <w:pStyle w:val="784"/>
        <w:rPr>
          <w:rFonts w:hint="eastAsia" w:ascii="宋体" w:hAnsi="宋体" w:eastAsia="宋体" w:cs="宋体"/>
          <w:sz w:val="24"/>
          <w:szCs w:val="24"/>
        </w:rPr>
      </w:pPr>
      <w:r>
        <w:rPr>
          <w:rFonts w:hint="eastAsia" w:ascii="宋体" w:hAnsi="宋体" w:eastAsia="宋体" w:cs="宋体"/>
          <w:sz w:val="24"/>
          <w:szCs w:val="24"/>
        </w:rPr>
        <w:t>1、项目坐落</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浙江康复医疗中心为浙江省政府重点民生实事工程，是浙江省残联和浙江中医药大学共建共管的大型省属公立康复机构，是浙江省公益性、综合性、示范性康复中心。</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中心位于杭州市滨江区滨盛路2828号，紧邻钱塘江畔，环境优美，交通便捷。总占地面积45亩，一期建筑面积4.3万平方米，按照国家三级康复医院标准和“浙江省康复医疗示范基地、康复医学高层次人才培养基地、康复医学对外合作交流基地”目标建设，现有总床位3</w:t>
      </w:r>
      <w:r>
        <w:rPr>
          <w:rFonts w:hint="eastAsia" w:ascii="宋体" w:hAnsi="宋体" w:eastAsia="宋体" w:cs="宋体"/>
          <w:sz w:val="24"/>
          <w:szCs w:val="24"/>
          <w:lang w:val="en-US" w:eastAsia="zh-CN"/>
        </w:rPr>
        <w:t>50</w:t>
      </w:r>
      <w:r>
        <w:rPr>
          <w:rFonts w:hint="eastAsia" w:ascii="宋体" w:hAnsi="宋体" w:eastAsia="宋体" w:cs="宋体"/>
          <w:sz w:val="24"/>
          <w:szCs w:val="24"/>
        </w:rPr>
        <w:t>张。</w:t>
      </w:r>
    </w:p>
    <w:p>
      <w:pPr>
        <w:pStyle w:val="784"/>
        <w:rPr>
          <w:rFonts w:hint="eastAsia" w:ascii="宋体" w:hAnsi="宋体" w:eastAsia="宋体" w:cs="宋体"/>
          <w:sz w:val="24"/>
          <w:szCs w:val="24"/>
        </w:rPr>
      </w:pPr>
      <w:r>
        <w:rPr>
          <w:rFonts w:hint="eastAsia" w:ascii="宋体" w:hAnsi="宋体" w:eastAsia="宋体" w:cs="宋体"/>
          <w:sz w:val="24"/>
          <w:szCs w:val="24"/>
        </w:rPr>
        <w:t>2、服务内容及范围</w:t>
      </w:r>
    </w:p>
    <w:p>
      <w:pPr>
        <w:spacing w:line="360" w:lineRule="auto"/>
        <w:ind w:firstLine="422"/>
        <w:rPr>
          <w:rFonts w:hint="eastAsia" w:ascii="宋体" w:hAnsi="宋体" w:eastAsia="宋体" w:cs="宋体"/>
          <w:b/>
          <w:sz w:val="24"/>
          <w:szCs w:val="24"/>
        </w:rPr>
      </w:pPr>
      <w:r>
        <w:rPr>
          <w:rFonts w:hint="eastAsia" w:ascii="宋体" w:hAnsi="宋体" w:eastAsia="宋体" w:cs="宋体"/>
          <w:b/>
          <w:sz w:val="24"/>
          <w:szCs w:val="24"/>
        </w:rPr>
        <w:t>（1）转运服务：院区内的病人、标本、药品、物资及其他等转运。</w:t>
      </w:r>
    </w:p>
    <w:p>
      <w:pPr>
        <w:spacing w:line="360" w:lineRule="auto"/>
        <w:ind w:firstLine="422"/>
        <w:rPr>
          <w:rFonts w:hint="eastAsia" w:ascii="宋体" w:hAnsi="宋体" w:eastAsia="宋体" w:cs="宋体"/>
          <w:b/>
          <w:sz w:val="24"/>
          <w:szCs w:val="24"/>
        </w:rPr>
      </w:pPr>
      <w:r>
        <w:rPr>
          <w:rFonts w:hint="eastAsia" w:ascii="宋体" w:hAnsi="宋体" w:eastAsia="宋体" w:cs="宋体"/>
          <w:b/>
          <w:sz w:val="24"/>
          <w:szCs w:val="24"/>
        </w:rPr>
        <w:t>（2）保洁：中心园区内的所有保洁</w:t>
      </w:r>
    </w:p>
    <w:p>
      <w:pPr>
        <w:spacing w:line="360" w:lineRule="auto"/>
        <w:ind w:firstLine="422"/>
        <w:rPr>
          <w:rFonts w:hint="eastAsia" w:ascii="宋体" w:hAnsi="宋体" w:eastAsia="宋体" w:cs="宋体"/>
          <w:b/>
          <w:sz w:val="24"/>
          <w:szCs w:val="24"/>
        </w:rPr>
      </w:pPr>
      <w:r>
        <w:rPr>
          <w:rFonts w:hint="eastAsia" w:ascii="宋体" w:hAnsi="宋体" w:eastAsia="宋体" w:cs="宋体"/>
          <w:b/>
          <w:sz w:val="24"/>
          <w:szCs w:val="24"/>
        </w:rPr>
        <w:t>（3）工程维修：日常维修、物业设施的维护和管理等。</w:t>
      </w:r>
    </w:p>
    <w:p>
      <w:pPr>
        <w:spacing w:line="360" w:lineRule="auto"/>
        <w:ind w:firstLine="422"/>
        <w:rPr>
          <w:rFonts w:hint="eastAsia" w:ascii="宋体" w:hAnsi="宋体" w:eastAsia="宋体" w:cs="宋体"/>
          <w:b/>
          <w:sz w:val="24"/>
          <w:szCs w:val="24"/>
        </w:rPr>
      </w:pPr>
      <w:r>
        <w:rPr>
          <w:rFonts w:hint="eastAsia" w:ascii="宋体" w:hAnsi="宋体" w:eastAsia="宋体" w:cs="宋体"/>
          <w:b/>
          <w:sz w:val="24"/>
          <w:szCs w:val="24"/>
        </w:rPr>
        <w:t>（4）护理员：协助护理人员完成相关的工作。</w:t>
      </w:r>
    </w:p>
    <w:p>
      <w:pPr>
        <w:pStyle w:val="6"/>
        <w:rPr>
          <w:rFonts w:hint="eastAsia" w:ascii="宋体" w:hAnsi="宋体" w:eastAsia="宋体" w:cs="宋体"/>
          <w:sz w:val="24"/>
          <w:szCs w:val="24"/>
        </w:rPr>
      </w:pPr>
      <w:bookmarkStart w:id="48" w:name="_Toc54782918"/>
      <w:r>
        <w:rPr>
          <w:rFonts w:hint="eastAsia" w:ascii="宋体" w:hAnsi="宋体" w:eastAsia="宋体" w:cs="宋体"/>
          <w:sz w:val="24"/>
          <w:szCs w:val="24"/>
        </w:rPr>
        <w:t>二、服务管理、服务及要求</w:t>
      </w:r>
      <w:bookmarkEnd w:id="48"/>
    </w:p>
    <w:p>
      <w:pPr>
        <w:pStyle w:val="784"/>
        <w:rPr>
          <w:rFonts w:hint="eastAsia" w:ascii="宋体" w:hAnsi="宋体" w:eastAsia="宋体" w:cs="宋体"/>
          <w:sz w:val="24"/>
          <w:szCs w:val="24"/>
        </w:rPr>
      </w:pPr>
      <w:r>
        <w:rPr>
          <w:rFonts w:hint="eastAsia" w:ascii="宋体" w:hAnsi="宋体" w:eastAsia="宋体" w:cs="宋体"/>
          <w:sz w:val="24"/>
          <w:szCs w:val="24"/>
        </w:rPr>
        <w:t>1、服务管理的形式</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中标方负责服务团队的招聘组建，员工配置、工资、福利待遇及人事、劳资、社保等所有关系。</w:t>
      </w:r>
    </w:p>
    <w:p>
      <w:pPr>
        <w:pStyle w:val="784"/>
        <w:rPr>
          <w:rFonts w:hint="eastAsia" w:ascii="宋体" w:hAnsi="宋体" w:eastAsia="宋体" w:cs="宋体"/>
          <w:sz w:val="24"/>
          <w:szCs w:val="24"/>
        </w:rPr>
      </w:pPr>
      <w:r>
        <w:rPr>
          <w:rFonts w:hint="eastAsia" w:ascii="宋体" w:hAnsi="宋体" w:eastAsia="宋体" w:cs="宋体"/>
          <w:sz w:val="24"/>
          <w:szCs w:val="24"/>
        </w:rPr>
        <w:t>2、委托管理有关说明</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2.1用房：采购人提供办公用房1间 、库房1间 。</w:t>
      </w:r>
    </w:p>
    <w:p>
      <w:pPr>
        <w:spacing w:line="360" w:lineRule="auto"/>
        <w:ind w:firstLine="420"/>
        <w:rPr>
          <w:rFonts w:hint="eastAsia" w:ascii="宋体" w:hAnsi="宋体" w:eastAsia="宋体" w:cs="宋体"/>
          <w:sz w:val="24"/>
          <w:szCs w:val="24"/>
          <w:lang w:eastAsia="zh-CN"/>
        </w:rPr>
      </w:pPr>
      <w:r>
        <w:rPr>
          <w:rFonts w:hint="eastAsia" w:ascii="宋体" w:hAnsi="宋体" w:eastAsia="宋体" w:cs="宋体"/>
          <w:sz w:val="24"/>
          <w:szCs w:val="24"/>
        </w:rPr>
        <w:t>2.2暂定主任1人、管理员兼内勤1</w:t>
      </w:r>
      <w:r>
        <w:rPr>
          <w:rFonts w:hint="eastAsia" w:ascii="宋体" w:hAnsi="宋体" w:eastAsia="宋体" w:cs="宋体"/>
          <w:sz w:val="24"/>
          <w:szCs w:val="24"/>
          <w:lang w:val="en-US" w:eastAsia="zh-CN"/>
        </w:rPr>
        <w:t>.25</w:t>
      </w:r>
      <w:r>
        <w:rPr>
          <w:rFonts w:hint="eastAsia" w:ascii="宋体" w:hAnsi="宋体" w:eastAsia="宋体" w:cs="宋体"/>
          <w:sz w:val="24"/>
          <w:szCs w:val="24"/>
        </w:rPr>
        <w:t>个岗</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1人</w:t>
      </w:r>
      <w:r>
        <w:rPr>
          <w:rFonts w:hint="eastAsia" w:ascii="宋体" w:hAnsi="宋体" w:eastAsia="宋体" w:cs="宋体"/>
          <w:sz w:val="24"/>
          <w:szCs w:val="24"/>
          <w:lang w:eastAsia="zh-CN"/>
        </w:rPr>
        <w:t>）</w:t>
      </w:r>
      <w:r>
        <w:rPr>
          <w:rFonts w:hint="eastAsia" w:ascii="宋体" w:hAnsi="宋体" w:eastAsia="宋体" w:cs="宋体"/>
          <w:sz w:val="24"/>
          <w:szCs w:val="24"/>
        </w:rPr>
        <w:t>、工程维修6</w:t>
      </w:r>
      <w:r>
        <w:rPr>
          <w:rFonts w:hint="eastAsia" w:ascii="宋体" w:hAnsi="宋体" w:eastAsia="宋体" w:cs="宋体"/>
          <w:sz w:val="24"/>
          <w:szCs w:val="24"/>
          <w:lang w:eastAsia="zh-CN"/>
        </w:rPr>
        <w:t>个岗（不得少于</w:t>
      </w:r>
      <w:r>
        <w:rPr>
          <w:rFonts w:hint="eastAsia" w:ascii="宋体" w:hAnsi="宋体" w:eastAsia="宋体" w:cs="宋体"/>
          <w:sz w:val="24"/>
          <w:szCs w:val="24"/>
          <w:lang w:val="en-US" w:eastAsia="zh-CN"/>
        </w:rPr>
        <w:t>5人</w:t>
      </w:r>
      <w:r>
        <w:rPr>
          <w:rFonts w:hint="eastAsia" w:ascii="宋体" w:hAnsi="宋体" w:cs="宋体"/>
          <w:sz w:val="24"/>
          <w:szCs w:val="24"/>
          <w:lang w:val="en-US" w:eastAsia="zh-CN"/>
        </w:rPr>
        <w:t>，5本电工作业证</w:t>
      </w:r>
      <w:r>
        <w:rPr>
          <w:rFonts w:hint="eastAsia" w:ascii="宋体" w:hAnsi="宋体" w:cs="宋体"/>
          <w:sz w:val="24"/>
          <w:szCs w:val="24"/>
          <w:lang w:eastAsia="zh-CN"/>
        </w:rPr>
        <w:t>（高压或低压）</w:t>
      </w:r>
      <w:r>
        <w:rPr>
          <w:rFonts w:hint="eastAsia" w:ascii="宋体" w:hAnsi="宋体" w:eastAsia="宋体" w:cs="宋体"/>
          <w:sz w:val="24"/>
          <w:szCs w:val="24"/>
        </w:rPr>
        <w:t>、保洁</w:t>
      </w:r>
      <w:r>
        <w:rPr>
          <w:rFonts w:hint="eastAsia" w:ascii="宋体" w:hAnsi="宋体" w:eastAsia="宋体" w:cs="宋体"/>
          <w:sz w:val="24"/>
          <w:szCs w:val="24"/>
          <w:lang w:val="en-US" w:eastAsia="zh-CN"/>
        </w:rPr>
        <w:t>43.125</w:t>
      </w:r>
      <w:r>
        <w:rPr>
          <w:rFonts w:hint="eastAsia" w:ascii="宋体" w:hAnsi="宋体" w:eastAsia="宋体" w:cs="宋体"/>
          <w:sz w:val="24"/>
          <w:szCs w:val="24"/>
        </w:rPr>
        <w:t>个岗</w:t>
      </w:r>
      <w:r>
        <w:rPr>
          <w:rFonts w:hint="eastAsia" w:ascii="宋体" w:hAnsi="宋体" w:eastAsia="宋体" w:cs="宋体"/>
          <w:sz w:val="24"/>
          <w:szCs w:val="24"/>
          <w:lang w:eastAsia="zh-CN"/>
        </w:rPr>
        <w:t>（不得少于</w:t>
      </w:r>
      <w:r>
        <w:rPr>
          <w:rFonts w:hint="eastAsia" w:ascii="宋体" w:hAnsi="宋体" w:eastAsia="宋体" w:cs="宋体"/>
          <w:sz w:val="24"/>
          <w:szCs w:val="24"/>
          <w:lang w:val="en-US" w:eastAsia="zh-CN"/>
        </w:rPr>
        <w:t>36.5人</w:t>
      </w:r>
      <w:r>
        <w:rPr>
          <w:rFonts w:hint="eastAsia" w:ascii="宋体" w:hAnsi="宋体" w:eastAsia="宋体" w:cs="宋体"/>
          <w:sz w:val="24"/>
          <w:szCs w:val="24"/>
          <w:lang w:eastAsia="zh-CN"/>
        </w:rPr>
        <w:t>）</w:t>
      </w:r>
      <w:r>
        <w:rPr>
          <w:rFonts w:hint="eastAsia" w:ascii="宋体" w:hAnsi="宋体" w:eastAsia="宋体" w:cs="宋体"/>
          <w:sz w:val="24"/>
          <w:szCs w:val="24"/>
        </w:rPr>
        <w:t>，转运</w:t>
      </w:r>
      <w:r>
        <w:rPr>
          <w:rFonts w:hint="eastAsia" w:ascii="宋体" w:hAnsi="宋体" w:eastAsia="宋体" w:cs="宋体"/>
          <w:sz w:val="24"/>
          <w:szCs w:val="24"/>
          <w:lang w:eastAsia="zh-CN"/>
        </w:rPr>
        <w:t>中心</w:t>
      </w:r>
      <w:r>
        <w:rPr>
          <w:rFonts w:hint="eastAsia" w:ascii="宋体" w:hAnsi="宋体" w:eastAsia="宋体" w:cs="宋体"/>
          <w:sz w:val="24"/>
          <w:szCs w:val="24"/>
          <w:lang w:val="en-US" w:eastAsia="zh-CN"/>
        </w:rPr>
        <w:t>12</w:t>
      </w:r>
      <w:r>
        <w:rPr>
          <w:rFonts w:hint="eastAsia" w:ascii="宋体" w:hAnsi="宋体" w:eastAsia="宋体" w:cs="宋体"/>
          <w:sz w:val="24"/>
          <w:szCs w:val="24"/>
        </w:rPr>
        <w:t>个岗</w:t>
      </w:r>
      <w:r>
        <w:rPr>
          <w:rFonts w:hint="eastAsia" w:ascii="宋体" w:hAnsi="宋体" w:eastAsia="宋体" w:cs="宋体"/>
          <w:sz w:val="24"/>
          <w:szCs w:val="24"/>
          <w:lang w:eastAsia="zh-CN"/>
        </w:rPr>
        <w:t>（不得少于</w:t>
      </w:r>
      <w:r>
        <w:rPr>
          <w:rFonts w:hint="eastAsia" w:ascii="宋体" w:hAnsi="宋体" w:eastAsia="宋体" w:cs="宋体"/>
          <w:sz w:val="24"/>
          <w:szCs w:val="24"/>
          <w:lang w:val="en-US" w:eastAsia="zh-CN"/>
        </w:rPr>
        <w:t>11人</w:t>
      </w:r>
      <w:r>
        <w:rPr>
          <w:rFonts w:hint="eastAsia" w:ascii="宋体" w:hAnsi="宋体" w:eastAsia="宋体" w:cs="宋体"/>
          <w:sz w:val="24"/>
          <w:szCs w:val="24"/>
          <w:lang w:eastAsia="zh-CN"/>
        </w:rPr>
        <w:t>）</w:t>
      </w:r>
      <w:r>
        <w:rPr>
          <w:rFonts w:hint="eastAsia" w:ascii="宋体" w:hAnsi="宋体" w:eastAsia="宋体" w:cs="宋体"/>
          <w:sz w:val="24"/>
          <w:szCs w:val="24"/>
        </w:rPr>
        <w:t>,护理员</w:t>
      </w:r>
      <w:r>
        <w:rPr>
          <w:rFonts w:hint="eastAsia" w:ascii="宋体" w:hAnsi="宋体" w:eastAsia="宋体" w:cs="宋体"/>
          <w:sz w:val="24"/>
          <w:szCs w:val="24"/>
          <w:lang w:val="en-US" w:eastAsia="zh-CN"/>
        </w:rPr>
        <w:t>10.625</w:t>
      </w:r>
      <w:r>
        <w:rPr>
          <w:rFonts w:hint="eastAsia" w:ascii="宋体" w:hAnsi="宋体" w:eastAsia="宋体" w:cs="宋体"/>
          <w:sz w:val="24"/>
          <w:szCs w:val="24"/>
        </w:rPr>
        <w:t>个岗</w:t>
      </w:r>
      <w:r>
        <w:rPr>
          <w:rFonts w:hint="eastAsia" w:ascii="宋体" w:hAnsi="宋体" w:eastAsia="宋体" w:cs="宋体"/>
          <w:sz w:val="24"/>
          <w:szCs w:val="24"/>
          <w:lang w:eastAsia="zh-CN"/>
        </w:rPr>
        <w:t>（不得少于</w:t>
      </w:r>
      <w:r>
        <w:rPr>
          <w:rFonts w:hint="eastAsia" w:ascii="宋体" w:hAnsi="宋体" w:eastAsia="宋体" w:cs="宋体"/>
          <w:sz w:val="24"/>
          <w:szCs w:val="24"/>
          <w:lang w:val="en-US" w:eastAsia="zh-CN"/>
        </w:rPr>
        <w:t>8.5人</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替班</w:t>
      </w:r>
      <w:r>
        <w:rPr>
          <w:rFonts w:hint="eastAsia" w:ascii="宋体" w:hAnsi="宋体" w:eastAsia="宋体" w:cs="宋体"/>
          <w:sz w:val="24"/>
          <w:szCs w:val="24"/>
          <w:lang w:val="en-US" w:eastAsia="zh-CN"/>
        </w:rPr>
        <w:t>2人，</w:t>
      </w:r>
      <w:r>
        <w:rPr>
          <w:rFonts w:hint="eastAsia" w:ascii="宋体" w:hAnsi="宋体" w:eastAsia="宋体" w:cs="宋体"/>
          <w:sz w:val="24"/>
          <w:szCs w:val="24"/>
        </w:rPr>
        <w:t>总数不少于</w:t>
      </w:r>
      <w:r>
        <w:rPr>
          <w:rFonts w:hint="eastAsia" w:ascii="宋体" w:hAnsi="宋体" w:eastAsia="宋体" w:cs="宋体"/>
          <w:sz w:val="24"/>
          <w:szCs w:val="24"/>
          <w:lang w:val="en-US" w:eastAsia="zh-CN"/>
        </w:rPr>
        <w:t>76</w:t>
      </w:r>
      <w:r>
        <w:rPr>
          <w:rFonts w:hint="eastAsia" w:ascii="宋体" w:hAnsi="宋体" w:eastAsia="宋体" w:cs="宋体"/>
          <w:sz w:val="24"/>
          <w:szCs w:val="24"/>
        </w:rPr>
        <w:t>个岗（含管理人员）</w:t>
      </w:r>
      <w:r>
        <w:rPr>
          <w:rFonts w:hint="eastAsia" w:ascii="宋体" w:hAnsi="宋体" w:eastAsia="宋体" w:cs="宋体"/>
          <w:sz w:val="24"/>
          <w:szCs w:val="24"/>
          <w:lang w:eastAsia="zh-CN"/>
        </w:rPr>
        <w:t>。</w:t>
      </w:r>
    </w:p>
    <w:p>
      <w:pPr>
        <w:pStyle w:val="2"/>
        <w:rPr>
          <w:rFonts w:hint="eastAsia" w:ascii="宋体" w:hAnsi="宋体" w:eastAsia="宋体" w:cs="宋体"/>
          <w:szCs w:val="24"/>
        </w:rPr>
      </w:pPr>
      <w:r>
        <w:rPr>
          <w:rFonts w:hint="eastAsia" w:ascii="宋体" w:hAnsi="宋体" w:eastAsia="宋体" w:cs="宋体"/>
          <w:b/>
          <w:sz w:val="24"/>
          <w:szCs w:val="24"/>
        </w:rPr>
        <w:t>▲</w:t>
      </w:r>
      <w:r>
        <w:rPr>
          <w:rFonts w:hint="eastAsia" w:ascii="宋体" w:hAnsi="宋体" w:eastAsia="宋体" w:cs="宋体"/>
          <w:b/>
          <w:bCs/>
          <w:sz w:val="24"/>
          <w:szCs w:val="24"/>
          <w:lang w:eastAsia="zh-CN"/>
        </w:rPr>
        <w:t>计划安排物业人数不得少于</w:t>
      </w:r>
      <w:r>
        <w:rPr>
          <w:rFonts w:hint="eastAsia" w:ascii="宋体" w:hAnsi="宋体" w:eastAsia="宋体" w:cs="宋体"/>
          <w:b/>
          <w:bCs/>
          <w:sz w:val="24"/>
          <w:szCs w:val="24"/>
          <w:lang w:val="en-US" w:eastAsia="zh-CN"/>
        </w:rPr>
        <w:t>63人</w:t>
      </w:r>
    </w:p>
    <w:p>
      <w:pPr>
        <w:pStyle w:val="784"/>
        <w:rPr>
          <w:rFonts w:hint="eastAsia" w:ascii="宋体" w:hAnsi="宋体" w:eastAsia="宋体" w:cs="宋体"/>
          <w:sz w:val="24"/>
          <w:szCs w:val="24"/>
        </w:rPr>
      </w:pPr>
      <w:r>
        <w:rPr>
          <w:rFonts w:hint="eastAsia" w:ascii="宋体" w:hAnsi="宋体" w:eastAsia="宋体" w:cs="宋体"/>
          <w:sz w:val="24"/>
          <w:szCs w:val="24"/>
        </w:rPr>
        <w:t>3、管理理念</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服务委托管理应坚持以人为本，营造文明、大气、温馨的环境；按人性化、精细化、规范化的要求，创造一流的服务品牌；坚持服务第一，强化宗旨意识，为采购人提供优良的后勤服务。</w:t>
      </w:r>
    </w:p>
    <w:p>
      <w:pPr>
        <w:pStyle w:val="784"/>
        <w:rPr>
          <w:rFonts w:hint="eastAsia" w:ascii="宋体" w:hAnsi="宋体" w:eastAsia="宋体" w:cs="宋体"/>
          <w:sz w:val="24"/>
          <w:szCs w:val="24"/>
        </w:rPr>
      </w:pPr>
      <w:r>
        <w:rPr>
          <w:rFonts w:hint="eastAsia" w:ascii="宋体" w:hAnsi="宋体" w:eastAsia="宋体" w:cs="宋体"/>
          <w:sz w:val="24"/>
          <w:szCs w:val="24"/>
        </w:rPr>
        <w:t>4、管理目标</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通过委托服务管理，达到“三优一保证”（优美环境、优质服务、优化功能、保证安全）。</w:t>
      </w:r>
    </w:p>
    <w:p>
      <w:pPr>
        <w:pStyle w:val="6"/>
        <w:rPr>
          <w:rFonts w:hint="eastAsia" w:ascii="宋体" w:hAnsi="宋体" w:eastAsia="宋体" w:cs="宋体"/>
          <w:sz w:val="24"/>
          <w:szCs w:val="24"/>
        </w:rPr>
      </w:pPr>
      <w:bookmarkStart w:id="49" w:name="_Toc54782919"/>
      <w:r>
        <w:rPr>
          <w:rFonts w:hint="eastAsia" w:ascii="宋体" w:hAnsi="宋体" w:eastAsia="宋体" w:cs="宋体"/>
          <w:sz w:val="24"/>
          <w:szCs w:val="24"/>
        </w:rPr>
        <w:t>三、管理与人力资源配置要求</w:t>
      </w:r>
      <w:bookmarkEnd w:id="49"/>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1、项目负责人要有三</w:t>
      </w:r>
      <w:r>
        <w:rPr>
          <w:rFonts w:hint="eastAsia" w:ascii="宋体" w:hAnsi="宋体" w:cs="宋体"/>
          <w:sz w:val="24"/>
          <w:szCs w:val="24"/>
          <w:lang w:eastAsia="zh-CN"/>
        </w:rPr>
        <w:t>级</w:t>
      </w:r>
      <w:r>
        <w:rPr>
          <w:rFonts w:hint="eastAsia" w:ascii="宋体" w:hAnsi="宋体" w:eastAsia="宋体" w:cs="宋体"/>
          <w:sz w:val="24"/>
          <w:szCs w:val="24"/>
        </w:rPr>
        <w:t>及以上综合性医院两年以上服务经验，保洁</w:t>
      </w:r>
      <w:r>
        <w:rPr>
          <w:rFonts w:hint="eastAsia" w:ascii="宋体" w:hAnsi="宋体" w:cs="宋体"/>
          <w:sz w:val="24"/>
          <w:szCs w:val="24"/>
          <w:lang w:eastAsia="zh-CN"/>
        </w:rPr>
        <w:t>及运送</w:t>
      </w:r>
      <w:r>
        <w:rPr>
          <w:rFonts w:hint="eastAsia" w:ascii="宋体" w:hAnsi="宋体" w:eastAsia="宋体" w:cs="宋体"/>
          <w:sz w:val="24"/>
          <w:szCs w:val="24"/>
        </w:rPr>
        <w:t>主管</w:t>
      </w:r>
      <w:r>
        <w:rPr>
          <w:rFonts w:hint="eastAsia" w:ascii="宋体" w:hAnsi="宋体" w:cs="宋体"/>
          <w:sz w:val="24"/>
          <w:szCs w:val="24"/>
          <w:lang w:eastAsia="zh-CN"/>
        </w:rPr>
        <w:t>有</w:t>
      </w:r>
      <w:r>
        <w:rPr>
          <w:rFonts w:hint="eastAsia" w:ascii="宋体" w:hAnsi="宋体" w:eastAsia="宋体" w:cs="宋体"/>
          <w:sz w:val="24"/>
          <w:szCs w:val="24"/>
        </w:rPr>
        <w:t>二级以上综合性医院服务经验，工程主管有相关服务管理经验；</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2、投标人应根据本物业服务管理项目的具体情况，科学合理配置管理和服务人员，各服务项目人员配置情况须在投标文件中明确。管理负责人和物业管理人员不能在项目外兼职。</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3、管理负责人和物业管理人员必须严格遵守规章制度，保守国家机密。</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4、管理与服务人员在服务过程中应保持良好的精神状态；表情自然、亲切；举止大方、有礼；用语文明、规范；提供主动、热情、周到、及时的服务。</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5、管理与服务人员应按规定统一着装，服装整齐清洁，仪表仪容整洁端庄，行为规范，举止得体。</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6、管理与服务人员应及时、认真做好工作日志、交接班、账册等记录工作，做到字迹清晰、数据准确。</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7、管理与服务人员应接受过相关专业技能的培训，掌握物业管理的基本法律法规，熟悉物业基本情况、熟练操作和正确使用相关专用设备。</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8、人员安排必须充分满足各岗位和工作量的需要。</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9、除中标人对服务人员的培训外，还需接受采购人对服务人员进行的集中培训。</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10、所有人员要求政治上可靠，身体素质好，无不良行为记录。</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11、重要岗位人员必须经采购人行政后勤部门的考核、审查通过后，方可录用。</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12、重要管理、服务岗位人员的调离、更换，须事先征得采购人同意。</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13、本项目中所有工作人员均需按岗位要求持证上岗。</w:t>
      </w:r>
    </w:p>
    <w:p>
      <w:pPr>
        <w:pStyle w:val="6"/>
        <w:rPr>
          <w:rFonts w:hint="eastAsia" w:ascii="宋体" w:hAnsi="宋体" w:eastAsia="宋体" w:cs="宋体"/>
          <w:sz w:val="24"/>
          <w:szCs w:val="24"/>
        </w:rPr>
      </w:pPr>
      <w:bookmarkStart w:id="50" w:name="_Toc54782920"/>
      <w:r>
        <w:rPr>
          <w:rFonts w:hint="eastAsia" w:ascii="宋体" w:hAnsi="宋体" w:eastAsia="宋体" w:cs="宋体"/>
          <w:sz w:val="24"/>
          <w:szCs w:val="24"/>
        </w:rPr>
        <w:t>四、人员安排</w:t>
      </w:r>
      <w:bookmarkEnd w:id="50"/>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1、管理与服务人员应取得相应的物业管理从业资格证书或岗位证书，专业技术、操作人员应取得相应专业技术证书、专业上岗证或职业技能资格证书。</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2、中标方应在本中心设立物业服务中心，并配置专职管理人员，督促保洁、转运、工程维修、护理员等部门的工作，协调并贯彻落实中心布置的各项工作。</w:t>
      </w:r>
    </w:p>
    <w:p>
      <w:pPr>
        <w:pStyle w:val="6"/>
        <w:rPr>
          <w:rFonts w:hint="eastAsia" w:ascii="宋体" w:hAnsi="宋体" w:eastAsia="宋体" w:cs="宋体"/>
          <w:sz w:val="24"/>
          <w:szCs w:val="24"/>
        </w:rPr>
      </w:pPr>
      <w:bookmarkStart w:id="51" w:name="_Toc54782921"/>
      <w:r>
        <w:rPr>
          <w:rFonts w:hint="eastAsia" w:ascii="宋体" w:hAnsi="宋体" w:eastAsia="宋体" w:cs="宋体"/>
          <w:sz w:val="24"/>
          <w:szCs w:val="24"/>
        </w:rPr>
        <w:t>五．各项服务详细要求</w:t>
      </w:r>
      <w:bookmarkEnd w:id="51"/>
    </w:p>
    <w:p>
      <w:pPr>
        <w:pStyle w:val="784"/>
        <w:rPr>
          <w:rFonts w:hint="eastAsia" w:ascii="宋体" w:hAnsi="宋体" w:eastAsia="宋体" w:cs="宋体"/>
          <w:sz w:val="24"/>
          <w:szCs w:val="24"/>
        </w:rPr>
      </w:pPr>
      <w:r>
        <w:rPr>
          <w:rFonts w:hint="eastAsia" w:ascii="宋体" w:hAnsi="宋体" w:eastAsia="宋体" w:cs="宋体"/>
          <w:sz w:val="24"/>
          <w:szCs w:val="24"/>
        </w:rPr>
        <w:t>A、转运服务中心</w:t>
      </w:r>
    </w:p>
    <w:p>
      <w:pPr>
        <w:pStyle w:val="8"/>
        <w:spacing w:line="360" w:lineRule="auto"/>
        <w:ind w:left="0" w:firstLine="0"/>
        <w:rPr>
          <w:rFonts w:hint="eastAsia" w:ascii="宋体" w:hAnsi="宋体" w:eastAsia="宋体" w:cs="宋体"/>
          <w:sz w:val="24"/>
          <w:szCs w:val="24"/>
        </w:rPr>
      </w:pPr>
      <w:r>
        <w:rPr>
          <w:rFonts w:hint="eastAsia" w:ascii="宋体" w:hAnsi="宋体" w:eastAsia="宋体" w:cs="宋体"/>
          <w:sz w:val="24"/>
          <w:szCs w:val="24"/>
        </w:rPr>
        <w:t>1.工作内容</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医院转运服务中心工作内容包括病人运送、标本运送、药品运送、被服转运、设备仪器运送、文件运送等工作内容。分为五种标准工作方式进行：</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（1）即时服务：需求科室或人员可以拨打服务热线电话，中心工作人员必须及时准确的安排服务任务。</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（2）预约服务：需求科室或人员可以提前预约，拨打服务热线电话，中心工作人员必须在怡当的时间安排服务任务。</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（3）计划（常规）服务：针对一些有规律的服务，中心工作人员指派专职运送人员来完成服务任务。</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（4）循环服务：运送人员按医院实际情况确定循环路径，定时收集、领取标本、文件、申请单等。</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（5）驻守服务：根据特殊科室的要求，在特定的时间段内指派专职人员提供运送和保洁服务。</w:t>
      </w:r>
    </w:p>
    <w:p>
      <w:pPr>
        <w:pStyle w:val="8"/>
        <w:spacing w:line="360" w:lineRule="auto"/>
        <w:ind w:left="0" w:firstLine="0"/>
        <w:rPr>
          <w:rFonts w:hint="eastAsia" w:ascii="宋体" w:hAnsi="宋体" w:eastAsia="宋体" w:cs="宋体"/>
          <w:sz w:val="24"/>
          <w:szCs w:val="24"/>
        </w:rPr>
      </w:pPr>
      <w:r>
        <w:rPr>
          <w:rFonts w:hint="eastAsia" w:ascii="宋体" w:hAnsi="宋体" w:eastAsia="宋体" w:cs="宋体"/>
          <w:sz w:val="24"/>
          <w:szCs w:val="24"/>
        </w:rPr>
        <w:t>2.工作要求</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（1）对服务区域，保证每天24小时，每年365天的连续服务。</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（2）必须设置中央运送调度中心，保证每天24小时，每年365天随时有人接听电话处理服务要求。</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（3）调度中心应配制电脑，定期给护理部提供工作量时段分析报表、工作延迟报表等，对相关工作流程调整提供数据基础。</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（4）上班按规定着装，保证着装清洁、仪表端正，佩戴好胸牌。服务热情、耐心，接电话文明用语，态度和蔼，不与病人及家属争执，不在病区吸烟和高声喧哗，拒收病人或家属的小费。</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（5）为保障良好的就医环境，运送员工必须佩戴对讲机及耳机。</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（6）按时及时、安全、准确、无误地接送病人至相关科室检查治疗，搬运病人轻稳，注意保暖，防止跌伤，病情变化及时报告医生。</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（7）正确及时收送病区内各种标本、各类检查单、会诊单、配血单等，保护好标本，不损坏和丢弃、遗失标本。急诊标本和急诊单随叫随送，做到正确、无误、及时。并做好各科急诊标本的登记和双签名工作。</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（8）协助相关科室及病人记费、退费。杜绝漏费及多记，及时将各种标本容器和特殊试管发放至各病区。</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（9）将各种检查申请单送至各相关科室预约，并及时取回预约单发放至各病区，并做好各种用单的登记和双签名工作。</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（10）每日下班前将当天的B超和心电图报告发放回病区，对一些急诊报告则随要随取。</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（11）负责病房大楼各病区药品的递送，清点、核对、签名，并按要求摆放。</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（12）科室需维修的物品，当天送至维修部修理，修好后及时返还科室。</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（13）实行24小时值班负责制。值班期间不离岗、窜岗、不干私活，对病区的呼叫（送标本、血、送单、送急诊病人、取报告等）随叫随到。做好医护人员的后期保障，满足临床一线的需求。</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（14）按需要领送物品，平时每天至少二次到各科了解需领用的物品，正确收发科室领用的物品，不出差错。急需物品科室接到通知后及时送达。</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15）其他需调配的工作。</w:t>
      </w:r>
    </w:p>
    <w:p>
      <w:pPr>
        <w:pStyle w:val="8"/>
        <w:spacing w:line="360" w:lineRule="auto"/>
        <w:ind w:left="0" w:firstLine="0"/>
        <w:rPr>
          <w:rFonts w:hint="eastAsia" w:ascii="宋体" w:hAnsi="宋体" w:eastAsia="宋体" w:cs="宋体"/>
          <w:sz w:val="24"/>
          <w:szCs w:val="24"/>
        </w:rPr>
      </w:pPr>
      <w:r>
        <w:rPr>
          <w:rFonts w:hint="eastAsia" w:ascii="宋体" w:hAnsi="宋体" w:eastAsia="宋体" w:cs="宋体"/>
          <w:sz w:val="24"/>
          <w:szCs w:val="24"/>
        </w:rPr>
        <w:t>3、工作流程</w:t>
      </w:r>
    </w:p>
    <w:p>
      <w:pPr>
        <w:spacing w:line="360" w:lineRule="auto"/>
        <w:ind w:firstLine="422"/>
        <w:rPr>
          <w:rFonts w:hint="eastAsia" w:ascii="宋体" w:hAnsi="宋体" w:eastAsia="宋体" w:cs="宋体"/>
          <w:b/>
          <w:sz w:val="24"/>
          <w:szCs w:val="24"/>
        </w:rPr>
      </w:pPr>
      <w:r>
        <w:rPr>
          <w:rFonts w:hint="eastAsia" w:ascii="宋体" w:hAnsi="宋体" w:eastAsia="宋体" w:cs="宋体"/>
          <w:b/>
          <w:sz w:val="24"/>
          <w:szCs w:val="24"/>
        </w:rPr>
        <w:t>由各投标单位根据医院实际情况结合其他医院工作经验制定完整的转运服务中心工作流程。总体要求：及时、准确、安全、令科室及病人满意。中标单位制定的工作流程在签订合同前经与护理部协商确定。</w:t>
      </w:r>
    </w:p>
    <w:p>
      <w:pPr>
        <w:spacing w:line="360" w:lineRule="auto"/>
        <w:ind w:firstLine="422"/>
        <w:rPr>
          <w:rFonts w:hint="eastAsia" w:ascii="宋体" w:hAnsi="宋体" w:eastAsia="宋体" w:cs="宋体"/>
          <w:b/>
          <w:sz w:val="24"/>
          <w:szCs w:val="24"/>
        </w:rPr>
      </w:pPr>
      <w:r>
        <w:rPr>
          <w:rFonts w:hint="eastAsia" w:ascii="宋体" w:hAnsi="宋体" w:eastAsia="宋体" w:cs="宋体"/>
          <w:b/>
          <w:sz w:val="24"/>
          <w:szCs w:val="24"/>
        </w:rPr>
        <w:t>另：生活垃圾运送要求</w:t>
      </w:r>
    </w:p>
    <w:p>
      <w:pPr>
        <w:spacing w:line="360" w:lineRule="auto"/>
        <w:ind w:firstLine="422"/>
        <w:rPr>
          <w:rFonts w:hint="eastAsia" w:ascii="宋体" w:hAnsi="宋体" w:eastAsia="宋体" w:cs="宋体"/>
          <w:b/>
          <w:sz w:val="24"/>
          <w:szCs w:val="24"/>
        </w:rPr>
      </w:pPr>
      <w:r>
        <w:rPr>
          <w:rFonts w:hint="eastAsia" w:ascii="宋体" w:hAnsi="宋体" w:eastAsia="宋体" w:cs="宋体"/>
          <w:b/>
          <w:sz w:val="24"/>
          <w:szCs w:val="24"/>
        </w:rPr>
        <w:t>院区所有生活垃圾转运采取以桶换桶的形式进行</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每天至少两次收集生活垃圾，合理安排时间，避免影响医疗活动；各楼层垃圾收取后，由</w:t>
      </w:r>
      <w:r>
        <w:rPr>
          <w:rFonts w:hint="eastAsia" w:ascii="宋体" w:hAnsi="宋体" w:eastAsia="宋体" w:cs="宋体"/>
          <w:b/>
          <w:sz w:val="24"/>
          <w:szCs w:val="24"/>
        </w:rPr>
        <w:t>各楼层工人</w:t>
      </w:r>
      <w:r>
        <w:rPr>
          <w:rFonts w:hint="eastAsia" w:ascii="宋体" w:hAnsi="宋体" w:eastAsia="宋体" w:cs="宋体"/>
          <w:sz w:val="24"/>
          <w:szCs w:val="24"/>
        </w:rPr>
        <w:t>及时搞干净垃圾电梯口地面的卫生，地面湿的及时放置防跌倒告示牌。</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生活垃圾房内垃圾应按生活垃圾分类要求规类放置在固定的区域。环卫所每次收取生活垃圾后转运工人应将所有空的垃圾桶里外冲洗干净晾干，放置在固定的地点，至下次收取垃圾时拉到相应的科室，入科前应清理干净轱辘上的污迹。</w:t>
      </w:r>
    </w:p>
    <w:p>
      <w:pPr>
        <w:spacing w:line="360" w:lineRule="auto"/>
        <w:ind w:firstLine="422"/>
        <w:rPr>
          <w:rFonts w:hint="eastAsia" w:ascii="宋体" w:hAnsi="宋体" w:eastAsia="宋体" w:cs="宋体"/>
          <w:b/>
          <w:sz w:val="24"/>
          <w:szCs w:val="24"/>
        </w:rPr>
      </w:pPr>
      <w:r>
        <w:rPr>
          <w:rFonts w:hint="eastAsia" w:ascii="宋体" w:hAnsi="宋体" w:eastAsia="宋体" w:cs="宋体"/>
          <w:b/>
          <w:sz w:val="24"/>
          <w:szCs w:val="24"/>
        </w:rPr>
        <w:t>注：早上所有垃圾的转运工作必须在医院上班前半小时完成，下午垃圾的转运</w:t>
      </w:r>
      <w:r>
        <w:rPr>
          <w:rFonts w:hint="eastAsia" w:ascii="宋体" w:hAnsi="宋体" w:eastAsia="宋体" w:cs="宋体"/>
          <w:b/>
          <w:sz w:val="24"/>
          <w:szCs w:val="24"/>
          <w:lang w:eastAsia="zh-CN"/>
        </w:rPr>
        <w:t>要合理安排时间</w:t>
      </w:r>
      <w:r>
        <w:rPr>
          <w:rFonts w:hint="eastAsia" w:ascii="宋体" w:hAnsi="宋体" w:eastAsia="宋体" w:cs="宋体"/>
          <w:b/>
          <w:sz w:val="24"/>
          <w:szCs w:val="24"/>
        </w:rPr>
        <w:t>，不得影响医院正常的工作秩序。</w:t>
      </w:r>
    </w:p>
    <w:p>
      <w:pPr>
        <w:spacing w:line="360" w:lineRule="auto"/>
        <w:ind w:firstLine="422"/>
        <w:rPr>
          <w:rFonts w:hint="eastAsia" w:ascii="宋体" w:hAnsi="宋体" w:eastAsia="宋体" w:cs="宋体"/>
          <w:b/>
          <w:sz w:val="24"/>
          <w:szCs w:val="24"/>
        </w:rPr>
      </w:pPr>
      <w:r>
        <w:rPr>
          <w:rFonts w:hint="eastAsia" w:ascii="宋体" w:hAnsi="宋体" w:eastAsia="宋体" w:cs="宋体"/>
          <w:b/>
          <w:sz w:val="24"/>
          <w:szCs w:val="24"/>
        </w:rPr>
        <w:t>必须按杭州市生活垃圾分类要求落实好垃圾分类处置及转运工作。</w:t>
      </w:r>
    </w:p>
    <w:p>
      <w:pPr>
        <w:spacing w:line="360" w:lineRule="auto"/>
        <w:ind w:firstLine="422"/>
        <w:rPr>
          <w:rFonts w:hint="eastAsia" w:ascii="宋体" w:hAnsi="宋体" w:eastAsia="宋体" w:cs="宋体"/>
          <w:b/>
          <w:sz w:val="24"/>
          <w:szCs w:val="24"/>
        </w:rPr>
      </w:pPr>
      <w:r>
        <w:rPr>
          <w:rFonts w:hint="eastAsia" w:ascii="宋体" w:hAnsi="宋体" w:eastAsia="宋体" w:cs="宋体"/>
          <w:b/>
          <w:sz w:val="24"/>
          <w:szCs w:val="24"/>
        </w:rPr>
        <w:t>医疗废物及危险废物转运要求</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医疗废物运送人员必须严格遵守医院的各项规章制度特别是医疗废物管理制度及规范，必须熟悉《医疗废物管理条例》的基本内容。明确所有黄色医疗垃圾袋盛放的均为危险废物，均存在受伤或感染的危险；使用后的输液袋（瓶）为危险废物。</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每天医疗废物运送人员7：00－16:30收集全院各科室产生的医疗废物及危险废物，对医疗废物及危险废物进行收集、运送时，应穿戴必要的防护用品，包括工作服、帽子、口罩、防护手套、防护鞋。因违反安全操作规范所发生的损伤事件由运送人员本人及承包方负责处理，与院方无关。</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3.所有医疗废物及危险废物必须做到日产日清，院内储存时间不得超过48小时。</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4.医疗废物及危险废物运送人员必须使用专用密闭的容器，按照医院与中标人协商后规定的时间和路线将医疗废物及危险废物从产生地运送至医院医疗废物及危险废物暂时储存点。</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5.医疗废物运送人员在收集医疗废物前，应检查包装物有无破损和泄露，包装是否合格，是否有警示标签，标签填写完整，不得将不符合要求的医疗废物运送至医疗废物暂时储存点。</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6.医疗废物及危险废物收集时，严格执行内部交接制度，登记内容包括：医疗废物及危险废物产生科室、日期、废物的类别、重量或数量、交接双方签名等。</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7.运送人员在运送医疗废物及危险废物时，应防止发生医疗废物及危险废物流失、泄露和扩散等事故。当发现医疗废物及危险废物流失、泄露和扩散等事故时，应立即报告医院感染管理科，启动应急预案。</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8.每日运送工作结束后，应当对运送工具用1000㎎∕L含氯消毒剂进行清洁和消毒。</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9.医疗废物运送人员应当根据《医疗废物分类目录》，在接受医疗废物时对医疗废物实施分类运送，在暂存点对医疗废物实施分类管理。</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10.医疗废物及危险废物每天运送至暂存点必须入库，不得露天存放。</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11.医疗废物运送人员必须按时当面与大地维康公司人员进行交接，并填写好医疗废物转运单，医疗废物转运单下月初上交医院后勤保障部统一保管。医疗废物转交出去后，应当对暂存地点、设施及时进行清洁和消毒处理。</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12.大地维康送来的利器盒、专用盒、垃圾袋等包装容器必须与大地维康正确交接并与次日将发放单交后勤保障部备档。及时送到仓库存放，严禁存放在医疗垃圾房内。每月按后勤保障部发放单正确下发到科室并做好接收签字工作，一旦发生遗失照价赔偿。</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13.医疗废物运送人员在运送、保管时注意身体不接触医疗废物。每天工作结束后注意自身手卫生及防护用品的清洁。</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14.严禁偷盗、买卖医疗废物及危险废物，违反者按医院与中标人签订的《物业服务合同书》予以处罚，并承担相应的法律责任。</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15.杭州市卫生监督所已对全市二级以上医院实行医疗废物远程监控管理，凡医院及卫生监督所在监控中发现的一律按合同相关条款进行处理。</w:t>
      </w:r>
    </w:p>
    <w:p>
      <w:pPr>
        <w:pStyle w:val="8"/>
        <w:spacing w:line="360" w:lineRule="auto"/>
        <w:ind w:firstLine="422"/>
        <w:rPr>
          <w:rFonts w:hint="eastAsia" w:ascii="宋体" w:hAnsi="宋体" w:eastAsia="宋体" w:cs="宋体"/>
          <w:sz w:val="24"/>
          <w:szCs w:val="24"/>
        </w:rPr>
      </w:pPr>
      <w:r>
        <w:rPr>
          <w:rFonts w:hint="eastAsia" w:ascii="宋体" w:hAnsi="宋体" w:eastAsia="宋体" w:cs="宋体"/>
          <w:sz w:val="24"/>
          <w:szCs w:val="24"/>
        </w:rPr>
        <w:t>被服转运的要求</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每天至少到各病区收集一次需清洗的被服，做好对接和清点数量，收集时根据院感要求进行；收到清洁被服要进行检查被服的整洁及完好情况，及时派送到各病区（上午收到下午送出，下午收到第二天一早派送）；要和各病区及洗涤公司做好交接、清点。</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2、按后勤保障部要求完成相关台账的记录。</w:t>
      </w:r>
    </w:p>
    <w:p>
      <w:pPr>
        <w:spacing w:line="360" w:lineRule="auto"/>
        <w:ind w:firstLine="0" w:firstLineChars="0"/>
        <w:rPr>
          <w:rFonts w:hint="eastAsia" w:ascii="宋体" w:hAnsi="宋体" w:eastAsia="宋体" w:cs="宋体"/>
          <w:b/>
          <w:sz w:val="24"/>
          <w:szCs w:val="24"/>
        </w:rPr>
      </w:pPr>
      <w:r>
        <w:rPr>
          <w:rFonts w:hint="eastAsia" w:ascii="宋体" w:hAnsi="宋体" w:eastAsia="宋体" w:cs="宋体"/>
          <w:b/>
          <w:sz w:val="24"/>
          <w:szCs w:val="24"/>
        </w:rPr>
        <w:t xml:space="preserve">★ 各驻守科室工人的工作职责及排班由各科负责人安排，工人必须服从科室的管理。    </w:t>
      </w:r>
    </w:p>
    <w:p>
      <w:pPr>
        <w:spacing w:line="360" w:lineRule="auto"/>
        <w:ind w:firstLine="422"/>
        <w:rPr>
          <w:rFonts w:hint="eastAsia" w:ascii="宋体" w:hAnsi="宋体" w:eastAsia="宋体" w:cs="宋体"/>
          <w:b/>
          <w:sz w:val="24"/>
          <w:szCs w:val="24"/>
        </w:rPr>
      </w:pPr>
      <w:r>
        <w:rPr>
          <w:rFonts w:hint="eastAsia" w:ascii="宋体" w:hAnsi="宋体" w:eastAsia="宋体" w:cs="宋体"/>
          <w:b/>
          <w:sz w:val="24"/>
          <w:szCs w:val="24"/>
        </w:rPr>
        <w:t>其他标准各投标单位如有需要可详尽描述。</w:t>
      </w:r>
    </w:p>
    <w:p>
      <w:pPr>
        <w:pStyle w:val="784"/>
        <w:rPr>
          <w:rFonts w:hint="eastAsia" w:ascii="宋体" w:hAnsi="宋体" w:eastAsia="宋体" w:cs="宋体"/>
          <w:sz w:val="24"/>
          <w:szCs w:val="24"/>
        </w:rPr>
      </w:pPr>
      <w:r>
        <w:rPr>
          <w:rFonts w:hint="eastAsia" w:ascii="宋体" w:hAnsi="宋体" w:eastAsia="宋体" w:cs="宋体"/>
          <w:sz w:val="24"/>
          <w:szCs w:val="24"/>
        </w:rPr>
        <w:t>B、护理员工作</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1、护理员素质的要求：初中以上文化水平，年龄在18-50岁之间，有相应护理员的工作经验2年以上或持有护理员上岗证；</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2、工作内容：根据病区护士长的要求协助护理人员做好病区的基础护理等相关工作；</w:t>
      </w:r>
    </w:p>
    <w:p>
      <w:pPr>
        <w:pStyle w:val="784"/>
        <w:rPr>
          <w:rFonts w:hint="eastAsia" w:ascii="宋体" w:hAnsi="宋体" w:eastAsia="宋体" w:cs="宋体"/>
          <w:sz w:val="24"/>
          <w:szCs w:val="24"/>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784"/>
        <w:rPr>
          <w:rFonts w:hint="eastAsia" w:ascii="宋体" w:hAnsi="宋体" w:eastAsia="宋体" w:cs="宋体"/>
          <w:sz w:val="24"/>
          <w:szCs w:val="24"/>
        </w:rPr>
      </w:pPr>
      <w:r>
        <w:rPr>
          <w:rFonts w:hint="eastAsia" w:ascii="宋体" w:hAnsi="宋体" w:eastAsia="宋体" w:cs="宋体"/>
          <w:sz w:val="24"/>
          <w:szCs w:val="24"/>
        </w:rPr>
        <w:t>C. 设施、设备日常维护保养</w:t>
      </w:r>
    </w:p>
    <w:p>
      <w:pPr>
        <w:pStyle w:val="784"/>
        <w:rPr>
          <w:rFonts w:hint="eastAsia" w:ascii="宋体" w:hAnsi="宋体" w:eastAsia="宋体" w:cs="宋体"/>
          <w:sz w:val="24"/>
          <w:szCs w:val="24"/>
        </w:rPr>
      </w:pPr>
      <w:bookmarkStart w:id="52" w:name="_Toc82338236"/>
      <w:bookmarkStart w:id="53" w:name="_Toc321732145"/>
      <w:bookmarkStart w:id="54" w:name="_Toc279100293"/>
      <w:bookmarkStart w:id="55" w:name="_Toc82873319"/>
      <w:bookmarkStart w:id="56" w:name="_Toc250980623"/>
      <w:r>
        <w:rPr>
          <w:rFonts w:hint="eastAsia" w:ascii="宋体" w:hAnsi="宋体" w:eastAsia="宋体" w:cs="宋体"/>
          <w:sz w:val="24"/>
          <w:szCs w:val="24"/>
        </w:rPr>
        <w:t>（一</w:t>
      </w:r>
      <w:bookmarkEnd w:id="52"/>
      <w:bookmarkEnd w:id="53"/>
      <w:bookmarkEnd w:id="54"/>
      <w:bookmarkEnd w:id="55"/>
      <w:bookmarkEnd w:id="56"/>
      <w:r>
        <w:rPr>
          <w:rFonts w:hint="eastAsia" w:ascii="宋体" w:hAnsi="宋体" w:eastAsia="宋体" w:cs="宋体"/>
          <w:sz w:val="24"/>
          <w:szCs w:val="24"/>
        </w:rPr>
        <w:t>）供配电系统管理要求</w:t>
      </w:r>
    </w:p>
    <w:tbl>
      <w:tblPr>
        <w:tblStyle w:val="62"/>
        <w:tblW w:w="9311" w:type="dxa"/>
        <w:jc w:val="center"/>
        <w:tblLayout w:type="fixed"/>
        <w:tblCellMar>
          <w:top w:w="0" w:type="dxa"/>
          <w:left w:w="0" w:type="dxa"/>
          <w:bottom w:w="0" w:type="dxa"/>
          <w:right w:w="0" w:type="dxa"/>
        </w:tblCellMar>
      </w:tblPr>
      <w:tblGrid>
        <w:gridCol w:w="851"/>
        <w:gridCol w:w="992"/>
        <w:gridCol w:w="5103"/>
        <w:gridCol w:w="2365"/>
      </w:tblGrid>
      <w:tr>
        <w:tblPrEx>
          <w:tblCellMar>
            <w:top w:w="0" w:type="dxa"/>
            <w:left w:w="0" w:type="dxa"/>
            <w:bottom w:w="0" w:type="dxa"/>
            <w:right w:w="0" w:type="dxa"/>
          </w:tblCellMar>
        </w:tblPrEx>
        <w:trPr>
          <w:trHeight w:val="450" w:hRule="exact"/>
          <w:jc w:val="center"/>
        </w:trPr>
        <w:tc>
          <w:tcPr>
            <w:tcW w:w="851" w:type="dxa"/>
            <w:tcBorders>
              <w:top w:val="single" w:color="auto" w:sz="8" w:space="0"/>
              <w:left w:val="single" w:color="auto" w:sz="8" w:space="0"/>
              <w:bottom w:val="single" w:color="auto" w:sz="8" w:space="0"/>
              <w:right w:val="single" w:color="auto" w:sz="8" w:space="0"/>
            </w:tcBorders>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992" w:type="dxa"/>
            <w:tcBorders>
              <w:top w:val="single" w:color="auto" w:sz="8" w:space="0"/>
              <w:left w:val="single" w:color="auto" w:sz="8" w:space="0"/>
              <w:bottom w:val="single" w:color="auto" w:sz="8" w:space="0"/>
              <w:right w:val="single" w:color="auto" w:sz="8" w:space="0"/>
            </w:tcBorders>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频次</w:t>
            </w:r>
          </w:p>
        </w:tc>
        <w:tc>
          <w:tcPr>
            <w:tcW w:w="5103" w:type="dxa"/>
            <w:tcBorders>
              <w:top w:val="single" w:color="auto" w:sz="8" w:space="0"/>
              <w:left w:val="single" w:color="auto" w:sz="8" w:space="0"/>
              <w:bottom w:val="single" w:color="auto" w:sz="8" w:space="0"/>
              <w:right w:val="single" w:color="auto" w:sz="8" w:space="0"/>
            </w:tcBorders>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内  容</w:t>
            </w:r>
          </w:p>
        </w:tc>
        <w:tc>
          <w:tcPr>
            <w:tcW w:w="2365" w:type="dxa"/>
            <w:tcBorders>
              <w:top w:val="single" w:color="auto" w:sz="8" w:space="0"/>
              <w:left w:val="single" w:color="auto" w:sz="8" w:space="0"/>
              <w:bottom w:val="single" w:color="auto" w:sz="8" w:space="0"/>
              <w:right w:val="single" w:color="auto" w:sz="8" w:space="0"/>
            </w:tcBorders>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具体要求</w:t>
            </w:r>
          </w:p>
        </w:tc>
      </w:tr>
      <w:tr>
        <w:tblPrEx>
          <w:tblCellMar>
            <w:top w:w="0" w:type="dxa"/>
            <w:left w:w="0" w:type="dxa"/>
            <w:bottom w:w="0" w:type="dxa"/>
            <w:right w:w="0" w:type="dxa"/>
          </w:tblCellMar>
        </w:tblPrEx>
        <w:trPr>
          <w:trHeight w:val="4162" w:hRule="exact"/>
          <w:jc w:val="center"/>
        </w:trPr>
        <w:tc>
          <w:tcPr>
            <w:tcW w:w="851" w:type="dxa"/>
            <w:vMerge w:val="restart"/>
            <w:tcBorders>
              <w:top w:val="single" w:color="auto" w:sz="8" w:space="0"/>
              <w:left w:val="single" w:color="auto" w:sz="8" w:space="0"/>
              <w:bottom w:val="single" w:color="auto" w:sz="8" w:space="0"/>
              <w:right w:val="single" w:color="auto" w:sz="8" w:space="0"/>
            </w:tcBorders>
            <w:vAlign w:val="top"/>
          </w:tcPr>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配</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电</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柜、</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箱</w:t>
            </w:r>
          </w:p>
        </w:tc>
        <w:tc>
          <w:tcPr>
            <w:tcW w:w="992" w:type="dxa"/>
            <w:tcBorders>
              <w:top w:val="single" w:color="auto" w:sz="8" w:space="0"/>
              <w:left w:val="single" w:color="auto" w:sz="8" w:space="0"/>
              <w:bottom w:val="single" w:color="auto" w:sz="8" w:space="0"/>
              <w:right w:val="single" w:color="auto" w:sz="8" w:space="0"/>
            </w:tcBorders>
            <w:vAlign w:val="top"/>
          </w:tcPr>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每月</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p>
            <w:pPr>
              <w:pStyle w:val="964"/>
              <w:spacing w:line="360" w:lineRule="auto"/>
              <w:jc w:val="center"/>
              <w:rPr>
                <w:rFonts w:hint="eastAsia" w:ascii="宋体" w:hAnsi="宋体" w:eastAsia="宋体" w:cs="宋体"/>
                <w:sz w:val="24"/>
                <w:szCs w:val="24"/>
              </w:rPr>
            </w:pPr>
          </w:p>
        </w:tc>
        <w:tc>
          <w:tcPr>
            <w:tcW w:w="5103" w:type="dxa"/>
            <w:tcBorders>
              <w:top w:val="single" w:color="auto" w:sz="8" w:space="0"/>
              <w:left w:val="single" w:color="auto" w:sz="8" w:space="0"/>
              <w:bottom w:val="single" w:color="auto" w:sz="8" w:space="0"/>
              <w:right w:val="single" w:color="auto" w:sz="8" w:space="0"/>
            </w:tcBorders>
            <w:vAlign w:val="top"/>
          </w:tcPr>
          <w:p>
            <w:pPr>
              <w:pStyle w:val="964"/>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清洁卫生；检查外观是否完好，指示灯是否显示正常，电压、电流是否正常，三相负荷是否平衡，有无异声、异味。检查开关是否在正确位置，标识是否清楚。检查柜体内电气元件是否过热，熔断。检查开关触头接触是否良好，有无短路、过载现象。</w:t>
            </w:r>
          </w:p>
        </w:tc>
        <w:tc>
          <w:tcPr>
            <w:tcW w:w="2365" w:type="dxa"/>
            <w:tcBorders>
              <w:top w:val="single" w:color="auto" w:sz="8" w:space="0"/>
              <w:left w:val="single" w:color="auto" w:sz="8" w:space="0"/>
              <w:bottom w:val="single" w:color="auto" w:sz="8" w:space="0"/>
              <w:right w:val="single" w:color="auto" w:sz="8" w:space="0"/>
            </w:tcBorders>
            <w:vAlign w:val="top"/>
          </w:tcPr>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备卫生、标示清楚、设备运行正常</w:t>
            </w:r>
          </w:p>
        </w:tc>
      </w:tr>
      <w:tr>
        <w:tblPrEx>
          <w:tblCellMar>
            <w:top w:w="0" w:type="dxa"/>
            <w:left w:w="0" w:type="dxa"/>
            <w:bottom w:w="0" w:type="dxa"/>
            <w:right w:w="0" w:type="dxa"/>
          </w:tblCellMar>
        </w:tblPrEx>
        <w:trPr>
          <w:trHeight w:val="1715" w:hRule="exact"/>
          <w:jc w:val="center"/>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pStyle w:val="964"/>
              <w:spacing w:line="360" w:lineRule="auto"/>
              <w:rPr>
                <w:rFonts w:hint="eastAsia" w:ascii="宋体" w:hAnsi="宋体" w:eastAsia="宋体" w:cs="宋体"/>
                <w:kern w:val="0"/>
                <w:sz w:val="24"/>
                <w:szCs w:val="24"/>
              </w:rPr>
            </w:pPr>
          </w:p>
        </w:tc>
        <w:tc>
          <w:tcPr>
            <w:tcW w:w="992" w:type="dxa"/>
            <w:tcBorders>
              <w:top w:val="single" w:color="auto" w:sz="8" w:space="0"/>
              <w:left w:val="single" w:color="auto" w:sz="8" w:space="0"/>
              <w:bottom w:val="single" w:color="auto" w:sz="8" w:space="0"/>
              <w:right w:val="single" w:color="auto" w:sz="8" w:space="0"/>
            </w:tcBorders>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半年</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103" w:type="dxa"/>
            <w:tcBorders>
              <w:top w:val="single" w:color="auto" w:sz="8" w:space="0"/>
              <w:left w:val="single" w:color="auto" w:sz="8" w:space="0"/>
              <w:bottom w:val="single" w:color="auto" w:sz="8" w:space="0"/>
              <w:right w:val="single" w:color="auto" w:sz="8" w:space="0"/>
            </w:tcBorders>
            <w:vAlign w:val="top"/>
          </w:tcPr>
          <w:p>
            <w:pPr>
              <w:pStyle w:val="964"/>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清洁卫生。坚固螺丝，调整接触点隙，更换打磨烧坏的动静触头。若有过载现象，应更换容量大的配电设备。</w:t>
            </w:r>
          </w:p>
        </w:tc>
        <w:tc>
          <w:tcPr>
            <w:tcW w:w="2365" w:type="dxa"/>
            <w:tcBorders>
              <w:top w:val="single" w:color="auto" w:sz="8" w:space="0"/>
              <w:left w:val="single" w:color="auto" w:sz="8" w:space="0"/>
              <w:bottom w:val="single" w:color="auto" w:sz="8" w:space="0"/>
              <w:right w:val="single" w:color="auto" w:sz="8" w:space="0"/>
            </w:tcBorders>
            <w:vAlign w:val="top"/>
          </w:tcPr>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设备卫生、开关状态良好。</w:t>
            </w:r>
          </w:p>
        </w:tc>
      </w:tr>
      <w:tr>
        <w:tblPrEx>
          <w:tblCellMar>
            <w:top w:w="0" w:type="dxa"/>
            <w:left w:w="0" w:type="dxa"/>
            <w:bottom w:w="0" w:type="dxa"/>
            <w:right w:w="0" w:type="dxa"/>
          </w:tblCellMar>
        </w:tblPrEx>
        <w:trPr>
          <w:trHeight w:val="2243" w:hRule="exact"/>
          <w:jc w:val="center"/>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pStyle w:val="964"/>
              <w:spacing w:line="360" w:lineRule="auto"/>
              <w:rPr>
                <w:rFonts w:hint="eastAsia" w:ascii="宋体" w:hAnsi="宋体" w:eastAsia="宋体" w:cs="宋体"/>
                <w:kern w:val="0"/>
                <w:sz w:val="24"/>
                <w:szCs w:val="24"/>
              </w:rPr>
            </w:pPr>
          </w:p>
        </w:tc>
        <w:tc>
          <w:tcPr>
            <w:tcW w:w="992" w:type="dxa"/>
            <w:tcBorders>
              <w:top w:val="single" w:color="auto" w:sz="8" w:space="0"/>
              <w:left w:val="single" w:color="auto" w:sz="8" w:space="0"/>
              <w:bottom w:val="single" w:color="auto" w:sz="8" w:space="0"/>
              <w:right w:val="single" w:color="auto" w:sz="8" w:space="0"/>
            </w:tcBorders>
            <w:vAlign w:val="top"/>
          </w:tcPr>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每年</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103" w:type="dxa"/>
            <w:tcBorders>
              <w:top w:val="single" w:color="auto" w:sz="8" w:space="0"/>
              <w:left w:val="single" w:color="auto" w:sz="8" w:space="0"/>
              <w:bottom w:val="single" w:color="auto" w:sz="8" w:space="0"/>
              <w:right w:val="single" w:color="auto" w:sz="8" w:space="0"/>
            </w:tcBorders>
            <w:vAlign w:val="center"/>
          </w:tcPr>
          <w:p>
            <w:pPr>
              <w:pStyle w:val="964"/>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重复上述检查。检测接地电阻。测试过流保护装置、连锁装置是否可靠</w:t>
            </w:r>
          </w:p>
        </w:tc>
        <w:tc>
          <w:tcPr>
            <w:tcW w:w="2365" w:type="dxa"/>
            <w:tcBorders>
              <w:top w:val="single" w:color="auto" w:sz="8" w:space="0"/>
              <w:left w:val="single" w:color="auto" w:sz="8" w:space="0"/>
              <w:bottom w:val="single" w:color="auto" w:sz="8" w:space="0"/>
              <w:right w:val="single" w:color="auto" w:sz="8" w:space="0"/>
            </w:tcBorders>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清洁无杂物，连接件无松动，无发热变色，仪表等附件完好无损。动力配电系统运行安全可靠。</w:t>
            </w:r>
          </w:p>
        </w:tc>
      </w:tr>
      <w:tr>
        <w:tblPrEx>
          <w:tblCellMar>
            <w:top w:w="0" w:type="dxa"/>
            <w:left w:w="0" w:type="dxa"/>
            <w:bottom w:w="0" w:type="dxa"/>
            <w:right w:w="0" w:type="dxa"/>
          </w:tblCellMar>
        </w:tblPrEx>
        <w:trPr>
          <w:trHeight w:val="1862" w:hRule="exact"/>
          <w:jc w:val="center"/>
        </w:trPr>
        <w:tc>
          <w:tcPr>
            <w:tcW w:w="851" w:type="dxa"/>
            <w:tcBorders>
              <w:top w:val="nil"/>
              <w:left w:val="single" w:color="auto" w:sz="8" w:space="0"/>
              <w:bottom w:val="single" w:color="auto" w:sz="4" w:space="0"/>
              <w:right w:val="single" w:color="auto" w:sz="8" w:space="0"/>
            </w:tcBorders>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照</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明</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器</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具</w:t>
            </w:r>
          </w:p>
        </w:tc>
        <w:tc>
          <w:tcPr>
            <w:tcW w:w="992" w:type="dxa"/>
            <w:tcBorders>
              <w:top w:val="single" w:color="auto" w:sz="8" w:space="0"/>
              <w:left w:val="single" w:color="auto" w:sz="8" w:space="0"/>
              <w:bottom w:val="single" w:color="auto" w:sz="8" w:space="0"/>
              <w:right w:val="single" w:color="auto" w:sz="8" w:space="0"/>
            </w:tcBorders>
            <w:vAlign w:val="top"/>
          </w:tcPr>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每月</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p>
            <w:pPr>
              <w:pStyle w:val="964"/>
              <w:spacing w:line="360" w:lineRule="auto"/>
              <w:jc w:val="center"/>
              <w:rPr>
                <w:rFonts w:hint="eastAsia" w:ascii="宋体" w:hAnsi="宋体" w:eastAsia="宋体" w:cs="宋体"/>
                <w:kern w:val="0"/>
                <w:sz w:val="24"/>
                <w:szCs w:val="24"/>
              </w:rPr>
            </w:pPr>
          </w:p>
        </w:tc>
        <w:tc>
          <w:tcPr>
            <w:tcW w:w="5103" w:type="dxa"/>
            <w:tcBorders>
              <w:top w:val="single" w:color="auto" w:sz="8" w:space="0"/>
              <w:left w:val="single" w:color="auto" w:sz="8" w:space="0"/>
              <w:bottom w:val="single" w:color="auto" w:sz="8" w:space="0"/>
              <w:right w:val="single" w:color="auto" w:sz="8" w:space="0"/>
            </w:tcBorders>
            <w:vAlign w:val="top"/>
          </w:tcPr>
          <w:p>
            <w:pPr>
              <w:pStyle w:val="964"/>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照明器具的清洁卫生。检查外观是否良好，有无异声。检查灯具照度的均匀度。高速照明器具亮度。更换过热、故障配件、避免短路现象。</w:t>
            </w:r>
            <w:r>
              <w:rPr>
                <w:rFonts w:hint="eastAsia" w:ascii="宋体" w:hAnsi="宋体" w:eastAsia="宋体" w:cs="宋体"/>
                <w:b/>
                <w:bCs/>
                <w:kern w:val="0"/>
                <w:sz w:val="24"/>
                <w:szCs w:val="24"/>
              </w:rPr>
              <w:t>根据季节和要求合理调整灯光工程的开机时间</w:t>
            </w:r>
          </w:p>
        </w:tc>
        <w:tc>
          <w:tcPr>
            <w:tcW w:w="2365" w:type="dxa"/>
            <w:tcBorders>
              <w:top w:val="single" w:color="auto" w:sz="8" w:space="0"/>
              <w:left w:val="single" w:color="auto" w:sz="8" w:space="0"/>
              <w:bottom w:val="single" w:color="auto" w:sz="8" w:space="0"/>
              <w:right w:val="single" w:color="auto" w:sz="8" w:space="0"/>
            </w:tcBorders>
            <w:vAlign w:val="top"/>
          </w:tcPr>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灯具卫生，工作正常</w:t>
            </w:r>
          </w:p>
        </w:tc>
      </w:tr>
      <w:tr>
        <w:tblPrEx>
          <w:tblCellMar>
            <w:top w:w="0" w:type="dxa"/>
            <w:left w:w="0" w:type="dxa"/>
            <w:bottom w:w="0" w:type="dxa"/>
            <w:right w:w="0" w:type="dxa"/>
          </w:tblCellMar>
        </w:tblPrEx>
        <w:trPr>
          <w:trHeight w:val="1337" w:hRule="exact"/>
          <w:jc w:val="center"/>
        </w:trPr>
        <w:tc>
          <w:tcPr>
            <w:tcW w:w="851" w:type="dxa"/>
            <w:vMerge w:val="restart"/>
            <w:tcBorders>
              <w:top w:val="single" w:color="auto" w:sz="4" w:space="0"/>
              <w:left w:val="single" w:color="auto" w:sz="8" w:space="0"/>
              <w:bottom w:val="single" w:color="auto" w:sz="4" w:space="0"/>
              <w:right w:val="single" w:color="auto" w:sz="8" w:space="0"/>
            </w:tcBorders>
            <w:vAlign w:val="top"/>
          </w:tcPr>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供电</w:t>
            </w: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线路</w:t>
            </w:r>
          </w:p>
        </w:tc>
        <w:tc>
          <w:tcPr>
            <w:tcW w:w="992" w:type="dxa"/>
            <w:tcBorders>
              <w:top w:val="single" w:color="auto" w:sz="8" w:space="0"/>
              <w:left w:val="single" w:color="auto" w:sz="8" w:space="0"/>
              <w:bottom w:val="single" w:color="auto" w:sz="8" w:space="0"/>
              <w:right w:val="single" w:color="auto" w:sz="8" w:space="0"/>
            </w:tcBorders>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每月</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103" w:type="dxa"/>
            <w:tcBorders>
              <w:top w:val="single" w:color="auto" w:sz="8" w:space="0"/>
              <w:left w:val="single" w:color="auto" w:sz="8" w:space="0"/>
              <w:bottom w:val="single" w:color="auto" w:sz="8" w:space="0"/>
              <w:right w:val="single" w:color="auto" w:sz="8" w:space="0"/>
            </w:tcBorders>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清洁卫生。供电电缆标识是否清晰、脱落，如有马上处理。检查线路有无过热现象、进出线路接线装置是否完好。</w:t>
            </w:r>
          </w:p>
        </w:tc>
        <w:tc>
          <w:tcPr>
            <w:tcW w:w="2365" w:type="dxa"/>
            <w:tcBorders>
              <w:top w:val="single" w:color="auto" w:sz="8" w:space="0"/>
              <w:left w:val="single" w:color="auto" w:sz="8" w:space="0"/>
              <w:bottom w:val="single" w:color="auto" w:sz="8" w:space="0"/>
              <w:right w:val="single" w:color="auto" w:sz="8" w:space="0"/>
            </w:tcBorders>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线路无过热现象。接线装置坚固，标示清晰。</w:t>
            </w:r>
          </w:p>
        </w:tc>
      </w:tr>
      <w:tr>
        <w:tblPrEx>
          <w:tblCellMar>
            <w:top w:w="0" w:type="dxa"/>
            <w:left w:w="0" w:type="dxa"/>
            <w:bottom w:w="0" w:type="dxa"/>
            <w:right w:w="0" w:type="dxa"/>
          </w:tblCellMar>
        </w:tblPrEx>
        <w:trPr>
          <w:trHeight w:val="1163" w:hRule="exact"/>
          <w:jc w:val="center"/>
        </w:trPr>
        <w:tc>
          <w:tcPr>
            <w:tcW w:w="851" w:type="dxa"/>
            <w:vMerge w:val="continue"/>
            <w:tcBorders>
              <w:top w:val="single" w:color="auto" w:sz="4" w:space="0"/>
              <w:left w:val="single" w:color="auto" w:sz="8" w:space="0"/>
              <w:bottom w:val="single" w:color="auto" w:sz="4" w:space="0"/>
              <w:right w:val="single" w:color="auto" w:sz="8" w:space="0"/>
            </w:tcBorders>
            <w:vAlign w:val="center"/>
          </w:tcPr>
          <w:p>
            <w:pPr>
              <w:pStyle w:val="964"/>
              <w:spacing w:line="360" w:lineRule="auto"/>
              <w:rPr>
                <w:rFonts w:hint="eastAsia" w:ascii="宋体" w:hAnsi="宋体" w:eastAsia="宋体" w:cs="宋体"/>
                <w:kern w:val="0"/>
                <w:sz w:val="24"/>
                <w:szCs w:val="24"/>
              </w:rPr>
            </w:pPr>
          </w:p>
        </w:tc>
        <w:tc>
          <w:tcPr>
            <w:tcW w:w="992" w:type="dxa"/>
            <w:tcBorders>
              <w:top w:val="single" w:color="auto" w:sz="8" w:space="0"/>
              <w:left w:val="single" w:color="auto" w:sz="8" w:space="0"/>
              <w:bottom w:val="single" w:color="auto" w:sz="8" w:space="0"/>
              <w:right w:val="single" w:color="auto" w:sz="8" w:space="0"/>
            </w:tcBorders>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每年</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103" w:type="dxa"/>
            <w:tcBorders>
              <w:top w:val="single" w:color="auto" w:sz="8" w:space="0"/>
              <w:left w:val="single" w:color="auto" w:sz="8" w:space="0"/>
              <w:bottom w:val="single" w:color="auto" w:sz="8" w:space="0"/>
              <w:right w:val="single" w:color="auto" w:sz="8" w:space="0"/>
            </w:tcBorders>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用仪表检测线路绝缘电阻。对金属支架、电缆套管涂防锈漆或沥青。</w:t>
            </w:r>
          </w:p>
        </w:tc>
        <w:tc>
          <w:tcPr>
            <w:tcW w:w="2365" w:type="dxa"/>
            <w:tcBorders>
              <w:top w:val="single" w:color="auto" w:sz="8" w:space="0"/>
              <w:left w:val="single" w:color="auto" w:sz="8" w:space="0"/>
              <w:bottom w:val="single" w:color="auto" w:sz="8" w:space="0"/>
              <w:right w:val="single" w:color="auto" w:sz="8" w:space="0"/>
            </w:tcBorders>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阻值符合规范。无锈蚀。</w:t>
            </w:r>
          </w:p>
        </w:tc>
      </w:tr>
      <w:tr>
        <w:tblPrEx>
          <w:tblCellMar>
            <w:top w:w="0" w:type="dxa"/>
            <w:left w:w="0" w:type="dxa"/>
            <w:bottom w:w="0" w:type="dxa"/>
            <w:right w:w="0" w:type="dxa"/>
          </w:tblCellMar>
        </w:tblPrEx>
        <w:trPr>
          <w:trHeight w:val="3213" w:hRule="exact"/>
          <w:jc w:val="center"/>
        </w:trPr>
        <w:tc>
          <w:tcPr>
            <w:tcW w:w="851" w:type="dxa"/>
            <w:vMerge w:val="continue"/>
            <w:tcBorders>
              <w:top w:val="single" w:color="auto" w:sz="4" w:space="0"/>
              <w:left w:val="single" w:color="auto" w:sz="8" w:space="0"/>
              <w:bottom w:val="single" w:color="auto" w:sz="4" w:space="0"/>
              <w:right w:val="single" w:color="auto" w:sz="8" w:space="0"/>
            </w:tcBorders>
            <w:vAlign w:val="center"/>
          </w:tcPr>
          <w:p>
            <w:pPr>
              <w:pStyle w:val="964"/>
              <w:spacing w:line="360" w:lineRule="auto"/>
              <w:rPr>
                <w:rFonts w:hint="eastAsia" w:ascii="宋体" w:hAnsi="宋体" w:eastAsia="宋体" w:cs="宋体"/>
                <w:kern w:val="0"/>
                <w:sz w:val="24"/>
                <w:szCs w:val="24"/>
              </w:rPr>
            </w:pPr>
          </w:p>
        </w:tc>
        <w:tc>
          <w:tcPr>
            <w:tcW w:w="992" w:type="dxa"/>
            <w:tcBorders>
              <w:top w:val="single" w:color="auto" w:sz="8" w:space="0"/>
              <w:left w:val="single" w:color="auto" w:sz="8" w:space="0"/>
              <w:bottom w:val="single" w:color="auto" w:sz="8" w:space="0"/>
              <w:right w:val="single" w:color="auto" w:sz="8" w:space="0"/>
            </w:tcBorders>
            <w:vAlign w:val="top"/>
          </w:tcPr>
          <w:p>
            <w:pPr>
              <w:pStyle w:val="964"/>
              <w:spacing w:line="360" w:lineRule="auto"/>
              <w:jc w:val="center"/>
              <w:rPr>
                <w:rFonts w:hint="eastAsia" w:ascii="宋体" w:hAnsi="宋体" w:eastAsia="宋体" w:cs="宋体"/>
                <w:sz w:val="24"/>
                <w:szCs w:val="24"/>
              </w:rPr>
            </w:pPr>
          </w:p>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每月</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103" w:type="dxa"/>
            <w:tcBorders>
              <w:top w:val="single" w:color="auto" w:sz="8" w:space="0"/>
              <w:left w:val="single" w:color="auto" w:sz="8" w:space="0"/>
              <w:bottom w:val="single" w:color="auto" w:sz="8" w:space="0"/>
              <w:right w:val="single" w:color="auto" w:sz="8" w:space="0"/>
            </w:tcBorders>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保持机房、设备清洁。检查润滑油位、冷却水位、燃油量、蓄电池电位和传动皮带，排烟、空气系统、控制系统是否正常。外观检查发动机有无损坏、渗漏、皮带是否松驰或磨损。每月四次试运行，15—20分钟／次，观察油压、水温、电压等是否正常。蓄电池电池液高于极板15-20MM，节点螺丝坚固。</w:t>
            </w:r>
          </w:p>
        </w:tc>
        <w:tc>
          <w:tcPr>
            <w:tcW w:w="2365" w:type="dxa"/>
            <w:tcBorders>
              <w:top w:val="single" w:color="auto" w:sz="8" w:space="0"/>
              <w:left w:val="single" w:color="auto" w:sz="8" w:space="0"/>
              <w:bottom w:val="single" w:color="auto" w:sz="8" w:space="0"/>
              <w:right w:val="single" w:color="auto" w:sz="8" w:space="0"/>
            </w:tcBorders>
            <w:vAlign w:val="top"/>
          </w:tcPr>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设备清洁、正常有效</w:t>
            </w:r>
          </w:p>
        </w:tc>
      </w:tr>
      <w:tr>
        <w:tblPrEx>
          <w:tblCellMar>
            <w:top w:w="0" w:type="dxa"/>
            <w:left w:w="0" w:type="dxa"/>
            <w:bottom w:w="0" w:type="dxa"/>
            <w:right w:w="0" w:type="dxa"/>
          </w:tblCellMar>
        </w:tblPrEx>
        <w:trPr>
          <w:trHeight w:val="1684" w:hRule="exact"/>
          <w:jc w:val="center"/>
        </w:trPr>
        <w:tc>
          <w:tcPr>
            <w:tcW w:w="851" w:type="dxa"/>
            <w:tcBorders>
              <w:top w:val="single" w:color="auto" w:sz="4" w:space="0"/>
              <w:left w:val="single" w:color="auto" w:sz="8" w:space="0"/>
              <w:bottom w:val="single" w:color="auto" w:sz="8" w:space="0"/>
              <w:right w:val="single" w:color="auto" w:sz="8"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发电</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机维</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护</w:t>
            </w:r>
          </w:p>
        </w:tc>
        <w:tc>
          <w:tcPr>
            <w:tcW w:w="992" w:type="dxa"/>
            <w:tcBorders>
              <w:top w:val="single" w:color="auto" w:sz="8" w:space="0"/>
              <w:left w:val="single" w:color="auto" w:sz="8" w:space="0"/>
              <w:bottom w:val="single" w:color="auto" w:sz="8" w:space="0"/>
              <w:right w:val="single" w:color="auto" w:sz="8"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每月</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103" w:type="dxa"/>
            <w:tcBorders>
              <w:top w:val="single" w:color="auto" w:sz="8" w:space="0"/>
              <w:left w:val="single" w:color="auto" w:sz="8" w:space="0"/>
              <w:bottom w:val="single" w:color="auto" w:sz="8" w:space="0"/>
              <w:right w:val="single" w:color="auto" w:sz="8"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检查发电机的各部位及整机运行情况、进行定期试运行。保持发电机房环境和机器整洁。</w:t>
            </w:r>
          </w:p>
        </w:tc>
        <w:tc>
          <w:tcPr>
            <w:tcW w:w="2365" w:type="dxa"/>
            <w:tcBorders>
              <w:top w:val="single" w:color="auto" w:sz="8" w:space="0"/>
              <w:left w:val="single" w:color="auto" w:sz="8" w:space="0"/>
              <w:bottom w:val="single" w:color="auto" w:sz="8" w:space="0"/>
              <w:right w:val="single" w:color="auto" w:sz="8"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确保在应急使用时能正常发电。</w:t>
            </w:r>
          </w:p>
        </w:tc>
      </w:tr>
    </w:tbl>
    <w:p>
      <w:pPr>
        <w:pStyle w:val="784"/>
        <w:rPr>
          <w:rFonts w:hint="eastAsia" w:ascii="宋体" w:hAnsi="宋体" w:eastAsia="宋体" w:cs="宋体"/>
          <w:sz w:val="24"/>
          <w:szCs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784"/>
        <w:rPr>
          <w:rFonts w:hint="eastAsia" w:ascii="宋体" w:hAnsi="宋体" w:eastAsia="宋体" w:cs="宋体"/>
          <w:sz w:val="24"/>
          <w:szCs w:val="24"/>
        </w:rPr>
      </w:pPr>
      <w:r>
        <w:rPr>
          <w:rFonts w:hint="eastAsia" w:ascii="宋体" w:hAnsi="宋体" w:eastAsia="宋体" w:cs="宋体"/>
          <w:sz w:val="24"/>
          <w:szCs w:val="24"/>
        </w:rPr>
        <w:t>（二）给排水系统管理要求</w:t>
      </w:r>
    </w:p>
    <w:tbl>
      <w:tblPr>
        <w:tblStyle w:val="62"/>
        <w:tblW w:w="9329" w:type="dxa"/>
        <w:tblInd w:w="-56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00"/>
        <w:gridCol w:w="900"/>
        <w:gridCol w:w="5288"/>
        <w:gridCol w:w="224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18" w:hRule="exact"/>
        </w:trPr>
        <w:tc>
          <w:tcPr>
            <w:tcW w:w="900"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w:t>
            </w:r>
          </w:p>
          <w:p>
            <w:pPr>
              <w:pStyle w:val="964"/>
              <w:spacing w:line="360" w:lineRule="auto"/>
              <w:jc w:val="center"/>
              <w:rPr>
                <w:rFonts w:hint="eastAsia" w:ascii="宋体" w:hAnsi="宋体" w:eastAsia="宋体" w:cs="宋体"/>
                <w:sz w:val="24"/>
                <w:szCs w:val="24"/>
              </w:rPr>
            </w:pPr>
          </w:p>
        </w:tc>
        <w:tc>
          <w:tcPr>
            <w:tcW w:w="900"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频次</w:t>
            </w:r>
          </w:p>
          <w:p>
            <w:pPr>
              <w:pStyle w:val="964"/>
              <w:spacing w:line="360" w:lineRule="auto"/>
              <w:jc w:val="center"/>
              <w:rPr>
                <w:rFonts w:hint="eastAsia" w:ascii="宋体" w:hAnsi="宋体" w:eastAsia="宋体" w:cs="宋体"/>
                <w:sz w:val="24"/>
                <w:szCs w:val="24"/>
              </w:rPr>
            </w:pPr>
          </w:p>
        </w:tc>
        <w:tc>
          <w:tcPr>
            <w:tcW w:w="5288"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内  容</w:t>
            </w:r>
          </w:p>
          <w:p>
            <w:pPr>
              <w:pStyle w:val="964"/>
              <w:spacing w:line="360" w:lineRule="auto"/>
              <w:jc w:val="center"/>
              <w:rPr>
                <w:rFonts w:hint="eastAsia" w:ascii="宋体" w:hAnsi="宋体" w:eastAsia="宋体" w:cs="宋体"/>
                <w:sz w:val="24"/>
                <w:szCs w:val="24"/>
              </w:rPr>
            </w:pPr>
          </w:p>
        </w:tc>
        <w:tc>
          <w:tcPr>
            <w:tcW w:w="2241"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具体要求</w:t>
            </w:r>
          </w:p>
          <w:p>
            <w:pPr>
              <w:pStyle w:val="964"/>
              <w:spacing w:line="360" w:lineRule="auto"/>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755" w:hRule="exact"/>
        </w:trPr>
        <w:tc>
          <w:tcPr>
            <w:tcW w:w="900" w:type="dxa"/>
            <w:vMerge w:val="restart"/>
            <w:vAlign w:val="top"/>
          </w:tcPr>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生活</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泵排</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污泵</w:t>
            </w:r>
          </w:p>
        </w:tc>
        <w:tc>
          <w:tcPr>
            <w:tcW w:w="900" w:type="dxa"/>
            <w:vAlign w:val="top"/>
          </w:tcPr>
          <w:p>
            <w:pPr>
              <w:pStyle w:val="964"/>
              <w:spacing w:line="360" w:lineRule="auto"/>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每天</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28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保持设备房、机体清洁。每2小时观察其水位、水压等指示是否正常，运行时有无异声、异味。检查盘根处滴水是否符合规范。检查水位深度指示是否清晰。发现故障及故障隐患及时处理。</w:t>
            </w:r>
          </w:p>
        </w:tc>
        <w:tc>
          <w:tcPr>
            <w:tcW w:w="2241" w:type="dxa"/>
            <w:vAlign w:val="top"/>
          </w:tcPr>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设备卫生、水位指示清晰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228" w:hRule="exact"/>
        </w:trPr>
        <w:tc>
          <w:tcPr>
            <w:tcW w:w="900" w:type="dxa"/>
            <w:vMerge w:val="continue"/>
            <w:vAlign w:val="center"/>
          </w:tcPr>
          <w:p>
            <w:pPr>
              <w:pStyle w:val="964"/>
              <w:spacing w:line="360" w:lineRule="auto"/>
              <w:jc w:val="center"/>
              <w:rPr>
                <w:rFonts w:hint="eastAsia" w:ascii="宋体" w:hAnsi="宋体" w:eastAsia="宋体" w:cs="宋体"/>
                <w:kern w:val="0"/>
                <w:sz w:val="24"/>
                <w:szCs w:val="24"/>
              </w:rPr>
            </w:pPr>
          </w:p>
        </w:tc>
        <w:tc>
          <w:tcPr>
            <w:tcW w:w="900"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每年</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p>
            <w:pPr>
              <w:pStyle w:val="964"/>
              <w:spacing w:line="360" w:lineRule="auto"/>
              <w:jc w:val="center"/>
              <w:rPr>
                <w:rFonts w:hint="eastAsia" w:ascii="宋体" w:hAnsi="宋体" w:eastAsia="宋体" w:cs="宋体"/>
                <w:sz w:val="24"/>
                <w:szCs w:val="24"/>
              </w:rPr>
            </w:pPr>
          </w:p>
        </w:tc>
        <w:tc>
          <w:tcPr>
            <w:tcW w:w="528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电机、轴承加注黄油：如有异响，更换轴承。泵体及管道阀门除锈刷漆。坚固柜各线路接头螺母、清扫柜内灰尘等</w:t>
            </w:r>
          </w:p>
        </w:tc>
        <w:tc>
          <w:tcPr>
            <w:tcW w:w="2241"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润滑良好，线头紧</w:t>
            </w: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固良好。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62" w:hRule="exact"/>
        </w:trPr>
        <w:tc>
          <w:tcPr>
            <w:tcW w:w="900" w:type="dxa"/>
            <w:vMerge w:val="restart"/>
            <w:vAlign w:val="top"/>
          </w:tcPr>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供</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水</w:t>
            </w:r>
          </w:p>
        </w:tc>
        <w:tc>
          <w:tcPr>
            <w:tcW w:w="900"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每周</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p>
            <w:pPr>
              <w:pStyle w:val="964"/>
              <w:spacing w:line="360" w:lineRule="auto"/>
              <w:jc w:val="center"/>
              <w:rPr>
                <w:rFonts w:hint="eastAsia" w:ascii="宋体" w:hAnsi="宋体" w:eastAsia="宋体" w:cs="宋体"/>
                <w:sz w:val="24"/>
                <w:szCs w:val="24"/>
              </w:rPr>
            </w:pPr>
          </w:p>
        </w:tc>
        <w:tc>
          <w:tcPr>
            <w:tcW w:w="528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检查外观是否完好，应无滴、漏现象。检查闸阀，观察供压力表是否正常。阀门开启位置是否正确。标示是否清晰。</w:t>
            </w:r>
          </w:p>
          <w:p>
            <w:pPr>
              <w:pStyle w:val="964"/>
              <w:spacing w:line="360" w:lineRule="auto"/>
              <w:rPr>
                <w:rFonts w:hint="eastAsia" w:ascii="宋体" w:hAnsi="宋体" w:eastAsia="宋体" w:cs="宋体"/>
                <w:sz w:val="24"/>
                <w:szCs w:val="24"/>
              </w:rPr>
            </w:pPr>
          </w:p>
        </w:tc>
        <w:tc>
          <w:tcPr>
            <w:tcW w:w="2241"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运行正常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74" w:hRule="exact"/>
        </w:trPr>
        <w:tc>
          <w:tcPr>
            <w:tcW w:w="900" w:type="dxa"/>
            <w:vMerge w:val="continue"/>
            <w:vAlign w:val="center"/>
          </w:tcPr>
          <w:p>
            <w:pPr>
              <w:pStyle w:val="964"/>
              <w:spacing w:line="360" w:lineRule="auto"/>
              <w:jc w:val="center"/>
              <w:rPr>
                <w:rFonts w:hint="eastAsia" w:ascii="宋体" w:hAnsi="宋体" w:eastAsia="宋体" w:cs="宋体"/>
                <w:kern w:val="0"/>
                <w:sz w:val="24"/>
                <w:szCs w:val="24"/>
              </w:rPr>
            </w:pPr>
          </w:p>
        </w:tc>
        <w:tc>
          <w:tcPr>
            <w:tcW w:w="900" w:type="dxa"/>
            <w:vAlign w:val="top"/>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每季</w:t>
            </w:r>
          </w:p>
          <w:p>
            <w:pPr>
              <w:pStyle w:val="964"/>
              <w:spacing w:line="360" w:lineRule="auto"/>
              <w:jc w:val="center"/>
              <w:rPr>
                <w:rFonts w:hint="eastAsia" w:ascii="宋体" w:hAnsi="宋体" w:eastAsia="宋体" w:cs="宋体"/>
                <w:sz w:val="24"/>
                <w:szCs w:val="24"/>
              </w:rPr>
            </w:pPr>
            <w:r>
              <w:rPr>
                <w:rFonts w:hint="eastAsia" w:ascii="宋体" w:hAnsi="宋体" w:eastAsia="宋体" w:cs="宋体"/>
                <w:kern w:val="0"/>
                <w:sz w:val="24"/>
                <w:szCs w:val="24"/>
              </w:rPr>
              <w:t>一次</w:t>
            </w:r>
          </w:p>
        </w:tc>
        <w:tc>
          <w:tcPr>
            <w:tcW w:w="528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重复上述内。清理管道内的杂物，</w:t>
            </w:r>
            <w:r>
              <w:rPr>
                <w:rFonts w:hint="eastAsia" w:ascii="宋体" w:hAnsi="宋体" w:eastAsia="宋体" w:cs="宋体"/>
                <w:kern w:val="0"/>
                <w:sz w:val="24"/>
                <w:szCs w:val="24"/>
                <w:lang w:eastAsia="zh-CN"/>
              </w:rPr>
              <w:t>疏通</w:t>
            </w:r>
            <w:r>
              <w:rPr>
                <w:rFonts w:hint="eastAsia" w:ascii="宋体" w:hAnsi="宋体" w:eastAsia="宋体" w:cs="宋体"/>
                <w:kern w:val="0"/>
                <w:sz w:val="24"/>
                <w:szCs w:val="24"/>
              </w:rPr>
              <w:t>排污管道</w:t>
            </w:r>
            <w:r>
              <w:rPr>
                <w:rFonts w:hint="eastAsia" w:ascii="宋体" w:hAnsi="宋体" w:eastAsia="宋体" w:cs="宋体"/>
                <w:kern w:val="0"/>
                <w:sz w:val="24"/>
                <w:szCs w:val="24"/>
                <w:lang w:eastAsia="zh-CN"/>
              </w:rPr>
              <w:t>，检查阀门</w:t>
            </w:r>
            <w:r>
              <w:rPr>
                <w:rFonts w:hint="eastAsia" w:ascii="宋体" w:hAnsi="宋体" w:eastAsia="宋体" w:cs="宋体"/>
                <w:kern w:val="0"/>
                <w:sz w:val="24"/>
                <w:szCs w:val="24"/>
              </w:rPr>
              <w:t>。</w:t>
            </w:r>
          </w:p>
        </w:tc>
        <w:tc>
          <w:tcPr>
            <w:tcW w:w="2241"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管道内无杂物、阀</w:t>
            </w:r>
            <w:r>
              <w:rPr>
                <w:rFonts w:hint="eastAsia" w:ascii="宋体" w:hAnsi="宋体" w:eastAsia="宋体" w:cs="宋体"/>
                <w:kern w:val="0"/>
                <w:sz w:val="24"/>
                <w:szCs w:val="24"/>
                <w:lang w:eastAsia="zh-CN"/>
              </w:rPr>
              <w:t>门完好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71" w:hRule="exact"/>
        </w:trPr>
        <w:tc>
          <w:tcPr>
            <w:tcW w:w="900" w:type="dxa"/>
            <w:vMerge w:val="restart"/>
            <w:vAlign w:val="top"/>
          </w:tcPr>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排污</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管网</w:t>
            </w:r>
          </w:p>
        </w:tc>
        <w:tc>
          <w:tcPr>
            <w:tcW w:w="900"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每天</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28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闸阀开启、关闭是否灵活，有无跑、冒、滴、漏现象。</w:t>
            </w:r>
          </w:p>
        </w:tc>
        <w:tc>
          <w:tcPr>
            <w:tcW w:w="2241"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门开启灵活，无泄漏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66" w:hRule="exact"/>
        </w:trPr>
        <w:tc>
          <w:tcPr>
            <w:tcW w:w="900" w:type="dxa"/>
            <w:vMerge w:val="continue"/>
            <w:vAlign w:val="center"/>
          </w:tcPr>
          <w:p>
            <w:pPr>
              <w:pStyle w:val="964"/>
              <w:spacing w:line="360" w:lineRule="auto"/>
              <w:rPr>
                <w:rFonts w:hint="eastAsia" w:ascii="宋体" w:hAnsi="宋体" w:eastAsia="宋体" w:cs="宋体"/>
                <w:kern w:val="0"/>
                <w:sz w:val="24"/>
                <w:szCs w:val="24"/>
              </w:rPr>
            </w:pPr>
          </w:p>
        </w:tc>
        <w:tc>
          <w:tcPr>
            <w:tcW w:w="900" w:type="dxa"/>
            <w:vAlign w:val="top"/>
          </w:tcPr>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每年</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288" w:type="dxa"/>
            <w:vAlign w:val="top"/>
          </w:tcPr>
          <w:p>
            <w:pPr>
              <w:pStyle w:val="964"/>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重复上述内容。检查修整全部管架。管道及支架除锈刷漆检查止回阀、浮球阀、液位控制器是否正常：管道内部清洗、作防腐处理。更换各类阀门标识，并际注管内水流方向；各类阀门丝杆上油并加装防护套。</w:t>
            </w:r>
          </w:p>
        </w:tc>
        <w:tc>
          <w:tcPr>
            <w:tcW w:w="2241"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管架防锈良好，阀门工作正常，标识清晰。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63" w:hRule="exact"/>
        </w:trPr>
        <w:tc>
          <w:tcPr>
            <w:tcW w:w="900" w:type="dxa"/>
            <w:vMerge w:val="restart"/>
            <w:vAlign w:val="top"/>
          </w:tcPr>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生活</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水池</w:t>
            </w:r>
          </w:p>
        </w:tc>
        <w:tc>
          <w:tcPr>
            <w:tcW w:w="900"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每周</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288" w:type="dxa"/>
            <w:vAlign w:val="top"/>
          </w:tcPr>
          <w:p>
            <w:pPr>
              <w:pStyle w:val="964"/>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检查外观是否完好，有无跑冒、滴、漏现象，箱口及透气管防虫纱网是否完好。打开排污阀排污。检查进水浮阀并作手动进水试验。观察水质情况。检测水的PH值和含氯量。水箱、水池盖板是否上锁并且完好。</w:t>
            </w:r>
          </w:p>
        </w:tc>
        <w:tc>
          <w:tcPr>
            <w:tcW w:w="2241" w:type="dxa"/>
            <w:vAlign w:val="top"/>
          </w:tcPr>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无泄漏，防虫网、</w:t>
            </w: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盖板完好。水质合</w:t>
            </w: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7" w:hRule="exact"/>
        </w:trPr>
        <w:tc>
          <w:tcPr>
            <w:tcW w:w="900" w:type="dxa"/>
            <w:vMerge w:val="continue"/>
            <w:vAlign w:val="center"/>
          </w:tcPr>
          <w:p>
            <w:pPr>
              <w:pStyle w:val="964"/>
              <w:spacing w:line="360" w:lineRule="auto"/>
              <w:rPr>
                <w:rFonts w:hint="eastAsia" w:ascii="宋体" w:hAnsi="宋体" w:eastAsia="宋体" w:cs="宋体"/>
                <w:kern w:val="0"/>
                <w:sz w:val="24"/>
                <w:szCs w:val="24"/>
              </w:rPr>
            </w:pPr>
          </w:p>
        </w:tc>
        <w:tc>
          <w:tcPr>
            <w:tcW w:w="900"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每月</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28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重复上述内容。按规定比例按时投放消毒药品</w:t>
            </w:r>
          </w:p>
        </w:tc>
        <w:tc>
          <w:tcPr>
            <w:tcW w:w="2241" w:type="dxa"/>
            <w:vAlign w:val="top"/>
          </w:tcPr>
          <w:p>
            <w:pPr>
              <w:pStyle w:val="964"/>
              <w:spacing w:line="360" w:lineRule="auto"/>
              <w:rPr>
                <w:rFonts w:hint="eastAsia" w:ascii="宋体" w:hAnsi="宋体" w:eastAsia="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21" w:hRule="exact"/>
        </w:trPr>
        <w:tc>
          <w:tcPr>
            <w:tcW w:w="900" w:type="dxa"/>
            <w:vMerge w:val="continue"/>
            <w:vAlign w:val="center"/>
          </w:tcPr>
          <w:p>
            <w:pPr>
              <w:pStyle w:val="964"/>
              <w:spacing w:line="360" w:lineRule="auto"/>
              <w:rPr>
                <w:rFonts w:hint="eastAsia" w:ascii="宋体" w:hAnsi="宋体" w:eastAsia="宋体" w:cs="宋体"/>
                <w:kern w:val="0"/>
                <w:sz w:val="24"/>
                <w:szCs w:val="24"/>
              </w:rPr>
            </w:pPr>
          </w:p>
        </w:tc>
        <w:tc>
          <w:tcPr>
            <w:tcW w:w="900"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每年</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清洗</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四次</w:t>
            </w:r>
          </w:p>
        </w:tc>
        <w:tc>
          <w:tcPr>
            <w:tcW w:w="528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提前24小时通知相关部门做好储水准备。提前关闭水池进水闸阀，排放干水池。专业公司清洗消毒。</w:t>
            </w:r>
          </w:p>
        </w:tc>
        <w:tc>
          <w:tcPr>
            <w:tcW w:w="2241"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水池内无泥沙及沉积物，水样检测合格，由专业部门出具检测报告。</w:t>
            </w:r>
          </w:p>
          <w:p>
            <w:pPr>
              <w:pStyle w:val="964"/>
              <w:spacing w:line="360" w:lineRule="auto"/>
              <w:rPr>
                <w:rFonts w:hint="eastAsia" w:ascii="宋体" w:hAnsi="宋体" w:eastAsia="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94" w:hRule="exact"/>
        </w:trPr>
        <w:tc>
          <w:tcPr>
            <w:tcW w:w="900" w:type="dxa"/>
            <w:vMerge w:val="restart"/>
            <w:vAlign w:val="top"/>
          </w:tcPr>
          <w:p>
            <w:pPr>
              <w:pStyle w:val="964"/>
              <w:spacing w:line="360" w:lineRule="auto"/>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给水井</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雨水井</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污水井</w:t>
            </w:r>
          </w:p>
        </w:tc>
        <w:tc>
          <w:tcPr>
            <w:tcW w:w="900"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每月</w:t>
            </w: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一次</w:t>
            </w:r>
          </w:p>
        </w:tc>
        <w:tc>
          <w:tcPr>
            <w:tcW w:w="528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检查井盖是否盖严、完好、开盖检查井底是否有污物，  如有则清除干净。检查井盖铸造字迹是否清晰、正确。</w:t>
            </w:r>
          </w:p>
        </w:tc>
        <w:tc>
          <w:tcPr>
            <w:tcW w:w="2241" w:type="dxa"/>
            <w:vAlign w:val="top"/>
          </w:tcPr>
          <w:p>
            <w:pPr>
              <w:pStyle w:val="964"/>
              <w:spacing w:line="360" w:lineRule="auto"/>
              <w:rPr>
                <w:rFonts w:hint="eastAsia" w:ascii="宋体" w:hAnsi="宋体" w:eastAsia="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59" w:hRule="exact"/>
        </w:trPr>
        <w:tc>
          <w:tcPr>
            <w:tcW w:w="900" w:type="dxa"/>
            <w:vMerge w:val="continue"/>
            <w:vAlign w:val="center"/>
          </w:tcPr>
          <w:p>
            <w:pPr>
              <w:pStyle w:val="964"/>
              <w:spacing w:line="360" w:lineRule="auto"/>
              <w:rPr>
                <w:rFonts w:hint="eastAsia" w:ascii="宋体" w:hAnsi="宋体" w:eastAsia="宋体" w:cs="宋体"/>
                <w:kern w:val="0"/>
                <w:sz w:val="24"/>
                <w:szCs w:val="24"/>
              </w:rPr>
            </w:pPr>
          </w:p>
        </w:tc>
        <w:tc>
          <w:tcPr>
            <w:tcW w:w="900"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半年</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28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重复上述检查。清理污泥，通下水管道。各类井盖及金属构件刷漆。</w:t>
            </w:r>
          </w:p>
        </w:tc>
        <w:tc>
          <w:tcPr>
            <w:tcW w:w="2241" w:type="dxa"/>
            <w:vAlign w:val="top"/>
          </w:tcPr>
          <w:p>
            <w:pPr>
              <w:pStyle w:val="964"/>
              <w:spacing w:line="360" w:lineRule="auto"/>
              <w:rPr>
                <w:rFonts w:hint="eastAsia" w:ascii="宋体" w:hAnsi="宋体" w:eastAsia="宋体" w:cs="宋体"/>
                <w:kern w:val="0"/>
                <w:sz w:val="24"/>
                <w:szCs w:val="24"/>
              </w:rPr>
            </w:pPr>
          </w:p>
        </w:tc>
      </w:tr>
    </w:tbl>
    <w:p>
      <w:pPr>
        <w:autoSpaceDE w:val="0"/>
        <w:autoSpaceDN w:val="0"/>
        <w:adjustRightInd w:val="0"/>
        <w:snapToGrid w:val="0"/>
        <w:spacing w:line="360" w:lineRule="auto"/>
        <w:ind w:firstLine="560"/>
        <w:rPr>
          <w:rFonts w:hint="eastAsia" w:ascii="宋体" w:hAnsi="宋体" w:eastAsia="宋体" w:cs="宋体"/>
          <w:kern w:val="0"/>
          <w:sz w:val="24"/>
          <w:szCs w:val="24"/>
        </w:rPr>
      </w:pPr>
    </w:p>
    <w:p>
      <w:pPr>
        <w:pStyle w:val="784"/>
        <w:rPr>
          <w:rFonts w:hint="eastAsia" w:ascii="宋体" w:hAnsi="宋体" w:eastAsia="宋体" w:cs="宋体"/>
          <w:sz w:val="24"/>
          <w:szCs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784"/>
        <w:rPr>
          <w:rFonts w:hint="eastAsia" w:ascii="宋体" w:hAnsi="宋体" w:eastAsia="宋体" w:cs="宋体"/>
          <w:sz w:val="24"/>
          <w:szCs w:val="24"/>
        </w:rPr>
      </w:pPr>
      <w:r>
        <w:rPr>
          <w:rFonts w:hint="eastAsia" w:ascii="宋体" w:hAnsi="宋体" w:eastAsia="宋体" w:cs="宋体"/>
          <w:sz w:val="24"/>
          <w:szCs w:val="24"/>
        </w:rPr>
        <w:t>（三）空调系统管理要求</w:t>
      </w:r>
      <w:r>
        <w:rPr>
          <w:rFonts w:hint="eastAsia" w:ascii="宋体" w:hAnsi="宋体" w:eastAsia="宋体" w:cs="宋体"/>
          <w:sz w:val="24"/>
          <w:szCs w:val="24"/>
          <w:lang w:eastAsia="zh-CN"/>
        </w:rPr>
        <w:t>（监督、配合专业维保公司完成下列工作）</w:t>
      </w:r>
    </w:p>
    <w:tbl>
      <w:tblPr>
        <w:tblStyle w:val="62"/>
        <w:tblW w:w="9498" w:type="dxa"/>
        <w:tblInd w:w="-56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51"/>
        <w:gridCol w:w="992"/>
        <w:gridCol w:w="5387"/>
        <w:gridCol w:w="22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2" w:hRule="exact"/>
        </w:trPr>
        <w:tc>
          <w:tcPr>
            <w:tcW w:w="851"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992"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频次</w:t>
            </w:r>
          </w:p>
        </w:tc>
        <w:tc>
          <w:tcPr>
            <w:tcW w:w="5387"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内  容</w:t>
            </w:r>
          </w:p>
        </w:tc>
        <w:tc>
          <w:tcPr>
            <w:tcW w:w="2268"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具体要求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3" w:hRule="exact"/>
        </w:trPr>
        <w:tc>
          <w:tcPr>
            <w:tcW w:w="851" w:type="dxa"/>
            <w:vMerge w:val="restart"/>
            <w:vAlign w:val="top"/>
          </w:tcPr>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冷却</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泵冷</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冻泵</w:t>
            </w:r>
          </w:p>
        </w:tc>
        <w:tc>
          <w:tcPr>
            <w:tcW w:w="992" w:type="dxa"/>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日常</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维护</w:t>
            </w:r>
          </w:p>
          <w:p>
            <w:pPr>
              <w:pStyle w:val="964"/>
              <w:spacing w:line="360" w:lineRule="auto"/>
              <w:jc w:val="center"/>
              <w:rPr>
                <w:rFonts w:hint="eastAsia" w:ascii="宋体" w:hAnsi="宋体" w:eastAsia="宋体" w:cs="宋体"/>
                <w:sz w:val="24"/>
                <w:szCs w:val="24"/>
              </w:rPr>
            </w:pPr>
          </w:p>
        </w:tc>
        <w:tc>
          <w:tcPr>
            <w:tcW w:w="5387" w:type="dxa"/>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检查电机电流、电压、温度，观察有无异常现象。泵体盘根处滴水是否符合要求。</w:t>
            </w:r>
          </w:p>
        </w:tc>
        <w:tc>
          <w:tcPr>
            <w:tcW w:w="2268" w:type="dxa"/>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电压、电流等正常，</w:t>
            </w: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盘根无漏水。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42" w:hRule="exact"/>
        </w:trPr>
        <w:tc>
          <w:tcPr>
            <w:tcW w:w="851" w:type="dxa"/>
            <w:vMerge w:val="continue"/>
            <w:vAlign w:val="center"/>
          </w:tcPr>
          <w:p>
            <w:pPr>
              <w:pStyle w:val="964"/>
              <w:spacing w:line="360" w:lineRule="auto"/>
              <w:jc w:val="center"/>
              <w:rPr>
                <w:rFonts w:hint="eastAsia" w:ascii="宋体" w:hAnsi="宋体" w:eastAsia="宋体" w:cs="宋体"/>
                <w:kern w:val="0"/>
                <w:sz w:val="24"/>
                <w:szCs w:val="24"/>
              </w:rPr>
            </w:pPr>
          </w:p>
        </w:tc>
        <w:tc>
          <w:tcPr>
            <w:tcW w:w="992" w:type="dxa"/>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每季</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387" w:type="dxa"/>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检查运行记录，检查联轴器及盘根的使用状况。转动阀门，检查阀门能否灵活开、关。</w:t>
            </w:r>
          </w:p>
        </w:tc>
        <w:tc>
          <w:tcPr>
            <w:tcW w:w="2268" w:type="dxa"/>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联轴器、阀门正常有效。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02" w:hRule="exact"/>
        </w:trPr>
        <w:tc>
          <w:tcPr>
            <w:tcW w:w="851" w:type="dxa"/>
            <w:vMerge w:val="continue"/>
            <w:vAlign w:val="center"/>
          </w:tcPr>
          <w:p>
            <w:pPr>
              <w:pStyle w:val="964"/>
              <w:spacing w:line="360" w:lineRule="auto"/>
              <w:jc w:val="center"/>
              <w:rPr>
                <w:rFonts w:hint="eastAsia" w:ascii="宋体" w:hAnsi="宋体" w:eastAsia="宋体" w:cs="宋体"/>
                <w:kern w:val="0"/>
                <w:sz w:val="24"/>
                <w:szCs w:val="24"/>
              </w:rPr>
            </w:pPr>
          </w:p>
        </w:tc>
        <w:tc>
          <w:tcPr>
            <w:tcW w:w="992" w:type="dxa"/>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每年</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387" w:type="dxa"/>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清洗水泵及电机轴承并加洋润滑油。检测电机绕组对地绝缘电阻，并记录。更换水泵轴衬套，重新加装填料。泵体清洁除锈刷漆</w:t>
            </w:r>
            <w:r>
              <w:rPr>
                <w:rFonts w:hint="eastAsia" w:ascii="宋体" w:hAnsi="宋体" w:eastAsia="宋体" w:cs="宋体"/>
                <w:kern w:val="0"/>
                <w:sz w:val="24"/>
                <w:szCs w:val="24"/>
                <w:lang w:eastAsia="zh-CN"/>
              </w:rPr>
              <w:t>。</w:t>
            </w:r>
          </w:p>
        </w:tc>
        <w:tc>
          <w:tcPr>
            <w:tcW w:w="2268" w:type="dxa"/>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外观良好，润</w:t>
            </w:r>
            <w:r>
              <w:rPr>
                <w:rFonts w:hint="eastAsia" w:ascii="宋体" w:hAnsi="宋体" w:eastAsia="宋体" w:cs="宋体"/>
                <w:kern w:val="0"/>
                <w:sz w:val="24"/>
                <w:szCs w:val="24"/>
                <w:lang w:eastAsia="zh-CN"/>
              </w:rPr>
              <w:t>滑</w:t>
            </w:r>
            <w:r>
              <w:rPr>
                <w:rFonts w:hint="eastAsia" w:ascii="宋体" w:hAnsi="宋体" w:eastAsia="宋体" w:cs="宋体"/>
                <w:kern w:val="0"/>
                <w:sz w:val="24"/>
                <w:szCs w:val="24"/>
              </w:rPr>
              <w:t>良</w:t>
            </w: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好，阻值符合要求。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69" w:hRule="exact"/>
        </w:trPr>
        <w:tc>
          <w:tcPr>
            <w:tcW w:w="851" w:type="dxa"/>
            <w:vMerge w:val="restart"/>
            <w:vAlign w:val="top"/>
          </w:tcPr>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冷却</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水塔</w:t>
            </w:r>
          </w:p>
        </w:tc>
        <w:tc>
          <w:tcPr>
            <w:tcW w:w="992"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日常</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维护</w:t>
            </w:r>
          </w:p>
        </w:tc>
        <w:tc>
          <w:tcPr>
            <w:tcW w:w="5387"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检查水阀浮球阀是否正常。观察电流、电压及布水器及冷却水塔供水的运行情况。</w:t>
            </w:r>
          </w:p>
        </w:tc>
        <w:tc>
          <w:tcPr>
            <w:tcW w:w="226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电流、电压正常，阀门开启正常。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54" w:hRule="exact"/>
        </w:trPr>
        <w:tc>
          <w:tcPr>
            <w:tcW w:w="851" w:type="dxa"/>
            <w:vMerge w:val="continue"/>
            <w:vAlign w:val="center"/>
          </w:tcPr>
          <w:p>
            <w:pPr>
              <w:pStyle w:val="964"/>
              <w:spacing w:line="360" w:lineRule="auto"/>
              <w:rPr>
                <w:rFonts w:hint="eastAsia" w:ascii="宋体" w:hAnsi="宋体" w:eastAsia="宋体" w:cs="宋体"/>
                <w:kern w:val="0"/>
                <w:sz w:val="24"/>
                <w:szCs w:val="24"/>
              </w:rPr>
            </w:pPr>
          </w:p>
        </w:tc>
        <w:tc>
          <w:tcPr>
            <w:tcW w:w="992"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每季</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387"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每季检查2—3次布水器，并进行水处理。检查电机皮带是否正常，清洗冷却水塔和本体。</w:t>
            </w:r>
          </w:p>
        </w:tc>
        <w:tc>
          <w:tcPr>
            <w:tcW w:w="226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皮带正常，水质处理合格，冷却水塔外观良好。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68" w:hRule="exact"/>
        </w:trPr>
        <w:tc>
          <w:tcPr>
            <w:tcW w:w="851" w:type="dxa"/>
            <w:vMerge w:val="continue"/>
            <w:vAlign w:val="center"/>
          </w:tcPr>
          <w:p>
            <w:pPr>
              <w:pStyle w:val="964"/>
              <w:spacing w:line="360" w:lineRule="auto"/>
              <w:rPr>
                <w:rFonts w:hint="eastAsia" w:ascii="宋体" w:hAnsi="宋体" w:eastAsia="宋体" w:cs="宋体"/>
                <w:kern w:val="0"/>
                <w:sz w:val="24"/>
                <w:szCs w:val="24"/>
              </w:rPr>
            </w:pPr>
          </w:p>
        </w:tc>
        <w:tc>
          <w:tcPr>
            <w:tcW w:w="992" w:type="dxa"/>
            <w:vAlign w:val="top"/>
          </w:tcPr>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每年</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387"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用50V摇表检测电机绕组绝缘对地电阻不低于0．5MΏ，否则应干燥处理，达到符合要求．检查电机、风扇是否转动灵活，如轴承有阻滞现象应加润滑油；若有异常，则换新。检查皮带是否完好，如断裂则换新。检查布水器是否出水均匀，否则管道应清理。清洗冷却1风扇和叶片。检查补水浮球阀开头是否有效，拧紧所有坚同件。冷却水塔整体清洁。</w:t>
            </w:r>
          </w:p>
        </w:tc>
        <w:tc>
          <w:tcPr>
            <w:tcW w:w="226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电机风扇连接良好，塔体整洁。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50" w:hRule="exact"/>
        </w:trPr>
        <w:tc>
          <w:tcPr>
            <w:tcW w:w="851" w:type="dxa"/>
            <w:vMerge w:val="restart"/>
            <w:vAlign w:val="top"/>
          </w:tcPr>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风机</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盘管</w:t>
            </w:r>
          </w:p>
        </w:tc>
        <w:tc>
          <w:tcPr>
            <w:tcW w:w="992"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日常</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维护</w:t>
            </w:r>
          </w:p>
        </w:tc>
        <w:tc>
          <w:tcPr>
            <w:tcW w:w="5387"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观察风机是否正常运行。空调开关及电磁阀工作是否正常。每月清洗一次空气过滤网，不定期排除管内的空气。</w:t>
            </w:r>
          </w:p>
        </w:tc>
        <w:tc>
          <w:tcPr>
            <w:tcW w:w="226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运行正常</w:t>
            </w:r>
          </w:p>
          <w:p>
            <w:pPr>
              <w:pStyle w:val="964"/>
              <w:spacing w:line="360" w:lineRule="auto"/>
              <w:rPr>
                <w:rFonts w:hint="eastAsia" w:ascii="宋体" w:hAnsi="宋体" w:eastAsia="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34" w:hRule="exact"/>
        </w:trPr>
        <w:tc>
          <w:tcPr>
            <w:tcW w:w="851" w:type="dxa"/>
            <w:vMerge w:val="continue"/>
            <w:vAlign w:val="center"/>
          </w:tcPr>
          <w:p>
            <w:pPr>
              <w:pStyle w:val="964"/>
              <w:spacing w:line="360" w:lineRule="auto"/>
              <w:rPr>
                <w:rFonts w:hint="eastAsia" w:ascii="宋体" w:hAnsi="宋体" w:eastAsia="宋体" w:cs="宋体"/>
                <w:kern w:val="0"/>
                <w:sz w:val="24"/>
                <w:szCs w:val="24"/>
              </w:rPr>
            </w:pPr>
          </w:p>
        </w:tc>
        <w:tc>
          <w:tcPr>
            <w:tcW w:w="992"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每季</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p>
            <w:pPr>
              <w:pStyle w:val="964"/>
              <w:spacing w:line="360" w:lineRule="auto"/>
              <w:jc w:val="center"/>
              <w:rPr>
                <w:rFonts w:hint="eastAsia" w:ascii="宋体" w:hAnsi="宋体" w:eastAsia="宋体" w:cs="宋体"/>
                <w:kern w:val="0"/>
                <w:sz w:val="24"/>
                <w:szCs w:val="24"/>
              </w:rPr>
            </w:pPr>
          </w:p>
        </w:tc>
        <w:tc>
          <w:tcPr>
            <w:tcW w:w="5387"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检查冷凝水接水盘管道是否畅通排水。保温要求达到的标准是否良好，自动排气阀工作有效。</w:t>
            </w:r>
          </w:p>
        </w:tc>
        <w:tc>
          <w:tcPr>
            <w:tcW w:w="226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阀门工作正常，盘管畅通。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46" w:hRule="exact"/>
        </w:trPr>
        <w:tc>
          <w:tcPr>
            <w:tcW w:w="851" w:type="dxa"/>
            <w:vMerge w:val="continue"/>
            <w:vAlign w:val="center"/>
          </w:tcPr>
          <w:p>
            <w:pPr>
              <w:pStyle w:val="964"/>
              <w:spacing w:line="360" w:lineRule="auto"/>
              <w:rPr>
                <w:rFonts w:hint="eastAsia" w:ascii="宋体" w:hAnsi="宋体" w:eastAsia="宋体" w:cs="宋体"/>
                <w:kern w:val="0"/>
                <w:sz w:val="24"/>
                <w:szCs w:val="24"/>
              </w:rPr>
            </w:pPr>
          </w:p>
        </w:tc>
        <w:tc>
          <w:tcPr>
            <w:tcW w:w="992" w:type="dxa"/>
            <w:vAlign w:val="top"/>
          </w:tcPr>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每年</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387"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检查电机、风扇是否转动灵活，如轴承有阻滞现象应加润滑油；若有异常，则换新。用50V摇表检测电机绕组绝缘对地电阻不低于0．5MΏ，否则应干燥处理，达到符合要求．检查各节点螺栓坚固。清洁风叶片、盘管、积水盘上的污垢。整体清洁</w:t>
            </w:r>
          </w:p>
        </w:tc>
        <w:tc>
          <w:tcPr>
            <w:tcW w:w="226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出口风速、温度达到要求。电机运行无噪声，设备无漏水。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88" w:hRule="exact"/>
        </w:trPr>
        <w:tc>
          <w:tcPr>
            <w:tcW w:w="851" w:type="dxa"/>
            <w:vMerge w:val="restart"/>
            <w:vAlign w:val="top"/>
          </w:tcPr>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新风</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机柜</w:t>
            </w:r>
          </w:p>
        </w:tc>
        <w:tc>
          <w:tcPr>
            <w:tcW w:w="992"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日常</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维护</w:t>
            </w:r>
          </w:p>
        </w:tc>
        <w:tc>
          <w:tcPr>
            <w:tcW w:w="5387"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机组外部清洁。检查电磁阀、温控器工作是否正常、接水盘排水是否畅通。</w:t>
            </w:r>
          </w:p>
        </w:tc>
        <w:tc>
          <w:tcPr>
            <w:tcW w:w="226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外观良好、设备运行正常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1" w:hRule="exact"/>
        </w:trPr>
        <w:tc>
          <w:tcPr>
            <w:tcW w:w="851" w:type="dxa"/>
            <w:vMerge w:val="continue"/>
            <w:vAlign w:val="center"/>
          </w:tcPr>
          <w:p>
            <w:pPr>
              <w:pStyle w:val="964"/>
              <w:spacing w:line="360" w:lineRule="auto"/>
              <w:rPr>
                <w:rFonts w:hint="eastAsia" w:ascii="宋体" w:hAnsi="宋体" w:eastAsia="宋体" w:cs="宋体"/>
                <w:kern w:val="0"/>
                <w:sz w:val="24"/>
                <w:szCs w:val="24"/>
              </w:rPr>
            </w:pPr>
          </w:p>
        </w:tc>
        <w:tc>
          <w:tcPr>
            <w:tcW w:w="992"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每季</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387"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清洗风机过滤器。风机轴承加注润滑油</w:t>
            </w:r>
          </w:p>
        </w:tc>
        <w:tc>
          <w:tcPr>
            <w:tcW w:w="226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过滤器干净，润滑良好。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19" w:hRule="exact"/>
        </w:trPr>
        <w:tc>
          <w:tcPr>
            <w:tcW w:w="851" w:type="dxa"/>
            <w:vMerge w:val="continue"/>
            <w:vAlign w:val="center"/>
          </w:tcPr>
          <w:p>
            <w:pPr>
              <w:pStyle w:val="964"/>
              <w:spacing w:line="360" w:lineRule="auto"/>
              <w:rPr>
                <w:rFonts w:hint="eastAsia" w:ascii="宋体" w:hAnsi="宋体" w:eastAsia="宋体" w:cs="宋体"/>
                <w:kern w:val="0"/>
                <w:sz w:val="24"/>
                <w:szCs w:val="24"/>
              </w:rPr>
            </w:pPr>
          </w:p>
        </w:tc>
        <w:tc>
          <w:tcPr>
            <w:tcW w:w="992" w:type="dxa"/>
            <w:vAlign w:val="top"/>
          </w:tcPr>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每年</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387"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清洗风机及管道过滤网。清洗公共场所风机出风口。更换清洗电机轴承，并加注润滑油。风机及风柜外壳除锈补刷油漆。检查、测试控制线路节点螺栓紧固。</w:t>
            </w:r>
          </w:p>
          <w:p>
            <w:pPr>
              <w:pStyle w:val="964"/>
              <w:spacing w:line="360" w:lineRule="auto"/>
              <w:rPr>
                <w:rFonts w:hint="eastAsia" w:ascii="宋体" w:hAnsi="宋体" w:eastAsia="宋体" w:cs="宋体"/>
                <w:kern w:val="0"/>
                <w:sz w:val="24"/>
                <w:szCs w:val="24"/>
              </w:rPr>
            </w:pPr>
          </w:p>
        </w:tc>
        <w:tc>
          <w:tcPr>
            <w:tcW w:w="226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制冷效果良好、空气循环顺畅、无泄漏。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269" w:hRule="exact"/>
        </w:trPr>
        <w:tc>
          <w:tcPr>
            <w:tcW w:w="851" w:type="dxa"/>
            <w:vAlign w:val="top"/>
          </w:tcPr>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阀类</w:t>
            </w:r>
          </w:p>
        </w:tc>
        <w:tc>
          <w:tcPr>
            <w:tcW w:w="992"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每半</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年一</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次</w:t>
            </w:r>
          </w:p>
        </w:tc>
        <w:tc>
          <w:tcPr>
            <w:tcW w:w="5387"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节制阀与调节阀的维修保养。检查是古泄漏、如是则应加压填料。检查阀门开闭是否灵活，如有阻力则加注润滑油，如有破损则换新。磁调节阀、压差调节阀。检查干燥过滤器是否己脏堵或吸潮，如是则应作处理或更换。能断电检查电磁调节阀、压差调节阀是否运作可靠，如有问题则更换新或进行维修处理。阀门本体除锈、补漆。</w:t>
            </w:r>
          </w:p>
        </w:tc>
        <w:tc>
          <w:tcPr>
            <w:tcW w:w="226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开闭灵活，无破损和渗漏。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4" w:hRule="exact"/>
        </w:trPr>
        <w:tc>
          <w:tcPr>
            <w:tcW w:w="851" w:type="dxa"/>
            <w:vMerge w:val="restart"/>
            <w:vAlign w:val="top"/>
          </w:tcPr>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控制</w:t>
            </w: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系统</w:t>
            </w:r>
          </w:p>
        </w:tc>
        <w:tc>
          <w:tcPr>
            <w:tcW w:w="992"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日常</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维护</w:t>
            </w:r>
          </w:p>
          <w:p>
            <w:pPr>
              <w:pStyle w:val="964"/>
              <w:spacing w:line="360" w:lineRule="auto"/>
              <w:jc w:val="center"/>
              <w:rPr>
                <w:rFonts w:hint="eastAsia" w:ascii="宋体" w:hAnsi="宋体" w:eastAsia="宋体" w:cs="宋体"/>
                <w:kern w:val="0"/>
                <w:sz w:val="24"/>
                <w:szCs w:val="24"/>
              </w:rPr>
            </w:pPr>
          </w:p>
        </w:tc>
        <w:tc>
          <w:tcPr>
            <w:tcW w:w="5387"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定期清洁。检测电流、电压是否正常。</w:t>
            </w:r>
          </w:p>
        </w:tc>
        <w:tc>
          <w:tcPr>
            <w:tcW w:w="226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运行正常。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2" w:hRule="exact"/>
        </w:trPr>
        <w:tc>
          <w:tcPr>
            <w:tcW w:w="851" w:type="dxa"/>
            <w:vMerge w:val="continue"/>
            <w:vAlign w:val="center"/>
          </w:tcPr>
          <w:p>
            <w:pPr>
              <w:pStyle w:val="964"/>
              <w:spacing w:line="360" w:lineRule="auto"/>
              <w:rPr>
                <w:rFonts w:hint="eastAsia" w:ascii="宋体" w:hAnsi="宋体" w:eastAsia="宋体" w:cs="宋体"/>
                <w:kern w:val="0"/>
                <w:sz w:val="24"/>
                <w:szCs w:val="24"/>
              </w:rPr>
            </w:pPr>
          </w:p>
        </w:tc>
        <w:tc>
          <w:tcPr>
            <w:tcW w:w="992"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每季</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387"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检查配电开头、线路等有无过热现象。检查各节点</w:t>
            </w: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螺栓坚固。</w:t>
            </w:r>
          </w:p>
        </w:tc>
        <w:tc>
          <w:tcPr>
            <w:tcW w:w="226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线路接点无过热现</w:t>
            </w: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象、控制装置良好。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2" w:hRule="exact"/>
        </w:trPr>
        <w:tc>
          <w:tcPr>
            <w:tcW w:w="851" w:type="dxa"/>
            <w:vMerge w:val="continue"/>
            <w:vAlign w:val="center"/>
          </w:tcPr>
          <w:p>
            <w:pPr>
              <w:pStyle w:val="964"/>
              <w:spacing w:line="360" w:lineRule="auto"/>
              <w:rPr>
                <w:rFonts w:hint="eastAsia" w:ascii="宋体" w:hAnsi="宋体" w:eastAsia="宋体" w:cs="宋体"/>
                <w:kern w:val="0"/>
                <w:sz w:val="24"/>
                <w:szCs w:val="24"/>
              </w:rPr>
            </w:pPr>
          </w:p>
        </w:tc>
        <w:tc>
          <w:tcPr>
            <w:tcW w:w="992"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每年</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p>
            <w:pPr>
              <w:pStyle w:val="964"/>
              <w:spacing w:line="360" w:lineRule="auto"/>
              <w:jc w:val="center"/>
              <w:rPr>
                <w:rFonts w:hint="eastAsia" w:ascii="宋体" w:hAnsi="宋体" w:eastAsia="宋体" w:cs="宋体"/>
                <w:kern w:val="0"/>
                <w:sz w:val="24"/>
                <w:szCs w:val="24"/>
              </w:rPr>
            </w:pPr>
          </w:p>
        </w:tc>
        <w:tc>
          <w:tcPr>
            <w:tcW w:w="5387"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检测控制箱的接地电阻。更换接触不良配件。</w:t>
            </w:r>
          </w:p>
        </w:tc>
        <w:tc>
          <w:tcPr>
            <w:tcW w:w="226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阻值符合规范要求。</w:t>
            </w:r>
          </w:p>
          <w:p>
            <w:pPr>
              <w:pStyle w:val="964"/>
              <w:spacing w:line="360" w:lineRule="auto"/>
              <w:rPr>
                <w:rFonts w:hint="eastAsia" w:ascii="宋体" w:hAnsi="宋体" w:eastAsia="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82" w:hRule="exact"/>
        </w:trPr>
        <w:tc>
          <w:tcPr>
            <w:tcW w:w="851"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水处理</w:t>
            </w:r>
          </w:p>
        </w:tc>
        <w:tc>
          <w:tcPr>
            <w:tcW w:w="992"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每年</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一次</w:t>
            </w:r>
          </w:p>
        </w:tc>
        <w:tc>
          <w:tcPr>
            <w:tcW w:w="5387"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委托专业公司进行水处理，达到相关规程规定，并记录归档保存。</w:t>
            </w:r>
          </w:p>
        </w:tc>
        <w:tc>
          <w:tcPr>
            <w:tcW w:w="2268"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合格</w:t>
            </w:r>
          </w:p>
        </w:tc>
      </w:tr>
    </w:tbl>
    <w:p>
      <w:pPr>
        <w:pStyle w:val="784"/>
        <w:rPr>
          <w:rFonts w:hint="eastAsia" w:ascii="宋体" w:hAnsi="宋体" w:eastAsia="宋体" w:cs="宋体"/>
          <w:sz w:val="24"/>
          <w:szCs w:val="24"/>
        </w:rPr>
      </w:pPr>
      <w:r>
        <w:rPr>
          <w:rFonts w:hint="eastAsia" w:ascii="宋体" w:hAnsi="宋体" w:eastAsia="宋体" w:cs="宋体"/>
          <w:sz w:val="24"/>
          <w:szCs w:val="24"/>
        </w:rPr>
        <w:t>（四）日常水电、电梯、综合维修等要求</w:t>
      </w:r>
    </w:p>
    <w:tbl>
      <w:tblPr>
        <w:tblStyle w:val="62"/>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2"/>
        <w:gridCol w:w="5420"/>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992"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频次</w:t>
            </w:r>
          </w:p>
        </w:tc>
        <w:tc>
          <w:tcPr>
            <w:tcW w:w="5420"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内  容</w:t>
            </w:r>
          </w:p>
        </w:tc>
        <w:tc>
          <w:tcPr>
            <w:tcW w:w="2127"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锅炉</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系统</w:t>
            </w:r>
          </w:p>
        </w:tc>
        <w:tc>
          <w:tcPr>
            <w:tcW w:w="992"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每天</w:t>
            </w:r>
          </w:p>
        </w:tc>
        <w:tc>
          <w:tcPr>
            <w:tcW w:w="5420"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检测各项指标是否安全正常</w:t>
            </w:r>
          </w:p>
        </w:tc>
        <w:tc>
          <w:tcPr>
            <w:tcW w:w="2127"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保证安全、可供水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电梯</w:t>
            </w:r>
          </w:p>
        </w:tc>
        <w:tc>
          <w:tcPr>
            <w:tcW w:w="992" w:type="dxa"/>
            <w:vAlign w:val="top"/>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每天</w:t>
            </w:r>
          </w:p>
        </w:tc>
        <w:tc>
          <w:tcPr>
            <w:tcW w:w="5420"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检测各项指标是否安全正常</w:t>
            </w:r>
          </w:p>
        </w:tc>
        <w:tc>
          <w:tcPr>
            <w:tcW w:w="2127" w:type="dxa"/>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安全正常使用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综合</w:t>
            </w:r>
          </w:p>
          <w:p>
            <w:pPr>
              <w:pStyle w:val="964"/>
              <w:spacing w:line="360" w:lineRule="auto"/>
              <w:jc w:val="center"/>
              <w:rPr>
                <w:rFonts w:hint="eastAsia" w:ascii="宋体" w:hAnsi="宋体" w:eastAsia="宋体" w:cs="宋体"/>
                <w:b/>
                <w:sz w:val="24"/>
                <w:szCs w:val="24"/>
              </w:rPr>
            </w:pPr>
            <w:r>
              <w:rPr>
                <w:rFonts w:hint="eastAsia" w:ascii="宋体" w:hAnsi="宋体" w:eastAsia="宋体" w:cs="宋体"/>
                <w:kern w:val="0"/>
                <w:sz w:val="24"/>
                <w:szCs w:val="24"/>
              </w:rPr>
              <w:t>维修</w:t>
            </w:r>
          </w:p>
        </w:tc>
        <w:tc>
          <w:tcPr>
            <w:tcW w:w="992" w:type="dxa"/>
            <w:vAlign w:val="top"/>
          </w:tcPr>
          <w:p>
            <w:pPr>
              <w:pStyle w:val="964"/>
              <w:spacing w:line="360" w:lineRule="auto"/>
              <w:jc w:val="center"/>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b/>
                <w:sz w:val="24"/>
                <w:szCs w:val="24"/>
              </w:rPr>
            </w:pPr>
            <w:r>
              <w:rPr>
                <w:rFonts w:hint="eastAsia" w:ascii="宋体" w:hAnsi="宋体" w:eastAsia="宋体" w:cs="宋体"/>
                <w:kern w:val="0"/>
                <w:sz w:val="24"/>
                <w:szCs w:val="24"/>
              </w:rPr>
              <w:t>每天</w:t>
            </w:r>
          </w:p>
        </w:tc>
        <w:tc>
          <w:tcPr>
            <w:tcW w:w="5420" w:type="dxa"/>
            <w:vAlign w:val="top"/>
          </w:tcPr>
          <w:p>
            <w:pPr>
              <w:pStyle w:val="964"/>
              <w:spacing w:line="360" w:lineRule="auto"/>
              <w:rPr>
                <w:rFonts w:hint="eastAsia" w:ascii="宋体" w:hAnsi="宋体" w:eastAsia="宋体" w:cs="宋体"/>
                <w:b/>
                <w:sz w:val="24"/>
                <w:szCs w:val="24"/>
              </w:rPr>
            </w:pPr>
            <w:r>
              <w:rPr>
                <w:rFonts w:hint="eastAsia" w:ascii="宋体" w:hAnsi="宋体" w:eastAsia="宋体" w:cs="宋体"/>
                <w:sz w:val="24"/>
                <w:szCs w:val="24"/>
              </w:rPr>
              <w:t>负责院区建筑物、院落及水电的室内外维护、修缮及安装改造工作，并做好相关记录。各类办公、医疗家具的小修，五金配件的更换工作，并做好相关记录。</w:t>
            </w:r>
          </w:p>
        </w:tc>
        <w:tc>
          <w:tcPr>
            <w:tcW w:w="2127" w:type="dxa"/>
            <w:vAlign w:val="top"/>
          </w:tcPr>
          <w:p>
            <w:pPr>
              <w:pStyle w:val="964"/>
              <w:spacing w:line="360" w:lineRule="auto"/>
              <w:rPr>
                <w:rFonts w:hint="eastAsia" w:ascii="宋体" w:hAnsi="宋体" w:eastAsia="宋体" w:cs="宋体"/>
                <w:b/>
                <w:sz w:val="24"/>
                <w:szCs w:val="24"/>
              </w:rPr>
            </w:pPr>
            <w:r>
              <w:rPr>
                <w:rFonts w:hint="eastAsia" w:ascii="宋体" w:hAnsi="宋体" w:eastAsia="宋体" w:cs="宋体"/>
                <w:kern w:val="0"/>
                <w:sz w:val="24"/>
                <w:szCs w:val="24"/>
              </w:rPr>
              <w:t>保证正常使用</w:t>
            </w:r>
          </w:p>
        </w:tc>
      </w:tr>
    </w:tbl>
    <w:p>
      <w:pPr>
        <w:pStyle w:val="784"/>
        <w:rPr>
          <w:rFonts w:hint="eastAsia" w:ascii="宋体" w:hAnsi="宋体" w:eastAsia="宋体" w:cs="宋体"/>
          <w:sz w:val="24"/>
          <w:szCs w:val="24"/>
        </w:rPr>
      </w:pPr>
      <w:r>
        <w:rPr>
          <w:rFonts w:hint="eastAsia" w:ascii="宋体" w:hAnsi="宋体" w:eastAsia="宋体" w:cs="宋体"/>
          <w:sz w:val="24"/>
          <w:szCs w:val="24"/>
        </w:rPr>
        <w:t>（五）污水处理系统</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（1）包括医院所有污水处理装置和设备管理。</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（2）负责污水处理系统的日常维修、维护。</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（3）负责污水处理系统日常操作并记录、监管水质送检落实及与监测部门沟通。</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（4）做好污水处理系统的清淤工作并与废物处理公司进行交接登记工作。</w:t>
      </w:r>
    </w:p>
    <w:p>
      <w:pPr>
        <w:pStyle w:val="784"/>
        <w:rPr>
          <w:rFonts w:hint="eastAsia" w:ascii="宋体" w:hAnsi="宋体" w:eastAsia="宋体" w:cs="宋体"/>
          <w:sz w:val="24"/>
          <w:szCs w:val="24"/>
        </w:rPr>
      </w:pPr>
      <w:r>
        <w:rPr>
          <w:rFonts w:hint="eastAsia" w:ascii="宋体" w:hAnsi="宋体" w:eastAsia="宋体" w:cs="宋体"/>
          <w:sz w:val="24"/>
          <w:szCs w:val="24"/>
        </w:rPr>
        <w:t>（六）其他说明</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1、工作人员必须经专业培训上岗，持有相应的上岗证，技术合格，胜任本岗工作，达到对设备能够检修、检测、检验能力，并且做到工作岗位记录、资料等台帐齐全。</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2、工作人员文明上岗，统一着装，标志明显，自觉遵守中心相关规章制度。</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3、实行24小时值班</w:t>
      </w:r>
      <w:r>
        <w:rPr>
          <w:rFonts w:hint="eastAsia" w:ascii="宋体" w:hAnsi="宋体" w:eastAsia="宋体" w:cs="宋体"/>
          <w:sz w:val="24"/>
          <w:szCs w:val="24"/>
          <w:lang w:eastAsia="zh-CN"/>
        </w:rPr>
        <w:t>。</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4、要求成立抢修小组，对中心突发性电梯</w:t>
      </w:r>
      <w:r>
        <w:rPr>
          <w:rFonts w:hint="eastAsia" w:ascii="宋体" w:hAnsi="宋体" w:eastAsia="宋体" w:cs="宋体"/>
          <w:sz w:val="24"/>
          <w:szCs w:val="24"/>
          <w:lang w:eastAsia="zh-CN"/>
        </w:rPr>
        <w:t>故障</w:t>
      </w:r>
      <w:r>
        <w:rPr>
          <w:rFonts w:hint="eastAsia" w:ascii="宋体" w:hAnsi="宋体" w:eastAsia="宋体" w:cs="宋体"/>
          <w:sz w:val="24"/>
          <w:szCs w:val="24"/>
        </w:rPr>
        <w:t>、停电、停水动力设备故障要组织抢修。</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5、和设备维保单位之间做好衔接和协调，配合设备维保单位相关工作。</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6、中标方需提供日常维修工具（专用工具除外）、耗材（钉子、螺丝、绝缘胶带、生料带等）以及劳保防护用品（如绝缘靴、绝缘手套、安全帽等）。</w:t>
      </w:r>
    </w:p>
    <w:p>
      <w:pPr>
        <w:pStyle w:val="784"/>
        <w:rPr>
          <w:rFonts w:hint="eastAsia" w:ascii="宋体" w:hAnsi="宋体" w:eastAsia="宋体" w:cs="宋体"/>
          <w:sz w:val="24"/>
          <w:szCs w:val="24"/>
        </w:rPr>
      </w:pPr>
      <w:r>
        <w:rPr>
          <w:rFonts w:hint="eastAsia" w:ascii="宋体" w:hAnsi="宋体" w:eastAsia="宋体" w:cs="宋体"/>
          <w:sz w:val="24"/>
          <w:szCs w:val="24"/>
        </w:rPr>
        <w:t>D. 保洁范围、内容及服务质量要求</w:t>
      </w:r>
    </w:p>
    <w:p>
      <w:pPr>
        <w:pStyle w:val="784"/>
        <w:rPr>
          <w:rFonts w:hint="eastAsia" w:ascii="宋体" w:hAnsi="宋体" w:eastAsia="宋体" w:cs="宋体"/>
          <w:sz w:val="24"/>
          <w:szCs w:val="24"/>
        </w:rPr>
      </w:pPr>
      <w:r>
        <w:rPr>
          <w:rFonts w:hint="eastAsia" w:ascii="宋体" w:hAnsi="宋体" w:eastAsia="宋体" w:cs="宋体"/>
          <w:sz w:val="24"/>
          <w:szCs w:val="24"/>
        </w:rPr>
        <w:t>（一）保洁范围、内容</w:t>
      </w:r>
    </w:p>
    <w:tbl>
      <w:tblPr>
        <w:tblStyle w:val="62"/>
        <w:tblW w:w="8860" w:type="dxa"/>
        <w:tblInd w:w="93" w:type="dxa"/>
        <w:tblLayout w:type="fixed"/>
        <w:tblCellMar>
          <w:top w:w="0" w:type="dxa"/>
          <w:left w:w="108" w:type="dxa"/>
          <w:bottom w:w="0" w:type="dxa"/>
          <w:right w:w="108" w:type="dxa"/>
        </w:tblCellMar>
      </w:tblPr>
      <w:tblGrid>
        <w:gridCol w:w="871"/>
        <w:gridCol w:w="1349"/>
        <w:gridCol w:w="6640"/>
      </w:tblGrid>
      <w:tr>
        <w:tblPrEx>
          <w:tblCellMar>
            <w:top w:w="0" w:type="dxa"/>
            <w:left w:w="108" w:type="dxa"/>
            <w:bottom w:w="0" w:type="dxa"/>
            <w:right w:w="108" w:type="dxa"/>
          </w:tblCellMar>
        </w:tblPrEx>
        <w:trPr>
          <w:trHeight w:val="551" w:hRule="atLeast"/>
        </w:trPr>
        <w:tc>
          <w:tcPr>
            <w:tcW w:w="87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349" w:type="dxa"/>
            <w:tcBorders>
              <w:top w:val="single" w:color="auto" w:sz="4" w:space="0"/>
              <w:left w:val="nil"/>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保洁范围</w:t>
            </w:r>
          </w:p>
        </w:tc>
        <w:tc>
          <w:tcPr>
            <w:tcW w:w="6640" w:type="dxa"/>
            <w:tcBorders>
              <w:top w:val="single" w:color="auto" w:sz="4" w:space="0"/>
              <w:left w:val="nil"/>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主要工作内容</w:t>
            </w:r>
          </w:p>
        </w:tc>
      </w:tr>
      <w:tr>
        <w:tblPrEx>
          <w:tblCellMar>
            <w:top w:w="0" w:type="dxa"/>
            <w:left w:w="108" w:type="dxa"/>
            <w:bottom w:w="0" w:type="dxa"/>
            <w:right w:w="108" w:type="dxa"/>
          </w:tblCellMar>
        </w:tblPrEx>
        <w:trPr>
          <w:trHeight w:val="681" w:hRule="atLeast"/>
        </w:trPr>
        <w:tc>
          <w:tcPr>
            <w:tcW w:w="871" w:type="dxa"/>
            <w:tcBorders>
              <w:top w:val="nil"/>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rPr>
              <w:t>1</w:t>
            </w:r>
          </w:p>
        </w:tc>
        <w:tc>
          <w:tcPr>
            <w:tcW w:w="1349" w:type="dxa"/>
            <w:tcBorders>
              <w:top w:val="nil"/>
              <w:left w:val="nil"/>
              <w:bottom w:val="single" w:color="auto" w:sz="4" w:space="0"/>
              <w:right w:val="single" w:color="auto" w:sz="4" w:space="0"/>
            </w:tcBorders>
            <w:vAlign w:val="center"/>
          </w:tcPr>
          <w:p>
            <w:pPr>
              <w:pStyle w:val="964"/>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rPr>
              <w:t>辅助楼</w:t>
            </w:r>
          </w:p>
        </w:tc>
        <w:tc>
          <w:tcPr>
            <w:tcW w:w="6640" w:type="dxa"/>
            <w:tcBorders>
              <w:top w:val="nil"/>
              <w:left w:val="nil"/>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辅助楼范围内所有区域的保洁、杂务等</w:t>
            </w:r>
          </w:p>
        </w:tc>
      </w:tr>
      <w:tr>
        <w:tblPrEx>
          <w:tblCellMar>
            <w:top w:w="0" w:type="dxa"/>
            <w:left w:w="108" w:type="dxa"/>
            <w:bottom w:w="0" w:type="dxa"/>
            <w:right w:w="108" w:type="dxa"/>
          </w:tblCellMar>
        </w:tblPrEx>
        <w:trPr>
          <w:trHeight w:val="573" w:hRule="atLeast"/>
        </w:trPr>
        <w:tc>
          <w:tcPr>
            <w:tcW w:w="871" w:type="dxa"/>
            <w:tcBorders>
              <w:top w:val="nil"/>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rPr>
              <w:t>2</w:t>
            </w:r>
          </w:p>
        </w:tc>
        <w:tc>
          <w:tcPr>
            <w:tcW w:w="1349" w:type="dxa"/>
            <w:tcBorders>
              <w:top w:val="nil"/>
              <w:left w:val="nil"/>
              <w:bottom w:val="single" w:color="auto" w:sz="4" w:space="0"/>
              <w:right w:val="single" w:color="auto" w:sz="4" w:space="0"/>
            </w:tcBorders>
            <w:vAlign w:val="center"/>
          </w:tcPr>
          <w:p>
            <w:pPr>
              <w:pStyle w:val="964"/>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rPr>
              <w:t>综合楼楼</w:t>
            </w:r>
          </w:p>
        </w:tc>
        <w:tc>
          <w:tcPr>
            <w:tcW w:w="6640" w:type="dxa"/>
            <w:tcBorders>
              <w:top w:val="nil"/>
              <w:left w:val="nil"/>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综合楼范围内所有区域的保洁、运送、杂务等</w:t>
            </w:r>
          </w:p>
        </w:tc>
      </w:tr>
      <w:tr>
        <w:trPr>
          <w:trHeight w:val="552" w:hRule="atLeast"/>
        </w:trPr>
        <w:tc>
          <w:tcPr>
            <w:tcW w:w="871" w:type="dxa"/>
            <w:tcBorders>
              <w:top w:val="nil"/>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rPr>
              <w:t>3</w:t>
            </w:r>
          </w:p>
        </w:tc>
        <w:tc>
          <w:tcPr>
            <w:tcW w:w="1349" w:type="dxa"/>
            <w:tcBorders>
              <w:top w:val="nil"/>
              <w:left w:val="nil"/>
              <w:bottom w:val="single" w:color="auto" w:sz="4" w:space="0"/>
              <w:right w:val="single" w:color="auto" w:sz="4" w:space="0"/>
            </w:tcBorders>
            <w:vAlign w:val="center"/>
          </w:tcPr>
          <w:p>
            <w:pPr>
              <w:pStyle w:val="964"/>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rPr>
              <w:t>听力楼</w:t>
            </w:r>
          </w:p>
        </w:tc>
        <w:tc>
          <w:tcPr>
            <w:tcW w:w="6640" w:type="dxa"/>
            <w:tcBorders>
              <w:top w:val="nil"/>
              <w:left w:val="nil"/>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听力楼范围内所有区域的保洁、杂务等</w:t>
            </w:r>
          </w:p>
        </w:tc>
      </w:tr>
      <w:tr>
        <w:tblPrEx>
          <w:tblCellMar>
            <w:top w:w="0" w:type="dxa"/>
            <w:left w:w="108" w:type="dxa"/>
            <w:bottom w:w="0" w:type="dxa"/>
            <w:right w:w="108" w:type="dxa"/>
          </w:tblCellMar>
        </w:tblPrEx>
        <w:trPr>
          <w:trHeight w:val="464" w:hRule="atLeast"/>
        </w:trPr>
        <w:tc>
          <w:tcPr>
            <w:tcW w:w="87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rPr>
              <w:t>4</w:t>
            </w:r>
          </w:p>
        </w:tc>
        <w:tc>
          <w:tcPr>
            <w:tcW w:w="1349" w:type="dxa"/>
            <w:tcBorders>
              <w:top w:val="single" w:color="auto" w:sz="4" w:space="0"/>
              <w:left w:val="nil"/>
              <w:bottom w:val="single" w:color="auto" w:sz="4" w:space="0"/>
              <w:right w:val="single" w:color="auto" w:sz="4" w:space="0"/>
            </w:tcBorders>
            <w:vAlign w:val="center"/>
          </w:tcPr>
          <w:p>
            <w:pPr>
              <w:pStyle w:val="964"/>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rPr>
              <w:t>智障楼</w:t>
            </w:r>
          </w:p>
        </w:tc>
        <w:tc>
          <w:tcPr>
            <w:tcW w:w="6640" w:type="dxa"/>
            <w:tcBorders>
              <w:top w:val="single" w:color="auto" w:sz="4" w:space="0"/>
              <w:left w:val="nil"/>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智障楼范围内所有区域的保洁、杂务等</w:t>
            </w:r>
          </w:p>
        </w:tc>
      </w:tr>
      <w:tr>
        <w:tblPrEx>
          <w:tblCellMar>
            <w:top w:w="0" w:type="dxa"/>
            <w:left w:w="108" w:type="dxa"/>
            <w:bottom w:w="0" w:type="dxa"/>
            <w:right w:w="108" w:type="dxa"/>
          </w:tblCellMar>
        </w:tblPrEx>
        <w:trPr>
          <w:trHeight w:val="452" w:hRule="atLeast"/>
        </w:trPr>
        <w:tc>
          <w:tcPr>
            <w:tcW w:w="87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rPr>
              <w:t>5</w:t>
            </w:r>
          </w:p>
        </w:tc>
        <w:tc>
          <w:tcPr>
            <w:tcW w:w="1349" w:type="dxa"/>
            <w:tcBorders>
              <w:top w:val="single" w:color="auto" w:sz="4" w:space="0"/>
              <w:left w:val="nil"/>
              <w:bottom w:val="single" w:color="auto" w:sz="4" w:space="0"/>
              <w:right w:val="single" w:color="auto" w:sz="4" w:space="0"/>
            </w:tcBorders>
            <w:vAlign w:val="center"/>
          </w:tcPr>
          <w:p>
            <w:pPr>
              <w:pStyle w:val="964"/>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rPr>
              <w:t>高压氧室</w:t>
            </w:r>
          </w:p>
        </w:tc>
        <w:tc>
          <w:tcPr>
            <w:tcW w:w="6640" w:type="dxa"/>
            <w:tcBorders>
              <w:top w:val="single" w:color="auto" w:sz="4" w:space="0"/>
              <w:left w:val="nil"/>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高压氧室范围内所有区域的保洁、杂务</w:t>
            </w:r>
          </w:p>
        </w:tc>
      </w:tr>
    </w:tbl>
    <w:tbl>
      <w:tblPr>
        <w:tblStyle w:val="62"/>
        <w:tblpPr w:leftFromText="180" w:rightFromText="180" w:vertAnchor="text" w:horzAnchor="page" w:tblpX="1419" w:tblpY="587"/>
        <w:tblOverlap w:val="never"/>
        <w:tblW w:w="910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807"/>
        <w:gridCol w:w="1485"/>
        <w:gridCol w:w="68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00" w:hRule="atLeast"/>
        </w:trPr>
        <w:tc>
          <w:tcPr>
            <w:tcW w:w="807"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485"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招标范围</w:t>
            </w:r>
          </w:p>
        </w:tc>
        <w:tc>
          <w:tcPr>
            <w:tcW w:w="6813"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主要工作内容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0" w:hRule="atLeast"/>
        </w:trPr>
        <w:tc>
          <w:tcPr>
            <w:tcW w:w="807"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1485"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外环境</w:t>
            </w:r>
          </w:p>
        </w:tc>
        <w:tc>
          <w:tcPr>
            <w:tcW w:w="6813"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全院外环境围墙内区域的保洁、杂务等。包括绿化带、顶棚等区域保洁、道路洒水；等。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5" w:hRule="atLeast"/>
        </w:trPr>
        <w:tc>
          <w:tcPr>
            <w:tcW w:w="807"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2</w:t>
            </w:r>
          </w:p>
        </w:tc>
        <w:tc>
          <w:tcPr>
            <w:tcW w:w="1485"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夜间保洁</w:t>
            </w:r>
          </w:p>
        </w:tc>
        <w:tc>
          <w:tcPr>
            <w:tcW w:w="6813"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夜间病房大楼、公共区域保洁，应急情况保洁，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trPr>
        <w:tc>
          <w:tcPr>
            <w:tcW w:w="807"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c>
          <w:tcPr>
            <w:tcW w:w="1485"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终末消毒</w:t>
            </w:r>
          </w:p>
        </w:tc>
        <w:tc>
          <w:tcPr>
            <w:tcW w:w="6813"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负责全院所有使用后毛巾、拖把布回收、清洗、消毒、发放工作，负责全院出院床单位的终末消毒工作。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840" w:hRule="atLeast"/>
        </w:trPr>
        <w:tc>
          <w:tcPr>
            <w:tcW w:w="807"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4</w:t>
            </w:r>
          </w:p>
        </w:tc>
        <w:tc>
          <w:tcPr>
            <w:tcW w:w="1485"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专项保洁及机动</w:t>
            </w:r>
          </w:p>
        </w:tc>
        <w:tc>
          <w:tcPr>
            <w:tcW w:w="6813"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专项工作（PVC地面打蜡、抛光，硬质石材保养镜面，所有不锈钢的保养，所有推车、平车、治疗车等轱辘定期清洁、玻璃清洁等），全院电梯每天的保洁、消毒、登记工作。全院窗、床帘定期清洗（</w:t>
            </w:r>
            <w:r>
              <w:rPr>
                <w:rFonts w:hint="eastAsia" w:ascii="宋体" w:hAnsi="宋体" w:eastAsia="宋体" w:cs="宋体"/>
                <w:sz w:val="24"/>
                <w:szCs w:val="24"/>
                <w:lang w:eastAsia="zh-CN"/>
              </w:rPr>
              <w:t>行政楼儿童部</w:t>
            </w:r>
            <w:r>
              <w:rPr>
                <w:rFonts w:hint="eastAsia" w:ascii="宋体" w:hAnsi="宋体" w:eastAsia="宋体" w:cs="宋体"/>
                <w:sz w:val="24"/>
                <w:szCs w:val="24"/>
              </w:rPr>
              <w:t>每年2次，</w:t>
            </w:r>
            <w:r>
              <w:rPr>
                <w:rFonts w:hint="eastAsia" w:ascii="宋体" w:hAnsi="宋体" w:eastAsia="宋体" w:cs="宋体"/>
                <w:sz w:val="24"/>
                <w:szCs w:val="24"/>
                <w:lang w:eastAsia="zh-CN"/>
              </w:rPr>
              <w:t>医疗部每季度</w:t>
            </w:r>
            <w:r>
              <w:rPr>
                <w:rFonts w:hint="eastAsia" w:ascii="宋体" w:hAnsi="宋体" w:eastAsia="宋体" w:cs="宋体"/>
                <w:sz w:val="24"/>
                <w:szCs w:val="24"/>
                <w:lang w:val="en-US" w:eastAsia="zh-CN"/>
              </w:rPr>
              <w:t>1次，</w:t>
            </w:r>
            <w:r>
              <w:rPr>
                <w:rFonts w:hint="eastAsia" w:ascii="宋体" w:hAnsi="宋体" w:eastAsia="宋体" w:cs="宋体"/>
                <w:sz w:val="24"/>
                <w:szCs w:val="24"/>
              </w:rPr>
              <w:t>污染</w:t>
            </w:r>
            <w:r>
              <w:rPr>
                <w:rFonts w:hint="eastAsia" w:ascii="宋体" w:hAnsi="宋体" w:eastAsia="宋体" w:cs="宋体"/>
                <w:sz w:val="24"/>
                <w:szCs w:val="24"/>
                <w:lang w:eastAsia="zh-CN"/>
              </w:rPr>
              <w:t>时</w:t>
            </w:r>
            <w:r>
              <w:rPr>
                <w:rFonts w:hint="eastAsia" w:ascii="宋体" w:hAnsi="宋体" w:eastAsia="宋体" w:cs="宋体"/>
                <w:sz w:val="24"/>
                <w:szCs w:val="24"/>
              </w:rPr>
              <w:t>即时清洗），其它未涵盖的工作。医院临时指派的任务，上级检查时的突击任务。要求二十四小时待命。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35" w:hRule="atLeast"/>
        </w:trPr>
        <w:tc>
          <w:tcPr>
            <w:tcW w:w="807"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5</w:t>
            </w:r>
          </w:p>
        </w:tc>
        <w:tc>
          <w:tcPr>
            <w:tcW w:w="1485"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生活垃圾回收</w:t>
            </w:r>
          </w:p>
        </w:tc>
        <w:tc>
          <w:tcPr>
            <w:tcW w:w="6813"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按垃圾分类要求回收转运全院各科的生活垃圾（每天必须至少二次），垃圾桶、垃圾房及周围的清洁卫生和消毒、垃圾电梯保洁工作等。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60" w:hRule="atLeast"/>
        </w:trPr>
        <w:tc>
          <w:tcPr>
            <w:tcW w:w="807"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6</w:t>
            </w:r>
          </w:p>
        </w:tc>
        <w:tc>
          <w:tcPr>
            <w:tcW w:w="1485"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医疗废弃物回收</w:t>
            </w:r>
          </w:p>
        </w:tc>
        <w:tc>
          <w:tcPr>
            <w:tcW w:w="6813"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全院医疗废弃物、输液袋（瓶）的称重、收集、分类、密闭运送工作（每天必须至少两次），与大地维康公司的交接与登记工作等。医疗废弃物和危险废物不得外流。做好医疗垃圾房、危险废物仓库及垃圾转运车的清洁、消毒工作。（要求医疗废物科室间的交接必须在各医疗废物暂存点进行，不得在电梯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5" w:hRule="atLeast"/>
        </w:trPr>
        <w:tc>
          <w:tcPr>
            <w:tcW w:w="807"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7</w:t>
            </w:r>
          </w:p>
        </w:tc>
        <w:tc>
          <w:tcPr>
            <w:tcW w:w="1485"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替班</w:t>
            </w:r>
          </w:p>
        </w:tc>
        <w:tc>
          <w:tcPr>
            <w:tcW w:w="6813"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rPr>
                <w:rFonts w:hint="eastAsia" w:ascii="宋体" w:hAnsi="宋体" w:eastAsia="宋体" w:cs="宋体"/>
                <w:sz w:val="24"/>
                <w:szCs w:val="24"/>
              </w:rPr>
            </w:pPr>
            <w:r>
              <w:rPr>
                <w:rFonts w:hint="eastAsia" w:ascii="宋体" w:hAnsi="宋体" w:eastAsia="宋体" w:cs="宋体"/>
                <w:bCs/>
                <w:sz w:val="24"/>
                <w:szCs w:val="24"/>
              </w:rPr>
              <w:t>员工休息天、节假日休息、病事假等情况的替换人员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60" w:hRule="atLeast"/>
        </w:trPr>
        <w:tc>
          <w:tcPr>
            <w:tcW w:w="807"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8</w:t>
            </w:r>
          </w:p>
        </w:tc>
        <w:tc>
          <w:tcPr>
            <w:tcW w:w="1485"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管理员</w:t>
            </w:r>
          </w:p>
        </w:tc>
        <w:tc>
          <w:tcPr>
            <w:tcW w:w="6813" w:type="dxa"/>
            <w:tcBorders>
              <w:top w:val="single" w:color="000000" w:sz="2" w:space="0"/>
              <w:left w:val="single" w:color="000000" w:sz="2" w:space="0"/>
              <w:bottom w:val="single" w:color="000000" w:sz="2" w:space="0"/>
              <w:right w:val="single" w:color="000000" w:sz="2" w:space="0"/>
            </w:tcBorders>
            <w:tcMar>
              <w:top w:w="15" w:type="dxa"/>
              <w:left w:w="15" w:type="dxa"/>
              <w:bottom w:w="15" w:type="dxa"/>
              <w:right w:w="15" w:type="dxa"/>
            </w:tcMar>
            <w:vAlign w:val="center"/>
          </w:tcPr>
          <w:p>
            <w:pPr>
              <w:pStyle w:val="889"/>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合理管理医院物业项目</w:t>
            </w:r>
          </w:p>
        </w:tc>
      </w:tr>
    </w:tbl>
    <w:p>
      <w:pPr>
        <w:spacing w:line="360" w:lineRule="auto"/>
        <w:ind w:firstLine="0"/>
        <w:rPr>
          <w:rFonts w:hint="eastAsia" w:ascii="宋体" w:hAnsi="宋体" w:eastAsia="宋体" w:cs="宋体"/>
          <w:sz w:val="24"/>
          <w:szCs w:val="24"/>
        </w:rPr>
      </w:pPr>
      <w:r>
        <w:rPr>
          <w:rFonts w:hint="eastAsia" w:ascii="宋体" w:hAnsi="宋体" w:eastAsia="宋体" w:cs="宋体"/>
          <w:sz w:val="24"/>
          <w:szCs w:val="24"/>
        </w:rPr>
        <w:t>注：未列入的且为正常保洁工作以及突发性事件造成的保洁工作的项目、部位均包括在本次采购范围内，中标人不得因此拒绝提供保洁服务（保洁用品等所需费用全部包括在服务费中）。</w:t>
      </w:r>
    </w:p>
    <w:p>
      <w:pPr>
        <w:pStyle w:val="784"/>
        <w:rPr>
          <w:rFonts w:hint="eastAsia" w:ascii="宋体" w:hAnsi="宋体" w:eastAsia="宋体" w:cs="宋体"/>
          <w:sz w:val="24"/>
          <w:szCs w:val="24"/>
        </w:rPr>
      </w:pPr>
      <w:r>
        <w:rPr>
          <w:rFonts w:hint="eastAsia" w:ascii="宋体" w:hAnsi="宋体" w:eastAsia="宋体" w:cs="宋体"/>
          <w:sz w:val="24"/>
          <w:szCs w:val="24"/>
        </w:rPr>
        <w:t>（二）各部位保洁要求</w:t>
      </w:r>
    </w:p>
    <w:p>
      <w:pPr>
        <w:pStyle w:val="8"/>
        <w:spacing w:line="360" w:lineRule="auto"/>
        <w:ind w:left="0" w:firstLine="0"/>
        <w:rPr>
          <w:rFonts w:hint="eastAsia" w:ascii="宋体" w:hAnsi="宋体" w:eastAsia="宋体" w:cs="宋体"/>
          <w:sz w:val="24"/>
          <w:szCs w:val="24"/>
        </w:rPr>
      </w:pPr>
      <w:r>
        <w:rPr>
          <w:rFonts w:hint="eastAsia" w:ascii="宋体" w:hAnsi="宋体" w:eastAsia="宋体" w:cs="宋体"/>
          <w:sz w:val="24"/>
          <w:szCs w:val="24"/>
        </w:rPr>
        <w:t>1、非医疗区域保洁内容及要求</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1.1 保洁内容：</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①每天早上8：00点前完成对大厅、电梯、洗手间、楼道（楼梯、栏杆、扶手等）、果壳箱、垃圾桶等的第一次保洁。</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②会议室、领导办公室的卫生需专人负责，要求每日清拖一遍，室内家具每日擦拭一遍，茶具及时清洗及消毒，并摆放整齐。</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③电梯保持整洁、干净；地面保持干净。</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④每周墙面、顶面掸灰一次。楼梯扶手、门、窗台、走廊过道、干挂面及公共设施每天专业擦拭一遍，平常保洁。</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⑤楼内所有地面每天清拖，发现有废弃杂物及时清理，随时保洁。</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⑥卫生间每日至少清拖二遍，巡回保洁。有重大会议、活动时，专人随时保洁。</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⑦卫生间要做到无异味。</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⑧外墙玻璃保持明亮、整洁。</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玻璃的清洁程序：遵循相关计划安排，定期循环对各楼层进行玻璃清洁（大型清洁为半年一次，小型清洁为每季度一次，新开建筑或新开设科室要保证对外营业前进行清洁）。 清洁时配备相关工具及药剂，如：玻璃刮，抹布，镜布，喷壶，奇亮浓缩玻璃清洁剂。</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⑨硬地面、PVC地板养护的维护程序：</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1）预防性护理：a、出入口设置地垫保护b、尘推地板：每日由日常保洁员使用由专业牵尘液处理后的尘推对地板进行清洁。</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2）日程性护理：a、湿拖和消毒地板；b、喷磨抛光；c、高速抛光；使用抛光机；</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3）定期性护理：a喷淋清洁，b刷洗地板：使用地擦机，快活全能消毒剂、快亮保养喷蜡，该护理程序要求每两周一次。</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4）恢复性护理：彻底起蜡并重新落蜡，使用单刷机，超强封地剂，雅高面蜡。该护理程序一般为每半年一次，但对于地质较差区域，为有效保护地板可适当缩短周期，加大护理频率。</w:t>
      </w:r>
    </w:p>
    <w:p>
      <w:pPr>
        <w:spacing w:line="360" w:lineRule="auto"/>
        <w:ind w:firstLine="420"/>
        <w:rPr>
          <w:rFonts w:hint="eastAsia" w:ascii="宋体" w:hAnsi="宋体" w:eastAsia="宋体" w:cs="宋体"/>
          <w:color w:val="C00000"/>
          <w:sz w:val="24"/>
          <w:szCs w:val="24"/>
        </w:rPr>
      </w:pPr>
      <w:r>
        <w:rPr>
          <w:rFonts w:hint="eastAsia" w:ascii="宋体" w:hAnsi="宋体" w:eastAsia="宋体" w:cs="宋体"/>
          <w:sz w:val="24"/>
          <w:szCs w:val="24"/>
        </w:rPr>
        <w:t>5）定期抛光、喷磨、刷洗、补蜡、</w:t>
      </w:r>
      <w:r>
        <w:rPr>
          <w:rFonts w:hint="eastAsia" w:ascii="宋体" w:hAnsi="宋体" w:eastAsia="宋体" w:cs="宋体"/>
          <w:color w:val="auto"/>
          <w:sz w:val="24"/>
          <w:szCs w:val="24"/>
        </w:rPr>
        <w:t>全面打蜡（每年</w:t>
      </w:r>
      <w:r>
        <w:rPr>
          <w:rFonts w:hint="eastAsia" w:ascii="宋体" w:hAnsi="宋体" w:eastAsia="宋体" w:cs="宋体"/>
          <w:color w:val="auto"/>
          <w:sz w:val="24"/>
          <w:szCs w:val="24"/>
          <w:lang w:eastAsia="zh-CN"/>
        </w:rPr>
        <w:t>至少</w:t>
      </w:r>
      <w:r>
        <w:rPr>
          <w:rFonts w:hint="eastAsia" w:ascii="宋体" w:hAnsi="宋体" w:eastAsia="宋体" w:cs="宋体"/>
          <w:color w:val="auto"/>
          <w:sz w:val="24"/>
          <w:szCs w:val="24"/>
        </w:rPr>
        <w:t>一次）。</w:t>
      </w:r>
    </w:p>
    <w:p>
      <w:pPr>
        <w:spacing w:line="360" w:lineRule="auto"/>
        <w:ind w:firstLine="422"/>
        <w:rPr>
          <w:rFonts w:hint="eastAsia" w:ascii="宋体" w:hAnsi="宋体" w:eastAsia="宋体" w:cs="宋体"/>
          <w:b/>
          <w:sz w:val="24"/>
          <w:szCs w:val="24"/>
        </w:rPr>
      </w:pPr>
      <w:r>
        <w:rPr>
          <w:rFonts w:hint="eastAsia" w:ascii="宋体" w:hAnsi="宋体" w:eastAsia="宋体" w:cs="宋体"/>
          <w:b/>
          <w:sz w:val="24"/>
          <w:szCs w:val="24"/>
        </w:rPr>
        <w:t>1.2.保洁标准：</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① 地面无垃圾、积渍、痰迹、无拖痕；墙面、玻璃门：干净、无污垢、无拖痕。</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②卫生间（漱洗室）、墙面瓷砖无明显污垢、积水；漱洗室台面、水槽（拖把池）干净无积垢物，镜面无水渍；小便池、大便池无异味和积垢脏迹，垃圾桶物污量不超过桶体2/3，不外漏。</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③楼内所有的窗台、栏杆；室内天棚四壁无积尘蛛网。</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④及时清理保洁区域内的垃圾桶、果皮箱，并及时更换垃圾袋，垃圾桶、果皮箱表面无印痕，垃圾不外漏。</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⑤保洁工具摆放整齐，垃圾按要求堆放在指定场所。</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⑥会议室、接待室、领导办公室的室内家具桌面无灰尘，地面无污垢，茶具干净，果皮箱表面无印痕，垃圾不外漏，发现不能清洗等问题及时汇报。</w:t>
      </w:r>
    </w:p>
    <w:p>
      <w:pPr>
        <w:pStyle w:val="8"/>
        <w:spacing w:line="360" w:lineRule="auto"/>
        <w:ind w:left="0" w:firstLine="0"/>
        <w:rPr>
          <w:rFonts w:hint="eastAsia" w:ascii="宋体" w:hAnsi="宋体" w:eastAsia="宋体" w:cs="宋体"/>
          <w:sz w:val="24"/>
          <w:szCs w:val="24"/>
        </w:rPr>
      </w:pPr>
      <w:r>
        <w:rPr>
          <w:rFonts w:hint="eastAsia" w:ascii="宋体" w:hAnsi="宋体" w:eastAsia="宋体" w:cs="宋体"/>
          <w:sz w:val="24"/>
          <w:szCs w:val="24"/>
        </w:rPr>
        <w:t>2、户外清洁卫生标准</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（1）医院范围内的所有路面、绿地、通道、公共场所（包括停车场）24小时无纸屑、无烟蒂、无污水污迹、无瓜皮果壳、无痰迹、无积灰等。</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（2）花园、花坛内无杂物垃圾烟蒂等，石凳、石桌上保持洁净。</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（3）医院信息栏、垃圾桶、不锈钢护栏、路标、路灯杆、空调外机、交通隔离栏、户外消防栓应保持洁净。</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（4）露台、顶蓬无垃圾、杂物等，每周至少清洁一次。</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（5）阴沟、水沟内清洁无杂物，保持通畅。</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（6）每周一次大扫除，每月一次大检查。</w:t>
      </w:r>
    </w:p>
    <w:p>
      <w:pPr>
        <w:pStyle w:val="8"/>
        <w:spacing w:line="360" w:lineRule="auto"/>
        <w:ind w:left="0" w:firstLine="0"/>
        <w:rPr>
          <w:rFonts w:hint="eastAsia" w:ascii="宋体" w:hAnsi="宋体" w:eastAsia="宋体" w:cs="宋体"/>
          <w:sz w:val="24"/>
          <w:szCs w:val="24"/>
        </w:rPr>
      </w:pPr>
      <w:r>
        <w:rPr>
          <w:rFonts w:hint="eastAsia" w:ascii="宋体" w:hAnsi="宋体" w:eastAsia="宋体" w:cs="宋体"/>
          <w:sz w:val="24"/>
          <w:szCs w:val="24"/>
        </w:rPr>
        <w:t>3、公共场所、大厅保洁卫生标准</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（1）大理石地面清洁光亮无尘土污迹。</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（2）休息处的候诊椅清洁、无迹。</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（3）大堂内外玻璃光洁明亮。</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（4）地面无烟蒂垃圾，保持整洁。</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（5）大门、门把手上无手印、尘、迹。</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（6）公共卫生间保持清洁、无异味、无污垢。</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（7）电梯间天花板、灯具、不锈钢墙面清洁光亮。电梯轿厢保持清洁、划道内无垃圾，每天清洁消毒一次并做好记录。</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（8）服务台饰面清洁光亮无尘迹。</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（9）公共场所、走廊、过道无堆放杂物。</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（10）医院信息栏、不锈钢护栏、指标牌、消防箱应保持洁净，大厅内无乱贴乱画现象。</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11）垃圾桶必须经常专人检查，一天至少倾倒两次。如果垃圾量超过三分之二，应及时清倒。垃圾袋不得有破损，否则会导致垃圾溢出。垃圾袋按标准套放。垃圾筒至少每半月清洗、消毒一次，内外壁干净、干燥、无异味。</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（12）每周一次大扫除，每月一次大检查。</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 (13) 屋顶排水沟每月定期清理。</w:t>
      </w:r>
    </w:p>
    <w:p>
      <w:pPr>
        <w:pStyle w:val="8"/>
        <w:spacing w:line="360" w:lineRule="auto"/>
        <w:ind w:left="0" w:firstLine="0"/>
        <w:rPr>
          <w:rFonts w:hint="eastAsia" w:ascii="宋体" w:hAnsi="宋体" w:eastAsia="宋体" w:cs="宋体"/>
          <w:sz w:val="24"/>
          <w:szCs w:val="24"/>
        </w:rPr>
      </w:pPr>
      <w:r>
        <w:rPr>
          <w:rFonts w:hint="eastAsia" w:ascii="宋体" w:hAnsi="宋体" w:eastAsia="宋体" w:cs="宋体"/>
          <w:sz w:val="24"/>
          <w:szCs w:val="24"/>
        </w:rPr>
        <w:t>4、各楼层清洁卫生标准</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（1）走廊地面、各电梯厅门、墙面光亮清洁无尘、无水</w:t>
      </w:r>
      <w:r>
        <w:rPr>
          <w:rFonts w:hint="eastAsia" w:ascii="宋体" w:hAnsi="宋体" w:eastAsia="宋体" w:cs="宋体"/>
          <w:color w:val="auto"/>
          <w:sz w:val="24"/>
          <w:szCs w:val="24"/>
        </w:rPr>
        <w:t>迹。地胶板地面定期（每</w:t>
      </w:r>
      <w:r>
        <w:rPr>
          <w:rFonts w:hint="eastAsia" w:ascii="宋体" w:hAnsi="宋体" w:eastAsia="宋体" w:cs="宋体"/>
          <w:color w:val="auto"/>
          <w:sz w:val="24"/>
          <w:szCs w:val="24"/>
          <w:lang w:eastAsia="zh-CN"/>
        </w:rPr>
        <w:t>年</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次）打蜡，每</w:t>
      </w:r>
      <w:r>
        <w:rPr>
          <w:rFonts w:hint="eastAsia" w:ascii="宋体" w:hAnsi="宋体" w:eastAsia="宋体" w:cs="宋体"/>
          <w:color w:val="auto"/>
          <w:sz w:val="24"/>
          <w:szCs w:val="24"/>
          <w:lang w:eastAsia="zh-CN"/>
        </w:rPr>
        <w:t>月</w:t>
      </w:r>
      <w:r>
        <w:rPr>
          <w:rFonts w:hint="eastAsia" w:ascii="宋体" w:hAnsi="宋体" w:eastAsia="宋体" w:cs="宋体"/>
          <w:color w:val="auto"/>
          <w:sz w:val="24"/>
          <w:szCs w:val="24"/>
        </w:rPr>
        <w:t>至少</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次抛光保养。各层面电梯按键清洁无污。</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（2）安全通道、楼梯清洁无垃圾及卫生死角，楼梯扶手、画框、栏杆、路灯罩无灰尘。</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（3）烟道通风口经常擦抹无积灰。</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（4）污洗间保持干净整洁无积水无杂物。</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（5）示教室保持整洁干净整洁，随时可用。</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（6）公共设施、消防设施保持整洁无尘。</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（7）保持各诊室、治疗室、护理站、医生办公室、主任办公室、医护值班室各种台面、地面及椅子洁净无尘。</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（8）保持病区宣传栏、门、窗玻璃内外洁净，无乱贴画、广告，无乱堆放杂物，无乱挂衣物。</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（9）各病区走廊、墙面、扶手、玻璃窗（含窗轨、窗档、窗台、玻璃等）必须洁净光亮、整洁，不得有任何污迹、烟头。</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（10）分类处理垃圾；垃圾箱保持清洁，及时处理，无散乱垃圾，无积水，无异味。</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（11）保持医疗废物暂存点地面的清洁，每天二次清洁，做好消毒工作。医疗废物分类处置，垃圾量超过三分之二，就应及时扎紧袋口存放并贴上医疗废物专用标签，与医疗废物清运工正确做好交接。</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（12）每周一次大扫除，每月一次大检查。</w:t>
      </w:r>
    </w:p>
    <w:p>
      <w:pPr>
        <w:pStyle w:val="8"/>
        <w:spacing w:line="360" w:lineRule="auto"/>
        <w:ind w:left="0" w:firstLine="0"/>
        <w:rPr>
          <w:rFonts w:hint="eastAsia" w:ascii="宋体" w:hAnsi="宋体" w:eastAsia="宋体" w:cs="宋体"/>
          <w:sz w:val="24"/>
          <w:szCs w:val="24"/>
        </w:rPr>
      </w:pPr>
      <w:r>
        <w:rPr>
          <w:rFonts w:hint="eastAsia" w:ascii="宋体" w:hAnsi="宋体" w:eastAsia="宋体" w:cs="宋体"/>
          <w:sz w:val="24"/>
          <w:szCs w:val="24"/>
        </w:rPr>
        <w:t>5、病房清洁卫生标准</w:t>
      </w:r>
    </w:p>
    <w:p>
      <w:pPr>
        <w:spacing w:line="360" w:lineRule="auto"/>
        <w:ind w:firstLine="422"/>
        <w:rPr>
          <w:rFonts w:hint="eastAsia" w:ascii="宋体" w:hAnsi="宋体" w:eastAsia="宋体" w:cs="宋体"/>
          <w:b/>
          <w:sz w:val="24"/>
          <w:szCs w:val="24"/>
        </w:rPr>
      </w:pPr>
      <w:r>
        <w:rPr>
          <w:rFonts w:hint="eastAsia" w:ascii="宋体" w:hAnsi="宋体" w:eastAsia="宋体" w:cs="宋体"/>
          <w:b/>
          <w:sz w:val="24"/>
          <w:szCs w:val="24"/>
        </w:rPr>
        <w:t>（1）病房要求：</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1）保持病房安静、整洁、舒适、安全。</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2）病房内墙面、床头柜各面、餐板、床档所有部位、设备带应清洁、无尘。地面清洁无垃圾、无污迹、无积水。</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3）出院病人床单位终末清洁消毒必须在病人出院后30分钟内完成。</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4)病室窗帘、围帘干净、整洁、无污迹，悬挂符合标准。</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5)电视机表面无积灰。电视机柜每月至少清理一次。</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6)床头柜床档床栏设备带每天一擦试，做到一床一巾，床头柜、橱柜内清洁无积灰，抽屉内外干净无污迹。</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7)垃圾桶内外清洁，每</w:t>
      </w:r>
      <w:r>
        <w:rPr>
          <w:rFonts w:hint="eastAsia" w:ascii="宋体" w:hAnsi="宋体" w:eastAsia="宋体" w:cs="宋体"/>
          <w:sz w:val="24"/>
          <w:szCs w:val="24"/>
          <w:lang w:eastAsia="zh-CN"/>
        </w:rPr>
        <w:t>周</w:t>
      </w:r>
      <w:r>
        <w:rPr>
          <w:rFonts w:hint="eastAsia" w:ascii="宋体" w:hAnsi="宋体" w:eastAsia="宋体" w:cs="宋体"/>
          <w:sz w:val="24"/>
          <w:szCs w:val="24"/>
        </w:rPr>
        <w:t>至少清洗消毒一次，垃圾袋按标准套放。</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8)空调风口无积灰。病房墙面四角无蛛网尘埃，烟感器清洁。</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9)玻璃窗清洁光亮、窗台、窗轨、窗档清洁无尘无垃圾。</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10)病房内、外无乱挂衣物。</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11)地胶板保持清洁光亮，防止烟蒂点、硬物损伤。定</w:t>
      </w:r>
      <w:r>
        <w:rPr>
          <w:rFonts w:hint="eastAsia" w:ascii="宋体" w:hAnsi="宋体" w:eastAsia="宋体" w:cs="宋体"/>
          <w:color w:val="C00000"/>
          <w:sz w:val="24"/>
          <w:szCs w:val="24"/>
        </w:rPr>
        <w:t>期（每</w:t>
      </w:r>
      <w:r>
        <w:rPr>
          <w:rFonts w:hint="eastAsia" w:ascii="宋体" w:hAnsi="宋体" w:eastAsia="宋体" w:cs="宋体"/>
          <w:color w:val="C00000"/>
          <w:sz w:val="24"/>
          <w:szCs w:val="24"/>
          <w:lang w:eastAsia="zh-CN"/>
        </w:rPr>
        <w:t>年</w:t>
      </w:r>
      <w:r>
        <w:rPr>
          <w:rFonts w:hint="eastAsia" w:ascii="宋体" w:hAnsi="宋体" w:eastAsia="宋体" w:cs="宋体"/>
          <w:color w:val="C00000"/>
          <w:sz w:val="24"/>
          <w:szCs w:val="24"/>
          <w:lang w:val="en-US" w:eastAsia="zh-CN"/>
        </w:rPr>
        <w:t>1-2</w:t>
      </w:r>
      <w:r>
        <w:rPr>
          <w:rFonts w:hint="eastAsia" w:ascii="宋体" w:hAnsi="宋体" w:eastAsia="宋体" w:cs="宋体"/>
          <w:color w:val="C00000"/>
          <w:sz w:val="24"/>
          <w:szCs w:val="24"/>
        </w:rPr>
        <w:t>次）</w:t>
      </w:r>
      <w:r>
        <w:rPr>
          <w:rFonts w:hint="eastAsia" w:ascii="宋体" w:hAnsi="宋体" w:eastAsia="宋体" w:cs="宋体"/>
          <w:sz w:val="24"/>
          <w:szCs w:val="24"/>
        </w:rPr>
        <w:t>打蜡，公共区域每</w:t>
      </w:r>
      <w:r>
        <w:rPr>
          <w:rFonts w:hint="eastAsia" w:ascii="宋体" w:hAnsi="宋体" w:eastAsia="宋体" w:cs="宋体"/>
          <w:sz w:val="24"/>
          <w:szCs w:val="24"/>
          <w:lang w:eastAsia="zh-CN"/>
        </w:rPr>
        <w:t>月</w:t>
      </w:r>
      <w:r>
        <w:rPr>
          <w:rFonts w:hint="eastAsia" w:ascii="宋体" w:hAnsi="宋体" w:eastAsia="宋体" w:cs="宋体"/>
          <w:sz w:val="24"/>
          <w:szCs w:val="24"/>
        </w:rPr>
        <w:t>至少</w:t>
      </w:r>
      <w:r>
        <w:rPr>
          <w:rFonts w:hint="eastAsia" w:ascii="宋体" w:hAnsi="宋体" w:eastAsia="宋体" w:cs="宋体"/>
          <w:sz w:val="24"/>
          <w:szCs w:val="24"/>
          <w:lang w:val="en-US" w:eastAsia="zh-CN"/>
        </w:rPr>
        <w:t>2</w:t>
      </w:r>
      <w:r>
        <w:rPr>
          <w:rFonts w:hint="eastAsia" w:ascii="宋体" w:hAnsi="宋体" w:eastAsia="宋体" w:cs="宋体"/>
          <w:sz w:val="24"/>
          <w:szCs w:val="24"/>
        </w:rPr>
        <w:t>次抛光保养。</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12)每周一次大扫除，每月一次大检查。</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13)进入病房，应尽量集中作业，避免在病人休息和用餐时及医护人员进行治疗操作时进行清洁。清洁时动作轻，不得碰坏病人用品，避免发出大的响声，轻拿轻放。</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14)冬天早上5：30前，夏天早上5：00前不得进入病房搞卫生。</w:t>
      </w:r>
    </w:p>
    <w:p>
      <w:pPr>
        <w:spacing w:line="360" w:lineRule="auto"/>
        <w:ind w:firstLine="422"/>
        <w:rPr>
          <w:rFonts w:hint="eastAsia" w:ascii="宋体" w:hAnsi="宋体" w:eastAsia="宋体" w:cs="宋体"/>
          <w:b/>
          <w:sz w:val="24"/>
          <w:szCs w:val="24"/>
        </w:rPr>
      </w:pPr>
      <w:r>
        <w:rPr>
          <w:rFonts w:hint="eastAsia" w:ascii="宋体" w:hAnsi="宋体" w:eastAsia="宋体" w:cs="宋体"/>
          <w:b/>
          <w:sz w:val="24"/>
          <w:szCs w:val="24"/>
        </w:rPr>
        <w:t>（2）卫生间要求（包括其他卫生间）：</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1）厕所无臭气及烟味，无虫子。</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2）门档无积灰，门面、门把手、门百叶清洁无积灰污垢。厕所隔断、扶栏清洁无积灰。</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3）窗台、窗档、窗轨清洁无尘无垃圾，窗玻璃清洁。</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4）镜子明亮无积尘、水迹及污渍，镜前灯清洁无积灰。</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5)洗手盆及台面、水笼头清洁无积水、无污垢，水塞无毛发。</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6)天花板、墙体四壁及角落清洁无污迹积垢、无小广告、无积灰、无蜘蛛网。排气扇清洁无积灰。</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7)灯箱装饰板无积灰。</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8)坐厕盖板座板清洁无水迹，内、外壁无污迹。便池内及时冲净，无尿碱或污垢。</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9)淋浴房帘布、玻璃门干净，无污迹。</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10)地面清洁无污垢、无垃圾、无烟蒂烟灰、无积水，地漏无异味，无垃圾及毛发。</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11)每天全面清洁至少一次，每二小时巡视一次并有记录。</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12）工具按规定放置，无杂物。</w:t>
      </w:r>
    </w:p>
    <w:p>
      <w:pPr>
        <w:spacing w:line="360" w:lineRule="auto"/>
        <w:ind w:firstLine="422"/>
        <w:rPr>
          <w:rFonts w:hint="eastAsia" w:ascii="宋体" w:hAnsi="宋体" w:eastAsia="宋体" w:cs="宋体"/>
          <w:b/>
          <w:sz w:val="24"/>
          <w:szCs w:val="24"/>
        </w:rPr>
      </w:pPr>
      <w:r>
        <w:rPr>
          <w:rFonts w:hint="eastAsia" w:ascii="宋体" w:hAnsi="宋体" w:eastAsia="宋体" w:cs="宋体"/>
          <w:b/>
          <w:sz w:val="24"/>
          <w:szCs w:val="24"/>
        </w:rPr>
        <w:t>（3）总体要求：</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1）抹布、拖把、扫把分区分色按规定使用，集中清洗消毒，专用容器固定位置存放。真正落实好一床一巾、一房一巾、一厕一巾、一房一拖工作。</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垃圾桶必须经常专人检查，一天至少倾倒两次。如果垃圾量超过三分之二，就应及时清倒。垃圾袋不得有破损，污水不得溢出外面。垃圾袋按标准套放。垃圾筒至少每半月清洗、消毒一次，内外壁干净、干燥、无异味。</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3）病房所有床档、床头柜、设备带、窗台、厕所、地面必须每天至少一次清洁，医护办公室、治疗室每天落实至少一次清洁，其他部位中标单位应合理安排，每天有工作重点，每周至少落实一次保洁工作。如：</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每周重点工作安排：</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每周一：搞好天花板、排气扇、灯箱等的卫生；</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每周二：搞好所有门、柜的卫生；</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每周三：搞好窗轨、窗台的卫生；</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每周四：搞好墙壁、磁砖卫生；</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单周五：彻底清洗消毒所有垃圾筒；</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双周五：整理仓库。等</w:t>
      </w:r>
    </w:p>
    <w:p>
      <w:pPr>
        <w:pStyle w:val="8"/>
        <w:spacing w:line="360" w:lineRule="auto"/>
        <w:ind w:left="0" w:firstLine="0"/>
        <w:rPr>
          <w:rFonts w:hint="eastAsia" w:ascii="宋体" w:hAnsi="宋体" w:eastAsia="宋体" w:cs="宋体"/>
          <w:sz w:val="24"/>
          <w:szCs w:val="24"/>
        </w:rPr>
      </w:pPr>
      <w:r>
        <w:rPr>
          <w:rFonts w:hint="eastAsia" w:ascii="宋体" w:hAnsi="宋体" w:eastAsia="宋体" w:cs="宋体"/>
          <w:sz w:val="24"/>
          <w:szCs w:val="24"/>
        </w:rPr>
        <w:t>6、医用地胶板、地面石材维护、保养</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总要求：保持清洁、光亮、有质感。</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1）院区内所有医用地胶板每年彻底起蜡打蜡</w:t>
      </w:r>
      <w:r>
        <w:rPr>
          <w:rFonts w:hint="eastAsia" w:ascii="宋体" w:hAnsi="宋体" w:eastAsia="宋体" w:cs="宋体"/>
          <w:sz w:val="24"/>
          <w:szCs w:val="24"/>
          <w:lang w:eastAsia="zh-CN"/>
        </w:rPr>
        <w:t>至少</w:t>
      </w:r>
      <w:r>
        <w:rPr>
          <w:rFonts w:hint="eastAsia" w:ascii="宋体" w:hAnsi="宋体" w:eastAsia="宋体" w:cs="宋体"/>
          <w:sz w:val="24"/>
          <w:szCs w:val="24"/>
        </w:rPr>
        <w:t>1次/年，刷洗补蜡至少3次/年），特殊情况按实际需要执行，日常抛光至少2次/月，保持清洁、光亮、有质感，。</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2）再次打蜡前，须将陈蜡去除后，方可重新打蜡。</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3）病房、门诊等公共区域的地胶板需定期清洗、抛光，保持清洁、光亮、有质感。</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4）室内石材地面须定期清洗。其中大厅石材地面（每天定时机器清洗）、各楼层公共区域每天至少清洗一次。其余石材地面定期清洗。石材应每年养护2次，特殊情况按实际需要执行。</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5）地胶板打蜡的品牌须环保，无刺激性气味，选用3M、庄臣或同档次及以上品牌。</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6）工作时应放置“小心地滑”的警告牌，有安全措施，确保工作时各类人员的安全。</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7）应完成的其余工作。</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8）地胶板、石材维护的机器设备必须满足实际工作需求，低噪音。</w:t>
      </w:r>
    </w:p>
    <w:p>
      <w:pPr>
        <w:pStyle w:val="8"/>
        <w:spacing w:line="360" w:lineRule="auto"/>
        <w:ind w:left="0" w:firstLine="0"/>
        <w:rPr>
          <w:rFonts w:hint="eastAsia" w:ascii="宋体" w:hAnsi="宋体" w:eastAsia="宋体" w:cs="宋体"/>
          <w:sz w:val="24"/>
          <w:szCs w:val="24"/>
        </w:rPr>
      </w:pPr>
      <w:r>
        <w:rPr>
          <w:rFonts w:hint="eastAsia" w:ascii="宋体" w:hAnsi="宋体" w:eastAsia="宋体" w:cs="宋体"/>
          <w:sz w:val="24"/>
          <w:szCs w:val="24"/>
        </w:rPr>
        <w:t>7、院感</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1）按照医院感染管理要求，做好一床一巾、拖把分色使用等工作。</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2）医疗垃圾处理符合院感规程</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（1）工作内容 </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A、专职员工至少每天两次下收。</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B、用黄色垃圾袋、专用箱收放。</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C、用专用车运送。</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D、医用垃圾登记、交接。</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（2）注意事项 </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A、要注意专人，专车，专箱，封闭运送，垃圾车不准停在开水房等公共场所； </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B、黄色垃圾袋要有专用标志；</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C、及时下收，减少污染； 垃圾登记、交接符合要求。</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D、运送医疗垃圾使用污梯，绝对禁止使用客梯。</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E、运送人员做好防护措施。</w:t>
      </w:r>
    </w:p>
    <w:p>
      <w:pPr>
        <w:pStyle w:val="8"/>
        <w:numPr>
          <w:ilvl w:val="-1"/>
          <w:numId w:val="0"/>
        </w:numPr>
        <w:spacing w:line="360" w:lineRule="auto"/>
        <w:ind w:left="0" w:firstLine="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其他服务内容：病区窗、床帘布：每季度清洗1次（儿童部及行政楼每半年1次）</w:t>
      </w:r>
      <w:r>
        <w:rPr>
          <w:rFonts w:hint="eastAsia" w:ascii="宋体" w:hAnsi="宋体" w:eastAsia="宋体" w:cs="宋体"/>
          <w:sz w:val="24"/>
          <w:szCs w:val="24"/>
          <w:lang w:eastAsia="zh-CN"/>
        </w:rPr>
        <w:t>，污染时随时清洗</w:t>
      </w:r>
      <w:r>
        <w:rPr>
          <w:rFonts w:hint="eastAsia" w:ascii="宋体" w:hAnsi="宋体" w:eastAsia="宋体" w:cs="宋体"/>
          <w:sz w:val="24"/>
          <w:szCs w:val="24"/>
        </w:rPr>
        <w:t>；外墙清洗每年2次；其他标准各投标单位如有需要可详尽描述。</w:t>
      </w:r>
    </w:p>
    <w:p>
      <w:pPr>
        <w:pStyle w:val="8"/>
        <w:spacing w:line="360" w:lineRule="auto"/>
        <w:ind w:left="0" w:firstLine="0"/>
        <w:rPr>
          <w:rFonts w:hint="eastAsia" w:ascii="宋体" w:hAnsi="宋体" w:eastAsia="宋体" w:cs="宋体"/>
          <w:sz w:val="24"/>
          <w:szCs w:val="24"/>
        </w:rPr>
      </w:pPr>
      <w:r>
        <w:rPr>
          <w:rFonts w:hint="eastAsia" w:ascii="宋体" w:hAnsi="宋体" w:eastAsia="宋体" w:cs="宋体"/>
          <w:sz w:val="24"/>
          <w:szCs w:val="24"/>
        </w:rPr>
        <w:t>9、环境保洁具体工作要求：</w:t>
      </w:r>
    </w:p>
    <w:tbl>
      <w:tblPr>
        <w:tblStyle w:val="62"/>
        <w:tblW w:w="9586"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783"/>
        <w:gridCol w:w="5595"/>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06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区 域</w:t>
            </w: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序 号</w:t>
            </w:r>
          </w:p>
        </w:tc>
        <w:tc>
          <w:tcPr>
            <w:tcW w:w="559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工  作  内  容</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1" w:type="dxa"/>
            <w:vMerge w:val="restart"/>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大厅</w:t>
            </w:r>
          </w:p>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供应室</w:t>
            </w:r>
          </w:p>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门诊诊室</w:t>
            </w:r>
          </w:p>
          <w:p>
            <w:pPr>
              <w:pStyle w:val="964"/>
              <w:spacing w:line="360" w:lineRule="auto"/>
              <w:jc w:val="center"/>
              <w:rPr>
                <w:rFonts w:hint="eastAsia" w:ascii="宋体" w:hAnsi="宋体" w:eastAsia="宋体" w:cs="宋体"/>
                <w:sz w:val="24"/>
                <w:szCs w:val="24"/>
              </w:rPr>
            </w:pPr>
          </w:p>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/医技科室</w:t>
            </w: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收集区域内垃圾、更换垃圾袋</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区域内地面扫尘（无扬尘干扫）</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每日2次和随时维护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区域内地面湿拖（进行地面消毒、清洁）</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每日1次和随时维护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区域内家具（桌椅、橱柜等）、台面擦拭</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区域内电脑、电话、仪器（含各种医用器材）、低处电器表面清洗或擦拭</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区域内洗手池、水池、水龙头、皂盒、清洗、擦拭</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卫生间（含水龙头、洗手池、台面、马桶、地面）冲洗、擦拭、消毒</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随时保持洁净和随时维护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区域内窗台、阳台、把手、栏杆、花盆、开关盒、接线盒、各类低处标牌、垃圾桶擦拭</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每日1次和随时维护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开水机、冰箱（如有）外表面清洁消毒</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门、门框、低处窗框擦拭</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玻璃及窗框</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低处墙面除尘、落地瓷砖、踢脚板、地角、低处管道擦拭</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非医疗不锈钢物体表面闪钢保养</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14</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高处标牌、壁挂物擦拭</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每月2次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15</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高处除尘</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16</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灯具、烟感、监视器、通风口、管道、空调、风扇、空调等高处设备擦拭清洁</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17</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地面机洗、打蜡、晶面处理或保养</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每2月1次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18</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窗帘拆洗（污染时随时拆换）</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每年</w:t>
            </w:r>
            <w:r>
              <w:rPr>
                <w:rFonts w:hint="eastAsia" w:ascii="宋体" w:hAnsi="宋体" w:eastAsia="宋体" w:cs="宋体"/>
                <w:sz w:val="24"/>
                <w:szCs w:val="24"/>
                <w:lang w:val="en-US" w:eastAsia="zh-CN"/>
              </w:rPr>
              <w:t>4</w:t>
            </w:r>
            <w:r>
              <w:rPr>
                <w:rFonts w:hint="eastAsia" w:ascii="宋体" w:hAnsi="宋体" w:eastAsia="宋体" w:cs="宋体"/>
                <w:sz w:val="24"/>
                <w:szCs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19</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平车上布类整理、更换，床上用品拆换</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20</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巡视保洁</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3"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21</w:t>
            </w:r>
          </w:p>
        </w:tc>
        <w:tc>
          <w:tcPr>
            <w:tcW w:w="5595"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屋顶平面的卫生清洁</w:t>
            </w:r>
          </w:p>
        </w:tc>
        <w:tc>
          <w:tcPr>
            <w:tcW w:w="2147"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每周2次和随时维护</w:t>
            </w:r>
          </w:p>
        </w:tc>
      </w:tr>
    </w:tbl>
    <w:p>
      <w:pPr>
        <w:spacing w:before="120" w:line="360" w:lineRule="auto"/>
        <w:ind w:firstLine="560"/>
        <w:rPr>
          <w:rFonts w:hint="eastAsia" w:ascii="宋体" w:hAnsi="宋体" w:eastAsia="宋体" w:cs="宋体"/>
          <w:sz w:val="24"/>
          <w:szCs w:val="24"/>
        </w:rPr>
      </w:pPr>
    </w:p>
    <w:tbl>
      <w:tblPr>
        <w:tblStyle w:val="62"/>
        <w:tblW w:w="965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29"/>
        <w:gridCol w:w="751"/>
        <w:gridCol w:w="5760"/>
        <w:gridCol w:w="2160"/>
        <w:gridCol w:w="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区 域</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序 号</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工  作  内  容</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restart"/>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手</w:t>
            </w:r>
          </w:p>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术</w:t>
            </w:r>
          </w:p>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室</w:t>
            </w:r>
          </w:p>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收集区域内垃圾、更换垃圾袋</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区域内地面湿拖（进行地面消毒、清洁）</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每日2次和随时维护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区域内家具（桌椅、橱柜等）、办公用品、台面擦拭</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区域内电脑、电话、仪器（含各种医用器材、无影灯）、低处电器表面清洗、擦拭</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区域内洗手池、水池、水龙头、皂盒、隔拦处清洗、擦拭</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每日1次</w:t>
            </w:r>
          </w:p>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和随时维护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卫生间（含镜子、水龙头、脸盆、台面、毛巾架、马桶、沐浴器、地面）冲洗、擦拭、消毒</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每日2次</w:t>
            </w:r>
          </w:p>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和随时维护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区域内窗台、阳台、把手、扶手、栏杆、开关盒、接线盒、各类低处标牌、垃圾桶擦拭</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每日1次</w:t>
            </w:r>
          </w:p>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和随时维护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拖鞋清洗、</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术后整理、清洁、消毒</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开水机、空气消毒机、空调设备外表面的清洁与消毒</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门、门框、窗框、玻璃、高处标牌、壁挂物擦拭</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低处墙面除尘、落地瓷砖、踢脚板、地角、低处管道擦拭</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非医疗不锈钢物体表面闪钢保养</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每月2次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14</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高处除尘</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15</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灯具、音响、烟感、监视器、通风口、排气扇、风扇、空调等高处设备擦洗</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16</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地面机洗、打蜡、晶面处理或保养</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每3月1次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17</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巡视保洁</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18</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平车上布类整理、更换，手术台上用品拆换</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19</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库房的打扫</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20</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窗帘拆洗</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每年2次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21</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各类平车轮椅车轮上油、去污，保证正常运行</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 域</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序 号</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工  作  内  容</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restart"/>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p>
            <w:pPr>
              <w:pStyle w:val="964"/>
              <w:spacing w:line="360" w:lineRule="auto"/>
              <w:rPr>
                <w:rFonts w:hint="eastAsia" w:ascii="宋体" w:hAnsi="宋体" w:eastAsia="宋体" w:cs="宋体"/>
                <w:sz w:val="24"/>
                <w:szCs w:val="24"/>
              </w:rPr>
            </w:pPr>
          </w:p>
          <w:p>
            <w:pPr>
              <w:pStyle w:val="964"/>
              <w:spacing w:line="360" w:lineRule="auto"/>
              <w:rPr>
                <w:rFonts w:hint="eastAsia" w:ascii="宋体" w:hAnsi="宋体" w:eastAsia="宋体" w:cs="宋体"/>
                <w:sz w:val="24"/>
                <w:szCs w:val="24"/>
              </w:rPr>
            </w:pPr>
          </w:p>
          <w:p>
            <w:pPr>
              <w:pStyle w:val="964"/>
              <w:spacing w:line="360" w:lineRule="auto"/>
              <w:rPr>
                <w:rFonts w:hint="eastAsia" w:ascii="宋体" w:hAnsi="宋体" w:eastAsia="宋体" w:cs="宋体"/>
                <w:sz w:val="24"/>
                <w:szCs w:val="24"/>
              </w:rPr>
            </w:pPr>
          </w:p>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公</w:t>
            </w:r>
          </w:p>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共</w:t>
            </w:r>
          </w:p>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区</w:t>
            </w:r>
          </w:p>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域</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收集区域内垃圾、更换垃圾袋</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区域内地面扫尘</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每日2次和随时维护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区域内洗手池、水池、水龙头清洗、擦拭</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每日1次和随时维护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卫生间（含镜子、水龙头、脸盆、台面、马桶、地面）、开水间冲洗、擦拭、消毒</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区域内把手、栏杆、花瓶、花盆、开关盒、接线盒、各类低处标牌、垃圾桶擦拭</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每日1次和随时维护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公共座椅的清洁擦拭</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每周1次和随时维护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玻璃清洁</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非医疗不锈钢物体表面闪钢保养</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高处标牌、壁挂物擦拭</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高处除尘</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灯具、音响、烟感、监视器等高处设备擦洗</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各材质地面的保养</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2月1次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nil"/>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巡逻保洁</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tcBorders>
              <w:top w:val="nil"/>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14</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外墙保洁</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每年2次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restart"/>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电梯</w:t>
            </w:r>
          </w:p>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部分</w:t>
            </w:r>
          </w:p>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消防</w:t>
            </w:r>
          </w:p>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通道</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不锈钢壁面及按钮消毒</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地面拖地，消毒，并随时清除杂物、口痰等</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天花及风口擦拭</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地面及梯级清扫、拖地</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每日1次</w:t>
            </w:r>
          </w:p>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和随时维护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659" w:type="dxa"/>
            <w:gridSpan w:val="6"/>
            <w:tcBorders>
              <w:top w:val="single" w:color="auto" w:sz="4" w:space="0"/>
              <w:left w:val="nil"/>
              <w:bottom w:val="single" w:color="auto" w:sz="4" w:space="0"/>
              <w:right w:val="nil"/>
            </w:tcBorders>
            <w:vAlign w:val="center"/>
          </w:tcPr>
          <w:p>
            <w:pPr>
              <w:pStyle w:val="964"/>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gridSpan w:val="2"/>
            <w:tcBorders>
              <w:top w:val="single" w:color="auto" w:sz="4" w:space="0"/>
              <w:left w:val="single" w:color="auto" w:sz="4" w:space="0"/>
              <w:bottom w:val="single" w:color="auto" w:sz="4" w:space="0"/>
              <w:right w:val="single" w:color="auto" w:sz="4" w:space="0"/>
            </w:tcBorders>
            <w:vAlign w:val="top"/>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区 域</w:t>
            </w: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序 号</w:t>
            </w:r>
          </w:p>
        </w:tc>
        <w:tc>
          <w:tcPr>
            <w:tcW w:w="5760" w:type="dxa"/>
            <w:tcBorders>
              <w:top w:val="single" w:color="auto" w:sz="4" w:space="0"/>
              <w:left w:val="single" w:color="auto" w:sz="4" w:space="0"/>
              <w:bottom w:val="single" w:color="auto" w:sz="4" w:space="0"/>
              <w:right w:val="single" w:color="auto" w:sz="4" w:space="0"/>
            </w:tcBorders>
            <w:vAlign w:val="top"/>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工 作 内 容</w:t>
            </w:r>
          </w:p>
        </w:tc>
        <w:tc>
          <w:tcPr>
            <w:tcW w:w="2220" w:type="dxa"/>
            <w:gridSpan w:val="2"/>
            <w:tcBorders>
              <w:top w:val="single" w:color="auto" w:sz="4" w:space="0"/>
              <w:left w:val="single" w:color="auto" w:sz="4" w:space="0"/>
              <w:bottom w:val="single" w:color="auto" w:sz="4" w:space="0"/>
              <w:right w:val="single" w:color="auto" w:sz="4" w:space="0"/>
            </w:tcBorders>
            <w:vAlign w:val="top"/>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 w:type="dxa"/>
            <w:gridSpan w:val="2"/>
            <w:vMerge w:val="restart"/>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各</w:t>
            </w:r>
          </w:p>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病</w:t>
            </w:r>
          </w:p>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区</w:t>
            </w: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5760"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收集区域内垃圾、更换垃圾袋</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5760"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区域内地面牵尘（无扬尘干扫）</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每日2次</w:t>
            </w:r>
          </w:p>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和随时维护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5760"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区域内地面湿拖（进行地面消毒、清洁）</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5760"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区域内家具（桌椅、橱柜等）、办公用品（含病历牌）、台面擦拭</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5760"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区域内电脑、电话、仪器（含各种医用器材）、器械（治疗车、病历架等）、床单位、低处电器表面的清洗或擦拭</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5760"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区域内洗手池、水池、水龙头、皂盒清洗、擦拭</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每日1次</w:t>
            </w:r>
          </w:p>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和随时维护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5760"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卫生间（含镜子、水龙头、脸盆、台面、毛巾架、马桶、沐浴器、地面）、开水间冲洗、擦拭、消毒</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每日2次和随时维护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5760"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区域内窗台、阳台、把手、栏杆、花瓶、花盆、开关盒、接线盒、各类低处标牌、垃圾桶擦拭</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5760"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床单位终末消毒</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5760"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开水机、冰箱外表面清洁消毒</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5760"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门、门框、窗框、玻璃</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5760"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低处墙面除尘、落地瓷砖、踢脚板、地角、低处管道擦拭</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5760"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非医疗不锈钢物体表面闪钢保养</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14</w:t>
            </w:r>
          </w:p>
        </w:tc>
        <w:tc>
          <w:tcPr>
            <w:tcW w:w="5760"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高处标牌、壁挂物擦拭</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15</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高处除尘</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16</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灯具、音响、烟感、监视器、通风口、排气扇、风扇、空调等高处设备擦洗</w:t>
            </w:r>
          </w:p>
        </w:tc>
        <w:tc>
          <w:tcPr>
            <w:tcW w:w="2220" w:type="dxa"/>
            <w:gridSpan w:val="2"/>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cantSplit/>
          <w:trHeight w:val="447" w:hRule="atLeas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17</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地面机洗、打蜡、晶面处理或保养</w:t>
            </w:r>
          </w:p>
        </w:tc>
        <w:tc>
          <w:tcPr>
            <w:tcW w:w="21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每3月1次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cantSpli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18</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巡视保洁、小手巾清洗、晾晒</w:t>
            </w:r>
          </w:p>
        </w:tc>
        <w:tc>
          <w:tcPr>
            <w:tcW w:w="21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cantSplit/>
          <w:trHeight w:val="390" w:hRule="atLeas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19</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 xml:space="preserve">平车上布类整理、更换 </w:t>
            </w:r>
          </w:p>
        </w:tc>
        <w:tc>
          <w:tcPr>
            <w:tcW w:w="21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cantSplit/>
          <w:trHeight w:val="416" w:hRule="atLeas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sz w:val="24"/>
                <w:szCs w:val="24"/>
              </w:rPr>
            </w:pPr>
            <w:r>
              <w:rPr>
                <w:rFonts w:hint="eastAsia" w:ascii="宋体" w:hAnsi="宋体" w:eastAsia="宋体" w:cs="宋体"/>
                <w:sz w:val="24"/>
                <w:szCs w:val="24"/>
              </w:rPr>
              <w:t>20</w:t>
            </w:r>
          </w:p>
        </w:tc>
        <w:tc>
          <w:tcPr>
            <w:tcW w:w="57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窗帘，床帘的拆洗</w:t>
            </w:r>
          </w:p>
        </w:tc>
        <w:tc>
          <w:tcPr>
            <w:tcW w:w="2160"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每季度1次，污染时随时</w:t>
            </w:r>
          </w:p>
        </w:tc>
      </w:tr>
    </w:tbl>
    <w:p>
      <w:pPr>
        <w:spacing w:line="360" w:lineRule="auto"/>
        <w:ind w:firstLine="422"/>
        <w:rPr>
          <w:rFonts w:hint="eastAsia" w:ascii="宋体" w:hAnsi="宋体" w:eastAsia="宋体" w:cs="宋体"/>
          <w:b/>
          <w:bCs/>
          <w:sz w:val="24"/>
          <w:szCs w:val="24"/>
        </w:rPr>
      </w:pPr>
      <w:r>
        <w:rPr>
          <w:rFonts w:hint="eastAsia" w:ascii="宋体" w:hAnsi="宋体" w:eastAsia="宋体" w:cs="宋体"/>
          <w:b/>
          <w:bCs/>
          <w:sz w:val="24"/>
          <w:szCs w:val="24"/>
        </w:rPr>
        <w:t>备注：疫情期间，所有区域消毒频次根据疫情防控要求执行。</w:t>
      </w:r>
    </w:p>
    <w:p>
      <w:pPr>
        <w:pStyle w:val="784"/>
        <w:rPr>
          <w:rFonts w:hint="eastAsia" w:ascii="宋体" w:hAnsi="宋体" w:eastAsia="宋体" w:cs="宋体"/>
          <w:sz w:val="24"/>
          <w:szCs w:val="24"/>
        </w:rPr>
      </w:pPr>
      <w:r>
        <w:rPr>
          <w:rFonts w:hint="eastAsia" w:ascii="宋体" w:hAnsi="宋体" w:eastAsia="宋体" w:cs="宋体"/>
          <w:sz w:val="24"/>
          <w:szCs w:val="24"/>
        </w:rPr>
        <w:t>（三）设备投入要求</w:t>
      </w:r>
    </w:p>
    <w:p>
      <w:pPr>
        <w:spacing w:line="360" w:lineRule="auto"/>
        <w:ind w:firstLine="422"/>
        <w:rPr>
          <w:rFonts w:hint="eastAsia" w:ascii="宋体" w:hAnsi="宋体" w:eastAsia="宋体" w:cs="宋体"/>
          <w:b/>
          <w:sz w:val="24"/>
          <w:szCs w:val="24"/>
        </w:rPr>
      </w:pPr>
      <w:r>
        <w:rPr>
          <w:rFonts w:hint="eastAsia" w:ascii="宋体" w:hAnsi="宋体" w:eastAsia="宋体" w:cs="宋体"/>
          <w:b/>
          <w:sz w:val="24"/>
          <w:szCs w:val="24"/>
        </w:rPr>
        <w:t>需配备的</w:t>
      </w:r>
      <w:r>
        <w:rPr>
          <w:rFonts w:hint="eastAsia" w:ascii="宋体" w:hAnsi="宋体" w:cs="宋体"/>
          <w:b/>
          <w:sz w:val="24"/>
          <w:szCs w:val="24"/>
          <w:lang w:eastAsia="zh-CN"/>
        </w:rPr>
        <w:t>设施</w:t>
      </w:r>
      <w:r>
        <w:rPr>
          <w:rFonts w:hint="eastAsia" w:ascii="宋体" w:hAnsi="宋体" w:eastAsia="宋体" w:cs="宋体"/>
          <w:b/>
          <w:sz w:val="24"/>
          <w:szCs w:val="24"/>
        </w:rPr>
        <w:t>设备</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中标单位除提供保洁必备的保洁设备和运送中心必备的无线遥控设备包括但不限于：多功能保洁车、</w:t>
      </w:r>
      <w:r>
        <w:rPr>
          <w:rFonts w:hint="eastAsia" w:ascii="宋体" w:hAnsi="宋体" w:cs="宋体"/>
          <w:sz w:val="24"/>
          <w:szCs w:val="24"/>
          <w:lang w:eastAsia="zh-CN"/>
        </w:rPr>
        <w:t>扫地机、</w:t>
      </w:r>
      <w:r>
        <w:rPr>
          <w:rFonts w:hint="eastAsia" w:ascii="宋体" w:hAnsi="宋体" w:eastAsia="宋体" w:cs="宋体"/>
          <w:sz w:val="24"/>
          <w:szCs w:val="24"/>
        </w:rPr>
        <w:t>手推自走式吸尘清扫机、全自动洗地机、石材晶硬镜面处理机、多功能擦地机、洗尘吸水机、高速抛光机、土坪/地毯吹干机、肩负式吸尘器、高压水枪、手机、</w:t>
      </w:r>
      <w:r>
        <w:rPr>
          <w:rFonts w:hint="eastAsia" w:ascii="宋体" w:hAnsi="宋体" w:cs="宋体"/>
          <w:sz w:val="24"/>
          <w:szCs w:val="24"/>
          <w:lang w:eastAsia="zh-CN"/>
        </w:rPr>
        <w:t>中央运送智慧服务系统、</w:t>
      </w:r>
      <w:r>
        <w:rPr>
          <w:rFonts w:hint="eastAsia" w:ascii="宋体" w:hAnsi="宋体" w:eastAsia="宋体" w:cs="宋体"/>
          <w:sz w:val="24"/>
          <w:szCs w:val="24"/>
        </w:rPr>
        <w:t>无线对讲机、电脑、打印机等设备以及保洁及转运所必须的其他工具。</w:t>
      </w:r>
    </w:p>
    <w:p>
      <w:pPr>
        <w:spacing w:line="360" w:lineRule="auto"/>
        <w:ind w:firstLine="422"/>
        <w:rPr>
          <w:rFonts w:hint="eastAsia" w:ascii="宋体" w:hAnsi="宋体" w:eastAsia="宋体" w:cs="宋体"/>
          <w:b/>
          <w:sz w:val="24"/>
          <w:szCs w:val="24"/>
        </w:rPr>
      </w:pPr>
      <w:r>
        <w:rPr>
          <w:rFonts w:hint="eastAsia" w:ascii="宋体" w:hAnsi="宋体" w:eastAsia="宋体" w:cs="宋体"/>
          <w:b/>
          <w:sz w:val="24"/>
          <w:szCs w:val="24"/>
        </w:rPr>
        <w:t>以上设备及提供服务所需的工具、药剂和耗材、服装等中标单位必须在与甲方签订合同后半个月内全部到位存入医院为物业公司准备的物料仓库中（家居保养、PVC、大理石保养所需的材料为3M、庄臣或及以上同类品牌产品）。</w:t>
      </w:r>
    </w:p>
    <w:p>
      <w:pPr>
        <w:pStyle w:val="784"/>
        <w:rPr>
          <w:rFonts w:hint="eastAsia" w:ascii="宋体" w:hAnsi="宋体" w:eastAsia="宋体" w:cs="宋体"/>
          <w:sz w:val="24"/>
          <w:szCs w:val="24"/>
        </w:rPr>
      </w:pPr>
      <w:r>
        <w:rPr>
          <w:rFonts w:hint="eastAsia" w:ascii="宋体" w:hAnsi="宋体" w:eastAsia="宋体" w:cs="宋体"/>
          <w:sz w:val="24"/>
          <w:szCs w:val="24"/>
        </w:rPr>
        <w:t>（四）员工招聘标准</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1、项目负责人</w:t>
      </w:r>
    </w:p>
    <w:p>
      <w:pPr>
        <w:spacing w:line="360" w:lineRule="auto"/>
        <w:ind w:firstLine="420"/>
        <w:rPr>
          <w:rFonts w:hint="eastAsia" w:ascii="宋体" w:hAnsi="宋体" w:eastAsia="宋体" w:cs="宋体"/>
          <w:b/>
          <w:bCs/>
          <w:sz w:val="24"/>
          <w:szCs w:val="24"/>
        </w:rPr>
      </w:pPr>
      <w:r>
        <w:rPr>
          <w:rFonts w:hint="eastAsia" w:ascii="宋体" w:hAnsi="宋体" w:eastAsia="宋体" w:cs="宋体"/>
          <w:sz w:val="24"/>
          <w:szCs w:val="24"/>
        </w:rPr>
        <w:t>大专以上学历, 具有2年以上三级综合性医院后勤物业管理经验且有较好的声誉。有较好的协调、指挥能力，能适应院方要求，能进行良好的沟通及密切的配合，有创新精神、事业心强。（必须提供项目负责人与投标单位签订的劳动合同及交纳的社会保险证明材料，在三级医院工作期间证明材料），</w:t>
      </w:r>
      <w:r>
        <w:rPr>
          <w:rFonts w:hint="eastAsia" w:ascii="宋体" w:hAnsi="宋体" w:eastAsia="宋体" w:cs="宋体"/>
          <w:b/>
          <w:bCs/>
          <w:sz w:val="24"/>
          <w:szCs w:val="24"/>
        </w:rPr>
        <w:t>且项目负责人要在标书中承诺本项目服务年限，不得中途更换。</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2、主管</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高中以上学历,有2年以上二级综合性医院后勤物业管理经验且有较好的声誉。能承上启下、协调上下人员，能熟悉分管部分工作的工作流程，熟练掌握各项操作方法，能带教好员工。（必须提供主管与投标单位签订的劳动合同及近二年在三级医院工作期间交纳的社会保险证明材料）。</w:t>
      </w:r>
    </w:p>
    <w:p>
      <w:pPr>
        <w:spacing w:line="360" w:lineRule="auto"/>
        <w:ind w:firstLine="420"/>
        <w:rPr>
          <w:rFonts w:hint="eastAsia" w:ascii="宋体" w:hAnsi="宋体" w:eastAsia="宋体" w:cs="宋体"/>
          <w:sz w:val="24"/>
          <w:szCs w:val="24"/>
        </w:rPr>
      </w:pPr>
      <w:bookmarkStart w:id="57" w:name="_Toc113719370"/>
      <w:r>
        <w:rPr>
          <w:rFonts w:hint="eastAsia" w:ascii="宋体" w:hAnsi="宋体" w:eastAsia="宋体" w:cs="宋体"/>
          <w:sz w:val="24"/>
          <w:szCs w:val="24"/>
        </w:rPr>
        <w:t>3、其余人员</w:t>
      </w:r>
      <w:bookmarkEnd w:id="57"/>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吃苦耐劳、工作认真，学历要求能满足医院各岗位的要求。身体健康，无传染性疾病及精神疾病史，无故意犯罪记录等。</w:t>
      </w:r>
    </w:p>
    <w:p>
      <w:pPr>
        <w:spacing w:line="360" w:lineRule="auto"/>
        <w:ind w:firstLine="420"/>
        <w:rPr>
          <w:rFonts w:hint="eastAsia" w:ascii="宋体" w:hAnsi="宋体" w:eastAsia="宋体" w:cs="宋体"/>
          <w:b/>
          <w:bCs/>
          <w:sz w:val="24"/>
          <w:szCs w:val="24"/>
        </w:rPr>
      </w:pPr>
      <w:r>
        <w:rPr>
          <w:rFonts w:hint="eastAsia" w:ascii="宋体" w:hAnsi="宋体" w:eastAsia="宋体" w:cs="宋体"/>
          <w:sz w:val="24"/>
          <w:szCs w:val="24"/>
        </w:rPr>
        <w:t>注：所有员工上岗前必须进行健康体检，合格者方可上岗，</w:t>
      </w:r>
      <w:r>
        <w:rPr>
          <w:rFonts w:hint="eastAsia" w:ascii="宋体" w:hAnsi="宋体" w:eastAsia="宋体" w:cs="宋体"/>
          <w:b/>
          <w:bCs/>
          <w:sz w:val="24"/>
          <w:szCs w:val="24"/>
        </w:rPr>
        <w:t>医疗废物转运工人还必须每年进行一次血液传播疾病相关检查及健康体检，并将体检表复印件交甲方备案，体检所需费用由中标人承担。</w:t>
      </w:r>
    </w:p>
    <w:p>
      <w:pPr>
        <w:pStyle w:val="6"/>
        <w:rPr>
          <w:rFonts w:hint="eastAsia" w:ascii="宋体" w:hAnsi="宋体" w:eastAsia="宋体" w:cs="宋体"/>
          <w:sz w:val="24"/>
          <w:szCs w:val="24"/>
        </w:rPr>
      </w:pPr>
      <w:bookmarkStart w:id="58" w:name="_Toc54782922"/>
      <w:r>
        <w:rPr>
          <w:rFonts w:hint="eastAsia" w:ascii="宋体" w:hAnsi="宋体" w:eastAsia="宋体" w:cs="宋体"/>
          <w:sz w:val="24"/>
          <w:szCs w:val="24"/>
        </w:rPr>
        <w:t>六、承包方式</w:t>
      </w:r>
      <w:bookmarkEnd w:id="58"/>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1、本服务项目采用包质量、材料、包安全的三包形式，服务总价含材料、人工、管理、税金等费用，根据中标价一次性包干，期间市场材料价格发生变化，本服务项目均不予调整。新增减服务范围按实调整。</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2、合同报价按总包制，在总报价后，对单位报价做出说明。</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3、服务方负责保洁人员的招聘、使用、管理、调配和辞退。若有违反中心规章制度，对工作不负责的保洁人员，中心有权进行辞退处理。</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4、保洁人员的健康状况（包括操作不规范等因素造成的安全责任事故）全部费用由服务方承担，中心不承担任何责任；服务方必须根据国家《劳动合同法》合法用工，依法为每位员工支付各类社会保险；如用工不当，给中心造成损失由服务方承担。</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5、服务方提供作业所需的各种低值易耗品：卫生洁具、清洁药剂（消毒剂使用医院专业消毒剂-爱尔施、去污粉、去污液等）、垃圾袋</w:t>
      </w:r>
      <w:r>
        <w:rPr>
          <w:rFonts w:hint="eastAsia" w:ascii="宋体" w:hAnsi="宋体" w:eastAsia="宋体" w:cs="宋体"/>
          <w:sz w:val="24"/>
          <w:szCs w:val="24"/>
          <w:lang w:eastAsia="zh-CN"/>
        </w:rPr>
        <w:t>（医用垃圾袋除外）</w:t>
      </w:r>
      <w:r>
        <w:rPr>
          <w:rFonts w:hint="eastAsia" w:ascii="宋体" w:hAnsi="宋体" w:eastAsia="宋体" w:cs="宋体"/>
          <w:sz w:val="24"/>
          <w:szCs w:val="24"/>
        </w:rPr>
        <w:t>、消毒、从业人员工作服及其他职业防护等物品。</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6、服务方在承包期间内与外界发生的一切债权、债务等纠纷均与院方无关。</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7、中心可提供：院内垃圾桶（箱）、垃圾堆放点。在服务期间，专用工具的购买、保养、维修费用由服务方负责。</w:t>
      </w:r>
    </w:p>
    <w:p>
      <w:pPr>
        <w:pStyle w:val="6"/>
        <w:rPr>
          <w:rFonts w:hint="eastAsia" w:ascii="宋体" w:hAnsi="宋体" w:eastAsia="宋体" w:cs="宋体"/>
          <w:sz w:val="24"/>
          <w:szCs w:val="24"/>
        </w:rPr>
      </w:pPr>
      <w:bookmarkStart w:id="59" w:name="_Toc54782923"/>
      <w:r>
        <w:rPr>
          <w:rFonts w:hint="eastAsia" w:ascii="宋体" w:hAnsi="宋体" w:eastAsia="宋体" w:cs="宋体"/>
          <w:sz w:val="24"/>
          <w:szCs w:val="24"/>
        </w:rPr>
        <w:t>七、对招标有关项目的说明</w:t>
      </w:r>
      <w:bookmarkEnd w:id="59"/>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（一）服务时间：2年，合同一年一签，若在合同履行阶段，服务公司出现考核不符合相关要求，采购人有权随时终止合同，重新招标确定新单位。</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（二）投标人应在接到中标通知书后30日内与招标人签定合同，逾期视作放弃中标。投标文件及承诺作为合同的一部分，与合同有同等效力。</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（三）履约保证金的处置：投标人在合同期内单方面终止合同，或因投标人失误造成安全伤亡事故及医疗纠纷，招标人有权扣除其部分或全部履约保证金。</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（四）中标人在合同期满移交时，对招标人工作造成影响时，招标人有权扣除其部分或全部履约保证金。</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（五）服务办公用房：招标人提供一定面积的办公用房及辅助配套等，在服务期限内给中标人免费使用，各类用电费用由招标人承担，产权归招标人所有。</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六）中标人必须配置项目相关人员的装备（包括对讲机以及对讲机公共频道占用费及维修费用等，对讲机的配备除管理人员及一线服务员工（特别勤务物流岗位），招标人相关人员也应配备一定数量的对讲机，以便服务联络，费用包含在投标总价中）。</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（七）中标人自备电脑、考勤设备和打印机等办公设备和耗材。招标人提供配备内线服务电话1台，用于院内服务联络。中标人服务管理人员应加入招标人院区虚拟网，费用中标人承担。</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（八）中标人的各岗位员工要统一服装，中标人负责其员工工服、更衣柜、物品存放柜的配备。</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（九）中标服务人员100%经过岗前培训合格才上岗。同时必须提交岗前培训记录。</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（十）未经招标人同意，中标人不得在合同期限内将本项目的管理权转包或另行发包。</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（十一）中标人须严格按照标准化的操作程序、完善的培训体系和质量控制体系完成本项目，以保证整个项目安全、高效、有序和有计划地运转。</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（十二）中标人有责任配合、接受招标人职能部门及上级领导部门的监督、检查，并提供必须的资料。</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十三）中标人须严格按照国家和杭州市政府规定给所有的员工缴纳各种社会保险（包括养老、医疗、工伤、生育险、失业保险等）。合同履约期内国家最低保障工资遇政策调整的（与投标月份对比），合同价格在合同期内也不作调整。投标人投标报价时应明确员工社保缴纳比例、人均费用等情况。</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（十四）中标人自行负责其招聘员工的一切工资、福利；如发生工伤、疾病乃至死亡的一切责任及费用由中标人全部负责；中标人应严格遵守国家有关的法律、法规及行业标准。</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（十五）招标人不接受投标人任何因遗漏报价而发生的费用追加，因投标方违反《劳动法》等法律法规而造成院方的连带责任和损失全部由中标方承担。</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（十六）招标人负责提供各类垃圾桶及医疗专用垃圾袋（黄色垃圾袋），负责生活垃圾、医疗垃圾的外运费和垃圾处理费用。</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（十七）中标人须每月向招标人提供员工的基本情况登记表、员工辞职名单和员工社会保险缴纳情况清单。</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（十八）中标人要爱护与保管好医院财产，如损坏医院设施等，按实际损失价值赔偿。</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（十九）中标人必须提供本项目点的管理人员和员工（包括更换人员）的身份证复印件。</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（二十）医院不安排住宿，严禁非值班人员留宿</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（二十一）因投标人原因导致的，给招标人或第三方造成人生损害或财产损失的，投标人应承担全部责任。</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（二十二）双方应严格执行协议规定，如合同、标书中有未尽事宜，双方协商解决。经双方协商后以备忘录形式书面确认，并作为本协议不可分割部分。如补充协议与本协议有不同之处，以补充协议为准。</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（二十三）投标方需中标方超合同范围服务，双方以联系单形式确认并协商费用另行结算。</w:t>
      </w:r>
    </w:p>
    <w:p>
      <w:pPr>
        <w:pStyle w:val="6"/>
        <w:rPr>
          <w:rFonts w:hint="eastAsia" w:ascii="宋体" w:hAnsi="宋体" w:eastAsia="宋体" w:cs="宋体"/>
          <w:sz w:val="24"/>
          <w:szCs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bookmarkStart w:id="60" w:name="_Toc54782924"/>
    </w:p>
    <w:p>
      <w:pPr>
        <w:pStyle w:val="6"/>
        <w:rPr>
          <w:rFonts w:hint="eastAsia" w:ascii="宋体" w:hAnsi="宋体" w:eastAsia="宋体" w:cs="宋体"/>
          <w:sz w:val="24"/>
          <w:szCs w:val="24"/>
        </w:rPr>
      </w:pPr>
      <w:r>
        <w:rPr>
          <w:rFonts w:hint="eastAsia" w:ascii="宋体" w:hAnsi="宋体" w:eastAsia="宋体" w:cs="宋体"/>
          <w:sz w:val="24"/>
          <w:szCs w:val="24"/>
        </w:rPr>
        <w:t>八、考核标准及费用结算</w:t>
      </w:r>
      <w:bookmarkEnd w:id="60"/>
    </w:p>
    <w:p>
      <w:pPr>
        <w:pStyle w:val="784"/>
        <w:rPr>
          <w:rFonts w:hint="eastAsia" w:ascii="宋体" w:hAnsi="宋体" w:eastAsia="宋体" w:cs="宋体"/>
          <w:sz w:val="24"/>
          <w:szCs w:val="24"/>
        </w:rPr>
      </w:pPr>
      <w:r>
        <w:rPr>
          <w:rFonts w:hint="eastAsia" w:ascii="宋体" w:hAnsi="宋体" w:eastAsia="宋体" w:cs="宋体"/>
          <w:sz w:val="24"/>
          <w:szCs w:val="24"/>
        </w:rPr>
        <w:t>（一）考核标准</w:t>
      </w:r>
    </w:p>
    <w:p>
      <w:pPr>
        <w:spacing w:line="360" w:lineRule="auto"/>
        <w:ind w:firstLine="422"/>
        <w:jc w:val="center"/>
        <w:rPr>
          <w:rFonts w:hint="eastAsia" w:ascii="宋体" w:hAnsi="宋体" w:eastAsia="宋体" w:cs="宋体"/>
          <w:b/>
          <w:sz w:val="24"/>
          <w:szCs w:val="24"/>
        </w:rPr>
      </w:pPr>
      <w:r>
        <w:rPr>
          <w:rFonts w:hint="eastAsia" w:ascii="宋体" w:hAnsi="宋体" w:eastAsia="宋体" w:cs="宋体"/>
          <w:b/>
          <w:sz w:val="24"/>
          <w:szCs w:val="24"/>
        </w:rPr>
        <w:t>浙江康复医疗中心物业管理考核方案</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（一）考核目的：提升服务品质，提高服务能力。</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（二）考核时间：每季度一次，次季度10日前组织对上季度服务情况考核。</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（三）考核办法：考核由对口管理部门的专项考核、被服务科室的服务质量考核及服务病人的满意度测评3部分组成,以服务物业公司为单位分块考核。</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 1、专项考核：后勤管理服务中心考核，由日常督查情况及集中考核组成。</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    考核内容：（1）规章制度及各项规范执行情况；</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              （2）工作培训计划及落实情况；</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              （3）目标量化指标执行情况；</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              （4）持续质量改进情况；</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              （5）投诉处理情况；</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              （6）各类台账完成情况；</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              （7）临时性指令完成及对突发事件应对情况；</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              （8）日常督查反馈情况。</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    2、服务质量考核：由各病区护士长及相关接受服务科室考核</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     考核内容：</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（1）基本规范：仪容仪表、统一着装、佩戴胸牌，服务态度、道德规范，文明用语，出勤情况，管理人员监管。</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（2）服务质量。</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（3）行业规范及医院规章制度执行情况：院感、消防。</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    3、满意度调查：当月在院病人和出院病人测评</w:t>
      </w:r>
      <w:r>
        <w:rPr>
          <w:rFonts w:hint="eastAsia" w:ascii="宋体" w:hAnsi="宋体" w:eastAsia="宋体" w:cs="宋体"/>
          <w:sz w:val="24"/>
          <w:szCs w:val="24"/>
          <w:lang w:eastAsia="zh-CN"/>
        </w:rPr>
        <w:t>（具体人次根据院方要求）</w:t>
      </w:r>
      <w:r>
        <w:rPr>
          <w:rFonts w:hint="eastAsia" w:ascii="宋体" w:hAnsi="宋体" w:eastAsia="宋体" w:cs="宋体"/>
          <w:sz w:val="24"/>
          <w:szCs w:val="24"/>
        </w:rPr>
        <w:t>。</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    测评内容：仪容仪表、统一着装、佩戴胸牌，服务态度、道德规范，文明用语，服务效果根据以上3部分考核测评数据分别按30%、60%、10%计入总分。</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（四）奖惩办法：</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1、80分及以上按正常费用结算；</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2、75分（含）——79分(含）之间扣除当期服务费用的5%；</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3、70分（含）——74分(含）之间扣除当期服务费用10%；</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4、69分（含）以下，扣罚当期服务费用的20%，招标人有权提出终止合同；</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目标量化指标一项未达标的扣除</w:t>
      </w:r>
      <w:r>
        <w:rPr>
          <w:rFonts w:hint="eastAsia" w:ascii="宋体" w:hAnsi="宋体" w:cs="宋体"/>
          <w:sz w:val="24"/>
          <w:szCs w:val="24"/>
          <w:lang w:eastAsia="zh-CN"/>
        </w:rPr>
        <w:t>当季度</w:t>
      </w:r>
      <w:r>
        <w:rPr>
          <w:rFonts w:hint="eastAsia" w:ascii="宋体" w:hAnsi="宋体" w:eastAsia="宋体" w:cs="宋体"/>
          <w:sz w:val="24"/>
          <w:szCs w:val="24"/>
        </w:rPr>
        <w:t>服务费用500元，多项累加按500元/项扣除。</w:t>
      </w:r>
    </w:p>
    <w:p>
      <w:pPr>
        <w:pStyle w:val="2"/>
        <w:rPr>
          <w:rFonts w:hint="eastAsia"/>
        </w:rPr>
      </w:pP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后勤服务保洁、勤务（物流）服务质量考核细则</w:t>
      </w:r>
    </w:p>
    <w:tbl>
      <w:tblPr>
        <w:tblStyle w:val="62"/>
        <w:tblpPr w:leftFromText="180" w:rightFromText="180" w:vertAnchor="text" w:horzAnchor="page" w:tblpX="1191" w:tblpY="624"/>
        <w:tblOverlap w:val="never"/>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769"/>
        <w:gridCol w:w="4508"/>
        <w:gridCol w:w="2505"/>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区域</w:t>
            </w: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考  评  内   容</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考 评 要 点</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管</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理</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制</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度</w:t>
            </w: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工作制度：物业公司工作制度；项目负责人工作职责；各岗位工作人员工作职责；安全管理制度；员工岗位考核标准及记录；工作量量化表；巡查记录；2、会议制度：物业公司工作会每月不少于2次；业务学习每月不少于1次；参加者不低于单位人数的65%，各类会议及时传达有会议记录。3、各种资料记录递交医院管理部门（次月5日）。</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各项制度、台帐缺一项扣0.2分；各项会议缺一项扣0.2分，参加者每低于单位人数1%扣0.1分；资料记录未按时递交扣1分。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Merge w:val="restart"/>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室</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外</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环</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境</w:t>
            </w:r>
          </w:p>
        </w:tc>
        <w:tc>
          <w:tcPr>
            <w:tcW w:w="769" w:type="dxa"/>
            <w:vMerge w:val="restart"/>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道路</w:t>
            </w: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医院内所有道路全天候保持干净，无明显泥沙、污垢、积水树叶。每20平方米范围内烟头、果皮、纸屑等污物平均不超过2处，且应在15分钟内及时清除掉。</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一项不合格扣0.1分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2"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76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院内的地面保持干燥，尤其雨天、雪天要加强管理，及时清扫积水、积雪，坡道等易滑处放置防滑地垫，防止行人摔伤，确保安全。</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一项不合格扣0.1分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2"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76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定期检查平台、窖井、化粪池，无外溢，无纸屑烟头，盖上无污泥。</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一项不合格扣0.1分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2"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769" w:type="dxa"/>
            <w:vMerge w:val="restart"/>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公共设施</w:t>
            </w: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医院内各处严禁张贴小广告等“牛皮癣”每周巡查不得少于2次，有记录有整改；外墙面转角处无积土、垃圾；宣传栏无乱贴现象，金属门和金属护板保持干净光亮，无污渍、无脚踢印迹、无锈迹。</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一项不合格扣0.1分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2"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76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标识牌、介绍栏、宣传栏、软门帘等清洁，公共设施目视无明显灰尘；平台无积水、杂物；玻璃雨棚目视无垃圾、青苔、积水、污迹；明沟通畅，无污物堆积。</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一项不合格扣0.1分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2"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76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垃圾站、室外垃圾箱、室内垃圾桶要按规定及时清运，无过夜垃圾，地面不积水，每天及时清洗，无异味。</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一项不合格扣0.1分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2"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停</w:t>
            </w: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车</w:t>
            </w: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场</w:t>
            </w: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停车场(含立体车库)：无杂物、纸屑、油污、蜘蛛网。</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一项不合格扣0.1分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办</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公</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区</w:t>
            </w: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办公室、会议室、示教室、值班室保持清洁；灯具、空调进出风口表面等干净整洁。地面光亮、干净、无尘、无烟头、废弃物、无污渍，无纸屑、无痰迹、墙面及拐角处无蜘蛛网。办公家具、桌椅台面保持干净清洁无积尘、脚踢印、黑色痕迹。</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一项不合格扣0.1分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7" w:hRule="atLeast"/>
        </w:trPr>
        <w:tc>
          <w:tcPr>
            <w:tcW w:w="772" w:type="dxa"/>
            <w:vMerge w:val="restart"/>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公</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共</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区</w:t>
            </w: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大</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厅</w:t>
            </w: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室内及大厅墙面、踢脚板须擦拭干净，无污垢、划痕、积尘、脚踢印、黑色痕迹。公共走廊、走道、楼梯、脚垫干净清洁；电梯大厅和门、窗槽内干净无积水、积土，无烟头、废弃物、果皮、纸屑、痰迹、污渍。</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一项不合格扣0.1分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5" w:hRule="atLeast"/>
        </w:trPr>
        <w:tc>
          <w:tcPr>
            <w:tcW w:w="772"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卫</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生</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间</w:t>
            </w: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坐厕盖板、座板清洁无水迹，内壁外壁无污迹；沐浴房玻璃门干净，无污迹；厕所地面无积水，便池内（含小便器）无尿碱或污垢；墙面、墙身面砖清洁光亮，无污迹。</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一项不合格扣0.1分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2"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候</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诊</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区</w:t>
            </w: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各候诊区、手术病人家属等待区域内的桌椅及其他家具设备，擦拭消毒干净，不得有污迹、划痕、无脚踢印迹、黑色痕迹。</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一项不合格扣0.2分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2" w:type="dxa"/>
            <w:vMerge w:val="restart"/>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治</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疗</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区</w:t>
            </w:r>
          </w:p>
        </w:tc>
        <w:tc>
          <w:tcPr>
            <w:tcW w:w="769" w:type="dxa"/>
            <w:vMerge w:val="restart"/>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室内玻璃干净、明亮、无手印、无污渍，窗框、门及顶部无灰尘、无锈蚀。</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一项不合格扣0.1分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769"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各区域内设施及物品摆放划分到位，不得有不属于本区域的设备及其它物品，各类物品摆放整齐。</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一项不合格扣0.1分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772"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垃圾清倒及时，无异味；分清各类工具的摆放区域及具体位置，并有明显标识，无乱摆、乱挂现象；水池内无垃圾无积水。垃圾桶、纸篓干净无污渍、痰渍，垃圾桶内的垃圾不超过三分之二。</w:t>
            </w:r>
          </w:p>
          <w:p>
            <w:pPr>
              <w:pStyle w:val="964"/>
              <w:spacing w:line="360" w:lineRule="auto"/>
              <w:rPr>
                <w:rFonts w:hint="eastAsia" w:ascii="宋体" w:hAnsi="宋体" w:eastAsia="宋体" w:cs="宋体"/>
                <w:kern w:val="0"/>
                <w:sz w:val="24"/>
                <w:szCs w:val="24"/>
              </w:rPr>
            </w:pP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一项不合格扣0.2分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72"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特</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殊</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区</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域</w:t>
            </w:r>
          </w:p>
          <w:p>
            <w:pPr>
              <w:pStyle w:val="964"/>
              <w:spacing w:line="360" w:lineRule="auto"/>
              <w:rPr>
                <w:rFonts w:hint="eastAsia" w:ascii="宋体" w:hAnsi="宋体" w:eastAsia="宋体" w:cs="宋体"/>
                <w:kern w:val="0"/>
                <w:sz w:val="24"/>
                <w:szCs w:val="24"/>
              </w:rPr>
            </w:pP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手</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术</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室</w:t>
            </w: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进入手术室等重点部门：污染区、无菌区、医护办公室进行保洁工作时，不同的地方都应配置清洁用品，不得混用；玻璃、桌面及角落无灰尘、污迹、水渍、纸屑、烟头。空调进出风口等无尘；在感染病区和非感染病区进行保洁工作时不得交叉作业。</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不服从管理、无礼貌扣0.1分；发现感染区和非感染区交叉作业扣0.2分；将污染区的物品带入无菌区扣0.2分；不同的地方都应配置清洁用品，不得混用，发现一次扣0.2分；玻璃、桌面及角落有灰尘、污迹、水渍、均扣0.1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772" w:type="dxa"/>
            <w:vMerge w:val="restart"/>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地</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胶</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板</w:t>
            </w: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打蜡</w:t>
            </w: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有打蜡计划，并按计划和科室沟通；</w:t>
            </w: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蜡面均匀，边、角无陈蜡</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无计划扣0.1分；每个区域抽二个点，发现一处不合格扣0.2分，严重不合格扣1分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772"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抛光、洗地</w:t>
            </w: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公共区域按合同要求执行；洗地需全覆盖，抛光需补蜡，蜡面均匀，有质感</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少一次扣0.1分；</w:t>
            </w: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发现一处不合格扣0.1分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72" w:type="dxa"/>
            <w:vMerge w:val="restart"/>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运</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送</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中</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心</w:t>
            </w:r>
          </w:p>
          <w:p>
            <w:pPr>
              <w:pStyle w:val="964"/>
              <w:spacing w:line="360" w:lineRule="auto"/>
              <w:rPr>
                <w:rFonts w:hint="eastAsia" w:ascii="宋体" w:hAnsi="宋体" w:eastAsia="宋体" w:cs="宋体"/>
                <w:kern w:val="0"/>
                <w:sz w:val="24"/>
                <w:szCs w:val="24"/>
              </w:rPr>
            </w:pP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接送病人</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标本运送</w:t>
            </w:r>
          </w:p>
          <w:p>
            <w:pPr>
              <w:pStyle w:val="964"/>
              <w:spacing w:line="360" w:lineRule="auto"/>
              <w:rPr>
                <w:rFonts w:hint="eastAsia" w:ascii="宋体" w:hAnsi="宋体" w:eastAsia="宋体" w:cs="宋体"/>
                <w:kern w:val="0"/>
                <w:sz w:val="24"/>
                <w:szCs w:val="24"/>
              </w:rPr>
            </w:pP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sz w:val="24"/>
                <w:szCs w:val="24"/>
              </w:rPr>
              <w:t>及时、安全护送病人检查；及时、安全送检标本；定时收单、约单、记帐、发报告；</w:t>
            </w:r>
          </w:p>
        </w:tc>
        <w:tc>
          <w:tcPr>
            <w:tcW w:w="2505" w:type="dxa"/>
            <w:vMerge w:val="restart"/>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每起扣0.1分</w:t>
            </w:r>
          </w:p>
          <w:p>
            <w:pPr>
              <w:pStyle w:val="964"/>
              <w:spacing w:line="360" w:lineRule="auto"/>
              <w:rPr>
                <w:rFonts w:hint="eastAsia" w:ascii="宋体" w:hAnsi="宋体" w:eastAsia="宋体" w:cs="宋体"/>
                <w:kern w:val="0"/>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772"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服务态度</w:t>
            </w: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对待病人态度和蔼，服务热情，对医务人员的指令尽快执行，无差错发生。药品配送按批次完成</w:t>
            </w:r>
          </w:p>
        </w:tc>
        <w:tc>
          <w:tcPr>
            <w:tcW w:w="2505"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6" w:hRule="atLeast"/>
        </w:trPr>
        <w:tc>
          <w:tcPr>
            <w:tcW w:w="772"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夜间值班</w:t>
            </w: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值班期间不离岗、窜岗，接电话语言文明，工作处理及时、准确，满足临床一线需求，无病人及医务人员投诉。</w:t>
            </w:r>
          </w:p>
        </w:tc>
        <w:tc>
          <w:tcPr>
            <w:tcW w:w="2505"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rPr>
        <w:tc>
          <w:tcPr>
            <w:tcW w:w="772" w:type="dxa"/>
            <w:vMerge w:val="restart"/>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kern w:val="0"/>
                <w:sz w:val="24"/>
                <w:szCs w:val="24"/>
              </w:rPr>
            </w:pP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其</w:t>
            </w:r>
          </w:p>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它</w:t>
            </w: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院感</w:t>
            </w: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sz w:val="24"/>
                <w:szCs w:val="24"/>
              </w:rPr>
              <w:t>按有关院感要求执行</w:t>
            </w:r>
          </w:p>
        </w:tc>
        <w:tc>
          <w:tcPr>
            <w:tcW w:w="2505" w:type="dxa"/>
            <w:vMerge w:val="restart"/>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每起扣0.1分</w:t>
            </w:r>
          </w:p>
        </w:tc>
        <w:tc>
          <w:tcPr>
            <w:tcW w:w="1074"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4" w:hRule="atLeast"/>
        </w:trPr>
        <w:tc>
          <w:tcPr>
            <w:tcW w:w="772"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节约能源</w:t>
            </w: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合理关、开水源、电源、门窗，并有定时巡查（需有记录），有问题及时向有关部门汇报。</w:t>
            </w:r>
          </w:p>
        </w:tc>
        <w:tc>
          <w:tcPr>
            <w:tcW w:w="2505"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1074"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2"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控烟</w:t>
            </w: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sz w:val="24"/>
                <w:szCs w:val="24"/>
              </w:rPr>
              <w:t>员工做好禁烟管理，配合院方共同劝阻吸烟</w:t>
            </w:r>
          </w:p>
        </w:tc>
        <w:tc>
          <w:tcPr>
            <w:tcW w:w="2505"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1074" w:type="dxa"/>
            <w:tcBorders>
              <w:top w:val="single" w:color="auto" w:sz="4" w:space="0"/>
              <w:left w:val="single" w:color="auto" w:sz="4" w:space="0"/>
              <w:bottom w:val="single" w:color="auto" w:sz="4" w:space="0"/>
              <w:right w:val="single" w:color="auto" w:sz="4" w:space="0"/>
            </w:tcBorders>
            <w:vAlign w:val="top"/>
          </w:tcPr>
          <w:p>
            <w:pPr>
              <w:pStyle w:val="964"/>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vMerge w:val="restart"/>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员工状态</w:t>
            </w: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素质</w:t>
            </w: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sz w:val="24"/>
                <w:szCs w:val="24"/>
              </w:rPr>
              <w:t>具有与工作相适应的文化，与岗位相匹配的能力，与合同规定的年龄结构,</w:t>
            </w:r>
            <w:r>
              <w:rPr>
                <w:rFonts w:hint="eastAsia" w:ascii="宋体" w:hAnsi="宋体" w:eastAsia="宋体" w:cs="宋体"/>
                <w:kern w:val="0"/>
                <w:sz w:val="24"/>
                <w:szCs w:val="24"/>
              </w:rPr>
              <w:t>有培训.</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一人不合格扣0.2</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72"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稳定性</w:t>
            </w:r>
          </w:p>
          <w:p>
            <w:pPr>
              <w:pStyle w:val="964"/>
              <w:spacing w:line="360" w:lineRule="auto"/>
              <w:rPr>
                <w:rFonts w:hint="eastAsia" w:ascii="宋体" w:hAnsi="宋体" w:eastAsia="宋体" w:cs="宋体"/>
                <w:kern w:val="0"/>
                <w:sz w:val="24"/>
                <w:szCs w:val="24"/>
              </w:rPr>
            </w:pP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sz w:val="24"/>
                <w:szCs w:val="24"/>
              </w:rPr>
            </w:pPr>
            <w:r>
              <w:rPr>
                <w:rFonts w:hint="eastAsia" w:ascii="宋体" w:hAnsi="宋体" w:eastAsia="宋体" w:cs="宋体"/>
                <w:sz w:val="24"/>
                <w:szCs w:val="24"/>
              </w:rPr>
              <w:t>确保人员到岗率≥98%，新增人员到岗时间≤7个工作日。</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大于5%，扣1—10分，其它一起不合格扣0.5分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2" w:type="dxa"/>
            <w:vMerge w:val="restart"/>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投诉</w:t>
            </w: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态度、质量</w:t>
            </w: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基本属实，影响一般；</w:t>
            </w: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属实，性质恶劣,影响很坏的</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性质一般的，一起扣0.2分，超过10起，每起扣0.5分，恶劣且影响坏的，每起扣3分,超过5起的,每起扣8分.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5" w:hRule="atLeast"/>
        </w:trPr>
        <w:tc>
          <w:tcPr>
            <w:tcW w:w="772" w:type="dxa"/>
            <w:vMerge w:val="continue"/>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c>
          <w:tcPr>
            <w:tcW w:w="769"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违反医院制度或法律法规</w:t>
            </w:r>
          </w:p>
        </w:tc>
        <w:tc>
          <w:tcPr>
            <w:tcW w:w="4508"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基本属实,性质一般；</w:t>
            </w:r>
          </w:p>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性质恶劣,影响极坏</w:t>
            </w:r>
          </w:p>
        </w:tc>
        <w:tc>
          <w:tcPr>
            <w:tcW w:w="2505"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性质一般的，每起扣1分，5起以上,每起扣3分,性质恶劣且影响极坏的，每起扣10分。</w:t>
            </w:r>
          </w:p>
        </w:tc>
        <w:tc>
          <w:tcPr>
            <w:tcW w:w="1074"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2" w:type="dxa"/>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备注</w:t>
            </w:r>
          </w:p>
        </w:tc>
        <w:tc>
          <w:tcPr>
            <w:tcW w:w="8856" w:type="dxa"/>
            <w:gridSpan w:val="4"/>
            <w:tcBorders>
              <w:top w:val="single" w:color="auto" w:sz="4" w:space="0"/>
              <w:left w:val="single" w:color="auto" w:sz="4" w:space="0"/>
              <w:bottom w:val="single" w:color="auto" w:sz="4" w:space="0"/>
              <w:right w:val="single" w:color="auto" w:sz="4" w:space="0"/>
            </w:tcBorders>
            <w:vAlign w:val="center"/>
          </w:tcPr>
          <w:p>
            <w:pPr>
              <w:pStyle w:val="964"/>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当月月底前由医院方考评一次,日常管理可参照本考核表扣分,月底累加扣分,并合计总分</w:t>
            </w:r>
            <w:r>
              <w:rPr>
                <w:rFonts w:hint="eastAsia" w:ascii="宋体" w:hAnsi="宋体" w:eastAsia="宋体" w:cs="宋体"/>
                <w:sz w:val="24"/>
                <w:szCs w:val="24"/>
              </w:rPr>
              <w:t xml:space="preserve"> </w:t>
            </w:r>
          </w:p>
        </w:tc>
      </w:tr>
    </w:tbl>
    <w:p>
      <w:pPr>
        <w:spacing w:line="360" w:lineRule="auto"/>
        <w:rPr>
          <w:rFonts w:hint="eastAsia" w:ascii="宋体" w:hAnsi="宋体" w:eastAsia="宋体" w:cs="宋体"/>
          <w:sz w:val="24"/>
          <w:szCs w:val="24"/>
        </w:rPr>
      </w:pPr>
    </w:p>
    <w:bookmarkEnd w:id="39"/>
    <w:bookmarkEnd w:id="40"/>
    <w:bookmarkEnd w:id="41"/>
    <w:bookmarkEnd w:id="42"/>
    <w:bookmarkEnd w:id="43"/>
    <w:bookmarkEnd w:id="44"/>
    <w:bookmarkEnd w:id="45"/>
    <w:bookmarkEnd w:id="46"/>
    <w:bookmarkEnd w:id="47"/>
    <w:p>
      <w:pPr>
        <w:pStyle w:val="26"/>
        <w:ind w:firstLine="0" w:firstLineChars="0"/>
        <w:rPr>
          <w:rFonts w:hint="default" w:cs="宋体"/>
          <w:color w:val="FF0000"/>
          <w:sz w:val="24"/>
          <w:szCs w:val="24"/>
          <w:highlight w:val="yellow"/>
          <w:lang w:val="en-US" w:eastAsia="zh-CN"/>
        </w:rPr>
      </w:pPr>
    </w:p>
    <w:p>
      <w:pPr>
        <w:spacing w:line="360" w:lineRule="auto"/>
        <w:ind w:firstLine="480" w:firstLineChars="200"/>
        <w:rPr>
          <w:rFonts w:ascii="宋体" w:hAnsi="宋体" w:cs="宋体"/>
          <w:sz w:val="24"/>
        </w:rPr>
      </w:pPr>
    </w:p>
    <w:p>
      <w:pPr>
        <w:pStyle w:val="26"/>
        <w:ind w:firstLine="0" w:firstLineChars="0"/>
        <w:rPr>
          <w:rFonts w:hint="eastAsia" w:cs="宋体"/>
          <w:color w:val="auto"/>
          <w:sz w:val="24"/>
          <w:szCs w:val="24"/>
          <w:highlight w:val="none"/>
          <w:lang w:val="en-US" w:eastAsia="zh-CN"/>
        </w:rPr>
      </w:pPr>
      <w:bookmarkStart w:id="61" w:name="_Toc19986"/>
      <w:r>
        <w:rPr>
          <w:rFonts w:hint="eastAsia" w:ascii="宋体" w:hAnsi="宋体" w:cs="宋体"/>
          <w:b w:val="0"/>
          <w:color w:val="auto"/>
          <w:sz w:val="24"/>
          <w:highlight w:val="none"/>
          <w:lang w:eastAsia="zh-CN"/>
        </w:rPr>
        <w:t>（</w:t>
      </w:r>
      <w:r>
        <w:rPr>
          <w:rFonts w:hint="eastAsia" w:ascii="宋体" w:hAnsi="宋体" w:cs="宋体"/>
          <w:b w:val="0"/>
          <w:color w:val="auto"/>
          <w:sz w:val="24"/>
          <w:highlight w:val="none"/>
          <w:lang w:val="en-US" w:eastAsia="zh-CN"/>
        </w:rPr>
        <w:t>二</w:t>
      </w:r>
      <w:r>
        <w:rPr>
          <w:rFonts w:hint="eastAsia" w:ascii="宋体" w:hAnsi="宋体" w:cs="宋体"/>
          <w:b w:val="0"/>
          <w:color w:val="auto"/>
          <w:sz w:val="24"/>
          <w:highlight w:val="none"/>
          <w:lang w:eastAsia="zh-CN"/>
        </w:rPr>
        <w:t>）</w:t>
      </w:r>
      <w:r>
        <w:rPr>
          <w:rFonts w:hint="eastAsia" w:cs="宋体"/>
          <w:color w:val="auto"/>
          <w:sz w:val="24"/>
          <w:szCs w:val="24"/>
          <w:highlight w:val="none"/>
          <w:lang w:val="en-US" w:eastAsia="zh-CN"/>
        </w:rPr>
        <w:t>商务条款</w:t>
      </w:r>
    </w:p>
    <w:p>
      <w:pPr>
        <w:pStyle w:val="26"/>
        <w:ind w:firstLine="0" w:firstLineChars="0"/>
        <w:rPr>
          <w:rFonts w:hint="default" w:cs="宋体"/>
          <w:color w:val="auto"/>
          <w:sz w:val="24"/>
          <w:szCs w:val="24"/>
          <w:highlight w:val="none"/>
          <w:lang w:val="en-US" w:eastAsia="zh-CN"/>
        </w:rPr>
      </w:pPr>
      <w:r>
        <w:rPr>
          <w:rFonts w:hint="eastAsia" w:cs="宋体"/>
          <w:color w:val="auto"/>
          <w:sz w:val="24"/>
          <w:szCs w:val="24"/>
          <w:highlight w:val="none"/>
          <w:lang w:val="en-US" w:eastAsia="zh-CN"/>
        </w:rPr>
        <w:t>1、本项目服务期2年，合同一年一签。</w:t>
      </w:r>
    </w:p>
    <w:p>
      <w:pPr>
        <w:pStyle w:val="26"/>
        <w:ind w:firstLine="0" w:firstLineChars="0"/>
        <w:rPr>
          <w:rFonts w:hint="default" w:cs="宋体"/>
          <w:color w:val="auto"/>
          <w:sz w:val="24"/>
          <w:szCs w:val="24"/>
          <w:highlight w:val="none"/>
          <w:lang w:val="en-US" w:eastAsia="zh-CN"/>
        </w:rPr>
      </w:pPr>
      <w:r>
        <w:rPr>
          <w:rFonts w:hint="eastAsia" w:cs="宋体"/>
          <w:color w:val="auto"/>
          <w:sz w:val="24"/>
          <w:szCs w:val="24"/>
          <w:highlight w:val="none"/>
          <w:lang w:val="en-US" w:eastAsia="zh-CN"/>
        </w:rPr>
        <w:t>2、付款方式：合同生效以及具备实施条件后7个工作日内支付合同价的30%，服务6个月后支付40%的合同价，合同期满后支付剩余款项</w:t>
      </w:r>
    </w:p>
    <w:p>
      <w:pPr>
        <w:pStyle w:val="26"/>
        <w:ind w:firstLine="0" w:firstLineChars="0"/>
        <w:rPr>
          <w:rFonts w:hint="eastAsia" w:ascii="宋体" w:hAnsi="宋体" w:eastAsia="宋体" w:cs="宋体"/>
          <w:b w:val="0"/>
          <w:color w:val="auto"/>
          <w:sz w:val="24"/>
          <w:highlight w:val="none"/>
          <w:lang w:val="en-US" w:eastAsia="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宋体"/>
          <w:color w:val="auto"/>
          <w:sz w:val="24"/>
          <w:szCs w:val="24"/>
          <w:highlight w:val="none"/>
          <w:lang w:val="en-US" w:eastAsia="zh-CN"/>
        </w:rPr>
        <w:t>3、履约保证金要求：合同签订后7个工作日内缴纳合同价的1%，服务期满无违约行为的7个工作日内退还。</w:t>
      </w: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第四部分</w:t>
      </w:r>
      <w:bookmarkStart w:id="62" w:name="_Toc184312137"/>
      <w:bookmarkEnd w:id="62"/>
      <w:bookmarkStart w:id="63" w:name="_Toc184314438"/>
      <w:bookmarkEnd w:id="63"/>
      <w:bookmarkStart w:id="64" w:name="_Toc184314445"/>
      <w:bookmarkEnd w:id="64"/>
      <w:bookmarkStart w:id="65" w:name="_Toc184312120"/>
      <w:bookmarkEnd w:id="65"/>
      <w:bookmarkStart w:id="66" w:name="_Toc184314479"/>
      <w:bookmarkEnd w:id="66"/>
      <w:bookmarkStart w:id="67" w:name="_Toc184308078"/>
      <w:bookmarkEnd w:id="67"/>
      <w:bookmarkStart w:id="68" w:name="_Toc184314410"/>
      <w:bookmarkEnd w:id="68"/>
      <w:bookmarkStart w:id="69" w:name="_Toc184310301"/>
      <w:bookmarkEnd w:id="69"/>
      <w:bookmarkStart w:id="70" w:name="_Toc184314429"/>
      <w:bookmarkEnd w:id="70"/>
      <w:bookmarkStart w:id="71" w:name="_Toc184313263"/>
      <w:bookmarkEnd w:id="71"/>
      <w:bookmarkStart w:id="72" w:name="_Toc184308066"/>
      <w:bookmarkEnd w:id="72"/>
      <w:bookmarkStart w:id="73" w:name="_Toc184313266"/>
      <w:bookmarkEnd w:id="73"/>
      <w:bookmarkStart w:id="74" w:name="_Toc184313260"/>
      <w:bookmarkEnd w:id="74"/>
      <w:bookmarkStart w:id="75" w:name="_Toc184308049"/>
      <w:bookmarkEnd w:id="75"/>
      <w:bookmarkStart w:id="76" w:name="_Toc184313283"/>
      <w:bookmarkEnd w:id="76"/>
      <w:bookmarkStart w:id="77" w:name="_Toc184312074"/>
      <w:bookmarkEnd w:id="77"/>
      <w:bookmarkStart w:id="78" w:name="_Toc184312129"/>
      <w:bookmarkEnd w:id="78"/>
      <w:bookmarkStart w:id="79" w:name="_Toc184313255"/>
      <w:bookmarkEnd w:id="79"/>
      <w:bookmarkStart w:id="80" w:name="_Toc184313279"/>
      <w:bookmarkEnd w:id="80"/>
      <w:bookmarkStart w:id="81" w:name="_Toc184313240"/>
      <w:bookmarkEnd w:id="81"/>
      <w:bookmarkStart w:id="82" w:name="_Toc184308068"/>
      <w:bookmarkEnd w:id="82"/>
      <w:bookmarkStart w:id="83" w:name="_Toc184308097"/>
      <w:bookmarkEnd w:id="83"/>
      <w:bookmarkStart w:id="84" w:name="_Toc184308051"/>
      <w:bookmarkEnd w:id="84"/>
      <w:bookmarkStart w:id="85" w:name="_Toc184312090"/>
      <w:bookmarkEnd w:id="85"/>
      <w:bookmarkStart w:id="86" w:name="_Toc184308063"/>
      <w:bookmarkEnd w:id="86"/>
      <w:bookmarkStart w:id="87" w:name="_Toc184308081"/>
      <w:bookmarkEnd w:id="87"/>
      <w:bookmarkStart w:id="88" w:name="_Toc184308052"/>
      <w:bookmarkEnd w:id="88"/>
      <w:bookmarkStart w:id="89" w:name="_Toc184313281"/>
      <w:bookmarkEnd w:id="89"/>
      <w:bookmarkStart w:id="90" w:name="_Toc184310343"/>
      <w:bookmarkEnd w:id="90"/>
      <w:bookmarkStart w:id="91" w:name="_Toc184312125"/>
      <w:bookmarkEnd w:id="91"/>
      <w:bookmarkStart w:id="92" w:name="_Toc184314456"/>
      <w:bookmarkEnd w:id="92"/>
      <w:bookmarkStart w:id="93" w:name="_Toc184308073"/>
      <w:bookmarkEnd w:id="93"/>
      <w:bookmarkStart w:id="94" w:name="_Toc184313277"/>
      <w:bookmarkEnd w:id="94"/>
      <w:bookmarkStart w:id="95" w:name="_Toc184313261"/>
      <w:bookmarkEnd w:id="95"/>
      <w:bookmarkStart w:id="96" w:name="_Toc184314437"/>
      <w:bookmarkEnd w:id="96"/>
      <w:bookmarkStart w:id="97" w:name="_Toc184313298"/>
      <w:bookmarkEnd w:id="97"/>
      <w:bookmarkStart w:id="98" w:name="_Toc184308103"/>
      <w:bookmarkEnd w:id="98"/>
      <w:bookmarkStart w:id="99" w:name="_Toc184312138"/>
      <w:bookmarkEnd w:id="99"/>
      <w:bookmarkStart w:id="100" w:name="_Toc184314422"/>
      <w:bookmarkEnd w:id="100"/>
      <w:bookmarkStart w:id="101" w:name="_Toc184310321"/>
      <w:bookmarkEnd w:id="101"/>
      <w:bookmarkStart w:id="102" w:name="_Toc184308056"/>
      <w:bookmarkEnd w:id="102"/>
      <w:bookmarkStart w:id="103" w:name="_Toc184310300"/>
      <w:bookmarkEnd w:id="103"/>
      <w:bookmarkStart w:id="104" w:name="_Toc184314427"/>
      <w:bookmarkEnd w:id="104"/>
      <w:bookmarkStart w:id="105" w:name="_Toc184314468"/>
      <w:bookmarkEnd w:id="105"/>
      <w:bookmarkStart w:id="106" w:name="_Toc184312110"/>
      <w:bookmarkEnd w:id="106"/>
      <w:bookmarkStart w:id="107" w:name="_Toc184310325"/>
      <w:bookmarkEnd w:id="107"/>
      <w:bookmarkStart w:id="108" w:name="_Toc184313307"/>
      <w:bookmarkEnd w:id="108"/>
      <w:bookmarkStart w:id="109" w:name="_Toc184313296"/>
      <w:bookmarkEnd w:id="109"/>
      <w:bookmarkStart w:id="110" w:name="_Toc184310274"/>
      <w:bookmarkEnd w:id="110"/>
      <w:bookmarkStart w:id="111" w:name="_Toc184314455"/>
      <w:bookmarkEnd w:id="111"/>
      <w:bookmarkStart w:id="112" w:name="_Toc184310305"/>
      <w:bookmarkEnd w:id="112"/>
      <w:bookmarkStart w:id="113" w:name="_Toc184314424"/>
      <w:bookmarkEnd w:id="113"/>
      <w:bookmarkStart w:id="114" w:name="_Toc184312107"/>
      <w:bookmarkEnd w:id="114"/>
      <w:bookmarkStart w:id="115" w:name="_Toc184308082"/>
      <w:bookmarkEnd w:id="115"/>
      <w:bookmarkStart w:id="116" w:name="_Toc184310299"/>
      <w:bookmarkEnd w:id="116"/>
      <w:bookmarkStart w:id="117" w:name="_Toc184312086"/>
      <w:bookmarkEnd w:id="117"/>
      <w:bookmarkStart w:id="118" w:name="_Toc184314415"/>
      <w:bookmarkEnd w:id="118"/>
      <w:bookmarkStart w:id="119" w:name="_Toc184314442"/>
      <w:bookmarkEnd w:id="119"/>
      <w:bookmarkStart w:id="120" w:name="_Toc184314411"/>
      <w:bookmarkEnd w:id="120"/>
      <w:bookmarkStart w:id="121" w:name="_Toc184313252"/>
      <w:bookmarkEnd w:id="121"/>
      <w:bookmarkStart w:id="122" w:name="_Toc184308084"/>
      <w:bookmarkEnd w:id="122"/>
      <w:bookmarkStart w:id="123" w:name="_Toc184308072"/>
      <w:bookmarkEnd w:id="123"/>
      <w:bookmarkStart w:id="124" w:name="_Toc184314418"/>
      <w:bookmarkEnd w:id="124"/>
      <w:bookmarkStart w:id="125" w:name="_Toc184314459"/>
      <w:bookmarkEnd w:id="125"/>
      <w:bookmarkStart w:id="126" w:name="_Toc184312083"/>
      <w:bookmarkEnd w:id="126"/>
      <w:bookmarkStart w:id="127" w:name="_Toc184312096"/>
      <w:bookmarkEnd w:id="127"/>
      <w:bookmarkStart w:id="128" w:name="_Toc184308041"/>
      <w:bookmarkEnd w:id="128"/>
      <w:bookmarkStart w:id="129" w:name="_Toc184313291"/>
      <w:bookmarkEnd w:id="129"/>
      <w:bookmarkStart w:id="130" w:name="_Toc184310332"/>
      <w:bookmarkEnd w:id="130"/>
      <w:bookmarkStart w:id="131" w:name="_Toc184314426"/>
      <w:bookmarkEnd w:id="131"/>
      <w:bookmarkStart w:id="132" w:name="_Toc184312081"/>
      <w:bookmarkEnd w:id="132"/>
      <w:bookmarkStart w:id="133" w:name="_Toc184310335"/>
      <w:bookmarkEnd w:id="133"/>
      <w:bookmarkStart w:id="134" w:name="_Toc184310275"/>
      <w:bookmarkEnd w:id="134"/>
      <w:bookmarkStart w:id="135" w:name="_Toc184314471"/>
      <w:bookmarkEnd w:id="135"/>
      <w:bookmarkStart w:id="136" w:name="_Toc184310279"/>
      <w:bookmarkEnd w:id="136"/>
      <w:bookmarkStart w:id="137" w:name="_Toc184312127"/>
      <w:bookmarkEnd w:id="137"/>
      <w:bookmarkStart w:id="138" w:name="_Toc184313238"/>
      <w:bookmarkEnd w:id="138"/>
      <w:bookmarkStart w:id="139" w:name="_Toc184310316"/>
      <w:bookmarkEnd w:id="139"/>
      <w:bookmarkStart w:id="140" w:name="_Toc184314464"/>
      <w:bookmarkEnd w:id="140"/>
      <w:bookmarkStart w:id="141" w:name="_Toc184313309"/>
      <w:bookmarkEnd w:id="141"/>
      <w:bookmarkStart w:id="142" w:name="_Toc184308036"/>
      <w:bookmarkEnd w:id="142"/>
      <w:bookmarkStart w:id="143" w:name="_Toc184313282"/>
      <w:bookmarkEnd w:id="143"/>
      <w:bookmarkStart w:id="144" w:name="_Toc184308065"/>
      <w:bookmarkEnd w:id="144"/>
      <w:bookmarkStart w:id="145" w:name="_Toc184314476"/>
      <w:bookmarkEnd w:id="145"/>
      <w:bookmarkStart w:id="146" w:name="_Toc184312108"/>
      <w:bookmarkEnd w:id="146"/>
      <w:bookmarkStart w:id="147" w:name="_Toc184312092"/>
      <w:bookmarkEnd w:id="147"/>
      <w:bookmarkStart w:id="148" w:name="_Toc184312088"/>
      <w:bookmarkEnd w:id="148"/>
      <w:bookmarkStart w:id="149" w:name="_Toc184314467"/>
      <w:bookmarkEnd w:id="149"/>
      <w:bookmarkStart w:id="150" w:name="_Toc184314448"/>
      <w:bookmarkEnd w:id="150"/>
      <w:bookmarkStart w:id="151" w:name="_Toc184310339"/>
      <w:bookmarkEnd w:id="151"/>
      <w:bookmarkStart w:id="152" w:name="_Toc184312112"/>
      <w:bookmarkEnd w:id="152"/>
      <w:bookmarkStart w:id="153" w:name="_Toc184310304"/>
      <w:bookmarkEnd w:id="153"/>
      <w:bookmarkStart w:id="154" w:name="_Toc184314454"/>
      <w:bookmarkEnd w:id="154"/>
      <w:bookmarkStart w:id="155" w:name="_Toc184314430"/>
      <w:bookmarkEnd w:id="155"/>
      <w:bookmarkStart w:id="156" w:name="_Toc184308076"/>
      <w:bookmarkEnd w:id="156"/>
      <w:bookmarkStart w:id="157" w:name="_Toc184310318"/>
      <w:bookmarkEnd w:id="157"/>
      <w:bookmarkStart w:id="158" w:name="_Toc184312139"/>
      <w:bookmarkEnd w:id="158"/>
      <w:bookmarkStart w:id="159" w:name="_Toc184313297"/>
      <w:bookmarkEnd w:id="159"/>
      <w:bookmarkStart w:id="160" w:name="_Toc184310297"/>
      <w:bookmarkEnd w:id="160"/>
      <w:bookmarkStart w:id="161" w:name="_Toc184308062"/>
      <w:bookmarkEnd w:id="161"/>
      <w:bookmarkStart w:id="162" w:name="_Toc184308074"/>
      <w:bookmarkEnd w:id="162"/>
      <w:bookmarkStart w:id="163" w:name="_Toc184312087"/>
      <w:bookmarkEnd w:id="163"/>
      <w:bookmarkStart w:id="164" w:name="_Toc184313249"/>
      <w:bookmarkEnd w:id="164"/>
      <w:bookmarkStart w:id="165" w:name="_Toc184314453"/>
      <w:bookmarkEnd w:id="165"/>
      <w:bookmarkStart w:id="166" w:name="_Toc184308092"/>
      <w:bookmarkEnd w:id="166"/>
      <w:bookmarkStart w:id="167" w:name="_Toc184313292"/>
      <w:bookmarkEnd w:id="167"/>
      <w:bookmarkStart w:id="168" w:name="_Toc184314419"/>
      <w:bookmarkEnd w:id="168"/>
      <w:bookmarkStart w:id="169" w:name="_Toc184310280"/>
      <w:bookmarkEnd w:id="169"/>
      <w:bookmarkStart w:id="170" w:name="_Toc184313244"/>
      <w:bookmarkEnd w:id="170"/>
      <w:bookmarkStart w:id="171" w:name="_Toc184312118"/>
      <w:bookmarkEnd w:id="171"/>
      <w:bookmarkStart w:id="172" w:name="_Toc184310276"/>
      <w:bookmarkEnd w:id="172"/>
      <w:bookmarkStart w:id="173" w:name="_Toc184308104"/>
      <w:bookmarkEnd w:id="173"/>
      <w:bookmarkStart w:id="174" w:name="_Toc184314447"/>
      <w:bookmarkEnd w:id="174"/>
      <w:bookmarkStart w:id="175" w:name="_Toc184312089"/>
      <w:bookmarkEnd w:id="175"/>
      <w:bookmarkStart w:id="176" w:name="_Toc184310340"/>
      <w:bookmarkEnd w:id="176"/>
      <w:bookmarkStart w:id="177" w:name="_Toc184308080"/>
      <w:bookmarkEnd w:id="177"/>
      <w:bookmarkStart w:id="178" w:name="_Toc184310324"/>
      <w:bookmarkEnd w:id="178"/>
      <w:bookmarkStart w:id="179" w:name="_Toc184312131"/>
      <w:bookmarkEnd w:id="179"/>
      <w:bookmarkStart w:id="180" w:name="_Toc184310344"/>
      <w:bookmarkEnd w:id="180"/>
      <w:bookmarkStart w:id="181" w:name="_Toc184314444"/>
      <w:bookmarkEnd w:id="181"/>
      <w:bookmarkStart w:id="182" w:name="_Toc184313284"/>
      <w:bookmarkEnd w:id="182"/>
      <w:bookmarkStart w:id="183" w:name="_Toc184310317"/>
      <w:bookmarkEnd w:id="183"/>
      <w:bookmarkStart w:id="184" w:name="_Toc184308079"/>
      <w:bookmarkEnd w:id="184"/>
      <w:bookmarkStart w:id="185" w:name="_Toc184312067"/>
      <w:bookmarkEnd w:id="185"/>
      <w:bookmarkStart w:id="186" w:name="_Toc184312133"/>
      <w:bookmarkEnd w:id="186"/>
      <w:bookmarkStart w:id="187" w:name="_Toc184310291"/>
      <w:bookmarkEnd w:id="187"/>
      <w:bookmarkStart w:id="188" w:name="_Toc184310330"/>
      <w:bookmarkEnd w:id="188"/>
      <w:bookmarkStart w:id="189" w:name="_Toc184313299"/>
      <w:bookmarkEnd w:id="189"/>
      <w:bookmarkStart w:id="190" w:name="_Toc184308038"/>
      <w:bookmarkEnd w:id="190"/>
      <w:bookmarkStart w:id="191" w:name="_Toc184308093"/>
      <w:bookmarkEnd w:id="191"/>
      <w:bookmarkStart w:id="192" w:name="_Toc184314470"/>
      <w:bookmarkEnd w:id="192"/>
      <w:bookmarkStart w:id="193" w:name="_Toc184314420"/>
      <w:bookmarkEnd w:id="193"/>
      <w:bookmarkStart w:id="194" w:name="_Toc184313300"/>
      <w:bookmarkEnd w:id="194"/>
      <w:bookmarkStart w:id="195" w:name="_Toc184310311"/>
      <w:bookmarkEnd w:id="195"/>
      <w:bookmarkStart w:id="196" w:name="_Toc184310309"/>
      <w:bookmarkEnd w:id="196"/>
      <w:bookmarkStart w:id="197" w:name="_Toc184312100"/>
      <w:bookmarkEnd w:id="197"/>
      <w:bookmarkStart w:id="198" w:name="_Toc184308100"/>
      <w:bookmarkEnd w:id="198"/>
      <w:bookmarkStart w:id="199" w:name="_Toc184308105"/>
      <w:bookmarkEnd w:id="199"/>
      <w:bookmarkStart w:id="200" w:name="_Toc184313285"/>
      <w:bookmarkEnd w:id="200"/>
      <w:bookmarkStart w:id="201" w:name="_Toc184313273"/>
      <w:bookmarkEnd w:id="201"/>
      <w:bookmarkStart w:id="202" w:name="_Toc184313239"/>
      <w:bookmarkEnd w:id="202"/>
      <w:bookmarkStart w:id="203" w:name="_Toc184312098"/>
      <w:bookmarkEnd w:id="203"/>
      <w:bookmarkStart w:id="204" w:name="_Toc184313289"/>
      <w:bookmarkEnd w:id="204"/>
      <w:bookmarkStart w:id="205" w:name="_Toc184313304"/>
      <w:bookmarkEnd w:id="205"/>
      <w:bookmarkStart w:id="206" w:name="_Toc184312116"/>
      <w:bookmarkEnd w:id="206"/>
      <w:bookmarkStart w:id="207" w:name="_Toc184308095"/>
      <w:bookmarkEnd w:id="207"/>
      <w:bookmarkStart w:id="208" w:name="_Toc184312072"/>
      <w:bookmarkEnd w:id="208"/>
      <w:bookmarkStart w:id="209" w:name="_Toc184310328"/>
      <w:bookmarkEnd w:id="209"/>
      <w:bookmarkStart w:id="210" w:name="_Toc184314425"/>
      <w:bookmarkEnd w:id="210"/>
      <w:bookmarkStart w:id="211" w:name="_Toc184313269"/>
      <w:bookmarkEnd w:id="211"/>
      <w:bookmarkStart w:id="212" w:name="_Toc184313290"/>
      <w:bookmarkEnd w:id="212"/>
      <w:bookmarkStart w:id="213" w:name="_Toc184313264"/>
      <w:bookmarkEnd w:id="213"/>
      <w:bookmarkStart w:id="214" w:name="_Toc184314433"/>
      <w:bookmarkEnd w:id="214"/>
      <w:bookmarkStart w:id="215" w:name="_Toc184313305"/>
      <w:bookmarkEnd w:id="215"/>
      <w:bookmarkStart w:id="216" w:name="_Toc184312094"/>
      <w:bookmarkEnd w:id="216"/>
      <w:bookmarkStart w:id="217" w:name="_Toc184313248"/>
      <w:bookmarkEnd w:id="217"/>
      <w:bookmarkStart w:id="218" w:name="_Toc184310292"/>
      <w:bookmarkEnd w:id="218"/>
      <w:bookmarkStart w:id="219" w:name="_Toc184310298"/>
      <w:bookmarkEnd w:id="219"/>
      <w:bookmarkStart w:id="220" w:name="_Toc184312132"/>
      <w:bookmarkEnd w:id="220"/>
      <w:bookmarkStart w:id="221" w:name="_Toc184310286"/>
      <w:bookmarkEnd w:id="221"/>
      <w:bookmarkStart w:id="222" w:name="_Toc184312117"/>
      <w:bookmarkEnd w:id="222"/>
      <w:bookmarkStart w:id="223" w:name="_Toc184312122"/>
      <w:bookmarkEnd w:id="223"/>
      <w:bookmarkStart w:id="224" w:name="_Toc184310284"/>
      <w:bookmarkEnd w:id="224"/>
      <w:bookmarkStart w:id="225" w:name="_Toc184312071"/>
      <w:bookmarkEnd w:id="225"/>
      <w:bookmarkStart w:id="226" w:name="_Toc184308071"/>
      <w:bookmarkEnd w:id="226"/>
      <w:bookmarkStart w:id="227" w:name="_Toc184313288"/>
      <w:bookmarkEnd w:id="227"/>
      <w:bookmarkStart w:id="228" w:name="_Toc184314452"/>
      <w:bookmarkEnd w:id="228"/>
      <w:bookmarkStart w:id="229" w:name="_Toc184313293"/>
      <w:bookmarkEnd w:id="229"/>
      <w:bookmarkStart w:id="230" w:name="_Toc184310273"/>
      <w:bookmarkEnd w:id="230"/>
      <w:bookmarkStart w:id="231" w:name="_Toc184312068"/>
      <w:bookmarkEnd w:id="231"/>
      <w:bookmarkStart w:id="232" w:name="_Toc184310323"/>
      <w:bookmarkEnd w:id="232"/>
      <w:bookmarkStart w:id="233" w:name="_Toc184308050"/>
      <w:bookmarkEnd w:id="233"/>
      <w:bookmarkStart w:id="234" w:name="_Toc184310312"/>
      <w:bookmarkEnd w:id="234"/>
      <w:bookmarkStart w:id="235" w:name="_Toc184314450"/>
      <w:bookmarkEnd w:id="235"/>
      <w:bookmarkStart w:id="236" w:name="_Toc184313302"/>
      <w:bookmarkEnd w:id="236"/>
      <w:bookmarkStart w:id="237" w:name="_Toc184313243"/>
      <w:bookmarkEnd w:id="237"/>
      <w:bookmarkStart w:id="238" w:name="_Toc184308077"/>
      <w:bookmarkEnd w:id="238"/>
      <w:bookmarkStart w:id="239" w:name="_Toc184313253"/>
      <w:bookmarkEnd w:id="239"/>
      <w:bookmarkStart w:id="240" w:name="_Toc184308098"/>
      <w:bookmarkEnd w:id="240"/>
      <w:bookmarkStart w:id="241" w:name="_Toc184308053"/>
      <w:bookmarkEnd w:id="241"/>
      <w:bookmarkStart w:id="242" w:name="_Toc184312101"/>
      <w:bookmarkEnd w:id="242"/>
      <w:bookmarkStart w:id="243" w:name="_Toc184310290"/>
      <w:bookmarkEnd w:id="243"/>
      <w:bookmarkStart w:id="244" w:name="_Toc184312105"/>
      <w:bookmarkEnd w:id="244"/>
      <w:bookmarkStart w:id="245" w:name="_Toc184308094"/>
      <w:bookmarkEnd w:id="245"/>
      <w:bookmarkStart w:id="246" w:name="_Toc184308058"/>
      <w:bookmarkEnd w:id="246"/>
      <w:bookmarkStart w:id="247" w:name="_Toc184310285"/>
      <w:bookmarkEnd w:id="247"/>
      <w:bookmarkStart w:id="248" w:name="_Toc184313310"/>
      <w:bookmarkEnd w:id="248"/>
      <w:bookmarkStart w:id="249" w:name="_Toc184314446"/>
      <w:bookmarkEnd w:id="249"/>
      <w:bookmarkStart w:id="250" w:name="_Toc184312111"/>
      <w:bookmarkEnd w:id="250"/>
      <w:bookmarkStart w:id="251" w:name="_Toc184308069"/>
      <w:bookmarkEnd w:id="251"/>
      <w:bookmarkStart w:id="252" w:name="_Toc184308067"/>
      <w:bookmarkEnd w:id="252"/>
      <w:bookmarkStart w:id="253" w:name="_Toc184312109"/>
      <w:bookmarkEnd w:id="253"/>
      <w:bookmarkStart w:id="254" w:name="_Toc184314475"/>
      <w:bookmarkEnd w:id="254"/>
      <w:bookmarkStart w:id="255" w:name="_Toc184312119"/>
      <w:bookmarkEnd w:id="255"/>
      <w:bookmarkStart w:id="256" w:name="_Toc184310283"/>
      <w:bookmarkEnd w:id="256"/>
      <w:bookmarkStart w:id="257" w:name="_Toc184308064"/>
      <w:bookmarkEnd w:id="257"/>
      <w:bookmarkStart w:id="258" w:name="_Toc184314461"/>
      <w:bookmarkEnd w:id="258"/>
      <w:bookmarkStart w:id="259" w:name="_Toc184312106"/>
      <w:bookmarkEnd w:id="259"/>
      <w:bookmarkStart w:id="260" w:name="_Toc184313245"/>
      <w:bookmarkEnd w:id="260"/>
      <w:bookmarkStart w:id="261" w:name="_Toc184310329"/>
      <w:bookmarkEnd w:id="261"/>
      <w:bookmarkStart w:id="262" w:name="_Toc184310293"/>
      <w:bookmarkEnd w:id="262"/>
      <w:bookmarkStart w:id="263" w:name="_Toc184308090"/>
      <w:bookmarkEnd w:id="263"/>
      <w:bookmarkStart w:id="264" w:name="_Toc184313280"/>
      <w:bookmarkEnd w:id="264"/>
      <w:bookmarkStart w:id="265" w:name="_Toc184310310"/>
      <w:bookmarkEnd w:id="265"/>
      <w:bookmarkStart w:id="266" w:name="_Toc184313270"/>
      <w:bookmarkEnd w:id="266"/>
      <w:bookmarkStart w:id="267" w:name="_Toc184312077"/>
      <w:bookmarkEnd w:id="267"/>
      <w:bookmarkStart w:id="268" w:name="_Toc184314478"/>
      <w:bookmarkEnd w:id="268"/>
      <w:bookmarkStart w:id="269" w:name="_Toc184314435"/>
      <w:bookmarkEnd w:id="269"/>
      <w:bookmarkStart w:id="270" w:name="_Toc184312114"/>
      <w:bookmarkEnd w:id="270"/>
      <w:bookmarkStart w:id="271" w:name="_Toc184308096"/>
      <w:bookmarkEnd w:id="271"/>
      <w:bookmarkStart w:id="272" w:name="_Toc184308043"/>
      <w:bookmarkEnd w:id="272"/>
      <w:bookmarkStart w:id="273" w:name="_Toc184310341"/>
      <w:bookmarkEnd w:id="273"/>
      <w:bookmarkStart w:id="274" w:name="_Toc184314466"/>
      <w:bookmarkEnd w:id="274"/>
      <w:bookmarkStart w:id="275" w:name="_Toc184312115"/>
      <w:bookmarkEnd w:id="275"/>
      <w:bookmarkStart w:id="276" w:name="_Toc184314462"/>
      <w:bookmarkEnd w:id="276"/>
      <w:bookmarkStart w:id="277" w:name="_Toc184310331"/>
      <w:bookmarkEnd w:id="277"/>
      <w:bookmarkStart w:id="278" w:name="_Toc184310303"/>
      <w:bookmarkEnd w:id="278"/>
      <w:bookmarkStart w:id="279" w:name="_Toc184308054"/>
      <w:bookmarkEnd w:id="279"/>
      <w:bookmarkStart w:id="280" w:name="_Toc184310287"/>
      <w:bookmarkEnd w:id="280"/>
      <w:bookmarkStart w:id="281" w:name="_Toc184314473"/>
      <w:bookmarkEnd w:id="281"/>
      <w:bookmarkStart w:id="282" w:name="_Toc184314469"/>
      <w:bookmarkEnd w:id="282"/>
      <w:bookmarkStart w:id="283" w:name="_Toc184314414"/>
      <w:bookmarkEnd w:id="283"/>
      <w:bookmarkStart w:id="284" w:name="_Toc184308088"/>
      <w:bookmarkEnd w:id="284"/>
      <w:bookmarkStart w:id="285" w:name="_Toc184312136"/>
      <w:bookmarkEnd w:id="285"/>
      <w:bookmarkStart w:id="286" w:name="_Toc184308040"/>
      <w:bookmarkEnd w:id="286"/>
      <w:bookmarkStart w:id="287" w:name="_Toc184310337"/>
      <w:bookmarkEnd w:id="287"/>
      <w:bookmarkStart w:id="288" w:name="_Toc184314428"/>
      <w:bookmarkEnd w:id="288"/>
      <w:bookmarkStart w:id="289" w:name="_Toc184312104"/>
      <w:bookmarkEnd w:id="289"/>
      <w:bookmarkStart w:id="290" w:name="_Toc184313257"/>
      <w:bookmarkEnd w:id="290"/>
      <w:bookmarkStart w:id="291" w:name="_Toc184310322"/>
      <w:bookmarkEnd w:id="291"/>
      <w:bookmarkStart w:id="292" w:name="_Toc184308075"/>
      <w:bookmarkEnd w:id="292"/>
      <w:bookmarkStart w:id="293" w:name="_Toc184314482"/>
      <w:bookmarkEnd w:id="293"/>
      <w:bookmarkStart w:id="294" w:name="_Toc184312130"/>
      <w:bookmarkEnd w:id="294"/>
      <w:bookmarkStart w:id="295" w:name="_Toc184313246"/>
      <w:bookmarkEnd w:id="295"/>
      <w:bookmarkStart w:id="296" w:name="_Toc184312126"/>
      <w:bookmarkEnd w:id="296"/>
      <w:bookmarkStart w:id="297" w:name="_Toc184312082"/>
      <w:bookmarkEnd w:id="297"/>
      <w:bookmarkStart w:id="298" w:name="_Toc184312102"/>
      <w:bookmarkEnd w:id="298"/>
      <w:bookmarkStart w:id="299" w:name="_Toc184308039"/>
      <w:bookmarkEnd w:id="299"/>
      <w:bookmarkStart w:id="300" w:name="_Toc184313254"/>
      <w:bookmarkEnd w:id="300"/>
      <w:bookmarkStart w:id="301" w:name="_Toc184313303"/>
      <w:bookmarkEnd w:id="301"/>
      <w:bookmarkStart w:id="302" w:name="_Toc184312095"/>
      <w:bookmarkEnd w:id="302"/>
      <w:bookmarkStart w:id="303" w:name="_Toc184310272"/>
      <w:bookmarkEnd w:id="303"/>
      <w:bookmarkStart w:id="304" w:name="_Toc184314481"/>
      <w:bookmarkEnd w:id="304"/>
      <w:bookmarkStart w:id="305" w:name="_Toc184308091"/>
      <w:bookmarkEnd w:id="305"/>
      <w:bookmarkStart w:id="306" w:name="_Toc184310306"/>
      <w:bookmarkEnd w:id="306"/>
      <w:bookmarkStart w:id="307" w:name="_Toc184313268"/>
      <w:bookmarkEnd w:id="307"/>
      <w:bookmarkStart w:id="308" w:name="_Toc184313308"/>
      <w:bookmarkEnd w:id="308"/>
      <w:bookmarkStart w:id="309" w:name="_Toc184314423"/>
      <w:bookmarkEnd w:id="309"/>
      <w:bookmarkStart w:id="310" w:name="_Toc184314439"/>
      <w:bookmarkEnd w:id="310"/>
      <w:bookmarkStart w:id="311" w:name="_Toc184310333"/>
      <w:bookmarkEnd w:id="311"/>
      <w:bookmarkStart w:id="312" w:name="_Toc184313295"/>
      <w:bookmarkEnd w:id="312"/>
      <w:bookmarkStart w:id="313" w:name="_Toc184312097"/>
      <w:bookmarkEnd w:id="313"/>
      <w:bookmarkStart w:id="314" w:name="_Toc184310342"/>
      <w:bookmarkEnd w:id="314"/>
      <w:bookmarkStart w:id="315" w:name="_Toc184314443"/>
      <w:bookmarkEnd w:id="315"/>
      <w:bookmarkStart w:id="316" w:name="_Toc184313272"/>
      <w:bookmarkEnd w:id="316"/>
      <w:bookmarkStart w:id="317" w:name="_Toc184313256"/>
      <w:bookmarkEnd w:id="317"/>
      <w:bookmarkStart w:id="318" w:name="_Toc184310278"/>
      <w:bookmarkEnd w:id="318"/>
      <w:bookmarkStart w:id="319" w:name="_Toc184310319"/>
      <w:bookmarkEnd w:id="319"/>
      <w:bookmarkStart w:id="320" w:name="_Toc184310320"/>
      <w:bookmarkEnd w:id="320"/>
      <w:bookmarkStart w:id="321" w:name="_Toc184310295"/>
      <w:bookmarkEnd w:id="321"/>
      <w:bookmarkStart w:id="322" w:name="_Toc184310326"/>
      <w:bookmarkEnd w:id="322"/>
      <w:bookmarkStart w:id="323" w:name="_Toc184312084"/>
      <w:bookmarkEnd w:id="323"/>
      <w:bookmarkStart w:id="324" w:name="_Toc184314458"/>
      <w:bookmarkEnd w:id="324"/>
      <w:bookmarkStart w:id="325" w:name="_Toc184314451"/>
      <w:bookmarkEnd w:id="325"/>
      <w:bookmarkStart w:id="326" w:name="_Toc184314477"/>
      <w:bookmarkEnd w:id="326"/>
      <w:bookmarkStart w:id="327" w:name="_Toc184314413"/>
      <w:bookmarkEnd w:id="327"/>
      <w:bookmarkStart w:id="328" w:name="_Toc184308083"/>
      <w:bookmarkEnd w:id="328"/>
      <w:bookmarkStart w:id="329" w:name="_Toc184313241"/>
      <w:bookmarkEnd w:id="329"/>
      <w:bookmarkStart w:id="330" w:name="_Toc184308048"/>
      <w:bookmarkEnd w:id="330"/>
      <w:bookmarkStart w:id="331" w:name="_Toc184314460"/>
      <w:bookmarkEnd w:id="331"/>
      <w:bookmarkStart w:id="332" w:name="_Toc184308108"/>
      <w:bookmarkEnd w:id="332"/>
      <w:bookmarkStart w:id="333" w:name="_Toc184313278"/>
      <w:bookmarkEnd w:id="333"/>
      <w:bookmarkStart w:id="334" w:name="_Toc184312073"/>
      <w:bookmarkEnd w:id="334"/>
      <w:bookmarkStart w:id="335" w:name="_Toc184310314"/>
      <w:bookmarkEnd w:id="335"/>
      <w:bookmarkStart w:id="336" w:name="_Toc184312079"/>
      <w:bookmarkEnd w:id="336"/>
      <w:bookmarkStart w:id="337" w:name="_Toc184308102"/>
      <w:bookmarkEnd w:id="337"/>
      <w:bookmarkStart w:id="338" w:name="_Toc184308099"/>
      <w:bookmarkEnd w:id="338"/>
      <w:bookmarkStart w:id="339" w:name="_Toc184313242"/>
      <w:bookmarkEnd w:id="339"/>
      <w:bookmarkStart w:id="340" w:name="_Toc184310334"/>
      <w:bookmarkEnd w:id="340"/>
      <w:bookmarkStart w:id="341" w:name="_Toc184313271"/>
      <w:bookmarkEnd w:id="341"/>
      <w:bookmarkStart w:id="342" w:name="_Toc184308037"/>
      <w:bookmarkEnd w:id="342"/>
      <w:bookmarkStart w:id="343" w:name="_Toc184314416"/>
      <w:bookmarkEnd w:id="343"/>
      <w:bookmarkStart w:id="344" w:name="_Toc184310289"/>
      <w:bookmarkEnd w:id="344"/>
      <w:bookmarkStart w:id="345" w:name="_Toc184310296"/>
      <w:bookmarkEnd w:id="345"/>
      <w:bookmarkStart w:id="346" w:name="_Toc184314474"/>
      <w:bookmarkEnd w:id="346"/>
      <w:bookmarkStart w:id="347" w:name="_Toc184312124"/>
      <w:bookmarkEnd w:id="347"/>
      <w:bookmarkStart w:id="348" w:name="_Toc184314465"/>
      <w:bookmarkEnd w:id="348"/>
      <w:bookmarkStart w:id="349" w:name="_Toc184314463"/>
      <w:bookmarkEnd w:id="349"/>
      <w:bookmarkStart w:id="350" w:name="_Toc184314440"/>
      <w:bookmarkEnd w:id="350"/>
      <w:bookmarkStart w:id="351" w:name="_Toc184310336"/>
      <w:bookmarkEnd w:id="351"/>
      <w:bookmarkStart w:id="352" w:name="_Toc184312123"/>
      <w:bookmarkEnd w:id="352"/>
      <w:bookmarkStart w:id="353" w:name="_Toc184310294"/>
      <w:bookmarkEnd w:id="353"/>
      <w:bookmarkStart w:id="354" w:name="_Toc184314417"/>
      <w:bookmarkEnd w:id="354"/>
      <w:bookmarkStart w:id="355" w:name="_Toc184313250"/>
      <w:bookmarkEnd w:id="355"/>
      <w:bookmarkStart w:id="356" w:name="_Toc184308046"/>
      <w:bookmarkEnd w:id="356"/>
      <w:bookmarkStart w:id="357" w:name="_Toc184310281"/>
      <w:bookmarkEnd w:id="357"/>
      <w:bookmarkStart w:id="358" w:name="_Toc184308045"/>
      <w:bookmarkEnd w:id="358"/>
      <w:bookmarkStart w:id="359" w:name="_Toc184308047"/>
      <w:bookmarkEnd w:id="359"/>
      <w:bookmarkStart w:id="360" w:name="_Toc184313275"/>
      <w:bookmarkEnd w:id="360"/>
      <w:bookmarkStart w:id="361" w:name="_Toc184314432"/>
      <w:bookmarkEnd w:id="361"/>
      <w:bookmarkStart w:id="362" w:name="_Toc184312080"/>
      <w:bookmarkEnd w:id="362"/>
      <w:bookmarkStart w:id="363" w:name="_Toc184314472"/>
      <w:bookmarkEnd w:id="363"/>
      <w:bookmarkStart w:id="364" w:name="_Toc184312099"/>
      <w:bookmarkEnd w:id="364"/>
      <w:bookmarkStart w:id="365" w:name="_Toc184313306"/>
      <w:bookmarkEnd w:id="365"/>
      <w:bookmarkStart w:id="366" w:name="_Toc184313286"/>
      <w:bookmarkEnd w:id="366"/>
      <w:bookmarkStart w:id="367" w:name="_Toc184312078"/>
      <w:bookmarkEnd w:id="367"/>
      <w:bookmarkStart w:id="368" w:name="_Toc184313247"/>
      <w:bookmarkEnd w:id="368"/>
      <w:bookmarkStart w:id="369" w:name="_Toc184310307"/>
      <w:bookmarkEnd w:id="369"/>
      <w:bookmarkStart w:id="370" w:name="_Toc184308055"/>
      <w:bookmarkEnd w:id="370"/>
      <w:bookmarkStart w:id="371" w:name="_Toc184308101"/>
      <w:bookmarkEnd w:id="371"/>
      <w:bookmarkStart w:id="372" w:name="_Toc184313276"/>
      <w:bookmarkEnd w:id="372"/>
      <w:bookmarkStart w:id="373" w:name="_Toc184314441"/>
      <w:bookmarkEnd w:id="373"/>
      <w:bookmarkStart w:id="374" w:name="_Toc184310282"/>
      <w:bookmarkEnd w:id="374"/>
      <w:bookmarkStart w:id="375" w:name="_Toc184310327"/>
      <w:bookmarkEnd w:id="375"/>
      <w:bookmarkStart w:id="376" w:name="_Toc184314449"/>
      <w:bookmarkEnd w:id="376"/>
      <w:bookmarkStart w:id="377" w:name="_Toc184312135"/>
      <w:bookmarkEnd w:id="377"/>
      <w:bookmarkStart w:id="378" w:name="_Toc184314457"/>
      <w:bookmarkEnd w:id="378"/>
      <w:bookmarkStart w:id="379" w:name="_Toc184312069"/>
      <w:bookmarkEnd w:id="379"/>
      <w:bookmarkStart w:id="380" w:name="_Toc184312121"/>
      <w:bookmarkEnd w:id="380"/>
      <w:bookmarkStart w:id="381" w:name="_Toc184308086"/>
      <w:bookmarkEnd w:id="381"/>
      <w:bookmarkStart w:id="382" w:name="_Toc184310302"/>
      <w:bookmarkEnd w:id="382"/>
      <w:bookmarkStart w:id="383" w:name="_Toc184312085"/>
      <w:bookmarkEnd w:id="383"/>
      <w:bookmarkStart w:id="384" w:name="_Toc184312093"/>
      <w:bookmarkEnd w:id="384"/>
      <w:bookmarkStart w:id="385" w:name="_Toc184308107"/>
      <w:bookmarkEnd w:id="385"/>
      <w:bookmarkStart w:id="386" w:name="_Toc184308070"/>
      <w:bookmarkEnd w:id="386"/>
      <w:bookmarkStart w:id="387" w:name="_Toc184312076"/>
      <w:bookmarkEnd w:id="387"/>
      <w:bookmarkStart w:id="388" w:name="_Toc184308059"/>
      <w:bookmarkEnd w:id="388"/>
      <w:bookmarkStart w:id="389" w:name="_Toc184310288"/>
      <w:bookmarkEnd w:id="389"/>
      <w:bookmarkStart w:id="390" w:name="_Toc184312128"/>
      <w:bookmarkEnd w:id="390"/>
      <w:bookmarkStart w:id="391" w:name="_Toc184308060"/>
      <w:bookmarkEnd w:id="391"/>
      <w:bookmarkStart w:id="392" w:name="_Toc184313301"/>
      <w:bookmarkEnd w:id="392"/>
      <w:bookmarkStart w:id="393" w:name="_Toc184313251"/>
      <w:bookmarkEnd w:id="393"/>
      <w:bookmarkStart w:id="394" w:name="_Toc184312075"/>
      <w:bookmarkEnd w:id="394"/>
      <w:bookmarkStart w:id="395" w:name="_Toc184314412"/>
      <w:bookmarkEnd w:id="395"/>
      <w:bookmarkStart w:id="396" w:name="_Toc184308087"/>
      <w:bookmarkEnd w:id="396"/>
      <w:bookmarkStart w:id="397" w:name="_Toc184313287"/>
      <w:bookmarkEnd w:id="397"/>
      <w:bookmarkStart w:id="398" w:name="_Toc184313259"/>
      <w:bookmarkEnd w:id="398"/>
      <w:bookmarkStart w:id="399" w:name="_Toc184314421"/>
      <w:bookmarkEnd w:id="399"/>
      <w:bookmarkStart w:id="400" w:name="_Toc184313294"/>
      <w:bookmarkEnd w:id="400"/>
      <w:bookmarkStart w:id="401" w:name="_Toc184310308"/>
      <w:bookmarkEnd w:id="401"/>
      <w:bookmarkStart w:id="402" w:name="_Toc184308106"/>
      <w:bookmarkEnd w:id="402"/>
      <w:bookmarkStart w:id="403" w:name="_Toc184314436"/>
      <w:bookmarkEnd w:id="403"/>
      <w:bookmarkStart w:id="404" w:name="_Toc184308044"/>
      <w:bookmarkEnd w:id="404"/>
      <w:bookmarkStart w:id="405" w:name="_Toc184308089"/>
      <w:bookmarkEnd w:id="405"/>
      <w:bookmarkStart w:id="406" w:name="_Toc184312103"/>
      <w:bookmarkEnd w:id="406"/>
      <w:bookmarkStart w:id="407" w:name="_Toc184308061"/>
      <w:bookmarkEnd w:id="407"/>
      <w:bookmarkStart w:id="408" w:name="_Toc184308085"/>
      <w:bookmarkEnd w:id="408"/>
      <w:bookmarkStart w:id="409" w:name="_Toc184308042"/>
      <w:bookmarkEnd w:id="409"/>
      <w:bookmarkStart w:id="410" w:name="_Toc184310277"/>
      <w:bookmarkEnd w:id="410"/>
      <w:bookmarkStart w:id="411" w:name="_Toc184312113"/>
      <w:bookmarkEnd w:id="411"/>
      <w:bookmarkStart w:id="412" w:name="_Toc184314431"/>
      <w:bookmarkEnd w:id="412"/>
      <w:bookmarkStart w:id="413" w:name="_Toc184313258"/>
      <w:bookmarkEnd w:id="413"/>
      <w:bookmarkStart w:id="414" w:name="_Toc184310315"/>
      <w:bookmarkEnd w:id="414"/>
      <w:bookmarkStart w:id="415" w:name="_Toc184310313"/>
      <w:bookmarkEnd w:id="415"/>
      <w:bookmarkStart w:id="416" w:name="_Toc184308057"/>
      <w:bookmarkEnd w:id="416"/>
      <w:bookmarkStart w:id="417" w:name="_Toc184310338"/>
      <w:bookmarkEnd w:id="417"/>
      <w:bookmarkStart w:id="418" w:name="_Toc184312070"/>
      <w:bookmarkEnd w:id="418"/>
      <w:bookmarkStart w:id="419" w:name="_Toc184312134"/>
      <w:bookmarkEnd w:id="419"/>
      <w:bookmarkStart w:id="420" w:name="_Toc184312091"/>
      <w:bookmarkEnd w:id="420"/>
      <w:bookmarkStart w:id="421" w:name="_Toc184314434"/>
      <w:bookmarkEnd w:id="421"/>
      <w:bookmarkStart w:id="422" w:name="_Toc184313274"/>
      <w:bookmarkEnd w:id="422"/>
      <w:bookmarkStart w:id="423" w:name="_Toc184313267"/>
      <w:bookmarkEnd w:id="423"/>
      <w:bookmarkStart w:id="424" w:name="_Toc184313262"/>
      <w:bookmarkEnd w:id="424"/>
      <w:bookmarkStart w:id="425" w:name="_Toc184313265"/>
      <w:bookmarkEnd w:id="425"/>
      <w:bookmarkStart w:id="426" w:name="_Toc184314480"/>
      <w:bookmarkEnd w:id="426"/>
      <w:r>
        <w:rPr>
          <w:rFonts w:hint="eastAsia" w:ascii="宋体" w:hAnsi="宋体" w:cs="宋体"/>
          <w:b/>
          <w:sz w:val="36"/>
          <w:szCs w:val="36"/>
        </w:rPr>
        <w:t xml:space="preserve"> 评标办法</w:t>
      </w:r>
      <w:bookmarkEnd w:id="61"/>
    </w:p>
    <w:p>
      <w:pPr>
        <w:snapToGrid w:val="0"/>
        <w:spacing w:line="360" w:lineRule="auto"/>
        <w:rPr>
          <w:rFonts w:ascii="宋体" w:hAnsi="宋体" w:cs="宋体"/>
          <w:b/>
          <w:sz w:val="24"/>
        </w:rPr>
      </w:pPr>
    </w:p>
    <w:p>
      <w:pPr>
        <w:snapToGrid w:val="0"/>
        <w:spacing w:line="360" w:lineRule="auto"/>
        <w:rPr>
          <w:rFonts w:ascii="宋体" w:hAnsi="宋体" w:cs="宋体"/>
          <w:b/>
          <w:sz w:val="24"/>
        </w:rPr>
      </w:pPr>
      <w:r>
        <w:rPr>
          <w:rFonts w:hint="eastAsia" w:ascii="宋体" w:hAnsi="宋体" w:cs="宋体"/>
          <w:b/>
          <w:sz w:val="24"/>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24"/>
        </w:rPr>
        <w:t>二、评标标准</w:t>
      </w:r>
    </w:p>
    <w:p>
      <w:pPr>
        <w:spacing w:line="360" w:lineRule="auto"/>
        <w:ind w:firstLine="420"/>
        <w:rPr>
          <w:rFonts w:ascii="宋体" w:hAnsi="宋体" w:cs="宋体"/>
          <w:sz w:val="24"/>
        </w:rPr>
      </w:pPr>
      <w:r>
        <w:rPr>
          <w:rFonts w:hint="eastAsia" w:ascii="宋体" w:hAnsi="宋体" w:cs="宋体"/>
          <w:sz w:val="24"/>
        </w:rPr>
        <w:t>本次评标采用综合评分法，评标委员会根据评审情况，对投标人的报价，投标人综合实力、技术、信誉、业绩和售后服务等方面进行审核。评标委员会根据评审情况，对各投标人的报价进行统一打分，对各投标人的资信、商务及技术由评标委员会成员在分值范围内进行独立打分。所有分值均在小数点后保留2位小数。若评标委员会的评分表中计分不在分值范围内的，则该评分表无效。</w:t>
      </w:r>
    </w:p>
    <w:p>
      <w:pPr>
        <w:spacing w:line="360" w:lineRule="auto"/>
        <w:ind w:firstLine="420"/>
        <w:rPr>
          <w:rFonts w:ascii="宋体" w:hAnsi="宋体" w:cs="宋体"/>
          <w:sz w:val="24"/>
        </w:rPr>
      </w:pPr>
      <w:r>
        <w:rPr>
          <w:rFonts w:hint="eastAsia" w:ascii="宋体" w:hAnsi="宋体" w:cs="宋体"/>
          <w:sz w:val="24"/>
        </w:rPr>
        <w:t>每个投标人最终得分=商务报价分+资信分+技术分</w:t>
      </w:r>
    </w:p>
    <w:p>
      <w:pPr>
        <w:keepNext/>
        <w:keepLines/>
        <w:spacing w:line="360" w:lineRule="auto"/>
        <w:ind w:firstLine="422"/>
        <w:outlineLvl w:val="2"/>
        <w:rPr>
          <w:rFonts w:ascii="宋体" w:hAnsi="宋体" w:cs="宋体"/>
          <w:sz w:val="24"/>
        </w:rPr>
      </w:pPr>
      <w:r>
        <w:rPr>
          <w:rFonts w:hint="eastAsia" w:ascii="宋体" w:hAnsi="宋体" w:cs="宋体"/>
          <w:sz w:val="24"/>
        </w:rPr>
        <w:t>评标委员会推荐得分最高的投标人为第一中标候选人、得分次高的投标人为第二中标候选人，并编写评标报告。得分相同的，按投标报价由低到高顺序排列。得分且投标报价相同的并列。投标文件满足招标文件全部实质性要求，且按照评审因素的量化指标评审得分最高的投标人为排名第一的中标候选人。评审因素的量化指标评审得分也相同的则抽签决定。</w:t>
      </w:r>
    </w:p>
    <w:p>
      <w:pPr>
        <w:keepNext/>
        <w:keepLines/>
        <w:spacing w:line="360" w:lineRule="auto"/>
        <w:ind w:firstLine="422"/>
        <w:outlineLvl w:val="2"/>
        <w:rPr>
          <w:rFonts w:ascii="宋体" w:hAnsi="宋体" w:cs="宋体"/>
          <w:b/>
          <w:bCs/>
          <w:kern w:val="0"/>
          <w:sz w:val="24"/>
        </w:rPr>
      </w:pPr>
      <w:r>
        <w:rPr>
          <w:rFonts w:hint="eastAsia" w:ascii="宋体" w:hAnsi="宋体" w:cs="宋体"/>
          <w:b/>
          <w:bCs/>
          <w:kern w:val="0"/>
          <w:sz w:val="24"/>
        </w:rPr>
        <w:t>2.1 商务报价分</w:t>
      </w:r>
      <w:r>
        <w:rPr>
          <w:rFonts w:hint="eastAsia" w:ascii="宋体" w:hAnsi="宋体" w:cs="宋体"/>
          <w:b/>
          <w:bCs/>
          <w:kern w:val="0"/>
          <w:sz w:val="24"/>
          <w:lang w:val="en-US" w:eastAsia="zh-CN"/>
        </w:rPr>
        <w:t>1</w:t>
      </w:r>
      <w:r>
        <w:rPr>
          <w:rFonts w:hint="eastAsia" w:ascii="宋体" w:hAnsi="宋体" w:cs="宋体"/>
          <w:b/>
          <w:bCs/>
          <w:kern w:val="0"/>
          <w:sz w:val="24"/>
        </w:rPr>
        <w:t>0分</w:t>
      </w:r>
    </w:p>
    <w:p>
      <w:pPr>
        <w:spacing w:line="360" w:lineRule="auto"/>
        <w:ind w:firstLine="420"/>
        <w:rPr>
          <w:rFonts w:hint="eastAsia" w:ascii="宋体" w:hAnsi="宋体" w:eastAsia="宋体" w:cs="宋体"/>
          <w:sz w:val="24"/>
        </w:rPr>
      </w:pPr>
      <w:r>
        <w:rPr>
          <w:rFonts w:hint="eastAsia" w:ascii="宋体" w:hAnsi="宋体" w:cs="宋体"/>
          <w:sz w:val="24"/>
        </w:rPr>
        <w:t>商务报价评分将在有效投标人范围内进行，最高得10分，小数点后保留2位小数。满足招</w:t>
      </w:r>
      <w:r>
        <w:rPr>
          <w:rFonts w:hint="eastAsia" w:ascii="宋体" w:hAnsi="宋体" w:eastAsia="宋体" w:cs="宋体"/>
          <w:sz w:val="24"/>
        </w:rPr>
        <w:t>标文件要求且投标价格最低的投标报价为评标基准价，其商务报价分为满分。其他投标人的价格分按照下列公式计算：</w:t>
      </w:r>
    </w:p>
    <w:p>
      <w:pPr>
        <w:spacing w:line="360" w:lineRule="auto"/>
        <w:ind w:firstLine="420"/>
        <w:rPr>
          <w:rFonts w:hint="eastAsia" w:ascii="宋体" w:hAnsi="宋体" w:eastAsia="宋体" w:cs="宋体"/>
          <w:sz w:val="24"/>
          <w:szCs w:val="24"/>
          <w:lang w:val="en-US"/>
        </w:rPr>
      </w:pPr>
      <w:r>
        <w:rPr>
          <w:rFonts w:hint="eastAsia" w:ascii="宋体" w:hAnsi="宋体" w:eastAsia="宋体" w:cs="宋体"/>
          <w:sz w:val="24"/>
        </w:rPr>
        <w:t>商务报价分=(评标基准价／投标报价)×</w:t>
      </w:r>
      <w:r>
        <w:rPr>
          <w:rFonts w:hint="eastAsia" w:ascii="宋体" w:hAnsi="宋体" w:cs="宋体"/>
          <w:sz w:val="24"/>
          <w:lang w:val="en-US" w:eastAsia="zh-CN"/>
        </w:rPr>
        <w:t>1</w:t>
      </w:r>
      <w:r>
        <w:rPr>
          <w:rFonts w:hint="eastAsia" w:ascii="宋体" w:hAnsi="宋体" w:eastAsia="宋体" w:cs="宋体"/>
          <w:sz w:val="24"/>
        </w:rPr>
        <w:t>0。</w:t>
      </w:r>
    </w:p>
    <w:p>
      <w:pPr>
        <w:ind w:firstLine="480" w:firstLineChars="200"/>
        <w:rPr>
          <w:rFonts w:hint="eastAsia" w:ascii="宋体" w:hAnsi="宋体" w:eastAsia="宋体" w:cs="宋体"/>
          <w:sz w:val="24"/>
        </w:rPr>
      </w:pPr>
      <w:r>
        <w:rPr>
          <w:rFonts w:hint="eastAsia" w:ascii="宋体" w:hAnsi="宋体" w:eastAsia="宋体" w:cs="宋体"/>
          <w:sz w:val="24"/>
        </w:rPr>
        <w:t>此项由评标委员会集体核实后统一打分。</w:t>
      </w:r>
    </w:p>
    <w:p>
      <w:pPr>
        <w:keepNext/>
        <w:keepLines/>
        <w:spacing w:line="360" w:lineRule="auto"/>
        <w:ind w:firstLine="422"/>
        <w:outlineLvl w:val="2"/>
        <w:rPr>
          <w:rFonts w:ascii="宋体" w:hAnsi="宋体" w:cs="宋体"/>
          <w:b/>
          <w:bCs/>
          <w:kern w:val="0"/>
          <w:sz w:val="24"/>
        </w:rPr>
      </w:pPr>
      <w:r>
        <w:rPr>
          <w:rFonts w:hint="eastAsia" w:ascii="宋体" w:hAnsi="宋体" w:cs="宋体"/>
          <w:b/>
          <w:bCs/>
          <w:kern w:val="0"/>
          <w:sz w:val="24"/>
        </w:rPr>
        <w:t>2.2 资信评分</w:t>
      </w:r>
      <w:r>
        <w:rPr>
          <w:rFonts w:hint="eastAsia" w:ascii="宋体" w:hAnsi="宋体" w:cs="宋体"/>
          <w:b/>
          <w:bCs/>
          <w:kern w:val="0"/>
          <w:sz w:val="24"/>
          <w:lang w:val="en-US" w:eastAsia="zh-CN"/>
        </w:rPr>
        <w:t>4</w:t>
      </w:r>
      <w:r>
        <w:rPr>
          <w:rFonts w:hint="eastAsia" w:ascii="宋体" w:hAnsi="宋体" w:cs="宋体"/>
          <w:b/>
          <w:bCs/>
          <w:kern w:val="0"/>
          <w:sz w:val="24"/>
        </w:rPr>
        <w:t>分</w:t>
      </w:r>
    </w:p>
    <w:p>
      <w:pPr>
        <w:spacing w:line="360" w:lineRule="auto"/>
        <w:ind w:firstLine="420"/>
        <w:rPr>
          <w:rFonts w:hint="eastAsia" w:ascii="宋体" w:hAnsi="宋体" w:cs="宋体"/>
          <w:sz w:val="24"/>
          <w:highlight w:val="none"/>
        </w:rPr>
      </w:pPr>
      <w:r>
        <w:rPr>
          <w:rFonts w:hint="eastAsia" w:ascii="宋体" w:hAnsi="宋体" w:cs="宋体"/>
          <w:sz w:val="24"/>
        </w:rPr>
        <w:t>对投标人自2019年</w:t>
      </w:r>
      <w:r>
        <w:rPr>
          <w:rFonts w:hint="eastAsia" w:ascii="宋体" w:hAnsi="宋体" w:cs="宋体"/>
          <w:sz w:val="24"/>
          <w:lang w:val="en-US" w:eastAsia="zh-CN"/>
        </w:rPr>
        <w:t>10</w:t>
      </w:r>
      <w:r>
        <w:rPr>
          <w:rFonts w:hint="eastAsia" w:ascii="宋体" w:hAnsi="宋体" w:cs="宋体"/>
          <w:sz w:val="24"/>
        </w:rPr>
        <w:t>月份以来具有同类业绩情况进行评价打分，每个得0.5分，</w:t>
      </w:r>
      <w:r>
        <w:rPr>
          <w:rFonts w:hint="eastAsia" w:ascii="宋体" w:hAnsi="宋体" w:cs="宋体"/>
          <w:sz w:val="24"/>
          <w:highlight w:val="none"/>
        </w:rPr>
        <w:t>最高</w:t>
      </w:r>
      <w:r>
        <w:rPr>
          <w:rFonts w:hint="eastAsia" w:ascii="宋体" w:hAnsi="宋体" w:cs="宋体"/>
          <w:sz w:val="24"/>
          <w:highlight w:val="none"/>
          <w:lang w:val="en-US" w:eastAsia="zh-CN"/>
        </w:rPr>
        <w:t>1</w:t>
      </w:r>
      <w:r>
        <w:rPr>
          <w:rFonts w:hint="eastAsia" w:ascii="宋体" w:hAnsi="宋体" w:cs="宋体"/>
          <w:sz w:val="24"/>
          <w:highlight w:val="none"/>
        </w:rPr>
        <w:t>分；（业绩证明材料必须为合同复印件，时间以合同签订时间为准。）（0-</w:t>
      </w:r>
      <w:r>
        <w:rPr>
          <w:rFonts w:hint="eastAsia" w:ascii="宋体" w:hAnsi="宋体" w:cs="宋体"/>
          <w:sz w:val="24"/>
          <w:highlight w:val="none"/>
          <w:lang w:val="en-US" w:eastAsia="zh-CN"/>
        </w:rPr>
        <w:t>1</w:t>
      </w:r>
      <w:r>
        <w:rPr>
          <w:rFonts w:hint="eastAsia" w:ascii="宋体" w:hAnsi="宋体" w:cs="宋体"/>
          <w:sz w:val="24"/>
          <w:highlight w:val="none"/>
        </w:rPr>
        <w:t>分）。</w:t>
      </w:r>
    </w:p>
    <w:p>
      <w:pPr>
        <w:spacing w:line="360" w:lineRule="auto"/>
        <w:ind w:firstLine="420"/>
        <w:rPr>
          <w:rFonts w:hint="default" w:ascii="宋体" w:hAnsi="宋体" w:eastAsia="宋体" w:cs="宋体"/>
          <w:sz w:val="24"/>
          <w:highlight w:val="none"/>
          <w:lang w:val="en-US" w:eastAsia="zh-CN"/>
        </w:rPr>
      </w:pPr>
      <w:r>
        <w:rPr>
          <w:rFonts w:hint="eastAsia" w:ascii="宋体" w:hAnsi="宋体" w:cs="宋体"/>
          <w:sz w:val="24"/>
          <w:highlight w:val="none"/>
        </w:rPr>
        <w:t>投标人</w:t>
      </w:r>
      <w:r>
        <w:rPr>
          <w:rFonts w:hint="eastAsia" w:ascii="宋体" w:hAnsi="宋体" w:cs="宋体"/>
          <w:sz w:val="24"/>
          <w:highlight w:val="none"/>
          <w:lang w:val="en-US" w:eastAsia="zh-CN"/>
        </w:rPr>
        <w:t>具有物业服务管理相关信息系统软著：中央运送智慧服务系统、医院满意度评价系统、医院后勤人员信息管理系统，每提供一个得1分，最高得3分，提供证明材料。</w:t>
      </w:r>
    </w:p>
    <w:p>
      <w:pPr>
        <w:keepNext/>
        <w:keepLines/>
        <w:spacing w:line="360" w:lineRule="auto"/>
        <w:ind w:firstLine="422"/>
        <w:outlineLvl w:val="2"/>
        <w:rPr>
          <w:rFonts w:ascii="宋体" w:hAnsi="宋体" w:cs="宋体"/>
          <w:b/>
          <w:bCs/>
          <w:kern w:val="0"/>
          <w:sz w:val="24"/>
        </w:rPr>
      </w:pPr>
      <w:r>
        <w:rPr>
          <w:rFonts w:hint="eastAsia" w:ascii="宋体" w:hAnsi="宋体" w:cs="宋体"/>
          <w:b/>
          <w:bCs/>
          <w:kern w:val="0"/>
          <w:sz w:val="24"/>
        </w:rPr>
        <w:t xml:space="preserve">2.3 </w:t>
      </w:r>
      <w:r>
        <w:rPr>
          <w:rFonts w:hint="eastAsia" w:ascii="宋体" w:hAnsi="宋体" w:cs="宋体"/>
          <w:b/>
          <w:bCs/>
          <w:kern w:val="0"/>
          <w:sz w:val="24"/>
          <w:lang w:val="en-US" w:eastAsia="zh-CN"/>
        </w:rPr>
        <w:t>商务</w:t>
      </w:r>
      <w:r>
        <w:rPr>
          <w:rFonts w:hint="eastAsia" w:ascii="宋体" w:hAnsi="宋体" w:cs="宋体"/>
          <w:b/>
          <w:bCs/>
          <w:kern w:val="0"/>
          <w:sz w:val="24"/>
        </w:rPr>
        <w:t>技术评分</w:t>
      </w:r>
      <w:r>
        <w:rPr>
          <w:rFonts w:hint="eastAsia" w:ascii="宋体" w:hAnsi="宋体" w:cs="宋体"/>
          <w:b/>
          <w:bCs/>
          <w:kern w:val="0"/>
          <w:sz w:val="24"/>
          <w:lang w:val="en-US" w:eastAsia="zh-CN"/>
        </w:rPr>
        <w:t>86</w:t>
      </w:r>
      <w:r>
        <w:rPr>
          <w:rFonts w:hint="eastAsia" w:ascii="宋体" w:hAnsi="宋体" w:cs="宋体"/>
          <w:b/>
          <w:bCs/>
          <w:kern w:val="0"/>
          <w:sz w:val="24"/>
        </w:rPr>
        <w:t>分</w:t>
      </w:r>
    </w:p>
    <w:p>
      <w:pPr>
        <w:spacing w:line="360" w:lineRule="auto"/>
        <w:ind w:firstLine="420"/>
        <w:rPr>
          <w:rFonts w:ascii="宋体" w:hAnsi="宋体" w:cs="宋体"/>
          <w:sz w:val="24"/>
        </w:rPr>
      </w:pPr>
      <w:r>
        <w:rPr>
          <w:rFonts w:hint="eastAsia" w:ascii="宋体" w:hAnsi="宋体" w:cs="宋体"/>
          <w:sz w:val="24"/>
        </w:rPr>
        <w:t>该评分分值由评标委员会根据评审情况在分值范围内独立打分（具体分值设定详见表格），小数点后保留2位小数。每个投标人的最终技术得分为评标委员会打分的算术平均值。</w:t>
      </w:r>
    </w:p>
    <w:tbl>
      <w:tblPr>
        <w:tblStyle w:val="62"/>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68"/>
        <w:gridCol w:w="524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vAlign w:val="center"/>
          </w:tcPr>
          <w:p>
            <w:pPr>
              <w:spacing w:line="360" w:lineRule="auto"/>
              <w:ind w:firstLine="0"/>
              <w:rPr>
                <w:rFonts w:hint="eastAsia" w:ascii="宋体" w:hAnsi="宋体" w:cs="宋体"/>
                <w:sz w:val="24"/>
              </w:rPr>
            </w:pPr>
            <w:r>
              <w:rPr>
                <w:rFonts w:hint="eastAsia" w:ascii="宋体" w:hAnsi="宋体" w:cs="宋体"/>
                <w:sz w:val="24"/>
              </w:rPr>
              <w:t>序号</w:t>
            </w:r>
          </w:p>
        </w:tc>
        <w:tc>
          <w:tcPr>
            <w:tcW w:w="1168" w:type="dxa"/>
            <w:vAlign w:val="center"/>
          </w:tcPr>
          <w:p>
            <w:pPr>
              <w:spacing w:line="360" w:lineRule="auto"/>
              <w:ind w:firstLine="0"/>
              <w:rPr>
                <w:rFonts w:hint="eastAsia" w:ascii="宋体" w:hAnsi="宋体" w:cs="宋体"/>
                <w:sz w:val="24"/>
              </w:rPr>
            </w:pPr>
            <w:r>
              <w:rPr>
                <w:rFonts w:hint="eastAsia" w:ascii="宋体" w:hAnsi="宋体" w:cs="宋体"/>
                <w:sz w:val="24"/>
              </w:rPr>
              <w:t>评分内容</w:t>
            </w:r>
          </w:p>
        </w:tc>
        <w:tc>
          <w:tcPr>
            <w:tcW w:w="5246" w:type="dxa"/>
            <w:vAlign w:val="center"/>
          </w:tcPr>
          <w:p>
            <w:pPr>
              <w:spacing w:line="360" w:lineRule="auto"/>
              <w:ind w:firstLine="0"/>
              <w:rPr>
                <w:rFonts w:hint="eastAsia" w:ascii="宋体" w:hAnsi="宋体" w:cs="宋体"/>
                <w:sz w:val="24"/>
              </w:rPr>
            </w:pPr>
            <w:r>
              <w:rPr>
                <w:rFonts w:hint="eastAsia" w:ascii="宋体" w:hAnsi="宋体" w:cs="宋体"/>
                <w:sz w:val="24"/>
              </w:rPr>
              <w:t>评分项目</w:t>
            </w: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rPr>
              <w:t>分值范围</w:t>
            </w: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rPr>
              <w:t>评分类型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75" w:type="dxa"/>
            <w:vMerge w:val="restart"/>
            <w:vAlign w:val="center"/>
          </w:tcPr>
          <w:p>
            <w:pPr>
              <w:spacing w:line="360" w:lineRule="auto"/>
              <w:ind w:firstLine="0"/>
              <w:rPr>
                <w:rFonts w:hint="eastAsia" w:ascii="宋体" w:hAnsi="宋体" w:cs="宋体"/>
                <w:sz w:val="24"/>
              </w:rPr>
            </w:pPr>
            <w:r>
              <w:rPr>
                <w:rFonts w:hint="eastAsia" w:ascii="宋体" w:hAnsi="宋体" w:cs="宋体"/>
                <w:sz w:val="24"/>
              </w:rPr>
              <w:t>1</w:t>
            </w:r>
          </w:p>
        </w:tc>
        <w:tc>
          <w:tcPr>
            <w:tcW w:w="1168" w:type="dxa"/>
            <w:vMerge w:val="restart"/>
            <w:vAlign w:val="center"/>
          </w:tcPr>
          <w:p>
            <w:pPr>
              <w:spacing w:line="360" w:lineRule="auto"/>
              <w:ind w:firstLine="0"/>
              <w:rPr>
                <w:rFonts w:hint="eastAsia" w:ascii="宋体" w:hAnsi="宋体" w:cs="宋体"/>
                <w:snapToGrid/>
                <w:kern w:val="2"/>
                <w:sz w:val="24"/>
              </w:rPr>
            </w:pPr>
            <w:r>
              <w:rPr>
                <w:rFonts w:hint="eastAsia" w:ascii="宋体" w:hAnsi="宋体" w:cs="宋体"/>
                <w:sz w:val="24"/>
              </w:rPr>
              <w:t>总体方案</w:t>
            </w:r>
          </w:p>
        </w:tc>
        <w:tc>
          <w:tcPr>
            <w:tcW w:w="5246" w:type="dxa"/>
            <w:vAlign w:val="center"/>
          </w:tcPr>
          <w:p>
            <w:pPr>
              <w:spacing w:line="360" w:lineRule="auto"/>
              <w:ind w:firstLine="0"/>
              <w:rPr>
                <w:rFonts w:hint="eastAsia" w:ascii="宋体" w:hAnsi="宋体" w:cs="宋体"/>
                <w:sz w:val="24"/>
                <w:lang w:eastAsia="zh-CN"/>
              </w:rPr>
            </w:pPr>
            <w:r>
              <w:rPr>
                <w:rFonts w:hint="eastAsia" w:ascii="宋体" w:hAnsi="宋体" w:cs="宋体"/>
                <w:sz w:val="24"/>
              </w:rPr>
              <w:t>投标总体方案对于项目内容和服务需求的吻合程度及其响应情况的合理性、可操作性、针对性等</w:t>
            </w:r>
            <w:r>
              <w:rPr>
                <w:rFonts w:hint="eastAsia" w:ascii="宋体" w:hAnsi="宋体" w:cs="宋体"/>
                <w:sz w:val="24"/>
                <w:lang w:eastAsia="zh-CN"/>
              </w:rPr>
              <w:t>：</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val="en-US" w:eastAsia="zh-CN"/>
              </w:rPr>
              <w:t>方案内容详实，具有针对性，可实施性强的得</w:t>
            </w:r>
            <w:r>
              <w:rPr>
                <w:rFonts w:hint="eastAsia" w:ascii="宋体" w:hAnsi="宋体" w:cs="宋体"/>
                <w:sz w:val="24"/>
                <w:lang w:val="en-US" w:eastAsia="zh-CN"/>
              </w:rPr>
              <w:t>5</w:t>
            </w:r>
            <w:r>
              <w:rPr>
                <w:rFonts w:hint="eastAsia" w:ascii="宋体" w:hAnsi="宋体" w:eastAsia="宋体" w:cs="宋体"/>
                <w:sz w:val="24"/>
                <w:lang w:val="en-US" w:eastAsia="zh-CN"/>
              </w:rPr>
              <w:t>分；方案内容较详实，基本能符合采购需要，针对性，可实施性一般的得</w:t>
            </w:r>
            <w:r>
              <w:rPr>
                <w:rFonts w:hint="eastAsia" w:ascii="宋体" w:hAnsi="宋体" w:cs="宋体"/>
                <w:sz w:val="24"/>
                <w:lang w:val="en-US" w:eastAsia="zh-CN"/>
              </w:rPr>
              <w:t>3</w:t>
            </w:r>
            <w:r>
              <w:rPr>
                <w:rFonts w:hint="eastAsia" w:ascii="宋体" w:hAnsi="宋体" w:eastAsia="宋体" w:cs="宋体"/>
                <w:sz w:val="24"/>
                <w:lang w:val="en-US" w:eastAsia="zh-CN"/>
              </w:rPr>
              <w:t>分；方案或明显存在缺陷的，得1分；未提供相关描述不得分。</w:t>
            </w: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rPr>
              <w:t>0-</w:t>
            </w:r>
            <w:r>
              <w:rPr>
                <w:rFonts w:hint="eastAsia" w:ascii="宋体" w:hAnsi="宋体" w:cs="宋体"/>
                <w:sz w:val="24"/>
                <w:lang w:val="en-US" w:eastAsia="zh-CN"/>
              </w:rPr>
              <w:t>5</w:t>
            </w:r>
            <w:r>
              <w:rPr>
                <w:rFonts w:hint="eastAsia" w:ascii="宋体" w:hAnsi="宋体" w:cs="宋体"/>
                <w:sz w:val="24"/>
              </w:rPr>
              <w:t>分</w:t>
            </w: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75" w:type="dxa"/>
            <w:vMerge w:val="continue"/>
            <w:vAlign w:val="center"/>
          </w:tcPr>
          <w:p>
            <w:pPr>
              <w:spacing w:line="360" w:lineRule="auto"/>
              <w:ind w:firstLine="0"/>
              <w:rPr>
                <w:rFonts w:hint="eastAsia" w:ascii="宋体" w:hAnsi="宋体" w:cs="宋体"/>
                <w:sz w:val="24"/>
              </w:rPr>
            </w:pPr>
          </w:p>
        </w:tc>
        <w:tc>
          <w:tcPr>
            <w:tcW w:w="1168" w:type="dxa"/>
            <w:vMerge w:val="continue"/>
            <w:vAlign w:val="center"/>
          </w:tcPr>
          <w:p>
            <w:pPr>
              <w:spacing w:line="360" w:lineRule="auto"/>
              <w:ind w:firstLine="0"/>
              <w:rPr>
                <w:rFonts w:hint="eastAsia" w:ascii="宋体" w:hAnsi="宋体" w:cs="宋体"/>
                <w:sz w:val="24"/>
              </w:rPr>
            </w:pPr>
          </w:p>
        </w:tc>
        <w:tc>
          <w:tcPr>
            <w:tcW w:w="5246" w:type="dxa"/>
            <w:vAlign w:val="center"/>
          </w:tcPr>
          <w:p>
            <w:pPr>
              <w:spacing w:line="360" w:lineRule="auto"/>
              <w:ind w:firstLine="0"/>
              <w:rPr>
                <w:rFonts w:hint="eastAsia" w:ascii="宋体" w:hAnsi="宋体" w:cs="宋体"/>
                <w:sz w:val="24"/>
                <w:lang w:eastAsia="zh-CN"/>
              </w:rPr>
            </w:pPr>
            <w:r>
              <w:rPr>
                <w:rFonts w:hint="eastAsia" w:ascii="宋体" w:hAnsi="宋体" w:cs="宋体"/>
                <w:sz w:val="24"/>
              </w:rPr>
              <w:t>转运服务方案</w:t>
            </w:r>
            <w:r>
              <w:rPr>
                <w:rFonts w:hint="eastAsia" w:ascii="宋体" w:hAnsi="宋体" w:cs="宋体"/>
                <w:sz w:val="24"/>
                <w:lang w:eastAsia="zh-CN"/>
              </w:rPr>
              <w:t>：</w:t>
            </w:r>
          </w:p>
          <w:p>
            <w:pPr>
              <w:numPr>
                <w:ilvl w:val="0"/>
                <w:numId w:val="2"/>
              </w:numPr>
              <w:spacing w:line="360" w:lineRule="auto"/>
              <w:ind w:firstLine="0" w:firstLineChars="0"/>
              <w:rPr>
                <w:rFonts w:hint="eastAsia" w:ascii="宋体" w:hAnsi="宋体" w:cs="宋体"/>
                <w:sz w:val="24"/>
                <w:lang w:val="en-US" w:eastAsia="zh-CN"/>
              </w:rPr>
            </w:pPr>
            <w:r>
              <w:rPr>
                <w:rFonts w:hint="eastAsia" w:ascii="宋体" w:hAnsi="宋体" w:cs="宋体"/>
                <w:sz w:val="24"/>
                <w:lang w:val="en-US" w:eastAsia="zh-CN"/>
              </w:rPr>
              <w:t>服务方案满足需求程度0-3分：完全满足采购需求的得3分；基本满足的得2分；有明显缺失的得1分，未描述不得分。</w:t>
            </w:r>
          </w:p>
          <w:p>
            <w:pPr>
              <w:numPr>
                <w:ilvl w:val="0"/>
                <w:numId w:val="2"/>
              </w:numPr>
              <w:spacing w:line="360" w:lineRule="auto"/>
              <w:ind w:firstLine="0" w:firstLineChars="0"/>
              <w:rPr>
                <w:rFonts w:hint="eastAsia" w:ascii="宋体" w:hAnsi="宋体" w:cs="宋体"/>
                <w:sz w:val="24"/>
              </w:rPr>
            </w:pPr>
            <w:r>
              <w:rPr>
                <w:rFonts w:hint="eastAsia" w:ascii="宋体" w:hAnsi="宋体" w:cs="宋体"/>
                <w:sz w:val="24"/>
                <w:lang w:val="en-US" w:eastAsia="zh-CN"/>
              </w:rPr>
              <w:t>转运流程及标准等0-12分</w:t>
            </w:r>
          </w:p>
          <w:p>
            <w:pPr>
              <w:numPr>
                <w:ilvl w:val="0"/>
                <w:numId w:val="3"/>
              </w:num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病人、标本、药品、设备仪器0-3分：完全满足采购需求的得3分；基本满足的得2分；有明显缺失的得1分，未描述不得分。</w:t>
            </w:r>
          </w:p>
          <w:p>
            <w:pPr>
              <w:numPr>
                <w:ilvl w:val="0"/>
                <w:numId w:val="3"/>
              </w:numPr>
              <w:spacing w:line="360" w:lineRule="auto"/>
              <w:ind w:firstLine="480" w:firstLineChars="200"/>
              <w:rPr>
                <w:rFonts w:hint="eastAsia" w:ascii="宋体" w:hAnsi="宋体" w:cs="宋体"/>
                <w:sz w:val="24"/>
              </w:rPr>
            </w:pPr>
            <w:r>
              <w:rPr>
                <w:rFonts w:hint="eastAsia" w:ascii="宋体" w:hAnsi="宋体" w:cs="宋体"/>
                <w:sz w:val="24"/>
                <w:lang w:val="en-US" w:eastAsia="zh-CN"/>
              </w:rPr>
              <w:t>被服0-2分</w:t>
            </w:r>
          </w:p>
          <w:p>
            <w:pPr>
              <w:numPr>
                <w:ilvl w:val="0"/>
                <w:numId w:val="3"/>
              </w:numPr>
              <w:spacing w:line="360" w:lineRule="auto"/>
              <w:ind w:firstLine="480" w:firstLineChars="200"/>
              <w:rPr>
                <w:rFonts w:hint="eastAsia" w:ascii="宋体" w:hAnsi="宋体" w:cs="宋体"/>
                <w:sz w:val="24"/>
              </w:rPr>
            </w:pPr>
            <w:r>
              <w:rPr>
                <w:rFonts w:hint="eastAsia" w:ascii="宋体" w:hAnsi="宋体" w:cs="宋体"/>
                <w:sz w:val="24"/>
                <w:lang w:val="en-US" w:eastAsia="zh-CN"/>
              </w:rPr>
              <w:t>生活垃圾0-2分</w:t>
            </w:r>
          </w:p>
          <w:p>
            <w:pPr>
              <w:numPr>
                <w:ilvl w:val="0"/>
                <w:numId w:val="3"/>
              </w:numPr>
              <w:spacing w:line="360" w:lineRule="auto"/>
              <w:ind w:firstLine="480" w:firstLineChars="200"/>
              <w:rPr>
                <w:rFonts w:hint="eastAsia" w:ascii="宋体" w:hAnsi="宋体" w:cs="宋体"/>
                <w:sz w:val="24"/>
              </w:rPr>
            </w:pPr>
            <w:r>
              <w:rPr>
                <w:rFonts w:hint="eastAsia" w:ascii="宋体" w:hAnsi="宋体" w:cs="宋体"/>
                <w:sz w:val="24"/>
                <w:lang w:val="en-US" w:eastAsia="zh-CN"/>
              </w:rPr>
              <w:t>医疗废物及危险废物0-3分：完全满足采购需求的得3</w:t>
            </w:r>
            <w:bookmarkStart w:id="456" w:name="_GoBack"/>
            <w:bookmarkEnd w:id="456"/>
            <w:r>
              <w:rPr>
                <w:rFonts w:hint="eastAsia" w:ascii="宋体" w:hAnsi="宋体" w:cs="宋体"/>
                <w:sz w:val="24"/>
                <w:lang w:val="en-US" w:eastAsia="zh-CN"/>
              </w:rPr>
              <w:t>分；基本满足的得2分；有明显缺失的得1分，未描述不得分。</w:t>
            </w:r>
          </w:p>
          <w:p>
            <w:pPr>
              <w:numPr>
                <w:ilvl w:val="0"/>
                <w:numId w:val="3"/>
              </w:numPr>
              <w:spacing w:line="360" w:lineRule="auto"/>
              <w:ind w:firstLine="480" w:firstLineChars="200"/>
              <w:rPr>
                <w:rFonts w:hint="eastAsia" w:ascii="宋体" w:hAnsi="宋体" w:cs="宋体"/>
                <w:sz w:val="24"/>
              </w:rPr>
            </w:pPr>
            <w:r>
              <w:rPr>
                <w:rFonts w:hint="eastAsia" w:ascii="宋体" w:hAnsi="宋体" w:cs="宋体"/>
                <w:sz w:val="24"/>
                <w:lang w:val="en-US" w:eastAsia="zh-CN"/>
              </w:rPr>
              <w:t>其他转运0-2分</w:t>
            </w: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rPr>
              <w:t>0-</w:t>
            </w:r>
            <w:r>
              <w:rPr>
                <w:rFonts w:hint="eastAsia" w:ascii="宋体" w:hAnsi="宋体" w:cs="宋体"/>
                <w:sz w:val="24"/>
                <w:lang w:val="en-US" w:eastAsia="zh-CN"/>
              </w:rPr>
              <w:t>15</w:t>
            </w:r>
            <w:r>
              <w:rPr>
                <w:rFonts w:hint="eastAsia" w:ascii="宋体" w:hAnsi="宋体" w:cs="宋体"/>
                <w:sz w:val="24"/>
              </w:rPr>
              <w:t>分</w:t>
            </w: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4" w:hRule="atLeast"/>
        </w:trPr>
        <w:tc>
          <w:tcPr>
            <w:tcW w:w="675" w:type="dxa"/>
            <w:vMerge w:val="continue"/>
            <w:vAlign w:val="center"/>
          </w:tcPr>
          <w:p>
            <w:pPr>
              <w:spacing w:line="360" w:lineRule="auto"/>
              <w:ind w:firstLine="0"/>
              <w:rPr>
                <w:rFonts w:hint="eastAsia" w:ascii="宋体" w:hAnsi="宋体" w:cs="宋体"/>
                <w:sz w:val="24"/>
              </w:rPr>
            </w:pPr>
          </w:p>
        </w:tc>
        <w:tc>
          <w:tcPr>
            <w:tcW w:w="1168" w:type="dxa"/>
            <w:vMerge w:val="continue"/>
            <w:vAlign w:val="center"/>
          </w:tcPr>
          <w:p>
            <w:pPr>
              <w:spacing w:line="360" w:lineRule="auto"/>
              <w:ind w:firstLine="0"/>
              <w:rPr>
                <w:rFonts w:hint="eastAsia" w:ascii="宋体" w:hAnsi="宋体" w:cs="宋体"/>
                <w:sz w:val="24"/>
              </w:rPr>
            </w:pPr>
          </w:p>
        </w:tc>
        <w:tc>
          <w:tcPr>
            <w:tcW w:w="5246" w:type="dxa"/>
            <w:vAlign w:val="center"/>
          </w:tcPr>
          <w:p>
            <w:pPr>
              <w:spacing w:line="360" w:lineRule="auto"/>
              <w:ind w:firstLine="0"/>
              <w:rPr>
                <w:rFonts w:hint="eastAsia" w:ascii="宋体" w:hAnsi="宋体" w:cs="宋体"/>
                <w:sz w:val="24"/>
                <w:lang w:eastAsia="zh-CN"/>
              </w:rPr>
            </w:pPr>
            <w:r>
              <w:rPr>
                <w:rFonts w:hint="eastAsia" w:ascii="宋体" w:hAnsi="宋体" w:cs="宋体"/>
                <w:sz w:val="24"/>
              </w:rPr>
              <w:t>卫生保洁方案</w:t>
            </w:r>
            <w:r>
              <w:rPr>
                <w:rFonts w:hint="eastAsia" w:ascii="宋体" w:hAnsi="宋体" w:cs="宋体"/>
                <w:sz w:val="24"/>
                <w:lang w:eastAsia="zh-CN"/>
              </w:rPr>
              <w:t>（</w:t>
            </w:r>
            <w:r>
              <w:rPr>
                <w:rFonts w:hint="eastAsia" w:ascii="宋体" w:hAnsi="宋体" w:cs="宋体"/>
                <w:sz w:val="24"/>
                <w:szCs w:val="24"/>
              </w:rPr>
              <w:t>服务目标、服务内容、对院区保洁是否有详细的数据分析、保洁服务标准、保洁计划、保洁频率（有无自查措施）</w:t>
            </w:r>
            <w:r>
              <w:rPr>
                <w:rFonts w:hint="eastAsia" w:ascii="宋体" w:hAnsi="宋体" w:cs="宋体"/>
                <w:sz w:val="24"/>
                <w:lang w:eastAsia="zh-CN"/>
              </w:rPr>
              <w:t>）：</w:t>
            </w:r>
          </w:p>
          <w:p>
            <w:pPr>
              <w:numPr>
                <w:ilvl w:val="0"/>
                <w:numId w:val="4"/>
              </w:numPr>
              <w:spacing w:line="360" w:lineRule="auto"/>
              <w:ind w:firstLine="0" w:firstLineChars="0"/>
              <w:rPr>
                <w:rFonts w:hint="eastAsia" w:ascii="宋体" w:hAnsi="宋体" w:cs="宋体"/>
                <w:sz w:val="24"/>
                <w:lang w:val="en-US" w:eastAsia="zh-CN"/>
              </w:rPr>
            </w:pPr>
            <w:r>
              <w:rPr>
                <w:rFonts w:hint="eastAsia" w:ascii="宋体" w:hAnsi="宋体" w:cs="宋体"/>
                <w:sz w:val="24"/>
                <w:lang w:val="en-US" w:eastAsia="zh-CN"/>
              </w:rPr>
              <w:t>总体针对采购人的保洁方案0-2分</w:t>
            </w:r>
          </w:p>
          <w:p>
            <w:pPr>
              <w:numPr>
                <w:ilvl w:val="0"/>
                <w:numId w:val="4"/>
              </w:numPr>
              <w:spacing w:line="360" w:lineRule="auto"/>
              <w:ind w:firstLine="0" w:firstLineChars="0"/>
              <w:rPr>
                <w:rFonts w:hint="eastAsia" w:ascii="宋体" w:hAnsi="宋体" w:cs="宋体"/>
                <w:sz w:val="24"/>
                <w:lang w:val="en-US" w:eastAsia="zh-CN"/>
              </w:rPr>
            </w:pPr>
            <w:r>
              <w:rPr>
                <w:rFonts w:hint="eastAsia" w:ascii="宋体" w:hAnsi="宋体" w:cs="宋体"/>
                <w:sz w:val="24"/>
                <w:lang w:val="en-US" w:eastAsia="zh-CN"/>
              </w:rPr>
              <w:t>非医疗区域保洁工作流程及方案0-2分</w:t>
            </w:r>
          </w:p>
          <w:p>
            <w:pPr>
              <w:numPr>
                <w:ilvl w:val="0"/>
                <w:numId w:val="4"/>
              </w:numPr>
              <w:spacing w:line="360" w:lineRule="auto"/>
              <w:ind w:firstLine="0" w:firstLineChars="0"/>
              <w:rPr>
                <w:rFonts w:hint="eastAsia" w:ascii="宋体" w:hAnsi="宋体" w:cs="宋体"/>
                <w:sz w:val="24"/>
              </w:rPr>
            </w:pPr>
            <w:r>
              <w:rPr>
                <w:rFonts w:hint="eastAsia" w:ascii="宋体" w:hAnsi="宋体" w:cs="宋体"/>
                <w:sz w:val="24"/>
                <w:lang w:val="en-US" w:eastAsia="zh-CN"/>
              </w:rPr>
              <w:t>户外保洁方案0-2分</w:t>
            </w:r>
          </w:p>
          <w:p>
            <w:pPr>
              <w:numPr>
                <w:ilvl w:val="0"/>
                <w:numId w:val="4"/>
              </w:numPr>
              <w:spacing w:line="360" w:lineRule="auto"/>
              <w:ind w:firstLine="0" w:firstLineChars="0"/>
              <w:rPr>
                <w:rFonts w:hint="eastAsia" w:ascii="宋体" w:hAnsi="宋体" w:cs="宋体"/>
                <w:sz w:val="24"/>
                <w:lang w:val="en-US" w:eastAsia="zh-CN"/>
              </w:rPr>
            </w:pPr>
            <w:r>
              <w:rPr>
                <w:rFonts w:hint="eastAsia" w:ascii="宋体" w:hAnsi="宋体" w:cs="宋体"/>
                <w:sz w:val="24"/>
                <w:lang w:val="en-US" w:eastAsia="zh-CN"/>
              </w:rPr>
              <w:t>公共场所、大厅、各楼层保洁方案0-3分：</w:t>
            </w:r>
          </w:p>
          <w:p>
            <w:pPr>
              <w:numPr>
                <w:ilvl w:val="-1"/>
                <w:numId w:val="0"/>
              </w:num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方案内容详实，具有针对性，可实施性强的得3分；方案内容较详实，基本能符合采购需要，针对性，可实施性一般的得2分；方案或明显存在缺陷的，得1分；未提供相关描述不得分</w:t>
            </w:r>
          </w:p>
          <w:p>
            <w:pPr>
              <w:numPr>
                <w:ilvl w:val="0"/>
                <w:numId w:val="4"/>
              </w:numPr>
              <w:spacing w:line="360" w:lineRule="auto"/>
              <w:ind w:firstLine="0" w:firstLineChars="0"/>
              <w:rPr>
                <w:rFonts w:hint="eastAsia" w:ascii="宋体" w:hAnsi="宋体" w:cs="宋体"/>
                <w:sz w:val="24"/>
                <w:lang w:val="en-US" w:eastAsia="zh-CN"/>
              </w:rPr>
            </w:pPr>
            <w:r>
              <w:rPr>
                <w:rFonts w:hint="eastAsia" w:ascii="宋体" w:hAnsi="宋体" w:cs="宋体"/>
                <w:sz w:val="24"/>
                <w:lang w:val="en-US" w:eastAsia="zh-CN"/>
              </w:rPr>
              <w:t>病房保洁方案0-3分：</w:t>
            </w:r>
          </w:p>
          <w:p>
            <w:pPr>
              <w:numPr>
                <w:ilvl w:val="-1"/>
                <w:numId w:val="0"/>
              </w:num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方案内容详实，具有针对性，可实施性强的得3分；方案内容较详实，基本能符合采购需要，针对性，可实施性一般的得2分；方案或明显存在缺陷的，得1分；未提供相关描述不得分</w:t>
            </w:r>
          </w:p>
          <w:p>
            <w:pPr>
              <w:numPr>
                <w:ilvl w:val="0"/>
                <w:numId w:val="4"/>
              </w:numPr>
              <w:spacing w:line="360" w:lineRule="auto"/>
              <w:ind w:firstLine="0" w:firstLineChars="0"/>
              <w:rPr>
                <w:rFonts w:hint="eastAsia" w:ascii="宋体" w:hAnsi="宋体" w:cs="宋体"/>
                <w:sz w:val="24"/>
                <w:lang w:val="en-US" w:eastAsia="zh-CN"/>
              </w:rPr>
            </w:pPr>
            <w:r>
              <w:rPr>
                <w:rFonts w:hint="eastAsia" w:ascii="宋体" w:hAnsi="宋体" w:cs="宋体"/>
                <w:sz w:val="24"/>
                <w:lang w:val="en-US" w:eastAsia="zh-CN"/>
              </w:rPr>
              <w:t>院感保洁方案0-3分：</w:t>
            </w:r>
          </w:p>
          <w:p>
            <w:pPr>
              <w:numPr>
                <w:ilvl w:val="-1"/>
                <w:numId w:val="0"/>
              </w:num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方案内容详实，具有针对性，可实施性强的得3分；方案内容较详实，基本能符合采购需要，针对性，可实施性一般的得2分；方案或明显存在缺陷的，得1分；未提供相关描述不得分</w:t>
            </w:r>
          </w:p>
          <w:p>
            <w:pPr>
              <w:numPr>
                <w:ilvl w:val="0"/>
                <w:numId w:val="4"/>
              </w:numPr>
              <w:spacing w:line="360" w:lineRule="auto"/>
              <w:ind w:firstLine="0" w:firstLineChars="0"/>
              <w:rPr>
                <w:rFonts w:hint="eastAsia" w:ascii="宋体" w:hAnsi="宋体" w:cs="宋体"/>
                <w:sz w:val="24"/>
              </w:rPr>
            </w:pPr>
            <w:r>
              <w:rPr>
                <w:rFonts w:hint="eastAsia" w:ascii="宋体" w:hAnsi="宋体" w:cs="宋体"/>
                <w:sz w:val="24"/>
                <w:lang w:val="en-US" w:eastAsia="zh-CN"/>
              </w:rPr>
              <w:t>设备投入方案0-4分</w:t>
            </w:r>
          </w:p>
          <w:p>
            <w:pPr>
              <w:numPr>
                <w:ilvl w:val="-1"/>
                <w:numId w:val="0"/>
              </w:numPr>
              <w:spacing w:line="360" w:lineRule="auto"/>
              <w:ind w:firstLine="480" w:firstLineChars="200"/>
              <w:rPr>
                <w:rFonts w:hint="eastAsia" w:ascii="宋体" w:hAnsi="宋体" w:cs="宋体"/>
                <w:sz w:val="24"/>
                <w:lang w:val="en-US"/>
              </w:rPr>
            </w:pPr>
            <w:r>
              <w:rPr>
                <w:rFonts w:hint="eastAsia" w:ascii="宋体" w:hAnsi="宋体" w:cs="宋体"/>
                <w:sz w:val="24"/>
                <w:lang w:val="en-US" w:eastAsia="zh-CN"/>
              </w:rPr>
              <w:t>1）保洁设备0-2分</w:t>
            </w:r>
          </w:p>
          <w:p>
            <w:pPr>
              <w:numPr>
                <w:ilvl w:val="-1"/>
                <w:numId w:val="0"/>
              </w:numPr>
              <w:spacing w:line="360" w:lineRule="auto"/>
              <w:ind w:firstLine="480" w:firstLineChars="200"/>
              <w:rPr>
                <w:rFonts w:hint="eastAsia" w:ascii="宋体" w:hAnsi="宋体" w:cs="宋体"/>
                <w:sz w:val="24"/>
                <w:lang w:val="en-US"/>
              </w:rPr>
            </w:pPr>
            <w:r>
              <w:rPr>
                <w:rFonts w:hint="eastAsia" w:ascii="宋体" w:hAnsi="宋体" w:cs="宋体"/>
                <w:sz w:val="24"/>
                <w:lang w:val="en-US" w:eastAsia="zh-CN"/>
              </w:rPr>
              <w:t>2）保洁易耗品0-2分</w:t>
            </w:r>
          </w:p>
          <w:p>
            <w:pPr>
              <w:numPr>
                <w:ilvl w:val="-1"/>
                <w:numId w:val="0"/>
              </w:numPr>
              <w:spacing w:line="360" w:lineRule="auto"/>
              <w:ind w:firstLine="0" w:firstLineChars="0"/>
              <w:rPr>
                <w:rFonts w:hint="eastAsia" w:ascii="宋体" w:hAnsi="宋体" w:cs="宋体"/>
                <w:sz w:val="24"/>
              </w:rPr>
            </w:pP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rPr>
              <w:t>0-</w:t>
            </w:r>
            <w:r>
              <w:rPr>
                <w:rFonts w:hint="eastAsia" w:ascii="宋体" w:hAnsi="宋体" w:cs="宋体"/>
                <w:sz w:val="24"/>
                <w:lang w:val="en-US" w:eastAsia="zh-CN"/>
              </w:rPr>
              <w:t>19</w:t>
            </w:r>
            <w:r>
              <w:rPr>
                <w:rFonts w:hint="eastAsia" w:ascii="宋体" w:hAnsi="宋体" w:cs="宋体"/>
                <w:sz w:val="24"/>
              </w:rPr>
              <w:t>分</w:t>
            </w: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75" w:type="dxa"/>
            <w:vMerge w:val="continue"/>
            <w:vAlign w:val="center"/>
          </w:tcPr>
          <w:p>
            <w:pPr>
              <w:spacing w:line="360" w:lineRule="auto"/>
              <w:ind w:firstLine="0"/>
              <w:rPr>
                <w:rFonts w:hint="eastAsia" w:ascii="宋体" w:hAnsi="宋体" w:cs="宋体"/>
                <w:sz w:val="24"/>
              </w:rPr>
            </w:pPr>
          </w:p>
        </w:tc>
        <w:tc>
          <w:tcPr>
            <w:tcW w:w="1168" w:type="dxa"/>
            <w:vMerge w:val="continue"/>
            <w:vAlign w:val="center"/>
          </w:tcPr>
          <w:p>
            <w:pPr>
              <w:spacing w:line="360" w:lineRule="auto"/>
              <w:ind w:firstLine="0"/>
              <w:rPr>
                <w:rFonts w:hint="eastAsia" w:ascii="宋体" w:hAnsi="宋体" w:cs="宋体"/>
                <w:sz w:val="24"/>
              </w:rPr>
            </w:pPr>
          </w:p>
        </w:tc>
        <w:tc>
          <w:tcPr>
            <w:tcW w:w="5246" w:type="dxa"/>
            <w:vAlign w:val="center"/>
          </w:tcPr>
          <w:p>
            <w:pPr>
              <w:spacing w:line="360" w:lineRule="auto"/>
              <w:ind w:firstLine="0" w:firstLineChars="0"/>
              <w:rPr>
                <w:rFonts w:hint="eastAsia" w:ascii="宋体" w:hAnsi="宋体" w:cs="宋体"/>
                <w:sz w:val="24"/>
                <w:lang w:val="en-US" w:eastAsia="zh-CN"/>
              </w:rPr>
            </w:pPr>
            <w:r>
              <w:rPr>
                <w:rFonts w:hint="eastAsia" w:ascii="宋体" w:hAnsi="宋体" w:cs="宋体"/>
                <w:sz w:val="24"/>
                <w:lang w:val="en-US" w:eastAsia="zh-CN"/>
              </w:rPr>
              <w:t>工程维修方案：</w:t>
            </w:r>
          </w:p>
          <w:p>
            <w:pPr>
              <w:numPr>
                <w:ilvl w:val="0"/>
                <w:numId w:val="5"/>
              </w:numPr>
              <w:spacing w:line="360" w:lineRule="auto"/>
              <w:ind w:firstLine="0" w:firstLineChars="0"/>
              <w:rPr>
                <w:rFonts w:hint="eastAsia" w:ascii="宋体" w:hAnsi="宋体" w:cs="宋体"/>
                <w:sz w:val="24"/>
                <w:lang w:val="en-US" w:eastAsia="zh-CN"/>
              </w:rPr>
            </w:pPr>
            <w:r>
              <w:rPr>
                <w:rFonts w:hint="eastAsia" w:ascii="宋体" w:hAnsi="宋体" w:cs="宋体"/>
                <w:sz w:val="24"/>
                <w:lang w:val="en-US" w:eastAsia="zh-CN"/>
              </w:rPr>
              <w:t>供配电系统维修方案0-2分</w:t>
            </w:r>
          </w:p>
          <w:p>
            <w:pPr>
              <w:numPr>
                <w:ilvl w:val="0"/>
                <w:numId w:val="5"/>
              </w:numPr>
              <w:spacing w:line="360" w:lineRule="auto"/>
              <w:ind w:firstLine="0" w:firstLineChars="0"/>
              <w:rPr>
                <w:rFonts w:hint="default" w:ascii="宋体" w:hAnsi="宋体" w:eastAsia="宋体" w:cs="宋体"/>
                <w:sz w:val="24"/>
                <w:lang w:val="en-US" w:eastAsia="zh-CN"/>
              </w:rPr>
            </w:pPr>
            <w:r>
              <w:rPr>
                <w:rFonts w:hint="eastAsia" w:ascii="宋体" w:hAnsi="宋体" w:cs="宋体"/>
                <w:sz w:val="24"/>
                <w:lang w:val="en-US" w:eastAsia="zh-CN"/>
              </w:rPr>
              <w:t>给排水维修方案0-2分</w:t>
            </w:r>
          </w:p>
          <w:p>
            <w:pPr>
              <w:numPr>
                <w:ilvl w:val="0"/>
                <w:numId w:val="5"/>
              </w:numPr>
              <w:spacing w:line="360" w:lineRule="auto"/>
              <w:ind w:firstLine="0" w:firstLineChars="0"/>
              <w:rPr>
                <w:rFonts w:hint="default" w:ascii="宋体" w:hAnsi="宋体" w:eastAsia="宋体" w:cs="宋体"/>
                <w:sz w:val="24"/>
                <w:lang w:val="en-US" w:eastAsia="zh-CN"/>
              </w:rPr>
            </w:pPr>
            <w:r>
              <w:rPr>
                <w:rFonts w:hint="eastAsia" w:ascii="宋体" w:hAnsi="宋体" w:cs="宋体"/>
                <w:sz w:val="24"/>
                <w:lang w:val="en-US" w:eastAsia="zh-CN"/>
              </w:rPr>
              <w:t>空调系统维修方案0-2分</w:t>
            </w:r>
          </w:p>
          <w:p>
            <w:pPr>
              <w:numPr>
                <w:ilvl w:val="0"/>
                <w:numId w:val="5"/>
              </w:numPr>
              <w:spacing w:line="360" w:lineRule="auto"/>
              <w:ind w:firstLine="0" w:firstLineChars="0"/>
              <w:rPr>
                <w:rFonts w:hint="default" w:ascii="宋体" w:hAnsi="宋体" w:eastAsia="宋体" w:cs="宋体"/>
                <w:sz w:val="24"/>
                <w:lang w:val="en-US" w:eastAsia="zh-CN"/>
              </w:rPr>
            </w:pPr>
            <w:r>
              <w:rPr>
                <w:rFonts w:hint="eastAsia" w:ascii="宋体" w:hAnsi="宋体" w:cs="宋体"/>
                <w:sz w:val="24"/>
                <w:lang w:val="en-US" w:eastAsia="zh-CN"/>
              </w:rPr>
              <w:t>日常水电、污水、电梯等维修方案0-2分</w:t>
            </w:r>
          </w:p>
          <w:p>
            <w:pPr>
              <w:numPr>
                <w:ilvl w:val="0"/>
                <w:numId w:val="5"/>
              </w:numPr>
              <w:spacing w:line="360" w:lineRule="auto"/>
              <w:ind w:firstLine="0" w:firstLineChars="0"/>
              <w:rPr>
                <w:rFonts w:hint="default" w:ascii="宋体" w:hAnsi="宋体" w:eastAsia="宋体" w:cs="宋体"/>
                <w:sz w:val="24"/>
                <w:lang w:val="en-US" w:eastAsia="zh-CN"/>
              </w:rPr>
            </w:pPr>
            <w:r>
              <w:rPr>
                <w:rFonts w:hint="eastAsia" w:ascii="宋体" w:hAnsi="宋体" w:cs="宋体"/>
                <w:sz w:val="24"/>
                <w:lang w:val="en-US" w:eastAsia="zh-CN"/>
              </w:rPr>
              <w:t>抢修方案0-2分</w:t>
            </w:r>
          </w:p>
          <w:p>
            <w:pPr>
              <w:numPr>
                <w:ilvl w:val="0"/>
                <w:numId w:val="5"/>
              </w:numPr>
              <w:spacing w:line="360" w:lineRule="auto"/>
              <w:ind w:firstLine="0" w:firstLineChars="0"/>
              <w:rPr>
                <w:rFonts w:hint="default" w:ascii="宋体" w:hAnsi="宋体" w:eastAsia="宋体" w:cs="宋体"/>
                <w:sz w:val="24"/>
                <w:lang w:val="en-US" w:eastAsia="zh-CN"/>
              </w:rPr>
            </w:pPr>
            <w:r>
              <w:rPr>
                <w:rFonts w:hint="eastAsia" w:ascii="宋体" w:hAnsi="宋体" w:cs="宋体"/>
                <w:sz w:val="24"/>
                <w:lang w:val="en-US" w:eastAsia="zh-CN"/>
              </w:rPr>
              <w:t>投入项目工具、耗材方案0-2分</w:t>
            </w: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rPr>
              <w:t>0-</w:t>
            </w:r>
            <w:r>
              <w:rPr>
                <w:rFonts w:hint="eastAsia" w:ascii="宋体" w:hAnsi="宋体" w:cs="宋体"/>
                <w:sz w:val="24"/>
                <w:lang w:val="en-US" w:eastAsia="zh-CN"/>
              </w:rPr>
              <w:t>12</w:t>
            </w:r>
            <w:r>
              <w:rPr>
                <w:rFonts w:hint="eastAsia" w:ascii="宋体" w:hAnsi="宋体" w:cs="宋体"/>
                <w:sz w:val="24"/>
              </w:rPr>
              <w:t>分</w:t>
            </w: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75" w:type="dxa"/>
            <w:vMerge w:val="continue"/>
            <w:vAlign w:val="center"/>
          </w:tcPr>
          <w:p>
            <w:pPr>
              <w:spacing w:line="360" w:lineRule="auto"/>
              <w:ind w:firstLine="0"/>
              <w:rPr>
                <w:rFonts w:hint="eastAsia" w:ascii="宋体" w:hAnsi="宋体" w:cs="宋体"/>
                <w:sz w:val="24"/>
              </w:rPr>
            </w:pPr>
          </w:p>
        </w:tc>
        <w:tc>
          <w:tcPr>
            <w:tcW w:w="1168" w:type="dxa"/>
            <w:vMerge w:val="continue"/>
            <w:vAlign w:val="center"/>
          </w:tcPr>
          <w:p>
            <w:pPr>
              <w:spacing w:line="360" w:lineRule="auto"/>
              <w:ind w:firstLine="0"/>
              <w:rPr>
                <w:rFonts w:hint="eastAsia" w:ascii="宋体" w:hAnsi="宋体" w:cs="宋体"/>
                <w:sz w:val="24"/>
              </w:rPr>
            </w:pPr>
          </w:p>
        </w:tc>
        <w:tc>
          <w:tcPr>
            <w:tcW w:w="5246" w:type="dxa"/>
            <w:vAlign w:val="center"/>
          </w:tcPr>
          <w:p>
            <w:pPr>
              <w:numPr>
                <w:ilvl w:val="-1"/>
                <w:numId w:val="0"/>
              </w:numPr>
              <w:spacing w:line="360" w:lineRule="auto"/>
              <w:ind w:firstLine="0" w:firstLineChars="0"/>
              <w:rPr>
                <w:rFonts w:hint="eastAsia" w:ascii="宋体" w:hAnsi="宋体" w:cs="宋体"/>
                <w:sz w:val="24"/>
                <w:lang w:val="en-US" w:eastAsia="zh-CN"/>
              </w:rPr>
            </w:pPr>
            <w:r>
              <w:rPr>
                <w:rFonts w:hint="eastAsia" w:ascii="宋体" w:hAnsi="宋体" w:cs="宋体"/>
                <w:sz w:val="24"/>
                <w:lang w:val="en-US" w:eastAsia="zh-CN"/>
              </w:rPr>
              <w:t>护理员工作方案：0-3分</w:t>
            </w:r>
          </w:p>
          <w:p>
            <w:pPr>
              <w:numPr>
                <w:ilvl w:val="-1"/>
                <w:numId w:val="0"/>
              </w:numPr>
              <w:spacing w:line="360" w:lineRule="auto"/>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方案内容详实，具有针对性，可实施性强的得3分；方案内容较详实，基本能符合采购需要，针对性，可实施性一般的得2分；方案或明显存在缺陷的，得1分；未提供相关描述不得分</w:t>
            </w: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rPr>
              <w:t>0-</w:t>
            </w:r>
            <w:r>
              <w:rPr>
                <w:rFonts w:hint="eastAsia" w:ascii="宋体" w:hAnsi="宋体" w:cs="宋体"/>
                <w:sz w:val="24"/>
                <w:lang w:val="en-US" w:eastAsia="zh-CN"/>
              </w:rPr>
              <w:t>3</w:t>
            </w:r>
            <w:r>
              <w:rPr>
                <w:rFonts w:hint="eastAsia" w:ascii="宋体" w:hAnsi="宋体" w:cs="宋体"/>
                <w:sz w:val="24"/>
              </w:rPr>
              <w:t>分</w:t>
            </w: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75" w:type="dxa"/>
            <w:vAlign w:val="center"/>
          </w:tcPr>
          <w:p>
            <w:pPr>
              <w:spacing w:line="360" w:lineRule="auto"/>
              <w:ind w:firstLine="0"/>
              <w:rPr>
                <w:rFonts w:hint="eastAsia" w:ascii="宋体" w:hAnsi="宋体" w:eastAsia="宋体" w:cs="宋体"/>
                <w:sz w:val="24"/>
                <w:highlight w:val="none"/>
                <w:lang w:eastAsia="zh-CN"/>
              </w:rPr>
            </w:pPr>
            <w:r>
              <w:rPr>
                <w:rFonts w:hint="eastAsia" w:ascii="宋体" w:hAnsi="宋体" w:cs="宋体"/>
                <w:sz w:val="24"/>
                <w:highlight w:val="none"/>
                <w:lang w:val="en-US" w:eastAsia="zh-CN"/>
              </w:rPr>
              <w:t>2</w:t>
            </w:r>
          </w:p>
        </w:tc>
        <w:tc>
          <w:tcPr>
            <w:tcW w:w="1168" w:type="dxa"/>
            <w:vAlign w:val="center"/>
          </w:tcPr>
          <w:p>
            <w:pPr>
              <w:spacing w:line="360" w:lineRule="auto"/>
              <w:ind w:firstLine="0"/>
              <w:rPr>
                <w:rFonts w:hint="eastAsia" w:ascii="宋体" w:hAnsi="宋体" w:cs="宋体"/>
                <w:sz w:val="24"/>
                <w:szCs w:val="24"/>
                <w:highlight w:val="none"/>
              </w:rPr>
            </w:pPr>
            <w:r>
              <w:rPr>
                <w:rFonts w:hint="eastAsia" w:ascii="宋体" w:hAnsi="宋体" w:cs="宋体"/>
                <w:sz w:val="24"/>
                <w:szCs w:val="24"/>
                <w:highlight w:val="none"/>
              </w:rPr>
              <w:t>信息化管理方案</w:t>
            </w:r>
          </w:p>
          <w:p>
            <w:pPr>
              <w:spacing w:line="360" w:lineRule="auto"/>
              <w:ind w:firstLine="0"/>
              <w:rPr>
                <w:rFonts w:hint="eastAsia" w:ascii="宋体" w:hAnsi="宋体" w:cs="宋体"/>
                <w:sz w:val="24"/>
                <w:szCs w:val="24"/>
                <w:highlight w:val="none"/>
              </w:rPr>
            </w:pPr>
          </w:p>
        </w:tc>
        <w:tc>
          <w:tcPr>
            <w:tcW w:w="5246" w:type="dxa"/>
            <w:vAlign w:val="center"/>
          </w:tcPr>
          <w:p>
            <w:pPr>
              <w:spacing w:line="360" w:lineRule="auto"/>
              <w:ind w:firstLine="0"/>
              <w:rPr>
                <w:rFonts w:hint="eastAsia" w:ascii="宋体" w:hAnsi="宋体" w:cs="宋体"/>
                <w:sz w:val="24"/>
                <w:szCs w:val="24"/>
                <w:highlight w:val="none"/>
              </w:rPr>
            </w:pPr>
            <w:r>
              <w:rPr>
                <w:rFonts w:hint="eastAsia" w:ascii="宋体" w:hAnsi="宋体" w:cs="宋体"/>
                <w:sz w:val="24"/>
                <w:szCs w:val="24"/>
                <w:highlight w:val="none"/>
              </w:rPr>
              <w:t>供应商拥有运送智慧服务系统（供应商自主开发或向第三方购买均可）该软件应具有对运送服务各工种响应工作流程的追踪管理、工作量考核、数据统计、提高效率等功能。根据该管理软件系统设计合理性、科学性和可操作性进行评审。</w:t>
            </w:r>
          </w:p>
          <w:p>
            <w:pPr>
              <w:spacing w:line="360" w:lineRule="auto"/>
              <w:ind w:firstLine="0"/>
              <w:rPr>
                <w:rFonts w:hint="eastAsia" w:ascii="宋体" w:hAnsi="宋体" w:cs="宋体"/>
                <w:sz w:val="24"/>
                <w:szCs w:val="24"/>
                <w:highlight w:val="none"/>
              </w:rPr>
            </w:pPr>
            <w:r>
              <w:rPr>
                <w:rFonts w:hint="eastAsia" w:ascii="宋体" w:hAnsi="宋体" w:cs="宋体"/>
                <w:sz w:val="24"/>
                <w:szCs w:val="24"/>
                <w:highlight w:val="none"/>
              </w:rPr>
              <w:t>其中：</w:t>
            </w:r>
          </w:p>
          <w:p>
            <w:pPr>
              <w:spacing w:line="360" w:lineRule="auto"/>
              <w:ind w:firstLine="0"/>
              <w:rPr>
                <w:rFonts w:hint="eastAsia" w:ascii="宋体" w:hAnsi="宋体" w:cs="宋体"/>
                <w:sz w:val="24"/>
                <w:szCs w:val="24"/>
                <w:highlight w:val="none"/>
              </w:rPr>
            </w:pPr>
            <w:r>
              <w:rPr>
                <w:rFonts w:hint="eastAsia" w:ascii="宋体" w:hAnsi="宋体" w:cs="宋体"/>
                <w:sz w:val="24"/>
                <w:szCs w:val="24"/>
                <w:highlight w:val="none"/>
              </w:rPr>
              <w:t xml:space="preserve">  该管理软件能与医院信息系统对接，具有科室直接下单功能并配置自助下单终端的得</w:t>
            </w:r>
            <w:r>
              <w:rPr>
                <w:rFonts w:hint="eastAsia" w:ascii="宋体" w:hAnsi="宋体" w:cs="宋体"/>
                <w:sz w:val="24"/>
                <w:szCs w:val="24"/>
                <w:highlight w:val="none"/>
                <w:lang w:val="en-US" w:eastAsia="zh-CN"/>
              </w:rPr>
              <w:t>2</w:t>
            </w:r>
            <w:r>
              <w:rPr>
                <w:rFonts w:hint="eastAsia" w:ascii="宋体" w:hAnsi="宋体" w:cs="宋体"/>
                <w:sz w:val="24"/>
                <w:szCs w:val="24"/>
                <w:highlight w:val="none"/>
              </w:rPr>
              <w:t>分，提供自助下单功能的终端页面截图（提供至少一家医院运行数据），不出示不得分。（0-</w:t>
            </w:r>
            <w:r>
              <w:rPr>
                <w:rFonts w:hint="eastAsia" w:ascii="宋体" w:hAnsi="宋体" w:cs="宋体"/>
                <w:sz w:val="24"/>
                <w:szCs w:val="24"/>
                <w:highlight w:val="none"/>
                <w:lang w:val="en-US" w:eastAsia="zh-CN"/>
              </w:rPr>
              <w:t>2</w:t>
            </w:r>
            <w:r>
              <w:rPr>
                <w:rFonts w:hint="eastAsia" w:ascii="宋体" w:hAnsi="宋体" w:cs="宋体"/>
                <w:sz w:val="24"/>
                <w:szCs w:val="24"/>
                <w:highlight w:val="none"/>
              </w:rPr>
              <w:t>分）</w:t>
            </w:r>
          </w:p>
        </w:tc>
        <w:tc>
          <w:tcPr>
            <w:tcW w:w="1134" w:type="dxa"/>
            <w:vAlign w:val="center"/>
          </w:tcPr>
          <w:p>
            <w:pPr>
              <w:spacing w:line="360" w:lineRule="auto"/>
              <w:ind w:firstLine="0"/>
              <w:rPr>
                <w:rFonts w:hint="eastAsia" w:ascii="宋体" w:hAnsi="宋体" w:cs="宋体"/>
                <w:sz w:val="24"/>
                <w:highlight w:val="none"/>
              </w:rPr>
            </w:pPr>
            <w:r>
              <w:rPr>
                <w:rFonts w:hint="eastAsia" w:ascii="宋体" w:hAnsi="宋体" w:cs="宋体"/>
                <w:sz w:val="24"/>
                <w:highlight w:val="none"/>
              </w:rPr>
              <w:t>0-</w:t>
            </w:r>
            <w:r>
              <w:rPr>
                <w:rFonts w:hint="eastAsia" w:ascii="宋体" w:hAnsi="宋体" w:cs="宋体"/>
                <w:sz w:val="24"/>
                <w:highlight w:val="none"/>
                <w:lang w:val="en-US" w:eastAsia="zh-CN"/>
              </w:rPr>
              <w:t>2</w:t>
            </w:r>
            <w:r>
              <w:rPr>
                <w:rFonts w:hint="eastAsia" w:ascii="宋体" w:hAnsi="宋体" w:cs="宋体"/>
                <w:sz w:val="24"/>
                <w:highlight w:val="none"/>
              </w:rPr>
              <w:t>分</w:t>
            </w:r>
          </w:p>
        </w:tc>
        <w:tc>
          <w:tcPr>
            <w:tcW w:w="1134" w:type="dxa"/>
            <w:vAlign w:val="center"/>
          </w:tcPr>
          <w:p>
            <w:pPr>
              <w:spacing w:line="360" w:lineRule="auto"/>
              <w:ind w:firstLine="0"/>
              <w:rPr>
                <w:rFonts w:hint="eastAsia" w:ascii="宋体" w:hAnsi="宋体" w:cs="宋体"/>
                <w:sz w:val="24"/>
                <w:highlight w:val="none"/>
              </w:rPr>
            </w:pPr>
            <w:r>
              <w:rPr>
                <w:rFonts w:hint="eastAsia" w:ascii="宋体" w:hAnsi="宋体" w:cs="宋体"/>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75" w:type="dxa"/>
            <w:vMerge w:val="restart"/>
            <w:vAlign w:val="center"/>
          </w:tcPr>
          <w:p>
            <w:pPr>
              <w:spacing w:line="360" w:lineRule="auto"/>
              <w:ind w:firstLine="0"/>
              <w:rPr>
                <w:rFonts w:hint="eastAsia" w:ascii="宋体" w:hAnsi="宋体" w:eastAsia="宋体" w:cs="宋体"/>
                <w:sz w:val="24"/>
                <w:lang w:eastAsia="zh-CN"/>
              </w:rPr>
            </w:pPr>
            <w:r>
              <w:rPr>
                <w:rFonts w:hint="eastAsia" w:ascii="宋体" w:hAnsi="宋体" w:cs="宋体"/>
                <w:sz w:val="24"/>
                <w:lang w:val="en-US" w:eastAsia="zh-CN"/>
              </w:rPr>
              <w:t>3</w:t>
            </w:r>
          </w:p>
        </w:tc>
        <w:tc>
          <w:tcPr>
            <w:tcW w:w="1168" w:type="dxa"/>
            <w:vMerge w:val="restart"/>
            <w:vAlign w:val="center"/>
          </w:tcPr>
          <w:p>
            <w:pPr>
              <w:spacing w:line="360" w:lineRule="auto"/>
              <w:ind w:firstLine="0"/>
              <w:rPr>
                <w:rFonts w:hint="eastAsia" w:ascii="宋体" w:hAnsi="宋体" w:cs="宋体"/>
                <w:snapToGrid/>
                <w:kern w:val="2"/>
                <w:sz w:val="24"/>
              </w:rPr>
            </w:pPr>
            <w:r>
              <w:rPr>
                <w:rFonts w:hint="eastAsia" w:ascii="宋体" w:hAnsi="宋体" w:cs="宋体"/>
                <w:snapToGrid/>
                <w:kern w:val="2"/>
                <w:sz w:val="24"/>
              </w:rPr>
              <w:t>服务团队</w:t>
            </w:r>
          </w:p>
        </w:tc>
        <w:tc>
          <w:tcPr>
            <w:tcW w:w="5246" w:type="dxa"/>
            <w:vAlign w:val="center"/>
          </w:tcPr>
          <w:p>
            <w:pPr>
              <w:spacing w:line="360" w:lineRule="auto"/>
              <w:ind w:firstLine="0"/>
              <w:rPr>
                <w:rFonts w:hint="eastAsia" w:ascii="宋体" w:hAnsi="宋体" w:cs="宋体"/>
                <w:sz w:val="24"/>
                <w:szCs w:val="24"/>
              </w:rPr>
            </w:pPr>
            <w:r>
              <w:rPr>
                <w:rFonts w:hint="eastAsia" w:ascii="宋体" w:hAnsi="宋体" w:cs="宋体"/>
                <w:sz w:val="24"/>
                <w:szCs w:val="24"/>
              </w:rPr>
              <w:t>项目经理情况（须提供不少于三个月的社保缴纳证明及相关证件，未提供社保证明的不得分。）</w:t>
            </w:r>
          </w:p>
          <w:p>
            <w:pPr>
              <w:spacing w:line="360" w:lineRule="auto"/>
              <w:ind w:firstLine="0"/>
              <w:rPr>
                <w:rFonts w:hint="eastAsia" w:ascii="宋体" w:hAnsi="宋体" w:cs="宋体"/>
                <w:sz w:val="24"/>
                <w:szCs w:val="24"/>
              </w:rPr>
            </w:pPr>
            <w:r>
              <w:rPr>
                <w:rFonts w:hint="eastAsia" w:ascii="宋体" w:hAnsi="宋体" w:cs="宋体"/>
                <w:sz w:val="24"/>
                <w:szCs w:val="24"/>
              </w:rPr>
              <w:t>其中：</w:t>
            </w:r>
          </w:p>
          <w:p>
            <w:pPr>
              <w:spacing w:line="360" w:lineRule="auto"/>
              <w:ind w:firstLine="0"/>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、项目经理类似经验：担任过五年（含）以上三级综合性医院项目经理职务得</w:t>
            </w:r>
            <w:r>
              <w:rPr>
                <w:rFonts w:hint="eastAsia" w:ascii="宋体" w:hAnsi="宋体" w:cs="宋体"/>
                <w:sz w:val="24"/>
                <w:szCs w:val="24"/>
                <w:lang w:val="en-US" w:eastAsia="zh-CN"/>
              </w:rPr>
              <w:t>2</w:t>
            </w:r>
            <w:r>
              <w:rPr>
                <w:rFonts w:hint="eastAsia" w:ascii="宋体" w:hAnsi="宋体" w:cs="宋体"/>
                <w:sz w:val="24"/>
                <w:szCs w:val="24"/>
              </w:rPr>
              <w:t>分；担任过三年（含）以上三级综合性医院项目经理职务得</w:t>
            </w:r>
            <w:r>
              <w:rPr>
                <w:rFonts w:hint="eastAsia" w:ascii="宋体" w:hAnsi="宋体" w:cs="宋体"/>
                <w:sz w:val="24"/>
                <w:szCs w:val="24"/>
                <w:lang w:val="en-US" w:eastAsia="zh-CN"/>
              </w:rPr>
              <w:t>1</w:t>
            </w:r>
            <w:r>
              <w:rPr>
                <w:rFonts w:hint="eastAsia" w:ascii="宋体" w:hAnsi="宋体" w:cs="宋体"/>
                <w:sz w:val="24"/>
                <w:szCs w:val="24"/>
              </w:rPr>
              <w:t>分；担任过一年（含）以上三级综合性医院项目经理职务得</w:t>
            </w:r>
            <w:r>
              <w:rPr>
                <w:rFonts w:hint="eastAsia" w:ascii="宋体" w:hAnsi="宋体" w:cs="宋体"/>
                <w:sz w:val="24"/>
                <w:szCs w:val="24"/>
                <w:lang w:val="en-US" w:eastAsia="zh-CN"/>
              </w:rPr>
              <w:t>0.5</w:t>
            </w:r>
            <w:r>
              <w:rPr>
                <w:rFonts w:hint="eastAsia" w:ascii="宋体" w:hAnsi="宋体" w:cs="宋体"/>
                <w:sz w:val="24"/>
                <w:szCs w:val="24"/>
              </w:rPr>
              <w:t>分，提供证明材料（证明材料中需体现所服务单位全称、项目经理姓名、服务年限等内容）（0-</w:t>
            </w:r>
            <w:r>
              <w:rPr>
                <w:rFonts w:hint="eastAsia" w:ascii="宋体" w:hAnsi="宋体" w:cs="宋体"/>
                <w:sz w:val="24"/>
                <w:szCs w:val="24"/>
                <w:lang w:val="en-US" w:eastAsia="zh-CN"/>
              </w:rPr>
              <w:t>2</w:t>
            </w:r>
            <w:r>
              <w:rPr>
                <w:rFonts w:hint="eastAsia" w:ascii="宋体" w:hAnsi="宋体" w:cs="宋体"/>
                <w:sz w:val="24"/>
                <w:szCs w:val="24"/>
              </w:rPr>
              <w:t>分）</w:t>
            </w:r>
          </w:p>
        </w:tc>
        <w:tc>
          <w:tcPr>
            <w:tcW w:w="1134" w:type="dxa"/>
            <w:vAlign w:val="center"/>
          </w:tcPr>
          <w:p>
            <w:pPr>
              <w:spacing w:line="360" w:lineRule="auto"/>
              <w:ind w:firstLine="0"/>
              <w:rPr>
                <w:rFonts w:hint="eastAsia" w:ascii="宋体" w:hAnsi="宋体" w:cs="宋体"/>
                <w:kern w:val="2"/>
                <w:sz w:val="24"/>
                <w:szCs w:val="24"/>
              </w:rPr>
            </w:pPr>
            <w:r>
              <w:rPr>
                <w:rFonts w:hint="eastAsia" w:ascii="宋体" w:hAnsi="宋体" w:cs="宋体"/>
                <w:kern w:val="2"/>
                <w:sz w:val="24"/>
                <w:szCs w:val="24"/>
              </w:rPr>
              <w:t>0-</w:t>
            </w:r>
            <w:r>
              <w:rPr>
                <w:rFonts w:hint="eastAsia" w:ascii="宋体" w:hAnsi="宋体" w:cs="宋体"/>
                <w:kern w:val="2"/>
                <w:sz w:val="24"/>
                <w:szCs w:val="24"/>
                <w:lang w:val="en-US" w:eastAsia="zh-CN"/>
              </w:rPr>
              <w:t>2</w:t>
            </w:r>
            <w:r>
              <w:rPr>
                <w:rFonts w:hint="eastAsia" w:ascii="宋体" w:hAnsi="宋体" w:cs="宋体"/>
                <w:kern w:val="2"/>
                <w:sz w:val="24"/>
                <w:szCs w:val="24"/>
              </w:rPr>
              <w:t>分</w:t>
            </w: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75" w:type="dxa"/>
            <w:vMerge w:val="continue"/>
            <w:vAlign w:val="center"/>
          </w:tcPr>
          <w:p>
            <w:pPr>
              <w:spacing w:line="360" w:lineRule="auto"/>
              <w:ind w:firstLine="0"/>
              <w:rPr>
                <w:rFonts w:hint="eastAsia" w:ascii="宋体" w:hAnsi="宋体" w:cs="宋体"/>
                <w:sz w:val="24"/>
              </w:rPr>
            </w:pPr>
          </w:p>
        </w:tc>
        <w:tc>
          <w:tcPr>
            <w:tcW w:w="1168" w:type="dxa"/>
            <w:vMerge w:val="continue"/>
            <w:vAlign w:val="center"/>
          </w:tcPr>
          <w:p>
            <w:pPr>
              <w:spacing w:line="360" w:lineRule="auto"/>
              <w:ind w:firstLine="0"/>
              <w:rPr>
                <w:rFonts w:hint="eastAsia" w:ascii="宋体" w:hAnsi="宋体" w:cs="宋体"/>
                <w:snapToGrid/>
                <w:kern w:val="2"/>
                <w:sz w:val="24"/>
              </w:rPr>
            </w:pPr>
          </w:p>
        </w:tc>
        <w:tc>
          <w:tcPr>
            <w:tcW w:w="5246" w:type="dxa"/>
            <w:vAlign w:val="center"/>
          </w:tcPr>
          <w:p>
            <w:pPr>
              <w:pStyle w:val="137"/>
              <w:spacing w:line="360" w:lineRule="auto"/>
              <w:rPr>
                <w:rFonts w:ascii="宋体" w:cs="宋体"/>
                <w:kern w:val="0"/>
                <w:sz w:val="24"/>
              </w:rPr>
            </w:pPr>
            <w:r>
              <w:rPr>
                <w:rFonts w:hint="eastAsia" w:ascii="宋体" w:cs="宋体"/>
                <w:kern w:val="0"/>
                <w:sz w:val="24"/>
              </w:rPr>
              <w:t>项目主管（2名）：</w:t>
            </w:r>
          </w:p>
          <w:p>
            <w:pPr>
              <w:pStyle w:val="137"/>
              <w:spacing w:line="360" w:lineRule="auto"/>
              <w:rPr>
                <w:rFonts w:ascii="宋体" w:cs="宋体"/>
                <w:kern w:val="0"/>
                <w:sz w:val="24"/>
              </w:rPr>
            </w:pPr>
            <w:r>
              <w:rPr>
                <w:rFonts w:hint="eastAsia" w:ascii="宋体" w:cs="宋体"/>
                <w:kern w:val="0"/>
                <w:sz w:val="24"/>
              </w:rPr>
              <w:t>1、具有全国物业管理企业经理证书</w:t>
            </w:r>
            <w:r>
              <w:rPr>
                <w:rFonts w:hint="eastAsia" w:ascii="宋体" w:cs="宋体"/>
                <w:kern w:val="0"/>
                <w:sz w:val="24"/>
                <w:lang w:val="en-US" w:eastAsia="zh-CN"/>
              </w:rPr>
              <w:t>每提供一本</w:t>
            </w:r>
            <w:r>
              <w:rPr>
                <w:rFonts w:hint="eastAsia" w:ascii="宋体" w:cs="宋体"/>
                <w:kern w:val="0"/>
                <w:sz w:val="24"/>
              </w:rPr>
              <w:t>得</w:t>
            </w:r>
            <w:r>
              <w:rPr>
                <w:rFonts w:hint="eastAsia" w:ascii="宋体" w:cs="宋体"/>
                <w:kern w:val="0"/>
                <w:sz w:val="24"/>
                <w:lang w:val="en-US" w:eastAsia="zh-CN"/>
              </w:rPr>
              <w:t>0.5</w:t>
            </w:r>
            <w:r>
              <w:rPr>
                <w:rFonts w:hint="eastAsia" w:ascii="宋体" w:cs="宋体"/>
                <w:kern w:val="0"/>
                <w:sz w:val="24"/>
              </w:rPr>
              <w:t>分，最高</w:t>
            </w:r>
            <w:r>
              <w:rPr>
                <w:rFonts w:hint="eastAsia" w:ascii="宋体" w:cs="宋体"/>
                <w:kern w:val="0"/>
                <w:sz w:val="24"/>
                <w:lang w:val="en-US" w:eastAsia="zh-CN"/>
              </w:rPr>
              <w:t>1</w:t>
            </w:r>
            <w:r>
              <w:rPr>
                <w:rFonts w:hint="eastAsia" w:ascii="宋体" w:cs="宋体"/>
                <w:kern w:val="0"/>
                <w:sz w:val="24"/>
              </w:rPr>
              <w:t>分（提供证书扫描件）。</w:t>
            </w:r>
          </w:p>
          <w:p>
            <w:pPr>
              <w:pStyle w:val="137"/>
              <w:spacing w:line="360" w:lineRule="auto"/>
              <w:rPr>
                <w:rFonts w:hint="default" w:ascii="宋体" w:hAnsi="宋体" w:cs="宋体"/>
                <w:sz w:val="24"/>
                <w:szCs w:val="24"/>
                <w:lang w:val="en-US"/>
              </w:rPr>
            </w:pPr>
            <w:r>
              <w:rPr>
                <w:rFonts w:hint="eastAsia" w:ascii="宋体" w:cs="宋体"/>
                <w:kern w:val="0"/>
                <w:sz w:val="24"/>
              </w:rPr>
              <w:t>2、项目主管具备中级</w:t>
            </w:r>
            <w:r>
              <w:rPr>
                <w:rFonts w:hint="eastAsia" w:ascii="宋体" w:cs="宋体"/>
                <w:kern w:val="0"/>
                <w:sz w:val="24"/>
                <w:lang w:val="en-US" w:eastAsia="zh-CN"/>
              </w:rPr>
              <w:t>及以上</w:t>
            </w:r>
            <w:r>
              <w:rPr>
                <w:rFonts w:hint="eastAsia" w:ascii="宋体" w:cs="宋体"/>
                <w:kern w:val="0"/>
                <w:sz w:val="24"/>
                <w:lang w:eastAsia="zh-CN"/>
              </w:rPr>
              <w:t>行业</w:t>
            </w:r>
            <w:r>
              <w:rPr>
                <w:rFonts w:hint="eastAsia" w:ascii="宋体" w:cs="宋体"/>
                <w:kern w:val="0"/>
                <w:sz w:val="24"/>
                <w:lang w:val="en-US" w:eastAsia="zh-CN"/>
              </w:rPr>
              <w:t>技能证书</w:t>
            </w:r>
            <w:r>
              <w:rPr>
                <w:rFonts w:hint="eastAsia" w:ascii="宋体" w:cs="宋体"/>
                <w:kern w:val="0"/>
                <w:sz w:val="24"/>
              </w:rPr>
              <w:t>的</w:t>
            </w:r>
            <w:r>
              <w:rPr>
                <w:rFonts w:hint="eastAsia" w:ascii="宋体" w:cs="宋体"/>
                <w:kern w:val="0"/>
                <w:sz w:val="24"/>
                <w:lang w:val="en-US" w:eastAsia="zh-CN"/>
              </w:rPr>
              <w:t>每提供一本</w:t>
            </w:r>
            <w:r>
              <w:rPr>
                <w:rFonts w:hint="eastAsia" w:ascii="宋体" w:cs="宋体"/>
                <w:kern w:val="0"/>
                <w:sz w:val="24"/>
              </w:rPr>
              <w:t xml:space="preserve">得 </w:t>
            </w:r>
            <w:r>
              <w:rPr>
                <w:rFonts w:hint="eastAsia" w:ascii="宋体" w:cs="宋体"/>
                <w:kern w:val="0"/>
                <w:sz w:val="24"/>
                <w:lang w:val="en-US" w:eastAsia="zh-CN"/>
              </w:rPr>
              <w:t>0.5</w:t>
            </w:r>
            <w:r>
              <w:rPr>
                <w:rFonts w:hint="eastAsia" w:ascii="宋体" w:cs="宋体"/>
                <w:kern w:val="0"/>
                <w:sz w:val="24"/>
              </w:rPr>
              <w:t>分，最高</w:t>
            </w:r>
            <w:r>
              <w:rPr>
                <w:rFonts w:hint="eastAsia" w:ascii="宋体" w:cs="宋体"/>
                <w:kern w:val="0"/>
                <w:sz w:val="24"/>
                <w:lang w:val="en-US" w:eastAsia="zh-CN"/>
              </w:rPr>
              <w:t>1</w:t>
            </w:r>
            <w:r>
              <w:rPr>
                <w:rFonts w:hint="eastAsia" w:ascii="宋体" w:cs="宋体"/>
                <w:kern w:val="0"/>
                <w:sz w:val="24"/>
              </w:rPr>
              <w:t>分（提供证书扫描件）。</w:t>
            </w:r>
            <w:r>
              <w:rPr>
                <w:rFonts w:hint="eastAsia" w:ascii="宋体" w:cs="宋体"/>
                <w:kern w:val="0"/>
                <w:sz w:val="24"/>
              </w:rPr>
              <w:br w:type="textWrapping"/>
            </w:r>
            <w:r>
              <w:rPr>
                <w:rFonts w:hint="eastAsia" w:ascii="宋体" w:hAnsi="宋体" w:cs="宋体"/>
                <w:sz w:val="24"/>
                <w:szCs w:val="24"/>
              </w:rPr>
              <w:t>（须提供以下人员近</w:t>
            </w:r>
            <w:r>
              <w:rPr>
                <w:rFonts w:hint="eastAsia" w:ascii="宋体" w:hAnsi="宋体" w:cs="宋体"/>
                <w:sz w:val="24"/>
                <w:szCs w:val="24"/>
                <w:lang w:val="en-US" w:eastAsia="zh-CN"/>
              </w:rPr>
              <w:t>3</w:t>
            </w:r>
            <w:r>
              <w:rPr>
                <w:rFonts w:hint="eastAsia" w:ascii="宋体" w:hAnsi="宋体" w:cs="宋体"/>
                <w:sz w:val="24"/>
                <w:szCs w:val="24"/>
              </w:rPr>
              <w:t>个月社保缴纳证明及相关证件，未提供社保证明的不得分。）</w:t>
            </w:r>
          </w:p>
        </w:tc>
        <w:tc>
          <w:tcPr>
            <w:tcW w:w="1134" w:type="dxa"/>
            <w:vAlign w:val="center"/>
          </w:tcPr>
          <w:p>
            <w:pPr>
              <w:pStyle w:val="137"/>
              <w:spacing w:line="360" w:lineRule="auto"/>
              <w:rPr>
                <w:rFonts w:hint="eastAsia" w:ascii="宋体" w:hAnsi="宋体" w:cs="宋体"/>
                <w:kern w:val="2"/>
                <w:sz w:val="24"/>
                <w:szCs w:val="24"/>
              </w:rPr>
            </w:pPr>
            <w:r>
              <w:rPr>
                <w:rFonts w:hint="eastAsia" w:ascii="宋体" w:hAnsi="宋体" w:cs="宋体"/>
                <w:kern w:val="0"/>
                <w:sz w:val="24"/>
                <w:szCs w:val="24"/>
              </w:rPr>
              <w:t>0-</w:t>
            </w:r>
            <w:r>
              <w:rPr>
                <w:rFonts w:hint="eastAsia" w:ascii="宋体" w:hAnsi="宋体" w:cs="宋体"/>
                <w:kern w:val="0"/>
                <w:sz w:val="24"/>
                <w:szCs w:val="24"/>
                <w:lang w:val="en-US" w:eastAsia="zh-CN"/>
              </w:rPr>
              <w:t>2</w:t>
            </w:r>
            <w:r>
              <w:rPr>
                <w:rFonts w:hint="eastAsia" w:ascii="宋体" w:hAnsi="宋体" w:cs="宋体"/>
                <w:kern w:val="0"/>
                <w:sz w:val="24"/>
                <w:szCs w:val="24"/>
              </w:rPr>
              <w:t>分</w:t>
            </w: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75" w:type="dxa"/>
            <w:vMerge w:val="continue"/>
            <w:vAlign w:val="center"/>
          </w:tcPr>
          <w:p>
            <w:pPr>
              <w:spacing w:line="360" w:lineRule="auto"/>
              <w:ind w:firstLine="0"/>
              <w:rPr>
                <w:rFonts w:hint="eastAsia" w:ascii="宋体" w:hAnsi="宋体" w:cs="宋体"/>
                <w:sz w:val="24"/>
              </w:rPr>
            </w:pPr>
          </w:p>
        </w:tc>
        <w:tc>
          <w:tcPr>
            <w:tcW w:w="1168" w:type="dxa"/>
            <w:vMerge w:val="continue"/>
            <w:vAlign w:val="center"/>
          </w:tcPr>
          <w:p>
            <w:pPr>
              <w:spacing w:line="360" w:lineRule="auto"/>
              <w:ind w:firstLine="0"/>
              <w:rPr>
                <w:rFonts w:hint="eastAsia" w:ascii="宋体" w:hAnsi="宋体" w:cs="宋体"/>
                <w:snapToGrid/>
                <w:kern w:val="2"/>
                <w:sz w:val="24"/>
              </w:rPr>
            </w:pPr>
          </w:p>
        </w:tc>
        <w:tc>
          <w:tcPr>
            <w:tcW w:w="5246" w:type="dxa"/>
            <w:vAlign w:val="center"/>
          </w:tcPr>
          <w:p>
            <w:pPr>
              <w:spacing w:line="360" w:lineRule="auto"/>
              <w:ind w:firstLine="0"/>
              <w:rPr>
                <w:rFonts w:hint="eastAsia" w:ascii="宋体" w:hAnsi="宋体" w:cs="宋体"/>
                <w:sz w:val="24"/>
                <w:szCs w:val="24"/>
              </w:rPr>
            </w:pPr>
            <w:r>
              <w:rPr>
                <w:rFonts w:hint="eastAsia" w:ascii="宋体" w:hAnsi="宋体" w:cs="宋体"/>
                <w:sz w:val="24"/>
                <w:szCs w:val="24"/>
              </w:rPr>
              <w:t>根据投入本项目团队人员的结构、年龄、职称，学历等情况：（须提供以下人员最近不少于一个月的社保缴纳证明及相关证件，未提供社保证明（退休返聘人员除外）的不得分。）</w:t>
            </w:r>
          </w:p>
          <w:p>
            <w:pPr>
              <w:spacing w:line="360" w:lineRule="auto"/>
              <w:ind w:firstLine="0"/>
              <w:rPr>
                <w:rFonts w:hint="eastAsia" w:ascii="宋体" w:hAnsi="宋体" w:cs="宋体"/>
                <w:sz w:val="24"/>
                <w:szCs w:val="24"/>
              </w:rPr>
            </w:pPr>
            <w:r>
              <w:rPr>
                <w:rFonts w:hint="eastAsia" w:ascii="宋体" w:hAnsi="宋体" w:cs="宋体"/>
                <w:sz w:val="24"/>
                <w:szCs w:val="24"/>
              </w:rPr>
              <w:t>其中：</w:t>
            </w:r>
          </w:p>
          <w:p>
            <w:pPr>
              <w:spacing w:line="360" w:lineRule="auto"/>
              <w:ind w:firstLine="0"/>
              <w:rPr>
                <w:rFonts w:hint="eastAsia" w:ascii="宋体" w:hAnsi="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转运人员配备情况（包括但不限于年龄、人数、工作年限、资质等）0-2分</w:t>
            </w:r>
          </w:p>
          <w:p>
            <w:pPr>
              <w:spacing w:line="360" w:lineRule="auto"/>
              <w:ind w:firstLine="0"/>
              <w:rPr>
                <w:rFonts w:hint="default" w:ascii="宋体" w:hAnsi="宋体" w:cs="宋体"/>
                <w:sz w:val="24"/>
                <w:szCs w:val="24"/>
                <w:lang w:val="en-US" w:eastAsia="zh-CN"/>
              </w:rPr>
            </w:pPr>
            <w:r>
              <w:rPr>
                <w:rFonts w:hint="eastAsia" w:ascii="宋体" w:hAnsi="宋体" w:cs="宋体"/>
                <w:sz w:val="24"/>
                <w:szCs w:val="24"/>
                <w:lang w:val="en-US" w:eastAsia="zh-CN"/>
              </w:rPr>
              <w:t>2、保洁人员配备情况（包括但不限于年龄、人数、工作年限、资质等）0-5分：配备满足采购需求得5分，基本满足得3分，有明显欠缺得1分，未描述不得分。</w:t>
            </w:r>
          </w:p>
          <w:p>
            <w:pPr>
              <w:pStyle w:val="2"/>
              <w:ind w:firstLine="0"/>
              <w:rPr>
                <w:rFonts w:hint="eastAsia" w:hAnsi="宋体" w:cs="宋体"/>
                <w:sz w:val="24"/>
                <w:szCs w:val="24"/>
                <w:highlight w:val="none"/>
                <w:lang w:val="en-US" w:eastAsia="zh-CN"/>
              </w:rPr>
            </w:pPr>
            <w:r>
              <w:rPr>
                <w:rFonts w:hint="eastAsia"/>
                <w:lang w:val="en-US" w:eastAsia="zh-CN"/>
              </w:rPr>
              <w:t>3、维修人员配备情况（</w:t>
            </w:r>
            <w:r>
              <w:rPr>
                <w:rFonts w:hint="eastAsia" w:ascii="宋体" w:hAnsi="宋体" w:cs="宋体"/>
                <w:sz w:val="24"/>
                <w:szCs w:val="24"/>
                <w:lang w:val="en-US" w:eastAsia="zh-CN"/>
              </w:rPr>
              <w:t>包括但不限于年龄、人数、</w:t>
            </w:r>
            <w:r>
              <w:rPr>
                <w:rFonts w:hint="eastAsia" w:ascii="宋体" w:hAnsi="宋体" w:cs="宋体"/>
                <w:sz w:val="24"/>
                <w:szCs w:val="24"/>
                <w:highlight w:val="none"/>
                <w:lang w:val="en-US" w:eastAsia="zh-CN"/>
              </w:rPr>
              <w:t>工作年限、</w:t>
            </w:r>
            <w:r>
              <w:rPr>
                <w:rFonts w:hint="eastAsia" w:hAnsi="宋体" w:cs="宋体"/>
                <w:sz w:val="24"/>
                <w:szCs w:val="24"/>
                <w:highlight w:val="none"/>
                <w:lang w:val="en-US" w:eastAsia="zh-CN"/>
              </w:rPr>
              <w:t>专业</w:t>
            </w:r>
            <w:r>
              <w:rPr>
                <w:rFonts w:hint="eastAsia" w:ascii="宋体" w:hAnsi="宋体" w:cs="宋体"/>
                <w:sz w:val="24"/>
                <w:szCs w:val="24"/>
                <w:highlight w:val="none"/>
                <w:lang w:val="en-US" w:eastAsia="zh-CN"/>
              </w:rPr>
              <w:t>资质等</w:t>
            </w:r>
            <w:r>
              <w:rPr>
                <w:rFonts w:hint="eastAsia"/>
                <w:highlight w:val="none"/>
                <w:lang w:val="en-US" w:eastAsia="zh-CN"/>
              </w:rPr>
              <w:t>）</w:t>
            </w:r>
            <w:r>
              <w:rPr>
                <w:rFonts w:hint="eastAsia" w:ascii="宋体" w:hAnsi="宋体" w:cs="宋体"/>
                <w:sz w:val="24"/>
                <w:szCs w:val="24"/>
                <w:highlight w:val="none"/>
                <w:lang w:val="en-US" w:eastAsia="zh-CN"/>
              </w:rPr>
              <w:t>0-2分</w:t>
            </w:r>
            <w:r>
              <w:rPr>
                <w:rFonts w:hint="eastAsia" w:hAnsi="宋体" w:cs="宋体"/>
                <w:sz w:val="24"/>
                <w:szCs w:val="24"/>
                <w:highlight w:val="none"/>
                <w:lang w:val="en-US" w:eastAsia="zh-CN"/>
              </w:rPr>
              <w:t>；</w:t>
            </w:r>
          </w:p>
          <w:p>
            <w:pPr>
              <w:pStyle w:val="2"/>
              <w:ind w:firstLine="0"/>
              <w:rPr>
                <w:rFonts w:hint="default"/>
                <w:highlight w:val="none"/>
                <w:lang w:val="en-US" w:eastAsia="zh-CN"/>
              </w:rPr>
            </w:pPr>
            <w:r>
              <w:rPr>
                <w:rFonts w:hint="eastAsia" w:hAnsi="宋体" w:cs="宋体"/>
                <w:sz w:val="24"/>
                <w:szCs w:val="24"/>
                <w:highlight w:val="none"/>
                <w:lang w:val="en-US" w:eastAsia="zh-CN"/>
              </w:rPr>
              <w:t>4、维修人员电工作业证（高压或低压）满足需求情况（5本），满足得2分，不满足不得分，提供证明材料。</w:t>
            </w:r>
          </w:p>
          <w:p>
            <w:pPr>
              <w:spacing w:line="360" w:lineRule="auto"/>
              <w:ind w:firstLine="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5、护理员配备情况0-2分：</w:t>
            </w:r>
          </w:p>
          <w:p>
            <w:pPr>
              <w:spacing w:line="360" w:lineRule="auto"/>
              <w:ind w:firstLine="480" w:firstLineChars="200"/>
              <w:rPr>
                <w:rFonts w:hint="default" w:ascii="宋体" w:hAnsi="宋体" w:eastAsia="宋体" w:cs="宋体"/>
                <w:sz w:val="24"/>
                <w:lang w:val="en-US" w:eastAsia="zh-CN"/>
              </w:rPr>
            </w:pPr>
            <w:r>
              <w:rPr>
                <w:rFonts w:hint="eastAsia" w:ascii="宋体" w:hAnsi="宋体" w:cs="宋体"/>
                <w:sz w:val="24"/>
                <w:szCs w:val="24"/>
                <w:highlight w:val="none"/>
                <w:lang w:val="en-US" w:eastAsia="zh-CN"/>
              </w:rPr>
              <w:t>护理员具有县市级以上护理学会颁发的护理员上岗证的，每提供一个得0.5分，最高得2分。</w:t>
            </w:r>
          </w:p>
        </w:tc>
        <w:tc>
          <w:tcPr>
            <w:tcW w:w="1134" w:type="dxa"/>
            <w:vAlign w:val="center"/>
          </w:tcPr>
          <w:p>
            <w:pPr>
              <w:spacing w:line="360" w:lineRule="auto"/>
              <w:ind w:firstLine="0"/>
              <w:rPr>
                <w:rFonts w:hint="eastAsia" w:ascii="宋体" w:hAnsi="宋体" w:cs="宋体"/>
                <w:kern w:val="2"/>
                <w:sz w:val="24"/>
                <w:szCs w:val="24"/>
              </w:rPr>
            </w:pPr>
            <w:r>
              <w:rPr>
                <w:rFonts w:hint="eastAsia" w:ascii="宋体" w:hAnsi="宋体" w:cs="宋体"/>
                <w:kern w:val="2"/>
                <w:sz w:val="24"/>
                <w:szCs w:val="24"/>
              </w:rPr>
              <w:t>0-</w:t>
            </w:r>
            <w:r>
              <w:rPr>
                <w:rFonts w:hint="eastAsia" w:ascii="宋体" w:hAnsi="宋体" w:cs="宋体"/>
                <w:kern w:val="2"/>
                <w:sz w:val="24"/>
                <w:szCs w:val="24"/>
                <w:lang w:val="en-US" w:eastAsia="zh-CN"/>
              </w:rPr>
              <w:t>13</w:t>
            </w:r>
            <w:r>
              <w:rPr>
                <w:rFonts w:hint="eastAsia" w:ascii="宋体" w:hAnsi="宋体" w:cs="宋体"/>
                <w:kern w:val="2"/>
                <w:sz w:val="24"/>
                <w:szCs w:val="24"/>
              </w:rPr>
              <w:t>分</w:t>
            </w: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lang w:val="en-US" w:eastAsia="zh-CN"/>
              </w:rPr>
              <w:t>1.2.3</w:t>
            </w:r>
            <w:r>
              <w:rPr>
                <w:rFonts w:hint="eastAsia" w:ascii="宋体" w:hAnsi="宋体" w:cs="宋体"/>
                <w:sz w:val="24"/>
              </w:rPr>
              <w:t>主观分</w:t>
            </w:r>
            <w:r>
              <w:rPr>
                <w:rFonts w:hint="eastAsia" w:ascii="宋体" w:hAnsi="宋体" w:cs="宋体"/>
                <w:sz w:val="24"/>
                <w:lang w:eastAsia="zh-CN"/>
              </w:rPr>
              <w:t>，</w:t>
            </w:r>
            <w:r>
              <w:rPr>
                <w:rFonts w:hint="eastAsia" w:ascii="宋体" w:hAnsi="宋体" w:cs="宋体"/>
                <w:sz w:val="24"/>
                <w:lang w:val="en-US" w:eastAsia="zh-CN"/>
              </w:rPr>
              <w:t>4.5客观分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spacing w:line="360" w:lineRule="auto"/>
              <w:ind w:firstLine="0"/>
              <w:rPr>
                <w:rFonts w:hint="eastAsia" w:ascii="宋体" w:hAnsi="宋体" w:eastAsia="宋体" w:cs="宋体"/>
                <w:sz w:val="24"/>
                <w:lang w:eastAsia="zh-CN"/>
              </w:rPr>
            </w:pPr>
            <w:r>
              <w:rPr>
                <w:rFonts w:hint="eastAsia" w:ascii="宋体" w:hAnsi="宋体" w:cs="宋体"/>
                <w:sz w:val="24"/>
                <w:lang w:val="en-US" w:eastAsia="zh-CN"/>
              </w:rPr>
              <w:t>4</w:t>
            </w:r>
          </w:p>
        </w:tc>
        <w:tc>
          <w:tcPr>
            <w:tcW w:w="1168" w:type="dxa"/>
            <w:vAlign w:val="center"/>
          </w:tcPr>
          <w:p>
            <w:pPr>
              <w:spacing w:line="360" w:lineRule="auto"/>
              <w:ind w:firstLine="0"/>
              <w:rPr>
                <w:rFonts w:hint="eastAsia" w:ascii="宋体" w:hAnsi="宋体" w:cs="宋体"/>
                <w:snapToGrid/>
                <w:kern w:val="2"/>
                <w:sz w:val="24"/>
              </w:rPr>
            </w:pPr>
            <w:r>
              <w:rPr>
                <w:rFonts w:hint="eastAsia" w:ascii="宋体" w:hAnsi="宋体" w:cs="宋体"/>
                <w:snapToGrid/>
                <w:kern w:val="2"/>
                <w:sz w:val="24"/>
              </w:rPr>
              <w:t>人员稳定</w:t>
            </w:r>
          </w:p>
        </w:tc>
        <w:tc>
          <w:tcPr>
            <w:tcW w:w="5246" w:type="dxa"/>
            <w:vAlign w:val="center"/>
          </w:tcPr>
          <w:p>
            <w:pPr>
              <w:spacing w:line="360" w:lineRule="auto"/>
              <w:ind w:firstLine="480" w:firstLineChars="200"/>
              <w:rPr>
                <w:rFonts w:hint="eastAsia" w:ascii="宋体" w:hAnsi="宋体" w:eastAsia="宋体" w:cs="宋体"/>
                <w:sz w:val="24"/>
                <w:lang w:val="en-US" w:eastAsia="zh-CN"/>
              </w:rPr>
            </w:pPr>
            <w:r>
              <w:rPr>
                <w:rFonts w:hint="eastAsia" w:ascii="宋体" w:hAnsi="宋体" w:cs="宋体"/>
                <w:sz w:val="24"/>
              </w:rPr>
              <w:t>稳定员工队伍的措施</w:t>
            </w:r>
            <w:r>
              <w:rPr>
                <w:rFonts w:hint="eastAsia" w:ascii="宋体" w:hAnsi="宋体" w:cs="宋体"/>
                <w:sz w:val="24"/>
                <w:lang w:val="en-US" w:eastAsia="zh-CN"/>
              </w:rPr>
              <w:t>方案</w:t>
            </w: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rPr>
              <w:t>0-</w:t>
            </w:r>
            <w:r>
              <w:rPr>
                <w:rFonts w:hint="eastAsia" w:ascii="宋体" w:hAnsi="宋体" w:cs="宋体"/>
                <w:sz w:val="24"/>
                <w:lang w:val="en-US" w:eastAsia="zh-CN"/>
              </w:rPr>
              <w:t>2</w:t>
            </w:r>
            <w:r>
              <w:rPr>
                <w:rFonts w:hint="eastAsia" w:ascii="宋体" w:hAnsi="宋体" w:cs="宋体"/>
                <w:sz w:val="24"/>
              </w:rPr>
              <w:t>分</w:t>
            </w: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spacing w:line="360" w:lineRule="auto"/>
              <w:ind w:firstLine="0"/>
              <w:rPr>
                <w:rFonts w:hint="eastAsia" w:ascii="宋体" w:hAnsi="宋体" w:eastAsia="宋体" w:cs="宋体"/>
                <w:sz w:val="24"/>
                <w:lang w:eastAsia="zh-CN"/>
              </w:rPr>
            </w:pPr>
            <w:r>
              <w:rPr>
                <w:rFonts w:hint="eastAsia" w:ascii="宋体" w:hAnsi="宋体" w:cs="宋体"/>
                <w:sz w:val="24"/>
                <w:lang w:val="en-US" w:eastAsia="zh-CN"/>
              </w:rPr>
              <w:t>5</w:t>
            </w:r>
          </w:p>
        </w:tc>
        <w:tc>
          <w:tcPr>
            <w:tcW w:w="1168" w:type="dxa"/>
            <w:vAlign w:val="center"/>
          </w:tcPr>
          <w:p>
            <w:pPr>
              <w:spacing w:line="360" w:lineRule="auto"/>
              <w:ind w:firstLine="0"/>
              <w:rPr>
                <w:rFonts w:hint="eastAsia" w:ascii="宋体" w:hAnsi="宋体" w:cs="宋体"/>
                <w:sz w:val="24"/>
                <w:szCs w:val="24"/>
              </w:rPr>
            </w:pPr>
            <w:r>
              <w:rPr>
                <w:rFonts w:hint="eastAsia" w:ascii="宋体" w:hAnsi="宋体" w:cs="宋体"/>
                <w:sz w:val="24"/>
                <w:szCs w:val="24"/>
              </w:rPr>
              <w:t>交接过渡方案</w:t>
            </w:r>
          </w:p>
        </w:tc>
        <w:tc>
          <w:tcPr>
            <w:tcW w:w="5246" w:type="dxa"/>
            <w:vAlign w:val="center"/>
          </w:tcPr>
          <w:p>
            <w:pPr>
              <w:spacing w:line="360" w:lineRule="auto"/>
              <w:ind w:firstLine="480" w:firstLineChars="200"/>
              <w:rPr>
                <w:rFonts w:hint="eastAsia" w:ascii="宋体" w:hAnsi="宋体" w:cs="宋体"/>
                <w:sz w:val="24"/>
                <w:szCs w:val="24"/>
              </w:rPr>
            </w:pPr>
            <w:r>
              <w:rPr>
                <w:rFonts w:hint="eastAsia" w:ascii="宋体" w:hAnsi="宋体" w:cs="宋体"/>
                <w:sz w:val="24"/>
                <w:szCs w:val="24"/>
              </w:rPr>
              <w:t>针对本项目提出的各项工作交接过渡方案</w:t>
            </w: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rPr>
              <w:t>0-</w:t>
            </w:r>
            <w:r>
              <w:rPr>
                <w:rFonts w:hint="eastAsia" w:ascii="宋体" w:hAnsi="宋体" w:cs="宋体"/>
                <w:sz w:val="24"/>
                <w:lang w:val="en-US" w:eastAsia="zh-CN"/>
              </w:rPr>
              <w:t>2</w:t>
            </w:r>
            <w:r>
              <w:rPr>
                <w:rFonts w:hint="eastAsia" w:ascii="宋体" w:hAnsi="宋体" w:cs="宋体"/>
                <w:sz w:val="24"/>
              </w:rPr>
              <w:t>分</w:t>
            </w: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75" w:type="dxa"/>
            <w:vAlign w:val="center"/>
          </w:tcPr>
          <w:p>
            <w:pPr>
              <w:spacing w:line="360" w:lineRule="auto"/>
              <w:ind w:firstLine="0"/>
              <w:rPr>
                <w:rFonts w:hint="eastAsia" w:ascii="宋体" w:hAnsi="宋体" w:eastAsia="宋体" w:cs="宋体"/>
                <w:sz w:val="24"/>
                <w:highlight w:val="none"/>
                <w:lang w:eastAsia="zh-CN"/>
              </w:rPr>
            </w:pPr>
            <w:r>
              <w:rPr>
                <w:rFonts w:hint="eastAsia" w:ascii="宋体" w:hAnsi="宋体" w:cs="宋体"/>
                <w:sz w:val="24"/>
                <w:highlight w:val="none"/>
                <w:lang w:val="en-US" w:eastAsia="zh-CN"/>
              </w:rPr>
              <w:t>6</w:t>
            </w:r>
          </w:p>
        </w:tc>
        <w:tc>
          <w:tcPr>
            <w:tcW w:w="1168" w:type="dxa"/>
            <w:vAlign w:val="center"/>
          </w:tcPr>
          <w:p>
            <w:pPr>
              <w:spacing w:line="360" w:lineRule="auto"/>
              <w:ind w:firstLine="0"/>
              <w:rPr>
                <w:rFonts w:hint="eastAsia" w:ascii="宋体" w:hAnsi="宋体" w:cs="宋体"/>
                <w:snapToGrid/>
                <w:kern w:val="2"/>
                <w:sz w:val="24"/>
                <w:highlight w:val="none"/>
              </w:rPr>
            </w:pPr>
            <w:r>
              <w:rPr>
                <w:rFonts w:hint="eastAsia" w:ascii="宋体" w:hAnsi="宋体" w:cs="宋体"/>
                <w:snapToGrid/>
                <w:kern w:val="2"/>
                <w:sz w:val="24"/>
                <w:highlight w:val="none"/>
              </w:rPr>
              <w:t>培训方案</w:t>
            </w:r>
          </w:p>
        </w:tc>
        <w:tc>
          <w:tcPr>
            <w:tcW w:w="5246" w:type="dxa"/>
            <w:vAlign w:val="center"/>
          </w:tcPr>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rPr>
              <w:t>培训方案</w:t>
            </w:r>
            <w:r>
              <w:rPr>
                <w:rFonts w:hint="eastAsia" w:ascii="宋体" w:hAnsi="宋体" w:cs="宋体"/>
                <w:sz w:val="24"/>
                <w:szCs w:val="24"/>
                <w:highlight w:val="none"/>
                <w:lang w:eastAsia="zh-CN"/>
              </w:rPr>
              <w:t>（</w:t>
            </w:r>
            <w:r>
              <w:rPr>
                <w:rFonts w:hint="eastAsia" w:ascii="宋体" w:hAnsi="宋体" w:cs="宋体"/>
                <w:sz w:val="24"/>
                <w:szCs w:val="24"/>
                <w:highlight w:val="none"/>
              </w:rPr>
              <w:t>有详细年度培训计划</w:t>
            </w:r>
            <w:r>
              <w:rPr>
                <w:rFonts w:hint="eastAsia" w:ascii="宋体" w:hAnsi="宋体" w:cs="宋体"/>
                <w:sz w:val="24"/>
                <w:szCs w:val="24"/>
                <w:highlight w:val="none"/>
                <w:lang w:val="en-US" w:eastAsia="zh-CN"/>
              </w:rPr>
              <w:t>等</w:t>
            </w:r>
            <w:r>
              <w:rPr>
                <w:rFonts w:hint="eastAsia" w:ascii="宋体" w:hAnsi="宋体" w:cs="宋体"/>
                <w:sz w:val="24"/>
                <w:szCs w:val="24"/>
                <w:highlight w:val="none"/>
                <w:lang w:eastAsia="zh-CN"/>
              </w:rPr>
              <w:t>）：</w:t>
            </w:r>
          </w:p>
          <w:p>
            <w:pPr>
              <w:numPr>
                <w:ilvl w:val="0"/>
                <w:numId w:val="6"/>
              </w:numPr>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rPr>
              <w:t>岗前培训</w:t>
            </w:r>
            <w:r>
              <w:rPr>
                <w:rFonts w:hint="eastAsia" w:ascii="宋体" w:hAnsi="宋体" w:cs="宋体"/>
                <w:sz w:val="24"/>
                <w:szCs w:val="24"/>
                <w:highlight w:val="none"/>
                <w:lang w:val="en-US" w:eastAsia="zh-CN"/>
              </w:rPr>
              <w:t>0-3分</w:t>
            </w:r>
          </w:p>
          <w:p>
            <w:pPr>
              <w:numPr>
                <w:ilvl w:val="0"/>
                <w:numId w:val="6"/>
              </w:num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在岗培训</w:t>
            </w:r>
            <w:r>
              <w:rPr>
                <w:rFonts w:hint="eastAsia" w:ascii="宋体" w:hAnsi="宋体" w:cs="宋体"/>
                <w:sz w:val="24"/>
                <w:szCs w:val="24"/>
                <w:highlight w:val="none"/>
                <w:lang w:val="en-US" w:eastAsia="zh-CN"/>
              </w:rPr>
              <w:t>0-2分</w:t>
            </w:r>
          </w:p>
        </w:tc>
        <w:tc>
          <w:tcPr>
            <w:tcW w:w="1134" w:type="dxa"/>
            <w:vAlign w:val="center"/>
          </w:tcPr>
          <w:p>
            <w:pPr>
              <w:spacing w:line="360" w:lineRule="auto"/>
              <w:ind w:firstLine="0"/>
              <w:rPr>
                <w:rFonts w:hint="eastAsia" w:ascii="宋体" w:hAnsi="宋体" w:cs="宋体"/>
                <w:sz w:val="24"/>
                <w:highlight w:val="none"/>
              </w:rPr>
            </w:pPr>
            <w:r>
              <w:rPr>
                <w:rFonts w:hint="eastAsia" w:ascii="宋体" w:hAnsi="宋体" w:cs="宋体"/>
                <w:sz w:val="24"/>
                <w:highlight w:val="none"/>
              </w:rPr>
              <w:t>0-</w:t>
            </w:r>
            <w:r>
              <w:rPr>
                <w:rFonts w:hint="eastAsia" w:ascii="宋体" w:hAnsi="宋体" w:cs="宋体"/>
                <w:sz w:val="24"/>
                <w:highlight w:val="none"/>
                <w:lang w:val="en-US" w:eastAsia="zh-CN"/>
              </w:rPr>
              <w:t>5</w:t>
            </w:r>
            <w:r>
              <w:rPr>
                <w:rFonts w:hint="eastAsia" w:ascii="宋体" w:hAnsi="宋体" w:cs="宋体"/>
                <w:sz w:val="24"/>
                <w:highlight w:val="none"/>
              </w:rPr>
              <w:t>分</w:t>
            </w:r>
          </w:p>
        </w:tc>
        <w:tc>
          <w:tcPr>
            <w:tcW w:w="1134" w:type="dxa"/>
            <w:vAlign w:val="center"/>
          </w:tcPr>
          <w:p>
            <w:pPr>
              <w:spacing w:line="360" w:lineRule="auto"/>
              <w:ind w:firstLine="0"/>
              <w:rPr>
                <w:rFonts w:hint="eastAsia" w:ascii="宋体" w:hAnsi="宋体" w:cs="宋体"/>
                <w:sz w:val="24"/>
                <w:highlight w:val="none"/>
              </w:rPr>
            </w:pPr>
            <w:r>
              <w:rPr>
                <w:rFonts w:hint="eastAsia" w:ascii="宋体" w:hAnsi="宋体" w:cs="宋体"/>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75" w:type="dxa"/>
            <w:vAlign w:val="center"/>
          </w:tcPr>
          <w:p>
            <w:pPr>
              <w:spacing w:line="360" w:lineRule="auto"/>
              <w:ind w:firstLine="0"/>
              <w:rPr>
                <w:rFonts w:hint="eastAsia" w:ascii="宋体" w:hAnsi="宋体" w:eastAsia="宋体" w:cs="宋体"/>
                <w:sz w:val="24"/>
                <w:lang w:eastAsia="zh-CN"/>
              </w:rPr>
            </w:pPr>
            <w:r>
              <w:rPr>
                <w:rFonts w:hint="eastAsia" w:ascii="宋体" w:hAnsi="宋体" w:cs="宋体"/>
                <w:sz w:val="24"/>
                <w:lang w:val="en-US" w:eastAsia="zh-CN"/>
              </w:rPr>
              <w:t>7</w:t>
            </w:r>
          </w:p>
        </w:tc>
        <w:tc>
          <w:tcPr>
            <w:tcW w:w="1168" w:type="dxa"/>
            <w:vAlign w:val="center"/>
          </w:tcPr>
          <w:p>
            <w:pPr>
              <w:spacing w:line="360" w:lineRule="auto"/>
              <w:ind w:firstLine="0"/>
              <w:rPr>
                <w:rFonts w:hint="eastAsia" w:ascii="宋体" w:hAnsi="宋体" w:cs="宋体"/>
                <w:snapToGrid/>
                <w:kern w:val="2"/>
                <w:sz w:val="24"/>
              </w:rPr>
            </w:pPr>
            <w:r>
              <w:rPr>
                <w:rFonts w:hint="eastAsia" w:ascii="宋体" w:hAnsi="宋体" w:cs="宋体"/>
                <w:snapToGrid/>
                <w:kern w:val="2"/>
                <w:sz w:val="24"/>
              </w:rPr>
              <w:t>应急管理方案</w:t>
            </w:r>
          </w:p>
        </w:tc>
        <w:tc>
          <w:tcPr>
            <w:tcW w:w="5246" w:type="dxa"/>
            <w:vAlign w:val="center"/>
          </w:tcPr>
          <w:p>
            <w:pPr>
              <w:spacing w:line="360" w:lineRule="auto"/>
              <w:ind w:firstLine="0"/>
              <w:rPr>
                <w:rFonts w:hint="eastAsia" w:ascii="宋体" w:hAnsi="宋体" w:cs="宋体"/>
                <w:sz w:val="24"/>
                <w:szCs w:val="24"/>
              </w:rPr>
            </w:pPr>
            <w:r>
              <w:rPr>
                <w:rFonts w:hint="eastAsia" w:ascii="宋体" w:hAnsi="宋体" w:cs="宋体"/>
                <w:sz w:val="24"/>
                <w:szCs w:val="24"/>
              </w:rPr>
              <w:t>针对本项目的应急预案（应急预案、自然灾害、</w:t>
            </w:r>
            <w:r>
              <w:rPr>
                <w:rFonts w:hint="eastAsia" w:ascii="宋体" w:hAnsi="宋体" w:cs="宋体"/>
                <w:sz w:val="24"/>
                <w:szCs w:val="24"/>
                <w:lang w:eastAsia="zh-CN"/>
              </w:rPr>
              <w:t>疫情防控、</w:t>
            </w:r>
            <w:r>
              <w:rPr>
                <w:rFonts w:hint="eastAsia" w:ascii="宋体" w:hAnsi="宋体" w:cs="宋体"/>
                <w:sz w:val="24"/>
                <w:szCs w:val="24"/>
              </w:rPr>
              <w:t>突发事件处置等）</w:t>
            </w:r>
          </w:p>
        </w:tc>
        <w:tc>
          <w:tcPr>
            <w:tcW w:w="1134" w:type="dxa"/>
            <w:vAlign w:val="center"/>
          </w:tcPr>
          <w:p>
            <w:pPr>
              <w:spacing w:line="360" w:lineRule="auto"/>
              <w:ind w:firstLine="0"/>
              <w:rPr>
                <w:rFonts w:hint="eastAsia" w:ascii="宋体" w:hAnsi="宋体" w:cs="宋体"/>
                <w:kern w:val="2"/>
                <w:sz w:val="24"/>
                <w:szCs w:val="24"/>
              </w:rPr>
            </w:pPr>
            <w:r>
              <w:rPr>
                <w:rFonts w:hint="eastAsia" w:ascii="宋体" w:hAnsi="宋体" w:cs="宋体"/>
                <w:kern w:val="2"/>
                <w:sz w:val="24"/>
                <w:szCs w:val="24"/>
              </w:rPr>
              <w:t>0-</w:t>
            </w:r>
            <w:r>
              <w:rPr>
                <w:rFonts w:hint="eastAsia" w:ascii="宋体" w:hAnsi="宋体" w:cs="宋体"/>
                <w:kern w:val="2"/>
                <w:sz w:val="24"/>
                <w:szCs w:val="24"/>
                <w:lang w:val="en-US" w:eastAsia="zh-CN"/>
              </w:rPr>
              <w:t>2</w:t>
            </w:r>
            <w:r>
              <w:rPr>
                <w:rFonts w:hint="eastAsia" w:ascii="宋体" w:hAnsi="宋体" w:cs="宋体"/>
                <w:kern w:val="2"/>
                <w:sz w:val="24"/>
                <w:szCs w:val="24"/>
              </w:rPr>
              <w:t>分</w:t>
            </w:r>
          </w:p>
        </w:tc>
        <w:tc>
          <w:tcPr>
            <w:tcW w:w="1134" w:type="dxa"/>
            <w:vAlign w:val="center"/>
          </w:tcPr>
          <w:p>
            <w:pPr>
              <w:spacing w:line="360" w:lineRule="auto"/>
              <w:ind w:firstLine="0"/>
              <w:rPr>
                <w:rFonts w:hint="eastAsia" w:ascii="宋体" w:hAnsi="宋体" w:cs="宋体"/>
                <w:snapToGrid/>
                <w:kern w:val="2"/>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75" w:type="dxa"/>
            <w:vAlign w:val="center"/>
          </w:tcPr>
          <w:p>
            <w:pPr>
              <w:spacing w:line="360" w:lineRule="auto"/>
              <w:ind w:firstLine="0"/>
              <w:rPr>
                <w:rFonts w:hint="eastAsia" w:ascii="宋体" w:hAnsi="宋体" w:eastAsia="宋体" w:cs="宋体"/>
                <w:sz w:val="24"/>
                <w:lang w:eastAsia="zh-CN"/>
              </w:rPr>
            </w:pPr>
            <w:r>
              <w:rPr>
                <w:rFonts w:hint="eastAsia" w:ascii="宋体" w:hAnsi="宋体" w:cs="宋体"/>
                <w:sz w:val="24"/>
                <w:lang w:val="en-US" w:eastAsia="zh-CN"/>
              </w:rPr>
              <w:t>8</w:t>
            </w:r>
          </w:p>
        </w:tc>
        <w:tc>
          <w:tcPr>
            <w:tcW w:w="1168" w:type="dxa"/>
            <w:vAlign w:val="center"/>
          </w:tcPr>
          <w:p>
            <w:pPr>
              <w:spacing w:line="360" w:lineRule="auto"/>
              <w:ind w:firstLine="0"/>
              <w:rPr>
                <w:rFonts w:hint="eastAsia" w:ascii="宋体" w:hAnsi="宋体" w:cs="宋体"/>
                <w:sz w:val="24"/>
                <w:szCs w:val="24"/>
              </w:rPr>
            </w:pPr>
            <w:r>
              <w:rPr>
                <w:rFonts w:hint="eastAsia" w:ascii="宋体" w:hAnsi="宋体" w:cs="宋体"/>
                <w:sz w:val="24"/>
                <w:szCs w:val="24"/>
              </w:rPr>
              <w:t>企业抗风险能力</w:t>
            </w:r>
          </w:p>
          <w:p>
            <w:pPr>
              <w:spacing w:line="360" w:lineRule="auto"/>
              <w:ind w:firstLine="0"/>
              <w:rPr>
                <w:rFonts w:hint="eastAsia" w:ascii="宋体" w:hAnsi="宋体" w:cs="宋体"/>
                <w:sz w:val="24"/>
                <w:szCs w:val="24"/>
              </w:rPr>
            </w:pPr>
          </w:p>
        </w:tc>
        <w:tc>
          <w:tcPr>
            <w:tcW w:w="5246" w:type="dxa"/>
            <w:vAlign w:val="center"/>
          </w:tcPr>
          <w:p>
            <w:pPr>
              <w:pStyle w:val="137"/>
              <w:spacing w:line="360" w:lineRule="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承诺为员工购买雇主责任险或团体意外险，提供详细承诺内容</w:t>
            </w:r>
            <w:r>
              <w:rPr>
                <w:rFonts w:hint="eastAsia" w:ascii="宋体" w:hAnsi="宋体" w:cs="宋体"/>
                <w:sz w:val="24"/>
                <w:szCs w:val="24"/>
                <w:lang w:eastAsia="zh-CN"/>
              </w:rPr>
              <w:t>，</w:t>
            </w:r>
            <w:r>
              <w:rPr>
                <w:rFonts w:hint="eastAsia" w:ascii="宋体" w:hAnsi="宋体" w:cs="宋体"/>
                <w:sz w:val="24"/>
                <w:szCs w:val="24"/>
                <w:lang w:val="en-US" w:eastAsia="zh-CN"/>
              </w:rPr>
              <w:t>承诺的得1分，不承诺的不得分</w:t>
            </w:r>
            <w:r>
              <w:rPr>
                <w:rFonts w:hint="eastAsia" w:ascii="宋体" w:hAnsi="宋体" w:cs="宋体"/>
                <w:sz w:val="24"/>
                <w:szCs w:val="24"/>
              </w:rPr>
              <w:t>；（0-</w:t>
            </w:r>
            <w:r>
              <w:rPr>
                <w:rFonts w:hint="eastAsia" w:ascii="宋体" w:hAnsi="宋体" w:cs="宋体"/>
                <w:sz w:val="24"/>
                <w:szCs w:val="24"/>
                <w:lang w:val="en-US" w:eastAsia="zh-CN"/>
              </w:rPr>
              <w:t>1</w:t>
            </w:r>
            <w:r>
              <w:rPr>
                <w:rFonts w:hint="eastAsia" w:ascii="宋体" w:hAnsi="宋体" w:cs="宋体"/>
                <w:sz w:val="24"/>
                <w:szCs w:val="24"/>
              </w:rPr>
              <w:t>分）</w:t>
            </w:r>
          </w:p>
          <w:p>
            <w:pPr>
              <w:spacing w:line="360" w:lineRule="auto"/>
              <w:ind w:firstLine="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承诺为本项目购买公众责任险或第三方责任险，提供详细承诺内容</w:t>
            </w:r>
            <w:r>
              <w:rPr>
                <w:rFonts w:hint="eastAsia" w:ascii="宋体" w:hAnsi="宋体" w:cs="宋体"/>
                <w:sz w:val="24"/>
                <w:szCs w:val="24"/>
                <w:lang w:eastAsia="zh-CN"/>
              </w:rPr>
              <w:t>，</w:t>
            </w:r>
            <w:r>
              <w:rPr>
                <w:rFonts w:hint="eastAsia" w:ascii="宋体" w:hAnsi="宋体" w:cs="宋体"/>
                <w:sz w:val="24"/>
                <w:szCs w:val="24"/>
                <w:lang w:val="en-US" w:eastAsia="zh-CN"/>
              </w:rPr>
              <w:t>承诺的得1分，不承诺的不得分。</w:t>
            </w:r>
            <w:r>
              <w:rPr>
                <w:rFonts w:hint="eastAsia" w:ascii="宋体" w:hAnsi="宋体" w:cs="宋体"/>
                <w:sz w:val="24"/>
                <w:szCs w:val="24"/>
              </w:rPr>
              <w:t>（0-</w:t>
            </w:r>
            <w:r>
              <w:rPr>
                <w:rFonts w:hint="eastAsia" w:ascii="宋体" w:hAnsi="宋体" w:cs="宋体"/>
                <w:sz w:val="24"/>
                <w:szCs w:val="24"/>
                <w:lang w:val="en-US" w:eastAsia="zh-CN"/>
              </w:rPr>
              <w:t>1</w:t>
            </w:r>
            <w:r>
              <w:rPr>
                <w:rFonts w:hint="eastAsia" w:ascii="宋体" w:hAnsi="宋体" w:cs="宋体"/>
                <w:sz w:val="24"/>
                <w:szCs w:val="24"/>
              </w:rPr>
              <w:t>分）</w:t>
            </w:r>
          </w:p>
        </w:tc>
        <w:tc>
          <w:tcPr>
            <w:tcW w:w="1134" w:type="dxa"/>
            <w:vAlign w:val="center"/>
          </w:tcPr>
          <w:p>
            <w:pPr>
              <w:spacing w:line="360" w:lineRule="auto"/>
              <w:ind w:firstLine="0"/>
              <w:rPr>
                <w:rFonts w:hint="eastAsia" w:ascii="宋体" w:hAnsi="宋体" w:cs="宋体"/>
                <w:kern w:val="2"/>
                <w:sz w:val="24"/>
                <w:szCs w:val="24"/>
              </w:rPr>
            </w:pPr>
            <w:r>
              <w:rPr>
                <w:rFonts w:hint="eastAsia" w:ascii="宋体" w:hAnsi="宋体" w:cs="宋体"/>
                <w:kern w:val="2"/>
                <w:sz w:val="24"/>
                <w:szCs w:val="24"/>
              </w:rPr>
              <w:t>0-</w:t>
            </w:r>
            <w:r>
              <w:rPr>
                <w:rFonts w:hint="eastAsia" w:ascii="宋体" w:hAnsi="宋体" w:cs="宋体"/>
                <w:kern w:val="2"/>
                <w:sz w:val="24"/>
                <w:szCs w:val="24"/>
                <w:lang w:val="en-US" w:eastAsia="zh-CN"/>
              </w:rPr>
              <w:t>2</w:t>
            </w:r>
            <w:r>
              <w:rPr>
                <w:rFonts w:hint="eastAsia" w:ascii="宋体" w:hAnsi="宋体" w:cs="宋体"/>
                <w:kern w:val="2"/>
                <w:sz w:val="24"/>
                <w:szCs w:val="24"/>
              </w:rPr>
              <w:t>分</w:t>
            </w:r>
          </w:p>
        </w:tc>
        <w:tc>
          <w:tcPr>
            <w:tcW w:w="1134" w:type="dxa"/>
            <w:vAlign w:val="center"/>
          </w:tcPr>
          <w:p>
            <w:pPr>
              <w:spacing w:line="360" w:lineRule="auto"/>
              <w:ind w:firstLine="0"/>
              <w:rPr>
                <w:rFonts w:hint="eastAsia" w:ascii="宋体" w:hAnsi="宋体" w:cs="宋体"/>
                <w:sz w:val="24"/>
              </w:rPr>
            </w:pPr>
            <w:r>
              <w:rPr>
                <w:rFonts w:hint="eastAsia" w:ascii="宋体" w:hAnsi="宋体" w:cs="宋体"/>
                <w:sz w:val="24"/>
              </w:rPr>
              <w:t>客观分</w:t>
            </w:r>
          </w:p>
        </w:tc>
      </w:tr>
    </w:tbl>
    <w:p>
      <w:pPr>
        <w:pStyle w:val="4"/>
        <w:rPr>
          <w:rFonts w:ascii="宋体" w:hAnsi="宋体" w:cs="宋体"/>
          <w:sz w:val="24"/>
        </w:rPr>
      </w:pPr>
    </w:p>
    <w:p>
      <w:pPr>
        <w:keepNext/>
        <w:keepLines/>
        <w:spacing w:line="360" w:lineRule="auto"/>
        <w:ind w:firstLine="420"/>
        <w:outlineLvl w:val="2"/>
        <w:rPr>
          <w:rFonts w:ascii="宋体" w:hAnsi="宋体" w:cs="宋体"/>
        </w:rPr>
      </w:pPr>
    </w:p>
    <w:p>
      <w:pPr>
        <w:spacing w:line="360" w:lineRule="auto"/>
        <w:outlineLvl w:val="1"/>
        <w:rPr>
          <w:rFonts w:ascii="宋体" w:hAnsi="宋体" w:cs="宋体"/>
          <w:b/>
          <w:sz w:val="24"/>
        </w:rPr>
      </w:pPr>
      <w:bookmarkStart w:id="427" w:name="_Toc7888"/>
      <w:r>
        <w:rPr>
          <w:rFonts w:hint="eastAsia" w:ascii="宋体" w:hAnsi="宋体" w:cs="宋体"/>
          <w:b/>
          <w:sz w:val="24"/>
        </w:rPr>
        <w:t>三、评标程序</w:t>
      </w:r>
      <w:bookmarkEnd w:id="427"/>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委员会推荐得分最高的投标人为第一中标候选人、得分次高的投标人为第二中标候选人，并编写评标报告。得分相同的，按投标报价由低到高顺序排列。得分且投标报价相同的并列。投标文件满足招标文件全部实质性要求，且按照评审因素的量化指标评审得分最高的投标人为排名第一的中标候选人。评审因素的量化指标评审得分也相同的则抽签决定。</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24"/>
          <w:szCs w:val="21"/>
        </w:rPr>
      </w:pPr>
      <w:r>
        <w:rPr>
          <w:rFonts w:hint="eastAsia" w:ascii="宋体" w:hAnsi="宋体" w:cs="宋体"/>
          <w:b/>
          <w:sz w:val="24"/>
          <w:szCs w:val="21"/>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有下列情况之一的，投标无效：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pacing w:line="360" w:lineRule="auto"/>
        <w:ind w:firstLine="480" w:firstLineChars="200"/>
        <w:rPr>
          <w:rFonts w:ascii="宋体" w:hAnsi="宋体" w:cs="宋体"/>
          <w:kern w:val="0"/>
          <w:sz w:val="24"/>
        </w:rPr>
      </w:pPr>
      <w:r>
        <w:rPr>
          <w:rFonts w:hint="eastAsia" w:ascii="宋体" w:hAnsi="宋体" w:cs="宋体"/>
          <w:kern w:val="0"/>
          <w:sz w:val="24"/>
        </w:rPr>
        <w:t>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480" w:firstLineChars="200"/>
        <w:rPr>
          <w:rFonts w:ascii="宋体" w:hAnsi="宋体" w:cs="宋体"/>
          <w:kern w:val="0"/>
          <w:sz w:val="24"/>
        </w:rPr>
      </w:pPr>
      <w:r>
        <w:rPr>
          <w:rFonts w:hint="eastAsia" w:ascii="宋体" w:hAnsi="宋体" w:cs="宋体"/>
          <w:kern w:val="0"/>
          <w:sz w:val="24"/>
        </w:rPr>
        <w:t>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4.2.12投标人仅提交备份投标文件，没有在电子交易平台传输递交投标文件的，投标无效；</w:t>
      </w:r>
    </w:p>
    <w:p>
      <w:pPr>
        <w:pStyle w:val="6"/>
        <w:ind w:left="862" w:leftChars="205"/>
        <w:rPr>
          <w:rFonts w:ascii="宋体" w:hAnsi="宋体" w:eastAsia="宋体" w:cs="宋体"/>
          <w:b w:val="0"/>
          <w:bCs w:val="0"/>
          <w:kern w:val="0"/>
          <w:sz w:val="24"/>
          <w:szCs w:val="24"/>
          <w:lang w:val="en-US"/>
        </w:rPr>
      </w:pPr>
      <w:bookmarkStart w:id="428" w:name="_Toc4159"/>
      <w:r>
        <w:rPr>
          <w:rFonts w:hint="eastAsia" w:ascii="宋体" w:hAnsi="宋体" w:eastAsia="宋体" w:cs="宋体"/>
          <w:b w:val="0"/>
          <w:bCs w:val="0"/>
          <w:kern w:val="0"/>
          <w:sz w:val="24"/>
          <w:szCs w:val="24"/>
          <w:lang w:val="en-US"/>
        </w:rPr>
        <w:t>4.2.13投标文件不满足招标文件的其它实质性要求的；</w:t>
      </w:r>
      <w:bookmarkEnd w:id="428"/>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4.2.14法律、法规、规章及省级以上规范性文件规定的其他无效情形。</w:t>
      </w:r>
    </w:p>
    <w:p>
      <w:pPr>
        <w:pStyle w:val="2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hint="eastAsia" w:cs="宋体"/>
        </w:rPr>
        <w:t>5.1符合专业条件的供应商或者对招标文件作实质响应的供应商不足3家的；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5.3投标人的报价均超过了采购预算，采购人不能支付的；</w:t>
      </w:r>
    </w:p>
    <w:p>
      <w:pPr>
        <w:pStyle w:val="26"/>
        <w:snapToGrid w:val="0"/>
        <w:spacing w:line="360" w:lineRule="auto"/>
        <w:rPr>
          <w:rFonts w:cs="宋体"/>
        </w:rPr>
      </w:pPr>
      <w:r>
        <w:rPr>
          <w:rFonts w:hint="eastAsia" w:cs="宋体"/>
        </w:rPr>
        <w:t>5.4因重大变故，采购任务取消的。</w:t>
      </w:r>
    </w:p>
    <w:p>
      <w:pPr>
        <w:pStyle w:val="26"/>
        <w:snapToGrid w:val="0"/>
        <w:spacing w:line="360" w:lineRule="auto"/>
        <w:rPr>
          <w:rFonts w:cs="宋体"/>
        </w:rPr>
      </w:pPr>
      <w:r>
        <w:rPr>
          <w:rFonts w:hint="eastAsia" w:cs="宋体"/>
        </w:rPr>
        <w:t>废标后，采购代理机构应当将废标理由通知所有投标人。</w:t>
      </w:r>
    </w:p>
    <w:p>
      <w:pPr>
        <w:pStyle w:val="26"/>
        <w:snapToGrid w:val="0"/>
        <w:spacing w:line="360" w:lineRule="auto"/>
        <w:ind w:firstLine="482"/>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有政府采购法第七十一条、第七十二条规定的违法行为之一，影响或者可能影响中标、成交结果的，依照下列规定处理：</w:t>
      </w:r>
    </w:p>
    <w:p>
      <w:pPr>
        <w:pStyle w:val="26"/>
        <w:snapToGrid w:val="0"/>
        <w:spacing w:line="360" w:lineRule="auto"/>
        <w:rPr>
          <w:rFonts w:cs="宋体"/>
        </w:rPr>
      </w:pPr>
      <w:r>
        <w:rPr>
          <w:rFonts w:hint="eastAsia" w:cs="宋体"/>
        </w:rPr>
        <w:t>7.1未确定中标或者中标人的，终止本次政府采购活动，重新开展政府采购活动。</w:t>
      </w:r>
    </w:p>
    <w:p>
      <w:pPr>
        <w:pStyle w:val="26"/>
        <w:snapToGrid w:val="0"/>
        <w:spacing w:line="360" w:lineRule="auto"/>
        <w:rPr>
          <w:rFonts w:cs="宋体"/>
        </w:rPr>
      </w:pPr>
      <w:r>
        <w:rPr>
          <w:rFonts w:hint="eastAsia" w:cs="宋体"/>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rPr>
          <w:rFonts w:cs="宋体"/>
        </w:rPr>
      </w:pPr>
      <w:r>
        <w:rPr>
          <w:rFonts w:hint="eastAsia" w:cs="宋体"/>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cs="宋体"/>
        </w:rPr>
      </w:pPr>
      <w:r>
        <w:rPr>
          <w:rFonts w:hint="eastAsia" w:cs="宋体"/>
        </w:rPr>
        <w:t>7.4政府采购合同已经履行，给采购人、供应商造成损失的，由责任人承担赔偿责任。</w:t>
      </w:r>
    </w:p>
    <w:p>
      <w:pPr>
        <w:pStyle w:val="26"/>
        <w:snapToGrid w:val="0"/>
        <w:spacing w:line="360" w:lineRule="auto"/>
        <w:rPr>
          <w:rFonts w:cs="宋体"/>
        </w:rPr>
      </w:pPr>
      <w:r>
        <w:rPr>
          <w:rFonts w:hint="eastAsia" w:cs="宋体"/>
        </w:rPr>
        <w:t>7.5政府采购当事人有其他违反政府采购法</w:t>
      </w:r>
      <w:r>
        <w:rPr>
          <w:rFonts w:hint="eastAsia" w:cs="宋体"/>
          <w:kern w:val="0"/>
        </w:rPr>
        <w:t>或者政府采购法实施条例等法律法规规定</w:t>
      </w:r>
      <w:r>
        <w:rPr>
          <w:rFonts w:hint="eastAsia" w:cs="宋体"/>
        </w:rPr>
        <w:t>的行为，经改正后仍然影响或者可能影响中标、成交结果或者依法被认定为中标、成交无效的，依照7.1-7.4规定处理。</w:t>
      </w:r>
    </w:p>
    <w:bookmarkEnd w:id="37"/>
    <w:p>
      <w:pPr>
        <w:rPr>
          <w:rFonts w:ascii="宋体" w:hAnsi="宋体" w:cs="宋体"/>
          <w:b/>
          <w:sz w:val="36"/>
          <w:szCs w:val="36"/>
        </w:rPr>
      </w:pPr>
      <w:bookmarkStart w:id="429" w:name="_Toc86217003"/>
      <w:bookmarkStart w:id="430" w:name="第五部分"/>
      <w:r>
        <w:rPr>
          <w:rFonts w:hint="eastAsia" w:ascii="宋体" w:hAnsi="宋体" w:cs="宋体"/>
          <w:b/>
          <w:sz w:val="36"/>
          <w:szCs w:val="36"/>
        </w:rPr>
        <w:br w:type="page"/>
      </w:r>
    </w:p>
    <w:p>
      <w:pPr>
        <w:spacing w:line="360" w:lineRule="auto"/>
        <w:jc w:val="center"/>
        <w:outlineLvl w:val="0"/>
        <w:rPr>
          <w:rFonts w:ascii="宋体" w:hAnsi="宋体" w:cs="宋体"/>
          <w:b/>
          <w:sz w:val="36"/>
          <w:szCs w:val="36"/>
        </w:rPr>
      </w:pPr>
      <w:bookmarkStart w:id="431" w:name="_Toc22571"/>
      <w:r>
        <w:rPr>
          <w:rFonts w:hint="eastAsia" w:ascii="宋体" w:hAnsi="宋体" w:cs="宋体"/>
          <w:b/>
          <w:sz w:val="36"/>
          <w:szCs w:val="36"/>
        </w:rPr>
        <w:t>第五部分 拟签订的合同文本</w:t>
      </w:r>
      <w:bookmarkEnd w:id="431"/>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360" w:lineRule="auto"/>
        <w:ind w:firstLine="420"/>
        <w:rPr>
          <w:rFonts w:ascii="宋体" w:hAnsi="宋体" w:cs="宋体"/>
          <w:sz w:val="24"/>
        </w:rPr>
      </w:pPr>
      <w:r>
        <w:rPr>
          <w:rFonts w:hint="eastAsia" w:ascii="宋体" w:hAnsi="宋体" w:cs="宋体"/>
          <w:sz w:val="24"/>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中标人的投标文件正本；投标人在评标答疑时的书面澄清或说明；中标通知书等文件是构成合同不可分割的部分。</w:t>
      </w:r>
    </w:p>
    <w:p>
      <w:pPr>
        <w:spacing w:line="360" w:lineRule="auto"/>
        <w:jc w:val="center"/>
        <w:rPr>
          <w:rFonts w:hint="eastAsia"/>
          <w:b/>
          <w:bCs/>
          <w:sz w:val="28"/>
          <w:szCs w:val="36"/>
        </w:rPr>
      </w:pPr>
      <w:bookmarkStart w:id="432" w:name="_Toc32330"/>
      <w:bookmarkStart w:id="433" w:name="_Toc5679"/>
      <w:bookmarkStart w:id="434" w:name="_Toc26339"/>
      <w:r>
        <w:rPr>
          <w:rFonts w:hint="eastAsia"/>
          <w:b/>
          <w:bCs/>
          <w:sz w:val="32"/>
          <w:szCs w:val="32"/>
          <w:lang w:eastAsia="zh-CN"/>
        </w:rPr>
        <w:t>物业</w:t>
      </w:r>
      <w:r>
        <w:rPr>
          <w:rFonts w:hint="eastAsia"/>
          <w:b/>
          <w:bCs/>
          <w:sz w:val="32"/>
          <w:szCs w:val="32"/>
        </w:rPr>
        <w:t>管理服务协议</w:t>
      </w:r>
    </w:p>
    <w:p>
      <w:pPr>
        <w:spacing w:line="360" w:lineRule="auto"/>
        <w:rPr>
          <w:rFonts w:hint="eastAsia"/>
        </w:rPr>
      </w:pPr>
    </w:p>
    <w:p>
      <w:pPr>
        <w:spacing w:line="360" w:lineRule="auto"/>
        <w:rPr>
          <w:rFonts w:hint="eastAsia" w:eastAsia="宋体"/>
          <w:b/>
          <w:bCs/>
          <w:sz w:val="24"/>
          <w:szCs w:val="32"/>
          <w:lang w:eastAsia="zh-CN"/>
        </w:rPr>
      </w:pPr>
      <w:r>
        <w:rPr>
          <w:rFonts w:hint="eastAsia"/>
          <w:b/>
          <w:bCs/>
          <w:sz w:val="24"/>
          <w:szCs w:val="32"/>
        </w:rPr>
        <w:t>甲方（发包方）：</w:t>
      </w:r>
      <w:r>
        <w:rPr>
          <w:rFonts w:hint="eastAsia"/>
          <w:b/>
          <w:bCs/>
          <w:sz w:val="24"/>
          <w:szCs w:val="32"/>
          <w:lang w:val="en-US" w:eastAsia="zh-CN"/>
        </w:rPr>
        <w:t xml:space="preserve"> </w:t>
      </w:r>
    </w:p>
    <w:p>
      <w:pPr>
        <w:spacing w:line="360" w:lineRule="auto"/>
        <w:rPr>
          <w:rFonts w:hint="eastAsia" w:eastAsia="宋体"/>
          <w:b/>
          <w:bCs/>
          <w:sz w:val="24"/>
          <w:szCs w:val="32"/>
          <w:lang w:eastAsia="zh-CN"/>
        </w:rPr>
      </w:pPr>
      <w:r>
        <w:rPr>
          <w:rFonts w:hint="eastAsia"/>
          <w:b/>
          <w:bCs/>
          <w:sz w:val="24"/>
          <w:szCs w:val="32"/>
        </w:rPr>
        <w:t>乙方（承包方）：</w:t>
      </w:r>
      <w:r>
        <w:rPr>
          <w:rFonts w:hint="eastAsia"/>
          <w:b/>
          <w:bCs/>
          <w:sz w:val="24"/>
          <w:szCs w:val="32"/>
          <w:lang w:val="en-US" w:eastAsia="zh-CN"/>
        </w:rPr>
        <w:t xml:space="preserve"> </w:t>
      </w:r>
    </w:p>
    <w:p>
      <w:pPr>
        <w:spacing w:line="360" w:lineRule="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rPr>
        <w:t>甲乙双方根据《中华人民共和国</w:t>
      </w:r>
      <w:r>
        <w:rPr>
          <w:rFonts w:hint="eastAsia"/>
          <w:b/>
          <w:bCs/>
          <w:lang w:eastAsia="zh-CN"/>
        </w:rPr>
        <w:t>民法典</w:t>
      </w:r>
      <w:r>
        <w:rPr>
          <w:rFonts w:hint="eastAsia"/>
          <w:b/>
          <w:bCs/>
        </w:rPr>
        <w:t>》等有关法律法规和本合同的（202</w:t>
      </w:r>
      <w:r>
        <w:rPr>
          <w:rFonts w:hint="eastAsia"/>
          <w:b/>
          <w:bCs/>
          <w:lang w:val="en-US" w:eastAsia="zh-CN"/>
        </w:rPr>
        <w:t>2</w:t>
      </w:r>
      <w:r>
        <w:rPr>
          <w:rFonts w:hint="eastAsia"/>
          <w:b/>
          <w:bCs/>
        </w:rPr>
        <w:t>年</w:t>
      </w:r>
      <w:r>
        <w:rPr>
          <w:rFonts w:hint="eastAsia"/>
          <w:b/>
          <w:bCs/>
          <w:lang w:val="en-US" w:eastAsia="zh-CN"/>
        </w:rPr>
        <w:t xml:space="preserve">   </w:t>
      </w:r>
      <w:r>
        <w:rPr>
          <w:rFonts w:hint="eastAsia"/>
          <w:b/>
          <w:bCs/>
        </w:rPr>
        <w:t>月）招标文件、投标文件及承诺，经双方友好协商，同意签订本合同，共同遵守。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1.简述、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1.1 聘用范围及性质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甲方聘用乙方在约定区域内独家提供管理服务，并由乙方提供必需的材料、物品及设备以有效地履行相应的管理服务职责。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2.服务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2.1 管理服务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(a)乙方按照（202</w:t>
      </w:r>
      <w:r>
        <w:rPr>
          <w:rFonts w:hint="eastAsia"/>
          <w:lang w:val="en-US" w:eastAsia="zh-CN"/>
        </w:rPr>
        <w:t>2</w:t>
      </w:r>
      <w:r>
        <w:rPr>
          <w:rFonts w:hint="eastAsia"/>
        </w:rPr>
        <w:t>年</w:t>
      </w:r>
      <w:r>
        <w:rPr>
          <w:rFonts w:hint="eastAsia"/>
          <w:lang w:val="en-US" w:eastAsia="zh-CN"/>
        </w:rPr>
        <w:t xml:space="preserve">   </w:t>
      </w:r>
      <w:r>
        <w:rPr>
          <w:rFonts w:hint="eastAsia"/>
        </w:rPr>
        <w:t>月）投标文件中规定的要求为甲方提供管理服务。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bCs/>
          <w:u w:val="single"/>
        </w:rPr>
      </w:pPr>
      <w:r>
        <w:rPr>
          <w:rFonts w:hint="eastAsia"/>
        </w:rPr>
        <w:t>(b</w:t>
      </w:r>
      <w:r>
        <w:rPr>
          <w:rFonts w:hint="eastAsia"/>
          <w:u w:val="none"/>
        </w:rPr>
        <w:t>)</w:t>
      </w:r>
      <w:r>
        <w:rPr>
          <w:rFonts w:hint="eastAsia"/>
          <w:u w:val="none"/>
          <w:lang w:eastAsia="zh-CN"/>
        </w:rPr>
        <w:t>服务内容包含</w:t>
      </w:r>
      <w:r>
        <w:rPr>
          <w:rFonts w:hint="eastAsia"/>
          <w:b/>
          <w:bCs/>
          <w:u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highlight w:val="none"/>
          <w:lang w:eastAsia="zh-CN"/>
        </w:rPr>
      </w:pPr>
      <w:r>
        <w:rPr>
          <w:rFonts w:hint="eastAsia"/>
          <w:b/>
          <w:bCs/>
          <w:highlight w:val="none"/>
        </w:rPr>
        <w:tab/>
      </w:r>
      <w:r>
        <w:rPr>
          <w:rFonts w:hint="eastAsia"/>
          <w:b/>
          <w:bCs/>
          <w:highlight w:val="none"/>
        </w:rPr>
        <w:t>保洁、运送</w:t>
      </w:r>
      <w:r>
        <w:rPr>
          <w:rFonts w:hint="eastAsia"/>
          <w:b/>
          <w:bCs/>
          <w:highlight w:val="none"/>
          <w:lang w:eastAsia="zh-CN"/>
        </w:rPr>
        <w:t>、</w:t>
      </w:r>
      <w:r>
        <w:rPr>
          <w:rFonts w:hint="eastAsia"/>
          <w:b/>
          <w:bCs/>
          <w:highlight w:val="none"/>
        </w:rPr>
        <w:t>工程维护</w:t>
      </w:r>
      <w:r>
        <w:rPr>
          <w:rFonts w:hint="eastAsia"/>
          <w:b/>
          <w:bCs/>
          <w:highlight w:val="none"/>
          <w:lang w:eastAsia="zh-CN"/>
        </w:rPr>
        <w:t>、护理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以上服务内容适应浙江康复医疗中心内建筑（建筑面积约4.3万平方米）</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u w:val="single"/>
        </w:rPr>
      </w:pPr>
      <w:r>
        <w:rPr>
          <w:rFonts w:hint="eastAsia"/>
          <w:b/>
          <w:bCs/>
          <w:u w:val="single"/>
          <w:lang w:eastAsia="zh-CN"/>
        </w:rPr>
        <w:t>（</w:t>
      </w:r>
      <w:r>
        <w:rPr>
          <w:rFonts w:hint="eastAsia"/>
          <w:b/>
          <w:bCs/>
          <w:u w:val="single"/>
          <w:lang w:val="en-US" w:eastAsia="zh-CN"/>
        </w:rPr>
        <w:t>c</w:t>
      </w:r>
      <w:r>
        <w:rPr>
          <w:rFonts w:hint="eastAsia"/>
          <w:b/>
          <w:bCs/>
          <w:u w:val="single"/>
          <w:lang w:eastAsia="zh-CN"/>
        </w:rPr>
        <w:t>）</w:t>
      </w:r>
      <w:r>
        <w:rPr>
          <w:rFonts w:hint="eastAsia"/>
          <w:b/>
          <w:bCs/>
          <w:u w:val="single"/>
        </w:rPr>
        <w:t>详细服务内容及材料、物品、设备等的提供，参照甲乙双方202</w:t>
      </w:r>
      <w:r>
        <w:rPr>
          <w:rFonts w:hint="eastAsia"/>
          <w:b/>
          <w:bCs/>
          <w:u w:val="single"/>
          <w:lang w:val="en-US" w:eastAsia="zh-CN"/>
        </w:rPr>
        <w:t>2</w:t>
      </w:r>
      <w:r>
        <w:rPr>
          <w:rFonts w:hint="eastAsia"/>
          <w:b/>
          <w:bCs/>
          <w:u w:val="single"/>
        </w:rPr>
        <w:t>年</w:t>
      </w:r>
      <w:r>
        <w:rPr>
          <w:rFonts w:hint="eastAsia"/>
          <w:b/>
          <w:bCs/>
          <w:u w:val="single"/>
          <w:lang w:val="en-US" w:eastAsia="zh-CN"/>
        </w:rPr>
        <w:t xml:space="preserve">   </w:t>
      </w:r>
      <w:r>
        <w:rPr>
          <w:rFonts w:hint="eastAsia"/>
          <w:b/>
          <w:bCs/>
          <w:u w:val="single"/>
        </w:rPr>
        <w:t>月合同内容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 xml:space="preserve">2.2 培训材料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lang w:val="en-US" w:eastAsia="zh-CN"/>
        </w:rPr>
        <w:t xml:space="preserve">    </w:t>
      </w:r>
      <w:r>
        <w:rPr>
          <w:rFonts w:hint="eastAsia"/>
        </w:rPr>
        <w:t>乙方将提供并维护所有培训服务人员必需的培训设备、胶片、幻灯片、文献、日常工作和项目日程表、索引、标准操作程序和培训服务人员的培训手册并承担上述材料的费用。这些材料归乙方所有。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2.3 由乙方承担的费用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(a)乙方将承担与管理服务有关的直接运营费用。该费用包括下列费用：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（i）乙方员工入职体检、员工工资、保险、商业保险（雇主责任险和公众责任险）、福利和加班费；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（ii）乙方提供的培训材料和办公用品；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（iii）在提供服务开始时国家或地方部门届时征收的，与提供管理服务有关的所有税收和费用。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(b)下列费用不属于合同规定的乙方支付的“直接运营费用”：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（i）与服务人员安全防护用品有关的各项费用，如：一次性防护用品及特殊区域服务人员穿戴的保护性用品费用；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（ii）甲方提供的工具、设备的维护维修费用（人为原因造成或由于操作不当引起除外）；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（iii）甲方提供给乙方使用的场地的维修和保养费用。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3.甲乙双方的责任：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3.1甲方的权利和义务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(a)代表和维护产权人、使用人的合法权益；审定乙方制定的医院物业管理服务方案、制度；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(b)检查监督乙方根据招标、投标文件及管理方案的实施和制度的实行情况；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(c)审议乙方制订的年度管理计划；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(d)按本合同的规定支付后勤服务管理费和能耗费，并按有关规定提供给乙方必要的管理用房；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(e)负责对乙方执行日常工作的监督及乙方派驻现场的工作人员的监督；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(f)协助乙方做好后勤服务管理工作的宣传教育和文化活动；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(g)处理合同期间在物业管理服务工作中需甲方出面协调的问题；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(h)负责对乙方物业管理服务工作质量的考核，考核标准延续20</w:t>
      </w:r>
      <w:r>
        <w:rPr>
          <w:rFonts w:hint="eastAsia"/>
          <w:lang w:val="en-US" w:eastAsia="zh-CN"/>
        </w:rPr>
        <w:t>19</w:t>
      </w:r>
      <w:r>
        <w:rPr>
          <w:rFonts w:hint="eastAsia"/>
        </w:rPr>
        <w:t>年12月至20</w:t>
      </w:r>
      <w:r>
        <w:rPr>
          <w:rFonts w:hint="eastAsia"/>
          <w:lang w:val="en-US" w:eastAsia="zh-CN"/>
        </w:rPr>
        <w:t>20</w:t>
      </w:r>
      <w:r>
        <w:rPr>
          <w:rFonts w:hint="eastAsia"/>
        </w:rPr>
        <w:t>年11月30日合同执行时使用标准的基础上由甲乙双方协商制定。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3.2 乙方的权利和义务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根据有关法律、法规及本合同的约定，制定物业管理服务方案及实施方案，按方案书的承诺履行合同,并配合甲方监管人员的业务检查,接受后勤服务监管考核制度的约束,其考核结果作为服务费正常支付和下一轮服务合同签订的重要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(b)需建立健全医院物业管理档案资料，如报修记录单、保洁工作记录以及其他需要记录在案的文档，并做好各项保密工作；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(c)应认真听取甲方提出的建议和意见，并接受甲方的考核管理规定，对在服务管理中出现的问题和薄弱环节应立即整改；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(d)乙方应按照甲方要求做好日常节能工作，工作人员必须服从甲方的相关管理规定；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(e)对本项目的公共设施不得擅自占用和改变使用功能；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(f)本合同终止时，乙方必须向甲方移交全部管理用房、甲方资产及后勤所有物业管理服务的全部档案资料；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(g)乙方按有关规定为员工缴纳社会保险、人身意外伤害险等。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3.3 甲、乙双方责任限定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(a)乙方工作人员在服务过程中，因其工作失职</w:t>
      </w:r>
      <w:r>
        <w:rPr>
          <w:rFonts w:hint="default"/>
        </w:rPr>
        <w:t>或者其他原因</w:t>
      </w:r>
      <w:r>
        <w:rPr>
          <w:rFonts w:hint="eastAsia"/>
        </w:rPr>
        <w:t>造成甲方损失的，乙方应承担全部责任；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(b)甲方禁止安排乙方工作人员参与违反法律规定及工作职责以外的活动，违者由甲方承担法律和经济责任；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(c)因不可抗力或甲方自身原因造成的经济损失，乙方不承担责任；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(d)乙方工作人员在工作期间发生的各类受伤、致残、身亡等事故，由乙方</w:t>
      </w:r>
      <w:r>
        <w:rPr>
          <w:rFonts w:hint="default"/>
        </w:rPr>
        <w:t>承担全部责任，甲方对此不承担任何责任</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eastAsia"/>
        </w:rPr>
        <w:t>(</w:t>
      </w:r>
      <w:r>
        <w:rPr>
          <w:rFonts w:hint="eastAsia"/>
          <w:lang w:val="en-US" w:eastAsia="zh-CN"/>
        </w:rPr>
        <w:t>e</w:t>
      </w:r>
      <w:r>
        <w:rPr>
          <w:rFonts w:hint="eastAsia"/>
        </w:rPr>
        <w:t>)</w:t>
      </w:r>
      <w:r>
        <w:rPr>
          <w:rFonts w:hint="default"/>
        </w:rPr>
        <w:t>乙方工作人员在工作期间造成他人损害的，由乙方承担全部责任，甲方对此不承担任何责任。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4.员工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4.1 乙方员工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(a)乙方将派驻管理服务所需的管理人员。其中一人为协调经理，由他（她）作为乙方的主要代表执行本协议中乙方的权利和义务。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(b)除管理人员外，乙方还将提供有效进行管理服务所需的所有服务人员、主管、培训与技术人员和特别项目所需的人员。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(c)(a)和(b)中的人员均为乙方人员。乙方将承担他们的工资津贴、奖金和与其工作相关的、国家或地方法规所征收的其它税收、费用、社会福利和加班费。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(d)如果甲方基于适当的理由确认乙方的任何人员为甲方所不能接受，甲方可以书面形式要求撤换该人员。乙方在收到该请求后，应在</w:t>
      </w:r>
      <w:r>
        <w:rPr>
          <w:rFonts w:hint="eastAsia"/>
          <w:color w:val="auto"/>
        </w:rPr>
        <w:t>必需的时间内</w:t>
      </w:r>
      <w:r>
        <w:rPr>
          <w:rFonts w:hint="default"/>
          <w:color w:val="auto"/>
        </w:rPr>
        <w:t>（</w:t>
      </w:r>
      <w:r>
        <w:rPr>
          <w:rFonts w:hint="eastAsia"/>
          <w:color w:val="auto"/>
          <w:lang w:eastAsia="zh-CN"/>
        </w:rPr>
        <w:t>一个月内</w:t>
      </w:r>
      <w:r>
        <w:rPr>
          <w:rFonts w:hint="default"/>
          <w:color w:val="auto"/>
        </w:rPr>
        <w:t>）</w:t>
      </w:r>
      <w:r>
        <w:rPr>
          <w:rFonts w:hint="eastAsia"/>
        </w:rPr>
        <w:t>向甲方提供其可接受的替换人员。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5.材料与物品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5.1 保洁</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(a)进行保洁服务所必需的材料、物品、工具和设备由乙方负责提供。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(b)甲方负责提供医疗用消毒液、消毒片剂、医护人员洗手液、洗手毛巾、肥皂等与医疗运营相关的物品，包括医疗垃圾袋。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 xml:space="preserve">5.2中央运送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(a)甲方负责所有需要运送的物品、材料和工具设施，如：病人、标本、药品、文件、设备，平车、轮椅、病历车等。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(b)乙方负责按甲方要求将以上物品运送到甲方指定地点。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 xml:space="preserve">5.3工程维修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(a)乙方负责提供日常维修工具（专用工具除外）、耗材（钉子、螺丝、绝缘胶带、生料带等）以及劳保防护用品（如绝缘靴、绝缘手套、安全帽等）。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6.设备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6. 1  乙方提供的设备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eastAsia"/>
        </w:rPr>
        <w:t>乙方负责提供履行管理服务所需的保洁设备及工具，</w:t>
      </w:r>
      <w:r>
        <w:rPr>
          <w:rFonts w:hint="default"/>
        </w:rPr>
        <w:t>包括但不限于</w:t>
      </w:r>
      <w:r>
        <w:rPr>
          <w:rFonts w:hint="eastAsia"/>
        </w:rPr>
        <w:t>对讲机、计算机软、硬件、打印机、打卡机、微波炉和其他办公用品，并自行负责上述设备物品的维修、保养和设备更新，</w:t>
      </w:r>
      <w:r>
        <w:rPr>
          <w:rFonts w:hint="default"/>
        </w:rPr>
        <w:t>且</w:t>
      </w:r>
      <w:r>
        <w:rPr>
          <w:rFonts w:hint="eastAsia"/>
        </w:rPr>
        <w:t>不再向甲方另行收费。</w:t>
      </w:r>
      <w:r>
        <w:rPr>
          <w:rFonts w:hint="default"/>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7.付款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 xml:space="preserve">7. 1 甲方同意付款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甲方同意向乙方支付本条规定的费用。管理费用以非现金方式支付。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7. 2 合同金额及付款时间</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rPr>
        <w:t xml:space="preserve">合同金额为人民币 </w:t>
      </w:r>
      <w:r>
        <w:rPr>
          <w:rFonts w:hint="eastAsia"/>
          <w:b/>
          <w:bCs/>
          <w:highlight w:val="none"/>
          <w:u w:val="single"/>
          <w:lang w:val="en-US" w:eastAsia="zh-CN"/>
        </w:rPr>
        <w:t xml:space="preserve">    </w:t>
      </w:r>
      <w:r>
        <w:rPr>
          <w:rFonts w:hint="eastAsia"/>
          <w:b/>
          <w:bCs/>
          <w:highlight w:val="none"/>
          <w:u w:val="single"/>
        </w:rPr>
        <w:t xml:space="preserve"> </w:t>
      </w:r>
      <w:r>
        <w:rPr>
          <w:rFonts w:hint="eastAsia"/>
          <w:highlight w:val="none"/>
        </w:rPr>
        <w:t>元/年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val="en-US" w:eastAsia="zh-CN"/>
        </w:rPr>
      </w:pPr>
      <w:r>
        <w:rPr>
          <w:rFonts w:hint="eastAsia"/>
          <w:highlight w:val="none"/>
          <w:lang w:val="en-US" w:eastAsia="zh-CN"/>
        </w:rPr>
        <w:t>支付节点：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7. 3 履约保证金的缴纳及退还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本合同履约保证金为每年合同款的</w:t>
      </w:r>
      <w:r>
        <w:rPr>
          <w:rFonts w:hint="eastAsia"/>
          <w:lang w:val="en-US" w:eastAsia="zh-CN"/>
        </w:rPr>
        <w:t>1</w:t>
      </w:r>
      <w:r>
        <w:rPr>
          <w:rFonts w:hint="eastAsia"/>
        </w:rPr>
        <w:t>%，计</w:t>
      </w:r>
      <w:r>
        <w:rPr>
          <w:rFonts w:hint="eastAsia"/>
          <w:b/>
          <w:bCs/>
          <w:u w:val="single"/>
          <w:lang w:val="en-US" w:eastAsia="zh-CN"/>
        </w:rPr>
        <w:t xml:space="preserve">       </w:t>
      </w:r>
      <w:r>
        <w:rPr>
          <w:rFonts w:hint="eastAsia"/>
        </w:rPr>
        <w:t>元。乙方在签订合同后</w:t>
      </w:r>
      <w:r>
        <w:rPr>
          <w:rFonts w:hint="eastAsia"/>
          <w:u w:val="single"/>
          <w:lang w:val="en-US" w:eastAsia="zh-CN"/>
        </w:rPr>
        <w:t xml:space="preserve">     </w:t>
      </w:r>
      <w:r>
        <w:rPr>
          <w:rFonts w:hint="eastAsia"/>
        </w:rPr>
        <w:t>天内提交至甲方指定账户，乙方合同期满终止时，向甲方移交原委托管理的相关物业及各类管理档案、财产及员工的劳资结算等有效资料。甲方在合同期满</w:t>
      </w:r>
      <w:r>
        <w:rPr>
          <w:rFonts w:hint="default"/>
        </w:rPr>
        <w:t>并</w:t>
      </w:r>
      <w:r>
        <w:rPr>
          <w:rFonts w:hint="eastAsia"/>
        </w:rPr>
        <w:t>确认乙方无违约行为且无劳资纠纷一个月内无息退还。但如果此时存在合同争端并且未能解决，那么履约保证金的有效期应延长到上述争端最终解决且理赔完毕后终止。</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textAlignment w:val="auto"/>
        <w:rPr>
          <w:rFonts w:hint="eastAsia"/>
          <w:b/>
          <w:bCs/>
        </w:rPr>
      </w:pPr>
      <w:r>
        <w:rPr>
          <w:rFonts w:hint="eastAsia"/>
          <w:b/>
          <w:bCs/>
        </w:rPr>
        <w:t>4 合同金额的调整：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rPr>
      </w:pPr>
      <w:r>
        <w:rPr>
          <w:rFonts w:hint="eastAsia"/>
          <w:b/>
          <w:bCs/>
          <w:lang w:val="en-US" w:eastAsia="zh-CN"/>
        </w:rPr>
        <w:t>7.4.1</w:t>
      </w:r>
      <w:r>
        <w:rPr>
          <w:rFonts w:hint="eastAsia"/>
          <w:b/>
          <w:bCs/>
        </w:rPr>
        <w:t xml:space="preserve">服务内容变更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合同金额是根据</w:t>
      </w:r>
      <w:r>
        <w:rPr>
          <w:rFonts w:hint="eastAsia"/>
          <w:lang w:val="en-US" w:eastAsia="zh-CN"/>
        </w:rPr>
        <w:t>2022年     月</w:t>
      </w:r>
      <w:r>
        <w:rPr>
          <w:rFonts w:hint="eastAsia"/>
        </w:rPr>
        <w:t>的招标文件中所列的区域、区域用途、所管理的部门、设备和具体工作任务而确定的。如果乙方或者服务人员提供服务的区域、区域用途、所管理的部门、设备或工作任务的总量以任何方式出现增加、减少或变更的情况，每增加或减少1位服务人员的费用参照本合同的人均月费用增加或减少，合同金额也要作相应的增加或者减少。这种调整应在增加、减少或变更发生后的第一次付款中立即得以体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color w:val="auto"/>
          <w:highlight w:val="none"/>
          <w:lang w:val="en-US" w:eastAsia="zh-CN"/>
        </w:rPr>
      </w:pPr>
      <w:r>
        <w:rPr>
          <w:rFonts w:hint="eastAsia"/>
          <w:b/>
          <w:bCs/>
          <w:color w:val="auto"/>
          <w:highlight w:val="none"/>
          <w:lang w:val="en-US" w:eastAsia="zh-CN"/>
        </w:rPr>
        <w:t>7.4.2政策调整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eastAsia="宋体"/>
          <w:color w:val="auto"/>
          <w:highlight w:val="none"/>
          <w:lang w:val="en-US" w:eastAsia="zh-CN"/>
        </w:rPr>
      </w:pPr>
      <w:r>
        <w:rPr>
          <w:rFonts w:hint="eastAsia"/>
          <w:color w:val="auto"/>
          <w:highlight w:val="none"/>
          <w:lang w:val="en-US" w:eastAsia="zh-CN"/>
        </w:rPr>
        <w:t>如果国家或地方政府政策要求提高员工的最低工资标准或增加法定假日或提高社保福利等强制性费用，甲乙双方就具体政策内容及相关调整金额进行协商决定。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8.赔偿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8. 1对甲方的赔偿</w:t>
      </w:r>
      <w:r>
        <w:rPr>
          <w:rFonts w:hint="eastAsia"/>
          <w:b/>
          <w:bCs/>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对于乙方或其员工在提供本协议服务过程中给甲方和其管理人员</w:t>
      </w:r>
      <w:r>
        <w:rPr>
          <w:rFonts w:hint="default"/>
        </w:rPr>
        <w:t>、</w:t>
      </w:r>
      <w:r>
        <w:rPr>
          <w:rFonts w:hint="eastAsia"/>
        </w:rPr>
        <w:t>医护人员和职工所造成的任何</w:t>
      </w:r>
      <w:r>
        <w:rPr>
          <w:rFonts w:hint="default"/>
        </w:rPr>
        <w:t>损失</w:t>
      </w:r>
      <w:r>
        <w:rPr>
          <w:rFonts w:hint="eastAsia"/>
        </w:rPr>
        <w:t>(包括合理的律师费)，</w:t>
      </w:r>
      <w:r>
        <w:rPr>
          <w:rFonts w:hint="default"/>
        </w:rPr>
        <w:t>由乙方承担全部赔偿责任</w:t>
      </w:r>
      <w:r>
        <w:rPr>
          <w:rFonts w:hint="eastAsia"/>
        </w:rPr>
        <w:t>；给甲方病患及其家属、陪护造成损害的，依法承担责任。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 xml:space="preserve">8. 2 对乙方的赔偿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对于甲方或其员工的过失行为或疏忽给乙方及其合伙人、董事、管理人员和员工所造成的任何</w:t>
      </w:r>
      <w:r>
        <w:rPr>
          <w:rFonts w:hint="default"/>
        </w:rPr>
        <w:t>损失</w:t>
      </w:r>
      <w:r>
        <w:rPr>
          <w:rFonts w:hint="eastAsia"/>
        </w:rPr>
        <w:t>(包括合理的律师费)，甲方将给予赔偿使其免受损失。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8. 3索赔限制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在履行合同过程中引起的索赔，索赔时效依照有关法律规定执行。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8. 4 有效条款</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本协议终止后，第8条款的规定仍然有效。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9.不得聘用对方员工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9. 1 不得招揽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协议期限内及之后一年内的任何时候，未经另一方事先书面批准，任何一方不得聘用对方的人员，也不得干涉这些员工与另一方的合同关系。任何一方不得直接或间接地、为自己或为任何其它人、公司聘用或带走另一方的员工。双方同意本条的目的是为保护双方各自的合法商业权益而不是旨在限制有关人员的职业选择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9. 2 违反约定的补救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如果任何一方违反上述约定，在不影响受害方可获得的其它补救(包括赔偿损失的权利)的前提下，受害方应有权向具有管辖权的法院申请制止违约方雇用对方的人员并获得强制执行所违反的条款的裁定。违约方应承担受害方为强制执行此约定所支出的所有合理的律师费、其它费用及开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10.期限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10.1 服务期限；延续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本协议服务期限为壹 年，自20</w:t>
      </w:r>
      <w:r>
        <w:rPr>
          <w:rFonts w:hint="eastAsia"/>
          <w:lang w:val="en-US" w:eastAsia="zh-CN"/>
        </w:rPr>
        <w:t xml:space="preserve">2 </w:t>
      </w:r>
      <w:r>
        <w:rPr>
          <w:rFonts w:hint="eastAsia"/>
        </w:rPr>
        <w:t>年</w:t>
      </w:r>
      <w:r>
        <w:rPr>
          <w:rFonts w:hint="eastAsia"/>
          <w:lang w:val="en-US" w:eastAsia="zh-CN"/>
        </w:rPr>
        <w:t xml:space="preserve">  </w:t>
      </w:r>
      <w:r>
        <w:rPr>
          <w:rFonts w:hint="eastAsia"/>
        </w:rPr>
        <w:t xml:space="preserve">月 </w:t>
      </w:r>
      <w:r>
        <w:rPr>
          <w:rFonts w:hint="eastAsia"/>
          <w:lang w:val="en-US" w:eastAsia="zh-CN"/>
        </w:rPr>
        <w:t xml:space="preserve">  </w:t>
      </w:r>
      <w:r>
        <w:rPr>
          <w:rFonts w:hint="eastAsia"/>
        </w:rPr>
        <w:t>日至202</w:t>
      </w:r>
      <w:r>
        <w:rPr>
          <w:rFonts w:hint="eastAsia"/>
          <w:lang w:val="en-US" w:eastAsia="zh-CN"/>
        </w:rPr>
        <w:t xml:space="preserve"> </w:t>
      </w:r>
      <w:r>
        <w:rPr>
          <w:rFonts w:hint="eastAsia"/>
        </w:rPr>
        <w:t xml:space="preserve">年 </w:t>
      </w:r>
      <w:r>
        <w:rPr>
          <w:rFonts w:hint="eastAsia"/>
          <w:lang w:val="en-US" w:eastAsia="zh-CN"/>
        </w:rPr>
        <w:t xml:space="preserve">   </w:t>
      </w:r>
      <w:r>
        <w:rPr>
          <w:rFonts w:hint="eastAsia"/>
        </w:rPr>
        <w:t>月</w:t>
      </w:r>
      <w:r>
        <w:rPr>
          <w:rFonts w:hint="eastAsia"/>
          <w:lang w:val="en-US" w:eastAsia="zh-CN"/>
        </w:rPr>
        <w:t xml:space="preserve">  </w:t>
      </w:r>
      <w:r>
        <w:rPr>
          <w:rFonts w:hint="eastAsia"/>
        </w:rPr>
        <w:t>日。服务期满后，甲方根据该服务期内的考核情况决定是否续签下年度服务合同。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续签合同期内除发生上述7.4条款外，服务费用按照上以合同期费用标准执行。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任何一方都可在期限到期日不再续签本协议，但必须在本协议期满之前二个月通知对方。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 xml:space="preserve">11.由甲方提供的场地和其它餐饮条件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11.1 场地和公用设施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乙方进行管理服务所使用的办公室、更衣室、设备工具库房、以及各种公用设施(包括上下水、电以及电话和网线)由甲方向乙方免费提供。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11. 2 职工福利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乙方员工应有权在甲方餐厅用餐，并享有与甲方普通员工一样的购买和用餐待遇。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12.执行检查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 xml:space="preserve">12.1 执行检查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双方代表应定期联合检查乙方的管理服务履行情况和其它相关事宜。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13.协议终止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 xml:space="preserve">13. 1 违约通知；宽限期；终止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如果一方（“违约方”）违反其在本协议项下的一项或多项义务，另一方（“受害方”）应通知违约方并指出违约性质。违约方应自收到通知（收件地址同合同）起20天内就通知的违约事宜予以补救。如果20天后违约方仍未纠正，受害方届时可书面通知违约方终止本协议，在提交终止协议书面通知第20天后，本协议应视为终止，受害方即可停止履行其在本协议项下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14.一般条款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 xml:space="preserve">14. 1 可分割性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如果本协议任何部分被有管辖权法院认为无法强制执行，本协议其它条款的有效性不受影响。双方权利义务的解释和履行应按照本协议不含该特定部分来进行。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 xml:space="preserve">14. 2  完整的协议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本协议将取代原有及现存的所有口头或书面协议。本协议包含了双方就本协议有关事项达成的全部共识.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14. 3争议解决</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对于任何因本协议或因违反本协议而产生或与之相关的争议，双方应善意地尽力以调解方式解决。如果经调解该争议无法解决，则应提交甲方所在地人民法院诉讼解决。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 xml:space="preserve">14.4 律师费用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在</w:t>
      </w:r>
      <w:r>
        <w:rPr>
          <w:rFonts w:hint="eastAsia"/>
          <w:lang w:eastAsia="zh-CN"/>
        </w:rPr>
        <w:t>履行</w:t>
      </w:r>
      <w:r>
        <w:rPr>
          <w:rFonts w:hint="eastAsia"/>
        </w:rPr>
        <w:t>本协议</w:t>
      </w:r>
      <w:r>
        <w:rPr>
          <w:rFonts w:hint="eastAsia"/>
          <w:lang w:eastAsia="zh-CN"/>
        </w:rPr>
        <w:t>过程中产生的合理费用及律师费用</w:t>
      </w:r>
      <w:r>
        <w:rPr>
          <w:rFonts w:hint="eastAsia"/>
        </w:rPr>
        <w:t>由败讼方承担。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 xml:space="preserve">14. 5不构成放弃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对任何违约行为的豁免，不能被解释为或构成放弃对以后任何违约行为的追究。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b/>
          <w:bCs/>
        </w:rPr>
        <w:t xml:space="preserve">14. 6 间接损失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双方同意，任何情况下，乙方都不应负担任何甲方的商业损失、利润或收入、以及附带的或间接的损失。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 xml:space="preserve">14. 7 不可抗力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如果乙方对本合同的履行因任何乙方无法控制的原因，包括但不限于火灾、洪水、全国范围内的劳动力短缺、罢工、动乱及国内紧急情况而延迟，则乙方履行合同的时间也应作相应延迟。如延迟时间超过30天，甲方可选择终止本协议，并在协议终止时应支付已到期的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因不可抗力影响而不能执行本协议的部分或全部条款的，合同任何一方毋需承担相关法律责任，但应当履行及时告知义务并尽最大努力减少双方的损失。因一方违约导致遭遇不可抗力的，该方不得援引不可抗力免责，仍应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rPr>
      </w:pPr>
      <w:r>
        <w:rPr>
          <w:rFonts w:hint="eastAsia"/>
          <w:b/>
          <w:bCs/>
          <w:highlight w:val="none"/>
        </w:rPr>
        <w:t>14. 8 本合同一式</w:t>
      </w:r>
      <w:r>
        <w:rPr>
          <w:rFonts w:hint="eastAsia"/>
          <w:b/>
          <w:bCs/>
          <w:highlight w:val="none"/>
          <w:lang w:val="en-US" w:eastAsia="zh-CN"/>
        </w:rPr>
        <w:t>伍</w:t>
      </w:r>
      <w:r>
        <w:rPr>
          <w:rFonts w:hint="eastAsia"/>
          <w:b/>
          <w:bCs/>
          <w:highlight w:val="none"/>
        </w:rPr>
        <w:t xml:space="preserve">份 </w:t>
      </w:r>
      <w:r>
        <w:rPr>
          <w:rFonts w:hint="eastAsia"/>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highlight w:val="none"/>
        </w:rPr>
        <w:t>本合同一式伍份。具有同等法律效力，甲方执叁份，乙方执贰份、</w:t>
      </w:r>
      <w:r>
        <w:rPr>
          <w:rFonts w:hint="eastAsia"/>
        </w:rPr>
        <w:t>经甲、乙法定代表人或其委托人签字盖章后生效。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highlight w:val="none"/>
        </w:rPr>
      </w:pPr>
      <w:r>
        <w:rPr>
          <w:rFonts w:hint="eastAsia"/>
          <w:b/>
          <w:bCs/>
          <w:highlight w:val="none"/>
        </w:rPr>
        <w:t xml:space="preserve">14. 9 其他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本合同未尽事宜以20</w:t>
      </w:r>
      <w:r>
        <w:rPr>
          <w:rFonts w:hint="eastAsia"/>
          <w:lang w:val="en-US" w:eastAsia="zh-CN"/>
        </w:rPr>
        <w:t xml:space="preserve">2  </w:t>
      </w:r>
      <w:r>
        <w:rPr>
          <w:rFonts w:hint="eastAsia"/>
        </w:rPr>
        <w:t>年</w:t>
      </w:r>
      <w:r>
        <w:rPr>
          <w:rFonts w:hint="eastAsia"/>
          <w:lang w:val="en-US" w:eastAsia="zh-CN"/>
        </w:rPr>
        <w:t xml:space="preserve">   </w:t>
      </w:r>
      <w:r>
        <w:rPr>
          <w:rFonts w:hint="eastAsia"/>
        </w:rPr>
        <w:t>月的招标文件、投标文件为准。双方可以增加条款或补充协议的形式加以补充。补充协议与本合同具有相同的法律效力。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lang w:eastAsia="zh-CN"/>
        </w:rPr>
      </w:pPr>
      <w:r>
        <w:rPr>
          <w:rFonts w:hint="eastAsia"/>
        </w:rPr>
        <w:t>甲  方（盖章）：浙江康复医疗中心     乙  方（盖章）：</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法定代表人或受委托人                  法定代表人或受委托人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（签字）：                            （签字）：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lang w:eastAsia="zh-CN"/>
        </w:rPr>
      </w:pPr>
      <w:r>
        <w:rPr>
          <w:rFonts w:hint="eastAsia"/>
        </w:rPr>
        <w:t xml:space="preserve">地  址：杭州市滨江区滨盛路2828号   地 址：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lang w:eastAsia="zh-CN"/>
        </w:rPr>
      </w:pPr>
      <w:r>
        <w:rPr>
          <w:rFonts w:hint="eastAsia"/>
        </w:rPr>
        <w:t>开户银行：</w:t>
      </w:r>
      <w:r>
        <w:rPr>
          <w:rFonts w:hint="eastAsia"/>
          <w:lang w:eastAsia="zh-CN"/>
        </w:rPr>
        <w:t>工行朝晖支行</w:t>
      </w:r>
      <w:r>
        <w:rPr>
          <w:rFonts w:hint="eastAsia"/>
        </w:rPr>
        <w:t xml:space="preserve">              开户银行：</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lang w:eastAsia="zh-CN"/>
        </w:rPr>
      </w:pPr>
      <w:r>
        <w:rPr>
          <w:rFonts w:hint="eastAsia"/>
        </w:rPr>
        <w:t>帐  号：</w:t>
      </w:r>
      <w:r>
        <w:rPr>
          <w:rFonts w:hint="eastAsia"/>
          <w:lang w:val="en-US" w:eastAsia="zh-CN"/>
        </w:rPr>
        <w:t>1202022109900286806</w:t>
      </w:r>
      <w:r>
        <w:rPr>
          <w:rFonts w:hint="eastAsia"/>
        </w:rPr>
        <w:t xml:space="preserve">       </w:t>
      </w:r>
      <w:r>
        <w:rPr>
          <w:rFonts w:hint="eastAsia"/>
          <w:lang w:val="en-US" w:eastAsia="zh-CN"/>
        </w:rPr>
        <w:t xml:space="preserve"> </w:t>
      </w:r>
      <w:r>
        <w:rPr>
          <w:rFonts w:hint="eastAsia"/>
        </w:rPr>
        <w:t xml:space="preserve"> 帐  号：</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签约时间：    年   月   日          签约时间：   年    月    日</w:t>
      </w:r>
    </w:p>
    <w:bookmarkEnd w:id="432"/>
    <w:bookmarkEnd w:id="433"/>
    <w:bookmarkEnd w:id="434"/>
    <w:p>
      <w:pPr>
        <w:spacing w:line="360" w:lineRule="auto"/>
        <w:ind w:firstLine="420"/>
        <w:rPr>
          <w:rFonts w:ascii="宋体" w:hAnsi="宋体" w:cs="宋体"/>
          <w:sz w:val="24"/>
        </w:rPr>
      </w:pPr>
    </w:p>
    <w:p>
      <w:pPr>
        <w:spacing w:line="360" w:lineRule="auto"/>
        <w:rPr>
          <w:rFonts w:ascii="宋体" w:hAnsi="宋体" w:cs="宋体"/>
          <w:b/>
          <w:sz w:val="36"/>
          <w:szCs w:val="20"/>
        </w:rPr>
      </w:pPr>
      <w:r>
        <w:rPr>
          <w:rFonts w:hint="eastAsia" w:ascii="宋体" w:hAnsi="宋体" w:cs="宋体"/>
          <w:b/>
          <w:sz w:val="36"/>
          <w:szCs w:val="20"/>
        </w:rPr>
        <w:br w:type="page"/>
      </w:r>
    </w:p>
    <w:p>
      <w:pPr>
        <w:spacing w:line="360" w:lineRule="auto"/>
        <w:jc w:val="center"/>
        <w:outlineLvl w:val="0"/>
        <w:rPr>
          <w:rFonts w:ascii="宋体" w:hAnsi="宋体" w:cs="宋体"/>
          <w:b/>
          <w:sz w:val="36"/>
          <w:szCs w:val="20"/>
        </w:rPr>
      </w:pPr>
      <w:bookmarkStart w:id="435" w:name="_Toc7034"/>
      <w:r>
        <w:rPr>
          <w:rFonts w:hint="eastAsia" w:ascii="宋体" w:hAnsi="宋体" w:cs="宋体"/>
          <w:b/>
          <w:sz w:val="36"/>
          <w:szCs w:val="20"/>
        </w:rPr>
        <w:t>第六部分</w:t>
      </w:r>
      <w:bookmarkEnd w:id="429"/>
      <w:bookmarkEnd w:id="430"/>
      <w:r>
        <w:rPr>
          <w:rFonts w:hint="eastAsia" w:ascii="宋体" w:hAnsi="宋体" w:cs="宋体"/>
          <w:b/>
          <w:sz w:val="36"/>
          <w:szCs w:val="20"/>
        </w:rPr>
        <w:t xml:space="preserve"> 应提交的有关格式范例</w:t>
      </w:r>
      <w:bookmarkEnd w:id="435"/>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bookmarkStart w:id="436" w:name="_Toc2950"/>
      <w:r>
        <w:rPr>
          <w:rFonts w:hint="eastAsia" w:ascii="宋体" w:hAnsi="宋体" w:cs="宋体"/>
          <w:b/>
          <w:kern w:val="0"/>
          <w:sz w:val="36"/>
          <w:szCs w:val="36"/>
        </w:rPr>
        <w:t>资格文件部分</w:t>
      </w:r>
      <w:bookmarkEnd w:id="436"/>
    </w:p>
    <w:p>
      <w:pPr>
        <w:spacing w:line="360" w:lineRule="auto"/>
        <w:jc w:val="center"/>
        <w:outlineLvl w:val="0"/>
        <w:rPr>
          <w:rFonts w:ascii="宋体" w:hAnsi="宋体" w:cs="宋体"/>
          <w:b/>
          <w:kern w:val="0"/>
          <w:sz w:val="36"/>
          <w:szCs w:val="36"/>
        </w:rPr>
      </w:pPr>
      <w:bookmarkStart w:id="437" w:name="_Toc16846"/>
      <w:r>
        <w:rPr>
          <w:rFonts w:hint="eastAsia" w:ascii="宋体" w:hAnsi="宋体" w:cs="宋体"/>
          <w:b/>
          <w:kern w:val="0"/>
          <w:sz w:val="36"/>
          <w:szCs w:val="36"/>
        </w:rPr>
        <w:t>目录</w:t>
      </w:r>
      <w:bookmarkEnd w:id="437"/>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z w:val="24"/>
        </w:rPr>
        <w:t>（2）落实政府采购政策需满足的资格要求………………………………（页码）</w:t>
      </w:r>
    </w:p>
    <w:p>
      <w:pPr>
        <w:snapToGrid w:val="0"/>
        <w:spacing w:line="360" w:lineRule="auto"/>
        <w:rPr>
          <w:rFonts w:ascii="宋体" w:hAnsi="宋体" w:cs="宋体"/>
          <w:sz w:val="24"/>
        </w:rPr>
      </w:pPr>
      <w:r>
        <w:rPr>
          <w:rFonts w:hint="eastAsia" w:ascii="宋体" w:hAnsi="宋体" w:cs="宋体"/>
          <w:sz w:val="24"/>
        </w:rPr>
        <w:t>（3）本项目的特定资格要求………………………………………………（页码）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lang w:eastAsia="zh-CN"/>
        </w:rPr>
        <w:t>浙江康复医疗中心</w:t>
      </w:r>
      <w:r>
        <w:rPr>
          <w:rFonts w:hint="eastAsia" w:ascii="宋体" w:hAnsi="宋体" w:cs="宋体"/>
          <w:sz w:val="24"/>
        </w:rPr>
        <w:t>、浙江信镧建设工程咨询有限公司：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sz w:val="24"/>
          <w:lang w:eastAsia="zh-CN"/>
        </w:rPr>
        <w:t>物业服务项目</w:t>
      </w:r>
      <w:r>
        <w:rPr>
          <w:rFonts w:hint="eastAsia" w:ascii="宋体" w:hAnsi="宋体" w:cs="宋体"/>
          <w:sz w:val="24"/>
        </w:rPr>
        <w:t>【招标编号：</w:t>
      </w:r>
      <w:r>
        <w:rPr>
          <w:rFonts w:hint="eastAsia" w:ascii="宋体" w:hAnsi="宋体" w:cs="宋体"/>
          <w:sz w:val="24"/>
          <w:lang w:eastAsia="zh-CN"/>
        </w:rPr>
        <w:t>ZJXL-KFYL-202225</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hint="eastAsia" w:ascii="宋体" w:hAnsi="宋体" w:cs="宋体"/>
          <w:b/>
          <w:kern w:val="0"/>
          <w:sz w:val="32"/>
          <w:szCs w:val="32"/>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二、落实政府采购政策需满足的资格要求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.专门面向中小企业，货物全部由符合政策要求的中小企业（或小微企业）制造或者服务全部由符合政策要求的中小企业（或小微企业）承接的，提供相应的中小企业声明函（附件5）。</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宋体" w:hAnsi="宋体" w:cs="宋体"/>
          <w:b/>
          <w:kern w:val="0"/>
          <w:sz w:val="32"/>
          <w:szCs w:val="32"/>
          <w:lang w:val="zh-CN"/>
        </w:rPr>
      </w:pPr>
      <w:r>
        <w:rPr>
          <w:rFonts w:hint="eastAsia" w:ascii="宋体" w:hAnsi="宋体" w:cs="宋体"/>
          <w:b/>
          <w:kern w:val="0"/>
          <w:sz w:val="32"/>
          <w:szCs w:val="32"/>
          <w:lang w:val="zh-CN"/>
        </w:rPr>
        <w:t>联合协议</w:t>
      </w:r>
    </w:p>
    <w:p>
      <w:pPr>
        <w:snapToGrid w:val="0"/>
        <w:spacing w:line="360" w:lineRule="auto"/>
        <w:ind w:firstLine="576"/>
        <w:rPr>
          <w:rFonts w:ascii="宋体" w:hAnsi="宋体" w:cs="宋体"/>
          <w:color w:val="FF0000"/>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lang w:eastAsia="zh-CN"/>
        </w:rPr>
        <w:t>物业服务项目</w:t>
      </w:r>
      <w:r>
        <w:rPr>
          <w:rFonts w:hint="eastAsia" w:ascii="宋体" w:hAnsi="宋体" w:cs="宋体"/>
          <w:sz w:val="24"/>
        </w:rPr>
        <w:t>【招标编号：</w:t>
      </w:r>
      <w:r>
        <w:rPr>
          <w:rFonts w:hint="eastAsia" w:ascii="宋体" w:hAnsi="宋体" w:cs="宋体"/>
          <w:sz w:val="24"/>
          <w:lang w:eastAsia="zh-CN"/>
        </w:rPr>
        <w:t>ZJXL-KFYL-202225</w:t>
      </w:r>
      <w:r>
        <w:rPr>
          <w:rFonts w:hint="eastAsia" w:ascii="宋体" w:hAnsi="宋体" w:cs="宋体"/>
          <w:sz w:val="24"/>
        </w:rPr>
        <w:t>】</w:t>
      </w:r>
      <w:r>
        <w:rPr>
          <w:rFonts w:hint="eastAsia" w:ascii="宋体" w:hAnsi="宋体" w:cs="宋体"/>
          <w:kern w:val="0"/>
          <w:sz w:val="24"/>
          <w:lang w:val="zh-CN"/>
        </w:rPr>
        <w:t>投标。</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w:t>
      </w:r>
      <w:r>
        <w:rPr>
          <w:rFonts w:hint="eastAsia" w:ascii="宋体" w:hAnsi="宋体" w:cs="宋体"/>
          <w:sz w:val="24"/>
        </w:rPr>
        <w:t>中小企业合同金额达到%，小微企业合同金额达到%</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firstLine="480" w:firstLineChars="200"/>
        <w:rPr>
          <w:rFonts w:ascii="宋体" w:hAnsi="宋体" w:cs="宋体"/>
          <w:sz w:val="24"/>
        </w:rPr>
      </w:pP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lang w:eastAsia="zh-CN"/>
        </w:rPr>
        <w:t>物业服务项目</w:t>
      </w:r>
      <w:r>
        <w:rPr>
          <w:rFonts w:hint="eastAsia" w:ascii="宋体" w:hAnsi="宋体" w:cs="宋体"/>
          <w:sz w:val="24"/>
        </w:rPr>
        <w:t>【招标编号：</w:t>
      </w:r>
      <w:r>
        <w:rPr>
          <w:rFonts w:hint="eastAsia" w:ascii="宋体" w:hAnsi="宋体" w:cs="宋体"/>
          <w:sz w:val="24"/>
          <w:lang w:eastAsia="zh-CN"/>
        </w:rPr>
        <w:t>ZJXL-KFYL-202225</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6"/>
        <w:ind w:left="664" w:leftChars="316" w:firstLine="229" w:firstLineChars="95"/>
        <w:rPr>
          <w:rFonts w:ascii="宋体" w:hAnsi="宋体" w:eastAsia="宋体" w:cs="宋体"/>
        </w:rPr>
      </w:pPr>
      <w:bookmarkStart w:id="438" w:name="_Toc14623"/>
      <w:r>
        <w:rPr>
          <w:rFonts w:hint="eastAsia" w:ascii="宋体" w:hAnsi="宋体" w:eastAsia="宋体" w:cs="宋体"/>
          <w:kern w:val="0"/>
          <w:sz w:val="24"/>
          <w:szCs w:val="24"/>
        </w:rPr>
        <w:t>……</w:t>
      </w:r>
      <w:bookmarkEnd w:id="438"/>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hAnsi="宋体" w:cs="宋体"/>
          <w:kern w:val="0"/>
          <w:sz w:val="24"/>
          <w:lang w:val="zh-CN"/>
        </w:rPr>
      </w:pP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中小企业合同金额达到%，小微企业合同金额达到%</w:t>
      </w:r>
      <w:r>
        <w:rPr>
          <w:rFonts w:hint="eastAsia" w:ascii="宋体" w:hAnsi="宋体" w:cs="宋体"/>
          <w:kern w:val="0"/>
          <w:sz w:val="24"/>
          <w:lang w:val="zh-CN"/>
        </w:rPr>
        <w:t xml:space="preserve">  。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widowControl/>
        <w:spacing w:line="360" w:lineRule="auto"/>
        <w:ind w:left="150"/>
        <w:jc w:val="center"/>
        <w:rPr>
          <w:rFonts w:ascii="宋体" w:hAnsi="宋体" w:cs="宋体"/>
          <w:b/>
          <w:kern w:val="0"/>
          <w:sz w:val="32"/>
          <w:szCs w:val="32"/>
        </w:rPr>
      </w:pPr>
    </w:p>
    <w:p>
      <w:pPr>
        <w:rPr>
          <w:rFonts w:ascii="宋体" w:hAnsi="宋体" w:cs="宋体"/>
          <w:b/>
          <w:kern w:val="0"/>
          <w:sz w:val="32"/>
          <w:szCs w:val="32"/>
        </w:rPr>
      </w:pPr>
      <w:r>
        <w:rPr>
          <w:rFonts w:hint="eastAsia" w:ascii="宋体" w:hAnsi="宋体" w:cs="宋体"/>
          <w:b/>
          <w:kern w:val="0"/>
          <w:sz w:val="32"/>
          <w:szCs w:val="32"/>
        </w:rPr>
        <w:br w:type="page"/>
      </w: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三、本项目的特定资格要求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rPr>
          <w:rFonts w:ascii="宋体" w:hAnsi="宋体" w:cs="宋体"/>
          <w:b/>
          <w:kern w:val="0"/>
          <w:sz w:val="36"/>
          <w:szCs w:val="36"/>
        </w:rPr>
      </w:pPr>
      <w:r>
        <w:rPr>
          <w:rFonts w:hint="eastAsia"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bookmarkStart w:id="439" w:name="_Toc15453"/>
      <w:r>
        <w:rPr>
          <w:rFonts w:hint="eastAsia" w:ascii="宋体" w:hAnsi="宋体" w:cs="宋体"/>
          <w:b/>
          <w:kern w:val="0"/>
          <w:sz w:val="28"/>
          <w:szCs w:val="28"/>
        </w:rPr>
        <w:t>目录</w:t>
      </w:r>
      <w:bookmarkEnd w:id="439"/>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（3）联合协议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（4）分包意向协议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（5）符合性审查资料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（6）评标标准相应的商务技术资料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（7）商务技术偏离表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jc w:val="cente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sz w:val="32"/>
          <w:szCs w:val="32"/>
        </w:rPr>
      </w:pPr>
      <w:bookmarkStart w:id="440" w:name="_Toc4096"/>
      <w:r>
        <w:rPr>
          <w:rFonts w:hint="eastAsia" w:ascii="宋体" w:hAnsi="宋体" w:cs="宋体"/>
          <w:b/>
          <w:kern w:val="0"/>
          <w:sz w:val="32"/>
          <w:szCs w:val="32"/>
        </w:rPr>
        <w:t>一、投标</w:t>
      </w:r>
      <w:r>
        <w:rPr>
          <w:rFonts w:hint="eastAsia" w:ascii="宋体" w:hAnsi="宋体" w:cs="宋体"/>
          <w:b/>
          <w:sz w:val="32"/>
          <w:szCs w:val="32"/>
        </w:rPr>
        <w:t>函</w:t>
      </w:r>
      <w:bookmarkEnd w:id="440"/>
    </w:p>
    <w:p>
      <w:pPr>
        <w:snapToGrid w:val="0"/>
        <w:spacing w:line="360" w:lineRule="auto"/>
        <w:rPr>
          <w:rFonts w:ascii="宋体" w:hAnsi="宋体" w:cs="宋体"/>
          <w:sz w:val="24"/>
        </w:rPr>
      </w:pPr>
      <w:r>
        <w:rPr>
          <w:rFonts w:hint="eastAsia" w:ascii="宋体" w:hAnsi="宋体" w:cs="宋体"/>
          <w:sz w:val="24"/>
          <w:lang w:eastAsia="zh-CN"/>
        </w:rPr>
        <w:t>浙江康复医疗中心</w:t>
      </w:r>
      <w:r>
        <w:rPr>
          <w:rFonts w:hint="eastAsia" w:ascii="宋体" w:hAnsi="宋体" w:cs="宋体"/>
          <w:sz w:val="24"/>
        </w:rPr>
        <w:t>、浙江信镧建设工程咨询有限公司：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sz w:val="24"/>
          <w:lang w:eastAsia="zh-CN"/>
        </w:rPr>
        <w:t>物业服务项目</w:t>
      </w:r>
      <w:r>
        <w:rPr>
          <w:rFonts w:hint="eastAsia" w:ascii="宋体" w:hAnsi="宋体" w:cs="宋体"/>
          <w:sz w:val="24"/>
        </w:rPr>
        <w:t>【招标编号：</w:t>
      </w:r>
      <w:r>
        <w:rPr>
          <w:rFonts w:hint="eastAsia" w:ascii="宋体" w:hAnsi="宋体" w:cs="宋体"/>
          <w:sz w:val="24"/>
          <w:lang w:eastAsia="zh-CN"/>
        </w:rPr>
        <w:t>ZJXL-KFYL-202225</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2.1.3本项目的特定资格要求（如果有）。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2.2.3联合协议（如果有）；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2.2.4分包意向协议（如果有）；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2.2.5符合性审查资料；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2.2.6评标标准相应的商务技术资料；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2.2.7商务技术偏离表；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p>
    <w:p>
      <w:pPr>
        <w:spacing w:line="360" w:lineRule="auto"/>
        <w:ind w:firstLine="3600" w:firstLineChars="1500"/>
        <w:rPr>
          <w:rFonts w:ascii="宋体" w:hAnsi="宋体" w:cs="宋体"/>
          <w:sz w:val="24"/>
        </w:rPr>
      </w:pPr>
      <w:r>
        <w:rPr>
          <w:rFonts w:hint="eastAsia" w:ascii="宋体" w:hAnsi="宋体" w:cs="宋体"/>
          <w:sz w:val="24"/>
        </w:rPr>
        <w:t>投标人名称（电子签名）：</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lang w:val="zh-CN"/>
        </w:rPr>
      </w:pPr>
    </w:p>
    <w:p>
      <w:pPr>
        <w:snapToGrid w:val="0"/>
        <w:spacing w:line="360" w:lineRule="auto"/>
        <w:jc w:val="center"/>
        <w:rPr>
          <w:rFonts w:ascii="宋体" w:hAnsi="宋体" w:cs="宋体"/>
          <w:b/>
          <w:kern w:val="0"/>
          <w:sz w:val="32"/>
          <w:szCs w:val="32"/>
          <w:lang w:val="zh-CN"/>
        </w:rPr>
      </w:pPr>
    </w:p>
    <w:p>
      <w:pPr>
        <w:snapToGrid w:val="0"/>
        <w:spacing w:line="360" w:lineRule="auto"/>
        <w:rPr>
          <w:rFonts w:ascii="宋体" w:hAnsi="宋体" w:cs="宋体"/>
          <w:sz w:val="24"/>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rPr>
          <w:rFonts w:ascii="宋体" w:hAnsi="宋体" w:cs="宋体"/>
          <w:b/>
          <w:kern w:val="0"/>
          <w:sz w:val="32"/>
          <w:szCs w:val="32"/>
          <w:lang w:val="zh-CN"/>
        </w:rPr>
      </w:pPr>
      <w:r>
        <w:rPr>
          <w:rFonts w:hint="eastAsia" w:ascii="宋体" w:hAnsi="宋体" w:cs="宋体"/>
          <w:b/>
          <w:kern w:val="0"/>
          <w:sz w:val="32"/>
          <w:szCs w:val="32"/>
          <w:lang w:val="zh-CN"/>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p>
    <w:p>
      <w:pPr>
        <w:snapToGrid w:val="0"/>
        <w:spacing w:line="360" w:lineRule="auto"/>
        <w:rPr>
          <w:rFonts w:ascii="宋体" w:hAnsi="宋体" w:cs="宋体"/>
          <w:kern w:val="0"/>
          <w:sz w:val="24"/>
        </w:rPr>
      </w:pPr>
      <w:r>
        <w:rPr>
          <w:rFonts w:hint="eastAsia" w:ascii="宋体" w:hAnsi="宋体" w:cs="宋体"/>
          <w:sz w:val="24"/>
          <w:lang w:eastAsia="zh-CN"/>
        </w:rPr>
        <w:t>浙江康复医疗中心</w:t>
      </w:r>
      <w:r>
        <w:rPr>
          <w:rFonts w:hint="eastAsia" w:ascii="宋体" w:hAnsi="宋体" w:cs="宋体"/>
          <w:sz w:val="24"/>
        </w:rPr>
        <w:t>、浙江信镧建设工程咨询有限公司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lang w:eastAsia="zh-CN"/>
        </w:rPr>
        <w:t>物业服务项目</w:t>
      </w:r>
      <w:r>
        <w:rPr>
          <w:rFonts w:hint="eastAsia" w:ascii="宋体" w:hAnsi="宋体" w:cs="宋体"/>
          <w:sz w:val="24"/>
        </w:rPr>
        <w:t>【招标编号：</w:t>
      </w:r>
      <w:r>
        <w:rPr>
          <w:rFonts w:hint="eastAsia" w:ascii="宋体" w:hAnsi="宋体" w:cs="宋体"/>
          <w:sz w:val="24"/>
          <w:lang w:eastAsia="zh-CN"/>
        </w:rPr>
        <w:t>ZJXL-KFYL-202225</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hAnsi="宋体" w:cs="宋体"/>
          <w:kern w:val="0"/>
          <w:sz w:val="24"/>
        </w:rPr>
      </w:pP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lang w:eastAsia="zh-CN"/>
        </w:rPr>
        <w:t>浙江康复医疗中心</w:t>
      </w:r>
      <w:r>
        <w:rPr>
          <w:rFonts w:hint="eastAsia" w:ascii="宋体" w:hAnsi="宋体" w:cs="宋体"/>
          <w:sz w:val="24"/>
        </w:rPr>
        <w:t>、浙江信镧建设工程咨询有限公司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lang w:eastAsia="zh-CN"/>
        </w:rPr>
        <w:t>物业服务项目</w:t>
      </w:r>
      <w:r>
        <w:rPr>
          <w:rFonts w:hint="eastAsia" w:ascii="宋体" w:hAnsi="宋体" w:cs="宋体"/>
          <w:sz w:val="24"/>
        </w:rPr>
        <w:t>【招标编号：</w:t>
      </w:r>
      <w:r>
        <w:rPr>
          <w:rFonts w:hint="eastAsia" w:ascii="宋体" w:hAnsi="宋体" w:cs="宋体"/>
          <w:sz w:val="24"/>
          <w:lang w:eastAsia="zh-CN"/>
        </w:rPr>
        <w:t>ZJXL-KFYL-202225</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hAnsi="宋体" w:cs="宋体"/>
          <w:kern w:val="0"/>
          <w:sz w:val="24"/>
        </w:rPr>
      </w:pPr>
      <w:r>
        <w:rPr>
          <w:rFonts w:hint="eastAsia" w:ascii="宋体" w:hAnsi="宋体" w:cs="宋体"/>
          <w:kern w:val="0"/>
          <w:sz w:val="24"/>
          <w:lang w:val="zh-CN"/>
        </w:rPr>
        <w:t>特此告知。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rPr>
        <w:t>三、</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lang w:eastAsia="zh-CN"/>
        </w:rPr>
        <w:t>物业服务项目</w:t>
      </w:r>
      <w:r>
        <w:rPr>
          <w:rFonts w:hint="eastAsia" w:ascii="宋体" w:hAnsi="宋体" w:cs="宋体"/>
          <w:sz w:val="24"/>
        </w:rPr>
        <w:t>【招标编号：</w:t>
      </w:r>
      <w:r>
        <w:rPr>
          <w:rFonts w:hint="eastAsia" w:ascii="宋体" w:hAnsi="宋体" w:cs="宋体"/>
          <w:sz w:val="24"/>
          <w:lang w:eastAsia="zh-CN"/>
        </w:rPr>
        <w:t>ZJXL-KFYL-202225</w:t>
      </w:r>
      <w:r>
        <w:rPr>
          <w:rFonts w:hint="eastAsia" w:ascii="宋体" w:hAnsi="宋体" w:cs="宋体"/>
          <w:sz w:val="24"/>
        </w:rPr>
        <w:t>】</w:t>
      </w:r>
      <w:r>
        <w:rPr>
          <w:rFonts w:hint="eastAsia" w:ascii="宋体" w:hAnsi="宋体" w:cs="宋体"/>
          <w:kern w:val="0"/>
          <w:sz w:val="24"/>
          <w:lang w:val="zh-CN"/>
        </w:rPr>
        <w:t>投标。</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四、</w:t>
      </w:r>
      <w:r>
        <w:rPr>
          <w:rFonts w:hint="eastAsia" w:ascii="宋体" w:hAnsi="宋体" w:cs="宋体"/>
          <w:kern w:val="0"/>
          <w:sz w:val="24"/>
          <w:u w:val="single"/>
        </w:rPr>
        <w:t>（联合体其中一方成员名称）</w:t>
      </w:r>
      <w:r>
        <w:rPr>
          <w:rFonts w:hint="eastAsia" w:ascii="宋体" w:hAnsi="宋体" w:cs="宋体"/>
          <w:kern w:val="0"/>
          <w:sz w:val="24"/>
        </w:rPr>
        <w:t>提供的全部服务由小微企业提供，其合同份额占到合同总金额%以上；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（未预留份额专门面向中小企业采购的采购项目，以及预留份额中的非预留部分采购包，接受联合体投标的，联合体其中一方</w:t>
      </w:r>
      <w:r>
        <w:rPr>
          <w:rFonts w:hint="eastAsia" w:ascii="宋体" w:hAnsi="宋体" w:cs="宋体"/>
          <w:b/>
          <w:kern w:val="0"/>
          <w:sz w:val="24"/>
        </w:rPr>
        <w:t>是</w:t>
      </w:r>
      <w:r>
        <w:rPr>
          <w:rFonts w:hint="eastAsia" w:ascii="宋体" w:hAnsi="宋体" w:cs="宋体"/>
          <w:b/>
          <w:kern w:val="0"/>
          <w:sz w:val="24"/>
          <w:lang w:val="zh-CN"/>
        </w:rPr>
        <w:t>小微企业</w:t>
      </w:r>
      <w:r>
        <w:rPr>
          <w:rFonts w:hint="eastAsia" w:ascii="宋体" w:hAnsi="宋体" w:cs="宋体"/>
          <w:b/>
          <w:kern w:val="0"/>
          <w:sz w:val="24"/>
        </w:rPr>
        <w:t>的</w:t>
      </w:r>
      <w:r>
        <w:rPr>
          <w:rFonts w:hint="eastAsia" w:ascii="宋体" w:hAnsi="宋体" w:cs="宋体"/>
          <w:b/>
          <w:kern w:val="0"/>
          <w:sz w:val="24"/>
          <w:lang w:val="zh-CN"/>
        </w:rPr>
        <w:t>，且其合同份额占到合同总金额 30%以上，对联合体报价给予</w:t>
      </w:r>
      <w:r>
        <w:rPr>
          <w:rFonts w:hint="eastAsia" w:ascii="宋体" w:hAnsi="宋体" w:cs="宋体"/>
          <w:b/>
          <w:kern w:val="0"/>
          <w:sz w:val="24"/>
        </w:rPr>
        <w:t>6</w:t>
      </w:r>
      <w:r>
        <w:rPr>
          <w:rFonts w:hint="eastAsia" w:ascii="宋体" w:hAnsi="宋体" w:cs="宋体"/>
          <w:b/>
          <w:kern w:val="0"/>
          <w:sz w:val="24"/>
          <w:lang w:val="zh-CN"/>
        </w:rPr>
        <w:t>%的扣除）</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napToGrid w:val="0"/>
        <w:spacing w:line="360" w:lineRule="auto"/>
        <w:ind w:right="480"/>
        <w:rPr>
          <w:rFonts w:ascii="宋体" w:hAnsi="宋体" w:cs="宋体"/>
          <w:b/>
          <w:kern w:val="0"/>
          <w:sz w:val="32"/>
          <w:szCs w:val="32"/>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四、分包意向协议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lang w:eastAsia="zh-CN"/>
        </w:rPr>
        <w:t>物业服务项目</w:t>
      </w:r>
      <w:r>
        <w:rPr>
          <w:rFonts w:hint="eastAsia" w:ascii="宋体" w:hAnsi="宋体" w:cs="宋体"/>
          <w:sz w:val="24"/>
        </w:rPr>
        <w:t>【招标编号：</w:t>
      </w:r>
      <w:r>
        <w:rPr>
          <w:rFonts w:hint="eastAsia" w:ascii="宋体" w:hAnsi="宋体" w:cs="宋体"/>
          <w:sz w:val="24"/>
          <w:lang w:eastAsia="zh-CN"/>
        </w:rPr>
        <w:t>ZJXL-KFYL-202225</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6"/>
        <w:ind w:left="664" w:leftChars="316" w:firstLine="229" w:firstLineChars="95"/>
        <w:rPr>
          <w:rFonts w:ascii="宋体" w:hAnsi="宋体" w:eastAsia="宋体" w:cs="宋体"/>
        </w:rPr>
      </w:pPr>
      <w:bookmarkStart w:id="441" w:name="_Toc29237"/>
      <w:r>
        <w:rPr>
          <w:rFonts w:hint="eastAsia" w:ascii="宋体" w:hAnsi="宋体" w:eastAsia="宋体" w:cs="宋体"/>
          <w:kern w:val="0"/>
          <w:sz w:val="24"/>
          <w:szCs w:val="24"/>
        </w:rPr>
        <w:t>……</w:t>
      </w:r>
      <w:bookmarkEnd w:id="441"/>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hAnsi="宋体" w:cs="宋体"/>
          <w:kern w:val="0"/>
          <w:sz w:val="24"/>
          <w:lang w:val="zh-CN"/>
        </w:rPr>
      </w:pP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七、其他</w:t>
      </w:r>
    </w:p>
    <w:p>
      <w:pPr>
        <w:snapToGrid w:val="0"/>
        <w:spacing w:line="360" w:lineRule="auto"/>
        <w:ind w:firstLine="576"/>
        <w:rPr>
          <w:rFonts w:ascii="宋体" w:hAnsi="宋体" w:cs="宋体"/>
          <w:b/>
          <w:kern w:val="0"/>
          <w:sz w:val="24"/>
          <w:lang w:val="zh-CN"/>
        </w:rPr>
      </w:pPr>
      <w:r>
        <w:rPr>
          <w:rFonts w:hint="eastAsia" w:ascii="宋体" w:hAnsi="宋体" w:cs="宋体"/>
          <w:kern w:val="0"/>
          <w:sz w:val="24"/>
          <w:u w:val="single"/>
        </w:rPr>
        <w:t>（分包供应商名称）提供的服务全部由小微企业提供，</w:t>
      </w:r>
      <w:r>
        <w:rPr>
          <w:rFonts w:hint="eastAsia" w:ascii="宋体" w:hAnsi="宋体" w:cs="宋体"/>
          <w:kern w:val="0"/>
          <w:sz w:val="24"/>
        </w:rPr>
        <w:t>其合同份额占到合同总金额%以上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（未预留份额专门面向中小企业采购的采购项目，以及预留份额中的非预留部分采购包，允许分包的，分包供应商</w:t>
      </w:r>
      <w:r>
        <w:rPr>
          <w:rFonts w:hint="eastAsia" w:ascii="宋体" w:hAnsi="宋体" w:cs="宋体"/>
          <w:b/>
          <w:kern w:val="0"/>
          <w:sz w:val="24"/>
        </w:rPr>
        <w:t>是</w:t>
      </w:r>
      <w:r>
        <w:rPr>
          <w:rFonts w:hint="eastAsia" w:ascii="宋体" w:hAnsi="宋体" w:cs="宋体"/>
          <w:b/>
          <w:kern w:val="0"/>
          <w:sz w:val="24"/>
          <w:lang w:val="zh-CN"/>
        </w:rPr>
        <w:t>小微企业</w:t>
      </w:r>
      <w:r>
        <w:rPr>
          <w:rFonts w:hint="eastAsia" w:ascii="宋体" w:hAnsi="宋体" w:cs="宋体"/>
          <w:b/>
          <w:kern w:val="0"/>
          <w:sz w:val="24"/>
        </w:rPr>
        <w:t>的</w:t>
      </w:r>
      <w:r>
        <w:rPr>
          <w:rFonts w:hint="eastAsia" w:ascii="宋体" w:hAnsi="宋体" w:cs="宋体"/>
          <w:b/>
          <w:kern w:val="0"/>
          <w:sz w:val="24"/>
          <w:lang w:val="zh-CN"/>
        </w:rPr>
        <w:t>，且其合同份额占到合同总金额 30%以上的，对大中型企业的报价给予</w:t>
      </w:r>
      <w:r>
        <w:rPr>
          <w:rFonts w:hint="eastAsia" w:ascii="宋体" w:hAnsi="宋体" w:cs="宋体"/>
          <w:b/>
          <w:kern w:val="0"/>
          <w:sz w:val="24"/>
        </w:rPr>
        <w:t>6</w:t>
      </w:r>
      <w:r>
        <w:rPr>
          <w:rFonts w:hint="eastAsia" w:ascii="宋体" w:hAnsi="宋体" w:cs="宋体"/>
          <w:b/>
          <w:kern w:val="0"/>
          <w:sz w:val="24"/>
          <w:lang w:val="zh-CN"/>
        </w:rPr>
        <w:t>%的扣除）</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ascii="宋体" w:hAnsi="宋体" w:cs="宋体"/>
          <w:b/>
          <w:kern w:val="0"/>
          <w:sz w:val="32"/>
          <w:szCs w:val="32"/>
        </w:rPr>
      </w:pPr>
      <w:r>
        <w:rPr>
          <w:rFonts w:hint="eastAsia" w:ascii="宋体" w:hAnsi="宋体" w:cs="宋体"/>
          <w:b/>
          <w:kern w:val="0"/>
          <w:sz w:val="32"/>
          <w:szCs w:val="32"/>
        </w:rPr>
        <w:t>五、符合性审查资料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sz w:val="24"/>
              </w:rPr>
            </w:pPr>
            <w:r>
              <w:rPr>
                <w:rFonts w:hint="eastAsia" w:ascii="宋体" w:hAnsi="宋体" w:cs="宋体"/>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sz w:val="24"/>
              </w:rPr>
            </w:pPr>
            <w:r>
              <w:rPr>
                <w:rFonts w:hint="eastAsia" w:ascii="宋体" w:hAnsi="宋体" w:cs="宋体"/>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sz w:val="24"/>
              </w:rPr>
            </w:pPr>
            <w:r>
              <w:rPr>
                <w:rFonts w:hint="eastAsia" w:ascii="宋体" w:hAnsi="宋体" w:cs="宋体"/>
                <w:sz w:val="24"/>
              </w:rPr>
              <w:t>见投标文件第页</w:t>
            </w:r>
          </w:p>
        </w:tc>
      </w:tr>
    </w:tbl>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r>
        <w:rPr>
          <w:rFonts w:hint="eastAsia"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六、评标标准相应的商务技术资料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（按招标文件第四部分评标办法中“投标文件中评标标准相应的商务技术资料要求”提供资料）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r>
        <w:rPr>
          <w:rFonts w:hint="eastAsia" w:ascii="宋体" w:hAnsi="宋体" w:cs="宋体"/>
          <w:b/>
          <w:kern w:val="0"/>
          <w:sz w:val="32"/>
          <w:szCs w:val="32"/>
        </w:rPr>
        <w:br w:type="page"/>
      </w: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autoSpaceDE w:val="0"/>
        <w:autoSpaceDN w:val="0"/>
        <w:spacing w:line="360" w:lineRule="auto"/>
        <w:ind w:right="1120" w:firstLine="3360" w:firstLineChars="14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w:t>
      </w:r>
    </w:p>
    <w:p>
      <w:pPr>
        <w:jc w:val="center"/>
        <w:rPr>
          <w:rFonts w:ascii="宋体" w:hAnsi="宋体" w:cs="宋体"/>
          <w:b/>
          <w:kern w:val="0"/>
          <w:sz w:val="32"/>
          <w:szCs w:val="32"/>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1911" w:firstLineChars="595"/>
        <w:rPr>
          <w:rFonts w:ascii="宋体" w:hAnsi="宋体" w:cs="宋体"/>
          <w:b/>
          <w:kern w:val="0"/>
          <w:sz w:val="32"/>
          <w:szCs w:val="32"/>
        </w:rPr>
      </w:pPr>
      <w:r>
        <w:rPr>
          <w:rFonts w:hint="eastAsia" w:ascii="宋体" w:hAnsi="宋体" w:cs="宋体"/>
          <w:b/>
          <w:kern w:val="0"/>
          <w:sz w:val="32"/>
          <w:szCs w:val="32"/>
        </w:rPr>
        <w:t>八、</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lang w:eastAsia="zh-CN"/>
        </w:rPr>
        <w:t>浙江康复医疗中心</w:t>
      </w:r>
      <w:r>
        <w:rPr>
          <w:rFonts w:hint="eastAsia" w:ascii="宋体" w:hAnsi="宋体" w:cs="宋体"/>
          <w:sz w:val="24"/>
        </w:rPr>
        <w:t>、浙江信镧建设工程咨询有限公司</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等法律法规，诚实守信，合法经营，坚决抵制各种违法违纪行为。</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w:t>
      </w:r>
      <w:r>
        <w:rPr>
          <w:rFonts w:hint="eastAsia" w:ascii="宋体" w:hAnsi="宋体" w:cs="宋体"/>
          <w:kern w:val="0"/>
          <w:sz w:val="24"/>
        </w:rPr>
        <w:t>省财政厅</w:t>
      </w:r>
      <w:r>
        <w:rPr>
          <w:rFonts w:hint="eastAsia" w:ascii="宋体" w:hAnsi="宋体" w:cs="宋体"/>
          <w:kern w:val="0"/>
          <w:sz w:val="24"/>
          <w:lang w:val="zh-CN"/>
        </w:rPr>
        <w:t>。由此引起的相应损失均由我单位承担。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jc w:val="center"/>
        <w:rPr>
          <w:rFonts w:ascii="宋体" w:hAnsi="宋体" w:cs="宋体"/>
          <w:b/>
          <w:bCs/>
          <w:sz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ascii="宋体" w:hAnsi="宋体" w:cs="宋体"/>
          <w:b/>
          <w:kern w:val="0"/>
          <w:sz w:val="36"/>
          <w:szCs w:val="36"/>
        </w:rPr>
      </w:pPr>
      <w:bookmarkStart w:id="442" w:name="_Toc5292"/>
      <w:r>
        <w:rPr>
          <w:rFonts w:hint="eastAsia" w:ascii="宋体" w:hAnsi="宋体" w:cs="宋体"/>
          <w:b/>
          <w:kern w:val="0"/>
          <w:sz w:val="36"/>
          <w:szCs w:val="36"/>
        </w:rPr>
        <w:t>报价文件部分</w:t>
      </w:r>
      <w:bookmarkEnd w:id="442"/>
    </w:p>
    <w:p>
      <w:pPr>
        <w:spacing w:line="360" w:lineRule="auto"/>
        <w:jc w:val="center"/>
        <w:outlineLvl w:val="0"/>
        <w:rPr>
          <w:rFonts w:ascii="宋体" w:hAnsi="宋体" w:cs="宋体"/>
          <w:b/>
          <w:kern w:val="0"/>
          <w:sz w:val="36"/>
          <w:szCs w:val="36"/>
        </w:rPr>
      </w:pPr>
      <w:bookmarkStart w:id="443" w:name="_Toc28848"/>
      <w:r>
        <w:rPr>
          <w:rFonts w:hint="eastAsia" w:ascii="宋体" w:hAnsi="宋体" w:cs="宋体"/>
          <w:b/>
          <w:kern w:val="0"/>
          <w:sz w:val="36"/>
          <w:szCs w:val="36"/>
        </w:rPr>
        <w:t>目录</w:t>
      </w:r>
      <w:bookmarkEnd w:id="443"/>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bookmarkStart w:id="444" w:name="_Toc30300"/>
      <w:r>
        <w:rPr>
          <w:rFonts w:hint="eastAsia" w:ascii="宋体" w:hAnsi="宋体" w:eastAsia="宋体" w:cs="宋体"/>
          <w:kern w:val="2"/>
          <w:sz w:val="32"/>
          <w:szCs w:val="32"/>
        </w:rPr>
        <w:t>一、开标一览表（报价表）</w:t>
      </w:r>
      <w:bookmarkEnd w:id="444"/>
    </w:p>
    <w:p>
      <w:pPr>
        <w:snapToGrid w:val="0"/>
        <w:spacing w:line="360" w:lineRule="auto"/>
        <w:rPr>
          <w:rFonts w:ascii="宋体" w:hAnsi="宋体" w:cs="宋体"/>
          <w:kern w:val="0"/>
          <w:sz w:val="24"/>
        </w:rPr>
      </w:pPr>
      <w:r>
        <w:rPr>
          <w:rFonts w:hint="eastAsia" w:ascii="宋体" w:hAnsi="宋体" w:cs="宋体"/>
          <w:sz w:val="24"/>
          <w:lang w:eastAsia="zh-CN"/>
        </w:rPr>
        <w:t>浙江康复医疗中心</w:t>
      </w:r>
      <w:r>
        <w:rPr>
          <w:rFonts w:hint="eastAsia" w:ascii="宋体" w:hAnsi="宋体" w:cs="宋体"/>
          <w:sz w:val="24"/>
        </w:rPr>
        <w:t>、浙江信镧建设工程咨询有限公司</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lang w:eastAsia="zh-CN"/>
        </w:rPr>
        <w:t>物业服务项目</w:t>
      </w:r>
      <w:r>
        <w:rPr>
          <w:rFonts w:hint="eastAsia" w:ascii="宋体" w:hAnsi="宋体" w:cs="宋体"/>
          <w:kern w:val="0"/>
          <w:sz w:val="24"/>
          <w:lang w:val="zh-CN"/>
        </w:rPr>
        <w:t>【招标编号：</w:t>
      </w:r>
      <w:r>
        <w:rPr>
          <w:rFonts w:hint="eastAsia" w:ascii="宋体" w:hAnsi="宋体" w:cs="宋体"/>
          <w:sz w:val="24"/>
          <w:lang w:eastAsia="zh-CN"/>
        </w:rPr>
        <w:t>ZJXL-KFYL-202225</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具体服务</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总价</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服务要求</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1</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2</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lang w:eastAsia="zh-CN"/>
              </w:rPr>
              <w:t>一年报价（小写）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宋体" w:hAnsi="宋体" w:cs="宋体"/>
                <w:b/>
                <w:sz w:val="24"/>
              </w:rPr>
            </w:pPr>
            <w:r>
              <w:rPr>
                <w:rFonts w:hint="eastAsia" w:ascii="宋体" w:hAnsi="宋体" w:cs="宋体"/>
                <w:b/>
                <w:sz w:val="24"/>
                <w:lang w:eastAsia="zh-CN"/>
              </w:rPr>
              <w:t>两年总</w:t>
            </w: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lang w:eastAsia="zh-CN"/>
              </w:rPr>
              <w:t>两年总</w:t>
            </w: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1、投标人需按本表格式填写，不得自行更改。</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投标文件含有采购人不能接受的附加条件的，投标无效</w:t>
      </w:r>
      <w:r>
        <w:rPr>
          <w:rFonts w:hint="eastAsia" w:ascii="宋体" w:hAnsi="宋体" w:cs="宋体"/>
          <w:b/>
          <w:kern w:val="0"/>
          <w:sz w:val="24"/>
          <w:lang w:val="zh-CN"/>
        </w:rPr>
        <w:t>。</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3、以上表格要求细分项目及报价。</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4、特别提示：采购代理机构将对项目名称和项目编号，中标供应商名称、地址和中标金额，主要中标标的的名称、</w:t>
      </w:r>
      <w:r>
        <w:rPr>
          <w:rFonts w:hint="eastAsia" w:ascii="宋体" w:hAnsi="宋体" w:cs="宋体"/>
          <w:bCs/>
          <w:sz w:val="24"/>
        </w:rPr>
        <w:t>具体服务</w:t>
      </w:r>
      <w:r>
        <w:rPr>
          <w:rFonts w:hint="eastAsia" w:ascii="宋体" w:hAnsi="宋体" w:cs="宋体"/>
          <w:kern w:val="0"/>
          <w:sz w:val="24"/>
          <w:lang w:val="zh-CN"/>
        </w:rPr>
        <w:t>、数量、单价、服务要求等予以公示。</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szCs w:val="22"/>
          <w:lang w:val="zh-CN"/>
        </w:rPr>
        <w:t>5、</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sz w:val="32"/>
          <w:szCs w:val="32"/>
        </w:rPr>
      </w:pPr>
      <w:bookmarkStart w:id="445" w:name="_Toc11360"/>
      <w:r>
        <w:rPr>
          <w:rFonts w:hint="eastAsia" w:ascii="宋体" w:hAnsi="宋体" w:eastAsia="宋体" w:cs="宋体"/>
          <w:kern w:val="2"/>
          <w:sz w:val="32"/>
          <w:szCs w:val="32"/>
        </w:rPr>
        <w:t>二、</w:t>
      </w:r>
      <w:r>
        <w:rPr>
          <w:rFonts w:hint="eastAsia" w:ascii="宋体" w:hAnsi="宋体" w:eastAsia="宋体" w:cs="宋体"/>
          <w:sz w:val="32"/>
          <w:szCs w:val="32"/>
        </w:rPr>
        <w:t>中小企业声明函</w:t>
      </w:r>
      <w:bookmarkEnd w:id="445"/>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tabs>
          <w:tab w:val="left" w:pos="8085"/>
        </w:tabs>
        <w:spacing w:line="360" w:lineRule="auto"/>
        <w:ind w:firstLine="1285" w:firstLineChars="400"/>
        <w:jc w:val="left"/>
        <w:rPr>
          <w:rFonts w:ascii="宋体" w:hAns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lang w:val="zh-CN"/>
        </w:rPr>
      </w:pPr>
      <w:r>
        <w:rPr>
          <w:rFonts w:hint="eastAsia" w:ascii="宋体" w:hAnsi="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sz w:val="24"/>
        </w:rPr>
      </w:pPr>
      <w:r>
        <w:rPr>
          <w:rFonts w:hint="eastAsia" w:ascii="宋体" w:hAnsi="宋体" w:cs="宋体"/>
          <w:b/>
          <w:sz w:val="24"/>
        </w:rPr>
        <w:t>一、适用对象</w:t>
      </w:r>
    </w:p>
    <w:p>
      <w:pPr>
        <w:spacing w:line="360" w:lineRule="auto"/>
        <w:ind w:firstLine="480" w:firstLineChars="200"/>
        <w:rPr>
          <w:rFonts w:ascii="宋体" w:hAnsi="宋体" w:cs="宋体"/>
          <w:sz w:val="24"/>
        </w:rPr>
      </w:pPr>
      <w:r>
        <w:rPr>
          <w:rFonts w:hint="eastAsia" w:ascii="宋体" w:hAnsi="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sz w:val="24"/>
        </w:rPr>
      </w:pPr>
      <w:r>
        <w:rPr>
          <w:rFonts w:hint="eastAsia" w:ascii="宋体" w:hAnsi="宋体" w:cs="宋体"/>
          <w:b/>
          <w:sz w:val="24"/>
        </w:rPr>
        <w:t>二、相关信息获取方式</w:t>
      </w:r>
    </w:p>
    <w:p>
      <w:pPr>
        <w:spacing w:line="360" w:lineRule="auto"/>
        <w:ind w:firstLine="480" w:firstLineChars="200"/>
        <w:rPr>
          <w:rFonts w:ascii="宋体" w:hAnsi="宋体" w:cs="宋体"/>
          <w:sz w:val="24"/>
        </w:rPr>
      </w:pPr>
      <w:r>
        <w:rPr>
          <w:rFonts w:hint="eastAsia" w:ascii="宋体" w:hAnsi="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sz w:val="24"/>
        </w:rPr>
      </w:pPr>
      <w:r>
        <w:rPr>
          <w:rFonts w:hint="eastAsia" w:ascii="宋体" w:hAnsi="宋体" w:cs="宋体"/>
          <w:b/>
          <w:sz w:val="24"/>
        </w:rPr>
        <w:t>三、　政府采购信用融资操作流程：</w:t>
      </w:r>
    </w:p>
    <w:p>
      <w:pPr>
        <w:spacing w:line="360" w:lineRule="auto"/>
        <w:ind w:firstLine="480" w:firstLineChars="200"/>
        <w:rPr>
          <w:rFonts w:ascii="宋体" w:hAnsi="宋体" w:cs="宋体"/>
          <w:sz w:val="24"/>
        </w:rPr>
      </w:pPr>
      <w:r>
        <w:rPr>
          <w:rFonts w:hint="eastAsia" w:ascii="宋体" w:hAnsi="宋体" w:cs="宋体"/>
          <w:sz w:val="24"/>
        </w:rPr>
        <w:t>（一）线上融资模式：</w:t>
      </w:r>
    </w:p>
    <w:p>
      <w:pPr>
        <w:spacing w:line="360" w:lineRule="auto"/>
        <w:ind w:firstLine="480" w:firstLineChars="200"/>
        <w:rPr>
          <w:rFonts w:ascii="宋体" w:hAnsi="宋体" w:cs="宋体"/>
          <w:sz w:val="24"/>
        </w:rPr>
      </w:pPr>
      <w:r>
        <w:rPr>
          <w:rFonts w:hint="eastAsia" w:ascii="宋体" w:hAnsi="宋体" w:cs="宋体"/>
          <w:sz w:val="24"/>
        </w:rPr>
        <w:t>1.供应商根据合作银行提供的方案，自行选择金融产品，并办理开户等手续；</w:t>
      </w:r>
    </w:p>
    <w:p>
      <w:pPr>
        <w:spacing w:line="360" w:lineRule="auto"/>
        <w:ind w:firstLine="480" w:firstLineChars="200"/>
        <w:rPr>
          <w:rFonts w:ascii="宋体" w:hAnsi="宋体" w:cs="宋体"/>
          <w:sz w:val="24"/>
        </w:rPr>
      </w:pPr>
      <w:r>
        <w:rPr>
          <w:rFonts w:hint="eastAsia" w:ascii="宋体" w:hAnsi="宋体" w:cs="宋体"/>
          <w:sz w:val="24"/>
        </w:rPr>
        <w:t>2.供应商中标后，可通过杭州市政府采购网或“浙里办”测算授信额度；</w:t>
      </w:r>
    </w:p>
    <w:p>
      <w:pPr>
        <w:spacing w:line="360" w:lineRule="auto"/>
        <w:ind w:firstLine="480" w:firstLineChars="200"/>
        <w:rPr>
          <w:rFonts w:ascii="宋体" w:hAnsi="宋体" w:cs="宋体"/>
          <w:sz w:val="24"/>
        </w:rPr>
      </w:pPr>
      <w:r>
        <w:rPr>
          <w:rFonts w:hint="eastAsia" w:ascii="宋体" w:hAnsi="宋体" w:cs="宋体"/>
          <w:sz w:val="24"/>
        </w:rPr>
        <w:t>3.采购合同签订后，供应商在杭州市政府采购网或“浙里办”向合作银行发出融资申请；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4.审批通过后，在线办理放贷手续。</w:t>
      </w:r>
    </w:p>
    <w:p>
      <w:pPr>
        <w:spacing w:line="360" w:lineRule="auto"/>
        <w:ind w:firstLine="480" w:firstLineChars="200"/>
        <w:rPr>
          <w:rFonts w:ascii="宋体" w:hAnsi="宋体" w:cs="宋体"/>
          <w:sz w:val="24"/>
        </w:rPr>
      </w:pPr>
      <w:r>
        <w:rPr>
          <w:rFonts w:hint="eastAsia" w:ascii="宋体" w:hAnsi="宋体" w:cs="宋体"/>
          <w:sz w:val="24"/>
        </w:rPr>
        <w:t>（二）线下融资模式：</w:t>
      </w:r>
    </w:p>
    <w:p>
      <w:pPr>
        <w:spacing w:line="360" w:lineRule="auto"/>
        <w:ind w:firstLine="480" w:firstLineChars="200"/>
        <w:rPr>
          <w:rFonts w:ascii="宋体" w:hAnsi="宋体" w:cs="宋体"/>
          <w:sz w:val="24"/>
        </w:rPr>
      </w:pPr>
      <w:r>
        <w:rPr>
          <w:rFonts w:hint="eastAsia" w:ascii="宋体" w:hAnsi="宋体" w:cs="宋体"/>
          <w:sz w:val="24"/>
        </w:rPr>
        <w:t>1.供应商根据合作银行提供的方案，自行选择金融产品，向合作银行提出信用资格预审，并办理开户等手续；</w:t>
      </w:r>
    </w:p>
    <w:p>
      <w:pPr>
        <w:spacing w:line="360" w:lineRule="auto"/>
        <w:ind w:firstLine="480" w:firstLineChars="200"/>
        <w:rPr>
          <w:rFonts w:ascii="宋体" w:hAnsi="宋体" w:cs="宋体"/>
          <w:sz w:val="24"/>
        </w:rPr>
      </w:pPr>
      <w:r>
        <w:rPr>
          <w:rFonts w:hint="eastAsia" w:ascii="宋体" w:hAnsi="宋体" w:cs="宋体"/>
          <w:sz w:val="24"/>
        </w:rPr>
        <w:t>2.采购合同签订后，供应商在杭州市政府采购网或“浙里办”向合作银行发出融资申请；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rPr>
      </w:pPr>
      <w:r>
        <w:rPr>
          <w:rFonts w:hint="eastAsia" w:ascii="宋体" w:hAnsi="宋体" w:cs="宋体"/>
          <w:sz w:val="24"/>
        </w:rPr>
        <w:t>4.审批通过后，合作银行应按照合作备忘录中约定的审批放款期限和优惠利率及时予以放款。</w:t>
      </w:r>
    </w:p>
    <w:p>
      <w:pPr>
        <w:pStyle w:val="6"/>
        <w:numPr>
          <w:ilvl w:val="255"/>
          <w:numId w:val="0"/>
        </w:numPr>
        <w:ind w:firstLine="480" w:firstLineChars="200"/>
        <w:rPr>
          <w:rFonts w:ascii="宋体" w:hAnsi="宋体" w:eastAsia="宋体" w:cs="宋体"/>
          <w:b w:val="0"/>
          <w:bCs w:val="0"/>
          <w:sz w:val="24"/>
          <w:szCs w:val="24"/>
          <w:lang w:val="en-US"/>
        </w:rPr>
      </w:pPr>
      <w:bookmarkStart w:id="446" w:name="_Toc14502"/>
      <w:r>
        <w:rPr>
          <w:rFonts w:hint="eastAsia" w:ascii="宋体" w:hAnsi="宋体" w:eastAsia="宋体" w:cs="宋体"/>
          <w:b w:val="0"/>
          <w:bCs w:val="0"/>
          <w:sz w:val="24"/>
          <w:szCs w:val="24"/>
          <w:lang w:val="en-US"/>
        </w:rPr>
        <w:t>（三）杭州e融平台申请融资</w:t>
      </w:r>
      <w:bookmarkEnd w:id="446"/>
    </w:p>
    <w:p>
      <w:pPr>
        <w:pStyle w:val="6"/>
        <w:numPr>
          <w:ilvl w:val="255"/>
          <w:numId w:val="0"/>
        </w:numPr>
        <w:ind w:firstLine="480" w:firstLineChars="200"/>
        <w:rPr>
          <w:rFonts w:ascii="宋体" w:hAnsi="宋体" w:eastAsia="宋体" w:cs="宋体"/>
          <w:b w:val="0"/>
          <w:bCs w:val="0"/>
          <w:sz w:val="24"/>
          <w:szCs w:val="24"/>
          <w:lang w:val="en-US"/>
        </w:rPr>
      </w:pPr>
      <w:bookmarkStart w:id="447" w:name="_Toc16017"/>
      <w:r>
        <w:rPr>
          <w:rFonts w:hint="eastAsia" w:ascii="宋体" w:hAnsi="宋体" w:eastAsia="宋体" w:cs="宋体"/>
          <w:b w:val="0"/>
          <w:bCs w:val="0"/>
          <w:sz w:val="24"/>
          <w:szCs w:val="24"/>
          <w:lang w:val="en-US"/>
        </w:rPr>
        <w:t>供应商通过杭州e融平台政采贷专区，自行选择金融产品，按规定手续办理贷款流程。</w:t>
      </w:r>
      <w:bookmarkEnd w:id="447"/>
    </w:p>
    <w:p>
      <w:pPr>
        <w:spacing w:line="360" w:lineRule="auto"/>
        <w:ind w:firstLine="482" w:firstLineChars="200"/>
        <w:rPr>
          <w:rFonts w:ascii="宋体" w:hAnsi="宋体" w:cs="宋体"/>
          <w:b/>
          <w:sz w:val="24"/>
        </w:rPr>
      </w:pPr>
      <w:r>
        <w:rPr>
          <w:rFonts w:hint="eastAsia" w:ascii="宋体" w:hAnsi="宋体" w:cs="宋体"/>
          <w:b/>
          <w:sz w:val="24"/>
        </w:rPr>
        <w:t>四、注意事项</w:t>
      </w:r>
    </w:p>
    <w:p>
      <w:pPr>
        <w:spacing w:line="360" w:lineRule="auto"/>
        <w:ind w:firstLine="480" w:firstLineChars="200"/>
        <w:rPr>
          <w:rFonts w:ascii="宋体" w:hAnsi="宋体" w:cs="宋体"/>
          <w:sz w:val="24"/>
        </w:rPr>
      </w:pPr>
      <w:r>
        <w:rPr>
          <w:rFonts w:hint="eastAsia" w:ascii="宋体" w:hAnsi="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rPr>
      </w:pPr>
      <w:r>
        <w:rPr>
          <w:rFonts w:hint="eastAsia" w:ascii="宋体" w:hAnsi="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kern w:val="0"/>
          <w:sz w:val="24"/>
        </w:rPr>
      </w:pPr>
    </w:p>
    <w:p>
      <w:pPr>
        <w:pStyle w:val="5"/>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448" w:name="_Toc19341"/>
      <w:bookmarkStart w:id="449" w:name="_Toc465665161"/>
      <w:r>
        <w:rPr>
          <w:rFonts w:hint="eastAsia" w:ascii="宋体" w:hAnsi="宋体" w:cs="宋体"/>
        </w:rPr>
        <w:t>附件</w:t>
      </w:r>
      <w:bookmarkEnd w:id="448"/>
      <w:bookmarkEnd w:id="449"/>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50" w:name="OLE_LINK13"/>
      <w:bookmarkStart w:id="451" w:name="OLE_LINK14"/>
      <w:r>
        <w:rPr>
          <w:rFonts w:hint="eastAsia" w:ascii="宋体" w:hAnsi="宋体" w:cs="宋体"/>
          <w:b/>
          <w:spacing w:val="6"/>
          <w:sz w:val="32"/>
          <w:szCs w:val="32"/>
        </w:rPr>
        <w:t>残疾人福利性单位声明函</w:t>
      </w:r>
    </w:p>
    <w:bookmarkEnd w:id="450"/>
    <w:bookmarkEnd w:id="451"/>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p>
    <w:p>
      <w:pPr>
        <w:snapToGrid w:val="0"/>
        <w:spacing w:line="360" w:lineRule="auto"/>
        <w:rPr>
          <w:rFonts w:ascii="宋体" w:hAnsi="宋体" w:cs="宋体"/>
          <w:sz w:val="24"/>
        </w:rPr>
      </w:pPr>
      <w:r>
        <w:rPr>
          <w:rFonts w:hint="eastAsia" w:ascii="宋体" w:hAnsi="宋体" w:cs="宋体"/>
          <w:sz w:val="24"/>
        </w:rPr>
        <w:t>地址：邮编：</w:t>
      </w:r>
    </w:p>
    <w:p>
      <w:pPr>
        <w:snapToGrid w:val="0"/>
        <w:spacing w:line="360" w:lineRule="auto"/>
        <w:rPr>
          <w:rFonts w:ascii="宋体" w:hAnsi="宋体" w:cs="宋体"/>
          <w:sz w:val="24"/>
        </w:rPr>
      </w:pPr>
      <w:r>
        <w:rPr>
          <w:rFonts w:hint="eastAsia" w:ascii="宋体" w:hAnsi="宋体" w:cs="宋体"/>
          <w:sz w:val="24"/>
        </w:rPr>
        <w:t>联系人：联系电话：</w:t>
      </w:r>
    </w:p>
    <w:p>
      <w:pPr>
        <w:snapToGrid w:val="0"/>
        <w:spacing w:line="360" w:lineRule="auto"/>
        <w:rPr>
          <w:rFonts w:ascii="宋体" w:hAnsi="宋体" w:cs="宋体"/>
          <w:sz w:val="24"/>
          <w:u w:val="dotted"/>
        </w:rPr>
      </w:pPr>
      <w:r>
        <w:rPr>
          <w:rFonts w:hint="eastAsia" w:ascii="宋体" w:hAnsi="宋体" w:cs="宋体"/>
          <w:sz w:val="24"/>
        </w:rPr>
        <w:t>授权代表：</w:t>
      </w:r>
    </w:p>
    <w:p>
      <w:pPr>
        <w:snapToGrid w:val="0"/>
        <w:spacing w:line="360" w:lineRule="auto"/>
        <w:rPr>
          <w:rFonts w:ascii="宋体" w:hAnsi="宋体" w:cs="宋体"/>
          <w:sz w:val="24"/>
        </w:rPr>
      </w:pPr>
      <w:r>
        <w:rPr>
          <w:rFonts w:hint="eastAsia" w:ascii="宋体" w:hAnsi="宋体" w:cs="宋体"/>
          <w:sz w:val="24"/>
        </w:rPr>
        <w:t>联系电话：</w:t>
      </w:r>
    </w:p>
    <w:p>
      <w:pPr>
        <w:snapToGrid w:val="0"/>
        <w:spacing w:line="360" w:lineRule="auto"/>
        <w:rPr>
          <w:rFonts w:ascii="宋体" w:hAnsi="宋体" w:cs="宋体"/>
          <w:sz w:val="24"/>
        </w:rPr>
      </w:pPr>
      <w:r>
        <w:rPr>
          <w:rFonts w:hint="eastAsia" w:ascii="宋体" w:hAnsi="宋体" w:cs="宋体"/>
          <w:sz w:val="24"/>
        </w:rPr>
        <w:t>地址：邮编：</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p>
    <w:p>
      <w:pPr>
        <w:snapToGrid w:val="0"/>
        <w:spacing w:line="360" w:lineRule="auto"/>
        <w:rPr>
          <w:rFonts w:ascii="宋体" w:hAnsi="宋体" w:cs="宋体"/>
          <w:sz w:val="24"/>
        </w:rPr>
      </w:pPr>
      <w:r>
        <w:rPr>
          <w:rFonts w:hint="eastAsia" w:ascii="宋体" w:hAnsi="宋体" w:cs="宋体"/>
          <w:sz w:val="24"/>
        </w:rPr>
        <w:t>质疑项目的编号：包号：</w:t>
      </w:r>
    </w:p>
    <w:p>
      <w:pPr>
        <w:snapToGrid w:val="0"/>
        <w:spacing w:line="360" w:lineRule="auto"/>
        <w:rPr>
          <w:rFonts w:ascii="宋体" w:hAnsi="宋体" w:cs="宋体"/>
          <w:sz w:val="24"/>
          <w:u w:val="dotted"/>
        </w:rPr>
      </w:pPr>
      <w:r>
        <w:rPr>
          <w:rFonts w:hint="eastAsia" w:ascii="宋体" w:hAnsi="宋体" w:cs="宋体"/>
          <w:sz w:val="24"/>
        </w:rPr>
        <w:t>采购人名称：</w:t>
      </w:r>
    </w:p>
    <w:p>
      <w:pPr>
        <w:snapToGrid w:val="0"/>
        <w:spacing w:line="360" w:lineRule="auto"/>
        <w:rPr>
          <w:rFonts w:ascii="宋体" w:hAnsi="宋体" w:cs="宋体"/>
          <w:sz w:val="24"/>
        </w:rPr>
      </w:pPr>
      <w:r>
        <w:rPr>
          <w:rFonts w:hint="eastAsia" w:ascii="宋体" w:hAnsi="宋体" w:cs="宋体"/>
          <w:sz w:val="24"/>
        </w:rPr>
        <w:t>采购文件获取日期：</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p>
    <w:p>
      <w:pPr>
        <w:snapToGrid w:val="0"/>
        <w:spacing w:line="360" w:lineRule="auto"/>
        <w:rPr>
          <w:rFonts w:ascii="宋体" w:hAnsi="宋体" w:cs="宋体"/>
          <w:sz w:val="24"/>
          <w:u w:val="dotted"/>
        </w:rPr>
      </w:pPr>
      <w:r>
        <w:rPr>
          <w:rFonts w:hint="eastAsia" w:ascii="宋体" w:hAnsi="宋体" w:cs="宋体"/>
          <w:sz w:val="24"/>
        </w:rPr>
        <w:t>事实依据：</w:t>
      </w:r>
    </w:p>
    <w:p>
      <w:pPr>
        <w:snapToGrid w:val="0"/>
        <w:spacing w:line="360" w:lineRule="auto"/>
        <w:rPr>
          <w:rFonts w:ascii="宋体" w:hAnsi="宋体" w:cs="宋体"/>
          <w:sz w:val="24"/>
        </w:rPr>
      </w:pPr>
    </w:p>
    <w:p>
      <w:pPr>
        <w:snapToGrid w:val="0"/>
        <w:spacing w:line="360" w:lineRule="auto"/>
        <w:rPr>
          <w:rFonts w:ascii="宋体" w:hAnsi="宋体" w:cs="宋体"/>
          <w:sz w:val="24"/>
          <w:u w:val="dotted"/>
        </w:rPr>
      </w:pPr>
      <w:r>
        <w:rPr>
          <w:rFonts w:hint="eastAsia" w:ascii="宋体" w:hAnsi="宋体" w:cs="宋体"/>
          <w:sz w:val="24"/>
        </w:rPr>
        <w:t>法律依据：</w:t>
      </w:r>
    </w:p>
    <w:p>
      <w:pPr>
        <w:snapToGrid w:val="0"/>
        <w:spacing w:line="360" w:lineRule="auto"/>
        <w:rPr>
          <w:rFonts w:ascii="宋体" w:hAnsi="宋体" w:cs="宋体"/>
          <w:sz w:val="24"/>
          <w:u w:val="dotted"/>
        </w:rPr>
      </w:pP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日期：</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p>
    <w:p>
      <w:pPr>
        <w:spacing w:line="360" w:lineRule="auto"/>
        <w:rPr>
          <w:rFonts w:ascii="宋体" w:hAnsi="宋体" w:cs="宋体"/>
          <w:sz w:val="24"/>
          <w:u w:val="single"/>
        </w:rPr>
      </w:pPr>
      <w:r>
        <w:rPr>
          <w:rFonts w:hint="eastAsia" w:ascii="宋体" w:hAnsi="宋体" w:cs="宋体"/>
          <w:sz w:val="24"/>
        </w:rPr>
        <w:t>地址：邮编：</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p>
    <w:p>
      <w:pPr>
        <w:tabs>
          <w:tab w:val="left" w:pos="6510"/>
        </w:tabs>
        <w:spacing w:line="360" w:lineRule="auto"/>
        <w:rPr>
          <w:rFonts w:ascii="宋体" w:hAnsi="宋体" w:cs="宋体"/>
          <w:sz w:val="24"/>
          <w:u w:val="dotted"/>
        </w:rPr>
      </w:pPr>
      <w:r>
        <w:rPr>
          <w:rFonts w:hint="eastAsia" w:ascii="宋体" w:hAnsi="宋体" w:cs="宋体"/>
          <w:sz w:val="24"/>
        </w:rPr>
        <w:t>联系电话：</w:t>
      </w:r>
    </w:p>
    <w:p>
      <w:pPr>
        <w:spacing w:line="360" w:lineRule="auto"/>
        <w:rPr>
          <w:rFonts w:ascii="宋体" w:hAnsi="宋体" w:cs="宋体"/>
          <w:sz w:val="24"/>
          <w:u w:val="dotted"/>
        </w:rPr>
      </w:pPr>
      <w:r>
        <w:rPr>
          <w:rFonts w:hint="eastAsia" w:ascii="宋体" w:hAnsi="宋体" w:cs="宋体"/>
          <w:sz w:val="24"/>
        </w:rPr>
        <w:t>授权代表：联系电话</w:t>
      </w:r>
      <w:r>
        <w:rPr>
          <w:rFonts w:hint="eastAsia" w:ascii="宋体" w:hAnsi="宋体" w:cs="宋体"/>
          <w:sz w:val="24"/>
          <w:u w:val="dotted"/>
        </w:rPr>
        <w:t>：</w:t>
      </w:r>
    </w:p>
    <w:p>
      <w:pPr>
        <w:spacing w:line="360" w:lineRule="auto"/>
        <w:rPr>
          <w:rFonts w:ascii="宋体" w:hAnsi="宋体" w:cs="宋体"/>
          <w:sz w:val="24"/>
          <w:u w:val="dotted"/>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被投诉人1：</w:t>
      </w:r>
    </w:p>
    <w:p>
      <w:pPr>
        <w:spacing w:line="360" w:lineRule="auto"/>
        <w:rPr>
          <w:rFonts w:ascii="宋体" w:hAnsi="宋体" w:cs="宋体"/>
          <w:sz w:val="24"/>
          <w:u w:val="single"/>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p>
    <w:p>
      <w:pPr>
        <w:spacing w:line="360" w:lineRule="auto"/>
        <w:rPr>
          <w:rFonts w:ascii="宋体" w:hAnsi="宋体" w:cs="宋体"/>
          <w:sz w:val="24"/>
          <w:u w:val="single"/>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p>
    <w:p>
      <w:pPr>
        <w:spacing w:line="360" w:lineRule="auto"/>
        <w:rPr>
          <w:rFonts w:ascii="宋体" w:hAnsi="宋体" w:cs="宋体"/>
          <w:sz w:val="24"/>
          <w:u w:val="single"/>
        </w:rPr>
      </w:pPr>
      <w:r>
        <w:rPr>
          <w:rFonts w:hint="eastAsia" w:ascii="宋体" w:hAnsi="宋体" w:cs="宋体"/>
          <w:sz w:val="24"/>
        </w:rPr>
        <w:t>采购项目编号：包号：</w:t>
      </w:r>
    </w:p>
    <w:p>
      <w:pPr>
        <w:spacing w:line="360" w:lineRule="auto"/>
        <w:rPr>
          <w:rFonts w:ascii="宋体" w:hAnsi="宋体" w:cs="宋体"/>
          <w:sz w:val="24"/>
        </w:rPr>
      </w:pPr>
      <w:r>
        <w:rPr>
          <w:rFonts w:hint="eastAsia" w:ascii="宋体" w:hAnsi="宋体" w:cs="宋体"/>
          <w:sz w:val="24"/>
        </w:rPr>
        <w:t>采购人名称：</w:t>
      </w:r>
    </w:p>
    <w:p>
      <w:pPr>
        <w:spacing w:line="360" w:lineRule="auto"/>
        <w:rPr>
          <w:rFonts w:ascii="宋体" w:hAnsi="宋体" w:cs="宋体"/>
          <w:sz w:val="24"/>
          <w:u w:val="single"/>
        </w:rPr>
      </w:pPr>
      <w:r>
        <w:rPr>
          <w:rFonts w:hint="eastAsia" w:ascii="宋体" w:hAnsi="宋体" w:cs="宋体"/>
          <w:sz w:val="24"/>
        </w:rPr>
        <w:t>代理机构名称：</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投诉人于年月日,向提出质疑，质疑事项为：</w:t>
      </w:r>
    </w:p>
    <w:p>
      <w:pPr>
        <w:spacing w:line="360" w:lineRule="auto"/>
        <w:rPr>
          <w:rFonts w:ascii="宋体" w:hAnsi="宋体" w:cs="宋体"/>
          <w:sz w:val="24"/>
          <w:u w:val="dotted"/>
        </w:rPr>
      </w:pP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于年月日,就质疑事项作出了答复/没有在法定期限内作出答复。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p>
    <w:p>
      <w:pPr>
        <w:spacing w:line="360" w:lineRule="auto"/>
        <w:rPr>
          <w:rFonts w:ascii="宋体" w:hAnsi="宋体" w:cs="宋体"/>
          <w:sz w:val="24"/>
        </w:rPr>
      </w:pPr>
      <w:r>
        <w:rPr>
          <w:rFonts w:hint="eastAsia" w:ascii="宋体" w:hAnsi="宋体" w:cs="宋体"/>
          <w:sz w:val="24"/>
        </w:rPr>
        <w:t>事实依据：</w:t>
      </w:r>
    </w:p>
    <w:p>
      <w:pPr>
        <w:spacing w:line="360" w:lineRule="auto"/>
        <w:rPr>
          <w:rFonts w:ascii="宋体" w:hAnsi="宋体" w:cs="宋体"/>
          <w:sz w:val="24"/>
          <w:u w:val="dotted"/>
        </w:rPr>
      </w:pPr>
    </w:p>
    <w:p>
      <w:pPr>
        <w:spacing w:line="360" w:lineRule="auto"/>
        <w:rPr>
          <w:rFonts w:ascii="宋体" w:hAnsi="宋体" w:cs="宋体"/>
          <w:sz w:val="24"/>
          <w:u w:val="single"/>
        </w:rPr>
      </w:pPr>
      <w:r>
        <w:rPr>
          <w:rFonts w:hint="eastAsia" w:ascii="宋体" w:hAnsi="宋体" w:cs="宋体"/>
          <w:sz w:val="24"/>
        </w:rPr>
        <w:t>法律依据：</w:t>
      </w:r>
    </w:p>
    <w:p>
      <w:pPr>
        <w:spacing w:line="360" w:lineRule="auto"/>
        <w:rPr>
          <w:rFonts w:ascii="宋体" w:hAnsi="宋体" w:cs="宋体"/>
          <w:sz w:val="24"/>
          <w:u w:val="dotted"/>
        </w:rPr>
      </w:pP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日期：</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rPr>
          <w:rFonts w:ascii="宋体" w:hAnsi="宋体" w:cs="宋体"/>
          <w:b/>
          <w:spacing w:val="6"/>
          <w:sz w:val="32"/>
          <w:szCs w:val="32"/>
        </w:rPr>
      </w:pPr>
      <w:r>
        <w:rPr>
          <w:rFonts w:hint="eastAsia" w:ascii="宋体" w:hAnsi="宋体" w:cs="宋体"/>
          <w:b/>
          <w:spacing w:val="6"/>
          <w:sz w:val="32"/>
          <w:szCs w:val="32"/>
        </w:rPr>
        <w:br w:type="page"/>
      </w: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rPr>
      </w:pPr>
      <w:r>
        <w:rPr>
          <w:rFonts w:hint="eastAsia" w:ascii="宋体" w:hAnsi="宋体" w:cs="宋体"/>
          <w:sz w:val="24"/>
          <w:u w:val="single"/>
          <w:lang w:eastAsia="zh-CN"/>
        </w:rPr>
        <w:t>浙江康复医疗中心</w:t>
      </w:r>
      <w:r>
        <w:rPr>
          <w:rFonts w:hint="eastAsia" w:ascii="宋体" w:hAnsi="宋体" w:cs="宋体"/>
          <w:sz w:val="24"/>
          <w:u w:val="single"/>
        </w:rPr>
        <w:t>、浙江信镧建设工程咨询有限公司</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sz w:val="24"/>
          <w:lang w:eastAsia="zh-CN"/>
        </w:rPr>
        <w:t>物业服务项目</w:t>
      </w:r>
      <w:r>
        <w:rPr>
          <w:rFonts w:hint="eastAsia" w:ascii="宋体" w:hAnsi="宋体" w:cs="宋体"/>
          <w:sz w:val="24"/>
        </w:rPr>
        <w:t>项目【招标编号：</w:t>
      </w:r>
      <w:r>
        <w:rPr>
          <w:rFonts w:hint="eastAsia" w:ascii="宋体" w:hAnsi="宋体" w:cs="宋体"/>
          <w:sz w:val="24"/>
          <w:lang w:eastAsia="zh-CN"/>
        </w:rPr>
        <w:t>ZJXL-KFYL-202225</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我方所使用的“XX专用章”与法定名称章具有同等的法律效力，对使用“XX专用章”的行为予以完全承认，并愿意承担相应责任。</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附件5：</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中小企业声明函（工程、服务）</w:t>
      </w:r>
    </w:p>
    <w:p>
      <w:pPr>
        <w:spacing w:line="360" w:lineRule="auto"/>
        <w:rPr>
          <w:rFonts w:ascii="宋体" w:hAnsi="宋体" w:cs="宋体"/>
        </w:rPr>
      </w:pPr>
    </w:p>
    <w:p>
      <w:pPr>
        <w:spacing w:line="360" w:lineRule="auto"/>
        <w:ind w:firstLine="360" w:firstLineChars="150"/>
        <w:jc w:val="left"/>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号）的规定，本公司（联合体）参加（单位名称）的</w:t>
      </w:r>
      <w:r>
        <w:rPr>
          <w:rFonts w:hint="eastAsia" w:ascii="宋体" w:hAnsi="宋体" w:cs="宋体"/>
          <w:sz w:val="24"/>
          <w:lang w:eastAsia="zh-CN"/>
        </w:rPr>
        <w:t>物业服务项目</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rPr>
          <w:rFonts w:ascii="宋体" w:hAnsi="宋体" w:cs="宋体"/>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bookmarkStart w:id="452" w:name="_Toc91899912"/>
    <w:bookmarkStart w:id="453" w:name="_Toc164085800"/>
    <w:bookmarkStart w:id="454" w:name="_Toc36110187"/>
    <w:bookmarkStart w:id="455" w:name="_Toc131845147"/>
    <w:r>
      <w:rPr>
        <w:rFonts w:hint="eastAsia" w:ascii="仿宋_GB2312" w:eastAsia="仿宋_GB2312"/>
        <w:kern w:val="0"/>
        <w:szCs w:val="21"/>
      </w:rPr>
      <w:t xml:space="preserve"> 页</w:t>
    </w:r>
    <w:bookmarkEnd w:id="452"/>
    <w:bookmarkEnd w:id="453"/>
    <w:bookmarkEnd w:id="454"/>
    <w:bookmarkEnd w:id="45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EED25"/>
    <w:multiLevelType w:val="singleLevel"/>
    <w:tmpl w:val="92CEED25"/>
    <w:lvl w:ilvl="0" w:tentative="0">
      <w:start w:val="1"/>
      <w:numFmt w:val="decimal"/>
      <w:suff w:val="nothing"/>
      <w:lvlText w:val="%1、"/>
      <w:lvlJc w:val="left"/>
    </w:lvl>
  </w:abstractNum>
  <w:abstractNum w:abstractNumId="1">
    <w:nsid w:val="C802D1DC"/>
    <w:multiLevelType w:val="singleLevel"/>
    <w:tmpl w:val="C802D1DC"/>
    <w:lvl w:ilvl="0" w:tentative="0">
      <w:start w:val="3"/>
      <w:numFmt w:val="decimal"/>
      <w:lvlText w:val="%1."/>
      <w:lvlJc w:val="left"/>
      <w:pPr>
        <w:tabs>
          <w:tab w:val="left" w:pos="312"/>
        </w:tabs>
      </w:pPr>
    </w:lvl>
  </w:abstractNum>
  <w:abstractNum w:abstractNumId="2">
    <w:nsid w:val="ED4BEB0B"/>
    <w:multiLevelType w:val="singleLevel"/>
    <w:tmpl w:val="ED4BEB0B"/>
    <w:lvl w:ilvl="0" w:tentative="0">
      <w:start w:val="7"/>
      <w:numFmt w:val="decimal"/>
      <w:suff w:val="space"/>
      <w:lvlText w:val="%1."/>
      <w:lvlJc w:val="left"/>
    </w:lvl>
  </w:abstractNum>
  <w:abstractNum w:abstractNumId="3">
    <w:nsid w:val="EF46E9C4"/>
    <w:multiLevelType w:val="singleLevel"/>
    <w:tmpl w:val="EF46E9C4"/>
    <w:lvl w:ilvl="0" w:tentative="0">
      <w:start w:val="1"/>
      <w:numFmt w:val="decimal"/>
      <w:suff w:val="nothing"/>
      <w:lvlText w:val="%1、"/>
      <w:lvlJc w:val="left"/>
    </w:lvl>
  </w:abstractNum>
  <w:abstractNum w:abstractNumId="4">
    <w:nsid w:val="FA266E87"/>
    <w:multiLevelType w:val="singleLevel"/>
    <w:tmpl w:val="FA266E87"/>
    <w:lvl w:ilvl="0" w:tentative="0">
      <w:start w:val="1"/>
      <w:numFmt w:val="decimal"/>
      <w:suff w:val="nothing"/>
      <w:lvlText w:val="%1、"/>
      <w:lvlJc w:val="left"/>
    </w:lvl>
  </w:abstractNum>
  <w:abstractNum w:abstractNumId="5">
    <w:nsid w:val="414C073B"/>
    <w:multiLevelType w:val="singleLevel"/>
    <w:tmpl w:val="414C073B"/>
    <w:lvl w:ilvl="0" w:tentative="0">
      <w:start w:val="1"/>
      <w:numFmt w:val="decimal"/>
      <w:suff w:val="nothing"/>
      <w:lvlText w:val="%1）"/>
      <w:lvlJc w:val="left"/>
    </w:lvl>
  </w:abstractNum>
  <w:abstractNum w:abstractNumId="6">
    <w:nsid w:val="7D1ABC90"/>
    <w:multiLevelType w:val="singleLevel"/>
    <w:tmpl w:val="7D1ABC90"/>
    <w:lvl w:ilvl="0" w:tentative="0">
      <w:start w:val="1"/>
      <w:numFmt w:val="decimal"/>
      <w:suff w:val="nothing"/>
      <w:lvlText w:val="%1、"/>
      <w:lvlJc w:val="left"/>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1Y2E0MzM3YTg4ODc3MWFkNmFlNjIyNzE2ZWZiMW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3C5B"/>
    <w:rsid w:val="00044635"/>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26A"/>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3A31"/>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3BEA"/>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9D4"/>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1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411F"/>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B85"/>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596C"/>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4A9"/>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638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651"/>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596"/>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460C"/>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A35"/>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755"/>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D71"/>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374"/>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496"/>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5D7"/>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2CE"/>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42B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4CD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AF6"/>
    <w:rsid w:val="008B3D7F"/>
    <w:rsid w:val="008B3E1B"/>
    <w:rsid w:val="008B3F4B"/>
    <w:rsid w:val="008B48EC"/>
    <w:rsid w:val="008B4AF0"/>
    <w:rsid w:val="008B518E"/>
    <w:rsid w:val="008B527B"/>
    <w:rsid w:val="008B5293"/>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1A3"/>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2C2"/>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0DD5"/>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E82"/>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74"/>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D7B"/>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67B67"/>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E7EEC"/>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662"/>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61AB"/>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A9E"/>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4BA"/>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57AB"/>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181"/>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63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606"/>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53A"/>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16B64"/>
    <w:rsid w:val="011E4B27"/>
    <w:rsid w:val="011F6449"/>
    <w:rsid w:val="01236AFB"/>
    <w:rsid w:val="017A7984"/>
    <w:rsid w:val="01995C91"/>
    <w:rsid w:val="019F7441"/>
    <w:rsid w:val="01B37585"/>
    <w:rsid w:val="01D55165"/>
    <w:rsid w:val="01DF6BF8"/>
    <w:rsid w:val="01EC2C57"/>
    <w:rsid w:val="02054855"/>
    <w:rsid w:val="02146AF0"/>
    <w:rsid w:val="026B2E25"/>
    <w:rsid w:val="02824D4D"/>
    <w:rsid w:val="02D77605"/>
    <w:rsid w:val="02DC4B10"/>
    <w:rsid w:val="02DD76CE"/>
    <w:rsid w:val="02F36323"/>
    <w:rsid w:val="02F5619C"/>
    <w:rsid w:val="02FC7879"/>
    <w:rsid w:val="0326446A"/>
    <w:rsid w:val="032D5555"/>
    <w:rsid w:val="036634D2"/>
    <w:rsid w:val="037527A1"/>
    <w:rsid w:val="03DD35E4"/>
    <w:rsid w:val="03E2554B"/>
    <w:rsid w:val="04076900"/>
    <w:rsid w:val="041A5A3B"/>
    <w:rsid w:val="042311BA"/>
    <w:rsid w:val="042B157A"/>
    <w:rsid w:val="048F763B"/>
    <w:rsid w:val="049727D9"/>
    <w:rsid w:val="049F330E"/>
    <w:rsid w:val="04AA775C"/>
    <w:rsid w:val="04AF1889"/>
    <w:rsid w:val="04F66F48"/>
    <w:rsid w:val="05251E14"/>
    <w:rsid w:val="052C6612"/>
    <w:rsid w:val="053B16EC"/>
    <w:rsid w:val="054964CE"/>
    <w:rsid w:val="054A3526"/>
    <w:rsid w:val="056F1060"/>
    <w:rsid w:val="0577613E"/>
    <w:rsid w:val="05A16594"/>
    <w:rsid w:val="05A7762D"/>
    <w:rsid w:val="05B314B1"/>
    <w:rsid w:val="05E175BB"/>
    <w:rsid w:val="060E5941"/>
    <w:rsid w:val="06110FAF"/>
    <w:rsid w:val="06493CA7"/>
    <w:rsid w:val="065A6178"/>
    <w:rsid w:val="066F1CF3"/>
    <w:rsid w:val="06930BB8"/>
    <w:rsid w:val="06954C11"/>
    <w:rsid w:val="06986394"/>
    <w:rsid w:val="069A210C"/>
    <w:rsid w:val="07245D42"/>
    <w:rsid w:val="07264C62"/>
    <w:rsid w:val="073D3267"/>
    <w:rsid w:val="075F0C22"/>
    <w:rsid w:val="076648A8"/>
    <w:rsid w:val="0779354C"/>
    <w:rsid w:val="079A4D38"/>
    <w:rsid w:val="079F6084"/>
    <w:rsid w:val="07D72EEC"/>
    <w:rsid w:val="08061376"/>
    <w:rsid w:val="08304C43"/>
    <w:rsid w:val="083E2F6B"/>
    <w:rsid w:val="08452D77"/>
    <w:rsid w:val="086112B2"/>
    <w:rsid w:val="086401F8"/>
    <w:rsid w:val="08751CAA"/>
    <w:rsid w:val="087E4C40"/>
    <w:rsid w:val="08D66AD6"/>
    <w:rsid w:val="08DA33A3"/>
    <w:rsid w:val="08E80F13"/>
    <w:rsid w:val="08E873D7"/>
    <w:rsid w:val="09335624"/>
    <w:rsid w:val="0944690F"/>
    <w:rsid w:val="09535675"/>
    <w:rsid w:val="095C3633"/>
    <w:rsid w:val="095F057D"/>
    <w:rsid w:val="09642282"/>
    <w:rsid w:val="09733572"/>
    <w:rsid w:val="09772C16"/>
    <w:rsid w:val="098353B5"/>
    <w:rsid w:val="09A92330"/>
    <w:rsid w:val="09B06B87"/>
    <w:rsid w:val="09C13146"/>
    <w:rsid w:val="09E04166"/>
    <w:rsid w:val="09E51FB1"/>
    <w:rsid w:val="0A002560"/>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B11F5E"/>
    <w:rsid w:val="0CB3197D"/>
    <w:rsid w:val="0CC007F7"/>
    <w:rsid w:val="0CFE707A"/>
    <w:rsid w:val="0D063BDA"/>
    <w:rsid w:val="0D08375F"/>
    <w:rsid w:val="0D184CFB"/>
    <w:rsid w:val="0D3515DA"/>
    <w:rsid w:val="0D497E42"/>
    <w:rsid w:val="0D4A7419"/>
    <w:rsid w:val="0D7E5111"/>
    <w:rsid w:val="0D827401"/>
    <w:rsid w:val="0D84094E"/>
    <w:rsid w:val="0D865904"/>
    <w:rsid w:val="0D8A00E9"/>
    <w:rsid w:val="0D8D589E"/>
    <w:rsid w:val="0DA01C73"/>
    <w:rsid w:val="0DD63300"/>
    <w:rsid w:val="0DF50604"/>
    <w:rsid w:val="0DF702FE"/>
    <w:rsid w:val="0E060E51"/>
    <w:rsid w:val="0E5604B2"/>
    <w:rsid w:val="0E573B5F"/>
    <w:rsid w:val="0E6D5D79"/>
    <w:rsid w:val="0E9D0089"/>
    <w:rsid w:val="0E9D5273"/>
    <w:rsid w:val="0EB803EE"/>
    <w:rsid w:val="0EF94D4B"/>
    <w:rsid w:val="0F0547E3"/>
    <w:rsid w:val="0F4958DC"/>
    <w:rsid w:val="0F515DF7"/>
    <w:rsid w:val="0F596BA8"/>
    <w:rsid w:val="0F6248D2"/>
    <w:rsid w:val="0F693536"/>
    <w:rsid w:val="0F7B0511"/>
    <w:rsid w:val="0F7B76D9"/>
    <w:rsid w:val="0F816ACD"/>
    <w:rsid w:val="0F8D168B"/>
    <w:rsid w:val="0F9832DB"/>
    <w:rsid w:val="0FBF3FD2"/>
    <w:rsid w:val="0FBF7FF3"/>
    <w:rsid w:val="104913C2"/>
    <w:rsid w:val="105B2DD7"/>
    <w:rsid w:val="10646583"/>
    <w:rsid w:val="10702192"/>
    <w:rsid w:val="107D4B15"/>
    <w:rsid w:val="108A3C80"/>
    <w:rsid w:val="10AD0F8B"/>
    <w:rsid w:val="10C26171"/>
    <w:rsid w:val="10F33360"/>
    <w:rsid w:val="10F90377"/>
    <w:rsid w:val="10FC16EA"/>
    <w:rsid w:val="110F1D40"/>
    <w:rsid w:val="11266F33"/>
    <w:rsid w:val="114809B7"/>
    <w:rsid w:val="118963A1"/>
    <w:rsid w:val="11BD13A5"/>
    <w:rsid w:val="11C6522A"/>
    <w:rsid w:val="11E104CC"/>
    <w:rsid w:val="11E20309"/>
    <w:rsid w:val="12183532"/>
    <w:rsid w:val="12255233"/>
    <w:rsid w:val="1226519C"/>
    <w:rsid w:val="12530213"/>
    <w:rsid w:val="127723A9"/>
    <w:rsid w:val="12862074"/>
    <w:rsid w:val="12883966"/>
    <w:rsid w:val="1291530D"/>
    <w:rsid w:val="129E45B4"/>
    <w:rsid w:val="12D81596"/>
    <w:rsid w:val="13072A44"/>
    <w:rsid w:val="135F4BE2"/>
    <w:rsid w:val="139B1A0A"/>
    <w:rsid w:val="139D25C7"/>
    <w:rsid w:val="139D7038"/>
    <w:rsid w:val="13BF3CE4"/>
    <w:rsid w:val="141008D8"/>
    <w:rsid w:val="14125FE6"/>
    <w:rsid w:val="142A2E9D"/>
    <w:rsid w:val="146D271E"/>
    <w:rsid w:val="14982588"/>
    <w:rsid w:val="149A5AD9"/>
    <w:rsid w:val="14A7619D"/>
    <w:rsid w:val="14C16100"/>
    <w:rsid w:val="14C33176"/>
    <w:rsid w:val="14F44AB2"/>
    <w:rsid w:val="150536C3"/>
    <w:rsid w:val="150C1963"/>
    <w:rsid w:val="151447A0"/>
    <w:rsid w:val="154A6454"/>
    <w:rsid w:val="15762120"/>
    <w:rsid w:val="15B34F99"/>
    <w:rsid w:val="15C14EEE"/>
    <w:rsid w:val="160A5FA8"/>
    <w:rsid w:val="162B0FD3"/>
    <w:rsid w:val="16706D6C"/>
    <w:rsid w:val="16A8729C"/>
    <w:rsid w:val="16B33777"/>
    <w:rsid w:val="16BC70A7"/>
    <w:rsid w:val="16C6339E"/>
    <w:rsid w:val="172F2D79"/>
    <w:rsid w:val="17557BEF"/>
    <w:rsid w:val="17563C6E"/>
    <w:rsid w:val="17966920"/>
    <w:rsid w:val="17BA2FD7"/>
    <w:rsid w:val="17C62B5C"/>
    <w:rsid w:val="17D349C1"/>
    <w:rsid w:val="1830729E"/>
    <w:rsid w:val="18343A79"/>
    <w:rsid w:val="1870062C"/>
    <w:rsid w:val="18817102"/>
    <w:rsid w:val="18830A15"/>
    <w:rsid w:val="18852B28"/>
    <w:rsid w:val="188B5321"/>
    <w:rsid w:val="18EB5133"/>
    <w:rsid w:val="19157D18"/>
    <w:rsid w:val="196A3D4B"/>
    <w:rsid w:val="19932372"/>
    <w:rsid w:val="199E37A1"/>
    <w:rsid w:val="19A20DD5"/>
    <w:rsid w:val="19A65FF3"/>
    <w:rsid w:val="19AE03F1"/>
    <w:rsid w:val="19C71013"/>
    <w:rsid w:val="1A071A03"/>
    <w:rsid w:val="1A131575"/>
    <w:rsid w:val="1A1F16AE"/>
    <w:rsid w:val="1A3B5C77"/>
    <w:rsid w:val="1A984BAD"/>
    <w:rsid w:val="1AB8220E"/>
    <w:rsid w:val="1AE4166C"/>
    <w:rsid w:val="1AF06CFB"/>
    <w:rsid w:val="1AF11B8D"/>
    <w:rsid w:val="1B11359C"/>
    <w:rsid w:val="1B2A271F"/>
    <w:rsid w:val="1B530544"/>
    <w:rsid w:val="1B6D259D"/>
    <w:rsid w:val="1B6E5FB3"/>
    <w:rsid w:val="1B713184"/>
    <w:rsid w:val="1BA209CF"/>
    <w:rsid w:val="1BB4777D"/>
    <w:rsid w:val="1BD75AB8"/>
    <w:rsid w:val="1C0459C2"/>
    <w:rsid w:val="1C146065"/>
    <w:rsid w:val="1C1B3B4A"/>
    <w:rsid w:val="1C5E2D90"/>
    <w:rsid w:val="1C88086E"/>
    <w:rsid w:val="1D0460DA"/>
    <w:rsid w:val="1D266CE1"/>
    <w:rsid w:val="1D3963AF"/>
    <w:rsid w:val="1D5B4ED9"/>
    <w:rsid w:val="1D6A673C"/>
    <w:rsid w:val="1D7B502E"/>
    <w:rsid w:val="1D9247AE"/>
    <w:rsid w:val="1DB567EC"/>
    <w:rsid w:val="1DBA6E5D"/>
    <w:rsid w:val="1DC93A2C"/>
    <w:rsid w:val="1DF51A98"/>
    <w:rsid w:val="1DF61EC7"/>
    <w:rsid w:val="1E3D060F"/>
    <w:rsid w:val="1E3F7D2E"/>
    <w:rsid w:val="1E4134E4"/>
    <w:rsid w:val="1E5062B3"/>
    <w:rsid w:val="1E523514"/>
    <w:rsid w:val="1E5A4675"/>
    <w:rsid w:val="1E714A66"/>
    <w:rsid w:val="1E802593"/>
    <w:rsid w:val="1EA703CC"/>
    <w:rsid w:val="1EB7330C"/>
    <w:rsid w:val="1F0A0FF3"/>
    <w:rsid w:val="1F5771FF"/>
    <w:rsid w:val="1F6A4875"/>
    <w:rsid w:val="1FC35DD8"/>
    <w:rsid w:val="1FE868A9"/>
    <w:rsid w:val="20034907"/>
    <w:rsid w:val="20173E4B"/>
    <w:rsid w:val="20362A4E"/>
    <w:rsid w:val="203C0AC1"/>
    <w:rsid w:val="204E48BC"/>
    <w:rsid w:val="20856F1F"/>
    <w:rsid w:val="208921B3"/>
    <w:rsid w:val="20973DEB"/>
    <w:rsid w:val="20B26522"/>
    <w:rsid w:val="20B44310"/>
    <w:rsid w:val="211116EB"/>
    <w:rsid w:val="216133FC"/>
    <w:rsid w:val="21D56769"/>
    <w:rsid w:val="21E52EF3"/>
    <w:rsid w:val="21FB5D7B"/>
    <w:rsid w:val="220B1C3D"/>
    <w:rsid w:val="221D1D20"/>
    <w:rsid w:val="222F4594"/>
    <w:rsid w:val="22334A87"/>
    <w:rsid w:val="226F3FF6"/>
    <w:rsid w:val="227E7C81"/>
    <w:rsid w:val="22BE6801"/>
    <w:rsid w:val="22EB3FC4"/>
    <w:rsid w:val="230C34FA"/>
    <w:rsid w:val="233500BF"/>
    <w:rsid w:val="23377FF7"/>
    <w:rsid w:val="233A662C"/>
    <w:rsid w:val="23483118"/>
    <w:rsid w:val="23641172"/>
    <w:rsid w:val="236B425F"/>
    <w:rsid w:val="23736492"/>
    <w:rsid w:val="23836192"/>
    <w:rsid w:val="238503D1"/>
    <w:rsid w:val="238B4E5F"/>
    <w:rsid w:val="23901F29"/>
    <w:rsid w:val="239C0061"/>
    <w:rsid w:val="23B908A4"/>
    <w:rsid w:val="23DB07D9"/>
    <w:rsid w:val="23DC1B5F"/>
    <w:rsid w:val="23E95BEF"/>
    <w:rsid w:val="23ED78C8"/>
    <w:rsid w:val="23FD0064"/>
    <w:rsid w:val="2439792B"/>
    <w:rsid w:val="245375B0"/>
    <w:rsid w:val="245A2AD1"/>
    <w:rsid w:val="24642C0A"/>
    <w:rsid w:val="246A0F18"/>
    <w:rsid w:val="248E5B52"/>
    <w:rsid w:val="24A7216D"/>
    <w:rsid w:val="24B22173"/>
    <w:rsid w:val="24B93C4E"/>
    <w:rsid w:val="24B95AD9"/>
    <w:rsid w:val="24BE24DA"/>
    <w:rsid w:val="24CF5825"/>
    <w:rsid w:val="24D663E6"/>
    <w:rsid w:val="24D77F2B"/>
    <w:rsid w:val="24E8008F"/>
    <w:rsid w:val="24E82E11"/>
    <w:rsid w:val="24F41CE7"/>
    <w:rsid w:val="254C6BC5"/>
    <w:rsid w:val="258B00E2"/>
    <w:rsid w:val="25A917A6"/>
    <w:rsid w:val="25BE27CC"/>
    <w:rsid w:val="25DA10F3"/>
    <w:rsid w:val="25E721A2"/>
    <w:rsid w:val="25F74A5C"/>
    <w:rsid w:val="26100F6D"/>
    <w:rsid w:val="2628662C"/>
    <w:rsid w:val="262D45DE"/>
    <w:rsid w:val="26707FB6"/>
    <w:rsid w:val="26A056BE"/>
    <w:rsid w:val="26A53EF9"/>
    <w:rsid w:val="26A94201"/>
    <w:rsid w:val="26AC274F"/>
    <w:rsid w:val="26EC2BE5"/>
    <w:rsid w:val="27044A29"/>
    <w:rsid w:val="271D34C8"/>
    <w:rsid w:val="276142BF"/>
    <w:rsid w:val="27783712"/>
    <w:rsid w:val="27907362"/>
    <w:rsid w:val="279A191D"/>
    <w:rsid w:val="27F356C9"/>
    <w:rsid w:val="280706A2"/>
    <w:rsid w:val="281E6C58"/>
    <w:rsid w:val="28333E1D"/>
    <w:rsid w:val="28454BD6"/>
    <w:rsid w:val="28455253"/>
    <w:rsid w:val="28551971"/>
    <w:rsid w:val="285B1C53"/>
    <w:rsid w:val="289F7086"/>
    <w:rsid w:val="28B704A4"/>
    <w:rsid w:val="28C32028"/>
    <w:rsid w:val="28CC490F"/>
    <w:rsid w:val="28CF091C"/>
    <w:rsid w:val="28DE40AA"/>
    <w:rsid w:val="2914146A"/>
    <w:rsid w:val="29345E77"/>
    <w:rsid w:val="294C65AD"/>
    <w:rsid w:val="29806583"/>
    <w:rsid w:val="298B3C4C"/>
    <w:rsid w:val="299E6A8F"/>
    <w:rsid w:val="29BF5862"/>
    <w:rsid w:val="29F105F0"/>
    <w:rsid w:val="29F26D24"/>
    <w:rsid w:val="2A15033F"/>
    <w:rsid w:val="2A1662C1"/>
    <w:rsid w:val="2A1C7367"/>
    <w:rsid w:val="2A2815FA"/>
    <w:rsid w:val="2A5222B6"/>
    <w:rsid w:val="2A6D6092"/>
    <w:rsid w:val="2A7D76B4"/>
    <w:rsid w:val="2B145531"/>
    <w:rsid w:val="2B437463"/>
    <w:rsid w:val="2B4D3E13"/>
    <w:rsid w:val="2B7807EE"/>
    <w:rsid w:val="2BBF00EC"/>
    <w:rsid w:val="2BC37CFD"/>
    <w:rsid w:val="2BD5237F"/>
    <w:rsid w:val="2BE536CE"/>
    <w:rsid w:val="2BE758D9"/>
    <w:rsid w:val="2C09049E"/>
    <w:rsid w:val="2C0A653C"/>
    <w:rsid w:val="2C191F85"/>
    <w:rsid w:val="2C5614F4"/>
    <w:rsid w:val="2C5B0206"/>
    <w:rsid w:val="2C896AC5"/>
    <w:rsid w:val="2CA73DBA"/>
    <w:rsid w:val="2CE82D6F"/>
    <w:rsid w:val="2D343236"/>
    <w:rsid w:val="2D355570"/>
    <w:rsid w:val="2D377E06"/>
    <w:rsid w:val="2D46629B"/>
    <w:rsid w:val="2DD10278"/>
    <w:rsid w:val="2DD15014"/>
    <w:rsid w:val="2DDD7649"/>
    <w:rsid w:val="2DF72DE4"/>
    <w:rsid w:val="2E0220AF"/>
    <w:rsid w:val="2E4B082A"/>
    <w:rsid w:val="2E5D4E86"/>
    <w:rsid w:val="2E5D790B"/>
    <w:rsid w:val="2E9A3C18"/>
    <w:rsid w:val="2EBB0FEE"/>
    <w:rsid w:val="2EBB1FAE"/>
    <w:rsid w:val="2EC13E2B"/>
    <w:rsid w:val="2EC63002"/>
    <w:rsid w:val="2F0A6B38"/>
    <w:rsid w:val="2F1523C9"/>
    <w:rsid w:val="2F1B54C9"/>
    <w:rsid w:val="2F946CCB"/>
    <w:rsid w:val="2FB66570"/>
    <w:rsid w:val="2FD25781"/>
    <w:rsid w:val="2FE106D0"/>
    <w:rsid w:val="2FFD7934"/>
    <w:rsid w:val="3000540F"/>
    <w:rsid w:val="305D6C11"/>
    <w:rsid w:val="30733ACD"/>
    <w:rsid w:val="308C3862"/>
    <w:rsid w:val="309379D8"/>
    <w:rsid w:val="30A270F7"/>
    <w:rsid w:val="30CA36BF"/>
    <w:rsid w:val="30DF1478"/>
    <w:rsid w:val="30EC586F"/>
    <w:rsid w:val="30F249BC"/>
    <w:rsid w:val="3154527D"/>
    <w:rsid w:val="31806313"/>
    <w:rsid w:val="319C6071"/>
    <w:rsid w:val="31AC537E"/>
    <w:rsid w:val="31CB4573"/>
    <w:rsid w:val="31E3679B"/>
    <w:rsid w:val="31E732FD"/>
    <w:rsid w:val="31F255AF"/>
    <w:rsid w:val="32517576"/>
    <w:rsid w:val="325F576F"/>
    <w:rsid w:val="3268696E"/>
    <w:rsid w:val="32AE2918"/>
    <w:rsid w:val="32BE5C2C"/>
    <w:rsid w:val="32C0264B"/>
    <w:rsid w:val="32D27865"/>
    <w:rsid w:val="32F347CF"/>
    <w:rsid w:val="32FB6478"/>
    <w:rsid w:val="33263B3F"/>
    <w:rsid w:val="336963EB"/>
    <w:rsid w:val="33816EEB"/>
    <w:rsid w:val="33B25991"/>
    <w:rsid w:val="33EB55CD"/>
    <w:rsid w:val="33EC4C02"/>
    <w:rsid w:val="340D2360"/>
    <w:rsid w:val="3410665D"/>
    <w:rsid w:val="34211214"/>
    <w:rsid w:val="342E63AB"/>
    <w:rsid w:val="34950E68"/>
    <w:rsid w:val="34986E94"/>
    <w:rsid w:val="34AF62C9"/>
    <w:rsid w:val="34CB4388"/>
    <w:rsid w:val="34CF7F33"/>
    <w:rsid w:val="34FA6E12"/>
    <w:rsid w:val="34FD7B87"/>
    <w:rsid w:val="35005DCC"/>
    <w:rsid w:val="35093679"/>
    <w:rsid w:val="358D5588"/>
    <w:rsid w:val="35C475F8"/>
    <w:rsid w:val="363A3B40"/>
    <w:rsid w:val="365302AE"/>
    <w:rsid w:val="36607A0A"/>
    <w:rsid w:val="366E227C"/>
    <w:rsid w:val="366F2E0D"/>
    <w:rsid w:val="367B6A5C"/>
    <w:rsid w:val="36A74ADA"/>
    <w:rsid w:val="36AD60D5"/>
    <w:rsid w:val="36B224F9"/>
    <w:rsid w:val="36E56B24"/>
    <w:rsid w:val="36EC0CC9"/>
    <w:rsid w:val="36F17328"/>
    <w:rsid w:val="372F01F4"/>
    <w:rsid w:val="373F410B"/>
    <w:rsid w:val="37640B94"/>
    <w:rsid w:val="37DC3354"/>
    <w:rsid w:val="37DC59A5"/>
    <w:rsid w:val="37EE7094"/>
    <w:rsid w:val="38296C89"/>
    <w:rsid w:val="382F0057"/>
    <w:rsid w:val="383002EB"/>
    <w:rsid w:val="38586797"/>
    <w:rsid w:val="38860CBE"/>
    <w:rsid w:val="38AC16BA"/>
    <w:rsid w:val="38BC0149"/>
    <w:rsid w:val="38D87D1C"/>
    <w:rsid w:val="39007C46"/>
    <w:rsid w:val="391B682D"/>
    <w:rsid w:val="39636459"/>
    <w:rsid w:val="396B7F6C"/>
    <w:rsid w:val="39B417A9"/>
    <w:rsid w:val="39BA7DF4"/>
    <w:rsid w:val="39FC5695"/>
    <w:rsid w:val="3A006D8E"/>
    <w:rsid w:val="3A0B68A2"/>
    <w:rsid w:val="3A3651E5"/>
    <w:rsid w:val="3A744481"/>
    <w:rsid w:val="3A8C7BEF"/>
    <w:rsid w:val="3A906246"/>
    <w:rsid w:val="3AEC62ED"/>
    <w:rsid w:val="3B0D4127"/>
    <w:rsid w:val="3B2349B7"/>
    <w:rsid w:val="3B5A363D"/>
    <w:rsid w:val="3B616CFF"/>
    <w:rsid w:val="3B6259F6"/>
    <w:rsid w:val="3B976654"/>
    <w:rsid w:val="3BC01EFC"/>
    <w:rsid w:val="3BCA786A"/>
    <w:rsid w:val="3BD31E2F"/>
    <w:rsid w:val="3BEF5115"/>
    <w:rsid w:val="3BF15831"/>
    <w:rsid w:val="3BFA6BCE"/>
    <w:rsid w:val="3C105946"/>
    <w:rsid w:val="3C471448"/>
    <w:rsid w:val="3C5F759A"/>
    <w:rsid w:val="3C6C525A"/>
    <w:rsid w:val="3C7249B6"/>
    <w:rsid w:val="3CCE0026"/>
    <w:rsid w:val="3CCE23CB"/>
    <w:rsid w:val="3CD17D17"/>
    <w:rsid w:val="3D141F11"/>
    <w:rsid w:val="3D3C7F39"/>
    <w:rsid w:val="3D440F09"/>
    <w:rsid w:val="3D4504A0"/>
    <w:rsid w:val="3D4D7AEB"/>
    <w:rsid w:val="3D551A71"/>
    <w:rsid w:val="3D591A51"/>
    <w:rsid w:val="3D626ECE"/>
    <w:rsid w:val="3D8734BB"/>
    <w:rsid w:val="3D9A11D4"/>
    <w:rsid w:val="3DA16D89"/>
    <w:rsid w:val="3DA364BE"/>
    <w:rsid w:val="3DB8289D"/>
    <w:rsid w:val="3DC226DF"/>
    <w:rsid w:val="3DE041CB"/>
    <w:rsid w:val="3E0D48F6"/>
    <w:rsid w:val="3E0F3162"/>
    <w:rsid w:val="3E1868B4"/>
    <w:rsid w:val="3E377251"/>
    <w:rsid w:val="3E42664B"/>
    <w:rsid w:val="3E5A7334"/>
    <w:rsid w:val="3E7B5D6B"/>
    <w:rsid w:val="3E843E66"/>
    <w:rsid w:val="3E8F51FE"/>
    <w:rsid w:val="3E926F87"/>
    <w:rsid w:val="3E9A59DE"/>
    <w:rsid w:val="3E9B011E"/>
    <w:rsid w:val="3EAF4836"/>
    <w:rsid w:val="3EC33DFA"/>
    <w:rsid w:val="3EC534C3"/>
    <w:rsid w:val="3ED2798E"/>
    <w:rsid w:val="3EF21DDE"/>
    <w:rsid w:val="3F060E16"/>
    <w:rsid w:val="3F1D1096"/>
    <w:rsid w:val="3F2007FE"/>
    <w:rsid w:val="3F2F0234"/>
    <w:rsid w:val="3F5605BF"/>
    <w:rsid w:val="3F6363FE"/>
    <w:rsid w:val="3F756B8F"/>
    <w:rsid w:val="3F7B0026"/>
    <w:rsid w:val="3F7E38B0"/>
    <w:rsid w:val="3F95482B"/>
    <w:rsid w:val="4019356B"/>
    <w:rsid w:val="40592157"/>
    <w:rsid w:val="406E1CAE"/>
    <w:rsid w:val="40890521"/>
    <w:rsid w:val="40996077"/>
    <w:rsid w:val="40A0133A"/>
    <w:rsid w:val="40C31A53"/>
    <w:rsid w:val="40FF545D"/>
    <w:rsid w:val="410067C8"/>
    <w:rsid w:val="412D2A54"/>
    <w:rsid w:val="41891797"/>
    <w:rsid w:val="418F0D2A"/>
    <w:rsid w:val="41AE46E3"/>
    <w:rsid w:val="41D01505"/>
    <w:rsid w:val="41D424CB"/>
    <w:rsid w:val="41E50A6E"/>
    <w:rsid w:val="42474939"/>
    <w:rsid w:val="424C3C57"/>
    <w:rsid w:val="42613FF3"/>
    <w:rsid w:val="42660D96"/>
    <w:rsid w:val="428667D2"/>
    <w:rsid w:val="42CD1CE0"/>
    <w:rsid w:val="42E1381E"/>
    <w:rsid w:val="42EB4B28"/>
    <w:rsid w:val="42ED6459"/>
    <w:rsid w:val="42FE58DD"/>
    <w:rsid w:val="43174B3D"/>
    <w:rsid w:val="434B790E"/>
    <w:rsid w:val="4360274F"/>
    <w:rsid w:val="43977AB6"/>
    <w:rsid w:val="43A3342B"/>
    <w:rsid w:val="43C77C27"/>
    <w:rsid w:val="43DE09EE"/>
    <w:rsid w:val="44002FAD"/>
    <w:rsid w:val="44316F05"/>
    <w:rsid w:val="4479708B"/>
    <w:rsid w:val="447D0308"/>
    <w:rsid w:val="449101DD"/>
    <w:rsid w:val="44DE1391"/>
    <w:rsid w:val="451B225C"/>
    <w:rsid w:val="452410C9"/>
    <w:rsid w:val="45317DFB"/>
    <w:rsid w:val="456D3CE4"/>
    <w:rsid w:val="4579042C"/>
    <w:rsid w:val="457F0571"/>
    <w:rsid w:val="45851176"/>
    <w:rsid w:val="458D460F"/>
    <w:rsid w:val="459A2FF4"/>
    <w:rsid w:val="45C63B94"/>
    <w:rsid w:val="45F0214F"/>
    <w:rsid w:val="460E7DA5"/>
    <w:rsid w:val="46190008"/>
    <w:rsid w:val="46223D03"/>
    <w:rsid w:val="46422483"/>
    <w:rsid w:val="4659254A"/>
    <w:rsid w:val="465B0637"/>
    <w:rsid w:val="465E3F0D"/>
    <w:rsid w:val="466A16E6"/>
    <w:rsid w:val="46893F2B"/>
    <w:rsid w:val="469A6B7A"/>
    <w:rsid w:val="46C4686E"/>
    <w:rsid w:val="46DD1C51"/>
    <w:rsid w:val="46FA3F26"/>
    <w:rsid w:val="4704316B"/>
    <w:rsid w:val="47114CDF"/>
    <w:rsid w:val="47433A52"/>
    <w:rsid w:val="477B778F"/>
    <w:rsid w:val="478203EC"/>
    <w:rsid w:val="47B025FA"/>
    <w:rsid w:val="47D06A35"/>
    <w:rsid w:val="4809698F"/>
    <w:rsid w:val="4811697D"/>
    <w:rsid w:val="486C2C02"/>
    <w:rsid w:val="487A3E25"/>
    <w:rsid w:val="488B5503"/>
    <w:rsid w:val="48937E21"/>
    <w:rsid w:val="489A0361"/>
    <w:rsid w:val="48B94FF3"/>
    <w:rsid w:val="48CB7FB5"/>
    <w:rsid w:val="48E37AAB"/>
    <w:rsid w:val="48F350D1"/>
    <w:rsid w:val="48FD4B4C"/>
    <w:rsid w:val="490A68E0"/>
    <w:rsid w:val="490D2A48"/>
    <w:rsid w:val="491055FE"/>
    <w:rsid w:val="49296D45"/>
    <w:rsid w:val="495F5B3E"/>
    <w:rsid w:val="496F77D7"/>
    <w:rsid w:val="497654FD"/>
    <w:rsid w:val="49B64211"/>
    <w:rsid w:val="49EA16E0"/>
    <w:rsid w:val="49F6167F"/>
    <w:rsid w:val="4A064FA0"/>
    <w:rsid w:val="4A16615C"/>
    <w:rsid w:val="4A4424D7"/>
    <w:rsid w:val="4A9240B8"/>
    <w:rsid w:val="4AB82D0F"/>
    <w:rsid w:val="4AEB7664"/>
    <w:rsid w:val="4AF23CE8"/>
    <w:rsid w:val="4AFD7C19"/>
    <w:rsid w:val="4B0567D1"/>
    <w:rsid w:val="4B236AAE"/>
    <w:rsid w:val="4B5F26B5"/>
    <w:rsid w:val="4B707271"/>
    <w:rsid w:val="4B7A4B84"/>
    <w:rsid w:val="4B9739F7"/>
    <w:rsid w:val="4BBF270A"/>
    <w:rsid w:val="4BCC36DF"/>
    <w:rsid w:val="4BEE2503"/>
    <w:rsid w:val="4BF21B51"/>
    <w:rsid w:val="4C245A30"/>
    <w:rsid w:val="4C5329BE"/>
    <w:rsid w:val="4C7E2F03"/>
    <w:rsid w:val="4CB6685F"/>
    <w:rsid w:val="4CC367FE"/>
    <w:rsid w:val="4D077F3C"/>
    <w:rsid w:val="4D0E4287"/>
    <w:rsid w:val="4D123355"/>
    <w:rsid w:val="4D2A3B31"/>
    <w:rsid w:val="4D312C52"/>
    <w:rsid w:val="4D5D7395"/>
    <w:rsid w:val="4D8C52E0"/>
    <w:rsid w:val="4D905305"/>
    <w:rsid w:val="4D964A72"/>
    <w:rsid w:val="4D986247"/>
    <w:rsid w:val="4D9C1254"/>
    <w:rsid w:val="4E2C5EB9"/>
    <w:rsid w:val="4E471FF9"/>
    <w:rsid w:val="4E793892"/>
    <w:rsid w:val="4E800872"/>
    <w:rsid w:val="4EAD3592"/>
    <w:rsid w:val="4EB710E1"/>
    <w:rsid w:val="4EC569ED"/>
    <w:rsid w:val="4ECB3CD2"/>
    <w:rsid w:val="4ED50EA1"/>
    <w:rsid w:val="4EEC050C"/>
    <w:rsid w:val="4EEF2AAB"/>
    <w:rsid w:val="4F104EC3"/>
    <w:rsid w:val="4F3F3619"/>
    <w:rsid w:val="4F47354A"/>
    <w:rsid w:val="4F7B197C"/>
    <w:rsid w:val="4F911C54"/>
    <w:rsid w:val="4FE625E0"/>
    <w:rsid w:val="5021480F"/>
    <w:rsid w:val="508B7511"/>
    <w:rsid w:val="50962ECB"/>
    <w:rsid w:val="50A42E38"/>
    <w:rsid w:val="50A4577F"/>
    <w:rsid w:val="50A53821"/>
    <w:rsid w:val="50B73D1F"/>
    <w:rsid w:val="50BD5BC9"/>
    <w:rsid w:val="50C11EEE"/>
    <w:rsid w:val="50E97CFC"/>
    <w:rsid w:val="50FA4028"/>
    <w:rsid w:val="510D65B7"/>
    <w:rsid w:val="511157AB"/>
    <w:rsid w:val="51134570"/>
    <w:rsid w:val="511E6BD5"/>
    <w:rsid w:val="514013BA"/>
    <w:rsid w:val="5142540C"/>
    <w:rsid w:val="517B70EA"/>
    <w:rsid w:val="51862A27"/>
    <w:rsid w:val="518832C8"/>
    <w:rsid w:val="51A0432A"/>
    <w:rsid w:val="51A86090"/>
    <w:rsid w:val="51B7396D"/>
    <w:rsid w:val="51EE33AC"/>
    <w:rsid w:val="51FB017D"/>
    <w:rsid w:val="522E2CD6"/>
    <w:rsid w:val="522E4CC3"/>
    <w:rsid w:val="5244713B"/>
    <w:rsid w:val="524520A3"/>
    <w:rsid w:val="52615633"/>
    <w:rsid w:val="5264616A"/>
    <w:rsid w:val="52977FD4"/>
    <w:rsid w:val="52A25790"/>
    <w:rsid w:val="52A96B6F"/>
    <w:rsid w:val="52B45975"/>
    <w:rsid w:val="52C04ED3"/>
    <w:rsid w:val="52D94AA4"/>
    <w:rsid w:val="52EA3A62"/>
    <w:rsid w:val="52F50BB8"/>
    <w:rsid w:val="53097272"/>
    <w:rsid w:val="53544462"/>
    <w:rsid w:val="53680C7C"/>
    <w:rsid w:val="539263D0"/>
    <w:rsid w:val="5397158E"/>
    <w:rsid w:val="53BF0089"/>
    <w:rsid w:val="54013861"/>
    <w:rsid w:val="54487265"/>
    <w:rsid w:val="544D6070"/>
    <w:rsid w:val="545D5AF4"/>
    <w:rsid w:val="54605E1E"/>
    <w:rsid w:val="546E385E"/>
    <w:rsid w:val="54962D2E"/>
    <w:rsid w:val="54B3506A"/>
    <w:rsid w:val="54CA0D16"/>
    <w:rsid w:val="54DD4057"/>
    <w:rsid w:val="54E7490F"/>
    <w:rsid w:val="550764A4"/>
    <w:rsid w:val="550B2BF6"/>
    <w:rsid w:val="55214EB5"/>
    <w:rsid w:val="55364EFD"/>
    <w:rsid w:val="555D4828"/>
    <w:rsid w:val="557703A8"/>
    <w:rsid w:val="557A4C8B"/>
    <w:rsid w:val="558931E1"/>
    <w:rsid w:val="55923347"/>
    <w:rsid w:val="55925180"/>
    <w:rsid w:val="55983B1B"/>
    <w:rsid w:val="55A8376B"/>
    <w:rsid w:val="55DC29B6"/>
    <w:rsid w:val="55DD4241"/>
    <w:rsid w:val="55F3683A"/>
    <w:rsid w:val="563A7E9B"/>
    <w:rsid w:val="566B6D1E"/>
    <w:rsid w:val="56B539C6"/>
    <w:rsid w:val="57032A2C"/>
    <w:rsid w:val="570F5219"/>
    <w:rsid w:val="575D12B5"/>
    <w:rsid w:val="57610A87"/>
    <w:rsid w:val="577B1140"/>
    <w:rsid w:val="577B7F21"/>
    <w:rsid w:val="577F181B"/>
    <w:rsid w:val="578D2F1C"/>
    <w:rsid w:val="57921984"/>
    <w:rsid w:val="579737F0"/>
    <w:rsid w:val="57AB7B30"/>
    <w:rsid w:val="57AF5251"/>
    <w:rsid w:val="57B26373"/>
    <w:rsid w:val="57B63F04"/>
    <w:rsid w:val="57CD20C2"/>
    <w:rsid w:val="57CD4D3F"/>
    <w:rsid w:val="57CD7772"/>
    <w:rsid w:val="57D675AB"/>
    <w:rsid w:val="57D95FDD"/>
    <w:rsid w:val="57EE3A69"/>
    <w:rsid w:val="582E5625"/>
    <w:rsid w:val="583E13D5"/>
    <w:rsid w:val="58444517"/>
    <w:rsid w:val="58906498"/>
    <w:rsid w:val="58917D2F"/>
    <w:rsid w:val="5894085C"/>
    <w:rsid w:val="58AE4F0C"/>
    <w:rsid w:val="58B85899"/>
    <w:rsid w:val="58DC4F76"/>
    <w:rsid w:val="58DE7204"/>
    <w:rsid w:val="58E363A9"/>
    <w:rsid w:val="59102624"/>
    <w:rsid w:val="59506DD0"/>
    <w:rsid w:val="595E1678"/>
    <w:rsid w:val="596D5BD4"/>
    <w:rsid w:val="597E3DD8"/>
    <w:rsid w:val="59F80043"/>
    <w:rsid w:val="5A09252F"/>
    <w:rsid w:val="5A0B2778"/>
    <w:rsid w:val="5A2A7C7B"/>
    <w:rsid w:val="5A3E2560"/>
    <w:rsid w:val="5A5D3B6E"/>
    <w:rsid w:val="5A637A76"/>
    <w:rsid w:val="5A6D33BA"/>
    <w:rsid w:val="5A792B1F"/>
    <w:rsid w:val="5A7A2F5C"/>
    <w:rsid w:val="5A874767"/>
    <w:rsid w:val="5AA57C97"/>
    <w:rsid w:val="5AAD6F28"/>
    <w:rsid w:val="5AD63A24"/>
    <w:rsid w:val="5AE76118"/>
    <w:rsid w:val="5B2E1A1D"/>
    <w:rsid w:val="5B843A1C"/>
    <w:rsid w:val="5B873E3F"/>
    <w:rsid w:val="5B8F2A37"/>
    <w:rsid w:val="5C02690E"/>
    <w:rsid w:val="5C196DA7"/>
    <w:rsid w:val="5C2A048C"/>
    <w:rsid w:val="5C2B604B"/>
    <w:rsid w:val="5C790AF3"/>
    <w:rsid w:val="5C80234E"/>
    <w:rsid w:val="5C8A680C"/>
    <w:rsid w:val="5C8E54F6"/>
    <w:rsid w:val="5CAB1AF3"/>
    <w:rsid w:val="5D0C4701"/>
    <w:rsid w:val="5D0F0395"/>
    <w:rsid w:val="5D221076"/>
    <w:rsid w:val="5D243653"/>
    <w:rsid w:val="5D397964"/>
    <w:rsid w:val="5D4F626D"/>
    <w:rsid w:val="5D567FD3"/>
    <w:rsid w:val="5D5A391C"/>
    <w:rsid w:val="5D5F10C0"/>
    <w:rsid w:val="5D755C5D"/>
    <w:rsid w:val="5D8845B2"/>
    <w:rsid w:val="5D891B7B"/>
    <w:rsid w:val="5DAD38EE"/>
    <w:rsid w:val="5E006862"/>
    <w:rsid w:val="5E0207B9"/>
    <w:rsid w:val="5E1834A1"/>
    <w:rsid w:val="5E261785"/>
    <w:rsid w:val="5E4A7017"/>
    <w:rsid w:val="5E552BBA"/>
    <w:rsid w:val="5E611C10"/>
    <w:rsid w:val="5E770F4D"/>
    <w:rsid w:val="5EC251B6"/>
    <w:rsid w:val="5EFB03E4"/>
    <w:rsid w:val="5EFC7377"/>
    <w:rsid w:val="5F06174D"/>
    <w:rsid w:val="5F1A6ABC"/>
    <w:rsid w:val="5F3A3602"/>
    <w:rsid w:val="5F6277C6"/>
    <w:rsid w:val="5F6D0B1D"/>
    <w:rsid w:val="5F8D0B82"/>
    <w:rsid w:val="5FBB783A"/>
    <w:rsid w:val="5FCC5339"/>
    <w:rsid w:val="5FE34A5B"/>
    <w:rsid w:val="5FFE1E36"/>
    <w:rsid w:val="60232584"/>
    <w:rsid w:val="60327E35"/>
    <w:rsid w:val="6037369D"/>
    <w:rsid w:val="60567F87"/>
    <w:rsid w:val="607330CE"/>
    <w:rsid w:val="60825176"/>
    <w:rsid w:val="608A5EC3"/>
    <w:rsid w:val="609E371C"/>
    <w:rsid w:val="609F2AC4"/>
    <w:rsid w:val="60BA121F"/>
    <w:rsid w:val="60C2496E"/>
    <w:rsid w:val="60EB5F0B"/>
    <w:rsid w:val="60EC72F5"/>
    <w:rsid w:val="60FA2EE8"/>
    <w:rsid w:val="61054A27"/>
    <w:rsid w:val="610A52BC"/>
    <w:rsid w:val="611D2366"/>
    <w:rsid w:val="612105D5"/>
    <w:rsid w:val="61421856"/>
    <w:rsid w:val="615227C4"/>
    <w:rsid w:val="61654E3F"/>
    <w:rsid w:val="6182292A"/>
    <w:rsid w:val="619F7F92"/>
    <w:rsid w:val="61A05F72"/>
    <w:rsid w:val="61BF1856"/>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436AB5"/>
    <w:rsid w:val="64720330"/>
    <w:rsid w:val="648B6EEF"/>
    <w:rsid w:val="64C158BF"/>
    <w:rsid w:val="64CE2EAA"/>
    <w:rsid w:val="64E91168"/>
    <w:rsid w:val="64EA6F30"/>
    <w:rsid w:val="64F46001"/>
    <w:rsid w:val="651E6781"/>
    <w:rsid w:val="653C3090"/>
    <w:rsid w:val="65854376"/>
    <w:rsid w:val="658767BE"/>
    <w:rsid w:val="65892531"/>
    <w:rsid w:val="66195831"/>
    <w:rsid w:val="662E75B1"/>
    <w:rsid w:val="66342C2E"/>
    <w:rsid w:val="663E784C"/>
    <w:rsid w:val="66415276"/>
    <w:rsid w:val="668B6A45"/>
    <w:rsid w:val="669E7FD2"/>
    <w:rsid w:val="672F3F24"/>
    <w:rsid w:val="6737224A"/>
    <w:rsid w:val="673E055F"/>
    <w:rsid w:val="67551CE3"/>
    <w:rsid w:val="6760172C"/>
    <w:rsid w:val="677F7255"/>
    <w:rsid w:val="67A22552"/>
    <w:rsid w:val="67B22DCC"/>
    <w:rsid w:val="67BE71AA"/>
    <w:rsid w:val="67D90273"/>
    <w:rsid w:val="67DE5875"/>
    <w:rsid w:val="67E55852"/>
    <w:rsid w:val="67EB1AB4"/>
    <w:rsid w:val="67FA1285"/>
    <w:rsid w:val="680D6507"/>
    <w:rsid w:val="683F57E5"/>
    <w:rsid w:val="68551F4F"/>
    <w:rsid w:val="687C10C9"/>
    <w:rsid w:val="68840C16"/>
    <w:rsid w:val="68876EFB"/>
    <w:rsid w:val="68884654"/>
    <w:rsid w:val="689F444F"/>
    <w:rsid w:val="68AE04BF"/>
    <w:rsid w:val="68B96DBB"/>
    <w:rsid w:val="68CA2805"/>
    <w:rsid w:val="68E937A3"/>
    <w:rsid w:val="69123DFC"/>
    <w:rsid w:val="693E15D3"/>
    <w:rsid w:val="69627681"/>
    <w:rsid w:val="69721360"/>
    <w:rsid w:val="6977531D"/>
    <w:rsid w:val="69CC2BFF"/>
    <w:rsid w:val="69FD55B8"/>
    <w:rsid w:val="6A046D2D"/>
    <w:rsid w:val="6A0B1C62"/>
    <w:rsid w:val="6A2406C8"/>
    <w:rsid w:val="6ADE0BD1"/>
    <w:rsid w:val="6AE96859"/>
    <w:rsid w:val="6B147746"/>
    <w:rsid w:val="6B24787C"/>
    <w:rsid w:val="6B2A62D8"/>
    <w:rsid w:val="6B573233"/>
    <w:rsid w:val="6B5B6274"/>
    <w:rsid w:val="6B912C47"/>
    <w:rsid w:val="6B935D53"/>
    <w:rsid w:val="6BFB7A4E"/>
    <w:rsid w:val="6C0F0C37"/>
    <w:rsid w:val="6C196F71"/>
    <w:rsid w:val="6C1E3C67"/>
    <w:rsid w:val="6C226FCB"/>
    <w:rsid w:val="6C31226F"/>
    <w:rsid w:val="6C552F0B"/>
    <w:rsid w:val="6C8C67B7"/>
    <w:rsid w:val="6C9003BD"/>
    <w:rsid w:val="6C982283"/>
    <w:rsid w:val="6C9D744C"/>
    <w:rsid w:val="6CB93DB8"/>
    <w:rsid w:val="6CD84D8D"/>
    <w:rsid w:val="6D167928"/>
    <w:rsid w:val="6D26299B"/>
    <w:rsid w:val="6D4772EC"/>
    <w:rsid w:val="6D9078AF"/>
    <w:rsid w:val="6DAA3FEF"/>
    <w:rsid w:val="6DC0172B"/>
    <w:rsid w:val="6DCB690C"/>
    <w:rsid w:val="6DD41A5B"/>
    <w:rsid w:val="6DF43C2E"/>
    <w:rsid w:val="6DF51CA3"/>
    <w:rsid w:val="6E8335BD"/>
    <w:rsid w:val="6E895A0C"/>
    <w:rsid w:val="6E8E12EF"/>
    <w:rsid w:val="6E972936"/>
    <w:rsid w:val="6ED446C5"/>
    <w:rsid w:val="6F0A1397"/>
    <w:rsid w:val="6F2A7D94"/>
    <w:rsid w:val="6F8331F1"/>
    <w:rsid w:val="6F9A34EE"/>
    <w:rsid w:val="6FAE1A09"/>
    <w:rsid w:val="6FB63007"/>
    <w:rsid w:val="6FD75BF8"/>
    <w:rsid w:val="6FE25A5E"/>
    <w:rsid w:val="70545BA6"/>
    <w:rsid w:val="707723D0"/>
    <w:rsid w:val="70C54119"/>
    <w:rsid w:val="70CB0A31"/>
    <w:rsid w:val="70CC6752"/>
    <w:rsid w:val="70EA57D2"/>
    <w:rsid w:val="70F5661B"/>
    <w:rsid w:val="71360107"/>
    <w:rsid w:val="713B688E"/>
    <w:rsid w:val="71D43752"/>
    <w:rsid w:val="71F1796A"/>
    <w:rsid w:val="72154626"/>
    <w:rsid w:val="72262B5D"/>
    <w:rsid w:val="72283FF7"/>
    <w:rsid w:val="722E7212"/>
    <w:rsid w:val="723A0474"/>
    <w:rsid w:val="72457067"/>
    <w:rsid w:val="725923E4"/>
    <w:rsid w:val="72864BF7"/>
    <w:rsid w:val="729023FC"/>
    <w:rsid w:val="72A468ED"/>
    <w:rsid w:val="73007A0C"/>
    <w:rsid w:val="730123AF"/>
    <w:rsid w:val="73017835"/>
    <w:rsid w:val="739F0CFB"/>
    <w:rsid w:val="73B444DE"/>
    <w:rsid w:val="73C0646E"/>
    <w:rsid w:val="73CA0659"/>
    <w:rsid w:val="742065D6"/>
    <w:rsid w:val="742222F5"/>
    <w:rsid w:val="74476126"/>
    <w:rsid w:val="74706664"/>
    <w:rsid w:val="747F3682"/>
    <w:rsid w:val="749C4185"/>
    <w:rsid w:val="75067759"/>
    <w:rsid w:val="752E6DCD"/>
    <w:rsid w:val="7551380D"/>
    <w:rsid w:val="755503F6"/>
    <w:rsid w:val="75600BE5"/>
    <w:rsid w:val="7564475C"/>
    <w:rsid w:val="7583797F"/>
    <w:rsid w:val="75A60C51"/>
    <w:rsid w:val="75D20F1D"/>
    <w:rsid w:val="75DA2C18"/>
    <w:rsid w:val="75F54412"/>
    <w:rsid w:val="761D08E0"/>
    <w:rsid w:val="76394C4B"/>
    <w:rsid w:val="765D347C"/>
    <w:rsid w:val="76826699"/>
    <w:rsid w:val="76C87133"/>
    <w:rsid w:val="76CD08D5"/>
    <w:rsid w:val="76DB4B92"/>
    <w:rsid w:val="77052AA4"/>
    <w:rsid w:val="77136511"/>
    <w:rsid w:val="77340A39"/>
    <w:rsid w:val="77351FD0"/>
    <w:rsid w:val="77472422"/>
    <w:rsid w:val="777A3A38"/>
    <w:rsid w:val="777F31F2"/>
    <w:rsid w:val="77B84C6C"/>
    <w:rsid w:val="77D1700D"/>
    <w:rsid w:val="77EC04CC"/>
    <w:rsid w:val="783F0D9E"/>
    <w:rsid w:val="7855070D"/>
    <w:rsid w:val="785A4320"/>
    <w:rsid w:val="78775729"/>
    <w:rsid w:val="789254BD"/>
    <w:rsid w:val="78A42DB0"/>
    <w:rsid w:val="78A656AB"/>
    <w:rsid w:val="78B2245C"/>
    <w:rsid w:val="78CE0730"/>
    <w:rsid w:val="78E172CC"/>
    <w:rsid w:val="78EA1D1F"/>
    <w:rsid w:val="78F32400"/>
    <w:rsid w:val="7904172F"/>
    <w:rsid w:val="790F7E27"/>
    <w:rsid w:val="792A231A"/>
    <w:rsid w:val="79316829"/>
    <w:rsid w:val="79556C16"/>
    <w:rsid w:val="79715086"/>
    <w:rsid w:val="797E66A9"/>
    <w:rsid w:val="79A97383"/>
    <w:rsid w:val="79B25A5D"/>
    <w:rsid w:val="79E27E8B"/>
    <w:rsid w:val="79F850CE"/>
    <w:rsid w:val="79FD443C"/>
    <w:rsid w:val="7A08139B"/>
    <w:rsid w:val="7A1D1975"/>
    <w:rsid w:val="7A2B38E0"/>
    <w:rsid w:val="7A3E5150"/>
    <w:rsid w:val="7A4670D6"/>
    <w:rsid w:val="7A534B63"/>
    <w:rsid w:val="7A615382"/>
    <w:rsid w:val="7A67303B"/>
    <w:rsid w:val="7A7B4D00"/>
    <w:rsid w:val="7AA4209F"/>
    <w:rsid w:val="7AAB1D04"/>
    <w:rsid w:val="7ABA4368"/>
    <w:rsid w:val="7AD05746"/>
    <w:rsid w:val="7B257FFD"/>
    <w:rsid w:val="7B343476"/>
    <w:rsid w:val="7B3F5A94"/>
    <w:rsid w:val="7B5A2978"/>
    <w:rsid w:val="7B5A7E4C"/>
    <w:rsid w:val="7B667AF9"/>
    <w:rsid w:val="7B7468F8"/>
    <w:rsid w:val="7BCD518A"/>
    <w:rsid w:val="7BEE0103"/>
    <w:rsid w:val="7BFB07E7"/>
    <w:rsid w:val="7C0A0FE4"/>
    <w:rsid w:val="7C254906"/>
    <w:rsid w:val="7C590818"/>
    <w:rsid w:val="7C606846"/>
    <w:rsid w:val="7C7C10F6"/>
    <w:rsid w:val="7C853BEA"/>
    <w:rsid w:val="7C881368"/>
    <w:rsid w:val="7CB249DF"/>
    <w:rsid w:val="7CE27788"/>
    <w:rsid w:val="7D0C32F1"/>
    <w:rsid w:val="7D0F408D"/>
    <w:rsid w:val="7D210FAE"/>
    <w:rsid w:val="7D321A55"/>
    <w:rsid w:val="7D491C6C"/>
    <w:rsid w:val="7D5429C0"/>
    <w:rsid w:val="7D6E6D43"/>
    <w:rsid w:val="7DB57A34"/>
    <w:rsid w:val="7DC83F62"/>
    <w:rsid w:val="7DE60973"/>
    <w:rsid w:val="7DEF0916"/>
    <w:rsid w:val="7E1E5218"/>
    <w:rsid w:val="7E9A4E1F"/>
    <w:rsid w:val="7EA30424"/>
    <w:rsid w:val="7EA7723A"/>
    <w:rsid w:val="7EF56FBB"/>
    <w:rsid w:val="7F0768EB"/>
    <w:rsid w:val="7F143BEC"/>
    <w:rsid w:val="7F2B5F70"/>
    <w:rsid w:val="7F715AF2"/>
    <w:rsid w:val="7F886E69"/>
    <w:rsid w:val="7F954211"/>
    <w:rsid w:val="9FFEFBF3"/>
    <w:rsid w:val="BB7FA927"/>
    <w:rsid w:val="F5FFD31F"/>
    <w:rsid w:val="FE37C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4"/>
    <w:link w:val="318"/>
    <w:qFormat/>
    <w:uiPriority w:val="0"/>
    <w:pPr>
      <w:ind w:firstLine="420"/>
    </w:pPr>
    <w:rPr>
      <w:rFonts w:hAnsi="Calibri" w:cs="Times New Roman"/>
      <w:snapToGrid/>
      <w:szCs w:val="20"/>
    </w:rPr>
  </w:style>
  <w:style w:type="paragraph" w:styleId="3">
    <w:name w:val="Body Text"/>
    <w:basedOn w:val="1"/>
    <w:next w:val="2"/>
    <w:link w:val="427"/>
    <w:qFormat/>
    <w:uiPriority w:val="0"/>
    <w:pPr>
      <w:autoSpaceDE w:val="0"/>
      <w:autoSpaceDN w:val="0"/>
      <w:spacing w:line="360" w:lineRule="auto"/>
    </w:pPr>
    <w:rPr>
      <w:rFonts w:ascii="宋体" w:hAnsi="Arial" w:cs="Arial"/>
      <w:snapToGrid w:val="0"/>
      <w:sz w:val="24"/>
      <w:szCs w:val="21"/>
      <w:lang w:val="zh-CN"/>
    </w:rPr>
  </w:style>
  <w:style w:type="paragraph" w:styleId="4">
    <w:name w:val="toc 6"/>
    <w:basedOn w:val="1"/>
    <w:next w:val="1"/>
    <w:qFormat/>
    <w:uiPriority w:val="0"/>
    <w:pPr>
      <w:ind w:left="2100" w:leftChars="1000"/>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226"/>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199"/>
    <w:qFormat/>
    <w:uiPriority w:val="0"/>
    <w:pPr>
      <w:shd w:val="clear" w:color="auto" w:fill="000080"/>
    </w:pPr>
  </w:style>
  <w:style w:type="paragraph" w:styleId="22">
    <w:name w:val="annotation text"/>
    <w:basedOn w:val="1"/>
    <w:link w:val="341"/>
    <w:qFormat/>
    <w:uiPriority w:val="99"/>
    <w:pPr>
      <w:jc w:val="left"/>
    </w:pPr>
  </w:style>
  <w:style w:type="paragraph" w:styleId="23">
    <w:name w:val="Salutation"/>
    <w:basedOn w:val="1"/>
    <w:next w:val="1"/>
    <w:link w:val="295"/>
    <w:qFormat/>
    <w:uiPriority w:val="0"/>
    <w:rPr>
      <w:rFonts w:ascii="仿宋_GB2312" w:eastAsia="仿宋_GB2312"/>
      <w:sz w:val="28"/>
      <w:szCs w:val="20"/>
    </w:rPr>
  </w:style>
  <w:style w:type="paragraph" w:styleId="24">
    <w:name w:val="Body Text 3"/>
    <w:basedOn w:val="1"/>
    <w:link w:val="327"/>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262"/>
    <w:qFormat/>
    <w:uiPriority w:val="0"/>
    <w:pPr>
      <w:spacing w:line="480" w:lineRule="exact"/>
      <w:ind w:firstLine="480" w:firstLineChars="200"/>
    </w:pPr>
    <w:rPr>
      <w:rFonts w:ascii="宋体" w:hAnsi="宋体"/>
      <w:sz w:val="24"/>
    </w:rPr>
  </w:style>
  <w:style w:type="paragraph" w:styleId="27">
    <w:name w:val="Body Text First Indent 2"/>
    <w:basedOn w:val="26"/>
    <w:next w:val="2"/>
    <w:link w:val="118"/>
    <w:qFormat/>
    <w:uiPriority w:val="0"/>
    <w:pPr>
      <w:adjustRightInd/>
      <w:spacing w:after="120" w:line="240" w:lineRule="auto"/>
      <w:ind w:left="420" w:leftChars="200" w:firstLine="210"/>
    </w:pPr>
    <w:rPr>
      <w:sz w:val="21"/>
    </w:r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2"/>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78"/>
    <w:qFormat/>
    <w:uiPriority w:val="0"/>
    <w:pPr>
      <w:ind w:left="100" w:leftChars="2500"/>
    </w:pPr>
    <w:rPr>
      <w:rFonts w:ascii="宋体"/>
      <w:sz w:val="24"/>
      <w:szCs w:val="21"/>
      <w:lang w:val="zh-CN"/>
    </w:rPr>
  </w:style>
  <w:style w:type="paragraph" w:styleId="39">
    <w:name w:val="Body Text Indent 2"/>
    <w:basedOn w:val="1"/>
    <w:link w:val="305"/>
    <w:qFormat/>
    <w:uiPriority w:val="0"/>
    <w:pPr>
      <w:spacing w:line="360" w:lineRule="auto"/>
      <w:ind w:firstLine="601"/>
      <w:textAlignment w:val="baseline"/>
    </w:pPr>
    <w:rPr>
      <w:rFonts w:ascii="宋体"/>
      <w:kern w:val="0"/>
      <w:sz w:val="28"/>
      <w:szCs w:val="20"/>
    </w:rPr>
  </w:style>
  <w:style w:type="paragraph" w:styleId="40">
    <w:name w:val="endnote text"/>
    <w:basedOn w:val="1"/>
    <w:link w:val="929"/>
    <w:qFormat/>
    <w:uiPriority w:val="0"/>
    <w:rPr>
      <w:lang w:val="zh-CN"/>
    </w:rPr>
  </w:style>
  <w:style w:type="paragraph" w:styleId="41">
    <w:name w:val="Balloon Text"/>
    <w:basedOn w:val="1"/>
    <w:link w:val="185"/>
    <w:qFormat/>
    <w:uiPriority w:val="0"/>
    <w:rPr>
      <w:sz w:val="18"/>
      <w:szCs w:val="18"/>
    </w:rPr>
  </w:style>
  <w:style w:type="paragraph" w:styleId="42">
    <w:name w:val="footer"/>
    <w:basedOn w:val="1"/>
    <w:link w:val="380"/>
    <w:qFormat/>
    <w:uiPriority w:val="99"/>
    <w:pPr>
      <w:tabs>
        <w:tab w:val="center" w:pos="4153"/>
        <w:tab w:val="right" w:pos="8306"/>
      </w:tabs>
      <w:snapToGrid w:val="0"/>
      <w:jc w:val="left"/>
    </w:pPr>
    <w:rPr>
      <w:sz w:val="18"/>
      <w:szCs w:val="18"/>
    </w:rPr>
  </w:style>
  <w:style w:type="paragraph" w:styleId="43">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8"/>
    <w:link w:val="307"/>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2"/>
    <w:next w:val="22"/>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字符"/>
    <w:link w:val="27"/>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5"/>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9"/>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10"/>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6"/>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8"/>
    <w:qFormat/>
    <w:uiPriority w:val="0"/>
    <w:rPr>
      <w:rFonts w:ascii="宋体"/>
      <w:kern w:val="2"/>
      <w:sz w:val="24"/>
      <w:szCs w:val="21"/>
      <w:lang w:val="zh-CN"/>
    </w:rPr>
  </w:style>
  <w:style w:type="character" w:customStyle="1" w:styleId="179">
    <w:name w:val="标题 9 字符"/>
    <w:link w:val="13"/>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41"/>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18"/>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21"/>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32"/>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8"/>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9"/>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6"/>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5"/>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9"/>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3"/>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8"/>
    <w:qFormat/>
    <w:uiPriority w:val="0"/>
    <w:rPr>
      <w:rFonts w:ascii="黑体" w:hAnsi="Courier New" w:eastAsia="黑体"/>
    </w:rPr>
  </w:style>
  <w:style w:type="character" w:customStyle="1" w:styleId="299">
    <w:name w:val="正文文本 2 字符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8"/>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11"/>
    <w:qFormat/>
    <w:uiPriority w:val="0"/>
    <w:rPr>
      <w:b/>
      <w:bCs/>
      <w:kern w:val="2"/>
      <w:sz w:val="24"/>
      <w:szCs w:val="24"/>
    </w:rPr>
  </w:style>
  <w:style w:type="character" w:customStyle="1" w:styleId="305">
    <w:name w:val="正文文本缩进 2 字符"/>
    <w:link w:val="39"/>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2"/>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字符"/>
    <w:link w:val="2"/>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8"/>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4"/>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22"/>
    <w:qFormat/>
    <w:uiPriority w:val="0"/>
    <w:rPr>
      <w:kern w:val="2"/>
      <w:sz w:val="21"/>
      <w:szCs w:val="24"/>
    </w:rPr>
  </w:style>
  <w:style w:type="character" w:customStyle="1" w:styleId="342">
    <w:name w:val="签名 字符"/>
    <w:link w:val="44"/>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2"/>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2"/>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3"/>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8"/>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8"/>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6"/>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6"/>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7"/>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9"/>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7"/>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8"/>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5"/>
    <w:qFormat/>
    <w:uiPriority w:val="0"/>
    <w:pPr>
      <w:tabs>
        <w:tab w:val="left" w:pos="840"/>
      </w:tabs>
      <w:adjustRightInd/>
      <w:ind w:left="840" w:hanging="420"/>
    </w:pPr>
  </w:style>
  <w:style w:type="paragraph" w:customStyle="1" w:styleId="623">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9"/>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7"/>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8"/>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1"/>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5"/>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40"/>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bookmark-item"/>
    <w:basedOn w:val="69"/>
    <w:qFormat/>
    <w:uiPriority w:val="0"/>
  </w:style>
  <w:style w:type="paragraph" w:customStyle="1" w:styleId="962">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963">
    <w:name w:val="_Style 2"/>
    <w:qFormat/>
    <w:uiPriority w:val="0"/>
    <w:pPr>
      <w:widowControl w:val="0"/>
      <w:jc w:val="both"/>
    </w:pPr>
    <w:rPr>
      <w:rFonts w:ascii="Times New Roman" w:hAnsi="Times New Roman" w:eastAsia="宋体" w:cs="Calibri"/>
      <w:kern w:val="2"/>
      <w:sz w:val="21"/>
      <w:szCs w:val="22"/>
      <w:lang w:val="en-US" w:eastAsia="zh-CN" w:bidi="ar-SA"/>
    </w:rPr>
  </w:style>
  <w:style w:type="paragraph" w:customStyle="1" w:styleId="964">
    <w:name w:val="_Style 9"/>
    <w:qFormat/>
    <w:uiPriority w:val="0"/>
    <w:pPr>
      <w:widowControl w:val="0"/>
      <w:jc w:val="both"/>
    </w:pPr>
    <w:rPr>
      <w:rFonts w:cs="Calibri" w:asciiTheme="minorHAnsi" w:hAnsiTheme="minorHAnsi" w:eastAsiaTheme="minorEastAsia"/>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105</Pages>
  <Words>51058</Words>
  <Characters>53293</Characters>
  <Lines>1743</Lines>
  <Paragraphs>1760</Paragraphs>
  <TotalTime>7</TotalTime>
  <ScaleCrop>false</ScaleCrop>
  <LinksUpToDate>false</LinksUpToDate>
  <CharactersWithSpaces>54672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xinlan</cp:lastModifiedBy>
  <cp:lastPrinted>2022-10-12T07:51:00Z</cp:lastPrinted>
  <dcterms:modified xsi:type="dcterms:W3CDTF">2022-10-18T02:20:49Z</dcterms:modified>
  <dc:title>杭州市市民卡扩大发卡工程</dc:title>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CF8642F71B944A149796C26426DCA29A</vt:lpwstr>
  </property>
</Properties>
</file>