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hint="eastAsia" w:ascii="Arial" w:hAnsi="宋体" w:eastAsia="宋体" w:cs="Arial"/>
          <w:b/>
          <w:bCs/>
          <w:color w:val="auto"/>
          <w:sz w:val="48"/>
          <w:szCs w:val="48"/>
          <w:lang w:eastAsia="zh-CN"/>
        </w:rPr>
      </w:pPr>
      <w:r>
        <w:rPr>
          <w:rFonts w:hint="eastAsia" w:ascii="Arial" w:hAnsi="宋体" w:cs="Arial"/>
          <w:b/>
          <w:bCs/>
          <w:color w:val="auto"/>
          <w:sz w:val="48"/>
          <w:szCs w:val="48"/>
          <w:lang w:eastAsia="zh-CN"/>
        </w:rPr>
        <w:t>中国美术学院</w:t>
      </w:r>
    </w:p>
    <w:p>
      <w:pPr>
        <w:spacing w:line="600" w:lineRule="auto"/>
        <w:ind w:firstLine="0" w:firstLineChars="0"/>
        <w:jc w:val="center"/>
        <w:rPr>
          <w:rFonts w:hint="eastAsia" w:ascii="Arial" w:hAnsi="宋体" w:eastAsia="宋体" w:cs="Arial"/>
          <w:b/>
          <w:bCs/>
          <w:color w:val="auto"/>
          <w:sz w:val="48"/>
          <w:szCs w:val="48"/>
          <w:lang w:eastAsia="zh-CN"/>
        </w:rPr>
      </w:pPr>
      <w:r>
        <w:rPr>
          <w:rFonts w:hint="eastAsia" w:ascii="Arial" w:hAnsi="宋体" w:cs="Arial"/>
          <w:b/>
          <w:bCs/>
          <w:color w:val="auto"/>
          <w:sz w:val="48"/>
          <w:szCs w:val="48"/>
          <w:lang w:eastAsia="zh-CN"/>
        </w:rPr>
        <w:t>美术馆文物智能展柜及配套设备采购</w:t>
      </w:r>
    </w:p>
    <w:p>
      <w:pPr>
        <w:snapToGrid w:val="0"/>
        <w:ind w:firstLine="0" w:firstLineChars="0"/>
        <w:rPr>
          <w:rFonts w:ascii="Arial" w:hAnsi="宋体" w:cs="Arial"/>
          <w:b/>
          <w:color w:val="auto"/>
          <w:sz w:val="84"/>
          <w:szCs w:val="84"/>
        </w:rPr>
      </w:pPr>
    </w:p>
    <w:p>
      <w:pPr>
        <w:pStyle w:val="3"/>
        <w:ind w:firstLine="210"/>
        <w:jc w:val="center"/>
        <w:rPr>
          <w:color w:val="auto"/>
        </w:rPr>
      </w:pPr>
    </w:p>
    <w:p>
      <w:pPr>
        <w:pStyle w:val="3"/>
        <w:ind w:firstLine="210"/>
        <w:jc w:val="center"/>
        <w:rPr>
          <w:color w:val="auto"/>
        </w:rPr>
      </w:pPr>
    </w:p>
    <w:p>
      <w:pPr>
        <w:pStyle w:val="3"/>
        <w:ind w:firstLine="210"/>
        <w:rPr>
          <w:color w:val="auto"/>
        </w:rPr>
      </w:pPr>
    </w:p>
    <w:p>
      <w:pPr>
        <w:pStyle w:val="3"/>
        <w:ind w:firstLine="210"/>
        <w:rPr>
          <w:color w:val="auto"/>
        </w:rPr>
      </w:pPr>
    </w:p>
    <w:p>
      <w:pPr>
        <w:snapToGrid w:val="0"/>
        <w:ind w:firstLine="0" w:firstLineChars="0"/>
        <w:jc w:val="center"/>
        <w:rPr>
          <w:rFonts w:ascii="Arial" w:hAnsi="Arial" w:cs="Arial"/>
          <w:b/>
          <w:color w:val="auto"/>
          <w:sz w:val="84"/>
          <w:szCs w:val="84"/>
        </w:rPr>
      </w:pPr>
      <w:r>
        <w:rPr>
          <w:rFonts w:hint="eastAsia" w:ascii="Arial" w:hAnsi="宋体" w:cs="Arial"/>
          <w:b/>
          <w:color w:val="auto"/>
          <w:sz w:val="84"/>
          <w:szCs w:val="84"/>
        </w:rPr>
        <w:t>招标文件</w:t>
      </w:r>
    </w:p>
    <w:p>
      <w:pPr>
        <w:pStyle w:val="3"/>
        <w:ind w:firstLine="442"/>
        <w:jc w:val="center"/>
        <w:rPr>
          <w:rFonts w:ascii="宋体" w:hAnsi="宋体" w:eastAsia="宋体" w:cs="宋体"/>
          <w:color w:val="auto"/>
        </w:rPr>
      </w:pPr>
      <w:r>
        <w:rPr>
          <w:rFonts w:hint="eastAsia" w:ascii="宋体" w:hAnsi="宋体" w:eastAsia="宋体" w:cs="宋体"/>
          <w:b/>
          <w:color w:val="auto"/>
          <w:sz w:val="44"/>
          <w:szCs w:val="44"/>
        </w:rPr>
        <w:t>（在线电子招投标）</w:t>
      </w:r>
    </w:p>
    <w:p>
      <w:pPr>
        <w:snapToGrid w:val="0"/>
        <w:ind w:firstLine="723"/>
        <w:rPr>
          <w:rFonts w:ascii="Arial" w:hAnsi="Arial" w:cs="Arial"/>
          <w:b/>
          <w:color w:val="auto"/>
          <w:sz w:val="36"/>
        </w:rPr>
      </w:pPr>
    </w:p>
    <w:p>
      <w:pPr>
        <w:snapToGrid w:val="0"/>
        <w:ind w:firstLine="0" w:firstLineChars="0"/>
        <w:rPr>
          <w:rFonts w:ascii="Arial" w:hAnsi="Arial" w:cs="Arial"/>
          <w:b/>
          <w:color w:val="auto"/>
          <w:sz w:val="36"/>
        </w:rPr>
      </w:pPr>
    </w:p>
    <w:p>
      <w:pPr>
        <w:pStyle w:val="3"/>
        <w:ind w:firstLine="210"/>
        <w:rPr>
          <w:color w:val="auto"/>
        </w:rPr>
      </w:pPr>
    </w:p>
    <w:p>
      <w:pPr>
        <w:snapToGrid w:val="0"/>
        <w:ind w:left="1785" w:leftChars="250" w:hanging="1260" w:hangingChars="450"/>
        <w:rPr>
          <w:rFonts w:ascii="宋体" w:hAnsi="宋体" w:cs="宋体"/>
          <w:color w:val="auto"/>
          <w:sz w:val="28"/>
          <w:szCs w:val="28"/>
        </w:rPr>
      </w:pPr>
    </w:p>
    <w:p>
      <w:pPr>
        <w:pStyle w:val="3"/>
        <w:ind w:firstLine="210"/>
        <w:rPr>
          <w:color w:val="auto"/>
        </w:rPr>
      </w:pPr>
    </w:p>
    <w:p>
      <w:pPr>
        <w:ind w:firstLine="560"/>
        <w:rPr>
          <w:rFonts w:ascii="宋体" w:hAnsi="宋体" w:cs="宋体"/>
          <w:color w:val="auto"/>
          <w:sz w:val="28"/>
          <w:szCs w:val="28"/>
        </w:rPr>
      </w:pPr>
      <w:r>
        <w:rPr>
          <w:rFonts w:hint="eastAsia" w:ascii="宋体" w:hAnsi="宋体" w:cs="宋体"/>
          <w:color w:val="auto"/>
          <w:sz w:val="28"/>
          <w:szCs w:val="28"/>
        </w:rPr>
        <w:t>确认书号：</w:t>
      </w:r>
      <w:r>
        <w:rPr>
          <w:color w:val="auto"/>
        </w:rPr>
        <w:fldChar w:fldCharType="begin"/>
      </w:r>
      <w:r>
        <w:rPr>
          <w:color w:val="auto"/>
        </w:rPr>
        <w:instrText xml:space="preserve"> HYPERLINK "https://pay.zcygov.cn/purchaseplan_front/" \l "/plan/list/detail?id=1000000000002132251&amp;encrypt=c0dae0ef925e618d77b99e0171178b8a" \t "_blank" </w:instrText>
      </w:r>
      <w:r>
        <w:rPr>
          <w:color w:val="auto"/>
        </w:rPr>
        <w:fldChar w:fldCharType="separate"/>
      </w:r>
      <w:r>
        <w:rPr>
          <w:rFonts w:hint="eastAsia" w:ascii="宋体" w:hAnsi="宋体" w:cs="宋体"/>
          <w:color w:val="auto"/>
          <w:sz w:val="28"/>
          <w:szCs w:val="28"/>
        </w:rPr>
        <w:t>浙财采确【2020】</w:t>
      </w:r>
      <w:r>
        <w:rPr>
          <w:rFonts w:hint="eastAsia" w:ascii="宋体" w:hAnsi="宋体" w:cs="宋体"/>
          <w:color w:val="auto"/>
          <w:sz w:val="28"/>
          <w:szCs w:val="28"/>
          <w:lang w:val="en-US" w:eastAsia="zh-CN"/>
        </w:rPr>
        <w:t>67463</w:t>
      </w:r>
      <w:r>
        <w:rPr>
          <w:rFonts w:hint="eastAsia" w:ascii="宋体" w:hAnsi="宋体" w:cs="宋体"/>
          <w:color w:val="auto"/>
          <w:sz w:val="28"/>
          <w:szCs w:val="28"/>
        </w:rPr>
        <w:t>号</w:t>
      </w:r>
      <w:r>
        <w:rPr>
          <w:rFonts w:hint="eastAsia" w:ascii="宋体" w:hAnsi="宋体" w:cs="宋体"/>
          <w:color w:val="auto"/>
          <w:sz w:val="28"/>
          <w:szCs w:val="28"/>
        </w:rPr>
        <w:fldChar w:fldCharType="end"/>
      </w:r>
    </w:p>
    <w:p>
      <w:pPr>
        <w:ind w:firstLine="560"/>
        <w:rPr>
          <w:rFonts w:hint="eastAsia" w:ascii="宋体" w:hAnsi="宋体" w:eastAsia="宋体" w:cs="宋体"/>
          <w:color w:val="auto"/>
          <w:sz w:val="28"/>
          <w:szCs w:val="28"/>
          <w:lang w:eastAsia="zh-CN"/>
        </w:rPr>
      </w:pPr>
      <w:r>
        <w:rPr>
          <w:rFonts w:hint="eastAsia" w:ascii="宋体" w:hAnsi="宋体" w:cs="宋体"/>
          <w:color w:val="auto"/>
          <w:sz w:val="28"/>
          <w:szCs w:val="28"/>
        </w:rPr>
        <w:t>项目名称：</w:t>
      </w:r>
      <w:r>
        <w:rPr>
          <w:rFonts w:hint="eastAsia" w:ascii="宋体" w:hAnsi="宋体" w:cs="宋体"/>
          <w:color w:val="auto"/>
          <w:sz w:val="28"/>
          <w:szCs w:val="28"/>
          <w:lang w:eastAsia="zh-CN"/>
        </w:rPr>
        <w:t>美术馆文物智能展柜及配套设备采购</w:t>
      </w:r>
    </w:p>
    <w:p>
      <w:pPr>
        <w:pStyle w:val="56"/>
        <w:ind w:firstLine="56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项目编号：</w:t>
      </w:r>
      <w:r>
        <w:rPr>
          <w:rFonts w:hint="eastAsia" w:asciiTheme="majorEastAsia" w:hAnsiTheme="majorEastAsia" w:eastAsiaTheme="majorEastAsia"/>
          <w:color w:val="auto"/>
          <w:sz w:val="28"/>
          <w:szCs w:val="28"/>
          <w:lang w:eastAsia="zh-CN"/>
        </w:rPr>
        <w:t>ZJXL-MY-202088</w:t>
      </w:r>
      <w:r>
        <w:rPr>
          <w:rFonts w:asciiTheme="majorEastAsia" w:hAnsiTheme="majorEastAsia" w:eastAsiaTheme="majorEastAsia"/>
          <w:color w:val="auto"/>
          <w:sz w:val="28"/>
          <w:szCs w:val="28"/>
        </w:rPr>
        <w:tab/>
      </w:r>
    </w:p>
    <w:p>
      <w:pPr>
        <w:ind w:firstLine="560"/>
        <w:rPr>
          <w:rFonts w:hint="eastAsia" w:ascii="宋体" w:hAnsi="宋体" w:eastAsia="宋体" w:cs="宋体"/>
          <w:color w:val="auto"/>
          <w:sz w:val="28"/>
          <w:szCs w:val="28"/>
          <w:lang w:eastAsia="zh-CN"/>
        </w:rPr>
      </w:pPr>
      <w:r>
        <w:rPr>
          <w:rFonts w:hint="eastAsia" w:ascii="宋体" w:hAnsi="宋体" w:cs="宋体"/>
          <w:color w:val="auto"/>
          <w:sz w:val="28"/>
          <w:szCs w:val="28"/>
        </w:rPr>
        <w:t>采 购人：</w:t>
      </w:r>
      <w:r>
        <w:rPr>
          <w:rFonts w:hint="eastAsia" w:ascii="宋体" w:hAnsi="宋体" w:cs="宋体"/>
          <w:color w:val="auto"/>
          <w:sz w:val="28"/>
          <w:szCs w:val="28"/>
          <w:lang w:eastAsia="zh-CN"/>
        </w:rPr>
        <w:t>中国美术学院</w:t>
      </w:r>
    </w:p>
    <w:p>
      <w:pPr>
        <w:ind w:firstLine="560"/>
        <w:rPr>
          <w:rFonts w:ascii="宋体" w:hAnsi="宋体" w:cs="宋体"/>
          <w:color w:val="auto"/>
          <w:sz w:val="28"/>
          <w:szCs w:val="28"/>
        </w:rPr>
      </w:pPr>
      <w:r>
        <w:rPr>
          <w:rFonts w:hint="eastAsia" w:ascii="宋体" w:hAnsi="宋体" w:cs="宋体"/>
          <w:color w:val="auto"/>
          <w:sz w:val="28"/>
          <w:szCs w:val="28"/>
        </w:rPr>
        <w:t>采购代理机构：浙江信镧建设工程咨询有限公司</w:t>
      </w:r>
    </w:p>
    <w:p>
      <w:pPr>
        <w:ind w:firstLine="560"/>
        <w:rPr>
          <w:rFonts w:ascii="宋体" w:hAnsi="宋体" w:cs="宋体"/>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8"/>
          <w:szCs w:val="28"/>
        </w:rPr>
        <w:t>时间：二〇二〇年</w:t>
      </w:r>
      <w:r>
        <w:rPr>
          <w:rFonts w:hint="eastAsia" w:ascii="宋体" w:hAnsi="宋体" w:cs="宋体"/>
          <w:color w:val="auto"/>
          <w:sz w:val="28"/>
          <w:szCs w:val="28"/>
          <w:lang w:eastAsia="zh-CN"/>
        </w:rPr>
        <w:t>十二</w:t>
      </w:r>
      <w:r>
        <w:rPr>
          <w:rFonts w:hint="eastAsia" w:ascii="宋体" w:hAnsi="宋体" w:cs="宋体"/>
          <w:color w:val="auto"/>
          <w:sz w:val="28"/>
          <w:szCs w:val="28"/>
        </w:rPr>
        <w:t>月</w:t>
      </w:r>
    </w:p>
    <w:p>
      <w:pPr>
        <w:pStyle w:val="37"/>
        <w:ind w:firstLine="422"/>
        <w:jc w:val="center"/>
        <w:rPr>
          <w:color w:val="auto"/>
        </w:rPr>
      </w:pPr>
      <w:r>
        <w:rPr>
          <w:rFonts w:hint="eastAsia"/>
          <w:color w:val="auto"/>
          <w:lang w:val="zh-CN"/>
        </w:rPr>
        <w:t>目录</w:t>
      </w:r>
    </w:p>
    <w:p>
      <w:pPr>
        <w:pStyle w:val="18"/>
        <w:ind w:firstLine="210"/>
        <w:rPr>
          <w:rFonts w:asciiTheme="minorHAnsi" w:hAnsiTheme="minorHAnsi" w:eastAsiaTheme="minorEastAsia" w:cstheme="minorBidi"/>
          <w:color w:val="auto"/>
          <w:szCs w:val="22"/>
        </w:rPr>
      </w:pPr>
      <w:r>
        <w:rPr>
          <w:color w:val="auto"/>
        </w:rPr>
        <w:fldChar w:fldCharType="begin"/>
      </w:r>
      <w:r>
        <w:rPr>
          <w:color w:val="auto"/>
        </w:rPr>
        <w:instrText xml:space="preserve"> TOC \o "1-2" \h \z \u </w:instrText>
      </w:r>
      <w:r>
        <w:rPr>
          <w:color w:val="auto"/>
        </w:rPr>
        <w:fldChar w:fldCharType="separate"/>
      </w:r>
      <w:r>
        <w:rPr>
          <w:color w:val="auto"/>
        </w:rPr>
        <w:fldChar w:fldCharType="begin"/>
      </w:r>
      <w:r>
        <w:rPr>
          <w:color w:val="auto"/>
        </w:rPr>
        <w:instrText xml:space="preserve"> HYPERLINK \l "_Toc50450132" </w:instrText>
      </w:r>
      <w:r>
        <w:rPr>
          <w:color w:val="auto"/>
        </w:rPr>
        <w:fldChar w:fldCharType="separate"/>
      </w:r>
      <w:r>
        <w:rPr>
          <w:rStyle w:val="27"/>
          <w:rFonts w:hint="eastAsia"/>
          <w:color w:val="auto"/>
        </w:rPr>
        <w:t>招标公告</w:t>
      </w:r>
      <w:r>
        <w:rPr>
          <w:color w:val="auto"/>
        </w:rPr>
        <w:tab/>
      </w:r>
      <w:r>
        <w:rPr>
          <w:color w:val="auto"/>
        </w:rPr>
        <w:fldChar w:fldCharType="begin"/>
      </w:r>
      <w:r>
        <w:rPr>
          <w:color w:val="auto"/>
        </w:rPr>
        <w:instrText xml:space="preserve"> PAGEREF _Toc50450132 \h </w:instrText>
      </w:r>
      <w:r>
        <w:rPr>
          <w:color w:val="auto"/>
        </w:rPr>
        <w:fldChar w:fldCharType="separate"/>
      </w:r>
      <w:r>
        <w:rPr>
          <w:color w:val="auto"/>
        </w:rPr>
        <w:t>1</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"_Toc50450133" </w:instrText>
      </w:r>
      <w:r>
        <w:rPr>
          <w:color w:val="auto"/>
        </w:rPr>
        <w:fldChar w:fldCharType="separate"/>
      </w:r>
      <w:r>
        <w:rPr>
          <w:rStyle w:val="27"/>
          <w:rFonts w:hint="eastAsia" w:ascii="宋体" w:hAnsi="宋体" w:cs="宋体"/>
          <w:color w:val="auto"/>
        </w:rPr>
        <w:t>一、项目基本情况</w:t>
      </w:r>
      <w:r>
        <w:rPr>
          <w:color w:val="auto"/>
        </w:rPr>
        <w:tab/>
      </w:r>
      <w:r>
        <w:rPr>
          <w:color w:val="auto"/>
        </w:rPr>
        <w:fldChar w:fldCharType="begin"/>
      </w:r>
      <w:r>
        <w:rPr>
          <w:color w:val="auto"/>
        </w:rPr>
        <w:instrText xml:space="preserve"> PAGEREF _Toc50450133 \h </w:instrText>
      </w:r>
      <w:r>
        <w:rPr>
          <w:color w:val="auto"/>
        </w:rPr>
        <w:fldChar w:fldCharType="separate"/>
      </w:r>
      <w:r>
        <w:rPr>
          <w:color w:val="auto"/>
        </w:rPr>
        <w:t>1</w:t>
      </w:r>
      <w:r>
        <w:rPr>
          <w:color w:val="auto"/>
        </w:rPr>
        <w:fldChar w:fldCharType="end"/>
      </w:r>
      <w:r>
        <w:rPr>
          <w:color w:val="auto"/>
        </w:rPr>
        <w:fldChar w:fldCharType="end"/>
      </w:r>
    </w:p>
    <w:p>
      <w:pPr>
        <w:pStyle w:val="18"/>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"_Toc50450134" </w:instrText>
      </w:r>
      <w:r>
        <w:rPr>
          <w:color w:val="auto"/>
        </w:rPr>
        <w:fldChar w:fldCharType="separate"/>
      </w:r>
      <w:r>
        <w:rPr>
          <w:rStyle w:val="27"/>
          <w:rFonts w:hint="eastAsia" w:ascii="宋体" w:hAnsi="宋体" w:cs="宋体"/>
          <w:color w:val="auto"/>
        </w:rPr>
        <w:t>合同履行期限：详见第四章采购项目商务要求</w:t>
      </w:r>
      <w:r>
        <w:rPr>
          <w:color w:val="auto"/>
        </w:rPr>
        <w:tab/>
      </w:r>
      <w:r>
        <w:rPr>
          <w:color w:val="auto"/>
        </w:rPr>
        <w:fldChar w:fldCharType="begin"/>
      </w:r>
      <w:r>
        <w:rPr>
          <w:color w:val="auto"/>
        </w:rPr>
        <w:instrText xml:space="preserve"> PAGEREF _Toc50450134 \h </w:instrText>
      </w:r>
      <w:r>
        <w:rPr>
          <w:color w:val="auto"/>
        </w:rPr>
        <w:fldChar w:fldCharType="separate"/>
      </w:r>
      <w:r>
        <w:rPr>
          <w:color w:val="auto"/>
        </w:rPr>
        <w:t>1</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"_Toc50450135" </w:instrText>
      </w:r>
      <w:r>
        <w:rPr>
          <w:color w:val="auto"/>
        </w:rPr>
        <w:fldChar w:fldCharType="separate"/>
      </w:r>
      <w:r>
        <w:rPr>
          <w:rStyle w:val="27"/>
          <w:rFonts w:hint="eastAsia" w:ascii="宋体" w:hAnsi="宋体" w:cs="宋体"/>
          <w:color w:val="auto"/>
        </w:rPr>
        <w:t>二、申请人的资格要求：</w:t>
      </w:r>
      <w:r>
        <w:rPr>
          <w:color w:val="auto"/>
        </w:rPr>
        <w:tab/>
      </w:r>
      <w:r>
        <w:rPr>
          <w:color w:val="auto"/>
        </w:rPr>
        <w:fldChar w:fldCharType="begin"/>
      </w:r>
      <w:r>
        <w:rPr>
          <w:color w:val="auto"/>
        </w:rPr>
        <w:instrText xml:space="preserve"> PAGEREF _Toc50450135 \h </w:instrText>
      </w:r>
      <w:r>
        <w:rPr>
          <w:color w:val="auto"/>
        </w:rPr>
        <w:fldChar w:fldCharType="separate"/>
      </w:r>
      <w:r>
        <w:rPr>
          <w:color w:val="auto"/>
        </w:rPr>
        <w:t>1</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"_Toc50450136" </w:instrText>
      </w:r>
      <w:r>
        <w:rPr>
          <w:color w:val="auto"/>
        </w:rPr>
        <w:fldChar w:fldCharType="separate"/>
      </w:r>
      <w:r>
        <w:rPr>
          <w:rStyle w:val="27"/>
          <w:rFonts w:hint="eastAsia" w:ascii="宋体" w:hAnsi="宋体" w:cs="宋体"/>
          <w:color w:val="auto"/>
        </w:rPr>
        <w:t>三、获取招标文件</w:t>
      </w:r>
      <w:r>
        <w:rPr>
          <w:color w:val="auto"/>
        </w:rPr>
        <w:tab/>
      </w:r>
      <w:r>
        <w:rPr>
          <w:color w:val="auto"/>
        </w:rPr>
        <w:fldChar w:fldCharType="begin"/>
      </w:r>
      <w:r>
        <w:rPr>
          <w:color w:val="auto"/>
        </w:rPr>
        <w:instrText xml:space="preserve"> PAGEREF _Toc50450136 \h </w:instrText>
      </w:r>
      <w:r>
        <w:rPr>
          <w:color w:val="auto"/>
        </w:rPr>
        <w:fldChar w:fldCharType="separate"/>
      </w:r>
      <w:r>
        <w:rPr>
          <w:color w:val="auto"/>
        </w:rPr>
        <w:t>1</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"_Toc50450137" </w:instrText>
      </w:r>
      <w:r>
        <w:rPr>
          <w:color w:val="auto"/>
        </w:rPr>
        <w:fldChar w:fldCharType="separate"/>
      </w:r>
      <w:r>
        <w:rPr>
          <w:rStyle w:val="27"/>
          <w:rFonts w:hint="eastAsia" w:ascii="宋体" w:hAnsi="宋体" w:cs="宋体"/>
          <w:color w:val="auto"/>
        </w:rPr>
        <w:t>四、提交投标文件截止时间、开标时间和地点</w:t>
      </w:r>
      <w:r>
        <w:rPr>
          <w:color w:val="auto"/>
        </w:rPr>
        <w:tab/>
      </w:r>
      <w:r>
        <w:rPr>
          <w:color w:val="auto"/>
        </w:rPr>
        <w:fldChar w:fldCharType="begin"/>
      </w:r>
      <w:r>
        <w:rPr>
          <w:color w:val="auto"/>
        </w:rPr>
        <w:instrText xml:space="preserve"> PAGEREF _Toc50450137 \h </w:instrText>
      </w:r>
      <w:r>
        <w:rPr>
          <w:color w:val="auto"/>
        </w:rPr>
        <w:fldChar w:fldCharType="separate"/>
      </w:r>
      <w:r>
        <w:rPr>
          <w:color w:val="auto"/>
        </w:rPr>
        <w:t>1</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"_Toc50450138" </w:instrText>
      </w:r>
      <w:r>
        <w:rPr>
          <w:color w:val="auto"/>
        </w:rPr>
        <w:fldChar w:fldCharType="separate"/>
      </w:r>
      <w:r>
        <w:rPr>
          <w:rStyle w:val="27"/>
          <w:rFonts w:hint="eastAsia" w:ascii="宋体" w:hAnsi="宋体" w:cs="宋体"/>
          <w:color w:val="auto"/>
        </w:rPr>
        <w:t>五、公告期限</w:t>
      </w:r>
      <w:r>
        <w:rPr>
          <w:color w:val="auto"/>
        </w:rPr>
        <w:tab/>
      </w:r>
      <w:r>
        <w:rPr>
          <w:color w:val="auto"/>
        </w:rPr>
        <w:fldChar w:fldCharType="begin"/>
      </w:r>
      <w:r>
        <w:rPr>
          <w:color w:val="auto"/>
        </w:rPr>
        <w:instrText xml:space="preserve"> PAGEREF _Toc50450138 \h </w:instrText>
      </w:r>
      <w:r>
        <w:rPr>
          <w:color w:val="auto"/>
        </w:rPr>
        <w:fldChar w:fldCharType="separate"/>
      </w:r>
      <w:r>
        <w:rPr>
          <w:color w:val="auto"/>
        </w:rPr>
        <w:t>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"_Toc50450139" </w:instrText>
      </w:r>
      <w:r>
        <w:rPr>
          <w:color w:val="auto"/>
        </w:rPr>
        <w:fldChar w:fldCharType="separate"/>
      </w:r>
      <w:r>
        <w:rPr>
          <w:rStyle w:val="27"/>
          <w:rFonts w:hint="eastAsia" w:ascii="宋体" w:hAnsi="宋体" w:cs="宋体"/>
          <w:color w:val="auto"/>
        </w:rPr>
        <w:t>六、其他补充事宜</w:t>
      </w:r>
      <w:r>
        <w:rPr>
          <w:color w:val="auto"/>
        </w:rPr>
        <w:tab/>
      </w:r>
      <w:r>
        <w:rPr>
          <w:color w:val="auto"/>
        </w:rPr>
        <w:fldChar w:fldCharType="begin"/>
      </w:r>
      <w:r>
        <w:rPr>
          <w:color w:val="auto"/>
        </w:rPr>
        <w:instrText xml:space="preserve"> PAGEREF _Toc50450139 \h </w:instrText>
      </w:r>
      <w:r>
        <w:rPr>
          <w:color w:val="auto"/>
        </w:rPr>
        <w:fldChar w:fldCharType="separate"/>
      </w:r>
      <w:r>
        <w:rPr>
          <w:color w:val="auto"/>
        </w:rPr>
        <w:t>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"_Toc50450140" </w:instrText>
      </w:r>
      <w:r>
        <w:rPr>
          <w:color w:val="auto"/>
        </w:rPr>
        <w:fldChar w:fldCharType="separate"/>
      </w:r>
      <w:r>
        <w:rPr>
          <w:rStyle w:val="27"/>
          <w:rFonts w:hint="eastAsia" w:ascii="宋体" w:hAnsi="宋体" w:cs="宋体"/>
          <w:color w:val="auto"/>
        </w:rPr>
        <w:t>七、对本次招标提出询问，请按以下方式联系。</w:t>
      </w:r>
      <w:r>
        <w:rPr>
          <w:color w:val="auto"/>
        </w:rPr>
        <w:tab/>
      </w:r>
      <w:r>
        <w:rPr>
          <w:color w:val="auto"/>
        </w:rPr>
        <w:fldChar w:fldCharType="begin"/>
      </w:r>
      <w:r>
        <w:rPr>
          <w:color w:val="auto"/>
        </w:rPr>
        <w:instrText xml:space="preserve"> PAGEREF _Toc50450140 \h </w:instrText>
      </w:r>
      <w:r>
        <w:rPr>
          <w:color w:val="auto"/>
        </w:rPr>
        <w:fldChar w:fldCharType="separate"/>
      </w:r>
      <w:r>
        <w:rPr>
          <w:color w:val="auto"/>
        </w:rPr>
        <w:t>3</w:t>
      </w:r>
      <w:r>
        <w:rPr>
          <w:color w:val="auto"/>
        </w:rPr>
        <w:fldChar w:fldCharType="end"/>
      </w:r>
      <w:r>
        <w:rPr>
          <w:color w:val="auto"/>
        </w:rPr>
        <w:fldChar w:fldCharType="end"/>
      </w:r>
    </w:p>
    <w:p>
      <w:pPr>
        <w:pStyle w:val="18"/>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"_Toc50450141" </w:instrText>
      </w:r>
      <w:r>
        <w:rPr>
          <w:color w:val="auto"/>
        </w:rPr>
        <w:fldChar w:fldCharType="separate"/>
      </w:r>
      <w:r>
        <w:rPr>
          <w:rStyle w:val="27"/>
          <w:rFonts w:hint="eastAsia"/>
          <w:color w:val="auto"/>
        </w:rPr>
        <w:t>第一章投标人须知前附表</w:t>
      </w:r>
      <w:r>
        <w:rPr>
          <w:color w:val="auto"/>
        </w:rPr>
        <w:tab/>
      </w:r>
      <w:r>
        <w:rPr>
          <w:color w:val="auto"/>
        </w:rPr>
        <w:fldChar w:fldCharType="begin"/>
      </w:r>
      <w:r>
        <w:rPr>
          <w:color w:val="auto"/>
        </w:rPr>
        <w:instrText xml:space="preserve"> PAGEREF _Toc50450141 \h </w:instrText>
      </w:r>
      <w:r>
        <w:rPr>
          <w:color w:val="auto"/>
        </w:rPr>
        <w:fldChar w:fldCharType="separate"/>
      </w:r>
      <w:r>
        <w:rPr>
          <w:color w:val="auto"/>
        </w:rPr>
        <w:t>5</w:t>
      </w:r>
      <w:r>
        <w:rPr>
          <w:color w:val="auto"/>
        </w:rPr>
        <w:fldChar w:fldCharType="end"/>
      </w:r>
      <w:r>
        <w:rPr>
          <w:color w:val="auto"/>
        </w:rPr>
        <w:fldChar w:fldCharType="end"/>
      </w:r>
    </w:p>
    <w:p>
      <w:pPr>
        <w:pStyle w:val="18"/>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"_Toc50450142" </w:instrText>
      </w:r>
      <w:r>
        <w:rPr>
          <w:color w:val="auto"/>
        </w:rPr>
        <w:fldChar w:fldCharType="separate"/>
      </w:r>
      <w:r>
        <w:rPr>
          <w:rStyle w:val="27"/>
          <w:rFonts w:hint="eastAsia"/>
          <w:color w:val="auto"/>
        </w:rPr>
        <w:t>第二章投标人须知</w:t>
      </w:r>
      <w:r>
        <w:rPr>
          <w:color w:val="auto"/>
        </w:rPr>
        <w:tab/>
      </w:r>
      <w:r>
        <w:rPr>
          <w:color w:val="auto"/>
        </w:rPr>
        <w:fldChar w:fldCharType="begin"/>
      </w:r>
      <w:r>
        <w:rPr>
          <w:color w:val="auto"/>
        </w:rPr>
        <w:instrText xml:space="preserve"> PAGEREF _Toc50450142 \h </w:instrText>
      </w:r>
      <w:r>
        <w:rPr>
          <w:color w:val="auto"/>
        </w:rPr>
        <w:fldChar w:fldCharType="separate"/>
      </w:r>
      <w:r>
        <w:rPr>
          <w:color w:val="auto"/>
        </w:rPr>
        <w:t>10</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"_Toc50450143" </w:instrText>
      </w:r>
      <w:r>
        <w:rPr>
          <w:color w:val="auto"/>
        </w:rPr>
        <w:fldChar w:fldCharType="separate"/>
      </w:r>
      <w:r>
        <w:rPr>
          <w:rStyle w:val="27"/>
          <w:rFonts w:ascii="宋体" w:hAnsi="宋体" w:cs="宋体"/>
          <w:bCs/>
          <w:color w:val="auto"/>
        </w:rPr>
        <w:t>2</w:t>
      </w:r>
      <w:r>
        <w:rPr>
          <w:rStyle w:val="27"/>
          <w:rFonts w:hint="eastAsia" w:ascii="宋体" w:hAnsi="宋体" w:cs="宋体"/>
          <w:bCs/>
          <w:color w:val="auto"/>
        </w:rPr>
        <w:t>招标文件</w:t>
      </w:r>
      <w:r>
        <w:rPr>
          <w:color w:val="auto"/>
        </w:rPr>
        <w:tab/>
      </w:r>
      <w:r>
        <w:rPr>
          <w:color w:val="auto"/>
        </w:rPr>
        <w:fldChar w:fldCharType="begin"/>
      </w:r>
      <w:r>
        <w:rPr>
          <w:color w:val="auto"/>
        </w:rPr>
        <w:instrText xml:space="preserve"> PAGEREF _Toc50450143 \h </w:instrText>
      </w:r>
      <w:r>
        <w:rPr>
          <w:color w:val="auto"/>
        </w:rPr>
        <w:fldChar w:fldCharType="separate"/>
      </w:r>
      <w:r>
        <w:rPr>
          <w:color w:val="auto"/>
        </w:rPr>
        <w:t>10</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"_Toc50450144" </w:instrText>
      </w:r>
      <w:r>
        <w:rPr>
          <w:color w:val="auto"/>
        </w:rPr>
        <w:fldChar w:fldCharType="separate"/>
      </w:r>
      <w:r>
        <w:rPr>
          <w:rStyle w:val="27"/>
          <w:rFonts w:ascii="宋体" w:hAnsi="宋体" w:cs="宋体"/>
          <w:bCs/>
          <w:color w:val="auto"/>
        </w:rPr>
        <w:t>3</w:t>
      </w:r>
      <w:r>
        <w:rPr>
          <w:rStyle w:val="27"/>
          <w:rFonts w:hint="eastAsia" w:ascii="宋体" w:hAnsi="宋体" w:cs="宋体"/>
          <w:bCs/>
          <w:color w:val="auto"/>
        </w:rPr>
        <w:t>投标文件</w:t>
      </w:r>
      <w:r>
        <w:rPr>
          <w:color w:val="auto"/>
        </w:rPr>
        <w:tab/>
      </w:r>
      <w:r>
        <w:rPr>
          <w:color w:val="auto"/>
        </w:rPr>
        <w:fldChar w:fldCharType="begin"/>
      </w:r>
      <w:r>
        <w:rPr>
          <w:color w:val="auto"/>
        </w:rPr>
        <w:instrText xml:space="preserve"> PAGEREF _Toc50450144 \h </w:instrText>
      </w:r>
      <w:r>
        <w:rPr>
          <w:color w:val="auto"/>
        </w:rPr>
        <w:fldChar w:fldCharType="separate"/>
      </w:r>
      <w:r>
        <w:rPr>
          <w:color w:val="auto"/>
        </w:rPr>
        <w:t>11</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"_Toc50450145" </w:instrText>
      </w:r>
      <w:r>
        <w:rPr>
          <w:color w:val="auto"/>
        </w:rPr>
        <w:fldChar w:fldCharType="separate"/>
      </w:r>
      <w:r>
        <w:rPr>
          <w:rStyle w:val="27"/>
          <w:rFonts w:ascii="宋体" w:hAnsi="宋体" w:cs="宋体"/>
          <w:bCs/>
          <w:color w:val="auto"/>
        </w:rPr>
        <w:t>4</w:t>
      </w:r>
      <w:r>
        <w:rPr>
          <w:rStyle w:val="27"/>
          <w:rFonts w:hint="eastAsia" w:ascii="宋体" w:hAnsi="宋体" w:cs="宋体"/>
          <w:bCs/>
          <w:color w:val="auto"/>
        </w:rPr>
        <w:t>投标文件的签章</w:t>
      </w:r>
      <w:r>
        <w:rPr>
          <w:color w:val="auto"/>
        </w:rPr>
        <w:tab/>
      </w:r>
      <w:r>
        <w:rPr>
          <w:color w:val="auto"/>
        </w:rPr>
        <w:fldChar w:fldCharType="begin"/>
      </w:r>
      <w:r>
        <w:rPr>
          <w:color w:val="auto"/>
        </w:rPr>
        <w:instrText xml:space="preserve"> PAGEREF _Toc50450145 \h </w:instrText>
      </w:r>
      <w:r>
        <w:rPr>
          <w:color w:val="auto"/>
        </w:rPr>
        <w:fldChar w:fldCharType="separate"/>
      </w:r>
      <w:r>
        <w:rPr>
          <w:color w:val="auto"/>
        </w:rPr>
        <w:t>12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"_Toc50450146" </w:instrText>
      </w:r>
      <w:r>
        <w:rPr>
          <w:color w:val="auto"/>
        </w:rPr>
        <w:fldChar w:fldCharType="separate"/>
      </w:r>
      <w:r>
        <w:rPr>
          <w:rStyle w:val="27"/>
          <w:rFonts w:ascii="宋体" w:hAnsi="宋体" w:cs="宋体"/>
          <w:bCs/>
          <w:color w:val="auto"/>
        </w:rPr>
        <w:t>5</w:t>
      </w:r>
      <w:r>
        <w:rPr>
          <w:rStyle w:val="27"/>
          <w:rFonts w:hint="eastAsia" w:ascii="宋体" w:hAnsi="宋体" w:cs="宋体"/>
          <w:bCs/>
          <w:color w:val="auto"/>
        </w:rPr>
        <w:t>投标文件的形式</w:t>
      </w:r>
      <w:r>
        <w:rPr>
          <w:color w:val="auto"/>
        </w:rPr>
        <w:tab/>
      </w:r>
      <w:r>
        <w:rPr>
          <w:color w:val="auto"/>
        </w:rPr>
        <w:fldChar w:fldCharType="begin"/>
      </w:r>
      <w:r>
        <w:rPr>
          <w:color w:val="auto"/>
        </w:rPr>
        <w:instrText xml:space="preserve"> PAGEREF _Toc50450146 \h </w:instrText>
      </w:r>
      <w:r>
        <w:rPr>
          <w:color w:val="auto"/>
        </w:rPr>
        <w:fldChar w:fldCharType="separate"/>
      </w:r>
      <w:r>
        <w:rPr>
          <w:color w:val="auto"/>
        </w:rPr>
        <w:t>12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"_Toc50450147" </w:instrText>
      </w:r>
      <w:r>
        <w:rPr>
          <w:color w:val="auto"/>
        </w:rPr>
        <w:fldChar w:fldCharType="separate"/>
      </w:r>
      <w:r>
        <w:rPr>
          <w:rStyle w:val="27"/>
          <w:rFonts w:ascii="宋体" w:hAnsi="宋体" w:cs="宋体"/>
          <w:bCs/>
          <w:color w:val="auto"/>
        </w:rPr>
        <w:t>6</w:t>
      </w:r>
      <w:r>
        <w:rPr>
          <w:rStyle w:val="27"/>
          <w:rFonts w:hint="eastAsia" w:ascii="宋体" w:hAnsi="宋体" w:cs="宋体"/>
          <w:bCs/>
          <w:color w:val="auto"/>
        </w:rPr>
        <w:t>投标文件的份数</w:t>
      </w:r>
      <w:r>
        <w:rPr>
          <w:color w:val="auto"/>
        </w:rPr>
        <w:tab/>
      </w:r>
      <w:r>
        <w:rPr>
          <w:color w:val="auto"/>
        </w:rPr>
        <w:fldChar w:fldCharType="begin"/>
      </w:r>
      <w:r>
        <w:rPr>
          <w:color w:val="auto"/>
        </w:rPr>
        <w:instrText xml:space="preserve"> PAGEREF _Toc50450147 \h </w:instrText>
      </w:r>
      <w:r>
        <w:rPr>
          <w:color w:val="auto"/>
        </w:rPr>
        <w:fldChar w:fldCharType="separate"/>
      </w:r>
      <w:r>
        <w:rPr>
          <w:color w:val="auto"/>
        </w:rPr>
        <w:t>12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"_Toc50450148" </w:instrText>
      </w:r>
      <w:r>
        <w:rPr>
          <w:color w:val="auto"/>
        </w:rPr>
        <w:fldChar w:fldCharType="separate"/>
      </w:r>
      <w:r>
        <w:rPr>
          <w:rStyle w:val="27"/>
          <w:rFonts w:ascii="宋体" w:hAnsi="宋体" w:cs="宋体"/>
          <w:bCs/>
          <w:color w:val="auto"/>
        </w:rPr>
        <w:t>7</w:t>
      </w:r>
      <w:r>
        <w:rPr>
          <w:rStyle w:val="27"/>
          <w:rFonts w:hint="eastAsia" w:ascii="宋体" w:hAnsi="宋体" w:cs="宋体"/>
          <w:bCs/>
          <w:color w:val="auto"/>
        </w:rPr>
        <w:t>投标文件的上传和递交</w:t>
      </w:r>
      <w:r>
        <w:rPr>
          <w:color w:val="auto"/>
        </w:rPr>
        <w:tab/>
      </w:r>
      <w:r>
        <w:rPr>
          <w:color w:val="auto"/>
        </w:rPr>
        <w:fldChar w:fldCharType="begin"/>
      </w:r>
      <w:r>
        <w:rPr>
          <w:color w:val="auto"/>
        </w:rPr>
        <w:instrText xml:space="preserve"> PAGEREF _Toc50450148 \h </w:instrText>
      </w:r>
      <w:r>
        <w:rPr>
          <w:color w:val="auto"/>
        </w:rPr>
        <w:fldChar w:fldCharType="separate"/>
      </w:r>
      <w:r>
        <w:rPr>
          <w:color w:val="auto"/>
        </w:rPr>
        <w:t>12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"_Toc50450149" </w:instrText>
      </w:r>
      <w:r>
        <w:rPr>
          <w:color w:val="auto"/>
        </w:rPr>
        <w:fldChar w:fldCharType="separate"/>
      </w:r>
      <w:r>
        <w:rPr>
          <w:rStyle w:val="27"/>
          <w:rFonts w:ascii="宋体" w:hAnsi="宋体" w:cs="宋体"/>
          <w:bCs/>
          <w:color w:val="auto"/>
        </w:rPr>
        <w:t>8</w:t>
      </w:r>
      <w:r>
        <w:rPr>
          <w:rStyle w:val="27"/>
          <w:rFonts w:hint="eastAsia" w:ascii="宋体" w:hAnsi="宋体" w:cs="宋体"/>
          <w:bCs/>
          <w:color w:val="auto"/>
        </w:rPr>
        <w:t>“电子加密投标文件”解密和异常情况处理</w:t>
      </w:r>
      <w:r>
        <w:rPr>
          <w:color w:val="auto"/>
        </w:rPr>
        <w:tab/>
      </w:r>
      <w:r>
        <w:rPr>
          <w:color w:val="auto"/>
        </w:rPr>
        <w:fldChar w:fldCharType="begin"/>
      </w:r>
      <w:r>
        <w:rPr>
          <w:color w:val="auto"/>
        </w:rPr>
        <w:instrText xml:space="preserve"> PAGEREF _Toc50450149 \h </w:instrText>
      </w:r>
      <w:r>
        <w:rPr>
          <w:color w:val="auto"/>
        </w:rPr>
        <w:fldChar w:fldCharType="separate"/>
      </w:r>
      <w:r>
        <w:rPr>
          <w:color w:val="auto"/>
        </w:rPr>
        <w:t>12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"_Toc50450150" </w:instrText>
      </w:r>
      <w:r>
        <w:rPr>
          <w:color w:val="auto"/>
        </w:rPr>
        <w:fldChar w:fldCharType="separate"/>
      </w:r>
      <w:r>
        <w:rPr>
          <w:rStyle w:val="27"/>
          <w:rFonts w:ascii="宋体" w:hAnsi="宋体" w:cs="宋体"/>
          <w:bCs/>
          <w:color w:val="auto"/>
        </w:rPr>
        <w:t>9</w:t>
      </w:r>
      <w:r>
        <w:rPr>
          <w:rStyle w:val="27"/>
          <w:rFonts w:hint="eastAsia" w:ascii="宋体" w:hAnsi="宋体" w:cs="宋体"/>
          <w:bCs/>
          <w:color w:val="auto"/>
        </w:rPr>
        <w:t>投标文件的补充、修改或撤回</w:t>
      </w:r>
      <w:r>
        <w:rPr>
          <w:color w:val="auto"/>
        </w:rPr>
        <w:tab/>
      </w:r>
      <w:r>
        <w:rPr>
          <w:color w:val="auto"/>
        </w:rPr>
        <w:fldChar w:fldCharType="begin"/>
      </w:r>
      <w:r>
        <w:rPr>
          <w:color w:val="auto"/>
        </w:rPr>
        <w:instrText xml:space="preserve"> PAGEREF _Toc50450150 \h </w:instrText>
      </w:r>
      <w:r>
        <w:rPr>
          <w:color w:val="auto"/>
        </w:rPr>
        <w:fldChar w:fldCharType="separate"/>
      </w:r>
      <w:r>
        <w:rPr>
          <w:color w:val="auto"/>
        </w:rPr>
        <w:t>12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"_Toc50450151" </w:instrText>
      </w:r>
      <w:r>
        <w:rPr>
          <w:color w:val="auto"/>
        </w:rPr>
        <w:fldChar w:fldCharType="separate"/>
      </w:r>
      <w:r>
        <w:rPr>
          <w:rStyle w:val="27"/>
          <w:rFonts w:ascii="宋体" w:hAnsi="宋体" w:cs="宋体"/>
          <w:bCs/>
          <w:color w:val="auto"/>
        </w:rPr>
        <w:t>10</w:t>
      </w:r>
      <w:r>
        <w:rPr>
          <w:rStyle w:val="27"/>
          <w:rFonts w:hint="eastAsia" w:ascii="宋体" w:hAnsi="宋体" w:cs="宋体"/>
          <w:bCs/>
          <w:color w:val="auto"/>
        </w:rPr>
        <w:t>投标文件的备选方案</w:t>
      </w:r>
      <w:r>
        <w:rPr>
          <w:color w:val="auto"/>
        </w:rPr>
        <w:tab/>
      </w:r>
      <w:r>
        <w:rPr>
          <w:color w:val="auto"/>
        </w:rPr>
        <w:fldChar w:fldCharType="begin"/>
      </w:r>
      <w:r>
        <w:rPr>
          <w:color w:val="auto"/>
        </w:rPr>
        <w:instrText xml:space="preserve"> PAGEREF _Toc50450151 \h </w:instrText>
      </w:r>
      <w:r>
        <w:rPr>
          <w:color w:val="auto"/>
        </w:rPr>
        <w:fldChar w:fldCharType="separate"/>
      </w:r>
      <w:r>
        <w:rPr>
          <w:color w:val="auto"/>
        </w:rPr>
        <w:t>12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"_Toc50450152" </w:instrText>
      </w:r>
      <w:r>
        <w:rPr>
          <w:color w:val="auto"/>
        </w:rPr>
        <w:fldChar w:fldCharType="separate"/>
      </w:r>
      <w:r>
        <w:rPr>
          <w:rStyle w:val="27"/>
          <w:rFonts w:ascii="宋体" w:hAnsi="宋体" w:cs="宋体"/>
          <w:bCs/>
          <w:color w:val="auto"/>
        </w:rPr>
        <w:t>11</w:t>
      </w:r>
      <w:r>
        <w:rPr>
          <w:rStyle w:val="27"/>
          <w:rFonts w:hint="eastAsia" w:ascii="宋体" w:hAnsi="宋体" w:cs="宋体"/>
          <w:bCs/>
          <w:color w:val="auto"/>
        </w:rPr>
        <w:t>报价要求</w:t>
      </w:r>
      <w:r>
        <w:rPr>
          <w:color w:val="auto"/>
        </w:rPr>
        <w:tab/>
      </w:r>
      <w:r>
        <w:rPr>
          <w:color w:val="auto"/>
        </w:rPr>
        <w:fldChar w:fldCharType="begin"/>
      </w:r>
      <w:r>
        <w:rPr>
          <w:color w:val="auto"/>
        </w:rPr>
        <w:instrText xml:space="preserve"> PAGEREF _Toc50450152 \h </w:instrText>
      </w:r>
      <w:r>
        <w:rPr>
          <w:color w:val="auto"/>
        </w:rPr>
        <w:fldChar w:fldCharType="separate"/>
      </w:r>
      <w:r>
        <w:rPr>
          <w:color w:val="auto"/>
        </w:rPr>
        <w:t>12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"_Toc50450153" </w:instrText>
      </w:r>
      <w:r>
        <w:rPr>
          <w:color w:val="auto"/>
        </w:rPr>
        <w:fldChar w:fldCharType="separate"/>
      </w:r>
      <w:r>
        <w:rPr>
          <w:rStyle w:val="27"/>
          <w:rFonts w:ascii="宋体" w:hAnsi="宋体" w:cs="宋体"/>
          <w:bCs/>
          <w:color w:val="auto"/>
        </w:rPr>
        <w:t>12</w:t>
      </w:r>
      <w:r>
        <w:rPr>
          <w:rStyle w:val="27"/>
          <w:rFonts w:hint="eastAsia" w:ascii="宋体" w:hAnsi="宋体" w:cs="宋体"/>
          <w:bCs/>
          <w:color w:val="auto"/>
        </w:rPr>
        <w:t>投标有效期</w:t>
      </w:r>
      <w:r>
        <w:rPr>
          <w:color w:val="auto"/>
        </w:rPr>
        <w:tab/>
      </w:r>
      <w:r>
        <w:rPr>
          <w:color w:val="auto"/>
        </w:rPr>
        <w:fldChar w:fldCharType="begin"/>
      </w:r>
      <w:r>
        <w:rPr>
          <w:color w:val="auto"/>
        </w:rPr>
        <w:instrText xml:space="preserve"> PAGEREF _Toc50450153 \h </w:instrText>
      </w:r>
      <w:r>
        <w:rPr>
          <w:color w:val="auto"/>
        </w:rPr>
        <w:fldChar w:fldCharType="separate"/>
      </w:r>
      <w:r>
        <w:rPr>
          <w:color w:val="auto"/>
        </w:rPr>
        <w:t>13</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"_Toc50450154" </w:instrText>
      </w:r>
      <w:r>
        <w:rPr>
          <w:color w:val="auto"/>
        </w:rPr>
        <w:fldChar w:fldCharType="separate"/>
      </w:r>
      <w:r>
        <w:rPr>
          <w:rStyle w:val="27"/>
          <w:rFonts w:ascii="宋体" w:hAnsi="宋体" w:cs="宋体"/>
          <w:bCs/>
          <w:color w:val="auto"/>
        </w:rPr>
        <w:t>13</w:t>
      </w:r>
      <w:r>
        <w:rPr>
          <w:rStyle w:val="27"/>
          <w:rFonts w:hint="eastAsia" w:ascii="宋体" w:hAnsi="宋体" w:cs="宋体"/>
          <w:bCs/>
          <w:color w:val="auto"/>
        </w:rPr>
        <w:t>投标截止时间的变更</w:t>
      </w:r>
      <w:r>
        <w:rPr>
          <w:color w:val="auto"/>
        </w:rPr>
        <w:tab/>
      </w:r>
      <w:r>
        <w:rPr>
          <w:color w:val="auto"/>
        </w:rPr>
        <w:fldChar w:fldCharType="begin"/>
      </w:r>
      <w:r>
        <w:rPr>
          <w:color w:val="auto"/>
        </w:rPr>
        <w:instrText xml:space="preserve"> PAGEREF _Toc50450154 \h </w:instrText>
      </w:r>
      <w:r>
        <w:rPr>
          <w:color w:val="auto"/>
        </w:rPr>
        <w:fldChar w:fldCharType="separate"/>
      </w:r>
      <w:r>
        <w:rPr>
          <w:color w:val="auto"/>
        </w:rPr>
        <w:t>13</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"_Toc50450155" </w:instrText>
      </w:r>
      <w:r>
        <w:rPr>
          <w:color w:val="auto"/>
        </w:rPr>
        <w:fldChar w:fldCharType="separate"/>
      </w:r>
      <w:r>
        <w:rPr>
          <w:rStyle w:val="27"/>
          <w:rFonts w:ascii="宋体" w:hAnsi="宋体" w:cs="宋体"/>
          <w:bCs/>
          <w:color w:val="auto"/>
        </w:rPr>
        <w:t>14</w:t>
      </w:r>
      <w:r>
        <w:rPr>
          <w:rStyle w:val="27"/>
          <w:rFonts w:hint="eastAsia" w:ascii="宋体" w:hAnsi="宋体" w:cs="宋体"/>
          <w:bCs/>
          <w:color w:val="auto"/>
        </w:rPr>
        <w:t>投标文件的澄清与修正</w:t>
      </w:r>
      <w:r>
        <w:rPr>
          <w:color w:val="auto"/>
        </w:rPr>
        <w:tab/>
      </w:r>
      <w:r>
        <w:rPr>
          <w:color w:val="auto"/>
        </w:rPr>
        <w:fldChar w:fldCharType="begin"/>
      </w:r>
      <w:r>
        <w:rPr>
          <w:color w:val="auto"/>
        </w:rPr>
        <w:instrText xml:space="preserve"> PAGEREF _Toc50450155 \h </w:instrText>
      </w:r>
      <w:r>
        <w:rPr>
          <w:color w:val="auto"/>
        </w:rPr>
        <w:fldChar w:fldCharType="separate"/>
      </w:r>
      <w:r>
        <w:rPr>
          <w:color w:val="auto"/>
        </w:rPr>
        <w:t>13</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"_Toc50450156" </w:instrText>
      </w:r>
      <w:r>
        <w:rPr>
          <w:color w:val="auto"/>
        </w:rPr>
        <w:fldChar w:fldCharType="separate"/>
      </w:r>
      <w:r>
        <w:rPr>
          <w:rStyle w:val="27"/>
          <w:rFonts w:ascii="宋体" w:hAnsi="宋体" w:cs="宋体"/>
          <w:bCs/>
          <w:color w:val="auto"/>
        </w:rPr>
        <w:t>15</w:t>
      </w:r>
      <w:r>
        <w:rPr>
          <w:rStyle w:val="27"/>
          <w:rFonts w:hint="eastAsia" w:ascii="宋体" w:hAnsi="宋体" w:cs="宋体"/>
          <w:bCs/>
          <w:color w:val="auto"/>
        </w:rPr>
        <w:t>开标、评标及合同签订</w:t>
      </w:r>
      <w:r>
        <w:rPr>
          <w:color w:val="auto"/>
        </w:rPr>
        <w:tab/>
      </w:r>
      <w:r>
        <w:rPr>
          <w:color w:val="auto"/>
        </w:rPr>
        <w:fldChar w:fldCharType="begin"/>
      </w:r>
      <w:r>
        <w:rPr>
          <w:color w:val="auto"/>
        </w:rPr>
        <w:instrText xml:space="preserve"> PAGEREF _Toc50450156 \h </w:instrText>
      </w:r>
      <w:r>
        <w:rPr>
          <w:color w:val="auto"/>
        </w:rPr>
        <w:fldChar w:fldCharType="separate"/>
      </w:r>
      <w:r>
        <w:rPr>
          <w:color w:val="auto"/>
        </w:rPr>
        <w:t>13</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"_Toc50450157" </w:instrText>
      </w:r>
      <w:r>
        <w:rPr>
          <w:color w:val="auto"/>
        </w:rPr>
        <w:fldChar w:fldCharType="separate"/>
      </w:r>
      <w:r>
        <w:rPr>
          <w:rStyle w:val="27"/>
          <w:rFonts w:ascii="宋体" w:hAnsi="宋体" w:cs="宋体"/>
          <w:bCs/>
          <w:color w:val="auto"/>
        </w:rPr>
        <w:t>16</w:t>
      </w:r>
      <w:r>
        <w:rPr>
          <w:rStyle w:val="27"/>
          <w:rFonts w:hint="eastAsia" w:ascii="宋体" w:hAnsi="宋体" w:cs="宋体"/>
          <w:bCs/>
          <w:color w:val="auto"/>
        </w:rPr>
        <w:t>其他</w:t>
      </w:r>
      <w:r>
        <w:rPr>
          <w:color w:val="auto"/>
        </w:rPr>
        <w:tab/>
      </w:r>
      <w:r>
        <w:rPr>
          <w:color w:val="auto"/>
        </w:rPr>
        <w:fldChar w:fldCharType="begin"/>
      </w:r>
      <w:r>
        <w:rPr>
          <w:color w:val="auto"/>
        </w:rPr>
        <w:instrText xml:space="preserve"> PAGEREF _Toc50450157 \h </w:instrText>
      </w:r>
      <w:r>
        <w:rPr>
          <w:color w:val="auto"/>
        </w:rPr>
        <w:fldChar w:fldCharType="separate"/>
      </w:r>
      <w:r>
        <w:rPr>
          <w:color w:val="auto"/>
        </w:rPr>
        <w:t>17</w:t>
      </w:r>
      <w:r>
        <w:rPr>
          <w:color w:val="auto"/>
        </w:rPr>
        <w:fldChar w:fldCharType="end"/>
      </w:r>
      <w:r>
        <w:rPr>
          <w:color w:val="auto"/>
        </w:rPr>
        <w:fldChar w:fldCharType="end"/>
      </w:r>
    </w:p>
    <w:p>
      <w:pPr>
        <w:pStyle w:val="18"/>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"_Toc50450158" </w:instrText>
      </w:r>
      <w:r>
        <w:rPr>
          <w:color w:val="auto"/>
        </w:rPr>
        <w:fldChar w:fldCharType="separate"/>
      </w:r>
      <w:r>
        <w:rPr>
          <w:rStyle w:val="27"/>
          <w:rFonts w:hint="eastAsia"/>
          <w:color w:val="auto"/>
        </w:rPr>
        <w:t>第三章招标需求及项目技术规范和要求</w:t>
      </w:r>
      <w:r>
        <w:rPr>
          <w:color w:val="auto"/>
        </w:rPr>
        <w:tab/>
      </w:r>
      <w:r>
        <w:rPr>
          <w:color w:val="auto"/>
        </w:rPr>
        <w:fldChar w:fldCharType="begin"/>
      </w:r>
      <w:r>
        <w:rPr>
          <w:color w:val="auto"/>
        </w:rPr>
        <w:instrText xml:space="preserve"> PAGEREF _Toc50450158 \h </w:instrText>
      </w:r>
      <w:r>
        <w:rPr>
          <w:color w:val="auto"/>
        </w:rPr>
        <w:fldChar w:fldCharType="separate"/>
      </w:r>
      <w:r>
        <w:rPr>
          <w:color w:val="auto"/>
        </w:rPr>
        <w:t>19</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"_Toc50450159" </w:instrText>
      </w:r>
      <w:r>
        <w:rPr>
          <w:color w:val="auto"/>
        </w:rPr>
        <w:fldChar w:fldCharType="separate"/>
      </w:r>
      <w:r>
        <w:rPr>
          <w:rStyle w:val="27"/>
          <w:rFonts w:cs="宋体" w:asciiTheme="majorEastAsia" w:hAnsiTheme="majorEastAsia" w:eastAsiaTheme="majorEastAsia"/>
          <w:bCs/>
          <w:color w:val="auto"/>
        </w:rPr>
        <w:t>1</w:t>
      </w:r>
      <w:r>
        <w:rPr>
          <w:rStyle w:val="27"/>
          <w:rFonts w:hint="eastAsia" w:cs="宋体" w:asciiTheme="majorEastAsia" w:hAnsiTheme="majorEastAsia" w:eastAsiaTheme="majorEastAsia"/>
          <w:bCs/>
          <w:color w:val="auto"/>
        </w:rPr>
        <w:t>相关法规、管理条例与技术标准、行业规范</w:t>
      </w:r>
      <w:r>
        <w:rPr>
          <w:color w:val="auto"/>
        </w:rPr>
        <w:tab/>
      </w:r>
      <w:r>
        <w:rPr>
          <w:color w:val="auto"/>
        </w:rPr>
        <w:fldChar w:fldCharType="begin"/>
      </w:r>
      <w:r>
        <w:rPr>
          <w:color w:val="auto"/>
        </w:rPr>
        <w:instrText xml:space="preserve"> PAGEREF _Toc50450159 \h </w:instrText>
      </w:r>
      <w:r>
        <w:rPr>
          <w:color w:val="auto"/>
        </w:rPr>
        <w:fldChar w:fldCharType="separate"/>
      </w:r>
      <w:r>
        <w:rPr>
          <w:color w:val="auto"/>
        </w:rPr>
        <w:t>19</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"_Toc50450160" </w:instrText>
      </w:r>
      <w:r>
        <w:rPr>
          <w:color w:val="auto"/>
        </w:rPr>
        <w:fldChar w:fldCharType="separate"/>
      </w:r>
      <w:r>
        <w:rPr>
          <w:rStyle w:val="27"/>
          <w:rFonts w:ascii="宋体" w:hAnsi="宋体" w:cs="宋体"/>
          <w:bCs/>
          <w:color w:val="auto"/>
        </w:rPr>
        <w:t>2</w:t>
      </w:r>
      <w:r>
        <w:rPr>
          <w:rStyle w:val="27"/>
          <w:rFonts w:hint="eastAsia"/>
          <w:bCs/>
          <w:color w:val="auto"/>
        </w:rPr>
        <w:t>招标需求</w:t>
      </w:r>
      <w:r>
        <w:rPr>
          <w:color w:val="auto"/>
        </w:rPr>
        <w:tab/>
      </w:r>
      <w:r>
        <w:rPr>
          <w:color w:val="auto"/>
        </w:rPr>
        <w:fldChar w:fldCharType="begin"/>
      </w:r>
      <w:r>
        <w:rPr>
          <w:color w:val="auto"/>
        </w:rPr>
        <w:instrText xml:space="preserve"> PAGEREF _Toc50450160 \h </w:instrText>
      </w:r>
      <w:r>
        <w:rPr>
          <w:color w:val="auto"/>
        </w:rPr>
        <w:fldChar w:fldCharType="separate"/>
      </w:r>
      <w:r>
        <w:rPr>
          <w:color w:val="auto"/>
        </w:rPr>
        <w:t>19</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"_Toc50450161" </w:instrText>
      </w:r>
      <w:r>
        <w:rPr>
          <w:color w:val="auto"/>
        </w:rPr>
        <w:fldChar w:fldCharType="separate"/>
      </w:r>
      <w:r>
        <w:rPr>
          <w:rStyle w:val="27"/>
          <w:rFonts w:ascii="宋体" w:hAnsi="宋体" w:cs="宋体"/>
          <w:bCs/>
          <w:color w:val="auto"/>
        </w:rPr>
        <w:t>3</w:t>
      </w:r>
      <w:r>
        <w:rPr>
          <w:rStyle w:val="27"/>
          <w:rFonts w:hint="eastAsia" w:ascii="宋体" w:hAnsi="宋体" w:cs="宋体"/>
          <w:bCs/>
          <w:color w:val="auto"/>
        </w:rPr>
        <w:t>技术要求</w:t>
      </w:r>
      <w:r>
        <w:rPr>
          <w:color w:val="auto"/>
        </w:rPr>
        <w:tab/>
      </w:r>
      <w:r>
        <w:rPr>
          <w:color w:val="auto"/>
        </w:rPr>
        <w:fldChar w:fldCharType="begin"/>
      </w:r>
      <w:r>
        <w:rPr>
          <w:color w:val="auto"/>
        </w:rPr>
        <w:instrText xml:space="preserve"> PAGEREF _Toc50450161 \h </w:instrText>
      </w:r>
      <w:r>
        <w:rPr>
          <w:color w:val="auto"/>
        </w:rPr>
        <w:fldChar w:fldCharType="separate"/>
      </w:r>
      <w:r>
        <w:rPr>
          <w:color w:val="auto"/>
        </w:rPr>
        <w:t>19</w:t>
      </w:r>
      <w:r>
        <w:rPr>
          <w:color w:val="auto"/>
        </w:rPr>
        <w:fldChar w:fldCharType="end"/>
      </w:r>
      <w:r>
        <w:rPr>
          <w:color w:val="auto"/>
        </w:rPr>
        <w:fldChar w:fldCharType="end"/>
      </w:r>
    </w:p>
    <w:p>
      <w:pPr>
        <w:pStyle w:val="18"/>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"_Toc50450162" </w:instrText>
      </w:r>
      <w:r>
        <w:rPr>
          <w:color w:val="auto"/>
        </w:rPr>
        <w:fldChar w:fldCharType="separate"/>
      </w:r>
      <w:r>
        <w:rPr>
          <w:rStyle w:val="27"/>
          <w:rFonts w:hint="eastAsia" w:asciiTheme="minorEastAsia" w:hAnsiTheme="minorEastAsia"/>
          <w:color w:val="auto"/>
        </w:rPr>
        <w:t>第四章采购项目商务要求</w:t>
      </w:r>
      <w:r>
        <w:rPr>
          <w:color w:val="auto"/>
        </w:rPr>
        <w:tab/>
      </w:r>
      <w:r>
        <w:rPr>
          <w:color w:val="auto"/>
        </w:rPr>
        <w:fldChar w:fldCharType="begin"/>
      </w:r>
      <w:r>
        <w:rPr>
          <w:color w:val="auto"/>
        </w:rPr>
        <w:instrText xml:space="preserve"> PAGEREF _Toc50450162 \h </w:instrText>
      </w:r>
      <w:r>
        <w:rPr>
          <w:color w:val="auto"/>
        </w:rPr>
        <w:fldChar w:fldCharType="separate"/>
      </w:r>
      <w:r>
        <w:rPr>
          <w:color w:val="auto"/>
        </w:rPr>
        <w:t>30</w:t>
      </w:r>
      <w:r>
        <w:rPr>
          <w:color w:val="auto"/>
        </w:rPr>
        <w:fldChar w:fldCharType="end"/>
      </w:r>
      <w:r>
        <w:rPr>
          <w:color w:val="auto"/>
        </w:rPr>
        <w:fldChar w:fldCharType="end"/>
      </w:r>
    </w:p>
    <w:p>
      <w:pPr>
        <w:pStyle w:val="18"/>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"_Toc50450164" </w:instrText>
      </w:r>
      <w:r>
        <w:rPr>
          <w:color w:val="auto"/>
        </w:rPr>
        <w:fldChar w:fldCharType="separate"/>
      </w:r>
      <w:r>
        <w:rPr>
          <w:rStyle w:val="27"/>
          <w:rFonts w:hint="eastAsia"/>
          <w:color w:val="auto"/>
        </w:rPr>
        <w:t>第五章合同格式</w:t>
      </w:r>
      <w:r>
        <w:rPr>
          <w:color w:val="auto"/>
        </w:rPr>
        <w:tab/>
      </w:r>
      <w:r>
        <w:rPr>
          <w:color w:val="auto"/>
        </w:rPr>
        <w:fldChar w:fldCharType="begin"/>
      </w:r>
      <w:r>
        <w:rPr>
          <w:color w:val="auto"/>
        </w:rPr>
        <w:instrText xml:space="preserve"> PAGEREF _Toc50450164 \h </w:instrText>
      </w:r>
      <w:r>
        <w:rPr>
          <w:color w:val="auto"/>
        </w:rPr>
        <w:fldChar w:fldCharType="separate"/>
      </w:r>
      <w:r>
        <w:rPr>
          <w:color w:val="auto"/>
        </w:rPr>
        <w:t>31</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"_Toc50450165" </w:instrText>
      </w:r>
      <w:r>
        <w:rPr>
          <w:color w:val="auto"/>
        </w:rPr>
        <w:fldChar w:fldCharType="separate"/>
      </w:r>
      <w:r>
        <w:rPr>
          <w:rStyle w:val="27"/>
          <w:rFonts w:hint="eastAsia"/>
          <w:color w:val="auto"/>
        </w:rPr>
        <w:t>浙江省政府采购合同指引（货物）</w:t>
      </w:r>
      <w:r>
        <w:rPr>
          <w:color w:val="auto"/>
        </w:rPr>
        <w:tab/>
      </w:r>
      <w:r>
        <w:rPr>
          <w:color w:val="auto"/>
        </w:rPr>
        <w:fldChar w:fldCharType="begin"/>
      </w:r>
      <w:r>
        <w:rPr>
          <w:color w:val="auto"/>
        </w:rPr>
        <w:instrText xml:space="preserve"> PAGEREF _Toc50450165 \h </w:instrText>
      </w:r>
      <w:r>
        <w:rPr>
          <w:color w:val="auto"/>
        </w:rPr>
        <w:fldChar w:fldCharType="separate"/>
      </w:r>
      <w:r>
        <w:rPr>
          <w:color w:val="auto"/>
        </w:rPr>
        <w:t>31</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"_Toc50450166" </w:instrText>
      </w:r>
      <w:r>
        <w:rPr>
          <w:color w:val="auto"/>
        </w:rPr>
        <w:fldChar w:fldCharType="separate"/>
      </w:r>
      <w:r>
        <w:rPr>
          <w:rStyle w:val="27"/>
          <w:rFonts w:hint="eastAsia"/>
          <w:color w:val="auto"/>
        </w:rPr>
        <w:t>政府采购项目验收书</w:t>
      </w:r>
      <w:r>
        <w:rPr>
          <w:color w:val="auto"/>
        </w:rPr>
        <w:tab/>
      </w:r>
      <w:r>
        <w:rPr>
          <w:color w:val="auto"/>
        </w:rPr>
        <w:fldChar w:fldCharType="begin"/>
      </w:r>
      <w:r>
        <w:rPr>
          <w:color w:val="auto"/>
        </w:rPr>
        <w:instrText xml:space="preserve"> PAGEREF _Toc50450166 \h </w:instrText>
      </w:r>
      <w:r>
        <w:rPr>
          <w:color w:val="auto"/>
        </w:rPr>
        <w:fldChar w:fldCharType="separate"/>
      </w:r>
      <w:r>
        <w:rPr>
          <w:color w:val="auto"/>
        </w:rPr>
        <w:t>35</w:t>
      </w:r>
      <w:r>
        <w:rPr>
          <w:color w:val="auto"/>
        </w:rPr>
        <w:fldChar w:fldCharType="end"/>
      </w:r>
      <w:r>
        <w:rPr>
          <w:color w:val="auto"/>
        </w:rPr>
        <w:fldChar w:fldCharType="end"/>
      </w:r>
    </w:p>
    <w:p>
      <w:pPr>
        <w:pStyle w:val="18"/>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"_Toc50450167" </w:instrText>
      </w:r>
      <w:r>
        <w:rPr>
          <w:color w:val="auto"/>
        </w:rPr>
        <w:fldChar w:fldCharType="separate"/>
      </w:r>
      <w:r>
        <w:rPr>
          <w:rStyle w:val="27"/>
          <w:rFonts w:hint="eastAsia"/>
          <w:color w:val="auto"/>
        </w:rPr>
        <w:t>第六章投标文件内容及格式</w:t>
      </w:r>
      <w:r>
        <w:rPr>
          <w:color w:val="auto"/>
        </w:rPr>
        <w:tab/>
      </w:r>
      <w:r>
        <w:rPr>
          <w:color w:val="auto"/>
        </w:rPr>
        <w:fldChar w:fldCharType="begin"/>
      </w:r>
      <w:r>
        <w:rPr>
          <w:color w:val="auto"/>
        </w:rPr>
        <w:instrText xml:space="preserve"> PAGEREF _Toc50450167 \h </w:instrText>
      </w:r>
      <w:r>
        <w:rPr>
          <w:color w:val="auto"/>
        </w:rPr>
        <w:fldChar w:fldCharType="separate"/>
      </w:r>
      <w:r>
        <w:rPr>
          <w:color w:val="auto"/>
        </w:rPr>
        <w:t>36</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"_Toc50450168" </w:instrText>
      </w:r>
      <w:r>
        <w:rPr>
          <w:color w:val="auto"/>
        </w:rPr>
        <w:fldChar w:fldCharType="separate"/>
      </w:r>
      <w:r>
        <w:rPr>
          <w:rStyle w:val="27"/>
          <w:color w:val="auto"/>
        </w:rPr>
        <w:t>1</w:t>
      </w:r>
      <w:r>
        <w:rPr>
          <w:rStyle w:val="27"/>
          <w:rFonts w:hint="eastAsia"/>
          <w:color w:val="auto"/>
        </w:rPr>
        <w:t>投标人提交投标文件须知</w:t>
      </w:r>
      <w:r>
        <w:rPr>
          <w:color w:val="auto"/>
        </w:rPr>
        <w:tab/>
      </w:r>
      <w:r>
        <w:rPr>
          <w:color w:val="auto"/>
        </w:rPr>
        <w:fldChar w:fldCharType="begin"/>
      </w:r>
      <w:r>
        <w:rPr>
          <w:color w:val="auto"/>
        </w:rPr>
        <w:instrText xml:space="preserve"> PAGEREF _Toc50450168 \h </w:instrText>
      </w:r>
      <w:r>
        <w:rPr>
          <w:color w:val="auto"/>
        </w:rPr>
        <w:fldChar w:fldCharType="separate"/>
      </w:r>
      <w:r>
        <w:rPr>
          <w:color w:val="auto"/>
        </w:rPr>
        <w:t>36</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"_Toc50450169" </w:instrText>
      </w:r>
      <w:r>
        <w:rPr>
          <w:color w:val="auto"/>
        </w:rPr>
        <w:fldChar w:fldCharType="separate"/>
      </w:r>
      <w:r>
        <w:rPr>
          <w:rStyle w:val="27"/>
          <w:color w:val="auto"/>
        </w:rPr>
        <w:t>2</w:t>
      </w:r>
      <w:r>
        <w:rPr>
          <w:rStyle w:val="27"/>
          <w:rFonts w:hint="eastAsia"/>
          <w:color w:val="auto"/>
        </w:rPr>
        <w:t>投标文件组成</w:t>
      </w:r>
      <w:r>
        <w:rPr>
          <w:color w:val="auto"/>
        </w:rPr>
        <w:tab/>
      </w:r>
      <w:r>
        <w:rPr>
          <w:color w:val="auto"/>
        </w:rPr>
        <w:fldChar w:fldCharType="begin"/>
      </w:r>
      <w:r>
        <w:rPr>
          <w:color w:val="auto"/>
        </w:rPr>
        <w:instrText xml:space="preserve"> PAGEREF _Toc50450169 \h </w:instrText>
      </w:r>
      <w:r>
        <w:rPr>
          <w:color w:val="auto"/>
        </w:rPr>
        <w:fldChar w:fldCharType="separate"/>
      </w:r>
      <w:r>
        <w:rPr>
          <w:color w:val="auto"/>
        </w:rPr>
        <w:t>36</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"_Toc50450170" </w:instrText>
      </w:r>
      <w:r>
        <w:rPr>
          <w:color w:val="auto"/>
        </w:rPr>
        <w:fldChar w:fldCharType="separate"/>
      </w:r>
      <w:r>
        <w:rPr>
          <w:rStyle w:val="27"/>
          <w:color w:val="auto"/>
        </w:rPr>
        <w:t>3</w:t>
      </w:r>
      <w:r>
        <w:rPr>
          <w:rStyle w:val="27"/>
          <w:rFonts w:hint="eastAsia"/>
          <w:color w:val="auto"/>
        </w:rPr>
        <w:t>投标文件编制格式及规范要求</w:t>
      </w:r>
      <w:r>
        <w:rPr>
          <w:color w:val="auto"/>
        </w:rPr>
        <w:tab/>
      </w:r>
      <w:r>
        <w:rPr>
          <w:color w:val="auto"/>
        </w:rPr>
        <w:fldChar w:fldCharType="begin"/>
      </w:r>
      <w:r>
        <w:rPr>
          <w:color w:val="auto"/>
        </w:rPr>
        <w:instrText xml:space="preserve"> PAGEREF _Toc50450170 \h </w:instrText>
      </w:r>
      <w:r>
        <w:rPr>
          <w:color w:val="auto"/>
        </w:rPr>
        <w:fldChar w:fldCharType="separate"/>
      </w:r>
      <w:r>
        <w:rPr>
          <w:color w:val="auto"/>
        </w:rPr>
        <w:t>37</w:t>
      </w:r>
      <w:r>
        <w:rPr>
          <w:color w:val="auto"/>
        </w:rPr>
        <w:fldChar w:fldCharType="end"/>
      </w:r>
      <w:r>
        <w:rPr>
          <w:color w:val="auto"/>
        </w:rPr>
        <w:fldChar w:fldCharType="end"/>
      </w:r>
    </w:p>
    <w:p>
      <w:pPr>
        <w:pStyle w:val="18"/>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"_Toc50450171" </w:instrText>
      </w:r>
      <w:r>
        <w:rPr>
          <w:color w:val="auto"/>
        </w:rPr>
        <w:fldChar w:fldCharType="separate"/>
      </w:r>
      <w:r>
        <w:rPr>
          <w:rStyle w:val="27"/>
          <w:rFonts w:hint="eastAsia"/>
          <w:color w:val="auto"/>
        </w:rPr>
        <w:t>第七章评标办法</w:t>
      </w:r>
      <w:r>
        <w:rPr>
          <w:color w:val="auto"/>
        </w:rPr>
        <w:tab/>
      </w:r>
      <w:r>
        <w:rPr>
          <w:color w:val="auto"/>
        </w:rPr>
        <w:fldChar w:fldCharType="begin"/>
      </w:r>
      <w:r>
        <w:rPr>
          <w:color w:val="auto"/>
        </w:rPr>
        <w:instrText xml:space="preserve"> PAGEREF _Toc50450171 \h </w:instrText>
      </w:r>
      <w:r>
        <w:rPr>
          <w:color w:val="auto"/>
        </w:rPr>
        <w:fldChar w:fldCharType="separate"/>
      </w:r>
      <w:r>
        <w:rPr>
          <w:color w:val="auto"/>
        </w:rPr>
        <w:t>55</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"_Toc50450172" </w:instrText>
      </w:r>
      <w:r>
        <w:rPr>
          <w:color w:val="auto"/>
        </w:rPr>
        <w:fldChar w:fldCharType="separate"/>
      </w:r>
      <w:r>
        <w:rPr>
          <w:rStyle w:val="27"/>
          <w:color w:val="auto"/>
        </w:rPr>
        <w:t>1</w:t>
      </w:r>
      <w:r>
        <w:rPr>
          <w:rStyle w:val="27"/>
          <w:rFonts w:hint="eastAsia"/>
          <w:color w:val="auto"/>
        </w:rPr>
        <w:t>总则</w:t>
      </w:r>
      <w:r>
        <w:rPr>
          <w:color w:val="auto"/>
        </w:rPr>
        <w:tab/>
      </w:r>
      <w:r>
        <w:rPr>
          <w:color w:val="auto"/>
        </w:rPr>
        <w:fldChar w:fldCharType="begin"/>
      </w:r>
      <w:r>
        <w:rPr>
          <w:color w:val="auto"/>
        </w:rPr>
        <w:instrText xml:space="preserve"> PAGEREF _Toc50450172 \h </w:instrText>
      </w:r>
      <w:r>
        <w:rPr>
          <w:color w:val="auto"/>
        </w:rPr>
        <w:fldChar w:fldCharType="separate"/>
      </w:r>
      <w:r>
        <w:rPr>
          <w:color w:val="auto"/>
        </w:rPr>
        <w:t>55</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"_Toc50450173" </w:instrText>
      </w:r>
      <w:r>
        <w:rPr>
          <w:color w:val="auto"/>
        </w:rPr>
        <w:fldChar w:fldCharType="separate"/>
      </w:r>
      <w:r>
        <w:rPr>
          <w:rStyle w:val="27"/>
          <w:color w:val="auto"/>
        </w:rPr>
        <w:t>2</w:t>
      </w:r>
      <w:r>
        <w:rPr>
          <w:rStyle w:val="27"/>
          <w:rFonts w:hint="eastAsia"/>
          <w:color w:val="auto"/>
        </w:rPr>
        <w:t>评标组织</w:t>
      </w:r>
      <w:r>
        <w:rPr>
          <w:color w:val="auto"/>
        </w:rPr>
        <w:tab/>
      </w:r>
      <w:r>
        <w:rPr>
          <w:color w:val="auto"/>
        </w:rPr>
        <w:fldChar w:fldCharType="begin"/>
      </w:r>
      <w:r>
        <w:rPr>
          <w:color w:val="auto"/>
        </w:rPr>
        <w:instrText xml:space="preserve"> PAGEREF _Toc50450173 \h </w:instrText>
      </w:r>
      <w:r>
        <w:rPr>
          <w:color w:val="auto"/>
        </w:rPr>
        <w:fldChar w:fldCharType="separate"/>
      </w:r>
      <w:r>
        <w:rPr>
          <w:color w:val="auto"/>
        </w:rPr>
        <w:t>55</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"_Toc50450174" </w:instrText>
      </w:r>
      <w:r>
        <w:rPr>
          <w:color w:val="auto"/>
        </w:rPr>
        <w:fldChar w:fldCharType="separate"/>
      </w:r>
      <w:r>
        <w:rPr>
          <w:rStyle w:val="27"/>
          <w:color w:val="auto"/>
        </w:rPr>
        <w:t>3</w:t>
      </w:r>
      <w:r>
        <w:rPr>
          <w:rStyle w:val="27"/>
          <w:rFonts w:hint="eastAsia"/>
          <w:color w:val="auto"/>
        </w:rPr>
        <w:t>评标程序和内容</w:t>
      </w:r>
      <w:r>
        <w:rPr>
          <w:color w:val="auto"/>
        </w:rPr>
        <w:tab/>
      </w:r>
      <w:r>
        <w:rPr>
          <w:color w:val="auto"/>
        </w:rPr>
        <w:fldChar w:fldCharType="begin"/>
      </w:r>
      <w:r>
        <w:rPr>
          <w:color w:val="auto"/>
        </w:rPr>
        <w:instrText xml:space="preserve"> PAGEREF _Toc50450174 \h </w:instrText>
      </w:r>
      <w:r>
        <w:rPr>
          <w:color w:val="auto"/>
        </w:rPr>
        <w:fldChar w:fldCharType="separate"/>
      </w:r>
      <w:r>
        <w:rPr>
          <w:color w:val="auto"/>
        </w:rPr>
        <w:t>55</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"_Toc50450175" </w:instrText>
      </w:r>
      <w:r>
        <w:rPr>
          <w:color w:val="auto"/>
        </w:rPr>
        <w:fldChar w:fldCharType="separate"/>
      </w:r>
      <w:r>
        <w:rPr>
          <w:rStyle w:val="27"/>
          <w:color w:val="auto"/>
        </w:rPr>
        <w:t>4</w:t>
      </w:r>
      <w:r>
        <w:rPr>
          <w:rStyle w:val="27"/>
          <w:rFonts w:hint="eastAsia"/>
          <w:color w:val="auto"/>
        </w:rPr>
        <w:t>投标文件的审查</w:t>
      </w:r>
      <w:r>
        <w:rPr>
          <w:color w:val="auto"/>
        </w:rPr>
        <w:tab/>
      </w:r>
      <w:r>
        <w:rPr>
          <w:color w:val="auto"/>
        </w:rPr>
        <w:fldChar w:fldCharType="begin"/>
      </w:r>
      <w:r>
        <w:rPr>
          <w:color w:val="auto"/>
        </w:rPr>
        <w:instrText xml:space="preserve"> PAGEREF _Toc50450175 \h </w:instrText>
      </w:r>
      <w:r>
        <w:rPr>
          <w:color w:val="auto"/>
        </w:rPr>
        <w:fldChar w:fldCharType="separate"/>
      </w:r>
      <w:r>
        <w:rPr>
          <w:color w:val="auto"/>
        </w:rPr>
        <w:t>55</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"_Toc50450176" </w:instrText>
      </w:r>
      <w:r>
        <w:rPr>
          <w:color w:val="auto"/>
        </w:rPr>
        <w:fldChar w:fldCharType="separate"/>
      </w:r>
      <w:r>
        <w:rPr>
          <w:rStyle w:val="27"/>
          <w:color w:val="auto"/>
        </w:rPr>
        <w:t>5</w:t>
      </w:r>
      <w:r>
        <w:rPr>
          <w:rStyle w:val="27"/>
          <w:rFonts w:hint="eastAsia"/>
          <w:color w:val="auto"/>
        </w:rPr>
        <w:t>评标细则</w:t>
      </w:r>
      <w:r>
        <w:rPr>
          <w:color w:val="auto"/>
        </w:rPr>
        <w:tab/>
      </w:r>
      <w:r>
        <w:rPr>
          <w:color w:val="auto"/>
        </w:rPr>
        <w:fldChar w:fldCharType="begin"/>
      </w:r>
      <w:r>
        <w:rPr>
          <w:color w:val="auto"/>
        </w:rPr>
        <w:instrText xml:space="preserve"> PAGEREF _Toc50450176 \h </w:instrText>
      </w:r>
      <w:r>
        <w:rPr>
          <w:color w:val="auto"/>
        </w:rPr>
        <w:fldChar w:fldCharType="separate"/>
      </w:r>
      <w:r>
        <w:rPr>
          <w:color w:val="auto"/>
        </w:rPr>
        <w:t>57</w:t>
      </w:r>
      <w:r>
        <w:rPr>
          <w:color w:val="auto"/>
        </w:rPr>
        <w:fldChar w:fldCharType="end"/>
      </w:r>
      <w:r>
        <w:rPr>
          <w:color w:val="auto"/>
        </w:rPr>
        <w:fldChar w:fldCharType="end"/>
      </w:r>
    </w:p>
    <w:p>
      <w:pPr>
        <w:ind w:firstLine="420"/>
        <w:rPr>
          <w:color w:val="auto"/>
          <w:lang w:val="zh-CN"/>
        </w:rPr>
      </w:pPr>
      <w:r>
        <w:rPr>
          <w:color w:val="auto"/>
        </w:rPr>
        <w:fldChar w:fldCharType="end"/>
      </w:r>
    </w:p>
    <w:p>
      <w:pPr>
        <w:snapToGrid w:val="0"/>
        <w:ind w:firstLine="0" w:firstLineChars="0"/>
        <w:rPr>
          <w:rFonts w:ascii="宋体" w:cs="宋体"/>
          <w:color w:val="auto"/>
          <w:sz w:val="28"/>
          <w:szCs w:val="28"/>
        </w:rPr>
        <w:sectPr>
          <w:headerReference r:id="rId9" w:type="default"/>
          <w:footerReference r:id="rId11" w:type="default"/>
          <w:headerReference r:id="rId10" w:type="even"/>
          <w:footerReference r:id="rId12" w:type="even"/>
          <w:pgSz w:w="11906" w:h="16838"/>
          <w:pgMar w:top="1440" w:right="1800" w:bottom="1440" w:left="1800" w:header="851" w:footer="992" w:gutter="0"/>
          <w:pgNumType w:fmt="upperRoman" w:start="1"/>
          <w:cols w:space="720" w:num="1"/>
          <w:docGrid w:type="lines" w:linePitch="312" w:charSpace="0"/>
        </w:sectPr>
      </w:pPr>
    </w:p>
    <w:p>
      <w:pPr>
        <w:ind w:firstLine="0" w:firstLineChars="0"/>
        <w:jc w:val="center"/>
        <w:rPr>
          <w:b/>
          <w:color w:val="auto"/>
          <w:kern w:val="44"/>
          <w:sz w:val="24"/>
        </w:rPr>
      </w:pPr>
      <w:bookmarkStart w:id="0" w:name="_Toc452457411"/>
      <w:r>
        <w:rPr>
          <w:rFonts w:hint="eastAsia"/>
          <w:b/>
          <w:color w:val="auto"/>
          <w:kern w:val="44"/>
          <w:sz w:val="24"/>
        </w:rPr>
        <w:t>浙江信镧建设工程咨询有限公司关于</w:t>
      </w:r>
      <w:r>
        <w:rPr>
          <w:rFonts w:hint="eastAsia"/>
          <w:b/>
          <w:color w:val="auto"/>
          <w:kern w:val="44"/>
          <w:sz w:val="24"/>
          <w:lang w:eastAsia="zh-CN"/>
        </w:rPr>
        <w:t>中国美术学院美术馆文物智能展柜及配套设备采购</w:t>
      </w:r>
      <w:r>
        <w:rPr>
          <w:rFonts w:hint="eastAsia"/>
          <w:b/>
          <w:color w:val="auto"/>
          <w:kern w:val="44"/>
          <w:sz w:val="24"/>
        </w:rPr>
        <w:t>采购的</w:t>
      </w:r>
    </w:p>
    <w:p>
      <w:pPr>
        <w:pStyle w:val="5"/>
        <w:ind w:firstLine="0" w:firstLineChars="0"/>
        <w:rPr>
          <w:color w:val="auto"/>
          <w:kern w:val="0"/>
        </w:rPr>
      </w:pPr>
      <w:bookmarkStart w:id="1" w:name="_Toc50450132"/>
      <w:r>
        <w:rPr>
          <w:rStyle w:val="29"/>
          <w:rFonts w:hint="eastAsia"/>
          <w:b/>
          <w:color w:val="auto"/>
          <w:sz w:val="24"/>
        </w:rPr>
        <w:t>招标公告</w:t>
      </w:r>
      <w:bookmarkEnd w:id="1"/>
    </w:p>
    <w:p>
      <w:pPr>
        <w:pStyle w:val="6"/>
        <w:rPr>
          <w:rFonts w:ascii="宋体" w:hAnsi="宋体" w:cs="宋体"/>
          <w:color w:val="auto"/>
          <w:szCs w:val="21"/>
        </w:rPr>
      </w:pPr>
      <w:bookmarkStart w:id="2" w:name="_Toc35393790"/>
      <w:bookmarkStart w:id="3" w:name="_Toc44663285"/>
      <w:bookmarkStart w:id="4" w:name="_Toc28359002"/>
      <w:bookmarkStart w:id="5" w:name="_Toc35393621"/>
      <w:bookmarkStart w:id="6" w:name="_Toc28359079"/>
      <w:bookmarkStart w:id="7" w:name="_Toc44580584"/>
      <w:bookmarkStart w:id="8" w:name="_Toc50450133"/>
      <w:bookmarkStart w:id="9" w:name="_Toc44758340"/>
      <w:bookmarkStart w:id="10" w:name="_Hlk24379207"/>
      <w:r>
        <w:rPr>
          <w:rFonts w:hint="eastAsia" w:ascii="宋体" w:hAnsi="宋体" w:cs="宋体"/>
          <w:color w:val="auto"/>
          <w:szCs w:val="21"/>
        </w:rPr>
        <w:t>一、项目基本情况</w:t>
      </w:r>
      <w:bookmarkEnd w:id="2"/>
      <w:bookmarkEnd w:id="3"/>
      <w:bookmarkEnd w:id="4"/>
      <w:bookmarkEnd w:id="5"/>
      <w:bookmarkEnd w:id="6"/>
      <w:bookmarkEnd w:id="7"/>
      <w:bookmarkEnd w:id="8"/>
      <w:bookmarkEnd w:id="9"/>
    </w:p>
    <w:p>
      <w:pPr>
        <w:ind w:firstLine="420"/>
        <w:rPr>
          <w:rFonts w:hint="eastAsia" w:eastAsia="宋体"/>
          <w:color w:val="auto"/>
          <w:lang w:eastAsia="zh-CN"/>
        </w:rPr>
      </w:pPr>
      <w:r>
        <w:rPr>
          <w:rFonts w:hint="eastAsia" w:ascii="宋体" w:hAnsi="宋体"/>
          <w:color w:val="auto"/>
          <w:szCs w:val="21"/>
        </w:rPr>
        <w:t>项目编号：</w:t>
      </w:r>
      <w:r>
        <w:rPr>
          <w:rFonts w:hint="eastAsia"/>
          <w:color w:val="auto"/>
          <w:lang w:eastAsia="zh-CN"/>
        </w:rPr>
        <w:t>ZJXL-MY-202088</w:t>
      </w:r>
    </w:p>
    <w:p>
      <w:pPr>
        <w:ind w:firstLine="420"/>
        <w:rPr>
          <w:rFonts w:hint="eastAsia" w:ascii="宋体" w:hAnsi="宋体" w:eastAsia="宋体"/>
          <w:color w:val="auto"/>
          <w:szCs w:val="21"/>
          <w:lang w:eastAsia="zh-CN"/>
        </w:rPr>
      </w:pPr>
      <w:r>
        <w:rPr>
          <w:rFonts w:hint="eastAsia" w:ascii="宋体" w:hAnsi="宋体"/>
          <w:color w:val="auto"/>
          <w:szCs w:val="21"/>
        </w:rPr>
        <w:t>项目名称：</w:t>
      </w:r>
      <w:r>
        <w:rPr>
          <w:rFonts w:hint="eastAsia" w:ascii="宋体" w:hAnsi="宋体" w:cs="宋体"/>
          <w:color w:val="auto"/>
          <w:szCs w:val="21"/>
          <w:lang w:eastAsia="zh-CN"/>
        </w:rPr>
        <w:t>美术馆文物智能展柜及配套设备采购</w:t>
      </w:r>
    </w:p>
    <w:bookmarkEnd w:id="10"/>
    <w:p>
      <w:pPr>
        <w:ind w:firstLine="420"/>
        <w:rPr>
          <w:rFonts w:hint="eastAsia" w:ascii="宋体" w:hAnsi="宋体" w:eastAsia="宋体" w:cs="宋体"/>
          <w:color w:val="auto"/>
          <w:sz w:val="21"/>
          <w:szCs w:val="21"/>
        </w:rPr>
      </w:pPr>
      <w:r>
        <w:rPr>
          <w:rFonts w:hint="eastAsia" w:ascii="宋体" w:hAnsi="宋体"/>
          <w:color w:val="auto"/>
          <w:szCs w:val="21"/>
        </w:rPr>
        <w:t>预算金额（元）：</w:t>
      </w:r>
      <w:r>
        <w:rPr>
          <w:rFonts w:hint="eastAsia" w:ascii="宋体" w:hAnsi="宋体" w:eastAsia="宋体" w:cs="宋体"/>
          <w:i w:val="0"/>
          <w:caps w:val="0"/>
          <w:color w:val="auto"/>
          <w:spacing w:val="0"/>
          <w:sz w:val="21"/>
          <w:szCs w:val="21"/>
          <w:shd w:val="clear" w:fill="FFFFFF"/>
        </w:rPr>
        <w:t>2337293</w:t>
      </w:r>
    </w:p>
    <w:p>
      <w:pPr>
        <w:ind w:firstLine="420"/>
        <w:rPr>
          <w:rFonts w:hint="eastAsia" w:ascii="宋体" w:hAnsi="宋体" w:eastAsia="宋体" w:cs="宋体"/>
          <w:color w:val="auto"/>
          <w:sz w:val="21"/>
          <w:szCs w:val="21"/>
        </w:rPr>
      </w:pPr>
      <w:r>
        <w:rPr>
          <w:rFonts w:hint="eastAsia" w:ascii="宋体" w:hAnsi="宋体" w:eastAsia="宋体" w:cs="宋体"/>
          <w:color w:val="auto"/>
          <w:sz w:val="21"/>
          <w:szCs w:val="21"/>
        </w:rPr>
        <w:t>最高限价（元）：</w:t>
      </w:r>
      <w:r>
        <w:rPr>
          <w:rFonts w:hint="eastAsia" w:ascii="宋体" w:hAnsi="宋体" w:eastAsia="宋体" w:cs="宋体"/>
          <w:i w:val="0"/>
          <w:caps w:val="0"/>
          <w:color w:val="auto"/>
          <w:spacing w:val="0"/>
          <w:sz w:val="21"/>
          <w:szCs w:val="21"/>
          <w:shd w:val="clear" w:fill="FFFFFF"/>
        </w:rPr>
        <w:t>2337293</w:t>
      </w:r>
    </w:p>
    <w:p>
      <w:pPr>
        <w:ind w:firstLine="420"/>
        <w:rPr>
          <w:rFonts w:hint="eastAsia" w:ascii="宋体" w:hAnsi="宋体" w:eastAsia="宋体" w:cs="宋体"/>
          <w:color w:val="auto"/>
          <w:sz w:val="21"/>
          <w:szCs w:val="21"/>
        </w:rPr>
      </w:pPr>
      <w:r>
        <w:rPr>
          <w:rFonts w:hint="eastAsia" w:ascii="宋体" w:hAnsi="宋体" w:eastAsia="宋体" w:cs="宋体"/>
          <w:color w:val="auto"/>
          <w:sz w:val="21"/>
          <w:szCs w:val="21"/>
        </w:rPr>
        <w:t>采购需求：</w:t>
      </w:r>
    </w:p>
    <w:tbl>
      <w:tblPr>
        <w:tblStyle w:val="2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49"/>
        <w:gridCol w:w="1697"/>
        <w:gridCol w:w="553"/>
        <w:gridCol w:w="1507"/>
        <w:gridCol w:w="553"/>
        <w:gridCol w:w="3500"/>
        <w:gridCol w:w="10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9" w:type="dxa"/>
            <w:vAlign w:val="center"/>
          </w:tcPr>
          <w:p>
            <w:pPr>
              <w:pStyle w:val="3"/>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标项序号</w:t>
            </w:r>
          </w:p>
        </w:tc>
        <w:tc>
          <w:tcPr>
            <w:tcW w:w="1697" w:type="dxa"/>
            <w:vAlign w:val="center"/>
          </w:tcPr>
          <w:p>
            <w:pPr>
              <w:pStyle w:val="3"/>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标项名称</w:t>
            </w:r>
          </w:p>
        </w:tc>
        <w:tc>
          <w:tcPr>
            <w:tcW w:w="553" w:type="dxa"/>
            <w:vAlign w:val="center"/>
          </w:tcPr>
          <w:p>
            <w:pPr>
              <w:pStyle w:val="3"/>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507" w:type="dxa"/>
            <w:vAlign w:val="center"/>
          </w:tcPr>
          <w:p>
            <w:pPr>
              <w:pStyle w:val="3"/>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预算金额(元)</w:t>
            </w:r>
          </w:p>
        </w:tc>
        <w:tc>
          <w:tcPr>
            <w:tcW w:w="553" w:type="dxa"/>
            <w:vAlign w:val="center"/>
          </w:tcPr>
          <w:p>
            <w:pPr>
              <w:pStyle w:val="3"/>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3500" w:type="dxa"/>
            <w:vAlign w:val="center"/>
          </w:tcPr>
          <w:p>
            <w:pPr>
              <w:pStyle w:val="3"/>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简要规格描述</w:t>
            </w:r>
          </w:p>
        </w:tc>
        <w:tc>
          <w:tcPr>
            <w:tcW w:w="1056" w:type="dxa"/>
            <w:vAlign w:val="center"/>
          </w:tcPr>
          <w:p>
            <w:pPr>
              <w:pStyle w:val="3"/>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9" w:type="dxa"/>
            <w:vAlign w:val="center"/>
          </w:tcPr>
          <w:p>
            <w:pPr>
              <w:pStyle w:val="6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697" w:type="dxa"/>
            <w:vAlign w:val="center"/>
          </w:tcPr>
          <w:p>
            <w:pPr>
              <w:pStyle w:val="64"/>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美术馆文物智能展柜及配套设备采购</w:t>
            </w:r>
          </w:p>
        </w:tc>
        <w:tc>
          <w:tcPr>
            <w:tcW w:w="553" w:type="dxa"/>
            <w:vAlign w:val="center"/>
          </w:tcPr>
          <w:p>
            <w:pPr>
              <w:pStyle w:val="6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07" w:type="dxa"/>
            <w:vAlign w:val="center"/>
          </w:tcPr>
          <w:p>
            <w:pPr>
              <w:pStyle w:val="64"/>
              <w:spacing w:line="360" w:lineRule="auto"/>
              <w:jc w:val="center"/>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FFFFF"/>
              </w:rPr>
              <w:t>2337293</w:t>
            </w:r>
          </w:p>
        </w:tc>
        <w:tc>
          <w:tcPr>
            <w:tcW w:w="553" w:type="dxa"/>
            <w:vAlign w:val="center"/>
          </w:tcPr>
          <w:p>
            <w:pPr>
              <w:pStyle w:val="64"/>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批</w:t>
            </w:r>
            <w:bookmarkStart w:id="164" w:name="_GoBack"/>
            <w:bookmarkEnd w:id="164"/>
          </w:p>
        </w:tc>
        <w:tc>
          <w:tcPr>
            <w:tcW w:w="3500" w:type="dxa"/>
            <w:vAlign w:val="center"/>
          </w:tcPr>
          <w:p>
            <w:pPr>
              <w:ind w:firstLine="0" w:firstLineChars="0"/>
              <w:jc w:val="center"/>
              <w:rPr>
                <w:rFonts w:hint="eastAsia" w:ascii="宋体" w:hAnsi="宋体" w:eastAsia="宋体" w:cs="宋体"/>
                <w:color w:val="auto"/>
                <w:sz w:val="21"/>
                <w:szCs w:val="21"/>
              </w:rPr>
            </w:pPr>
            <w:r>
              <w:rPr>
                <w:rFonts w:hint="eastAsia" w:ascii="宋体" w:hAnsi="宋体" w:cs="宋体"/>
                <w:color w:val="auto"/>
                <w:sz w:val="21"/>
                <w:szCs w:val="21"/>
                <w:lang w:eastAsia="zh-CN"/>
              </w:rPr>
              <w:t>文物智能展柜及配套设备</w:t>
            </w:r>
          </w:p>
        </w:tc>
        <w:tc>
          <w:tcPr>
            <w:tcW w:w="1056" w:type="dxa"/>
            <w:vAlign w:val="center"/>
          </w:tcPr>
          <w:p>
            <w:pPr>
              <w:pStyle w:val="3"/>
              <w:ind w:firstLine="0" w:firstLineChars="0"/>
              <w:jc w:val="center"/>
              <w:rPr>
                <w:rFonts w:hint="eastAsia" w:ascii="宋体" w:hAnsi="宋体" w:eastAsia="宋体" w:cs="宋体"/>
                <w:color w:val="auto"/>
                <w:sz w:val="21"/>
                <w:szCs w:val="21"/>
              </w:rPr>
            </w:pPr>
          </w:p>
        </w:tc>
      </w:tr>
    </w:tbl>
    <w:p>
      <w:pPr>
        <w:pStyle w:val="5"/>
        <w:ind w:firstLine="0" w:firstLineChars="0"/>
        <w:jc w:val="both"/>
        <w:rPr>
          <w:rFonts w:ascii="宋体" w:hAnsi="宋体" w:cs="宋体"/>
          <w:b w:val="0"/>
          <w:bCs w:val="0"/>
          <w:color w:val="auto"/>
          <w:sz w:val="21"/>
          <w:szCs w:val="21"/>
        </w:rPr>
      </w:pPr>
      <w:bookmarkStart w:id="11" w:name="_Toc50450134"/>
      <w:r>
        <w:rPr>
          <w:rFonts w:hint="eastAsia" w:ascii="宋体" w:hAnsi="宋体" w:cs="宋体"/>
          <w:b w:val="0"/>
          <w:bCs w:val="0"/>
          <w:color w:val="auto"/>
          <w:sz w:val="21"/>
          <w:szCs w:val="21"/>
        </w:rPr>
        <w:t>合同履行期限：详见第四章采购项目商务要求</w:t>
      </w:r>
      <w:bookmarkEnd w:id="11"/>
    </w:p>
    <w:p>
      <w:pPr>
        <w:ind w:firstLine="420"/>
        <w:rPr>
          <w:rFonts w:ascii="宋体" w:hAnsi="宋体"/>
          <w:color w:val="auto"/>
          <w:szCs w:val="21"/>
        </w:rPr>
      </w:pPr>
      <w:bookmarkStart w:id="12" w:name="_Toc28359080"/>
      <w:bookmarkStart w:id="13" w:name="_Toc35393622"/>
      <w:bookmarkStart w:id="14" w:name="_Toc28359003"/>
      <w:bookmarkStart w:id="15" w:name="_Toc35393791"/>
      <w:r>
        <w:rPr>
          <w:rFonts w:hint="eastAsia" w:ascii="宋体" w:hAnsi="宋体"/>
          <w:color w:val="auto"/>
          <w:szCs w:val="21"/>
        </w:rPr>
        <w:t>本项目（ 否 ）接受联合体投标。</w:t>
      </w:r>
    </w:p>
    <w:p>
      <w:pPr>
        <w:pStyle w:val="6"/>
        <w:rPr>
          <w:rFonts w:ascii="宋体" w:hAnsi="宋体" w:cs="宋体"/>
          <w:b w:val="0"/>
          <w:color w:val="auto"/>
          <w:szCs w:val="21"/>
        </w:rPr>
      </w:pPr>
      <w:bookmarkStart w:id="16" w:name="_Toc44663286"/>
      <w:bookmarkStart w:id="17" w:name="_Toc50450135"/>
      <w:bookmarkStart w:id="18" w:name="_Toc44758341"/>
      <w:bookmarkStart w:id="19" w:name="_Toc44580585"/>
      <w:r>
        <w:rPr>
          <w:rFonts w:hint="eastAsia" w:ascii="宋体" w:hAnsi="宋体" w:cs="宋体"/>
          <w:b w:val="0"/>
          <w:color w:val="auto"/>
          <w:szCs w:val="21"/>
        </w:rPr>
        <w:t>二、申请人的资格要求：</w:t>
      </w:r>
      <w:bookmarkEnd w:id="12"/>
      <w:bookmarkEnd w:id="13"/>
      <w:bookmarkEnd w:id="14"/>
      <w:bookmarkEnd w:id="15"/>
      <w:bookmarkEnd w:id="16"/>
      <w:bookmarkEnd w:id="17"/>
      <w:bookmarkEnd w:id="18"/>
      <w:bookmarkEnd w:id="19"/>
    </w:p>
    <w:p>
      <w:pPr>
        <w:ind w:firstLine="420"/>
        <w:rPr>
          <w:rFonts w:ascii="宋体" w:hAnsi="宋体"/>
          <w:color w:val="auto"/>
          <w:szCs w:val="21"/>
        </w:rPr>
      </w:pPr>
      <w:r>
        <w:rPr>
          <w:rFonts w:hint="eastAsia" w:ascii="宋体" w:hAnsi="宋体"/>
          <w:color w:val="auto"/>
          <w:szCs w:val="21"/>
        </w:rPr>
        <w:t>1.满足《中华人民共和国政府采购法》第二十二条规定；</w:t>
      </w:r>
    </w:p>
    <w:p>
      <w:pPr>
        <w:ind w:firstLine="420"/>
        <w:rPr>
          <w:rFonts w:ascii="宋体" w:hAnsi="宋体"/>
          <w:color w:val="auto"/>
          <w:szCs w:val="21"/>
        </w:rPr>
      </w:pPr>
      <w:r>
        <w:rPr>
          <w:rFonts w:hint="eastAsia" w:ascii="宋体" w:hAnsi="宋体"/>
          <w:color w:val="auto"/>
          <w:szCs w:val="21"/>
        </w:rPr>
        <w:t>2.未被“信用中国”（www.creditchina.gov.cn）、中国政府采购网（www.ccgp.gov.cn）列入失信被执行人、重大税收违法案件当事人名单、政府采购严重违法失信行为记录名单。</w:t>
      </w:r>
    </w:p>
    <w:p>
      <w:pPr>
        <w:ind w:firstLine="420"/>
        <w:rPr>
          <w:rFonts w:ascii="宋体" w:hAnsi="宋体"/>
          <w:color w:val="auto"/>
          <w:szCs w:val="21"/>
        </w:rPr>
      </w:pPr>
      <w:r>
        <w:rPr>
          <w:rFonts w:hint="eastAsia" w:ascii="宋体" w:hAnsi="宋体"/>
          <w:color w:val="auto"/>
          <w:szCs w:val="21"/>
        </w:rPr>
        <w:t>3.单位负责人为同一人或者存在直接控股、管理关系的不同供应商，不得参加同一合同项下的政府采购活动。</w:t>
      </w:r>
    </w:p>
    <w:p>
      <w:pPr>
        <w:ind w:firstLine="420"/>
        <w:rPr>
          <w:rFonts w:ascii="宋体" w:hAnsi="宋体"/>
          <w:color w:val="auto"/>
          <w:szCs w:val="21"/>
        </w:rPr>
      </w:pPr>
      <w:r>
        <w:rPr>
          <w:rFonts w:hint="eastAsia" w:ascii="宋体" w:hAnsi="宋体"/>
          <w:color w:val="auto"/>
          <w:szCs w:val="21"/>
        </w:rPr>
        <w:t>4.除单一来源采购项目外，为采购项目提供整体设计、规范编制或者项目管理、监理、检测等服务的供应商，不得再参加该采购项目投标。</w:t>
      </w:r>
    </w:p>
    <w:p>
      <w:pPr>
        <w:ind w:firstLine="420"/>
        <w:rPr>
          <w:rFonts w:ascii="宋体" w:hAnsi="宋体"/>
          <w:color w:val="auto"/>
          <w:szCs w:val="21"/>
        </w:rPr>
      </w:pPr>
      <w:bookmarkStart w:id="20" w:name="_Toc28359081"/>
      <w:bookmarkStart w:id="21" w:name="_Toc28359004"/>
      <w:r>
        <w:rPr>
          <w:rFonts w:hint="eastAsia" w:ascii="宋体" w:hAnsi="宋体"/>
          <w:color w:val="auto"/>
          <w:szCs w:val="21"/>
        </w:rPr>
        <w:t>5.落实政府采购政策需满足的资格要求：</w:t>
      </w:r>
      <w:r>
        <w:rPr>
          <w:rFonts w:hint="eastAsia" w:ascii="宋体" w:hAnsi="宋体"/>
          <w:color w:val="auto"/>
        </w:rPr>
        <w:t>对符合财政扶持政策的小型、微型企业（监狱企业、残疾人福利性单位视同小微企业）给予价格优惠扶持。</w:t>
      </w:r>
    </w:p>
    <w:p>
      <w:pPr>
        <w:ind w:firstLine="420"/>
        <w:rPr>
          <w:rFonts w:ascii="宋体" w:hAnsi="宋体"/>
          <w:iCs/>
          <w:color w:val="auto"/>
          <w:szCs w:val="21"/>
          <w:u w:val="single"/>
        </w:rPr>
      </w:pPr>
      <w:r>
        <w:rPr>
          <w:rFonts w:hint="eastAsia" w:ascii="宋体" w:hAnsi="宋体"/>
          <w:color w:val="auto"/>
          <w:szCs w:val="21"/>
        </w:rPr>
        <w:t>6.本项目的特定资格要求：</w:t>
      </w:r>
      <w:r>
        <w:rPr>
          <w:rFonts w:hint="eastAsia" w:ascii="宋体" w:hAnsi="宋体"/>
          <w:color w:val="auto"/>
          <w:szCs w:val="21"/>
          <w:u w:val="single"/>
        </w:rPr>
        <w:t>无</w:t>
      </w:r>
    </w:p>
    <w:p>
      <w:pPr>
        <w:pStyle w:val="6"/>
        <w:rPr>
          <w:rFonts w:ascii="宋体" w:hAnsi="宋体" w:cs="宋体"/>
          <w:b w:val="0"/>
          <w:color w:val="auto"/>
          <w:szCs w:val="21"/>
        </w:rPr>
      </w:pPr>
      <w:bookmarkStart w:id="22" w:name="_Toc35393623"/>
      <w:bookmarkStart w:id="23" w:name="_Toc44663287"/>
      <w:bookmarkStart w:id="24" w:name="_Toc35393792"/>
      <w:bookmarkStart w:id="25" w:name="_Toc44580586"/>
      <w:bookmarkStart w:id="26" w:name="_Toc44758342"/>
      <w:bookmarkStart w:id="27" w:name="_Toc50450136"/>
      <w:r>
        <w:rPr>
          <w:rFonts w:hint="eastAsia" w:ascii="宋体" w:hAnsi="宋体" w:cs="宋体"/>
          <w:b w:val="0"/>
          <w:color w:val="auto"/>
          <w:szCs w:val="21"/>
        </w:rPr>
        <w:t>三、获取招标文件</w:t>
      </w:r>
      <w:bookmarkEnd w:id="20"/>
      <w:bookmarkEnd w:id="21"/>
      <w:bookmarkEnd w:id="22"/>
      <w:bookmarkEnd w:id="23"/>
      <w:bookmarkEnd w:id="24"/>
      <w:bookmarkEnd w:id="25"/>
      <w:bookmarkEnd w:id="26"/>
      <w:bookmarkEnd w:id="27"/>
    </w:p>
    <w:p>
      <w:pPr>
        <w:ind w:firstLine="420"/>
        <w:rPr>
          <w:rFonts w:ascii="宋体" w:hAnsi="宋体" w:cs="宋体"/>
          <w:color w:val="auto"/>
          <w:szCs w:val="21"/>
        </w:rPr>
      </w:pPr>
      <w:r>
        <w:rPr>
          <w:rFonts w:hint="eastAsia" w:ascii="宋体" w:hAnsi="宋体" w:cs="宋体"/>
          <w:color w:val="auto"/>
          <w:szCs w:val="21"/>
        </w:rPr>
        <w:t>1</w:t>
      </w:r>
      <w:r>
        <w:rPr>
          <w:rFonts w:hint="eastAsia" w:ascii="宋体" w:hAnsi="宋体"/>
          <w:color w:val="auto"/>
          <w:szCs w:val="21"/>
        </w:rPr>
        <w:t>.</w:t>
      </w:r>
      <w:r>
        <w:rPr>
          <w:rFonts w:hint="eastAsia" w:ascii="宋体" w:hAnsi="宋体" w:cs="宋体"/>
          <w:color w:val="auto"/>
          <w:szCs w:val="21"/>
        </w:rPr>
        <w:t>时间：2020年</w:t>
      </w:r>
      <w:r>
        <w:rPr>
          <w:rFonts w:hint="eastAsia" w:ascii="宋体" w:hAnsi="宋体" w:cs="宋体"/>
          <w:color w:val="auto"/>
          <w:szCs w:val="21"/>
          <w:lang w:val="en-US" w:eastAsia="zh-CN"/>
        </w:rPr>
        <w:t>11</w:t>
      </w:r>
      <w:r>
        <w:rPr>
          <w:rFonts w:hint="eastAsia" w:ascii="宋体" w:hAnsi="宋体" w:cs="宋体"/>
          <w:color w:val="auto"/>
          <w:szCs w:val="21"/>
        </w:rPr>
        <w:t xml:space="preserve">月 </w:t>
      </w:r>
      <w:r>
        <w:rPr>
          <w:rFonts w:hint="eastAsia" w:ascii="宋体" w:hAnsi="宋体" w:cs="宋体"/>
          <w:color w:val="auto"/>
          <w:szCs w:val="21"/>
          <w:lang w:val="en-US" w:eastAsia="zh-CN"/>
        </w:rPr>
        <w:t>19</w:t>
      </w:r>
      <w:r>
        <w:rPr>
          <w:rFonts w:hint="eastAsia" w:ascii="宋体" w:hAnsi="宋体" w:cs="宋体"/>
          <w:color w:val="auto"/>
          <w:szCs w:val="21"/>
        </w:rPr>
        <w:t xml:space="preserve"> 日至2020年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 xml:space="preserve"> 9</w:t>
      </w:r>
      <w:r>
        <w:rPr>
          <w:rFonts w:hint="eastAsia" w:ascii="宋体" w:hAnsi="宋体" w:cs="宋体"/>
          <w:color w:val="auto"/>
          <w:szCs w:val="21"/>
        </w:rPr>
        <w:t xml:space="preserve"> 日</w:t>
      </w:r>
    </w:p>
    <w:p>
      <w:pPr>
        <w:ind w:firstLine="420"/>
        <w:rPr>
          <w:rFonts w:ascii="宋体" w:hAnsi="宋体" w:cs="宋体"/>
          <w:color w:val="auto"/>
          <w:szCs w:val="21"/>
        </w:rPr>
      </w:pPr>
      <w:r>
        <w:rPr>
          <w:rFonts w:hint="eastAsia" w:ascii="宋体" w:hAnsi="宋体" w:cs="宋体"/>
          <w:color w:val="auto"/>
          <w:szCs w:val="21"/>
        </w:rPr>
        <w:t xml:space="preserve">2.地点（网址）： https://www.zcygov.cn </w:t>
      </w:r>
    </w:p>
    <w:p>
      <w:pPr>
        <w:ind w:firstLine="420"/>
        <w:rPr>
          <w:rFonts w:ascii="宋体" w:hAnsi="宋体" w:cs="宋体"/>
          <w:color w:val="auto"/>
          <w:szCs w:val="21"/>
        </w:rPr>
      </w:pPr>
      <w:r>
        <w:rPr>
          <w:rFonts w:hint="eastAsia" w:ascii="宋体" w:hAnsi="宋体" w:cs="宋体"/>
          <w:color w:val="auto"/>
          <w:szCs w:val="21"/>
        </w:rPr>
        <w:t xml:space="preserve">3.方式：线上获取 </w:t>
      </w:r>
    </w:p>
    <w:p>
      <w:pPr>
        <w:ind w:firstLine="420"/>
        <w:rPr>
          <w:color w:val="auto"/>
        </w:rPr>
      </w:pPr>
      <w:r>
        <w:rPr>
          <w:rFonts w:hint="eastAsia" w:ascii="宋体" w:hAnsi="宋体" w:cs="宋体"/>
          <w:color w:val="auto"/>
          <w:szCs w:val="21"/>
        </w:rPr>
        <w:t xml:space="preserve">4.售价（元）： 0 </w:t>
      </w:r>
    </w:p>
    <w:p>
      <w:pPr>
        <w:pStyle w:val="6"/>
        <w:rPr>
          <w:rFonts w:ascii="宋体" w:hAnsi="宋体" w:cs="宋体"/>
          <w:b w:val="0"/>
          <w:color w:val="auto"/>
          <w:szCs w:val="21"/>
        </w:rPr>
      </w:pPr>
      <w:bookmarkStart w:id="28" w:name="_Toc28359082"/>
      <w:bookmarkStart w:id="29" w:name="_Toc28359005"/>
      <w:bookmarkStart w:id="30" w:name="_Toc50450137"/>
      <w:bookmarkStart w:id="31" w:name="_Toc35393624"/>
      <w:bookmarkStart w:id="32" w:name="_Toc44663288"/>
      <w:bookmarkStart w:id="33" w:name="_Toc44580587"/>
      <w:bookmarkStart w:id="34" w:name="_Toc35393793"/>
      <w:bookmarkStart w:id="35" w:name="_Toc44758343"/>
      <w:r>
        <w:rPr>
          <w:rFonts w:hint="eastAsia" w:ascii="宋体" w:hAnsi="宋体" w:cs="宋体"/>
          <w:b w:val="0"/>
          <w:color w:val="auto"/>
          <w:szCs w:val="21"/>
        </w:rPr>
        <w:t>四、提交投标文件</w:t>
      </w:r>
      <w:bookmarkEnd w:id="28"/>
      <w:bookmarkEnd w:id="29"/>
      <w:r>
        <w:rPr>
          <w:rFonts w:hint="eastAsia" w:ascii="宋体" w:hAnsi="宋体" w:cs="宋体"/>
          <w:b w:val="0"/>
          <w:color w:val="auto"/>
          <w:szCs w:val="21"/>
        </w:rPr>
        <w:t>截止时间、开标时间和地点</w:t>
      </w:r>
      <w:bookmarkEnd w:id="30"/>
      <w:bookmarkEnd w:id="31"/>
      <w:bookmarkEnd w:id="32"/>
      <w:bookmarkEnd w:id="33"/>
      <w:bookmarkEnd w:id="34"/>
      <w:bookmarkEnd w:id="35"/>
    </w:p>
    <w:p>
      <w:pPr>
        <w:widowControl/>
        <w:spacing w:before="75" w:after="75"/>
        <w:ind w:firstLine="426" w:firstLineChars="0"/>
        <w:jc w:val="left"/>
        <w:rPr>
          <w:rFonts w:ascii="宋体" w:hAnsi="宋体" w:cs="Arial"/>
          <w:color w:val="auto"/>
          <w:kern w:val="0"/>
          <w:szCs w:val="21"/>
        </w:rPr>
      </w:pPr>
      <w:bookmarkStart w:id="36" w:name="_Toc28359007"/>
      <w:bookmarkStart w:id="37" w:name="_Toc35393625"/>
      <w:bookmarkStart w:id="38" w:name="_Toc28359084"/>
      <w:bookmarkStart w:id="39" w:name="_Toc35393794"/>
      <w:r>
        <w:rPr>
          <w:rFonts w:hint="eastAsia" w:ascii="宋体" w:hAnsi="宋体" w:cs="宋体"/>
          <w:color w:val="auto"/>
          <w:szCs w:val="21"/>
        </w:rPr>
        <w:t>1</w:t>
      </w:r>
      <w:r>
        <w:rPr>
          <w:rFonts w:hint="eastAsia" w:ascii="宋体" w:hAnsi="宋体"/>
          <w:color w:val="auto"/>
          <w:szCs w:val="21"/>
        </w:rPr>
        <w:t>.</w:t>
      </w:r>
      <w:r>
        <w:rPr>
          <w:rFonts w:ascii="宋体" w:hAnsi="宋体" w:cs="Arial"/>
          <w:color w:val="auto"/>
          <w:kern w:val="0"/>
          <w:szCs w:val="21"/>
        </w:rPr>
        <w:t>提交投标文件截止时间</w:t>
      </w:r>
      <w:r>
        <w:rPr>
          <w:rFonts w:hint="eastAsia" w:ascii="宋体" w:hAnsi="宋体" w:cs="Arial"/>
          <w:color w:val="auto"/>
          <w:kern w:val="0"/>
          <w:szCs w:val="21"/>
        </w:rPr>
        <w:t>、</w:t>
      </w:r>
      <w:r>
        <w:rPr>
          <w:rFonts w:ascii="宋体" w:hAnsi="宋体" w:cs="Arial"/>
          <w:color w:val="auto"/>
          <w:kern w:val="0"/>
          <w:szCs w:val="21"/>
        </w:rPr>
        <w:t>开标时间： 2020年</w:t>
      </w:r>
      <w:r>
        <w:rPr>
          <w:rFonts w:hint="eastAsia" w:ascii="宋体" w:hAnsi="宋体" w:cs="Arial"/>
          <w:color w:val="auto"/>
          <w:kern w:val="0"/>
          <w:szCs w:val="21"/>
          <w:lang w:val="en-US" w:eastAsia="zh-CN"/>
        </w:rPr>
        <w:t>12</w:t>
      </w:r>
      <w:r>
        <w:rPr>
          <w:rFonts w:ascii="宋体" w:hAnsi="宋体" w:cs="Arial"/>
          <w:color w:val="auto"/>
          <w:kern w:val="0"/>
          <w:szCs w:val="21"/>
        </w:rPr>
        <w:t>月</w:t>
      </w:r>
      <w:r>
        <w:rPr>
          <w:rFonts w:hint="eastAsia" w:ascii="宋体" w:hAnsi="宋体" w:cs="Arial"/>
          <w:color w:val="auto"/>
          <w:kern w:val="0"/>
          <w:szCs w:val="21"/>
          <w:lang w:val="en-US" w:eastAsia="zh-CN"/>
        </w:rPr>
        <w:t xml:space="preserve"> 9 </w:t>
      </w:r>
      <w:r>
        <w:rPr>
          <w:rFonts w:ascii="宋体" w:hAnsi="宋体" w:cs="Arial"/>
          <w:color w:val="auto"/>
          <w:kern w:val="0"/>
          <w:szCs w:val="21"/>
        </w:rPr>
        <w:t>日</w:t>
      </w:r>
      <w:r>
        <w:rPr>
          <w:rFonts w:hint="eastAsia" w:ascii="宋体" w:hAnsi="宋体" w:cs="Arial"/>
          <w:color w:val="auto"/>
          <w:kern w:val="0"/>
          <w:szCs w:val="21"/>
        </w:rPr>
        <w:t>9</w:t>
      </w:r>
      <w:r>
        <w:rPr>
          <w:rFonts w:ascii="宋体" w:hAnsi="宋体" w:cs="Arial"/>
          <w:color w:val="auto"/>
          <w:kern w:val="0"/>
          <w:szCs w:val="21"/>
        </w:rPr>
        <w:t>:</w:t>
      </w:r>
      <w:r>
        <w:rPr>
          <w:rFonts w:hint="eastAsia" w:ascii="宋体" w:hAnsi="宋体" w:cs="Arial"/>
          <w:color w:val="auto"/>
          <w:kern w:val="0"/>
          <w:szCs w:val="21"/>
        </w:rPr>
        <w:t>0</w:t>
      </w:r>
      <w:r>
        <w:rPr>
          <w:rFonts w:ascii="宋体" w:hAnsi="宋体" w:cs="Arial"/>
          <w:color w:val="auto"/>
          <w:kern w:val="0"/>
          <w:szCs w:val="21"/>
        </w:rPr>
        <w:t>0（北京时间）</w:t>
      </w:r>
    </w:p>
    <w:p>
      <w:pPr>
        <w:widowControl/>
        <w:spacing w:before="75" w:after="75"/>
        <w:ind w:firstLine="420"/>
        <w:jc w:val="left"/>
        <w:rPr>
          <w:rFonts w:ascii="宋体" w:hAnsi="宋体" w:cs="Arial"/>
          <w:color w:val="auto"/>
          <w:kern w:val="0"/>
          <w:szCs w:val="21"/>
        </w:rPr>
      </w:pPr>
      <w:r>
        <w:rPr>
          <w:rFonts w:hint="eastAsia" w:ascii="宋体" w:hAnsi="宋体" w:cs="宋体"/>
          <w:color w:val="auto"/>
          <w:szCs w:val="21"/>
        </w:rPr>
        <w:t>2</w:t>
      </w:r>
      <w:r>
        <w:rPr>
          <w:rFonts w:hint="eastAsia" w:ascii="宋体" w:hAnsi="宋体"/>
          <w:color w:val="auto"/>
          <w:szCs w:val="21"/>
        </w:rPr>
        <w:t>.</w:t>
      </w:r>
      <w:r>
        <w:rPr>
          <w:rFonts w:ascii="宋体" w:hAnsi="宋体" w:cs="Arial"/>
          <w:color w:val="auto"/>
          <w:kern w:val="0"/>
          <w:szCs w:val="21"/>
        </w:rPr>
        <w:t>投标地点（网址）：</w:t>
      </w:r>
      <w:r>
        <w:rPr>
          <w:rFonts w:hint="eastAsia" w:ascii="宋体" w:hAnsi="宋体" w:cs="Arial"/>
          <w:color w:val="auto"/>
          <w:kern w:val="0"/>
          <w:szCs w:val="21"/>
        </w:rPr>
        <w:t>本项目通过“政府采购云平台（www.zcygov.cn）”在线制作并提交投标文件（电子投标）</w:t>
      </w:r>
    </w:p>
    <w:p>
      <w:pPr>
        <w:widowControl/>
        <w:spacing w:before="75" w:after="75"/>
        <w:ind w:firstLine="420"/>
        <w:jc w:val="left"/>
        <w:rPr>
          <w:rFonts w:ascii="宋体" w:hAnsi="宋体" w:cs="Arial"/>
          <w:color w:val="auto"/>
          <w:kern w:val="0"/>
          <w:szCs w:val="21"/>
        </w:rPr>
      </w:pPr>
      <w:r>
        <w:rPr>
          <w:rFonts w:hint="eastAsia" w:ascii="宋体" w:hAnsi="宋体" w:cs="宋体"/>
          <w:color w:val="auto"/>
          <w:szCs w:val="21"/>
        </w:rPr>
        <w:t>3</w:t>
      </w:r>
      <w:r>
        <w:rPr>
          <w:rFonts w:hint="eastAsia" w:ascii="宋体" w:hAnsi="宋体"/>
          <w:color w:val="auto"/>
          <w:szCs w:val="21"/>
        </w:rPr>
        <w:t>.</w:t>
      </w:r>
      <w:r>
        <w:rPr>
          <w:rFonts w:ascii="宋体" w:hAnsi="宋体" w:cs="Arial"/>
          <w:color w:val="auto"/>
          <w:kern w:val="0"/>
          <w:szCs w:val="21"/>
        </w:rPr>
        <w:t>开标地点（网址）：</w:t>
      </w:r>
      <w:r>
        <w:rPr>
          <w:rFonts w:hint="eastAsia" w:ascii="宋体" w:hAnsi="宋体" w:cs="Arial"/>
          <w:color w:val="auto"/>
          <w:kern w:val="0"/>
          <w:szCs w:val="21"/>
        </w:rPr>
        <w:t>杭州市西湖区万塘路28号浙江信镧建设工程咨询有限公司。(本项目通过“政府采购云平台（www.zcygov.cn）”实行在线开标，投标供应商在线参加开标。)</w:t>
      </w:r>
    </w:p>
    <w:p>
      <w:pPr>
        <w:pStyle w:val="6"/>
        <w:rPr>
          <w:rFonts w:ascii="宋体" w:hAnsi="宋体" w:cs="宋体"/>
          <w:b w:val="0"/>
          <w:color w:val="auto"/>
          <w:szCs w:val="21"/>
        </w:rPr>
      </w:pPr>
      <w:bookmarkStart w:id="40" w:name="_Toc44580588"/>
      <w:bookmarkStart w:id="41" w:name="_Toc44663289"/>
      <w:bookmarkStart w:id="42" w:name="_Toc50450138"/>
      <w:bookmarkStart w:id="43" w:name="_Toc44758344"/>
      <w:r>
        <w:rPr>
          <w:rFonts w:hint="eastAsia" w:ascii="宋体" w:hAnsi="宋体" w:cs="宋体"/>
          <w:b w:val="0"/>
          <w:color w:val="auto"/>
          <w:szCs w:val="21"/>
        </w:rPr>
        <w:t>五、公告期限</w:t>
      </w:r>
      <w:bookmarkEnd w:id="36"/>
      <w:bookmarkEnd w:id="37"/>
      <w:bookmarkEnd w:id="38"/>
      <w:bookmarkEnd w:id="39"/>
      <w:bookmarkEnd w:id="40"/>
      <w:bookmarkEnd w:id="41"/>
      <w:bookmarkEnd w:id="42"/>
      <w:bookmarkEnd w:id="43"/>
    </w:p>
    <w:p>
      <w:pPr>
        <w:ind w:firstLine="420"/>
        <w:rPr>
          <w:rFonts w:ascii="宋体" w:hAnsi="宋体" w:cs="宋体"/>
          <w:color w:val="auto"/>
          <w:kern w:val="0"/>
          <w:szCs w:val="21"/>
        </w:rPr>
      </w:pPr>
      <w:r>
        <w:rPr>
          <w:rFonts w:hint="eastAsia" w:ascii="宋体" w:hAnsi="宋体" w:cs="宋体"/>
          <w:color w:val="auto"/>
          <w:kern w:val="0"/>
          <w:szCs w:val="21"/>
        </w:rPr>
        <w:t>自本公告发布之日起5个工作日。</w:t>
      </w:r>
    </w:p>
    <w:p>
      <w:pPr>
        <w:pStyle w:val="6"/>
        <w:rPr>
          <w:rFonts w:ascii="宋体" w:hAnsi="宋体" w:cs="宋体"/>
          <w:b w:val="0"/>
          <w:color w:val="auto"/>
          <w:szCs w:val="21"/>
        </w:rPr>
      </w:pPr>
      <w:bookmarkStart w:id="44" w:name="_Toc44663290"/>
      <w:bookmarkStart w:id="45" w:name="_Toc50450139"/>
      <w:bookmarkStart w:id="46" w:name="_Toc44580589"/>
      <w:bookmarkStart w:id="47" w:name="_Toc35393626"/>
      <w:bookmarkStart w:id="48" w:name="_Toc35393795"/>
      <w:bookmarkStart w:id="49" w:name="_Toc44758345"/>
      <w:r>
        <w:rPr>
          <w:rFonts w:hint="eastAsia" w:ascii="宋体" w:hAnsi="宋体" w:cs="宋体"/>
          <w:b w:val="0"/>
          <w:color w:val="auto"/>
          <w:szCs w:val="21"/>
        </w:rPr>
        <w:t>六、其他补充事宜</w:t>
      </w:r>
      <w:bookmarkEnd w:id="44"/>
      <w:bookmarkEnd w:id="45"/>
      <w:bookmarkEnd w:id="46"/>
      <w:bookmarkEnd w:id="47"/>
      <w:bookmarkEnd w:id="48"/>
      <w:bookmarkEnd w:id="49"/>
    </w:p>
    <w:p>
      <w:pPr>
        <w:ind w:firstLine="420"/>
        <w:rPr>
          <w:rFonts w:ascii="宋体" w:hAnsi="宋体"/>
          <w:color w:val="auto"/>
        </w:rPr>
      </w:pPr>
      <w:r>
        <w:rPr>
          <w:rFonts w:hint="eastAsia" w:ascii="宋体" w:hAnsi="宋体"/>
          <w:color w:val="auto"/>
        </w:rPr>
        <w:t>1</w:t>
      </w:r>
      <w:r>
        <w:rPr>
          <w:rFonts w:hint="eastAsia" w:ascii="宋体" w:hAnsi="宋体"/>
          <w:color w:val="auto"/>
          <w:szCs w:val="21"/>
        </w:rPr>
        <w:t>.</w:t>
      </w:r>
      <w:r>
        <w:rPr>
          <w:rFonts w:hint="eastAsia" w:ascii="宋体" w:hAnsi="宋体"/>
          <w:color w:val="auto"/>
        </w:rPr>
        <w:t>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一次性提出质疑，逾期不再受理。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20"/>
        <w:rPr>
          <w:rFonts w:ascii="宋体" w:hAnsi="宋体"/>
          <w:color w:val="auto"/>
        </w:rPr>
      </w:pPr>
      <w:r>
        <w:rPr>
          <w:rFonts w:hint="eastAsia" w:ascii="宋体" w:hAnsi="宋体"/>
          <w:color w:val="auto"/>
        </w:rPr>
        <w:t>2</w:t>
      </w:r>
      <w:r>
        <w:rPr>
          <w:rFonts w:hint="eastAsia" w:ascii="宋体" w:hAnsi="宋体"/>
          <w:color w:val="auto"/>
          <w:szCs w:val="21"/>
        </w:rPr>
        <w:t>.</w:t>
      </w:r>
      <w:r>
        <w:rPr>
          <w:rFonts w:hint="eastAsia" w:ascii="宋体" w:hAnsi="宋体"/>
          <w:color w:val="auto"/>
        </w:rPr>
        <w:t xml:space="preserve">其他事项： </w:t>
      </w:r>
    </w:p>
    <w:p>
      <w:pPr>
        <w:ind w:firstLine="420"/>
        <w:rPr>
          <w:rFonts w:ascii="宋体" w:hAnsi="宋体"/>
          <w:color w:val="auto"/>
        </w:rPr>
      </w:pPr>
      <w:bookmarkStart w:id="50" w:name="_Toc35393627"/>
      <w:bookmarkStart w:id="51" w:name="_Toc35393796"/>
      <w:bookmarkStart w:id="52" w:name="_Toc28359085"/>
      <w:bookmarkStart w:id="53" w:name="_Toc28359008"/>
      <w:r>
        <w:rPr>
          <w:rFonts w:hint="eastAsia" w:ascii="宋体" w:hAnsi="宋体"/>
          <w:color w:val="auto"/>
        </w:rPr>
        <w:t>2.1本项目采购文件实行“政府采购云平台”在线获取，不提供采购文件纸质版。不接受现场报名。供应商获取采购文件前应先完成“政府采购云平台”的账号注册；</w:t>
      </w:r>
    </w:p>
    <w:p>
      <w:pPr>
        <w:ind w:firstLine="420"/>
        <w:rPr>
          <w:rFonts w:ascii="宋体" w:hAnsi="宋体"/>
          <w:color w:val="auto"/>
        </w:rPr>
      </w:pPr>
      <w:r>
        <w:rPr>
          <w:rFonts w:hint="eastAsia" w:ascii="宋体" w:hAnsi="宋体"/>
          <w:color w:val="auto"/>
        </w:rPr>
        <w:t>2.2供应商只有在“政府采购云平台”完成获取采购文件申请并下载了采购文件后才视作依法获取采购文件（法律法规所指的供应商获取采购文件时间，以供应商完成获取采购文件申请后下载采购文件的时间为准）。（进入“项目采购”应用，在获取招标文件菜单中选择项目，申请获取采购文件）</w:t>
      </w:r>
    </w:p>
    <w:p>
      <w:pPr>
        <w:ind w:firstLine="420"/>
        <w:rPr>
          <w:rFonts w:ascii="宋体" w:hAnsi="宋体"/>
          <w:color w:val="auto"/>
        </w:rPr>
      </w:pPr>
      <w:r>
        <w:rPr>
          <w:rFonts w:hint="eastAsia" w:ascii="宋体" w:hAnsi="宋体"/>
          <w:color w:val="auto"/>
        </w:rPr>
        <w:t>2.3通过本公告下方“游客，浏览采购文件”下载的采购文件仅供浏览。</w:t>
      </w:r>
    </w:p>
    <w:p>
      <w:pPr>
        <w:ind w:firstLine="420"/>
        <w:rPr>
          <w:rFonts w:ascii="宋体" w:hAnsi="宋体"/>
          <w:color w:val="auto"/>
        </w:rPr>
      </w:pPr>
      <w:r>
        <w:rPr>
          <w:rFonts w:hint="eastAsia" w:ascii="宋体" w:hAnsi="宋体"/>
          <w:color w:val="auto"/>
        </w:rPr>
        <w:t>2.4提示：请供应商按上述要求在政采云平台在线申请获取采购文件并下载，如未在“政采云”系统内完成相关流程，引起的投标无效责任自负。</w:t>
      </w:r>
    </w:p>
    <w:p>
      <w:pPr>
        <w:ind w:firstLine="420"/>
        <w:rPr>
          <w:rFonts w:ascii="宋体" w:hAnsi="宋体"/>
          <w:color w:val="auto"/>
        </w:rPr>
      </w:pPr>
      <w:r>
        <w:rPr>
          <w:rFonts w:hint="eastAsia" w:ascii="宋体" w:hAnsi="宋体"/>
          <w:color w:val="auto"/>
        </w:rPr>
        <w:t>2.5获取采购文件的时间期限截止之日后有潜在供应商提出获取采购文件的，采购机构将允许其获取，但该供应商如对招标文件有异议的，应于自采购公告期限届满之日起七个工作日内以书面形式向采购机构提出。</w:t>
      </w:r>
    </w:p>
    <w:p>
      <w:pPr>
        <w:ind w:firstLine="420"/>
        <w:rPr>
          <w:rFonts w:ascii="宋体" w:hAnsi="宋体"/>
          <w:color w:val="auto"/>
        </w:rPr>
      </w:pPr>
      <w:r>
        <w:rPr>
          <w:rFonts w:hint="eastAsia" w:ascii="宋体" w:hAnsi="宋体"/>
          <w:color w:val="auto"/>
        </w:rPr>
        <w:t>3、在线投标（电子投标）说明</w:t>
      </w:r>
    </w:p>
    <w:p>
      <w:pPr>
        <w:ind w:firstLine="420"/>
        <w:rPr>
          <w:rFonts w:ascii="宋体" w:hAnsi="宋体"/>
          <w:color w:val="auto"/>
        </w:rPr>
      </w:pPr>
      <w:r>
        <w:rPr>
          <w:rFonts w:hint="eastAsia" w:ascii="宋体" w:hAnsi="宋体"/>
          <w:color w:val="auto"/>
        </w:rPr>
        <w:t>3.1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pPr>
        <w:ind w:firstLine="420"/>
        <w:rPr>
          <w:rFonts w:ascii="宋体" w:hAnsi="宋体"/>
          <w:color w:val="auto"/>
        </w:rPr>
      </w:pPr>
      <w:r>
        <w:rPr>
          <w:rFonts w:hint="eastAsia" w:ascii="宋体" w:hAnsi="宋体"/>
          <w:color w:val="auto"/>
        </w:rPr>
        <w:t>3.2“政采云电子交易客户端”请自行前往“浙江政府采购网-下载专区-电子交易客户端”进行下载；电子投标具体操作流程详见本公告附件《供应商项目采购-电子招投标操作指南》。</w:t>
      </w:r>
    </w:p>
    <w:p>
      <w:pPr>
        <w:ind w:firstLine="420"/>
        <w:rPr>
          <w:rFonts w:ascii="宋体" w:hAnsi="宋体"/>
          <w:color w:val="auto"/>
        </w:rPr>
      </w:pPr>
      <w:r>
        <w:rPr>
          <w:rFonts w:hint="eastAsia" w:ascii="宋体" w:hAnsi="宋体"/>
          <w:color w:val="auto"/>
        </w:rPr>
        <w:t>3.3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ind w:firstLine="420"/>
        <w:rPr>
          <w:rFonts w:ascii="宋体" w:hAnsi="宋体"/>
          <w:color w:val="auto"/>
        </w:rPr>
      </w:pPr>
      <w:r>
        <w:rPr>
          <w:rFonts w:hint="eastAsia" w:ascii="宋体" w:hAnsi="宋体"/>
          <w:color w:val="auto"/>
        </w:rPr>
        <w:t>3.4投标供应商应当在投标截止时间前，将生成的“电子加密投标文件”上传递交至“政府采购云平台”。投标截止时间以后上传递交的投标文件将被“政府采购云平台”拒收。</w:t>
      </w:r>
    </w:p>
    <w:p>
      <w:pPr>
        <w:ind w:firstLine="420"/>
        <w:rPr>
          <w:rFonts w:ascii="宋体" w:hAnsi="宋体"/>
          <w:color w:val="auto"/>
        </w:rPr>
      </w:pPr>
      <w:r>
        <w:rPr>
          <w:rFonts w:hint="eastAsia" w:ascii="宋体" w:hAnsi="宋体"/>
          <w:color w:val="auto"/>
        </w:rPr>
        <w:t>3.5投标供应商在“政府采购云平台”完成“电子加密投标文件”的上传递交后，还可以（邮寄或现场提交形式）在投标截止时间前递交以介质（U盘）存储的数据电文形式的“备份投标文件”，“备份投标文件”应当密封包装并在包装上标注所投项目名称、项目编号、投标单位名称、备份投标文件字样并加盖公章。</w:t>
      </w:r>
    </w:p>
    <w:p>
      <w:pPr>
        <w:ind w:firstLine="420"/>
        <w:rPr>
          <w:rFonts w:ascii="宋体" w:hAnsi="宋体"/>
          <w:color w:val="auto"/>
        </w:rPr>
      </w:pPr>
      <w:r>
        <w:rPr>
          <w:rFonts w:hint="eastAsia" w:ascii="宋体" w:hAnsi="宋体"/>
          <w:color w:val="auto"/>
        </w:rPr>
        <w:t>3.6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响应文件的，投标无效。</w:t>
      </w:r>
    </w:p>
    <w:p>
      <w:pPr>
        <w:pStyle w:val="6"/>
        <w:rPr>
          <w:rFonts w:ascii="宋体" w:hAnsi="宋体" w:cs="宋体"/>
          <w:b w:val="0"/>
          <w:color w:val="auto"/>
          <w:szCs w:val="21"/>
        </w:rPr>
      </w:pPr>
      <w:bookmarkStart w:id="54" w:name="_Toc44580590"/>
      <w:bookmarkStart w:id="55" w:name="_Toc44663291"/>
      <w:bookmarkStart w:id="56" w:name="_Toc44758346"/>
      <w:bookmarkStart w:id="57" w:name="_Toc50450140"/>
      <w:r>
        <w:rPr>
          <w:rFonts w:hint="eastAsia" w:ascii="宋体" w:hAnsi="宋体" w:cs="宋体"/>
          <w:b w:val="0"/>
          <w:color w:val="auto"/>
          <w:szCs w:val="21"/>
        </w:rPr>
        <w:t>七、对本次招标提出询问，请按</w:t>
      </w:r>
      <w:r>
        <w:rPr>
          <w:rFonts w:ascii="宋体" w:hAnsi="宋体" w:cs="宋体"/>
          <w:b w:val="0"/>
          <w:color w:val="auto"/>
          <w:szCs w:val="21"/>
        </w:rPr>
        <w:t>以下方式</w:t>
      </w:r>
      <w:r>
        <w:rPr>
          <w:rFonts w:hint="eastAsia" w:ascii="宋体" w:hAnsi="宋体" w:cs="宋体"/>
          <w:b w:val="0"/>
          <w:color w:val="auto"/>
          <w:szCs w:val="21"/>
        </w:rPr>
        <w:t>联系。</w:t>
      </w:r>
      <w:bookmarkEnd w:id="50"/>
      <w:bookmarkEnd w:id="51"/>
      <w:bookmarkEnd w:id="52"/>
      <w:bookmarkEnd w:id="53"/>
      <w:bookmarkEnd w:id="54"/>
      <w:bookmarkEnd w:id="55"/>
      <w:bookmarkEnd w:id="56"/>
      <w:bookmarkEnd w:id="57"/>
    </w:p>
    <w:p>
      <w:pPr>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1.采购人信息</w:t>
      </w:r>
    </w:p>
    <w:p>
      <w:pPr>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名称：中国美术学院</w:t>
      </w:r>
    </w:p>
    <w:p>
      <w:pPr>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kern w:val="0"/>
          <w:sz w:val="21"/>
          <w:szCs w:val="21"/>
        </w:rPr>
        <w:t>杭州上城区南山路218号</w:t>
      </w:r>
    </w:p>
    <w:p>
      <w:pPr>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项目联系人（询问）：</w:t>
      </w:r>
      <w:r>
        <w:rPr>
          <w:rFonts w:hint="eastAsia" w:ascii="宋体" w:hAnsi="宋体" w:cs="宋体"/>
          <w:color w:val="auto"/>
          <w:sz w:val="21"/>
          <w:szCs w:val="21"/>
          <w:lang w:eastAsia="zh-CN"/>
        </w:rPr>
        <w:t>夏</w:t>
      </w:r>
      <w:r>
        <w:rPr>
          <w:rFonts w:hint="eastAsia" w:ascii="宋体" w:hAnsi="宋体" w:eastAsia="宋体" w:cs="宋体"/>
          <w:color w:val="auto"/>
          <w:sz w:val="21"/>
          <w:szCs w:val="21"/>
        </w:rPr>
        <w:t>老师</w:t>
      </w:r>
    </w:p>
    <w:p>
      <w:pPr>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联系电话（询问）：</w:t>
      </w:r>
      <w:r>
        <w:rPr>
          <w:rFonts w:hint="eastAsia" w:ascii="宋体" w:hAnsi="宋体" w:eastAsia="宋体" w:cs="宋体"/>
          <w:color w:val="auto"/>
          <w:kern w:val="0"/>
          <w:sz w:val="21"/>
          <w:szCs w:val="21"/>
        </w:rPr>
        <w:t>0571-87164696</w:t>
      </w:r>
    </w:p>
    <w:p>
      <w:pPr>
        <w:ind w:firstLine="42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质疑联系人：林</w:t>
      </w:r>
      <w:r>
        <w:rPr>
          <w:rFonts w:hint="eastAsia" w:ascii="宋体" w:hAnsi="宋体" w:eastAsia="宋体" w:cs="宋体"/>
          <w:color w:val="auto"/>
          <w:kern w:val="0"/>
          <w:sz w:val="21"/>
          <w:szCs w:val="21"/>
        </w:rPr>
        <w:t>老师</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hint="eastAsia" w:ascii="宋体" w:hAnsi="宋体" w:eastAsia="宋体" w:cs="宋体"/>
          <w:color w:val="auto"/>
          <w:sz w:val="21"/>
          <w:szCs w:val="21"/>
        </w:rPr>
        <w:t>质疑联系方式：</w:t>
      </w:r>
      <w:r>
        <w:rPr>
          <w:rFonts w:hint="eastAsia" w:ascii="宋体" w:hAnsi="宋体" w:eastAsia="宋体" w:cs="宋体"/>
          <w:color w:val="auto"/>
          <w:kern w:val="0"/>
          <w:sz w:val="21"/>
          <w:szCs w:val="21"/>
        </w:rPr>
        <w:t>0571-87164696</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2.采购代理机构信息</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名称：</w:t>
      </w:r>
      <w:r>
        <w:rPr>
          <w:rStyle w:val="71"/>
          <w:rFonts w:ascii="宋体" w:hAnsi="宋体" w:eastAsia="宋体" w:cs="Arial"/>
          <w:color w:val="auto"/>
          <w:sz w:val="21"/>
          <w:szCs w:val="21"/>
        </w:rPr>
        <w:t>浙江信镧建设工程咨询有限公司</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地址：</w:t>
      </w:r>
      <w:r>
        <w:rPr>
          <w:rStyle w:val="71"/>
          <w:rFonts w:ascii="宋体" w:hAnsi="宋体" w:eastAsia="宋体" w:cs="Arial"/>
          <w:color w:val="auto"/>
          <w:sz w:val="21"/>
          <w:szCs w:val="21"/>
        </w:rPr>
        <w:t>浙江省杭州市西湖区万塘路28号</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传真：</w:t>
      </w:r>
      <w:r>
        <w:rPr>
          <w:rStyle w:val="71"/>
          <w:rFonts w:ascii="宋体" w:hAnsi="宋体" w:eastAsia="宋体" w:cs="Arial"/>
          <w:color w:val="auto"/>
          <w:sz w:val="21"/>
          <w:szCs w:val="21"/>
        </w:rPr>
        <w:t>0571-85024997</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项目联系人（询问）：</w:t>
      </w:r>
      <w:r>
        <w:rPr>
          <w:rFonts w:hint="eastAsia" w:ascii="宋体" w:hAnsi="宋体" w:eastAsia="宋体" w:cs="Arial"/>
          <w:color w:val="auto"/>
          <w:sz w:val="21"/>
          <w:szCs w:val="21"/>
        </w:rPr>
        <w:t>陈宏卿</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项目联系方式（询问）：</w:t>
      </w:r>
      <w:r>
        <w:rPr>
          <w:rStyle w:val="71"/>
          <w:rFonts w:ascii="宋体" w:hAnsi="宋体" w:eastAsia="宋体" w:cs="Arial"/>
          <w:color w:val="auto"/>
          <w:sz w:val="21"/>
          <w:szCs w:val="21"/>
        </w:rPr>
        <w:t>0571-87967630</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质疑联系人：</w:t>
      </w:r>
      <w:r>
        <w:rPr>
          <w:rStyle w:val="71"/>
          <w:rFonts w:ascii="宋体" w:hAnsi="宋体" w:eastAsia="宋体" w:cs="Arial"/>
          <w:color w:val="auto"/>
          <w:sz w:val="21"/>
          <w:szCs w:val="21"/>
        </w:rPr>
        <w:t>姚工</w:t>
      </w:r>
    </w:p>
    <w:p>
      <w:pPr>
        <w:pStyle w:val="21"/>
        <w:spacing w:before="75" w:beforeAutospacing="0" w:after="75" w:afterAutospacing="0" w:line="360" w:lineRule="auto"/>
        <w:ind w:firstLine="420" w:firstLineChars="200"/>
        <w:rPr>
          <w:rStyle w:val="71"/>
          <w:rFonts w:ascii="宋体" w:hAnsi="宋体" w:eastAsia="宋体" w:cs="Arial"/>
          <w:color w:val="auto"/>
          <w:sz w:val="21"/>
          <w:szCs w:val="21"/>
        </w:rPr>
      </w:pPr>
      <w:r>
        <w:rPr>
          <w:rFonts w:ascii="宋体" w:hAnsi="宋体" w:eastAsia="宋体" w:cs="Arial"/>
          <w:color w:val="auto"/>
          <w:sz w:val="21"/>
          <w:szCs w:val="21"/>
        </w:rPr>
        <w:t>质疑联系方式：</w:t>
      </w:r>
      <w:r>
        <w:rPr>
          <w:rStyle w:val="71"/>
          <w:rFonts w:ascii="宋体" w:hAnsi="宋体" w:eastAsia="宋体" w:cs="Arial"/>
          <w:color w:val="auto"/>
          <w:sz w:val="21"/>
          <w:szCs w:val="21"/>
        </w:rPr>
        <w:t>0571-87967630</w:t>
      </w:r>
    </w:p>
    <w:p>
      <w:pPr>
        <w:pStyle w:val="3"/>
        <w:ind w:firstLine="422" w:firstLineChars="200"/>
        <w:rPr>
          <w:rFonts w:ascii="宋体" w:hAnsi="宋体" w:eastAsia="宋体" w:cs="宋体"/>
          <w:color w:val="auto"/>
          <w:szCs w:val="21"/>
        </w:rPr>
      </w:pPr>
      <w:r>
        <w:rPr>
          <w:rFonts w:hint="eastAsia" w:ascii="宋体" w:hAnsi="宋体" w:eastAsia="宋体" w:cs="宋体"/>
          <w:b/>
          <w:bCs/>
          <w:color w:val="auto"/>
          <w:szCs w:val="21"/>
        </w:rPr>
        <w:t>投标、中标通知书、合同签订联系人：</w:t>
      </w:r>
      <w:r>
        <w:rPr>
          <w:rFonts w:hint="eastAsia" w:ascii="宋体" w:hAnsi="宋体" w:eastAsia="宋体" w:cs="宋体"/>
          <w:color w:val="auto"/>
          <w:szCs w:val="21"/>
        </w:rPr>
        <w:t>胡校芳 葛长英</w:t>
      </w:r>
    </w:p>
    <w:p>
      <w:pPr>
        <w:pStyle w:val="21"/>
        <w:spacing w:before="75" w:beforeAutospacing="0" w:after="75" w:afterAutospacing="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联系电话：0571-87967630</w:t>
      </w:r>
    </w:p>
    <w:p>
      <w:pPr>
        <w:ind w:firstLine="422"/>
        <w:rPr>
          <w:rFonts w:ascii="宋体" w:hAnsi="宋体" w:cs="宋体"/>
          <w:b/>
          <w:bCs/>
          <w:color w:val="auto"/>
          <w:szCs w:val="21"/>
        </w:rPr>
      </w:pPr>
      <w:r>
        <w:rPr>
          <w:rFonts w:hint="eastAsia" w:ascii="宋体" w:hAnsi="宋体" w:cs="宋体"/>
          <w:b/>
          <w:bCs/>
          <w:color w:val="auto"/>
          <w:szCs w:val="21"/>
        </w:rPr>
        <w:t>财务咨询（采购文件费、发票）联系人：</w:t>
      </w:r>
      <w:r>
        <w:rPr>
          <w:rFonts w:hint="eastAsia" w:ascii="宋体" w:hAnsi="宋体" w:cs="宋体"/>
          <w:bCs/>
          <w:color w:val="auto"/>
          <w:szCs w:val="21"/>
        </w:rPr>
        <w:t>丁会计</w:t>
      </w:r>
    </w:p>
    <w:p>
      <w:pPr>
        <w:ind w:firstLine="420"/>
        <w:rPr>
          <w:rFonts w:ascii="宋体" w:hAnsi="宋体" w:cs="宋体"/>
          <w:color w:val="auto"/>
          <w:szCs w:val="21"/>
        </w:rPr>
      </w:pPr>
      <w:r>
        <w:rPr>
          <w:rFonts w:hint="eastAsia" w:ascii="宋体" w:hAnsi="宋体" w:cs="宋体"/>
          <w:color w:val="auto"/>
          <w:szCs w:val="21"/>
        </w:rPr>
        <w:t>联系电话：18905813512</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3.同级政府采购监督管理部门</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名称：</w:t>
      </w:r>
      <w:r>
        <w:rPr>
          <w:rStyle w:val="71"/>
          <w:rFonts w:ascii="宋体" w:hAnsi="宋体" w:eastAsia="宋体" w:cs="Arial"/>
          <w:color w:val="auto"/>
          <w:sz w:val="21"/>
          <w:szCs w:val="21"/>
        </w:rPr>
        <w:t>浙江省财政厅政府采购监管处</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地址：</w:t>
      </w:r>
      <w:r>
        <w:rPr>
          <w:rStyle w:val="71"/>
          <w:rFonts w:ascii="宋体" w:hAnsi="宋体" w:eastAsia="宋体" w:cs="Arial"/>
          <w:color w:val="auto"/>
          <w:sz w:val="21"/>
          <w:szCs w:val="21"/>
        </w:rPr>
        <w:t>杭州市环城西路37号</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联系人：</w:t>
      </w:r>
      <w:r>
        <w:rPr>
          <w:rStyle w:val="71"/>
          <w:rFonts w:ascii="宋体" w:hAnsi="宋体" w:eastAsia="宋体" w:cs="Arial"/>
          <w:color w:val="auto"/>
          <w:sz w:val="21"/>
          <w:szCs w:val="21"/>
        </w:rPr>
        <w:t>倪文良</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监督投诉电话：</w:t>
      </w:r>
      <w:r>
        <w:rPr>
          <w:rStyle w:val="71"/>
          <w:rFonts w:ascii="宋体" w:hAnsi="宋体" w:eastAsia="宋体" w:cs="Arial"/>
          <w:color w:val="auto"/>
          <w:sz w:val="21"/>
          <w:szCs w:val="21"/>
        </w:rPr>
        <w:t>0571-87057615</w:t>
      </w:r>
    </w:p>
    <w:p>
      <w:pPr>
        <w:ind w:firstLine="420"/>
        <w:rPr>
          <w:color w:val="auto"/>
        </w:rPr>
      </w:pPr>
    </w:p>
    <w:bookmarkEnd w:id="0"/>
    <w:p>
      <w:pPr>
        <w:pStyle w:val="3"/>
        <w:ind w:firstLine="210"/>
        <w:rPr>
          <w:color w:val="auto"/>
        </w:rPr>
      </w:pPr>
      <w:bookmarkStart w:id="58" w:name="_Toc452457412"/>
      <w:r>
        <w:rPr>
          <w:color w:val="auto"/>
        </w:rPr>
        <w:br w:type="page"/>
      </w:r>
    </w:p>
    <w:p>
      <w:pPr>
        <w:pStyle w:val="5"/>
        <w:ind w:firstLine="482"/>
        <w:rPr>
          <w:color w:val="auto"/>
        </w:rPr>
      </w:pPr>
      <w:bookmarkStart w:id="59" w:name="_Toc50450141"/>
      <w:r>
        <w:rPr>
          <w:rFonts w:hint="eastAsia"/>
          <w:color w:val="auto"/>
        </w:rPr>
        <w:t>第一章投标人须知前附表</w:t>
      </w:r>
      <w:bookmarkEnd w:id="58"/>
      <w:bookmarkEnd w:id="59"/>
    </w:p>
    <w:tbl>
      <w:tblPr>
        <w:tblStyle w:val="23"/>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ind w:firstLine="0" w:firstLineChars="0"/>
              <w:rPr>
                <w:color w:val="auto"/>
                <w:szCs w:val="21"/>
              </w:rPr>
            </w:pPr>
            <w:r>
              <w:rPr>
                <w:rFonts w:hint="eastAsia"/>
                <w:color w:val="auto"/>
                <w:szCs w:val="21"/>
              </w:rPr>
              <w:t>条款号</w:t>
            </w:r>
          </w:p>
        </w:tc>
        <w:tc>
          <w:tcPr>
            <w:tcW w:w="1997" w:type="dxa"/>
            <w:vAlign w:val="center"/>
          </w:tcPr>
          <w:p>
            <w:pPr>
              <w:ind w:firstLine="0" w:firstLineChars="0"/>
              <w:jc w:val="center"/>
              <w:rPr>
                <w:color w:val="auto"/>
                <w:szCs w:val="21"/>
              </w:rPr>
            </w:pPr>
            <w:r>
              <w:rPr>
                <w:rFonts w:hint="eastAsia"/>
                <w:color w:val="auto"/>
                <w:szCs w:val="21"/>
              </w:rPr>
              <w:t>条款名称</w:t>
            </w:r>
          </w:p>
        </w:tc>
        <w:tc>
          <w:tcPr>
            <w:tcW w:w="6448" w:type="dxa"/>
            <w:vAlign w:val="center"/>
          </w:tcPr>
          <w:p>
            <w:pPr>
              <w:ind w:firstLine="420"/>
              <w:jc w:val="center"/>
              <w:rPr>
                <w:color w:val="auto"/>
                <w:szCs w:val="21"/>
              </w:rPr>
            </w:pPr>
            <w:r>
              <w:rPr>
                <w:rFonts w:hint="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2"/>
              </w:numPr>
              <w:spacing w:before="24" w:beforeLines="10"/>
              <w:ind w:firstLineChars="0"/>
              <w:jc w:val="center"/>
              <w:rPr>
                <w:rFonts w:ascii="宋体" w:cs="宋体"/>
                <w:b/>
                <w:bCs/>
                <w:color w:val="auto"/>
                <w:kern w:val="0"/>
                <w:sz w:val="24"/>
                <w:szCs w:val="21"/>
              </w:rPr>
            </w:pPr>
          </w:p>
        </w:tc>
        <w:tc>
          <w:tcPr>
            <w:tcW w:w="1997" w:type="dxa"/>
            <w:vAlign w:val="center"/>
          </w:tcPr>
          <w:p>
            <w:pPr>
              <w:ind w:firstLine="0" w:firstLineChars="0"/>
              <w:jc w:val="center"/>
              <w:rPr>
                <w:color w:val="auto"/>
                <w:szCs w:val="21"/>
              </w:rPr>
            </w:pPr>
            <w:r>
              <w:rPr>
                <w:rFonts w:hint="eastAsia"/>
                <w:color w:val="auto"/>
                <w:szCs w:val="21"/>
              </w:rPr>
              <w:t>采购人</w:t>
            </w:r>
          </w:p>
        </w:tc>
        <w:tc>
          <w:tcPr>
            <w:tcW w:w="6448" w:type="dxa"/>
            <w:vAlign w:val="center"/>
          </w:tcPr>
          <w:p>
            <w:pPr>
              <w:ind w:firstLine="420"/>
              <w:rPr>
                <w:rFonts w:hint="eastAsia" w:ascii="宋体" w:hAnsi="宋体" w:cs="宋体"/>
                <w:color w:val="auto"/>
                <w:szCs w:val="21"/>
              </w:rPr>
            </w:pPr>
            <w:r>
              <w:rPr>
                <w:rFonts w:hint="eastAsia" w:ascii="宋体" w:hAnsi="宋体" w:cs="宋体"/>
                <w:color w:val="auto"/>
                <w:szCs w:val="21"/>
              </w:rPr>
              <w:t>名称：中国美术学院</w:t>
            </w:r>
          </w:p>
          <w:p>
            <w:pPr>
              <w:ind w:firstLine="420"/>
              <w:rPr>
                <w:rFonts w:hint="eastAsia" w:ascii="宋体" w:hAnsi="宋体" w:cs="宋体"/>
                <w:color w:val="auto"/>
                <w:szCs w:val="21"/>
              </w:rPr>
            </w:pPr>
            <w:r>
              <w:rPr>
                <w:rFonts w:hint="eastAsia" w:ascii="宋体" w:hAnsi="宋体" w:cs="宋体"/>
                <w:color w:val="auto"/>
                <w:szCs w:val="21"/>
              </w:rPr>
              <w:t>地址：</w:t>
            </w:r>
            <w:r>
              <w:rPr>
                <w:rFonts w:hint="eastAsia" w:ascii="宋体" w:hAnsi="宋体"/>
                <w:color w:val="auto"/>
                <w:kern w:val="0"/>
                <w:szCs w:val="21"/>
              </w:rPr>
              <w:t>杭州上城区南山路218号</w:t>
            </w:r>
          </w:p>
          <w:p>
            <w:pPr>
              <w:ind w:firstLine="420"/>
              <w:rPr>
                <w:rFonts w:hint="eastAsia"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eastAsia="zh-CN"/>
              </w:rPr>
              <w:t>陈</w:t>
            </w:r>
            <w:r>
              <w:rPr>
                <w:rFonts w:hint="eastAsia" w:ascii="宋体" w:hAnsi="宋体" w:cs="宋体"/>
                <w:color w:val="auto"/>
                <w:szCs w:val="21"/>
              </w:rPr>
              <w:t>老师</w:t>
            </w:r>
          </w:p>
          <w:p>
            <w:pPr>
              <w:ind w:firstLine="420"/>
              <w:rPr>
                <w:color w:val="auto"/>
              </w:rPr>
            </w:pPr>
            <w:r>
              <w:rPr>
                <w:rFonts w:hint="eastAsia" w:ascii="宋体" w:hAnsi="宋体" w:cs="宋体"/>
                <w:color w:val="auto"/>
                <w:szCs w:val="21"/>
              </w:rPr>
              <w:t>电话：</w:t>
            </w:r>
            <w:r>
              <w:rPr>
                <w:rFonts w:hint="eastAsia" w:ascii="宋体" w:hAnsi="宋体" w:cs="宋体"/>
                <w:color w:val="auto"/>
                <w:kern w:val="0"/>
              </w:rPr>
              <w:t>0571-87164696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2"/>
              </w:numPr>
              <w:spacing w:before="24" w:beforeLines="10"/>
              <w:ind w:firstLineChars="0"/>
              <w:jc w:val="center"/>
              <w:rPr>
                <w:rFonts w:ascii="宋体" w:cs="宋体"/>
                <w:b/>
                <w:bCs/>
                <w:color w:val="auto"/>
                <w:kern w:val="0"/>
                <w:szCs w:val="21"/>
              </w:rPr>
            </w:pPr>
          </w:p>
        </w:tc>
        <w:tc>
          <w:tcPr>
            <w:tcW w:w="1997" w:type="dxa"/>
            <w:vAlign w:val="center"/>
          </w:tcPr>
          <w:p>
            <w:pPr>
              <w:ind w:firstLine="0" w:firstLineChars="0"/>
              <w:jc w:val="center"/>
              <w:rPr>
                <w:color w:val="auto"/>
                <w:szCs w:val="21"/>
              </w:rPr>
            </w:pPr>
            <w:r>
              <w:rPr>
                <w:rFonts w:hint="eastAsia"/>
                <w:color w:val="auto"/>
                <w:szCs w:val="21"/>
              </w:rPr>
              <w:t>采购代理机构</w:t>
            </w:r>
          </w:p>
        </w:tc>
        <w:tc>
          <w:tcPr>
            <w:tcW w:w="6448" w:type="dxa"/>
            <w:vAlign w:val="center"/>
          </w:tcPr>
          <w:p>
            <w:pPr>
              <w:ind w:firstLine="420"/>
              <w:rPr>
                <w:color w:val="auto"/>
                <w:szCs w:val="21"/>
              </w:rPr>
            </w:pPr>
            <w:r>
              <w:rPr>
                <w:rFonts w:hint="eastAsia"/>
                <w:color w:val="auto"/>
                <w:szCs w:val="21"/>
              </w:rPr>
              <w:t>名称：浙江信镧建设工程咨询有限公司</w:t>
            </w:r>
          </w:p>
          <w:p>
            <w:pPr>
              <w:ind w:firstLine="420"/>
              <w:rPr>
                <w:color w:val="auto"/>
                <w:szCs w:val="21"/>
              </w:rPr>
            </w:pPr>
            <w:r>
              <w:rPr>
                <w:rFonts w:hint="eastAsia"/>
                <w:color w:val="auto"/>
                <w:szCs w:val="21"/>
              </w:rPr>
              <w:t>地址：浙江杭州市</w:t>
            </w:r>
            <w:r>
              <w:rPr>
                <w:rFonts w:hint="eastAsia" w:ascii="Arial" w:hAnsi="Arial"/>
                <w:color w:val="auto"/>
              </w:rPr>
              <w:t>西湖区万塘路28号</w:t>
            </w:r>
          </w:p>
          <w:p>
            <w:pPr>
              <w:ind w:firstLine="420"/>
              <w:rPr>
                <w:color w:val="auto"/>
                <w:szCs w:val="21"/>
              </w:rPr>
            </w:pPr>
            <w:r>
              <w:rPr>
                <w:rFonts w:hint="eastAsia"/>
                <w:color w:val="auto"/>
                <w:szCs w:val="21"/>
              </w:rPr>
              <w:t>项目联系人：</w:t>
            </w:r>
            <w:r>
              <w:rPr>
                <w:rFonts w:hint="eastAsia" w:ascii="宋体" w:hAnsi="宋体"/>
                <w:color w:val="auto"/>
              </w:rPr>
              <w:t>陈宏卿</w:t>
            </w:r>
          </w:p>
          <w:p>
            <w:pPr>
              <w:ind w:firstLine="420"/>
              <w:rPr>
                <w:color w:val="auto"/>
                <w:szCs w:val="21"/>
              </w:rPr>
            </w:pPr>
            <w:r>
              <w:rPr>
                <w:rFonts w:hint="eastAsia"/>
                <w:color w:val="auto"/>
                <w:szCs w:val="21"/>
              </w:rPr>
              <w:t>电话：</w:t>
            </w:r>
            <w:r>
              <w:rPr>
                <w:color w:val="auto"/>
                <w:szCs w:val="21"/>
              </w:rPr>
              <w:t>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2"/>
              </w:numPr>
              <w:spacing w:before="24" w:beforeLines="10"/>
              <w:ind w:firstLineChars="0"/>
              <w:jc w:val="center"/>
              <w:rPr>
                <w:rFonts w:ascii="宋体"/>
                <w:b/>
                <w:bCs/>
                <w:color w:val="auto"/>
              </w:rPr>
            </w:pPr>
          </w:p>
        </w:tc>
        <w:tc>
          <w:tcPr>
            <w:tcW w:w="1997" w:type="dxa"/>
            <w:vAlign w:val="center"/>
          </w:tcPr>
          <w:p>
            <w:pPr>
              <w:spacing w:before="24" w:beforeLines="10"/>
              <w:ind w:firstLine="0" w:firstLineChars="0"/>
              <w:jc w:val="center"/>
              <w:rPr>
                <w:rFonts w:ascii="宋体"/>
                <w:color w:val="auto"/>
              </w:rPr>
            </w:pPr>
            <w:r>
              <w:rPr>
                <w:rFonts w:hint="eastAsia" w:ascii="宋体" w:hAnsi="宋体"/>
                <w:color w:val="auto"/>
              </w:rPr>
              <w:t>采购方式</w:t>
            </w:r>
          </w:p>
        </w:tc>
        <w:tc>
          <w:tcPr>
            <w:tcW w:w="6448" w:type="dxa"/>
            <w:vAlign w:val="center"/>
          </w:tcPr>
          <w:p>
            <w:pPr>
              <w:spacing w:before="24" w:beforeLines="10"/>
              <w:ind w:firstLine="420"/>
              <w:jc w:val="left"/>
              <w:rPr>
                <w:rFonts w:ascii="宋体"/>
                <w:color w:val="auto"/>
              </w:rPr>
            </w:pPr>
            <w:r>
              <w:rPr>
                <w:rFonts w:hint="eastAsia" w:ascii="宋体" w:hAnsi="宋体"/>
                <w:color w:val="auto"/>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2"/>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color w:val="auto"/>
              </w:rPr>
            </w:pPr>
            <w:r>
              <w:rPr>
                <w:rFonts w:hint="eastAsia" w:ascii="宋体"/>
                <w:color w:val="auto"/>
              </w:rPr>
              <w:t>分包或转包</w:t>
            </w:r>
          </w:p>
        </w:tc>
        <w:tc>
          <w:tcPr>
            <w:tcW w:w="6448" w:type="dxa"/>
            <w:vAlign w:val="center"/>
          </w:tcPr>
          <w:p>
            <w:pPr>
              <w:spacing w:before="24" w:beforeLines="10"/>
              <w:ind w:firstLine="420"/>
              <w:jc w:val="left"/>
              <w:rPr>
                <w:rFonts w:ascii="宋体"/>
                <w:color w:val="auto"/>
              </w:rPr>
            </w:pPr>
            <w:r>
              <w:rPr>
                <w:rFonts w:hint="eastAsia" w:ascii="宋体"/>
                <w:color w:val="auto"/>
              </w:rPr>
              <w:t>（1）本项目不得分包。</w:t>
            </w:r>
          </w:p>
          <w:p>
            <w:pPr>
              <w:spacing w:before="24" w:beforeLines="10"/>
              <w:ind w:firstLine="420"/>
              <w:jc w:val="left"/>
              <w:rPr>
                <w:rFonts w:ascii="宋体"/>
                <w:color w:val="auto"/>
              </w:rPr>
            </w:pPr>
            <w:r>
              <w:rPr>
                <w:rFonts w:hint="eastAsia" w:ascii="宋体"/>
                <w:color w:val="auto"/>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2"/>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color w:val="auto"/>
              </w:rPr>
            </w:pPr>
            <w:r>
              <w:rPr>
                <w:rFonts w:hint="eastAsia" w:ascii="宋体" w:hAnsi="宋体"/>
                <w:color w:val="auto"/>
              </w:rPr>
              <w:t>投标有效期</w:t>
            </w:r>
          </w:p>
        </w:tc>
        <w:tc>
          <w:tcPr>
            <w:tcW w:w="6448" w:type="dxa"/>
            <w:vAlign w:val="center"/>
          </w:tcPr>
          <w:p>
            <w:pPr>
              <w:adjustRightInd w:val="0"/>
              <w:snapToGrid w:val="0"/>
              <w:ind w:firstLine="420"/>
              <w:jc w:val="left"/>
              <w:rPr>
                <w:rFonts w:ascii="宋体"/>
                <w:color w:val="auto"/>
              </w:rPr>
            </w:pPr>
            <w:r>
              <w:rPr>
                <w:rFonts w:hint="eastAsia" w:hAnsi="宋体"/>
                <w:color w:val="auto"/>
              </w:rPr>
              <w:t>自投标文件提交截止之日起</w:t>
            </w:r>
            <w:r>
              <w:rPr>
                <w:rFonts w:hAnsi="宋体"/>
                <w:color w:val="auto"/>
              </w:rPr>
              <w:t>90</w:t>
            </w:r>
            <w:r>
              <w:rPr>
                <w:rFonts w:hint="eastAsia" w:hAnsi="宋体"/>
                <w:color w:val="auto"/>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2"/>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hAnsi="宋体"/>
                <w:color w:val="auto"/>
              </w:rPr>
            </w:pPr>
            <w:r>
              <w:rPr>
                <w:rFonts w:hint="eastAsia" w:ascii="宋体" w:hAnsi="宋体"/>
                <w:color w:val="auto"/>
              </w:rPr>
              <w:t>投标文件的组成</w:t>
            </w:r>
          </w:p>
        </w:tc>
        <w:tc>
          <w:tcPr>
            <w:tcW w:w="6448" w:type="dxa"/>
            <w:vAlign w:val="center"/>
          </w:tcPr>
          <w:p>
            <w:pPr>
              <w:adjustRightInd w:val="0"/>
              <w:snapToGrid w:val="0"/>
              <w:ind w:firstLine="420"/>
              <w:jc w:val="left"/>
              <w:rPr>
                <w:rFonts w:hAnsi="宋体"/>
                <w:color w:val="auto"/>
              </w:rPr>
            </w:pPr>
            <w:r>
              <w:rPr>
                <w:rFonts w:hint="eastAsia" w:ascii="宋体" w:hAnsi="宋体"/>
                <w:color w:val="auto"/>
              </w:rPr>
              <w:t>完整的投标文件由资格证明文件、报价文件和商务技术文件三个部分组成。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2"/>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hAnsi="宋体"/>
                <w:color w:val="auto"/>
              </w:rPr>
            </w:pPr>
            <w:r>
              <w:rPr>
                <w:rFonts w:hint="eastAsia" w:ascii="宋体" w:hAnsi="宋体"/>
                <w:color w:val="auto"/>
              </w:rPr>
              <w:t>投标文件的编制</w:t>
            </w:r>
          </w:p>
        </w:tc>
        <w:tc>
          <w:tcPr>
            <w:tcW w:w="6448" w:type="dxa"/>
            <w:vAlign w:val="center"/>
          </w:tcPr>
          <w:p>
            <w:pPr>
              <w:adjustRightInd w:val="0"/>
              <w:snapToGrid w:val="0"/>
              <w:ind w:firstLine="420"/>
              <w:jc w:val="left"/>
              <w:rPr>
                <w:rFonts w:ascii="宋体" w:hAnsi="宋体"/>
                <w:color w:val="auto"/>
              </w:rPr>
            </w:pPr>
            <w:r>
              <w:rPr>
                <w:rFonts w:hint="eastAsia" w:ascii="宋体" w:hAnsi="宋体"/>
                <w:color w:val="auto"/>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2"/>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hAnsi="宋体"/>
                <w:color w:val="auto"/>
              </w:rPr>
            </w:pPr>
            <w:r>
              <w:rPr>
                <w:rFonts w:hint="eastAsia" w:ascii="宋体" w:hAnsi="宋体"/>
                <w:color w:val="auto"/>
              </w:rPr>
              <w:t>投标文件的签章</w:t>
            </w:r>
          </w:p>
        </w:tc>
        <w:tc>
          <w:tcPr>
            <w:tcW w:w="6448" w:type="dxa"/>
            <w:vAlign w:val="center"/>
          </w:tcPr>
          <w:p>
            <w:pPr>
              <w:adjustRightInd w:val="0"/>
              <w:snapToGrid w:val="0"/>
              <w:ind w:firstLine="420"/>
              <w:jc w:val="left"/>
              <w:rPr>
                <w:rFonts w:ascii="宋体" w:hAnsi="宋体"/>
                <w:color w:val="auto"/>
              </w:rPr>
            </w:pPr>
            <w:r>
              <w:rPr>
                <w:rFonts w:hint="eastAsia" w:ascii="宋体" w:hAnsi="宋体"/>
                <w:color w:val="auto"/>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2"/>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hAnsi="宋体"/>
                <w:color w:val="auto"/>
              </w:rPr>
            </w:pPr>
            <w:r>
              <w:rPr>
                <w:rFonts w:hint="eastAsia" w:ascii="宋体" w:hAnsi="宋体"/>
                <w:color w:val="auto"/>
              </w:rPr>
              <w:t>投标文件的形式</w:t>
            </w:r>
          </w:p>
        </w:tc>
        <w:tc>
          <w:tcPr>
            <w:tcW w:w="6448" w:type="dxa"/>
            <w:vAlign w:val="center"/>
          </w:tcPr>
          <w:p>
            <w:pPr>
              <w:ind w:firstLine="420"/>
              <w:rPr>
                <w:rFonts w:ascii="宋体" w:hAnsi="宋体"/>
                <w:color w:val="auto"/>
              </w:rPr>
            </w:pPr>
            <w:r>
              <w:rPr>
                <w:rFonts w:hint="eastAsia" w:ascii="宋体" w:hAnsi="宋体"/>
                <w:color w:val="auto"/>
              </w:rPr>
              <w:t>电子投标文件（包括“电子加密投标文件”和“备份投标文件”，在投标文件编制完成后同时生成）；</w:t>
            </w:r>
          </w:p>
          <w:p>
            <w:pPr>
              <w:ind w:firstLine="420"/>
              <w:rPr>
                <w:rFonts w:ascii="宋体" w:hAnsi="宋体"/>
                <w:color w:val="auto"/>
              </w:rPr>
            </w:pPr>
            <w:r>
              <w:rPr>
                <w:rFonts w:hint="eastAsia" w:ascii="宋体" w:hAnsi="宋体"/>
                <w:color w:val="auto"/>
              </w:rPr>
              <w:t>（1）“电子加密投标文件”是指通过“政采云电子交易客户端”完成投标文件编制后生成并加密的数据电文形式的投标文件。</w:t>
            </w:r>
          </w:p>
          <w:p>
            <w:pPr>
              <w:adjustRightInd w:val="0"/>
              <w:snapToGrid w:val="0"/>
              <w:ind w:firstLine="420"/>
              <w:jc w:val="left"/>
              <w:rPr>
                <w:rFonts w:ascii="宋体" w:hAnsi="宋体"/>
                <w:color w:val="auto"/>
              </w:rPr>
            </w:pPr>
            <w:r>
              <w:rPr>
                <w:rFonts w:hint="eastAsia" w:ascii="宋体" w:hAnsi="宋体"/>
                <w:color w:val="auto"/>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2"/>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hAnsi="宋体"/>
                <w:color w:val="auto"/>
              </w:rPr>
            </w:pPr>
            <w:r>
              <w:rPr>
                <w:rFonts w:hint="eastAsia" w:ascii="宋体" w:hAnsi="宋体"/>
                <w:color w:val="auto"/>
              </w:rPr>
              <w:t>投标文件的上传和递交</w:t>
            </w:r>
          </w:p>
        </w:tc>
        <w:tc>
          <w:tcPr>
            <w:tcW w:w="6448" w:type="dxa"/>
            <w:vAlign w:val="center"/>
          </w:tcPr>
          <w:p>
            <w:pPr>
              <w:ind w:firstLine="420"/>
              <w:rPr>
                <w:rFonts w:ascii="宋体" w:hAnsi="宋体"/>
                <w:color w:val="auto"/>
              </w:rPr>
            </w:pPr>
            <w:r>
              <w:rPr>
                <w:rFonts w:hint="eastAsia" w:ascii="宋体" w:hAnsi="宋体"/>
                <w:color w:val="auto"/>
              </w:rPr>
              <w:t>（1）“电子加密投标文件”的上传、递交：</w:t>
            </w:r>
          </w:p>
          <w:p>
            <w:pPr>
              <w:ind w:firstLine="420"/>
              <w:rPr>
                <w:rFonts w:ascii="宋体" w:hAnsi="宋体"/>
                <w:color w:val="auto"/>
              </w:rPr>
            </w:pPr>
            <w:r>
              <w:rPr>
                <w:rFonts w:hint="eastAsia" w:ascii="宋体" w:hAnsi="宋体"/>
                <w:color w:val="auto"/>
              </w:rPr>
              <w:t>a.投标供应商应在投标截止时间前将“电子加密投标文件”成功上传递交至“政府采购云平台”，否则投标无效。</w:t>
            </w:r>
          </w:p>
          <w:p>
            <w:pPr>
              <w:ind w:firstLine="420"/>
              <w:rPr>
                <w:rFonts w:ascii="宋体" w:hAnsi="宋体"/>
                <w:color w:val="auto"/>
              </w:rPr>
            </w:pPr>
            <w:r>
              <w:rPr>
                <w:rFonts w:hint="eastAsia" w:ascii="宋体" w:hAnsi="宋体"/>
                <w:color w:val="auto"/>
              </w:rPr>
              <w:t>b.“电子加密投标文件”成功上传递交后，供应商可自行打印投标文件接收回执。</w:t>
            </w:r>
          </w:p>
          <w:p>
            <w:pPr>
              <w:ind w:firstLine="420"/>
              <w:rPr>
                <w:rFonts w:ascii="宋体" w:hAnsi="宋体"/>
                <w:color w:val="auto"/>
              </w:rPr>
            </w:pPr>
            <w:r>
              <w:rPr>
                <w:rFonts w:hint="eastAsia" w:ascii="宋体" w:hAnsi="宋体"/>
                <w:color w:val="auto"/>
              </w:rPr>
              <w:t>（2）“备份投标文件”的密封包装、递交：</w:t>
            </w:r>
          </w:p>
          <w:p>
            <w:pPr>
              <w:ind w:firstLine="420"/>
              <w:rPr>
                <w:rFonts w:ascii="宋体" w:hAnsi="宋体"/>
                <w:color w:val="auto"/>
              </w:rPr>
            </w:pPr>
            <w:r>
              <w:rPr>
                <w:rFonts w:hint="eastAsia" w:ascii="宋体" w:hAnsi="宋体"/>
                <w:color w:val="auto"/>
              </w:rPr>
              <w:t>a.投标供应商在“政府采购云平台”完成“电子加密投标文件”的上传递交后，还可以在投标截止时间前递交以介质（U盘）存储的 “备份投标文件”（一份）；（允许以邮寄形式，提供邮寄信息。以代理机构工作人员的签收时间为准）</w:t>
            </w:r>
          </w:p>
          <w:p>
            <w:pPr>
              <w:ind w:firstLine="420"/>
              <w:rPr>
                <w:rFonts w:ascii="宋体" w:hAnsi="宋体"/>
                <w:color w:val="auto"/>
              </w:rPr>
            </w:pPr>
            <w:r>
              <w:rPr>
                <w:rFonts w:hint="eastAsia" w:ascii="宋体" w:hAnsi="宋体"/>
                <w:color w:val="auto"/>
              </w:rPr>
              <w:t>b.“备份投标文件”应当密封包装，并在包装上标注投标项目名称、项目编号、投标单位名称并加盖公章。没有密封包装或者逾期送达至投标地点的“备份投标文件”将不予接收；</w:t>
            </w:r>
          </w:p>
          <w:p>
            <w:pPr>
              <w:ind w:firstLine="420"/>
              <w:rPr>
                <w:rFonts w:ascii="宋体" w:hAnsi="宋体"/>
                <w:color w:val="auto"/>
              </w:rPr>
            </w:pPr>
            <w:r>
              <w:rPr>
                <w:rFonts w:hint="eastAsia" w:ascii="宋体" w:hAnsi="宋体"/>
                <w:color w:val="auto"/>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2"/>
              </w:numPr>
              <w:spacing w:before="24" w:beforeLines="10"/>
              <w:ind w:firstLineChars="0"/>
              <w:jc w:val="center"/>
              <w:rPr>
                <w:rFonts w:ascii="宋体"/>
                <w:b/>
                <w:bCs/>
                <w:color w:val="auto"/>
              </w:rPr>
            </w:pPr>
          </w:p>
        </w:tc>
        <w:tc>
          <w:tcPr>
            <w:tcW w:w="1997" w:type="dxa"/>
            <w:vAlign w:val="center"/>
          </w:tcPr>
          <w:p>
            <w:pPr>
              <w:spacing w:before="24" w:beforeLines="10"/>
              <w:ind w:firstLine="0" w:firstLineChars="0"/>
              <w:jc w:val="center"/>
              <w:rPr>
                <w:rFonts w:ascii="宋体" w:hAnsi="宋体"/>
                <w:color w:val="auto"/>
              </w:rPr>
            </w:pPr>
            <w:r>
              <w:rPr>
                <w:rFonts w:hint="eastAsia" w:ascii="宋体" w:hAnsi="宋体"/>
                <w:color w:val="auto"/>
              </w:rPr>
              <w:t>电子加密投标文件的解密和异常情况处理</w:t>
            </w:r>
          </w:p>
          <w:p>
            <w:pPr>
              <w:spacing w:before="24" w:beforeLines="10"/>
              <w:ind w:firstLine="0" w:firstLineChars="0"/>
              <w:jc w:val="center"/>
              <w:rPr>
                <w:rFonts w:ascii="宋体" w:hAnsi="宋体"/>
                <w:b/>
                <w:bCs/>
                <w:color w:val="auto"/>
                <w:sz w:val="24"/>
              </w:rPr>
            </w:pPr>
          </w:p>
        </w:tc>
        <w:tc>
          <w:tcPr>
            <w:tcW w:w="6448" w:type="dxa"/>
            <w:vAlign w:val="center"/>
          </w:tcPr>
          <w:p>
            <w:pPr>
              <w:spacing w:before="24" w:beforeLines="10"/>
              <w:ind w:firstLine="0" w:firstLineChars="0"/>
              <w:jc w:val="left"/>
              <w:rPr>
                <w:rFonts w:ascii="宋体" w:hAnsi="宋体"/>
                <w:color w:val="auto"/>
              </w:rPr>
            </w:pPr>
            <w:r>
              <w:rPr>
                <w:rFonts w:hint="eastAsia" w:ascii="宋体" w:hAnsi="宋体"/>
                <w:color w:val="auto"/>
              </w:rPr>
              <w:t>（1）开标后，采购代理机构将向各投标供应商发出“电子加密投标文件”的解密通知，各投标供应商代表应当在接到解密通知后30分钟内自行完成“电子加密投标文件”的在线解密。</w:t>
            </w:r>
          </w:p>
          <w:p>
            <w:pPr>
              <w:spacing w:before="24" w:beforeLines="10"/>
              <w:ind w:firstLine="0" w:firstLineChars="0"/>
              <w:jc w:val="left"/>
              <w:rPr>
                <w:rFonts w:ascii="宋体" w:hAnsi="宋体"/>
                <w:color w:val="auto"/>
              </w:rPr>
            </w:pPr>
            <w:r>
              <w:rPr>
                <w:rFonts w:hint="eastAsia" w:ascii="宋体" w:hAnsi="宋体"/>
                <w:color w:val="auto"/>
              </w:rPr>
              <w:t>（2）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pPr>
              <w:spacing w:before="24" w:beforeLines="10"/>
              <w:ind w:firstLine="0" w:firstLineChars="0"/>
              <w:jc w:val="center"/>
              <w:rPr>
                <w:rFonts w:ascii="宋体" w:hAnsi="宋体"/>
                <w:color w:val="auto"/>
              </w:rPr>
            </w:pPr>
            <w:r>
              <w:rPr>
                <w:rFonts w:hint="eastAsia" w:ascii="宋体" w:hAnsi="宋体"/>
                <w:color w:val="auto"/>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2"/>
              </w:numPr>
              <w:spacing w:before="24" w:beforeLines="10"/>
              <w:ind w:firstLineChars="0"/>
              <w:jc w:val="center"/>
              <w:rPr>
                <w:rFonts w:ascii="宋体"/>
                <w:b/>
                <w:bCs/>
                <w:color w:val="auto"/>
                <w:sz w:val="24"/>
              </w:rPr>
            </w:pPr>
          </w:p>
        </w:tc>
        <w:tc>
          <w:tcPr>
            <w:tcW w:w="1997" w:type="dxa"/>
            <w:vAlign w:val="center"/>
          </w:tcPr>
          <w:p>
            <w:pPr>
              <w:spacing w:before="24" w:beforeLines="10"/>
              <w:ind w:firstLine="0" w:firstLineChars="0"/>
              <w:jc w:val="center"/>
              <w:rPr>
                <w:rFonts w:ascii="宋体" w:hAnsi="宋体"/>
                <w:color w:val="auto"/>
              </w:rPr>
            </w:pPr>
            <w:r>
              <w:rPr>
                <w:rFonts w:hint="eastAsia" w:ascii="宋体" w:hAnsi="宋体"/>
                <w:color w:val="auto"/>
              </w:rPr>
              <w:t>投标文件份数</w:t>
            </w:r>
          </w:p>
        </w:tc>
        <w:tc>
          <w:tcPr>
            <w:tcW w:w="6448" w:type="dxa"/>
            <w:vAlign w:val="center"/>
          </w:tcPr>
          <w:p>
            <w:pPr>
              <w:ind w:firstLine="420"/>
              <w:jc w:val="left"/>
              <w:rPr>
                <w:rFonts w:ascii="宋体" w:hAnsi="宋体"/>
                <w:color w:val="auto"/>
              </w:rPr>
            </w:pPr>
            <w:r>
              <w:rPr>
                <w:rFonts w:hint="eastAsia" w:ascii="宋体" w:hAnsi="宋体"/>
                <w:color w:val="auto"/>
              </w:rPr>
              <w:t>（1）“电子加密投标文件”：在线上传递交、一份。（2）“备份投标文件”：密封包装后在投标截止时间前递交（允许以邮寄形式，提供邮寄信息。以代理机构工作人员的签收时间为准）、一份（邮寄地址：杭州市西湖区万塘路28号浙江信镧建设工程咨询有限公司，胡校芳 收，0571-87967630）。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2"/>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hAnsi="宋体"/>
                <w:color w:val="auto"/>
                <w:kern w:val="0"/>
              </w:rPr>
            </w:pPr>
            <w:r>
              <w:rPr>
                <w:rFonts w:hint="eastAsia" w:ascii="宋体" w:hAnsi="宋体"/>
                <w:color w:val="auto"/>
                <w:kern w:val="0"/>
              </w:rPr>
              <w:t>投标保证金</w:t>
            </w:r>
          </w:p>
        </w:tc>
        <w:tc>
          <w:tcPr>
            <w:tcW w:w="6448" w:type="dxa"/>
            <w:vAlign w:val="center"/>
          </w:tcPr>
          <w:p>
            <w:pPr>
              <w:spacing w:before="24" w:beforeLines="10"/>
              <w:ind w:firstLine="420"/>
              <w:jc w:val="left"/>
              <w:rPr>
                <w:rFonts w:ascii="宋体" w:hAnsi="宋体"/>
                <w:color w:val="auto"/>
              </w:rPr>
            </w:pPr>
            <w:r>
              <w:rPr>
                <w:rFonts w:hint="eastAsia" w:ascii="宋体" w:hAnsi="宋体"/>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2"/>
              </w:numPr>
              <w:spacing w:before="24" w:beforeLines="10"/>
              <w:ind w:firstLineChars="0"/>
              <w:jc w:val="center"/>
              <w:rPr>
                <w:rFonts w:ascii="宋体"/>
                <w:color w:val="auto"/>
              </w:rPr>
            </w:pPr>
          </w:p>
        </w:tc>
        <w:tc>
          <w:tcPr>
            <w:tcW w:w="1997" w:type="dxa"/>
            <w:vAlign w:val="center"/>
          </w:tcPr>
          <w:p>
            <w:pPr>
              <w:spacing w:before="24" w:beforeLines="10"/>
              <w:ind w:firstLine="210" w:firstLineChars="100"/>
              <w:jc w:val="left"/>
              <w:rPr>
                <w:rFonts w:ascii="宋体" w:hAnsi="宋体"/>
                <w:color w:val="auto"/>
              </w:rPr>
            </w:pPr>
            <w:r>
              <w:rPr>
                <w:rFonts w:hint="eastAsia" w:ascii="宋体" w:hAnsi="宋体"/>
                <w:color w:val="auto"/>
              </w:rPr>
              <w:t>是否进口</w:t>
            </w:r>
            <w:r>
              <w:rPr>
                <w:rFonts w:ascii="宋体" w:hAnsi="宋体"/>
                <w:color w:val="auto"/>
              </w:rPr>
              <w:t>设备</w:t>
            </w:r>
          </w:p>
        </w:tc>
        <w:tc>
          <w:tcPr>
            <w:tcW w:w="6448" w:type="dxa"/>
            <w:vAlign w:val="center"/>
          </w:tcPr>
          <w:p>
            <w:pPr>
              <w:adjustRightInd w:val="0"/>
              <w:snapToGrid w:val="0"/>
              <w:ind w:firstLine="420"/>
              <w:jc w:val="left"/>
              <w:rPr>
                <w:rFonts w:hAnsi="宋体"/>
                <w:color w:val="auto"/>
              </w:rPr>
            </w:pPr>
            <w:r>
              <w:rPr>
                <w:rFonts w:hint="eastAsia" w:hAnsi="宋体"/>
                <w:color w:val="auto"/>
              </w:rPr>
              <w:t>国产产品，谢绝进口产品投标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2"/>
              </w:numPr>
              <w:spacing w:before="24" w:beforeLines="10"/>
              <w:ind w:firstLineChars="0"/>
              <w:jc w:val="center"/>
              <w:rPr>
                <w:rFonts w:ascii="宋体"/>
                <w:color w:val="auto"/>
              </w:rPr>
            </w:pPr>
          </w:p>
        </w:tc>
        <w:tc>
          <w:tcPr>
            <w:tcW w:w="1997" w:type="dxa"/>
            <w:vAlign w:val="center"/>
          </w:tcPr>
          <w:p>
            <w:pPr>
              <w:spacing w:before="24" w:beforeLines="10"/>
              <w:ind w:firstLine="210" w:firstLineChars="100"/>
              <w:jc w:val="center"/>
              <w:rPr>
                <w:rFonts w:hint="eastAsia" w:ascii="宋体" w:hAnsi="宋体" w:eastAsia="宋体"/>
                <w:color w:val="auto"/>
                <w:lang w:eastAsia="zh-CN"/>
              </w:rPr>
            </w:pPr>
            <w:r>
              <w:rPr>
                <w:rFonts w:hint="eastAsia" w:ascii="宋体" w:hAnsi="宋体"/>
                <w:color w:val="auto"/>
                <w:lang w:eastAsia="zh-CN"/>
              </w:rPr>
              <w:t>核心产品</w:t>
            </w:r>
          </w:p>
        </w:tc>
        <w:tc>
          <w:tcPr>
            <w:tcW w:w="6448" w:type="dxa"/>
            <w:vAlign w:val="center"/>
          </w:tcPr>
          <w:p>
            <w:pPr>
              <w:adjustRightInd w:val="0"/>
              <w:snapToGrid w:val="0"/>
              <w:ind w:firstLine="420"/>
              <w:jc w:val="left"/>
              <w:rPr>
                <w:rFonts w:hint="eastAsia" w:hAnsi="宋体"/>
                <w:color w:val="auto"/>
              </w:rPr>
            </w:pPr>
            <w:r>
              <w:rPr>
                <w:rFonts w:hint="eastAsia" w:ascii="宋体" w:hAnsi="宋体"/>
                <w:color w:val="auto"/>
                <w:kern w:val="2"/>
                <w:sz w:val="21"/>
                <w:szCs w:val="21"/>
                <w:lang w:val="en-US" w:eastAsia="zh-CN"/>
              </w:rPr>
              <w:t>循环式智能电子恒湿机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2"/>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hAnsi="宋体"/>
                <w:color w:val="auto"/>
                <w:kern w:val="0"/>
              </w:rPr>
            </w:pPr>
            <w:r>
              <w:rPr>
                <w:rFonts w:hint="eastAsia" w:ascii="宋体" w:hAnsi="宋体"/>
                <w:color w:val="auto"/>
                <w:kern w:val="0"/>
              </w:rPr>
              <w:t>履约保证金</w:t>
            </w:r>
          </w:p>
        </w:tc>
        <w:tc>
          <w:tcPr>
            <w:tcW w:w="6448" w:type="dxa"/>
            <w:vAlign w:val="center"/>
          </w:tcPr>
          <w:p>
            <w:pPr>
              <w:spacing w:before="24" w:beforeLines="10"/>
              <w:ind w:firstLine="420"/>
              <w:jc w:val="left"/>
              <w:rPr>
                <w:rFonts w:ascii="宋体" w:hAnsi="宋体" w:eastAsiaTheme="minorEastAsia"/>
                <w:color w:val="auto"/>
                <w:kern w:val="0"/>
              </w:rPr>
            </w:pPr>
            <w:r>
              <w:rPr>
                <w:rFonts w:hint="eastAsia" w:ascii="宋体" w:hAnsi="宋体" w:eastAsiaTheme="minorEastAsia"/>
                <w:color w:val="auto"/>
                <w:kern w:val="0"/>
              </w:rPr>
              <w:t>1.中标人在合同签订之日起5个工作日内向采购人指定账户交纳合同总价5%的履约保证金。履约保证金的交付方式：以银行转账、支票、汇票、本票或者金融机构、担保机构出具的保函等非现金形式提交。</w:t>
            </w:r>
          </w:p>
          <w:p>
            <w:pPr>
              <w:spacing w:before="24" w:beforeLines="10"/>
              <w:ind w:firstLine="420"/>
              <w:jc w:val="left"/>
              <w:rPr>
                <w:rFonts w:cs="宋体" w:asciiTheme="minorEastAsia" w:hAnsiTheme="minorEastAsia" w:eastAsiaTheme="minorEastAsia"/>
                <w:color w:val="auto"/>
                <w:szCs w:val="21"/>
              </w:rPr>
            </w:pPr>
            <w:r>
              <w:rPr>
                <w:rFonts w:hint="eastAsia" w:ascii="宋体" w:hAnsi="宋体" w:eastAsiaTheme="minorEastAsia"/>
                <w:color w:val="auto"/>
                <w:kern w:val="0"/>
              </w:rPr>
              <w:t>2.履约保证金在验收合格，采购人正常使用满一年，确认投标人无违约行为后30日内无息返还。（遇周末及国定假日顺延）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2"/>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hAnsi="宋体"/>
                <w:color w:val="auto"/>
              </w:rPr>
            </w:pPr>
            <w:r>
              <w:rPr>
                <w:rFonts w:hint="eastAsia" w:ascii="宋体" w:hAnsi="宋体"/>
                <w:color w:val="auto"/>
              </w:rPr>
              <w:t>信用记录</w:t>
            </w:r>
          </w:p>
        </w:tc>
        <w:tc>
          <w:tcPr>
            <w:tcW w:w="6448" w:type="dxa"/>
            <w:vAlign w:val="center"/>
          </w:tcPr>
          <w:p>
            <w:pPr>
              <w:ind w:firstLine="420"/>
              <w:rPr>
                <w:color w:val="auto"/>
              </w:rPr>
            </w:pPr>
            <w:r>
              <w:rPr>
                <w:rFonts w:hint="eastAsia"/>
                <w:color w:val="auto"/>
              </w:rPr>
              <w:t>根据财库</w:t>
            </w:r>
            <w:r>
              <w:rPr>
                <w:color w:val="auto"/>
              </w:rPr>
              <w:t>[2016]125</w:t>
            </w:r>
            <w:r>
              <w:rPr>
                <w:rFonts w:hint="eastAsia"/>
                <w:color w:val="auto"/>
              </w:rPr>
              <w:t>号《关于在政府采购活动中查询及使用信用记录有关问题的通知》要求，采购代理机构将对供应商信用记录进行查询并甄别。</w:t>
            </w:r>
          </w:p>
          <w:p>
            <w:pPr>
              <w:ind w:firstLine="420"/>
              <w:rPr>
                <w:color w:val="auto"/>
              </w:rPr>
            </w:pPr>
            <w:r>
              <w:rPr>
                <w:color w:val="auto"/>
              </w:rPr>
              <w:t>1</w:t>
            </w:r>
            <w:r>
              <w:rPr>
                <w:rFonts w:hint="eastAsia"/>
                <w:color w:val="auto"/>
              </w:rPr>
              <w:t>）信用信息查询的截止时点：投标截止日；</w:t>
            </w:r>
          </w:p>
          <w:p>
            <w:pPr>
              <w:ind w:firstLine="420"/>
              <w:rPr>
                <w:color w:val="auto"/>
              </w:rPr>
            </w:pPr>
            <w:r>
              <w:rPr>
                <w:color w:val="auto"/>
              </w:rPr>
              <w:t>2</w:t>
            </w:r>
            <w:r>
              <w:rPr>
                <w:rFonts w:hint="eastAsia"/>
                <w:color w:val="auto"/>
              </w:rPr>
              <w:t>）查询渠道：“信用中国”（</w:t>
            </w:r>
            <w:r>
              <w:rPr>
                <w:color w:val="auto"/>
              </w:rPr>
              <w:t>www.creditchina.gov.cn</w:t>
            </w:r>
            <w:r>
              <w:rPr>
                <w:rFonts w:hint="eastAsia"/>
                <w:color w:val="auto"/>
              </w:rPr>
              <w:t>）、“中国政府采购网”（</w:t>
            </w:r>
            <w:r>
              <w:rPr>
                <w:color w:val="auto"/>
              </w:rPr>
              <w:t>www.ccgp.gov.cn</w:t>
            </w:r>
            <w:r>
              <w:rPr>
                <w:rFonts w:hint="eastAsia"/>
                <w:color w:val="auto"/>
              </w:rPr>
              <w:t>）；</w:t>
            </w:r>
          </w:p>
          <w:p>
            <w:pPr>
              <w:ind w:firstLine="420"/>
              <w:rPr>
                <w:color w:val="auto"/>
              </w:rPr>
            </w:pPr>
            <w:r>
              <w:rPr>
                <w:color w:val="auto"/>
              </w:rPr>
              <w:t>3</w:t>
            </w:r>
            <w:r>
              <w:rPr>
                <w:rFonts w:hint="eastAsia"/>
                <w:color w:val="auto"/>
              </w:rPr>
              <w:t>）信用信息查询记录和证据留存具体方式：采购代理机构将查询网页打印并保存；</w:t>
            </w:r>
          </w:p>
          <w:p>
            <w:pPr>
              <w:ind w:firstLine="420"/>
              <w:rPr>
                <w:color w:val="auto"/>
              </w:rPr>
            </w:pPr>
            <w:r>
              <w:rPr>
                <w:color w:val="auto"/>
              </w:rPr>
              <w:t>4</w:t>
            </w:r>
            <w:r>
              <w:rPr>
                <w:rFonts w:hint="eastAsia"/>
                <w:color w:val="auto"/>
              </w:rPr>
              <w:t>）信用信息的使用规则：对列入失信被执行人、重大税收违法案件当事人名单、政府采购严重违法失信行为记录名单及其他不符合《中华人民共和国政府采购法》第二十二条规定条件的供应商，将拒绝其参与政府采购活动。</w:t>
            </w:r>
          </w:p>
          <w:p>
            <w:pPr>
              <w:ind w:firstLine="420"/>
              <w:rPr>
                <w:color w:val="auto"/>
              </w:rPr>
            </w:pPr>
            <w:r>
              <w:rPr>
                <w:color w:val="auto"/>
              </w:rPr>
              <w:t>5)行政处罚较大数额罚款标准认定：按照浙府法发【2014】10号文《浙江省人民政府法制办公室关于明确实施行政处罚适用听证程序较大数额罚款标准的函》进行认定。</w:t>
            </w:r>
          </w:p>
          <w:p>
            <w:pPr>
              <w:ind w:firstLine="420"/>
              <w:rPr>
                <w:color w:val="auto"/>
              </w:rPr>
            </w:pPr>
            <w:r>
              <w:rPr>
                <w:rFonts w:hint="eastAsia"/>
                <w:color w:val="auto"/>
              </w:rPr>
              <w:t>6）若联合体成员存在不良信用记录的，视同联合体存在不良信用记录。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2"/>
              </w:numPr>
              <w:spacing w:before="24" w:beforeLines="10"/>
              <w:ind w:firstLineChars="0"/>
              <w:jc w:val="center"/>
              <w:rPr>
                <w:rFonts w:ascii="宋体"/>
                <w:b/>
                <w:bCs/>
                <w:color w:val="auto"/>
              </w:rPr>
            </w:pPr>
          </w:p>
        </w:tc>
        <w:tc>
          <w:tcPr>
            <w:tcW w:w="1997" w:type="dxa"/>
            <w:vAlign w:val="center"/>
          </w:tcPr>
          <w:p>
            <w:pPr>
              <w:ind w:firstLine="0" w:firstLineChars="0"/>
              <w:rPr>
                <w:color w:val="auto"/>
              </w:rPr>
            </w:pPr>
            <w:r>
              <w:rPr>
                <w:rFonts w:hint="eastAsia"/>
                <w:color w:val="auto"/>
              </w:rPr>
              <w:t>小微企业有关政策</w:t>
            </w:r>
          </w:p>
        </w:tc>
        <w:tc>
          <w:tcPr>
            <w:tcW w:w="6448" w:type="dxa"/>
            <w:vAlign w:val="center"/>
          </w:tcPr>
          <w:p>
            <w:pPr>
              <w:ind w:firstLine="525" w:firstLineChars="250"/>
              <w:rPr>
                <w:color w:val="auto"/>
              </w:rPr>
            </w:pPr>
            <w:r>
              <w:rPr>
                <w:rFonts w:hint="eastAsia"/>
                <w:color w:val="auto"/>
              </w:rPr>
              <w:t>1、根据财库〔2011〕181号的相关规定，在评审时对小型和微型企业的投标报价给予</w:t>
            </w:r>
            <w:bookmarkStart w:id="60" w:name="小微企业价格扣除比例2"/>
            <w:r>
              <w:rPr>
                <w:rFonts w:hint="eastAsia"/>
                <w:color w:val="auto"/>
              </w:rPr>
              <w:t>6</w:t>
            </w:r>
            <w:bookmarkEnd w:id="60"/>
            <w:r>
              <w:rPr>
                <w:rFonts w:hint="eastAsia"/>
                <w:color w:val="auto"/>
              </w:rPr>
              <w:t xml:space="preserve"> %的扣除，取扣除后的价格作为最终投标报价（此最终投标报价仅作为价格分计算）。属于小型和微型企业的，投标文件中投标人必须提供《中小企业声明函》。</w:t>
            </w:r>
          </w:p>
          <w:p>
            <w:pPr>
              <w:ind w:firstLine="525" w:firstLineChars="250"/>
              <w:rPr>
                <w:color w:val="auto"/>
              </w:rPr>
            </w:pPr>
            <w:r>
              <w:rPr>
                <w:rFonts w:hint="eastAsia"/>
                <w:color w:val="auto"/>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ind w:firstLine="525" w:firstLineChars="250"/>
              <w:rPr>
                <w:color w:val="auto"/>
              </w:rPr>
            </w:pPr>
            <w:r>
              <w:rPr>
                <w:rFonts w:hint="eastAsia"/>
                <w:color w:val="auto"/>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ind w:firstLine="420"/>
              <w:rPr>
                <w:color w:val="auto"/>
              </w:rPr>
            </w:pPr>
            <w:r>
              <w:rPr>
                <w:rFonts w:hint="eastAsia"/>
                <w:color w:val="auto"/>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1" w:type="dxa"/>
            <w:vAlign w:val="center"/>
          </w:tcPr>
          <w:p>
            <w:pPr>
              <w:numPr>
                <w:ilvl w:val="0"/>
                <w:numId w:val="2"/>
              </w:numPr>
              <w:spacing w:before="24" w:beforeLines="10"/>
              <w:ind w:firstLineChars="0"/>
              <w:jc w:val="center"/>
              <w:rPr>
                <w:rFonts w:ascii="宋体"/>
                <w:b/>
                <w:bCs/>
                <w:color w:val="auto"/>
                <w:kern w:val="0"/>
              </w:rPr>
            </w:pPr>
          </w:p>
        </w:tc>
        <w:tc>
          <w:tcPr>
            <w:tcW w:w="1997" w:type="dxa"/>
            <w:vAlign w:val="center"/>
          </w:tcPr>
          <w:p>
            <w:pPr>
              <w:spacing w:before="24" w:beforeLines="10"/>
              <w:ind w:firstLine="0" w:firstLineChars="0"/>
              <w:jc w:val="left"/>
              <w:rPr>
                <w:rFonts w:ascii="宋体" w:hAnsi="宋体" w:cs="宋体"/>
                <w:color w:val="auto"/>
                <w:kern w:val="0"/>
                <w:szCs w:val="21"/>
              </w:rPr>
            </w:pPr>
            <w:r>
              <w:rPr>
                <w:rFonts w:hint="eastAsia" w:ascii="宋体" w:hAnsi="宋体" w:cs="宋体"/>
                <w:color w:val="auto"/>
                <w:szCs w:val="21"/>
              </w:rPr>
              <w:t>中小企业信用融资</w:t>
            </w:r>
          </w:p>
        </w:tc>
        <w:tc>
          <w:tcPr>
            <w:tcW w:w="6448" w:type="dxa"/>
            <w:vAlign w:val="center"/>
          </w:tcPr>
          <w:p>
            <w:pPr>
              <w:ind w:firstLine="420"/>
              <w:rPr>
                <w:rFonts w:ascii="宋体" w:hAnsi="宋体" w:cs="宋体"/>
                <w:color w:val="auto"/>
                <w:szCs w:val="21"/>
              </w:rPr>
            </w:pPr>
            <w:r>
              <w:rPr>
                <w:rFonts w:hint="eastAsia" w:ascii="宋体" w:hAnsi="宋体" w:cs="宋体"/>
                <w:color w:val="auto"/>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1" w:type="dxa"/>
            <w:vAlign w:val="center"/>
          </w:tcPr>
          <w:p>
            <w:pPr>
              <w:numPr>
                <w:ilvl w:val="0"/>
                <w:numId w:val="2"/>
              </w:numPr>
              <w:spacing w:before="24" w:beforeLines="10"/>
              <w:ind w:firstLineChars="0"/>
              <w:jc w:val="center"/>
              <w:rPr>
                <w:rFonts w:ascii="宋体"/>
                <w:b/>
                <w:bCs/>
                <w:color w:val="auto"/>
                <w:kern w:val="0"/>
              </w:rPr>
            </w:pPr>
          </w:p>
        </w:tc>
        <w:tc>
          <w:tcPr>
            <w:tcW w:w="1997" w:type="dxa"/>
            <w:vAlign w:val="center"/>
          </w:tcPr>
          <w:p>
            <w:pPr>
              <w:spacing w:before="24" w:beforeLines="10"/>
              <w:ind w:firstLine="420"/>
              <w:jc w:val="left"/>
              <w:rPr>
                <w:rFonts w:ascii="宋体" w:hAnsi="宋体" w:cs="宋体"/>
                <w:color w:val="auto"/>
                <w:szCs w:val="21"/>
              </w:rPr>
            </w:pPr>
            <w:r>
              <w:rPr>
                <w:rFonts w:hint="eastAsia" w:ascii="宋体" w:hAnsi="宋体" w:cs="宋体"/>
                <w:bCs/>
                <w:color w:val="auto"/>
                <w:kern w:val="0"/>
                <w:szCs w:val="21"/>
              </w:rPr>
              <w:t>强制采购</w:t>
            </w:r>
          </w:p>
        </w:tc>
        <w:tc>
          <w:tcPr>
            <w:tcW w:w="6448" w:type="dxa"/>
            <w:vAlign w:val="center"/>
          </w:tcPr>
          <w:p>
            <w:pPr>
              <w:widowControl/>
              <w:adjustRightInd w:val="0"/>
              <w:snapToGrid w:val="0"/>
              <w:spacing w:after="200"/>
              <w:ind w:firstLine="420"/>
              <w:jc w:val="left"/>
              <w:rPr>
                <w:rFonts w:ascii="宋体" w:hAnsi="宋体" w:cs="宋体"/>
                <w:color w:val="auto"/>
                <w:szCs w:val="21"/>
              </w:rPr>
            </w:pPr>
            <w:r>
              <w:rPr>
                <w:rFonts w:hint="eastAsia" w:ascii="宋体" w:hAnsi="宋体" w:cs="宋体"/>
                <w:color w:val="auto"/>
                <w:kern w:val="0"/>
                <w:szCs w:val="21"/>
              </w:rPr>
              <w:t>根据财政部和国家发展改革委员会（财库〔2019〕19号）《节能产品政府采购品目清单》的规定，采购人采购需求范围内的产品有属于《节能产品政府采购品目清单》中政府强制采购产品的，投标人必须提供具有节能产品认证证书的符合要求的产品</w:t>
            </w:r>
            <w:r>
              <w:rPr>
                <w:color w:val="auto"/>
                <w:kern w:val="0"/>
                <w:szCs w:val="21"/>
              </w:rPr>
              <w:t>，否则，其投标作为无效投标处理</w:t>
            </w:r>
            <w:r>
              <w:rPr>
                <w:rFonts w:hint="eastAsia" w:ascii="宋体" w:hAnsi="宋体" w:cs="宋体"/>
                <w:color w:val="auto"/>
                <w:kern w:val="0"/>
                <w:szCs w:val="21"/>
              </w:rPr>
              <w:t>。（国家确定的认证机构出具的、处于有效期内的该节能产品认证证书复印件，盖投标人公章。）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1" w:type="dxa"/>
            <w:vAlign w:val="center"/>
          </w:tcPr>
          <w:p>
            <w:pPr>
              <w:numPr>
                <w:ilvl w:val="0"/>
                <w:numId w:val="2"/>
              </w:numPr>
              <w:spacing w:before="24" w:beforeLines="10"/>
              <w:ind w:firstLineChars="0"/>
              <w:jc w:val="center"/>
              <w:rPr>
                <w:rFonts w:ascii="宋体"/>
                <w:b/>
                <w:bCs/>
                <w:color w:val="auto"/>
                <w:kern w:val="0"/>
              </w:rPr>
            </w:pPr>
          </w:p>
        </w:tc>
        <w:tc>
          <w:tcPr>
            <w:tcW w:w="1997" w:type="dxa"/>
            <w:vAlign w:val="center"/>
          </w:tcPr>
          <w:p>
            <w:pPr>
              <w:spacing w:before="24" w:beforeLines="10"/>
              <w:ind w:firstLine="0" w:firstLineChars="0"/>
              <w:jc w:val="center"/>
              <w:rPr>
                <w:rFonts w:ascii="宋体"/>
                <w:color w:val="auto"/>
                <w:kern w:val="0"/>
              </w:rPr>
            </w:pPr>
            <w:r>
              <w:rPr>
                <w:rFonts w:hint="eastAsia" w:ascii="宋体" w:hAnsi="宋体"/>
                <w:color w:val="auto"/>
                <w:kern w:val="0"/>
              </w:rPr>
              <w:t>采购代理服务费</w:t>
            </w:r>
          </w:p>
        </w:tc>
        <w:tc>
          <w:tcPr>
            <w:tcW w:w="6448" w:type="dxa"/>
            <w:vAlign w:val="center"/>
          </w:tcPr>
          <w:p>
            <w:pPr>
              <w:ind w:firstLine="420"/>
              <w:rPr>
                <w:rFonts w:hint="eastAsia" w:ascii="宋体" w:hAnsi="宋体" w:cs="宋体"/>
                <w:color w:val="auto"/>
                <w:kern w:val="0"/>
              </w:rPr>
            </w:pPr>
            <w:r>
              <w:rPr>
                <w:rFonts w:hint="eastAsia" w:ascii="宋体" w:hAnsi="宋体" w:cs="宋体"/>
                <w:color w:val="auto"/>
                <w:kern w:val="0"/>
                <w:szCs w:val="21"/>
              </w:rPr>
              <w:t>本项目的采购代理服务费为：按国家计委计</w:t>
            </w:r>
            <w:r>
              <w:rPr>
                <w:rFonts w:hint="eastAsia" w:ascii="宋体" w:hAnsi="宋体" w:cs="宋体"/>
                <w:color w:val="auto"/>
                <w:szCs w:val="21"/>
              </w:rPr>
              <w:t>价格〔2002〕1980号文件规定</w:t>
            </w:r>
            <w:r>
              <w:rPr>
                <w:rFonts w:hint="eastAsia" w:ascii="宋体" w:hAnsi="宋体" w:cs="宋体"/>
                <w:color w:val="auto"/>
                <w:kern w:val="0"/>
                <w:szCs w:val="21"/>
              </w:rPr>
              <w:t>标准的80%收取。</w:t>
            </w:r>
            <w:r>
              <w:rPr>
                <w:rFonts w:hint="eastAsia" w:ascii="宋体" w:hAnsi="宋体"/>
                <w:color w:val="auto"/>
                <w:kern w:val="0"/>
              </w:rPr>
              <w:t>不足</w:t>
            </w:r>
            <w:r>
              <w:rPr>
                <w:rFonts w:ascii="宋体" w:hAnsi="宋体"/>
                <w:color w:val="auto"/>
                <w:kern w:val="0"/>
              </w:rPr>
              <w:t>3000</w:t>
            </w:r>
            <w:r>
              <w:rPr>
                <w:rFonts w:hint="eastAsia" w:ascii="宋体" w:hAnsi="宋体"/>
                <w:color w:val="auto"/>
                <w:kern w:val="0"/>
              </w:rPr>
              <w:t>元，按</w:t>
            </w:r>
            <w:r>
              <w:rPr>
                <w:rFonts w:ascii="宋体" w:hAnsi="宋体"/>
                <w:color w:val="auto"/>
                <w:kern w:val="0"/>
              </w:rPr>
              <w:t>3000</w:t>
            </w:r>
            <w:r>
              <w:rPr>
                <w:rFonts w:hint="eastAsia" w:ascii="宋体" w:hAnsi="宋体"/>
                <w:color w:val="auto"/>
                <w:kern w:val="0"/>
              </w:rPr>
              <w:t>元收取。</w:t>
            </w:r>
            <w:r>
              <w:rPr>
                <w:rFonts w:hint="eastAsia" w:ascii="宋体" w:hAnsi="宋体" w:cs="宋体"/>
                <w:color w:val="auto"/>
                <w:kern w:val="0"/>
              </w:rPr>
              <w:t>由成交人在领取成交通知书时一次性向采购代理机构付清。</w:t>
            </w:r>
          </w:p>
          <w:p>
            <w:pPr>
              <w:ind w:firstLine="420"/>
              <w:rPr>
                <w:rFonts w:hint="eastAsia" w:ascii="宋体" w:hAnsi="宋体" w:cs="宋体"/>
                <w:color w:val="auto"/>
              </w:rPr>
            </w:pPr>
            <w:r>
              <w:rPr>
                <w:rFonts w:hint="eastAsia" w:ascii="宋体" w:hAnsi="宋体" w:cs="宋体"/>
                <w:color w:val="auto"/>
              </w:rPr>
              <w:t>收款账号：</w:t>
            </w:r>
          </w:p>
          <w:p>
            <w:pPr>
              <w:ind w:firstLine="420"/>
              <w:rPr>
                <w:rFonts w:hint="eastAsia" w:ascii="宋体" w:hAnsi="宋体" w:cs="宋体"/>
                <w:color w:val="auto"/>
              </w:rPr>
            </w:pPr>
            <w:r>
              <w:rPr>
                <w:rFonts w:hint="eastAsia" w:ascii="宋体" w:hAnsi="宋体" w:cs="宋体"/>
                <w:color w:val="auto"/>
              </w:rPr>
              <w:t>收款单位（户名）：浙江信镧建设工程咨询有限公司</w:t>
            </w:r>
          </w:p>
          <w:p>
            <w:pPr>
              <w:ind w:firstLine="420"/>
              <w:rPr>
                <w:rFonts w:hint="eastAsia" w:ascii="宋体" w:hAnsi="宋体" w:cs="宋体"/>
                <w:color w:val="auto"/>
              </w:rPr>
            </w:pPr>
            <w:r>
              <w:rPr>
                <w:rFonts w:hint="eastAsia" w:ascii="宋体" w:hAnsi="宋体" w:cs="宋体"/>
                <w:color w:val="auto"/>
              </w:rPr>
              <w:t>开户银行：交通银行华浙广场支行</w:t>
            </w:r>
          </w:p>
          <w:p>
            <w:pPr>
              <w:ind w:firstLine="405" w:firstLineChars="193"/>
              <w:rPr>
                <w:color w:val="auto"/>
              </w:rPr>
            </w:pPr>
            <w:r>
              <w:rPr>
                <w:rFonts w:hint="eastAsia" w:ascii="宋体" w:hAnsi="宋体" w:cs="宋体"/>
                <w:color w:val="auto"/>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1" w:type="dxa"/>
            <w:vAlign w:val="center"/>
          </w:tcPr>
          <w:p>
            <w:pPr>
              <w:numPr>
                <w:ilvl w:val="0"/>
                <w:numId w:val="2"/>
              </w:numPr>
              <w:spacing w:before="24" w:beforeLines="10"/>
              <w:ind w:firstLineChars="0"/>
              <w:jc w:val="center"/>
              <w:rPr>
                <w:rFonts w:ascii="宋体"/>
                <w:b/>
                <w:bCs/>
                <w:color w:val="auto"/>
                <w:kern w:val="0"/>
              </w:rPr>
            </w:pPr>
          </w:p>
        </w:tc>
        <w:tc>
          <w:tcPr>
            <w:tcW w:w="1997" w:type="dxa"/>
            <w:vAlign w:val="center"/>
          </w:tcPr>
          <w:p>
            <w:pPr>
              <w:spacing w:before="24" w:beforeLines="10"/>
              <w:ind w:firstLine="0" w:firstLineChars="0"/>
              <w:jc w:val="center"/>
              <w:rPr>
                <w:rFonts w:ascii="宋体" w:hAnsi="宋体"/>
                <w:color w:val="auto"/>
                <w:kern w:val="0"/>
              </w:rPr>
            </w:pPr>
            <w:r>
              <w:rPr>
                <w:rFonts w:hint="eastAsia" w:ascii="宋体" w:hAnsi="宋体"/>
                <w:color w:val="auto"/>
                <w:kern w:val="0"/>
              </w:rPr>
              <w:t>通知书发放</w:t>
            </w:r>
          </w:p>
        </w:tc>
        <w:tc>
          <w:tcPr>
            <w:tcW w:w="6448" w:type="dxa"/>
            <w:vAlign w:val="center"/>
          </w:tcPr>
          <w:p>
            <w:pPr>
              <w:ind w:firstLine="0" w:firstLineChars="0"/>
              <w:rPr>
                <w:rFonts w:ascii="宋体" w:hAnsi="宋体"/>
                <w:color w:val="auto"/>
                <w:kern w:val="0"/>
              </w:rPr>
            </w:pPr>
            <w:r>
              <w:rPr>
                <w:rFonts w:hint="eastAsia" w:ascii="宋体" w:hAnsi="宋体"/>
                <w:color w:val="auto"/>
                <w:kern w:val="0"/>
              </w:rPr>
              <w:t>中标通知书 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pPr>
              <w:numPr>
                <w:ilvl w:val="0"/>
                <w:numId w:val="2"/>
              </w:numPr>
              <w:spacing w:before="24" w:beforeLines="10"/>
              <w:ind w:firstLineChars="0"/>
              <w:jc w:val="center"/>
              <w:rPr>
                <w:rFonts w:ascii="宋体"/>
                <w:b/>
                <w:bCs/>
                <w:color w:val="auto"/>
                <w:kern w:val="0"/>
              </w:rPr>
            </w:pPr>
          </w:p>
        </w:tc>
        <w:tc>
          <w:tcPr>
            <w:tcW w:w="1997" w:type="dxa"/>
            <w:vAlign w:val="center"/>
          </w:tcPr>
          <w:p>
            <w:pPr>
              <w:spacing w:before="24" w:beforeLines="10"/>
              <w:ind w:firstLine="0" w:firstLineChars="0"/>
              <w:jc w:val="center"/>
              <w:rPr>
                <w:rFonts w:ascii="宋体"/>
                <w:color w:val="auto"/>
                <w:kern w:val="0"/>
              </w:rPr>
            </w:pPr>
            <w:r>
              <w:rPr>
                <w:rFonts w:hint="eastAsia" w:ascii="宋体" w:hAnsi="宋体"/>
                <w:color w:val="auto"/>
                <w:kern w:val="0"/>
              </w:rPr>
              <w:t>质疑</w:t>
            </w:r>
          </w:p>
        </w:tc>
        <w:tc>
          <w:tcPr>
            <w:tcW w:w="6448" w:type="dxa"/>
            <w:vAlign w:val="center"/>
          </w:tcPr>
          <w:p>
            <w:pPr>
              <w:widowControl/>
              <w:ind w:firstLine="420"/>
              <w:jc w:val="left"/>
              <w:rPr>
                <w:rFonts w:ascii="宋体" w:hAnsi="宋体" w:cs="宋体"/>
                <w:color w:val="auto"/>
                <w:kern w:val="0"/>
                <w:szCs w:val="21"/>
              </w:rPr>
            </w:pPr>
            <w:r>
              <w:rPr>
                <w:rFonts w:hint="eastAsia" w:ascii="宋体" w:hAnsi="宋体" w:cs="宋体"/>
                <w:color w:val="auto"/>
                <w:kern w:val="0"/>
                <w:szCs w:val="21"/>
              </w:rPr>
              <w:t>质疑：根据财政部94号令（《政府采购质疑和投诉办法》）的规定，投标人认为招标文件、采购过程和中标、成交结果使自己的权益受到损害的，可以在知道或者应知其权益受到损害之日起七个工作日内，以书面形式向招标人、采购代理机构提出质疑。</w:t>
            </w:r>
          </w:p>
          <w:p>
            <w:pPr>
              <w:widowControl/>
              <w:ind w:firstLine="422"/>
              <w:jc w:val="left"/>
              <w:rPr>
                <w:rFonts w:ascii="宋体" w:cs="宋体"/>
                <w:color w:val="auto"/>
                <w:kern w:val="0"/>
                <w:szCs w:val="21"/>
              </w:rPr>
            </w:pPr>
            <w:r>
              <w:rPr>
                <w:rFonts w:hint="eastAsia"/>
                <w:b/>
                <w:color w:val="auto"/>
              </w:rPr>
              <w:t>供应商应当在法定质疑期内一次性提出针对同一采购程序环节的质疑。</w:t>
            </w:r>
            <w:r>
              <w:rPr>
                <w:rFonts w:ascii="宋体" w:cs="宋体"/>
                <w:b/>
                <w:color w:val="auto"/>
                <w:kern w:val="0"/>
                <w:szCs w:val="21"/>
              </w:rPr>
              <w:br w:type="textWrapping"/>
            </w:r>
            <w:r>
              <w:rPr>
                <w:rFonts w:hint="eastAsia" w:ascii="宋体" w:hAnsi="宋体" w:cs="宋体"/>
                <w:color w:val="auto"/>
                <w:kern w:val="0"/>
                <w:szCs w:val="21"/>
              </w:rPr>
              <w:t xml:space="preserve">    质疑起算日期：</w:t>
            </w:r>
            <w:r>
              <w:rPr>
                <w:rFonts w:ascii="宋体" w:hAnsi="宋体" w:cs="宋体"/>
                <w:color w:val="auto"/>
                <w:kern w:val="0"/>
                <w:szCs w:val="21"/>
              </w:rPr>
              <w:t>1</w:t>
            </w:r>
            <w:r>
              <w:rPr>
                <w:rFonts w:hint="eastAsia" w:ascii="宋体" w:hAnsi="宋体" w:cs="宋体"/>
                <w:color w:val="auto"/>
                <w:kern w:val="0"/>
                <w:szCs w:val="21"/>
              </w:rPr>
              <w:t>、对采购公告信息（含投标人资格条件）提出质疑的，质疑期限自采购公告发布之日起计算。</w:t>
            </w:r>
            <w:r>
              <w:rPr>
                <w:rFonts w:ascii="宋体" w:hAnsi="宋体" w:cs="宋体"/>
                <w:color w:val="auto"/>
                <w:kern w:val="0"/>
                <w:szCs w:val="21"/>
              </w:rPr>
              <w:t>2</w:t>
            </w:r>
            <w:r>
              <w:rPr>
                <w:rFonts w:hint="eastAsia" w:ascii="宋体" w:hAnsi="宋体" w:cs="宋体"/>
                <w:color w:val="auto"/>
                <w:kern w:val="0"/>
                <w:szCs w:val="21"/>
              </w:rPr>
              <w:t>、对招标文件提出质疑的，质疑期限自投标人获得招标文件之日起计算。（发售截止日之后报名的供应商，质疑起算日期以发售截止日起计算）</w:t>
            </w:r>
            <w:r>
              <w:rPr>
                <w:rFonts w:ascii="宋体" w:hAnsi="宋体" w:cs="宋体"/>
                <w:color w:val="auto"/>
                <w:kern w:val="0"/>
                <w:szCs w:val="21"/>
              </w:rPr>
              <w:t>3</w:t>
            </w:r>
            <w:r>
              <w:rPr>
                <w:rFonts w:hint="eastAsia" w:ascii="宋体" w:hAnsi="宋体" w:cs="宋体"/>
                <w:color w:val="auto"/>
                <w:kern w:val="0"/>
                <w:szCs w:val="21"/>
              </w:rPr>
              <w:t>、对采购过程提出质疑的，为各采购程序环节结束之日。</w:t>
            </w:r>
            <w:r>
              <w:rPr>
                <w:rFonts w:ascii="宋体" w:hAnsi="宋体" w:cs="宋体"/>
                <w:color w:val="auto"/>
                <w:kern w:val="0"/>
                <w:szCs w:val="21"/>
              </w:rPr>
              <w:t>4</w:t>
            </w:r>
            <w:r>
              <w:rPr>
                <w:rFonts w:hint="eastAsia" w:ascii="宋体" w:hAnsi="宋体" w:cs="宋体"/>
                <w:color w:val="auto"/>
                <w:kern w:val="0"/>
                <w:szCs w:val="21"/>
              </w:rPr>
              <w:t>、对采购结果提出质疑的，质疑期限自采购结果公告（包括公示、预公告、结果变更公告等）之日起计算。否则，被质疑人不予接受。</w:t>
            </w:r>
            <w:r>
              <w:rPr>
                <w:rFonts w:ascii="宋体" w:cs="宋体"/>
                <w:color w:val="auto"/>
                <w:kern w:val="0"/>
                <w:szCs w:val="21"/>
              </w:rPr>
              <w:br w:type="textWrapping"/>
            </w:r>
            <w:r>
              <w:rPr>
                <w:rFonts w:hint="eastAsia" w:ascii="宋体" w:hAnsi="宋体" w:cs="宋体"/>
                <w:color w:val="auto"/>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51" w:type="dxa"/>
            <w:vAlign w:val="center"/>
          </w:tcPr>
          <w:p>
            <w:pPr>
              <w:numPr>
                <w:ilvl w:val="0"/>
                <w:numId w:val="2"/>
              </w:numPr>
              <w:spacing w:before="24" w:beforeLines="10"/>
              <w:ind w:firstLineChars="0"/>
              <w:jc w:val="center"/>
              <w:rPr>
                <w:rFonts w:ascii="宋体"/>
                <w:color w:val="auto"/>
              </w:rPr>
            </w:pPr>
          </w:p>
        </w:tc>
        <w:tc>
          <w:tcPr>
            <w:tcW w:w="1997" w:type="dxa"/>
            <w:vAlign w:val="center"/>
          </w:tcPr>
          <w:p>
            <w:pPr>
              <w:widowControl/>
              <w:ind w:firstLine="0" w:firstLineChars="0"/>
              <w:jc w:val="left"/>
              <w:rPr>
                <w:rFonts w:ascii="宋体"/>
                <w:color w:val="auto"/>
                <w:kern w:val="0"/>
              </w:rPr>
            </w:pPr>
            <w:r>
              <w:rPr>
                <w:rFonts w:hint="eastAsia" w:ascii="宋体" w:hAnsi="宋体" w:cs="宋体"/>
                <w:color w:val="auto"/>
                <w:kern w:val="0"/>
                <w:szCs w:val="21"/>
              </w:rPr>
              <w:t>质疑受理联系方式</w:t>
            </w:r>
          </w:p>
        </w:tc>
        <w:tc>
          <w:tcPr>
            <w:tcW w:w="6448" w:type="dxa"/>
            <w:vAlign w:val="center"/>
          </w:tcPr>
          <w:p>
            <w:pPr>
              <w:adjustRightInd w:val="0"/>
              <w:snapToGrid w:val="0"/>
              <w:ind w:firstLine="420"/>
              <w:jc w:val="left"/>
              <w:rPr>
                <w:rFonts w:ascii="宋体" w:hAnsi="宋体" w:cs="宋体"/>
                <w:color w:val="auto"/>
                <w:kern w:val="0"/>
                <w:szCs w:val="21"/>
              </w:rPr>
            </w:pPr>
            <w:r>
              <w:rPr>
                <w:rFonts w:hint="eastAsia" w:ascii="宋体" w:hAnsi="宋体" w:cs="宋体"/>
                <w:color w:val="auto"/>
                <w:kern w:val="0"/>
                <w:szCs w:val="21"/>
              </w:rPr>
              <w:t>受理单位：浙江信镧建设工程咨询有限公司</w:t>
            </w:r>
          </w:p>
          <w:p>
            <w:pPr>
              <w:adjustRightInd w:val="0"/>
              <w:snapToGrid w:val="0"/>
              <w:ind w:firstLine="420"/>
              <w:jc w:val="left"/>
              <w:rPr>
                <w:rFonts w:ascii="宋体" w:hAnsi="宋体" w:cs="宋体"/>
                <w:color w:val="auto"/>
                <w:kern w:val="0"/>
                <w:szCs w:val="21"/>
              </w:rPr>
            </w:pPr>
            <w:r>
              <w:rPr>
                <w:rFonts w:hint="eastAsia" w:ascii="宋体" w:hAnsi="宋体" w:cs="宋体"/>
                <w:color w:val="auto"/>
                <w:kern w:val="0"/>
                <w:szCs w:val="21"/>
              </w:rPr>
              <w:t>受理人：姚工</w:t>
            </w:r>
          </w:p>
          <w:p>
            <w:pPr>
              <w:adjustRightInd w:val="0"/>
              <w:snapToGrid w:val="0"/>
              <w:ind w:firstLine="420"/>
              <w:jc w:val="left"/>
              <w:rPr>
                <w:rFonts w:ascii="宋体" w:hAnsi="宋体" w:cs="宋体"/>
                <w:color w:val="auto"/>
                <w:kern w:val="0"/>
                <w:szCs w:val="21"/>
              </w:rPr>
            </w:pPr>
            <w:r>
              <w:rPr>
                <w:rFonts w:hint="eastAsia" w:ascii="宋体" w:hAnsi="宋体" w:cs="宋体"/>
                <w:color w:val="auto"/>
                <w:kern w:val="0"/>
                <w:szCs w:val="21"/>
              </w:rPr>
              <w:t>电话：0571-87967630</w:t>
            </w:r>
          </w:p>
          <w:p>
            <w:pPr>
              <w:adjustRightInd w:val="0"/>
              <w:snapToGrid w:val="0"/>
              <w:ind w:firstLine="420"/>
              <w:jc w:val="left"/>
              <w:rPr>
                <w:rFonts w:ascii="宋体" w:hAnsi="宋体" w:cs="宋体"/>
                <w:color w:val="auto"/>
                <w:kern w:val="0"/>
                <w:szCs w:val="21"/>
              </w:rPr>
            </w:pPr>
            <w:r>
              <w:rPr>
                <w:rFonts w:hint="eastAsia" w:ascii="宋体" w:hAnsi="宋体" w:cs="宋体"/>
                <w:color w:val="auto"/>
                <w:kern w:val="0"/>
                <w:szCs w:val="21"/>
              </w:rPr>
              <w:t>传真：0571-85024997</w:t>
            </w:r>
          </w:p>
          <w:p>
            <w:pPr>
              <w:adjustRightInd w:val="0"/>
              <w:snapToGrid w:val="0"/>
              <w:ind w:firstLine="420"/>
              <w:jc w:val="left"/>
              <w:rPr>
                <w:rFonts w:ascii="宋体" w:hAnsi="宋体" w:cs="宋体"/>
                <w:color w:val="auto"/>
                <w:kern w:val="0"/>
                <w:szCs w:val="21"/>
              </w:rPr>
            </w:pPr>
            <w:r>
              <w:rPr>
                <w:rFonts w:hint="eastAsia" w:ascii="宋体" w:hAnsi="宋体" w:cs="宋体"/>
                <w:color w:val="auto"/>
                <w:kern w:val="0"/>
                <w:szCs w:val="21"/>
              </w:rPr>
              <w:t>邮箱：zjxl87967630@126.com</w:t>
            </w:r>
          </w:p>
          <w:p>
            <w:pPr>
              <w:adjustRightInd w:val="0"/>
              <w:snapToGrid w:val="0"/>
              <w:ind w:firstLine="420"/>
              <w:jc w:val="left"/>
              <w:rPr>
                <w:rFonts w:ascii="宋体" w:hAnsi="宋体" w:cs="宋体"/>
                <w:color w:val="auto"/>
                <w:kern w:val="0"/>
                <w:szCs w:val="21"/>
              </w:rPr>
            </w:pPr>
            <w:r>
              <w:rPr>
                <w:rFonts w:hint="eastAsia" w:ascii="宋体" w:hAnsi="宋体" w:cs="宋体"/>
                <w:color w:val="auto"/>
                <w:kern w:val="0"/>
                <w:szCs w:val="21"/>
              </w:rPr>
              <w:t>地址：杭州西湖区万塘路28号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51" w:type="dxa"/>
            <w:vAlign w:val="center"/>
          </w:tcPr>
          <w:p>
            <w:pPr>
              <w:numPr>
                <w:ilvl w:val="0"/>
                <w:numId w:val="2"/>
              </w:numPr>
              <w:spacing w:before="24" w:beforeLines="10"/>
              <w:ind w:firstLineChars="0"/>
              <w:jc w:val="center"/>
              <w:rPr>
                <w:rFonts w:ascii="宋体"/>
                <w:color w:val="auto"/>
              </w:rPr>
            </w:pPr>
          </w:p>
        </w:tc>
        <w:tc>
          <w:tcPr>
            <w:tcW w:w="1997" w:type="dxa"/>
            <w:vAlign w:val="center"/>
          </w:tcPr>
          <w:p>
            <w:pPr>
              <w:widowControl/>
              <w:ind w:firstLine="0" w:firstLineChars="0"/>
              <w:jc w:val="center"/>
              <w:rPr>
                <w:rFonts w:ascii="宋体" w:hAnsi="宋体" w:cs="宋体"/>
                <w:color w:val="auto"/>
                <w:kern w:val="0"/>
                <w:szCs w:val="21"/>
              </w:rPr>
            </w:pPr>
            <w:r>
              <w:rPr>
                <w:rFonts w:hint="eastAsia" w:ascii="宋体" w:hAnsi="宋体" w:cs="宋体"/>
                <w:color w:val="auto"/>
                <w:kern w:val="0"/>
                <w:szCs w:val="21"/>
              </w:rPr>
              <w:t>投诉</w:t>
            </w:r>
          </w:p>
        </w:tc>
        <w:tc>
          <w:tcPr>
            <w:tcW w:w="6448" w:type="dxa"/>
            <w:vAlign w:val="center"/>
          </w:tcPr>
          <w:p>
            <w:pPr>
              <w:adjustRightInd w:val="0"/>
              <w:snapToGrid w:val="0"/>
              <w:ind w:firstLine="420"/>
              <w:jc w:val="left"/>
              <w:rPr>
                <w:rFonts w:ascii="宋体" w:hAnsi="宋体" w:cs="宋体"/>
                <w:color w:val="auto"/>
                <w:kern w:val="0"/>
                <w:szCs w:val="21"/>
              </w:rPr>
            </w:pPr>
            <w:r>
              <w:rPr>
                <w:rFonts w:hint="eastAsia" w:ascii="宋体" w:hAnsi="宋体" w:cs="宋体"/>
                <w:color w:val="auto"/>
                <w:kern w:val="0"/>
                <w:szCs w:val="21"/>
              </w:rPr>
              <w:t>根据《政府采购质疑和投诉办法》的规定，</w:t>
            </w:r>
            <w:r>
              <w:rPr>
                <w:rFonts w:hint="eastAsia" w:ascii="宋体" w:hAnsi="宋体"/>
                <w:color w:val="auto"/>
                <w:kern w:val="0"/>
              </w:rPr>
              <w:t>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2"/>
              </w:numPr>
              <w:spacing w:before="24" w:beforeLines="10"/>
              <w:ind w:firstLineChars="0"/>
              <w:jc w:val="center"/>
              <w:rPr>
                <w:rFonts w:ascii="宋体"/>
                <w:color w:val="auto"/>
              </w:rPr>
            </w:pPr>
          </w:p>
        </w:tc>
        <w:tc>
          <w:tcPr>
            <w:tcW w:w="1997" w:type="dxa"/>
            <w:vAlign w:val="center"/>
          </w:tcPr>
          <w:p>
            <w:pPr>
              <w:spacing w:before="24" w:beforeLines="10"/>
              <w:ind w:firstLine="0" w:firstLineChars="0"/>
              <w:jc w:val="left"/>
              <w:rPr>
                <w:rFonts w:ascii="宋体"/>
                <w:color w:val="auto"/>
              </w:rPr>
            </w:pPr>
            <w:r>
              <w:rPr>
                <w:rFonts w:hint="eastAsia" w:ascii="宋体" w:hAnsi="宋体"/>
                <w:color w:val="auto"/>
              </w:rPr>
              <w:t>投诉受理联系方式</w:t>
            </w:r>
          </w:p>
        </w:tc>
        <w:tc>
          <w:tcPr>
            <w:tcW w:w="6448" w:type="dxa"/>
            <w:vAlign w:val="center"/>
          </w:tcPr>
          <w:p>
            <w:pPr>
              <w:ind w:firstLine="420"/>
              <w:rPr>
                <w:rFonts w:cs="宋体"/>
                <w:color w:val="auto"/>
              </w:rPr>
            </w:pPr>
            <w:r>
              <w:rPr>
                <w:rFonts w:hint="eastAsia" w:cs="宋体"/>
                <w:color w:val="auto"/>
              </w:rPr>
              <w:t>浙江省财政厅政府采购监管处</w:t>
            </w:r>
          </w:p>
          <w:p>
            <w:pPr>
              <w:ind w:firstLine="420"/>
              <w:rPr>
                <w:rFonts w:cs="宋体"/>
                <w:color w:val="auto"/>
              </w:rPr>
            </w:pPr>
            <w:r>
              <w:rPr>
                <w:rFonts w:hint="eastAsia" w:cs="宋体"/>
                <w:color w:val="auto"/>
              </w:rPr>
              <w:t>联系人：倪老师</w:t>
            </w:r>
          </w:p>
          <w:p>
            <w:pPr>
              <w:ind w:firstLine="420"/>
              <w:rPr>
                <w:rFonts w:cs="宋体"/>
                <w:color w:val="auto"/>
              </w:rPr>
            </w:pPr>
            <w:r>
              <w:rPr>
                <w:rFonts w:hint="eastAsia" w:cs="宋体"/>
                <w:color w:val="auto"/>
              </w:rPr>
              <w:t>监督投诉电话：0571-87057615</w:t>
            </w:r>
          </w:p>
          <w:p>
            <w:pPr>
              <w:ind w:firstLine="420"/>
              <w:rPr>
                <w:rFonts w:cs="宋体"/>
                <w:color w:val="auto"/>
              </w:rPr>
            </w:pPr>
            <w:r>
              <w:rPr>
                <w:rFonts w:hint="eastAsia" w:cs="宋体"/>
                <w:color w:val="auto"/>
              </w:rPr>
              <w:t>传真：0571-87056984</w:t>
            </w:r>
          </w:p>
          <w:p>
            <w:pPr>
              <w:ind w:firstLine="409" w:firstLineChars="195"/>
              <w:rPr>
                <w:rFonts w:ascii="宋体" w:hAnsi="宋体"/>
                <w:color w:val="auto"/>
                <w:kern w:val="0"/>
              </w:rPr>
            </w:pPr>
            <w:r>
              <w:rPr>
                <w:rFonts w:hint="eastAsia" w:cs="宋体"/>
                <w:color w:val="auto"/>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2"/>
              </w:numPr>
              <w:spacing w:before="24" w:beforeLines="10"/>
              <w:ind w:firstLineChars="0"/>
              <w:jc w:val="center"/>
              <w:rPr>
                <w:rFonts w:ascii="宋体"/>
                <w:b/>
                <w:bCs/>
                <w:color w:val="auto"/>
              </w:rPr>
            </w:pPr>
          </w:p>
        </w:tc>
        <w:tc>
          <w:tcPr>
            <w:tcW w:w="1997" w:type="dxa"/>
            <w:vAlign w:val="center"/>
          </w:tcPr>
          <w:p>
            <w:pPr>
              <w:spacing w:before="24" w:beforeLines="10"/>
              <w:ind w:firstLine="0" w:firstLineChars="0"/>
              <w:jc w:val="center"/>
              <w:rPr>
                <w:rFonts w:ascii="宋体"/>
                <w:color w:val="auto"/>
              </w:rPr>
            </w:pPr>
            <w:r>
              <w:rPr>
                <w:rFonts w:hint="eastAsia" w:ascii="宋体" w:hAnsi="宋体"/>
                <w:color w:val="auto"/>
              </w:rPr>
              <w:t>解释顺序</w:t>
            </w:r>
          </w:p>
        </w:tc>
        <w:tc>
          <w:tcPr>
            <w:tcW w:w="6448" w:type="dxa"/>
            <w:vAlign w:val="center"/>
          </w:tcPr>
          <w:p>
            <w:pPr>
              <w:spacing w:before="24" w:beforeLines="10"/>
              <w:ind w:firstLine="420"/>
              <w:jc w:val="left"/>
              <w:rPr>
                <w:rFonts w:ascii="宋体" w:cs="宋体"/>
                <w:color w:val="auto"/>
                <w:kern w:val="0"/>
                <w:szCs w:val="21"/>
              </w:rPr>
            </w:pPr>
            <w:r>
              <w:rPr>
                <w:rFonts w:hint="eastAsia" w:ascii="宋体" w:hAnsi="宋体" w:cs="宋体"/>
                <w:color w:val="auto"/>
                <w:kern w:val="0"/>
                <w:szCs w:val="21"/>
              </w:rPr>
              <w:t>招标文件内容与投标人须知前附表不符之处，以投标人须知前附表为准，浙江信镧建设工程咨询有限公司拥有最终解释权。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2"/>
              </w:numPr>
              <w:spacing w:before="24" w:beforeLines="10"/>
              <w:ind w:firstLineChars="0"/>
              <w:jc w:val="center"/>
              <w:rPr>
                <w:rFonts w:ascii="宋体"/>
                <w:color w:val="auto"/>
              </w:rPr>
            </w:pPr>
          </w:p>
        </w:tc>
        <w:tc>
          <w:tcPr>
            <w:tcW w:w="1997" w:type="dxa"/>
            <w:vAlign w:val="center"/>
          </w:tcPr>
          <w:p>
            <w:pPr>
              <w:ind w:firstLine="420"/>
              <w:rPr>
                <w:rFonts w:ascii="宋体" w:hAnsi="宋体"/>
                <w:color w:val="auto"/>
              </w:rPr>
            </w:pPr>
            <w:r>
              <w:rPr>
                <w:rFonts w:hint="eastAsia" w:ascii="宋体" w:hAnsi="宋体"/>
                <w:color w:val="auto"/>
              </w:rPr>
              <w:t>合同签订</w:t>
            </w:r>
          </w:p>
        </w:tc>
        <w:tc>
          <w:tcPr>
            <w:tcW w:w="6448" w:type="dxa"/>
            <w:vAlign w:val="center"/>
          </w:tcPr>
          <w:p>
            <w:pPr>
              <w:ind w:firstLine="420"/>
              <w:rPr>
                <w:rFonts w:ascii="宋体" w:hAnsi="宋体"/>
                <w:color w:val="auto"/>
                <w:kern w:val="0"/>
              </w:rPr>
            </w:pPr>
            <w:r>
              <w:rPr>
                <w:rFonts w:hint="eastAsia" w:ascii="宋体" w:hAnsi="宋体"/>
                <w:color w:val="auto"/>
                <w:kern w:val="0"/>
              </w:rPr>
              <w:t>必须在成交通知书发放之日起30日内签订完合同。</w:t>
            </w:r>
          </w:p>
        </w:tc>
      </w:tr>
    </w:tbl>
    <w:p>
      <w:pPr>
        <w:pStyle w:val="5"/>
        <w:ind w:firstLine="482"/>
        <w:rPr>
          <w:color w:val="auto"/>
        </w:rPr>
      </w:pPr>
      <w:bookmarkStart w:id="61" w:name="_Toc152045529"/>
      <w:bookmarkStart w:id="62" w:name="_Toc296602420"/>
      <w:bookmarkStart w:id="63" w:name="_Toc246996918"/>
      <w:bookmarkStart w:id="64" w:name="_Toc152042305"/>
      <w:bookmarkStart w:id="65" w:name="_Toc246996175"/>
      <w:bookmarkStart w:id="66" w:name="_Toc144974497"/>
      <w:bookmarkStart w:id="67" w:name="_Toc452457414"/>
      <w:bookmarkStart w:id="68" w:name="_Toc179632546"/>
      <w:bookmarkStart w:id="69" w:name="_Toc247085689"/>
      <w:r>
        <w:rPr>
          <w:color w:val="auto"/>
        </w:rPr>
        <w:br w:type="page"/>
      </w:r>
      <w:bookmarkEnd w:id="61"/>
      <w:bookmarkEnd w:id="62"/>
      <w:bookmarkEnd w:id="63"/>
      <w:bookmarkEnd w:id="64"/>
      <w:bookmarkEnd w:id="65"/>
      <w:bookmarkEnd w:id="66"/>
      <w:bookmarkEnd w:id="67"/>
      <w:bookmarkEnd w:id="68"/>
      <w:bookmarkEnd w:id="69"/>
      <w:bookmarkStart w:id="70" w:name="_Toc50450142"/>
      <w:bookmarkStart w:id="71" w:name="_Toc82338239"/>
      <w:bookmarkStart w:id="72" w:name="_Toc82873322"/>
      <w:bookmarkStart w:id="73" w:name="_Toc450840073"/>
      <w:bookmarkStart w:id="74" w:name="_Toc247085690"/>
      <w:bookmarkStart w:id="75" w:name="_Toc296602421"/>
      <w:bookmarkStart w:id="76" w:name="_Toc246996176"/>
      <w:bookmarkStart w:id="77" w:name="_Toc144974498"/>
      <w:bookmarkStart w:id="78" w:name="_Toc152045530"/>
      <w:bookmarkStart w:id="79" w:name="_Toc246996919"/>
      <w:bookmarkStart w:id="80" w:name="_Toc179632547"/>
      <w:bookmarkStart w:id="81" w:name="_Toc152042306"/>
      <w:r>
        <w:rPr>
          <w:rFonts w:hint="eastAsia"/>
          <w:color w:val="auto"/>
        </w:rPr>
        <w:t>第二章投标人须知</w:t>
      </w:r>
      <w:bookmarkEnd w:id="70"/>
    </w:p>
    <w:bookmarkEnd w:id="71"/>
    <w:bookmarkEnd w:id="72"/>
    <w:bookmarkEnd w:id="73"/>
    <w:p>
      <w:pPr>
        <w:keepNext/>
        <w:keepLines/>
        <w:ind w:firstLine="0" w:firstLineChars="0"/>
        <w:outlineLvl w:val="2"/>
        <w:rPr>
          <w:rFonts w:ascii="宋体" w:hAnsi="宋体" w:cs="宋体"/>
          <w:b/>
          <w:bCs/>
          <w:color w:val="auto"/>
          <w:kern w:val="0"/>
          <w:szCs w:val="21"/>
        </w:rPr>
      </w:pPr>
      <w:bookmarkStart w:id="82" w:name="_Toc82873316"/>
      <w:bookmarkStart w:id="83" w:name="_Toc82338233"/>
      <w:bookmarkStart w:id="84" w:name="_Toc450840079"/>
      <w:r>
        <w:rPr>
          <w:rFonts w:hint="eastAsia" w:ascii="宋体" w:hAnsi="宋体" w:cs="宋体"/>
          <w:b/>
          <w:bCs/>
          <w:color w:val="auto"/>
          <w:kern w:val="0"/>
          <w:szCs w:val="21"/>
        </w:rPr>
        <w:t>1采购说明</w:t>
      </w:r>
    </w:p>
    <w:p>
      <w:pPr>
        <w:keepNext/>
        <w:keepLines/>
        <w:ind w:firstLine="422"/>
        <w:outlineLvl w:val="3"/>
        <w:rPr>
          <w:rFonts w:ascii="宋体" w:hAnsi="宋体" w:cs="宋体"/>
          <w:b/>
          <w:bCs/>
          <w:color w:val="auto"/>
          <w:szCs w:val="21"/>
        </w:rPr>
      </w:pPr>
      <w:r>
        <w:rPr>
          <w:rFonts w:hint="eastAsia" w:ascii="宋体" w:hAnsi="宋体" w:cs="宋体"/>
          <w:b/>
          <w:bCs/>
          <w:color w:val="auto"/>
          <w:szCs w:val="21"/>
        </w:rPr>
        <w:t>1.1采购法律依据</w:t>
      </w:r>
    </w:p>
    <w:p>
      <w:pPr>
        <w:ind w:firstLine="420"/>
        <w:rPr>
          <w:rFonts w:ascii="宋体" w:hAnsi="宋体" w:cs="宋体"/>
          <w:bCs/>
          <w:color w:val="auto"/>
          <w:szCs w:val="21"/>
        </w:rPr>
      </w:pPr>
      <w:r>
        <w:rPr>
          <w:rFonts w:hint="eastAsia" w:ascii="宋体" w:hAnsi="宋体" w:cs="宋体"/>
          <w:color w:val="auto"/>
          <w:szCs w:val="21"/>
        </w:rPr>
        <w:t>本次采购工作是按照《中华人民共和国政府采购法》、《中华人民共和国政府采购法实施条例》、《政府采购货物和服务招标投标管理办法》等有关法规组织和实施。</w:t>
      </w:r>
    </w:p>
    <w:p>
      <w:pPr>
        <w:ind w:firstLine="420"/>
        <w:rPr>
          <w:rFonts w:ascii="宋体" w:hAnsi="宋体" w:cs="宋体"/>
          <w:color w:val="auto"/>
          <w:szCs w:val="21"/>
        </w:rPr>
      </w:pPr>
      <w:r>
        <w:rPr>
          <w:rFonts w:hint="eastAsia" w:ascii="宋体" w:hAnsi="宋体" w:cs="宋体"/>
          <w:color w:val="auto"/>
          <w:szCs w:val="21"/>
        </w:rPr>
        <w:t>定义</w:t>
      </w:r>
    </w:p>
    <w:p>
      <w:pPr>
        <w:ind w:firstLine="420"/>
        <w:rPr>
          <w:rFonts w:ascii="宋体" w:hAnsi="宋体" w:cs="宋体"/>
          <w:color w:val="auto"/>
          <w:szCs w:val="21"/>
        </w:rPr>
      </w:pPr>
      <w:r>
        <w:rPr>
          <w:rFonts w:hint="eastAsia" w:ascii="宋体" w:hAnsi="宋体" w:cs="宋体"/>
          <w:color w:val="auto"/>
          <w:szCs w:val="21"/>
        </w:rPr>
        <w:t>（一）“采购代理机构”系指浙江信镧建设工程咨询有限公司。</w:t>
      </w:r>
    </w:p>
    <w:p>
      <w:pPr>
        <w:ind w:firstLine="420"/>
        <w:rPr>
          <w:rFonts w:ascii="宋体" w:hAnsi="宋体" w:cs="宋体"/>
          <w:color w:val="auto"/>
          <w:szCs w:val="21"/>
        </w:rPr>
      </w:pPr>
      <w:r>
        <w:rPr>
          <w:rFonts w:hint="eastAsia" w:ascii="宋体" w:hAnsi="宋体" w:cs="宋体"/>
          <w:color w:val="auto"/>
          <w:szCs w:val="21"/>
        </w:rPr>
        <w:t>（二）“投标人”系指</w:t>
      </w:r>
      <w:r>
        <w:rPr>
          <w:rFonts w:hint="eastAsia" w:ascii="宋体" w:hAnsi="宋体" w:cs="宋体"/>
          <w:color w:val="auto"/>
          <w:kern w:val="0"/>
          <w:szCs w:val="21"/>
        </w:rPr>
        <w:t>向采购人提交投标文件的法人、其他组织或者自然人</w:t>
      </w:r>
      <w:r>
        <w:rPr>
          <w:rFonts w:hint="eastAsia" w:ascii="宋体" w:hAnsi="宋体" w:cs="宋体"/>
          <w:color w:val="auto"/>
          <w:szCs w:val="21"/>
        </w:rPr>
        <w:t>。</w:t>
      </w:r>
    </w:p>
    <w:p>
      <w:pPr>
        <w:ind w:firstLine="420"/>
        <w:rPr>
          <w:rFonts w:ascii="宋体" w:hAnsi="宋体" w:cs="宋体"/>
          <w:color w:val="auto"/>
          <w:szCs w:val="21"/>
        </w:rPr>
      </w:pPr>
      <w:r>
        <w:rPr>
          <w:rFonts w:hint="eastAsia" w:ascii="宋体" w:hAnsi="宋体" w:cs="宋体"/>
          <w:color w:val="auto"/>
          <w:szCs w:val="21"/>
        </w:rPr>
        <w:t>（三）“货物”系指招标文件规定投标人须向采购人提供的一切材料、设备、机械、仪器仪表、工具及其它有关技术资料和文字材料。</w:t>
      </w:r>
    </w:p>
    <w:p>
      <w:pPr>
        <w:ind w:firstLine="420"/>
        <w:rPr>
          <w:rFonts w:ascii="宋体" w:hAnsi="宋体" w:cs="宋体"/>
          <w:color w:val="auto"/>
          <w:szCs w:val="21"/>
        </w:rPr>
      </w:pPr>
      <w:r>
        <w:rPr>
          <w:rFonts w:hint="eastAsia" w:ascii="宋体" w:hAnsi="宋体" w:cs="宋体"/>
          <w:color w:val="auto"/>
          <w:szCs w:val="21"/>
        </w:rPr>
        <w:t>（四）“服务”系指招标文件规定投标人须承担的劳务以及其他类似的义务。</w:t>
      </w:r>
    </w:p>
    <w:p>
      <w:pPr>
        <w:ind w:firstLine="420"/>
        <w:rPr>
          <w:rFonts w:ascii="宋体" w:hAnsi="宋体" w:cs="宋体"/>
          <w:color w:val="auto"/>
          <w:szCs w:val="21"/>
        </w:rPr>
      </w:pPr>
      <w:r>
        <w:rPr>
          <w:rFonts w:hint="eastAsia" w:ascii="宋体" w:hAnsi="宋体" w:cs="宋体"/>
          <w:color w:val="auto"/>
          <w:szCs w:val="21"/>
        </w:rPr>
        <w:t>（五）“招标人”或“采购人”系指“见投标人须知前附表”。</w:t>
      </w:r>
    </w:p>
    <w:p>
      <w:pPr>
        <w:ind w:firstLine="420"/>
        <w:rPr>
          <w:rFonts w:ascii="宋体" w:hAnsi="宋体" w:cs="宋体"/>
          <w:color w:val="auto"/>
          <w:szCs w:val="21"/>
        </w:rPr>
      </w:pPr>
      <w:r>
        <w:rPr>
          <w:rFonts w:hint="eastAsia" w:ascii="宋体" w:hAnsi="宋体" w:cs="宋体"/>
          <w:color w:val="auto"/>
          <w:szCs w:val="21"/>
        </w:rPr>
        <w:t>（六）“</w:t>
      </w:r>
      <w:r>
        <w:rPr>
          <w:rFonts w:hint="eastAsia" w:ascii="宋体" w:hAnsi="宋体" w:cs="宋体"/>
          <w:bCs/>
          <w:color w:val="auto"/>
          <w:szCs w:val="21"/>
          <w:lang w:val="zh-TW" w:eastAsia="zh-TW"/>
        </w:rPr>
        <w:t>▲</w:t>
      </w:r>
      <w:r>
        <w:rPr>
          <w:rFonts w:hint="eastAsia" w:ascii="宋体" w:hAnsi="宋体" w:cs="宋体"/>
          <w:color w:val="auto"/>
          <w:szCs w:val="21"/>
        </w:rPr>
        <w:t>”指实质性响应内容，“★”指重要指标。</w:t>
      </w:r>
    </w:p>
    <w:p>
      <w:pPr>
        <w:ind w:firstLine="420"/>
        <w:rPr>
          <w:rFonts w:ascii="宋体" w:hAnsi="宋体" w:cs="宋体"/>
          <w:color w:val="auto"/>
          <w:szCs w:val="21"/>
        </w:rPr>
      </w:pPr>
      <w:r>
        <w:rPr>
          <w:rFonts w:hint="eastAsia" w:ascii="宋体" w:hAnsi="宋体" w:cs="宋体"/>
          <w:color w:val="auto"/>
          <w:szCs w:val="21"/>
        </w:rPr>
        <w:t>（七）“废标”系指整个招标活动无效，当时的招标、开标、评标工作不得再继续，应予废标，即便确定了中标人，中标也无效；</w:t>
      </w:r>
    </w:p>
    <w:p>
      <w:pPr>
        <w:ind w:firstLine="420"/>
        <w:rPr>
          <w:rFonts w:ascii="宋体" w:hAnsi="宋体" w:cs="宋体"/>
          <w:color w:val="auto"/>
          <w:szCs w:val="21"/>
        </w:rPr>
      </w:pPr>
      <w:r>
        <w:rPr>
          <w:rFonts w:hint="eastAsia" w:ascii="宋体" w:hAnsi="宋体" w:cs="宋体"/>
          <w:color w:val="auto"/>
          <w:szCs w:val="21"/>
        </w:rPr>
        <w:t>（八）“无效标”系指指某一投标人的投标文件经评委初审认定为无效，将失去参加被评审的资格，在该次投标活动中，该投标人失去中标的可能。</w:t>
      </w:r>
    </w:p>
    <w:p>
      <w:pPr>
        <w:keepNext/>
        <w:keepLines/>
        <w:ind w:firstLine="422"/>
        <w:outlineLvl w:val="3"/>
        <w:rPr>
          <w:rFonts w:ascii="宋体" w:hAnsi="宋体" w:cs="宋体"/>
          <w:b/>
          <w:bCs/>
          <w:color w:val="auto"/>
          <w:szCs w:val="21"/>
        </w:rPr>
      </w:pPr>
      <w:r>
        <w:rPr>
          <w:rFonts w:hint="eastAsia" w:ascii="宋体" w:hAnsi="宋体" w:cs="宋体"/>
          <w:b/>
          <w:bCs/>
          <w:color w:val="auto"/>
          <w:szCs w:val="21"/>
        </w:rPr>
        <w:t>1.2合格的投标人资格要求</w:t>
      </w:r>
    </w:p>
    <w:p>
      <w:pPr>
        <w:ind w:firstLine="420"/>
        <w:rPr>
          <w:rFonts w:ascii="宋体" w:hAnsi="宋体" w:cs="宋体"/>
          <w:color w:val="auto"/>
          <w:szCs w:val="21"/>
        </w:rPr>
      </w:pPr>
      <w:r>
        <w:rPr>
          <w:rFonts w:hint="eastAsia" w:ascii="宋体" w:hAnsi="宋体" w:cs="宋体"/>
          <w:color w:val="auto"/>
          <w:szCs w:val="21"/>
        </w:rPr>
        <w:t>详见招标公告</w:t>
      </w:r>
    </w:p>
    <w:p>
      <w:pPr>
        <w:keepNext/>
        <w:keepLines/>
        <w:ind w:firstLine="422"/>
        <w:outlineLvl w:val="3"/>
        <w:rPr>
          <w:rFonts w:ascii="宋体" w:hAnsi="宋体" w:cs="宋体"/>
          <w:b/>
          <w:bCs/>
          <w:color w:val="auto"/>
          <w:szCs w:val="21"/>
        </w:rPr>
      </w:pPr>
      <w:r>
        <w:rPr>
          <w:rFonts w:hint="eastAsia" w:ascii="宋体" w:hAnsi="宋体" w:cs="宋体"/>
          <w:b/>
          <w:bCs/>
          <w:color w:val="auto"/>
          <w:szCs w:val="21"/>
        </w:rPr>
        <w:t>1.3投标人及委托有关说明</w:t>
      </w:r>
    </w:p>
    <w:p>
      <w:pPr>
        <w:ind w:firstLine="420"/>
        <w:rPr>
          <w:rFonts w:ascii="宋体" w:hAnsi="宋体" w:cs="宋体"/>
          <w:color w:val="auto"/>
          <w:szCs w:val="21"/>
        </w:rPr>
      </w:pPr>
      <w:r>
        <w:rPr>
          <w:rFonts w:hint="eastAsia" w:ascii="宋体" w:hAnsi="宋体" w:cs="宋体"/>
          <w:color w:val="auto"/>
          <w:szCs w:val="21"/>
        </w:rPr>
        <w:t>1.3.1如授权代表不是法定代表人，须有法定代表人出具的授权委托书。</w:t>
      </w:r>
    </w:p>
    <w:p>
      <w:pPr>
        <w:ind w:firstLine="420"/>
        <w:rPr>
          <w:rFonts w:ascii="宋体" w:hAnsi="宋体" w:cs="宋体"/>
          <w:color w:val="auto"/>
          <w:szCs w:val="21"/>
        </w:rPr>
      </w:pPr>
      <w:r>
        <w:rPr>
          <w:rFonts w:hint="eastAsia" w:ascii="宋体" w:hAnsi="宋体" w:cs="宋体"/>
          <w:color w:val="auto"/>
          <w:szCs w:val="21"/>
        </w:rPr>
        <w:t>1.3.2投标人应仔细阅读招标文件的所有内容，按照招标文件的要求提交投标文件，并对所提供的全部资料的真实性承担法律责任。</w:t>
      </w:r>
    </w:p>
    <w:p>
      <w:pPr>
        <w:keepNext/>
        <w:keepLines/>
        <w:ind w:firstLine="422"/>
        <w:outlineLvl w:val="3"/>
        <w:rPr>
          <w:rFonts w:ascii="宋体" w:hAnsi="宋体" w:cs="宋体"/>
          <w:b/>
          <w:bCs/>
          <w:color w:val="auto"/>
          <w:szCs w:val="21"/>
        </w:rPr>
      </w:pPr>
      <w:r>
        <w:rPr>
          <w:rFonts w:hint="eastAsia" w:ascii="宋体" w:hAnsi="宋体" w:cs="宋体"/>
          <w:b/>
          <w:bCs/>
          <w:color w:val="auto"/>
          <w:szCs w:val="21"/>
        </w:rPr>
        <w:t>1.4投标费用</w:t>
      </w:r>
    </w:p>
    <w:p>
      <w:pPr>
        <w:ind w:firstLine="420"/>
        <w:rPr>
          <w:rFonts w:ascii="宋体" w:hAnsi="宋体" w:cs="宋体"/>
          <w:color w:val="auto"/>
          <w:szCs w:val="21"/>
        </w:rPr>
      </w:pPr>
      <w:r>
        <w:rPr>
          <w:rFonts w:hint="eastAsia" w:ascii="宋体" w:hAnsi="宋体" w:cs="宋体"/>
          <w:color w:val="auto"/>
          <w:szCs w:val="21"/>
        </w:rPr>
        <w:t>不论投标结果如何，投标人均应自行承担所有与投标有关的全部费用（招标文件有其他相反规定除外）。</w:t>
      </w:r>
    </w:p>
    <w:p>
      <w:pPr>
        <w:keepNext/>
        <w:keepLines/>
        <w:ind w:firstLine="0" w:firstLineChars="0"/>
        <w:outlineLvl w:val="1"/>
        <w:rPr>
          <w:rFonts w:ascii="宋体" w:hAnsi="宋体" w:cs="宋体"/>
          <w:b/>
          <w:bCs/>
          <w:color w:val="auto"/>
          <w:szCs w:val="21"/>
        </w:rPr>
      </w:pPr>
      <w:bookmarkStart w:id="85" w:name="_Toc450840074"/>
      <w:bookmarkStart w:id="86" w:name="_Toc82873323"/>
      <w:bookmarkStart w:id="87" w:name="_Toc50450143"/>
      <w:bookmarkStart w:id="88" w:name="_Toc82338240"/>
      <w:r>
        <w:rPr>
          <w:rFonts w:hint="eastAsia" w:ascii="宋体" w:hAnsi="宋体" w:cs="宋体"/>
          <w:b/>
          <w:bCs/>
          <w:color w:val="auto"/>
          <w:szCs w:val="21"/>
        </w:rPr>
        <w:t>2招标文件</w:t>
      </w:r>
      <w:bookmarkEnd w:id="85"/>
      <w:bookmarkEnd w:id="86"/>
      <w:bookmarkEnd w:id="87"/>
      <w:bookmarkEnd w:id="88"/>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2.1招标文件的组成</w:t>
      </w:r>
    </w:p>
    <w:p>
      <w:pPr>
        <w:ind w:firstLine="420"/>
        <w:rPr>
          <w:rFonts w:ascii="宋体" w:hAnsi="宋体" w:cs="宋体"/>
          <w:color w:val="auto"/>
          <w:szCs w:val="21"/>
        </w:rPr>
      </w:pPr>
      <w:r>
        <w:rPr>
          <w:rFonts w:hint="eastAsia" w:ascii="宋体" w:hAnsi="宋体" w:cs="宋体"/>
          <w:color w:val="auto"/>
          <w:szCs w:val="21"/>
        </w:rPr>
        <w:t>招标文件由招标文件目录所列内容及招标补充文件（如有）等组成。</w:t>
      </w:r>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2.2招标文件的澄清与修改</w:t>
      </w:r>
    </w:p>
    <w:p>
      <w:pPr>
        <w:ind w:firstLine="420"/>
        <w:rPr>
          <w:rFonts w:ascii="宋体" w:hAnsi="宋体" w:cs="宋体"/>
          <w:color w:val="auto"/>
          <w:szCs w:val="21"/>
        </w:rPr>
      </w:pPr>
      <w:r>
        <w:rPr>
          <w:rFonts w:hint="eastAsia" w:ascii="宋体" w:hAnsi="宋体" w:cs="宋体"/>
          <w:color w:val="auto"/>
          <w:szCs w:val="21"/>
        </w:rPr>
        <w:t>2.2.1投标人对招标文件如有疑点要求澄清，需以书面形式（包括信函、传真）按投标人须知前附表中规定的时间（逾期不再受理）通知采购代理机构，采购代理机构将用书面形式对必要问题予以答复(任何口头答复均不作为投标依据)，逾期不再受理。</w:t>
      </w:r>
    </w:p>
    <w:p>
      <w:pPr>
        <w:ind w:firstLine="420"/>
        <w:rPr>
          <w:rFonts w:ascii="宋体" w:hAnsi="宋体" w:cs="宋体"/>
          <w:color w:val="auto"/>
          <w:szCs w:val="21"/>
        </w:rPr>
      </w:pPr>
      <w:r>
        <w:rPr>
          <w:rFonts w:hint="eastAsia" w:ascii="宋体" w:hAnsi="宋体" w:cs="宋体"/>
          <w:color w:val="auto"/>
          <w:szCs w:val="21"/>
        </w:rPr>
        <w:t>2.2.2如有必要，采购代理机构和采购人对投标人所有要求澄清的问题都予以解答，澄清答复的文件为补充文件，作为招标文件的组成部分，补充文件将以书面形式（包括信函、传真）告知所有按规定成功申请获取采购文件的投标人，补充文件对投标人均有约束力。</w:t>
      </w:r>
    </w:p>
    <w:p>
      <w:pPr>
        <w:ind w:firstLine="420"/>
        <w:rPr>
          <w:rFonts w:ascii="宋体" w:hAnsi="宋体" w:cs="宋体"/>
          <w:color w:val="auto"/>
          <w:szCs w:val="21"/>
        </w:rPr>
      </w:pPr>
      <w:r>
        <w:rPr>
          <w:rFonts w:hint="eastAsia" w:ascii="宋体" w:hAnsi="宋体" w:cs="宋体"/>
          <w:color w:val="auto"/>
          <w:szCs w:val="21"/>
        </w:rPr>
        <w:t>2.2.3在投标文件提交截止时间前，由于各种原因采购人可能以补充文件的形式修改完善采购文件。</w:t>
      </w:r>
    </w:p>
    <w:p>
      <w:pPr>
        <w:ind w:firstLine="420"/>
        <w:rPr>
          <w:rFonts w:ascii="宋体" w:hAnsi="宋体" w:cs="宋体"/>
          <w:color w:val="auto"/>
          <w:szCs w:val="21"/>
        </w:rPr>
      </w:pPr>
      <w:r>
        <w:rPr>
          <w:rFonts w:hint="eastAsia" w:ascii="宋体" w:hAnsi="宋体" w:cs="宋体"/>
          <w:color w:val="auto"/>
          <w:szCs w:val="21"/>
        </w:rPr>
        <w:t>2.2.4澄清或修改的内容可能影响投标文件编制的，采购人或者采购代理机构在投标截止时间至少15日前，在财政部门指定的政府采购信息发布媒体上发布更正公告，并以书面形式通知所有获取采购文件的潜在投标人；不足15日的，采购人或者采购代理机构将顺延提交投标文件的截止时间。</w:t>
      </w:r>
    </w:p>
    <w:p>
      <w:pPr>
        <w:ind w:firstLine="420"/>
        <w:rPr>
          <w:rFonts w:ascii="宋体" w:hAnsi="宋体" w:cs="宋体"/>
          <w:color w:val="auto"/>
          <w:szCs w:val="21"/>
        </w:rPr>
      </w:pPr>
      <w:r>
        <w:rPr>
          <w:rFonts w:hint="eastAsia" w:ascii="宋体" w:hAnsi="宋体" w:cs="宋体"/>
          <w:color w:val="auto"/>
          <w:szCs w:val="21"/>
        </w:rPr>
        <w:t>2.4.5投标人在收到补充文件后，应在24小时内以书面形式向采购代理机构确认已收到该补充文件。逾期未确认视为已收到。</w:t>
      </w:r>
    </w:p>
    <w:p>
      <w:pPr>
        <w:ind w:firstLine="420"/>
        <w:rPr>
          <w:rFonts w:ascii="宋体" w:hAnsi="宋体" w:cs="宋体"/>
          <w:color w:val="auto"/>
          <w:szCs w:val="21"/>
        </w:rPr>
      </w:pPr>
      <w:r>
        <w:rPr>
          <w:rFonts w:hint="eastAsia" w:ascii="宋体" w:hAnsi="宋体" w:cs="宋体"/>
          <w:color w:val="auto"/>
          <w:szCs w:val="21"/>
        </w:rPr>
        <w:t>2.4.6当采购文件与补充文件就同一内容的表述不一致时，以最后发出的书面文件为准。</w:t>
      </w:r>
    </w:p>
    <w:p>
      <w:pPr>
        <w:ind w:firstLine="420"/>
        <w:rPr>
          <w:rFonts w:ascii="宋体" w:hAnsi="宋体" w:cs="宋体"/>
          <w:color w:val="auto"/>
          <w:szCs w:val="21"/>
        </w:rPr>
      </w:pPr>
      <w:r>
        <w:rPr>
          <w:rFonts w:hint="eastAsia" w:ascii="宋体" w:hAnsi="宋体" w:cs="宋体"/>
          <w:color w:val="auto"/>
          <w:szCs w:val="21"/>
        </w:rPr>
        <w:t>2.4.7任何口头答复均不属于采购文件的组成部分。</w:t>
      </w:r>
    </w:p>
    <w:p>
      <w:pPr>
        <w:keepNext/>
        <w:keepLines/>
        <w:ind w:firstLine="0" w:firstLineChars="0"/>
        <w:outlineLvl w:val="1"/>
        <w:rPr>
          <w:rFonts w:ascii="宋体" w:hAnsi="宋体" w:cs="宋体"/>
          <w:b/>
          <w:bCs/>
          <w:color w:val="auto"/>
          <w:szCs w:val="21"/>
        </w:rPr>
      </w:pPr>
      <w:bookmarkStart w:id="89" w:name="_Toc450840075"/>
      <w:bookmarkStart w:id="90" w:name="_Toc82873324"/>
      <w:bookmarkStart w:id="91" w:name="_Toc82338241"/>
      <w:bookmarkStart w:id="92" w:name="_Toc50450144"/>
      <w:r>
        <w:rPr>
          <w:rFonts w:hint="eastAsia" w:ascii="宋体" w:hAnsi="宋体" w:cs="宋体"/>
          <w:b/>
          <w:bCs/>
          <w:color w:val="auto"/>
          <w:szCs w:val="21"/>
        </w:rPr>
        <w:t>3投标文件</w:t>
      </w:r>
      <w:bookmarkEnd w:id="89"/>
      <w:bookmarkEnd w:id="90"/>
      <w:bookmarkEnd w:id="91"/>
      <w:bookmarkEnd w:id="92"/>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3.1投标文件</w:t>
      </w:r>
    </w:p>
    <w:p>
      <w:pPr>
        <w:ind w:firstLine="420"/>
        <w:rPr>
          <w:rFonts w:ascii="宋体" w:hAnsi="宋体" w:cs="宋体"/>
          <w:color w:val="auto"/>
          <w:szCs w:val="21"/>
        </w:rPr>
      </w:pPr>
      <w:r>
        <w:rPr>
          <w:rFonts w:hint="eastAsia" w:ascii="宋体" w:hAnsi="宋体" w:cs="宋体"/>
          <w:color w:val="auto"/>
          <w:szCs w:val="21"/>
        </w:rPr>
        <w:t>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ascii="宋体" w:hAnsi="宋体" w:cs="宋体"/>
          <w:bCs/>
          <w:color w:val="auto"/>
          <w:szCs w:val="21"/>
        </w:rPr>
        <w:t>否则可能导致不利于其投标的评定</w:t>
      </w:r>
      <w:r>
        <w:rPr>
          <w:rFonts w:hint="eastAsia" w:ascii="宋体" w:hAnsi="宋体" w:cs="宋体"/>
          <w:color w:val="auto"/>
          <w:szCs w:val="21"/>
        </w:rPr>
        <w:t>。</w:t>
      </w:r>
      <w:r>
        <w:rPr>
          <w:rFonts w:hint="eastAsia" w:ascii="宋体" w:hAnsi="宋体" w:cs="宋体"/>
          <w:bCs/>
          <w:color w:val="auto"/>
          <w:szCs w:val="21"/>
        </w:rPr>
        <w:t>技术和商务如有偏离均应填写偏离表，如不填写，招标人有权视作完全响应招标文件要求。</w:t>
      </w:r>
      <w:r>
        <w:rPr>
          <w:rFonts w:hint="eastAsia" w:ascii="宋体" w:hAnsi="宋体" w:cs="宋体"/>
          <w:color w:val="auto"/>
          <w:szCs w:val="21"/>
        </w:rPr>
        <w:t>投标文件统一采用汉语言文字，计量单位应使用国际单位（文件中另有规定的除外）。</w:t>
      </w:r>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3.2投标文件的组成</w:t>
      </w:r>
    </w:p>
    <w:p>
      <w:pPr>
        <w:ind w:firstLine="420"/>
        <w:rPr>
          <w:rFonts w:ascii="宋体" w:hAnsi="宋体" w:cs="宋体"/>
          <w:color w:val="auto"/>
          <w:szCs w:val="21"/>
        </w:rPr>
      </w:pPr>
      <w:r>
        <w:rPr>
          <w:rFonts w:hint="eastAsia" w:ascii="宋体" w:hAnsi="宋体" w:cs="宋体"/>
          <w:color w:val="auto"/>
          <w:szCs w:val="21"/>
        </w:rPr>
        <w:t>投标文件由资格证明文件、报价文件、商务技术文件三种文件组成。投标文件的组成和格式见本招标文件第六章。</w:t>
      </w:r>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3.3投标文件的编制</w:t>
      </w:r>
    </w:p>
    <w:p>
      <w:pPr>
        <w:ind w:firstLine="420"/>
        <w:rPr>
          <w:rFonts w:ascii="宋体" w:hAnsi="宋体" w:cs="宋体"/>
          <w:color w:val="auto"/>
          <w:szCs w:val="21"/>
        </w:rPr>
      </w:pPr>
      <w:r>
        <w:rPr>
          <w:rFonts w:hint="eastAsia" w:ascii="宋体" w:hAnsi="宋体" w:cs="宋体"/>
          <w:color w:val="auto"/>
          <w:szCs w:val="21"/>
        </w:rPr>
        <w:t>3.3.1本项目通过“政府采购云平台（www.zcygov.cn）”实行在线投标响应（电子投标）。供应商应通过“政采云电子交易客户端”，并按照本招标文件和“政府采购云平台”的要求编制并加密投标文件。</w:t>
      </w:r>
    </w:p>
    <w:p>
      <w:pPr>
        <w:ind w:firstLine="420"/>
        <w:rPr>
          <w:rFonts w:ascii="宋体" w:hAnsi="宋体" w:cs="宋体"/>
          <w:color w:val="auto"/>
          <w:szCs w:val="21"/>
        </w:rPr>
      </w:pPr>
      <w:r>
        <w:rPr>
          <w:rFonts w:hint="eastAsia" w:ascii="宋体" w:hAnsi="宋体" w:cs="宋体"/>
          <w:color w:val="auto"/>
          <w:szCs w:val="21"/>
        </w:rPr>
        <w:t>3.3.2投标供应商应当按照本文件《第六章投标文件内容及格式》规定的内容及顺序在“政采云电子交易客户端”编制投标文件。其中资格证明文件和商务技术文件中不得出现本项目投标报价，如因投标人原因提前泄露投标报价，是投标人的责任。</w:t>
      </w:r>
    </w:p>
    <w:p>
      <w:pPr>
        <w:ind w:firstLine="420"/>
        <w:rPr>
          <w:rFonts w:ascii="宋体" w:hAnsi="宋体" w:cs="宋体"/>
          <w:color w:val="auto"/>
          <w:szCs w:val="21"/>
        </w:rPr>
      </w:pPr>
      <w:r>
        <w:rPr>
          <w:rFonts w:hint="eastAsia" w:ascii="宋体" w:hAnsi="宋体" w:cs="宋体"/>
          <w:color w:val="auto"/>
          <w:szCs w:val="21"/>
        </w:rPr>
        <w:t>3.3.3本文件《第六章投标文件内容及格式》中有提供格式的，投标供应商须参照格式进行编制（格式中要求提供相关证明材料的还需后附相关证明材料），并按格式要求在指定位置根据要求进行签章；本文件《第六章投标文件内容及格式》未提供格式的，请各投标单位自行拟定格式。</w:t>
      </w:r>
    </w:p>
    <w:p>
      <w:pPr>
        <w:ind w:firstLine="420"/>
        <w:rPr>
          <w:rFonts w:ascii="宋体" w:hAnsi="宋体" w:cs="宋体"/>
          <w:color w:val="auto"/>
          <w:szCs w:val="21"/>
        </w:rPr>
      </w:pPr>
      <w:r>
        <w:rPr>
          <w:rFonts w:hint="eastAsia" w:ascii="宋体" w:hAnsi="宋体" w:cs="宋体"/>
          <w:color w:val="auto"/>
          <w:szCs w:val="21"/>
        </w:rPr>
        <w:t>3.3.4投标人应根据“政采云投标人项目采购-电子招投标操作指南”及本招标文件规定编制电子投标文件并进行关联定位，以便评审委员会在评标时，点击评分项，可直接定位到该评分项内容。</w:t>
      </w:r>
    </w:p>
    <w:p>
      <w:pPr>
        <w:ind w:firstLine="420"/>
        <w:rPr>
          <w:rFonts w:ascii="宋体" w:hAnsi="宋体" w:cs="宋体"/>
          <w:color w:val="auto"/>
          <w:szCs w:val="21"/>
        </w:rPr>
      </w:pPr>
      <w:r>
        <w:rPr>
          <w:rFonts w:hint="eastAsia" w:ascii="宋体" w:hAnsi="宋体" w:cs="宋体"/>
          <w:color w:val="auto"/>
          <w:szCs w:val="21"/>
        </w:rPr>
        <w:t>3.3.5如对招标文件的某项要求，投标人的投标响应文件未能提供相应的内容与其对应，则评审委员会在评审时会提示投标人未对此项招标要求提供相应内容。由此产生的评分影响由投标人自行承担。</w:t>
      </w:r>
    </w:p>
    <w:p>
      <w:pPr>
        <w:ind w:firstLine="420"/>
        <w:rPr>
          <w:rFonts w:ascii="宋体" w:hAnsi="宋体" w:cs="宋体"/>
          <w:color w:val="auto"/>
          <w:szCs w:val="21"/>
        </w:rPr>
      </w:pPr>
      <w:r>
        <w:rPr>
          <w:rFonts w:hint="eastAsia" w:ascii="宋体" w:hAnsi="宋体" w:cs="宋体"/>
          <w:color w:val="auto"/>
          <w:szCs w:val="21"/>
        </w:rPr>
        <w:t>3.3.6投标文件内容不完整、编排混乱导致投标文件被误读、漏读或者查找不到相关内容的，是投标供应商的责任。</w:t>
      </w:r>
    </w:p>
    <w:p>
      <w:pPr>
        <w:keepNext/>
        <w:keepLines/>
        <w:tabs>
          <w:tab w:val="left" w:pos="3345"/>
        </w:tabs>
        <w:ind w:firstLine="0" w:firstLineChars="0"/>
        <w:outlineLvl w:val="1"/>
        <w:rPr>
          <w:rFonts w:ascii="宋体" w:hAnsi="宋体" w:cs="宋体"/>
          <w:b/>
          <w:bCs/>
          <w:color w:val="auto"/>
          <w:szCs w:val="21"/>
        </w:rPr>
      </w:pPr>
      <w:bookmarkStart w:id="93" w:name="_Toc50450145"/>
      <w:r>
        <w:rPr>
          <w:rFonts w:hint="eastAsia" w:ascii="宋体" w:hAnsi="宋体" w:cs="宋体"/>
          <w:b/>
          <w:bCs/>
          <w:color w:val="auto"/>
          <w:szCs w:val="21"/>
        </w:rPr>
        <w:t>4投标文件的签章</w:t>
      </w:r>
      <w:bookmarkEnd w:id="93"/>
      <w:r>
        <w:rPr>
          <w:rFonts w:hint="eastAsia" w:ascii="宋体" w:hAnsi="宋体" w:cs="宋体"/>
          <w:b/>
          <w:bCs/>
          <w:color w:val="auto"/>
          <w:szCs w:val="21"/>
        </w:rPr>
        <w:tab/>
      </w:r>
    </w:p>
    <w:p>
      <w:pPr>
        <w:ind w:firstLine="420"/>
        <w:rPr>
          <w:rFonts w:ascii="宋体" w:hAnsi="宋体" w:cs="宋体"/>
          <w:color w:val="auto"/>
          <w:szCs w:val="21"/>
        </w:rPr>
      </w:pPr>
      <w:r>
        <w:rPr>
          <w:rFonts w:hint="eastAsia" w:ascii="宋体" w:hAnsi="宋体" w:cs="宋体"/>
          <w:color w:val="auto"/>
          <w:szCs w:val="21"/>
        </w:rPr>
        <w:t>4.1投标文件的签章：见投标人须知前附表；</w:t>
      </w:r>
    </w:p>
    <w:p>
      <w:pPr>
        <w:ind w:firstLine="420"/>
        <w:rPr>
          <w:rFonts w:ascii="宋体" w:hAnsi="宋体" w:cs="宋体"/>
          <w:color w:val="auto"/>
          <w:szCs w:val="21"/>
        </w:rPr>
      </w:pPr>
      <w:r>
        <w:rPr>
          <w:rFonts w:hint="eastAsia" w:ascii="宋体" w:hAnsi="宋体" w:cs="宋体"/>
          <w:color w:val="auto"/>
          <w:szCs w:val="21"/>
        </w:rPr>
        <w:t>4.2投标文件中要求签字或盖章的地方，应由投标供应商法定代表人或其授权代表签字（或盖章），并同时加盖投标供应商公章。</w:t>
      </w:r>
    </w:p>
    <w:p>
      <w:pPr>
        <w:ind w:firstLine="420"/>
        <w:rPr>
          <w:rFonts w:ascii="宋体" w:hAnsi="宋体" w:cs="宋体"/>
          <w:color w:val="auto"/>
          <w:szCs w:val="21"/>
        </w:rPr>
      </w:pPr>
      <w:r>
        <w:rPr>
          <w:rFonts w:hint="eastAsia" w:ascii="宋体" w:hAnsi="宋体" w:cs="宋体"/>
          <w:color w:val="auto"/>
          <w:szCs w:val="21"/>
        </w:rPr>
        <w:t>4.3电子签章操作指南详见政府采购云平台服务中心中有关供应商项目采购电子招投标操作指南。</w:t>
      </w:r>
    </w:p>
    <w:p>
      <w:pPr>
        <w:keepNext/>
        <w:keepLines/>
        <w:ind w:firstLine="0" w:firstLineChars="0"/>
        <w:outlineLvl w:val="1"/>
        <w:rPr>
          <w:rFonts w:ascii="宋体" w:hAnsi="宋体" w:cs="宋体"/>
          <w:b/>
          <w:bCs/>
          <w:color w:val="auto"/>
          <w:szCs w:val="21"/>
        </w:rPr>
      </w:pPr>
      <w:bookmarkStart w:id="94" w:name="_Toc50450146"/>
      <w:r>
        <w:rPr>
          <w:rFonts w:hint="eastAsia" w:ascii="宋体" w:hAnsi="宋体" w:cs="宋体"/>
          <w:b/>
          <w:bCs/>
          <w:color w:val="auto"/>
          <w:szCs w:val="21"/>
        </w:rPr>
        <w:t>5投标文件的形式</w:t>
      </w:r>
      <w:bookmarkEnd w:id="94"/>
    </w:p>
    <w:p>
      <w:pPr>
        <w:ind w:firstLine="420"/>
        <w:rPr>
          <w:rFonts w:ascii="宋体" w:hAnsi="宋体" w:cs="宋体"/>
          <w:color w:val="auto"/>
          <w:szCs w:val="21"/>
        </w:rPr>
      </w:pPr>
      <w:r>
        <w:rPr>
          <w:rFonts w:hint="eastAsia" w:ascii="宋体" w:hAnsi="宋体" w:cs="宋体"/>
          <w:color w:val="auto"/>
          <w:szCs w:val="21"/>
        </w:rPr>
        <w:t>5.1投标文件的形式：见投标人须知前附表；</w:t>
      </w:r>
    </w:p>
    <w:p>
      <w:pPr>
        <w:ind w:firstLine="420"/>
        <w:rPr>
          <w:rFonts w:ascii="宋体" w:hAnsi="宋体" w:cs="宋体"/>
          <w:color w:val="auto"/>
          <w:szCs w:val="21"/>
        </w:rPr>
      </w:pPr>
      <w:r>
        <w:rPr>
          <w:rFonts w:hint="eastAsia" w:ascii="宋体" w:hAnsi="宋体" w:cs="宋体"/>
          <w:color w:val="auto"/>
          <w:szCs w:val="21"/>
        </w:rPr>
        <w:t>5.2“电子加密投标文件”：“电子加密投标文件”是指通过“政采云电子交易客户端”完成投标文件编制后生成并加密的数据电文形式的投标文件。</w:t>
      </w:r>
    </w:p>
    <w:p>
      <w:pPr>
        <w:ind w:firstLine="420"/>
        <w:rPr>
          <w:rFonts w:ascii="宋体" w:hAnsi="宋体" w:cs="宋体"/>
          <w:color w:val="auto"/>
          <w:szCs w:val="21"/>
        </w:rPr>
      </w:pPr>
      <w:r>
        <w:rPr>
          <w:rFonts w:hint="eastAsia" w:ascii="宋体" w:hAnsi="宋体" w:cs="宋体"/>
          <w:color w:val="auto"/>
          <w:szCs w:val="21"/>
        </w:rPr>
        <w:t>5.3“备份投标文件”：“备份投标文件”是指与“电子加密投标文件”同时生成的数据电文形式的电子文件（备份标书），其他方式编制的“备份投标文件”视为无效的“备份投标文件”。</w:t>
      </w:r>
    </w:p>
    <w:p>
      <w:pPr>
        <w:keepNext/>
        <w:keepLines/>
        <w:ind w:firstLine="0" w:firstLineChars="0"/>
        <w:outlineLvl w:val="1"/>
        <w:rPr>
          <w:rFonts w:ascii="宋体" w:hAnsi="宋体" w:cs="宋体"/>
          <w:b/>
          <w:bCs/>
          <w:color w:val="auto"/>
          <w:szCs w:val="21"/>
        </w:rPr>
      </w:pPr>
      <w:bookmarkStart w:id="95" w:name="_Toc50450147"/>
      <w:r>
        <w:rPr>
          <w:rFonts w:hint="eastAsia" w:ascii="宋体" w:hAnsi="宋体" w:cs="宋体"/>
          <w:b/>
          <w:bCs/>
          <w:color w:val="auto"/>
          <w:szCs w:val="21"/>
        </w:rPr>
        <w:t>6投标文件的份数</w:t>
      </w:r>
      <w:bookmarkEnd w:id="95"/>
    </w:p>
    <w:p>
      <w:pPr>
        <w:ind w:firstLine="420"/>
        <w:rPr>
          <w:rFonts w:ascii="宋体" w:hAnsi="宋体" w:cs="宋体"/>
          <w:color w:val="auto"/>
          <w:szCs w:val="21"/>
        </w:rPr>
      </w:pPr>
      <w:r>
        <w:rPr>
          <w:rFonts w:hint="eastAsia" w:ascii="宋体" w:hAnsi="宋体" w:cs="宋体"/>
          <w:color w:val="auto"/>
          <w:szCs w:val="21"/>
        </w:rPr>
        <w:t>6.1投标文件的份数：见投标人须知前附表。</w:t>
      </w:r>
    </w:p>
    <w:p>
      <w:pPr>
        <w:keepNext/>
        <w:keepLines/>
        <w:ind w:firstLine="0" w:firstLineChars="0"/>
        <w:outlineLvl w:val="1"/>
        <w:rPr>
          <w:rFonts w:ascii="宋体" w:hAnsi="宋体" w:cs="宋体"/>
          <w:b/>
          <w:bCs/>
          <w:color w:val="auto"/>
          <w:szCs w:val="21"/>
        </w:rPr>
      </w:pPr>
      <w:bookmarkStart w:id="96" w:name="_Toc50450148"/>
      <w:r>
        <w:rPr>
          <w:rFonts w:hint="eastAsia" w:ascii="宋体" w:hAnsi="宋体" w:cs="宋体"/>
          <w:b/>
          <w:bCs/>
          <w:color w:val="auto"/>
          <w:szCs w:val="21"/>
        </w:rPr>
        <w:t>7投标文件的上传和递交</w:t>
      </w:r>
      <w:bookmarkEnd w:id="96"/>
    </w:p>
    <w:p>
      <w:pPr>
        <w:ind w:firstLine="420"/>
        <w:rPr>
          <w:rFonts w:ascii="宋体" w:hAnsi="宋体" w:cs="宋体"/>
          <w:color w:val="auto"/>
          <w:szCs w:val="21"/>
        </w:rPr>
      </w:pPr>
      <w:r>
        <w:rPr>
          <w:rFonts w:hint="eastAsia" w:ascii="宋体" w:hAnsi="宋体" w:cs="宋体"/>
          <w:color w:val="auto"/>
          <w:szCs w:val="21"/>
        </w:rPr>
        <w:t>7.1“投标文件”的上传、递交：见投标人须知前附表。</w:t>
      </w:r>
    </w:p>
    <w:p>
      <w:pPr>
        <w:keepNext/>
        <w:keepLines/>
        <w:ind w:firstLine="0" w:firstLineChars="0"/>
        <w:outlineLvl w:val="1"/>
        <w:rPr>
          <w:rFonts w:ascii="宋体" w:hAnsi="宋体" w:cs="宋体"/>
          <w:b/>
          <w:bCs/>
          <w:color w:val="auto"/>
          <w:szCs w:val="21"/>
        </w:rPr>
      </w:pPr>
      <w:bookmarkStart w:id="97" w:name="_Toc50450149"/>
      <w:r>
        <w:rPr>
          <w:rFonts w:hint="eastAsia" w:ascii="宋体" w:hAnsi="宋体" w:cs="宋体"/>
          <w:b/>
          <w:bCs/>
          <w:color w:val="auto"/>
          <w:szCs w:val="21"/>
        </w:rPr>
        <w:t>8“电子加密投标文件”解密和异常情况处理</w:t>
      </w:r>
      <w:bookmarkEnd w:id="97"/>
    </w:p>
    <w:p>
      <w:pPr>
        <w:ind w:firstLine="420"/>
        <w:rPr>
          <w:rFonts w:ascii="宋体" w:hAnsi="宋体" w:cs="宋体"/>
          <w:color w:val="auto"/>
          <w:szCs w:val="21"/>
        </w:rPr>
      </w:pPr>
      <w:r>
        <w:rPr>
          <w:rFonts w:hint="eastAsia" w:ascii="宋体" w:hAnsi="宋体" w:cs="宋体"/>
          <w:color w:val="auto"/>
          <w:szCs w:val="21"/>
        </w:rPr>
        <w:t>8.1“电子加密投标文件”解密：见投标人须知前附表。</w:t>
      </w:r>
    </w:p>
    <w:p>
      <w:pPr>
        <w:keepNext/>
        <w:keepLines/>
        <w:ind w:firstLine="0" w:firstLineChars="0"/>
        <w:outlineLvl w:val="1"/>
        <w:rPr>
          <w:rFonts w:ascii="宋体" w:hAnsi="宋体" w:cs="宋体"/>
          <w:b/>
          <w:bCs/>
          <w:color w:val="auto"/>
          <w:szCs w:val="21"/>
        </w:rPr>
      </w:pPr>
      <w:bookmarkStart w:id="98" w:name="_Toc50450150"/>
      <w:r>
        <w:rPr>
          <w:rFonts w:hint="eastAsia" w:ascii="宋体" w:hAnsi="宋体" w:cs="宋体"/>
          <w:b/>
          <w:bCs/>
          <w:color w:val="auto"/>
          <w:szCs w:val="21"/>
        </w:rPr>
        <w:t>9投标文件的补充、修改或撤回</w:t>
      </w:r>
      <w:bookmarkEnd w:id="98"/>
    </w:p>
    <w:p>
      <w:pPr>
        <w:ind w:firstLine="420"/>
        <w:rPr>
          <w:rFonts w:ascii="宋体" w:hAnsi="宋体" w:cs="宋体"/>
          <w:color w:val="auto"/>
          <w:szCs w:val="21"/>
        </w:rPr>
      </w:pPr>
      <w:r>
        <w:rPr>
          <w:rFonts w:hint="eastAsia" w:ascii="宋体" w:hAnsi="宋体" w:cs="宋体"/>
          <w:color w:val="auto"/>
          <w:szCs w:val="21"/>
        </w:rPr>
        <w:t>9.1供应商应当在投标截止时间前完成投标的传输递交，并可以补充、修改或者撤回投标文件。补充或者修改投标文件的，应当先行撤回原文件，补充、修改后重新传输递交。投标截止时间前未完成传输的，视为撤回投标文件。投标截止时间后递交的投标文件，“政府采购云平台”将予以拒收。</w:t>
      </w:r>
    </w:p>
    <w:p>
      <w:pPr>
        <w:ind w:firstLine="420"/>
        <w:rPr>
          <w:rFonts w:ascii="宋体" w:hAnsi="宋体" w:cs="宋体"/>
          <w:color w:val="auto"/>
          <w:szCs w:val="21"/>
        </w:rPr>
      </w:pPr>
      <w:r>
        <w:rPr>
          <w:rFonts w:hint="eastAsia" w:ascii="宋体" w:hAnsi="宋体" w:cs="宋体"/>
          <w:color w:val="auto"/>
          <w:szCs w:val="21"/>
        </w:rPr>
        <w:t>9.2投标截止时间后，投标供应商不得撤回、修改投标文件。</w:t>
      </w:r>
    </w:p>
    <w:p>
      <w:pPr>
        <w:keepNext/>
        <w:keepLines/>
        <w:ind w:firstLine="0" w:firstLineChars="0"/>
        <w:outlineLvl w:val="1"/>
        <w:rPr>
          <w:rFonts w:ascii="宋体" w:hAnsi="宋体" w:cs="宋体"/>
          <w:b/>
          <w:bCs/>
          <w:color w:val="auto"/>
          <w:szCs w:val="21"/>
        </w:rPr>
      </w:pPr>
      <w:bookmarkStart w:id="99" w:name="_Toc50450151"/>
      <w:r>
        <w:rPr>
          <w:rFonts w:hint="eastAsia" w:ascii="宋体" w:hAnsi="宋体" w:cs="宋体"/>
          <w:b/>
          <w:bCs/>
          <w:color w:val="auto"/>
          <w:szCs w:val="21"/>
        </w:rPr>
        <w:t>10投标文件的备选方案</w:t>
      </w:r>
      <w:bookmarkEnd w:id="99"/>
    </w:p>
    <w:p>
      <w:pPr>
        <w:ind w:firstLine="371" w:firstLineChars="177"/>
        <w:rPr>
          <w:rFonts w:ascii="宋体" w:hAnsi="宋体" w:cs="宋体"/>
          <w:color w:val="auto"/>
          <w:szCs w:val="21"/>
        </w:rPr>
      </w:pPr>
      <w:r>
        <w:rPr>
          <w:rFonts w:hint="eastAsia" w:ascii="宋体" w:hAnsi="宋体" w:cs="宋体"/>
          <w:color w:val="auto"/>
          <w:szCs w:val="21"/>
        </w:rPr>
        <w:t>10.1投标供应商不得递交任何的投标备选（替代）方案，否则其投标文件将作无效标处理。与“电子加密投标文件”同时生成的“备份投标文件”不是投标备选（替代）方案。</w:t>
      </w:r>
    </w:p>
    <w:p>
      <w:pPr>
        <w:keepNext/>
        <w:keepLines/>
        <w:ind w:firstLine="0" w:firstLineChars="0"/>
        <w:outlineLvl w:val="1"/>
        <w:rPr>
          <w:rFonts w:ascii="宋体" w:hAnsi="宋体" w:cs="宋体"/>
          <w:b/>
          <w:bCs/>
          <w:color w:val="auto"/>
          <w:szCs w:val="21"/>
        </w:rPr>
      </w:pPr>
      <w:bookmarkStart w:id="100" w:name="_Toc50450152"/>
      <w:r>
        <w:rPr>
          <w:rFonts w:hint="eastAsia" w:ascii="宋体" w:hAnsi="宋体" w:cs="宋体"/>
          <w:b/>
          <w:bCs/>
          <w:color w:val="auto"/>
          <w:szCs w:val="21"/>
        </w:rPr>
        <w:t>11报价要求</w:t>
      </w:r>
      <w:bookmarkEnd w:id="100"/>
    </w:p>
    <w:p>
      <w:pPr>
        <w:ind w:firstLine="420"/>
        <w:rPr>
          <w:rFonts w:ascii="宋体" w:hAnsi="宋体" w:cs="宋体"/>
          <w:bCs/>
          <w:color w:val="auto"/>
          <w:szCs w:val="21"/>
        </w:rPr>
      </w:pPr>
      <w:r>
        <w:rPr>
          <w:rFonts w:hint="eastAsia" w:ascii="宋体" w:hAnsi="宋体" w:cs="宋体"/>
          <w:color w:val="auto"/>
          <w:szCs w:val="21"/>
        </w:rPr>
        <w:t>11.1投标人根据招标文件的要求，将产品、标准附件、备品备件、专用工具、图纸资料、技术服务，包装、仓储、装卸、运输，保险、税金，货到就位以及安装、调试，检验、检测，培训、保修等通过验收直至交付使用单位，达到使用要求及质量标准、质保期服务所需的全部费用及采购代理服务费、履约验收费用均包含在总价之中。</w:t>
      </w:r>
      <w:r>
        <w:rPr>
          <w:rFonts w:hint="eastAsia" w:ascii="宋体" w:hAnsi="宋体" w:cs="宋体"/>
          <w:bCs/>
          <w:color w:val="auto"/>
          <w:szCs w:val="21"/>
        </w:rPr>
        <w:t>投标人的报价应按招标文件要求的格式、顺序编制。</w:t>
      </w:r>
    </w:p>
    <w:p>
      <w:pPr>
        <w:ind w:firstLine="420"/>
        <w:rPr>
          <w:rFonts w:ascii="宋体" w:hAnsi="宋体" w:cs="宋体"/>
          <w:color w:val="auto"/>
          <w:szCs w:val="21"/>
        </w:rPr>
      </w:pPr>
      <w:r>
        <w:rPr>
          <w:rFonts w:hint="eastAsia" w:ascii="宋体" w:hAnsi="宋体" w:cs="宋体"/>
          <w:color w:val="auto"/>
          <w:szCs w:val="21"/>
        </w:rPr>
        <w:t>11.2 投标报价应按不同费用构成分开填写，详见投标文件附件格式。</w:t>
      </w:r>
    </w:p>
    <w:p>
      <w:pPr>
        <w:ind w:firstLine="420"/>
        <w:rPr>
          <w:rFonts w:ascii="宋体" w:hAnsi="宋体" w:cs="宋体"/>
          <w:color w:val="auto"/>
          <w:szCs w:val="21"/>
        </w:rPr>
      </w:pPr>
      <w:r>
        <w:rPr>
          <w:rFonts w:hint="eastAsia" w:ascii="宋体" w:hAnsi="宋体" w:cs="宋体"/>
          <w:bCs/>
          <w:color w:val="auto"/>
          <w:szCs w:val="21"/>
        </w:rPr>
        <w:t>11.3本项目只允许有一个报价，不接受有选择报价的投标文件。</w:t>
      </w:r>
    </w:p>
    <w:p>
      <w:pPr>
        <w:ind w:firstLine="420"/>
        <w:rPr>
          <w:rFonts w:ascii="宋体" w:hAnsi="宋体" w:cs="宋体"/>
          <w:bCs/>
          <w:color w:val="auto"/>
          <w:szCs w:val="21"/>
        </w:rPr>
      </w:pPr>
      <w:r>
        <w:rPr>
          <w:rFonts w:hint="eastAsia" w:ascii="宋体" w:hAnsi="宋体" w:cs="宋体"/>
          <w:bCs/>
          <w:color w:val="auto"/>
          <w:szCs w:val="21"/>
        </w:rPr>
        <w:t>11.4投标人应对本项目规定的全部内容进行报价。</w:t>
      </w:r>
    </w:p>
    <w:p>
      <w:pPr>
        <w:keepNext/>
        <w:keepLines/>
        <w:ind w:firstLine="0" w:firstLineChars="0"/>
        <w:outlineLvl w:val="1"/>
        <w:rPr>
          <w:rFonts w:ascii="宋体" w:hAnsi="宋体" w:cs="宋体"/>
          <w:b/>
          <w:bCs/>
          <w:color w:val="auto"/>
          <w:szCs w:val="21"/>
        </w:rPr>
      </w:pPr>
      <w:bookmarkStart w:id="101" w:name="_Toc50450153"/>
      <w:r>
        <w:rPr>
          <w:rFonts w:hint="eastAsia" w:ascii="宋体" w:hAnsi="宋体" w:cs="宋体"/>
          <w:b/>
          <w:bCs/>
          <w:color w:val="auto"/>
          <w:szCs w:val="21"/>
        </w:rPr>
        <w:t>12投标有效期</w:t>
      </w:r>
      <w:bookmarkEnd w:id="101"/>
    </w:p>
    <w:p>
      <w:pPr>
        <w:ind w:firstLine="420"/>
        <w:rPr>
          <w:rFonts w:ascii="宋体" w:hAnsi="宋体" w:cs="宋体"/>
          <w:color w:val="auto"/>
          <w:szCs w:val="21"/>
        </w:rPr>
      </w:pPr>
      <w:r>
        <w:rPr>
          <w:rFonts w:hint="eastAsia" w:ascii="宋体" w:hAnsi="宋体" w:cs="宋体"/>
          <w:color w:val="auto"/>
          <w:szCs w:val="21"/>
        </w:rPr>
        <w:t>12.1 投标有效期见投标人须知前附表。投标有效期内，投标文件应保持有效。</w:t>
      </w:r>
    </w:p>
    <w:p>
      <w:pPr>
        <w:ind w:firstLine="420"/>
        <w:rPr>
          <w:rFonts w:ascii="宋体" w:hAnsi="宋体" w:cs="宋体"/>
          <w:color w:val="auto"/>
          <w:szCs w:val="21"/>
        </w:rPr>
      </w:pPr>
      <w:r>
        <w:rPr>
          <w:rFonts w:hint="eastAsia" w:ascii="宋体" w:hAnsi="宋体" w:cs="宋体"/>
          <w:color w:val="auto"/>
          <w:szCs w:val="21"/>
        </w:rPr>
        <w:t>12.2 在特殊情况下，招标人可与投标人协商延长投标有效期，这种要求和答复均应以书面形式进行。</w:t>
      </w:r>
    </w:p>
    <w:p>
      <w:pPr>
        <w:ind w:firstLine="420"/>
        <w:rPr>
          <w:rFonts w:ascii="宋体" w:hAnsi="宋体" w:cs="宋体"/>
          <w:color w:val="auto"/>
          <w:szCs w:val="21"/>
        </w:rPr>
      </w:pPr>
      <w:r>
        <w:rPr>
          <w:rFonts w:hint="eastAsia" w:ascii="宋体" w:hAnsi="宋体" w:cs="宋体"/>
          <w:color w:val="auto"/>
          <w:szCs w:val="21"/>
        </w:rPr>
        <w:t>12.3 投标人可拒绝接受延期。同意延长有效期的投标人不能修改投标文件。</w:t>
      </w:r>
    </w:p>
    <w:p>
      <w:pPr>
        <w:keepNext/>
        <w:keepLines/>
        <w:ind w:firstLine="0" w:firstLineChars="0"/>
        <w:outlineLvl w:val="1"/>
        <w:rPr>
          <w:rFonts w:ascii="宋体" w:hAnsi="宋体" w:cs="宋体"/>
          <w:b/>
          <w:bCs/>
          <w:color w:val="auto"/>
          <w:szCs w:val="21"/>
        </w:rPr>
      </w:pPr>
      <w:bookmarkStart w:id="102" w:name="_Toc50450154"/>
      <w:r>
        <w:rPr>
          <w:rFonts w:hint="eastAsia" w:ascii="宋体" w:hAnsi="宋体" w:cs="宋体"/>
          <w:b/>
          <w:bCs/>
          <w:color w:val="auto"/>
          <w:szCs w:val="21"/>
        </w:rPr>
        <w:t>13投标截止时间的变更</w:t>
      </w:r>
      <w:bookmarkEnd w:id="102"/>
    </w:p>
    <w:p>
      <w:pPr>
        <w:ind w:firstLine="420"/>
        <w:rPr>
          <w:rFonts w:ascii="宋体" w:hAnsi="宋体" w:cs="宋体"/>
          <w:color w:val="auto"/>
          <w:szCs w:val="21"/>
        </w:rPr>
      </w:pPr>
      <w:r>
        <w:rPr>
          <w:rFonts w:hint="eastAsia" w:ascii="宋体" w:hAnsi="宋体" w:cs="宋体"/>
          <w:color w:val="auto"/>
          <w:szCs w:val="21"/>
        </w:rPr>
        <w:t>招标人在投标截止前如因故推迟投标截止时间，将以书面形式通知所有投标人。在这种情况下，招标人和投标人的权利和义务将受到新的截止时间的约束。</w:t>
      </w:r>
    </w:p>
    <w:p>
      <w:pPr>
        <w:keepNext/>
        <w:keepLines/>
        <w:ind w:firstLine="0" w:firstLineChars="0"/>
        <w:outlineLvl w:val="1"/>
        <w:rPr>
          <w:rFonts w:ascii="宋体" w:hAnsi="宋体" w:cs="宋体"/>
          <w:b/>
          <w:bCs/>
          <w:color w:val="auto"/>
          <w:szCs w:val="21"/>
        </w:rPr>
      </w:pPr>
      <w:bookmarkStart w:id="103" w:name="_Toc50450155"/>
      <w:r>
        <w:rPr>
          <w:rFonts w:hint="eastAsia" w:ascii="宋体" w:hAnsi="宋体" w:cs="宋体"/>
          <w:b/>
          <w:bCs/>
          <w:color w:val="auto"/>
          <w:szCs w:val="21"/>
        </w:rPr>
        <w:t>14投标文件的澄清与修正</w:t>
      </w:r>
      <w:bookmarkEnd w:id="103"/>
    </w:p>
    <w:p>
      <w:pPr>
        <w:ind w:firstLine="420"/>
        <w:rPr>
          <w:rFonts w:ascii="宋体" w:hAnsi="宋体" w:cs="宋体"/>
          <w:color w:val="auto"/>
          <w:szCs w:val="21"/>
        </w:rPr>
      </w:pPr>
      <w:r>
        <w:rPr>
          <w:rFonts w:hint="eastAsia" w:ascii="宋体" w:hAnsi="宋体" w:cs="宋体"/>
          <w:color w:val="auto"/>
          <w:szCs w:val="21"/>
        </w:rPr>
        <w:t>14.1对于投标文件中含义不明确、同类问题表述不一致或者有明显文字和计算错误的内容，评标委员会将以书面（或通过“政府采购云平台”在线询标）的形式要求投标供应商在规定的时间内作出必要的澄清、说明或者补正。</w:t>
      </w:r>
    </w:p>
    <w:p>
      <w:pPr>
        <w:ind w:firstLine="420"/>
        <w:rPr>
          <w:rFonts w:ascii="宋体" w:hAnsi="宋体" w:cs="宋体"/>
          <w:color w:val="auto"/>
          <w:szCs w:val="21"/>
        </w:rPr>
      </w:pPr>
      <w:r>
        <w:rPr>
          <w:rFonts w:hint="eastAsia" w:ascii="宋体" w:hAnsi="宋体" w:cs="宋体"/>
          <w:color w:val="auto"/>
          <w:szCs w:val="21"/>
        </w:rPr>
        <w:t>14.2投标供应商的澄清、说明或者补正应当采用书面（或通过“政府采购云平台”在线答复）的形式提交，并加盖公章，或者由法定代表人或其授权的代表签字确认。投标供应商的澄清、说明或者补正不得超出投标文件的范围或者改变投标文件的实质性内容。</w:t>
      </w:r>
    </w:p>
    <w:p>
      <w:pPr>
        <w:ind w:firstLine="420"/>
        <w:rPr>
          <w:rFonts w:ascii="宋体" w:hAnsi="宋体" w:cs="宋体"/>
          <w:color w:val="auto"/>
          <w:szCs w:val="21"/>
        </w:rPr>
      </w:pPr>
      <w:r>
        <w:rPr>
          <w:rFonts w:hint="eastAsia" w:ascii="宋体" w:hAnsi="宋体" w:cs="宋体"/>
          <w:color w:val="auto"/>
          <w:szCs w:val="21"/>
        </w:rPr>
        <w:t>14.3投标文件报价出现前后不一致的，除招标文件另有规定外，按照下列规定修正：</w:t>
      </w:r>
    </w:p>
    <w:p>
      <w:pPr>
        <w:ind w:firstLine="420"/>
        <w:rPr>
          <w:rFonts w:ascii="宋体" w:hAnsi="宋体" w:cs="宋体"/>
          <w:color w:val="auto"/>
          <w:szCs w:val="21"/>
        </w:rPr>
      </w:pPr>
      <w:r>
        <w:rPr>
          <w:rFonts w:hint="eastAsia" w:ascii="宋体" w:hAnsi="宋体" w:cs="宋体"/>
          <w:color w:val="auto"/>
          <w:szCs w:val="21"/>
        </w:rPr>
        <w:t>（一）投标文件中开标一览表（报价表）内容与投标文件中相应内容不一致的，以开标一览表（报价表）为准；</w:t>
      </w:r>
    </w:p>
    <w:p>
      <w:pPr>
        <w:ind w:firstLine="420"/>
        <w:rPr>
          <w:rFonts w:ascii="宋体" w:hAnsi="宋体" w:cs="宋体"/>
          <w:color w:val="auto"/>
          <w:szCs w:val="21"/>
        </w:rPr>
      </w:pPr>
      <w:r>
        <w:rPr>
          <w:rFonts w:hint="eastAsia" w:ascii="宋体" w:hAnsi="宋体" w:cs="宋体"/>
          <w:color w:val="auto"/>
          <w:szCs w:val="21"/>
        </w:rPr>
        <w:t>（二）大写金额和小写金额不一致的，以大写金额为准；</w:t>
      </w:r>
    </w:p>
    <w:p>
      <w:pPr>
        <w:ind w:firstLine="420"/>
        <w:rPr>
          <w:rFonts w:ascii="宋体" w:hAnsi="宋体" w:cs="宋体"/>
          <w:color w:val="auto"/>
          <w:szCs w:val="21"/>
        </w:rPr>
      </w:pPr>
      <w:r>
        <w:rPr>
          <w:rFonts w:hint="eastAsia" w:ascii="宋体" w:hAnsi="宋体" w:cs="宋体"/>
          <w:color w:val="auto"/>
          <w:szCs w:val="21"/>
        </w:rPr>
        <w:t>（三）单价金额小数点或者百分比有明显错位的，以开标一览表的总价为准，并修改单价；</w:t>
      </w:r>
    </w:p>
    <w:p>
      <w:pPr>
        <w:ind w:firstLine="420"/>
        <w:rPr>
          <w:rFonts w:ascii="宋体" w:hAnsi="宋体" w:cs="宋体"/>
          <w:color w:val="auto"/>
          <w:szCs w:val="21"/>
        </w:rPr>
      </w:pPr>
      <w:r>
        <w:rPr>
          <w:rFonts w:hint="eastAsia" w:ascii="宋体" w:hAnsi="宋体" w:cs="宋体"/>
          <w:color w:val="auto"/>
          <w:szCs w:val="21"/>
        </w:rPr>
        <w:t>（四）总价金额与按单价汇总金额不一致的，以单价金额计算结果为准。</w:t>
      </w:r>
    </w:p>
    <w:p>
      <w:pPr>
        <w:ind w:firstLine="420"/>
        <w:rPr>
          <w:rFonts w:ascii="宋体" w:hAnsi="宋体" w:cs="宋体"/>
          <w:color w:val="auto"/>
          <w:szCs w:val="21"/>
        </w:rPr>
      </w:pPr>
      <w:r>
        <w:rPr>
          <w:rFonts w:hint="eastAsia" w:ascii="宋体" w:hAnsi="宋体" w:cs="宋体"/>
          <w:color w:val="auto"/>
          <w:szCs w:val="21"/>
        </w:rPr>
        <w:t>　同时出现两种以上不一致的，按照前款规定的顺序修正。由投标人采用书面（或通过“政府采购云平台”在线答复）形式修正报价，并加盖公章，或者由法定代表人或其授权的代表签字确认。经投标人确认后产生约束力，投标人不确认的，其投标无效。</w:t>
      </w:r>
    </w:p>
    <w:p>
      <w:pPr>
        <w:keepNext/>
        <w:keepLines/>
        <w:ind w:firstLine="0" w:firstLineChars="0"/>
        <w:outlineLvl w:val="1"/>
        <w:rPr>
          <w:rFonts w:ascii="宋体" w:hAnsi="宋体" w:cs="宋体"/>
          <w:b/>
          <w:bCs/>
          <w:color w:val="auto"/>
          <w:szCs w:val="21"/>
        </w:rPr>
      </w:pPr>
      <w:bookmarkStart w:id="104" w:name="_Toc82873326"/>
      <w:bookmarkStart w:id="105" w:name="_Toc82338243"/>
      <w:bookmarkStart w:id="106" w:name="_Toc482006357"/>
      <w:bookmarkStart w:id="107" w:name="_Toc450840077"/>
      <w:bookmarkStart w:id="108" w:name="_Toc2078365"/>
      <w:bookmarkStart w:id="109" w:name="_Toc50450156"/>
      <w:r>
        <w:rPr>
          <w:rFonts w:hint="eastAsia" w:ascii="宋体" w:hAnsi="宋体" w:cs="宋体"/>
          <w:b/>
          <w:bCs/>
          <w:color w:val="auto"/>
          <w:szCs w:val="21"/>
        </w:rPr>
        <w:t>15开标、评</w:t>
      </w:r>
      <w:bookmarkEnd w:id="104"/>
      <w:bookmarkEnd w:id="105"/>
      <w:r>
        <w:rPr>
          <w:rFonts w:hint="eastAsia" w:ascii="宋体" w:hAnsi="宋体" w:cs="宋体"/>
          <w:b/>
          <w:bCs/>
          <w:color w:val="auto"/>
          <w:szCs w:val="21"/>
        </w:rPr>
        <w:t>标及合同签订</w:t>
      </w:r>
      <w:bookmarkEnd w:id="106"/>
      <w:bookmarkEnd w:id="107"/>
      <w:bookmarkEnd w:id="108"/>
      <w:bookmarkEnd w:id="109"/>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15.1开标</w:t>
      </w:r>
    </w:p>
    <w:p>
      <w:pPr>
        <w:keepNext/>
        <w:keepLines/>
        <w:ind w:firstLine="0" w:firstLineChars="0"/>
        <w:outlineLvl w:val="3"/>
        <w:rPr>
          <w:rFonts w:ascii="宋体" w:hAnsi="宋体" w:cs="宋体"/>
          <w:b/>
          <w:bCs/>
          <w:color w:val="auto"/>
          <w:szCs w:val="21"/>
        </w:rPr>
      </w:pPr>
      <w:r>
        <w:rPr>
          <w:rFonts w:hint="eastAsia" w:ascii="宋体" w:hAnsi="宋体" w:cs="宋体"/>
          <w:b/>
          <w:bCs/>
          <w:color w:val="auto"/>
          <w:szCs w:val="21"/>
        </w:rPr>
        <w:t>15.1.1开标形式</w:t>
      </w:r>
    </w:p>
    <w:p>
      <w:pPr>
        <w:ind w:firstLine="420"/>
        <w:rPr>
          <w:rFonts w:ascii="宋体" w:hAnsi="宋体" w:cs="宋体"/>
          <w:color w:val="auto"/>
          <w:szCs w:val="21"/>
        </w:rPr>
      </w:pPr>
      <w:r>
        <w:rPr>
          <w:rFonts w:hint="eastAsia" w:ascii="宋体" w:hAnsi="宋体" w:cs="宋体"/>
          <w:color w:val="auto"/>
          <w:szCs w:val="21"/>
        </w:rPr>
        <w:t>15.1.1 采购代理机构将按照招标文件规定的时间通过“政府采购云平台”组织开标、开启投标文件，所有供应商均应当准时在线参加。</w:t>
      </w:r>
    </w:p>
    <w:p>
      <w:pPr>
        <w:keepNext/>
        <w:keepLines/>
        <w:ind w:firstLine="0" w:firstLineChars="0"/>
        <w:outlineLvl w:val="3"/>
        <w:rPr>
          <w:rFonts w:ascii="宋体" w:hAnsi="宋体" w:cs="宋体"/>
          <w:b/>
          <w:bCs/>
          <w:color w:val="auto"/>
          <w:szCs w:val="21"/>
        </w:rPr>
      </w:pPr>
      <w:r>
        <w:rPr>
          <w:rFonts w:hint="eastAsia" w:ascii="宋体" w:hAnsi="宋体" w:cs="宋体"/>
          <w:b/>
          <w:bCs/>
          <w:color w:val="auto"/>
          <w:szCs w:val="21"/>
        </w:rPr>
        <w:t>15.1.2开标程序</w:t>
      </w:r>
    </w:p>
    <w:p>
      <w:pPr>
        <w:ind w:firstLine="420"/>
        <w:rPr>
          <w:rFonts w:ascii="宋体" w:hAnsi="宋体" w:cs="宋体"/>
          <w:color w:val="auto"/>
          <w:szCs w:val="21"/>
        </w:rPr>
      </w:pPr>
      <w:r>
        <w:rPr>
          <w:rFonts w:hint="eastAsia" w:ascii="宋体" w:hAnsi="宋体" w:cs="宋体"/>
          <w:color w:val="auto"/>
          <w:szCs w:val="21"/>
        </w:rPr>
        <w:t>15.1.2.1采购代理机构开启开标场地的录音录像采集设备，并确保其正常运行；</w:t>
      </w:r>
    </w:p>
    <w:p>
      <w:pPr>
        <w:ind w:firstLine="420"/>
        <w:rPr>
          <w:rFonts w:ascii="宋体" w:hAnsi="宋体" w:cs="宋体"/>
          <w:color w:val="auto"/>
          <w:szCs w:val="21"/>
        </w:rPr>
      </w:pPr>
      <w:r>
        <w:rPr>
          <w:rFonts w:hint="eastAsia" w:ascii="宋体" w:hAnsi="宋体" w:cs="宋体"/>
          <w:color w:val="auto"/>
          <w:szCs w:val="21"/>
        </w:rPr>
        <w:t>15.1.2.2采购代理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ind w:firstLine="525" w:firstLineChars="250"/>
        <w:rPr>
          <w:rFonts w:ascii="宋体" w:hAnsi="宋体" w:cs="宋体"/>
          <w:color w:val="auto"/>
          <w:szCs w:val="21"/>
        </w:rPr>
      </w:pPr>
      <w:r>
        <w:rPr>
          <w:rFonts w:hint="eastAsia" w:ascii="宋体" w:hAnsi="宋体" w:cs="宋体"/>
          <w:color w:val="auto"/>
          <w:szCs w:val="21"/>
        </w:rPr>
        <w:t>15.1.2.3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pPr>
        <w:ind w:firstLine="525" w:firstLineChars="250"/>
        <w:rPr>
          <w:rFonts w:ascii="宋体" w:hAnsi="宋体" w:cs="宋体"/>
          <w:color w:val="auto"/>
          <w:szCs w:val="21"/>
        </w:rPr>
      </w:pPr>
      <w:r>
        <w:rPr>
          <w:rFonts w:hint="eastAsia" w:ascii="宋体" w:hAnsi="宋体" w:cs="宋体"/>
          <w:color w:val="auto"/>
          <w:szCs w:val="21"/>
        </w:rPr>
        <w:t>15.1.2.4投标文件解密结束，通过邮件形式发送各投标人组织签署《政府采购活动现场确认声明书》；</w:t>
      </w:r>
    </w:p>
    <w:p>
      <w:pPr>
        <w:ind w:firstLine="525" w:firstLineChars="250"/>
        <w:rPr>
          <w:rFonts w:ascii="宋体" w:hAnsi="宋体" w:cs="宋体"/>
          <w:color w:val="auto"/>
          <w:szCs w:val="21"/>
        </w:rPr>
      </w:pPr>
      <w:r>
        <w:rPr>
          <w:rFonts w:hint="eastAsia" w:ascii="宋体" w:hAnsi="宋体" w:cs="宋体"/>
          <w:color w:val="auto"/>
          <w:szCs w:val="21"/>
        </w:rPr>
        <w:t>15.1.2.5开启投标文件，对供应商资格证明文件进行查验、核实。</w:t>
      </w:r>
    </w:p>
    <w:p>
      <w:pPr>
        <w:ind w:firstLine="525" w:firstLineChars="250"/>
        <w:rPr>
          <w:rFonts w:ascii="宋体" w:hAnsi="宋体" w:cs="宋体"/>
          <w:color w:val="auto"/>
          <w:szCs w:val="21"/>
        </w:rPr>
      </w:pPr>
      <w:r>
        <w:rPr>
          <w:rFonts w:hint="eastAsia" w:ascii="宋体" w:hAnsi="宋体" w:cs="宋体"/>
          <w:color w:val="auto"/>
          <w:szCs w:val="21"/>
        </w:rPr>
        <w:t>15.1.2.6开启资格审查通过的投标供应商的商务技术文件进入符合性审查、商务技术评审；</w:t>
      </w:r>
    </w:p>
    <w:p>
      <w:pPr>
        <w:ind w:firstLine="525" w:firstLineChars="250"/>
        <w:rPr>
          <w:rFonts w:ascii="宋体" w:hAnsi="宋体" w:cs="宋体"/>
          <w:color w:val="auto"/>
          <w:szCs w:val="21"/>
        </w:rPr>
      </w:pPr>
      <w:r>
        <w:rPr>
          <w:rFonts w:hint="eastAsia" w:ascii="宋体" w:hAnsi="宋体" w:cs="宋体"/>
          <w:color w:val="auto"/>
          <w:szCs w:val="21"/>
        </w:rPr>
        <w:t>15.1.2.7符合性审查、商务技术评审结束后。首先公布符合性审查、商务技术评审无效供应商名称及理由；公布经商务技术评审后有效投标供应商的名单，同时公布其资信及技术汇总得分情况。</w:t>
      </w:r>
    </w:p>
    <w:p>
      <w:pPr>
        <w:ind w:firstLine="525" w:firstLineChars="250"/>
        <w:rPr>
          <w:rFonts w:ascii="宋体" w:hAnsi="宋体" w:cs="宋体"/>
          <w:color w:val="auto"/>
          <w:szCs w:val="21"/>
        </w:rPr>
      </w:pPr>
      <w:r>
        <w:rPr>
          <w:rFonts w:hint="eastAsia" w:ascii="宋体" w:hAnsi="宋体" w:cs="宋体"/>
          <w:color w:val="auto"/>
          <w:szCs w:val="21"/>
        </w:rPr>
        <w:t>15.1.2.8开启符合性审查、商务技术评审有效投标供应商的报价文件，公布开标一览表有关内容，同时当场制作开标记录表。唱标结束后，由评标委员会对报价的合理性、准确性等进行审查核实。</w:t>
      </w:r>
    </w:p>
    <w:p>
      <w:pPr>
        <w:ind w:firstLine="525" w:firstLineChars="250"/>
        <w:rPr>
          <w:rFonts w:ascii="宋体" w:hAnsi="宋体" w:cs="宋体"/>
          <w:color w:val="auto"/>
          <w:szCs w:val="21"/>
        </w:rPr>
      </w:pPr>
      <w:r>
        <w:rPr>
          <w:rFonts w:hint="eastAsia" w:ascii="宋体" w:hAnsi="宋体" w:cs="宋体"/>
          <w:color w:val="auto"/>
          <w:szCs w:val="21"/>
        </w:rPr>
        <w:t>15.1.2.9评审结束后，公布中标（成交）候选供应商名单。</w:t>
      </w:r>
    </w:p>
    <w:p>
      <w:pPr>
        <w:ind w:firstLine="422"/>
        <w:rPr>
          <w:rFonts w:ascii="宋体" w:hAnsi="宋体" w:cs="宋体"/>
          <w:b/>
          <w:color w:val="auto"/>
          <w:szCs w:val="21"/>
        </w:rPr>
      </w:pPr>
      <w:r>
        <w:rPr>
          <w:rFonts w:hint="eastAsia" w:ascii="宋体" w:hAnsi="宋体" w:cs="宋体"/>
          <w:b/>
          <w:color w:val="auto"/>
          <w:szCs w:val="21"/>
        </w:rPr>
        <w:t>特别说明：如遇“政府采购云平台”电子化开标或评审程序调整的，按调整后程序执行。</w:t>
      </w:r>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15.2投标人不足三家情况处理</w:t>
      </w:r>
    </w:p>
    <w:p>
      <w:pPr>
        <w:ind w:firstLine="420"/>
        <w:rPr>
          <w:rFonts w:ascii="宋体" w:hAnsi="宋体" w:cs="宋体"/>
          <w:color w:val="auto"/>
          <w:szCs w:val="21"/>
        </w:rPr>
      </w:pPr>
      <w:r>
        <w:rPr>
          <w:rFonts w:hint="eastAsia" w:ascii="宋体" w:hAnsi="宋体" w:cs="宋体"/>
          <w:color w:val="auto"/>
          <w:szCs w:val="21"/>
        </w:rPr>
        <w:t>投标截止时间结束后或评审过程中参加标项投标的有效供应商不足三家的，除采购任务取消情形外，采购人可选择以下方式之一处理：</w:t>
      </w:r>
    </w:p>
    <w:p>
      <w:pPr>
        <w:ind w:firstLine="420"/>
        <w:rPr>
          <w:rFonts w:ascii="宋体" w:hAnsi="宋体" w:cs="宋体"/>
          <w:color w:val="auto"/>
          <w:szCs w:val="21"/>
        </w:rPr>
      </w:pPr>
      <w:r>
        <w:rPr>
          <w:rFonts w:hint="eastAsia" w:ascii="宋体" w:hAnsi="宋体" w:cs="宋体"/>
          <w:color w:val="auto"/>
          <w:szCs w:val="21"/>
        </w:rPr>
        <w:t>（1）将本标项作废标处理，重新组织采购；</w:t>
      </w:r>
    </w:p>
    <w:p>
      <w:pPr>
        <w:ind w:firstLine="420"/>
        <w:rPr>
          <w:rFonts w:ascii="宋体" w:hAnsi="宋体" w:cs="宋体"/>
          <w:color w:val="auto"/>
          <w:szCs w:val="21"/>
        </w:rPr>
      </w:pPr>
      <w:r>
        <w:rPr>
          <w:rFonts w:hint="eastAsia" w:ascii="宋体" w:hAnsi="宋体" w:cs="宋体"/>
          <w:color w:val="auto"/>
          <w:szCs w:val="21"/>
        </w:rPr>
        <w:t>（2）按省级财政部门的审批意见采用其他采购方式组织采购；</w:t>
      </w:r>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15.3审查内容</w:t>
      </w:r>
    </w:p>
    <w:p>
      <w:pPr>
        <w:ind w:firstLine="422"/>
        <w:rPr>
          <w:rFonts w:ascii="宋体" w:hAnsi="宋体" w:cs="宋体"/>
          <w:b/>
          <w:color w:val="auto"/>
          <w:szCs w:val="21"/>
        </w:rPr>
      </w:pPr>
      <w:r>
        <w:rPr>
          <w:rFonts w:hint="eastAsia" w:ascii="宋体" w:hAnsi="宋体" w:cs="宋体"/>
          <w:b/>
          <w:color w:val="auto"/>
          <w:szCs w:val="21"/>
        </w:rPr>
        <w:t>15.3.1投标文件资格性审查</w:t>
      </w:r>
    </w:p>
    <w:p>
      <w:pPr>
        <w:ind w:firstLine="420"/>
        <w:rPr>
          <w:rFonts w:ascii="宋体" w:hAnsi="宋体" w:cs="宋体"/>
          <w:color w:val="auto"/>
          <w:szCs w:val="21"/>
        </w:rPr>
      </w:pPr>
      <w:r>
        <w:rPr>
          <w:rFonts w:hint="eastAsia" w:ascii="宋体" w:hAnsi="宋体" w:cs="宋体"/>
          <w:color w:val="auto"/>
          <w:szCs w:val="21"/>
        </w:rPr>
        <w:t>15.3.1.1采购人或者采购代理机构首先依法对投标人的资格进行审查，以确定投标人是否具备投标资格。</w:t>
      </w:r>
    </w:p>
    <w:p>
      <w:pPr>
        <w:ind w:firstLine="420"/>
        <w:rPr>
          <w:rFonts w:ascii="宋体" w:hAnsi="宋体" w:cs="宋体"/>
          <w:color w:val="auto"/>
          <w:szCs w:val="21"/>
        </w:rPr>
      </w:pPr>
      <w:r>
        <w:rPr>
          <w:rFonts w:hint="eastAsia" w:ascii="宋体" w:hAnsi="宋体" w:cs="宋体"/>
          <w:color w:val="auto"/>
          <w:szCs w:val="21"/>
        </w:rPr>
        <w:t>15.3.1.2资格审查以投标文件中提供的书面材料为准。</w:t>
      </w:r>
    </w:p>
    <w:p>
      <w:pPr>
        <w:ind w:firstLine="420"/>
        <w:rPr>
          <w:rFonts w:ascii="宋体" w:hAnsi="宋体" w:cs="宋体"/>
          <w:color w:val="auto"/>
          <w:szCs w:val="21"/>
        </w:rPr>
      </w:pPr>
      <w:r>
        <w:rPr>
          <w:rFonts w:hint="eastAsia" w:ascii="宋体" w:hAnsi="宋体" w:cs="宋体"/>
          <w:color w:val="auto"/>
          <w:szCs w:val="21"/>
        </w:rPr>
        <w:t>15.3.1.3采购人或者采购代理机构对投标文件的判定，只依据投标内容本身，不依靠开标后的任何外来证明。如投标人提交的资质证明或其他内容不齐全，由此造成的后果由投标人自己负责。</w:t>
      </w:r>
    </w:p>
    <w:p>
      <w:pPr>
        <w:ind w:firstLine="422"/>
        <w:rPr>
          <w:rFonts w:ascii="宋体" w:hAnsi="宋体" w:cs="宋体"/>
          <w:b/>
          <w:color w:val="auto"/>
          <w:szCs w:val="21"/>
        </w:rPr>
      </w:pPr>
      <w:r>
        <w:rPr>
          <w:rFonts w:hint="eastAsia" w:ascii="宋体" w:hAnsi="宋体" w:cs="宋体"/>
          <w:b/>
          <w:color w:val="auto"/>
          <w:szCs w:val="21"/>
        </w:rPr>
        <w:t>15.3.2 投标文件符合性审查</w:t>
      </w:r>
    </w:p>
    <w:p>
      <w:pPr>
        <w:ind w:firstLine="420"/>
        <w:rPr>
          <w:rFonts w:ascii="宋体" w:hAnsi="宋体" w:cs="宋体"/>
          <w:color w:val="auto"/>
          <w:szCs w:val="21"/>
        </w:rPr>
      </w:pPr>
      <w:r>
        <w:rPr>
          <w:rFonts w:hint="eastAsia" w:ascii="宋体" w:hAnsi="宋体" w:cs="宋体"/>
          <w:color w:val="auto"/>
          <w:szCs w:val="21"/>
        </w:rPr>
        <w:t>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响应性的投标。</w:t>
      </w:r>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15.4评标</w:t>
      </w:r>
    </w:p>
    <w:p>
      <w:pPr>
        <w:ind w:firstLine="420"/>
        <w:rPr>
          <w:rFonts w:ascii="宋体" w:hAnsi="宋体" w:cs="宋体"/>
          <w:color w:val="auto"/>
          <w:szCs w:val="21"/>
        </w:rPr>
      </w:pPr>
      <w:r>
        <w:rPr>
          <w:rFonts w:hint="eastAsia" w:ascii="宋体" w:hAnsi="宋体" w:cs="宋体"/>
          <w:color w:val="auto"/>
          <w:szCs w:val="21"/>
        </w:rPr>
        <w:t>15.4.1 评标原则</w:t>
      </w:r>
    </w:p>
    <w:p>
      <w:pPr>
        <w:ind w:firstLine="420"/>
        <w:rPr>
          <w:rFonts w:ascii="宋体" w:hAnsi="宋体" w:cs="宋体"/>
          <w:color w:val="auto"/>
          <w:szCs w:val="21"/>
        </w:rPr>
      </w:pPr>
      <w:r>
        <w:rPr>
          <w:rFonts w:hint="eastAsia" w:ascii="宋体" w:hAnsi="宋体" w:cs="宋体"/>
          <w:color w:val="auto"/>
          <w:szCs w:val="21"/>
        </w:rPr>
        <w:t>评标委员会必须公平、公正、客观，不受任何倾向性和启发性；不得向外界透露任何与评标有关的内容；任何单位和个人不得干扰、影响评标的正常进行；评标委员会及有关工作人员不得私下与投标人接触。</w:t>
      </w:r>
    </w:p>
    <w:p>
      <w:pPr>
        <w:ind w:firstLine="420"/>
        <w:rPr>
          <w:rFonts w:ascii="宋体" w:hAnsi="宋体" w:cs="宋体"/>
          <w:color w:val="auto"/>
          <w:szCs w:val="21"/>
        </w:rPr>
      </w:pPr>
      <w:r>
        <w:rPr>
          <w:rFonts w:hint="eastAsia" w:ascii="宋体" w:hAnsi="宋体" w:cs="宋体"/>
          <w:color w:val="auto"/>
          <w:szCs w:val="21"/>
        </w:rPr>
        <w:t>15.4.2 评标组织</w:t>
      </w:r>
    </w:p>
    <w:p>
      <w:pPr>
        <w:ind w:firstLine="420"/>
        <w:rPr>
          <w:rFonts w:ascii="宋体" w:hAnsi="宋体" w:cs="宋体"/>
          <w:color w:val="auto"/>
          <w:szCs w:val="21"/>
        </w:rPr>
      </w:pPr>
      <w:r>
        <w:rPr>
          <w:rFonts w:hint="eastAsia" w:ascii="宋体" w:hAnsi="宋体" w:cs="宋体"/>
          <w:color w:val="auto"/>
          <w:szCs w:val="21"/>
        </w:rPr>
        <w:t>15.4.2.1 评审工作由采购人或采购代理机构依法组建的评标委员会负责。评标委员会包括采购人代表和评审专家，成员人数为5人或以上单数，其中评审专家不得少于成员总数的三分之二。</w:t>
      </w:r>
    </w:p>
    <w:p>
      <w:pPr>
        <w:ind w:firstLine="420"/>
        <w:rPr>
          <w:rFonts w:ascii="宋体" w:hAnsi="宋体" w:cs="宋体"/>
          <w:color w:val="auto"/>
          <w:szCs w:val="21"/>
        </w:rPr>
      </w:pPr>
      <w:r>
        <w:rPr>
          <w:rFonts w:hint="eastAsia" w:ascii="宋体" w:hAnsi="宋体" w:cs="宋体"/>
          <w:color w:val="auto"/>
          <w:szCs w:val="21"/>
        </w:rPr>
        <w:t>15.4.2.2 评标委员会在成员之中（除采购人代表）可推荐一名组长，主持评审工作，集各成员意见，使整个评审工作有序有效地进行。</w:t>
      </w:r>
    </w:p>
    <w:p>
      <w:pPr>
        <w:ind w:firstLine="420"/>
        <w:rPr>
          <w:rFonts w:ascii="宋体" w:hAnsi="宋体" w:cs="宋体"/>
          <w:color w:val="auto"/>
          <w:szCs w:val="21"/>
        </w:rPr>
      </w:pPr>
      <w:r>
        <w:rPr>
          <w:rFonts w:hint="eastAsia" w:ascii="宋体" w:hAnsi="宋体" w:cs="宋体"/>
          <w:color w:val="auto"/>
          <w:szCs w:val="21"/>
        </w:rPr>
        <w:t>15.4.3 评审纪律</w:t>
      </w:r>
    </w:p>
    <w:p>
      <w:pPr>
        <w:ind w:firstLine="420"/>
        <w:rPr>
          <w:rFonts w:ascii="宋体" w:hAnsi="宋体" w:cs="宋体"/>
          <w:color w:val="auto"/>
          <w:szCs w:val="21"/>
        </w:rPr>
      </w:pPr>
      <w:r>
        <w:rPr>
          <w:rFonts w:hint="eastAsia" w:ascii="宋体" w:hAnsi="宋体" w:cs="宋体"/>
          <w:color w:val="auto"/>
          <w:szCs w:val="21"/>
        </w:rPr>
        <w:t>15.4.3.1整个开标、评审过程由监督人全过程监督。整个评审项目应严格保密，评标委员会成员及工作人员应严格遵守纪律，不得泄露任何评标信息。</w:t>
      </w:r>
    </w:p>
    <w:p>
      <w:pPr>
        <w:ind w:firstLine="420"/>
        <w:rPr>
          <w:rFonts w:ascii="宋体" w:hAnsi="宋体" w:cs="宋体"/>
          <w:color w:val="auto"/>
          <w:szCs w:val="21"/>
        </w:rPr>
      </w:pPr>
      <w:r>
        <w:rPr>
          <w:rFonts w:hint="eastAsia" w:ascii="宋体" w:hAnsi="宋体" w:cs="宋体"/>
          <w:color w:val="auto"/>
          <w:szCs w:val="21"/>
        </w:rPr>
        <w:t>15.4.3.2评标委员会应遵循公平、公正、科学、择优的原则，对招标文件规定的条件和标准，对各投标文件的合规性、完整性和有效性进行审查、比较和评估。如属于实质性负偏离或符合无效条款的，应当询问投标人，并允许投标人进行陈述申辩、但不允许其对实质性偏离条款进行补充、修正和撤回。</w:t>
      </w:r>
    </w:p>
    <w:p>
      <w:pPr>
        <w:ind w:firstLine="420"/>
        <w:rPr>
          <w:rFonts w:ascii="宋体" w:hAnsi="宋体" w:cs="宋体"/>
          <w:color w:val="auto"/>
          <w:szCs w:val="21"/>
        </w:rPr>
      </w:pPr>
      <w:r>
        <w:rPr>
          <w:rFonts w:hint="eastAsia" w:ascii="宋体" w:hAnsi="宋体" w:cs="宋体"/>
          <w:color w:val="auto"/>
          <w:szCs w:val="21"/>
        </w:rPr>
        <w:t>15.4.3.3评标委员会对投标文件的判定，只依据投标文件内容本身，不依靠开标后的任何外来证明。</w:t>
      </w:r>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15.5评审顺序</w:t>
      </w:r>
    </w:p>
    <w:p>
      <w:pPr>
        <w:ind w:firstLine="420"/>
        <w:rPr>
          <w:rFonts w:ascii="宋体" w:hAnsi="宋体" w:cs="宋体"/>
          <w:color w:val="auto"/>
          <w:szCs w:val="21"/>
        </w:rPr>
      </w:pPr>
      <w:r>
        <w:rPr>
          <w:rFonts w:hint="eastAsia" w:ascii="宋体" w:hAnsi="宋体" w:cs="宋体"/>
          <w:color w:val="auto"/>
          <w:szCs w:val="21"/>
        </w:rPr>
        <w:t>资格审查（未通过资格审查的供应商不再进行后续评审）—评标委员会推荐组长—符合性审查—资信部分评审打分—技术部分评审打分—公布技术、资信汇总得分—开启报价—报价文件审核—评审报告—宣布评审结果。</w:t>
      </w:r>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15.6评审报告</w:t>
      </w:r>
    </w:p>
    <w:p>
      <w:pPr>
        <w:ind w:firstLine="420"/>
        <w:rPr>
          <w:rFonts w:ascii="宋体" w:hAnsi="宋体" w:cs="宋体"/>
          <w:color w:val="auto"/>
          <w:szCs w:val="21"/>
        </w:rPr>
      </w:pPr>
      <w:r>
        <w:rPr>
          <w:rFonts w:hint="eastAsia" w:ascii="宋体" w:hAnsi="宋体" w:cs="宋体"/>
          <w:color w:val="auto"/>
          <w:szCs w:val="21"/>
        </w:rPr>
        <w:t>15.6.1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如排名第一的中标候选人投标报价为最高报价的，评审报告中必须对其报价的合理性等进行分析和特别说明。</w:t>
      </w:r>
    </w:p>
    <w:p>
      <w:pPr>
        <w:ind w:firstLine="420"/>
        <w:rPr>
          <w:rFonts w:ascii="宋体" w:hAnsi="宋体" w:cs="宋体"/>
          <w:color w:val="auto"/>
          <w:szCs w:val="21"/>
        </w:rPr>
      </w:pPr>
      <w:r>
        <w:rPr>
          <w:rFonts w:hint="eastAsia" w:ascii="宋体" w:hAnsi="宋体" w:cs="宋体"/>
          <w:color w:val="auto"/>
          <w:szCs w:val="21"/>
        </w:rPr>
        <w:t>15.6.2评标委员会将评审综合得分最高的前两名投标人作为中标候选人向招标人推荐，得分最高的为第一中标候选人，得分次高的为第二中标候选人（得分相同的，按投标报价由低到高顺序排列。得分且投标报价相同的并列。投标文件满足招标文件全部实质性要求，且按照评审因素的量化指标评审得分最高的投标人为排名第一的中标候选人。）并提交经评标委员会成员签字的评审报告。</w:t>
      </w:r>
    </w:p>
    <w:p>
      <w:pPr>
        <w:ind w:firstLine="420"/>
        <w:rPr>
          <w:rFonts w:ascii="宋体" w:hAnsi="宋体" w:cs="宋体"/>
          <w:color w:val="auto"/>
          <w:szCs w:val="21"/>
        </w:rPr>
      </w:pPr>
      <w:r>
        <w:rPr>
          <w:rFonts w:hint="eastAsia" w:ascii="宋体" w:hAnsi="宋体" w:cs="宋体"/>
          <w:color w:val="auto"/>
          <w:szCs w:val="21"/>
        </w:rPr>
        <w:t>15.6.3各评审人员应当独立、客观、公正地提出评审意见，不得带有倾向性，不得影响其他人员评审，并在评审报告上签字；如对评审报告有异议的，可以在报告中签署不同意见，并说明理由，否则将视为同意。</w:t>
      </w:r>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15.7开评标过程的监控</w:t>
      </w:r>
    </w:p>
    <w:p>
      <w:pPr>
        <w:ind w:firstLine="420"/>
        <w:rPr>
          <w:rFonts w:ascii="宋体" w:hAnsi="宋体" w:cs="宋体"/>
          <w:color w:val="auto"/>
          <w:szCs w:val="21"/>
        </w:rPr>
      </w:pPr>
      <w:r>
        <w:rPr>
          <w:rFonts w:hint="eastAsia" w:ascii="宋体" w:hAnsi="宋体" w:cs="宋体"/>
          <w:color w:val="auto"/>
          <w:szCs w:val="21"/>
        </w:rPr>
        <w:t>本项目开评标过程实行全程录像录音录像。</w:t>
      </w:r>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15.8评审过程保密</w:t>
      </w:r>
    </w:p>
    <w:p>
      <w:pPr>
        <w:ind w:firstLine="420"/>
        <w:rPr>
          <w:rFonts w:ascii="宋体" w:hAnsi="宋体" w:cs="宋体"/>
          <w:color w:val="auto"/>
          <w:szCs w:val="21"/>
        </w:rPr>
      </w:pPr>
      <w:r>
        <w:rPr>
          <w:rFonts w:hint="eastAsia" w:ascii="宋体" w:hAnsi="宋体" w:cs="宋体"/>
          <w:color w:val="auto"/>
          <w:szCs w:val="21"/>
        </w:rPr>
        <w:t>15.8.1评审过程中凡是与投标文件评审和比较、中标供应商推荐等评审有关的情况，以及涉及国家秘密和商业秘密等信息，评审小组成员、采购人和采购代理机构工作人员、相关监督人员等与评审有关的人员应当予以保密。</w:t>
      </w:r>
    </w:p>
    <w:p>
      <w:pPr>
        <w:ind w:firstLine="420"/>
        <w:rPr>
          <w:rFonts w:ascii="宋体" w:hAnsi="宋体" w:cs="宋体"/>
          <w:color w:val="auto"/>
          <w:szCs w:val="21"/>
        </w:rPr>
      </w:pPr>
      <w:r>
        <w:rPr>
          <w:rFonts w:hint="eastAsia" w:ascii="宋体" w:hAnsi="宋体" w:cs="宋体"/>
          <w:color w:val="auto"/>
          <w:szCs w:val="21"/>
        </w:rPr>
        <w:t>15.8.2在评审期间，投标人企图影响招标人的任何活动，将导致投标被拒绝，并承担相应的法律责任。</w:t>
      </w:r>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15.9中标条件</w:t>
      </w:r>
    </w:p>
    <w:p>
      <w:pPr>
        <w:ind w:firstLine="420"/>
        <w:rPr>
          <w:rFonts w:ascii="宋体" w:hAnsi="宋体" w:cs="宋体"/>
          <w:color w:val="auto"/>
          <w:szCs w:val="21"/>
        </w:rPr>
      </w:pPr>
      <w:r>
        <w:rPr>
          <w:rFonts w:hint="eastAsia" w:ascii="宋体" w:hAnsi="宋体" w:cs="宋体"/>
          <w:color w:val="auto"/>
          <w:szCs w:val="21"/>
        </w:rPr>
        <w:t>15.9.1通过资格审查的。</w:t>
      </w:r>
    </w:p>
    <w:p>
      <w:pPr>
        <w:ind w:firstLine="420"/>
        <w:rPr>
          <w:rFonts w:ascii="宋体" w:hAnsi="宋体" w:cs="宋体"/>
          <w:color w:val="auto"/>
          <w:szCs w:val="21"/>
        </w:rPr>
      </w:pPr>
      <w:r>
        <w:rPr>
          <w:rFonts w:hint="eastAsia" w:ascii="宋体" w:hAnsi="宋体" w:cs="宋体"/>
          <w:color w:val="auto"/>
          <w:szCs w:val="21"/>
        </w:rPr>
        <w:t>15.9.2投标文件完全响应招标文件中的实质性要求。</w:t>
      </w:r>
    </w:p>
    <w:p>
      <w:pPr>
        <w:ind w:firstLine="420"/>
        <w:rPr>
          <w:rFonts w:ascii="宋体" w:hAnsi="宋体" w:cs="宋体"/>
          <w:color w:val="auto"/>
          <w:szCs w:val="21"/>
        </w:rPr>
      </w:pPr>
      <w:r>
        <w:rPr>
          <w:rFonts w:hint="eastAsia" w:ascii="宋体" w:hAnsi="宋体" w:cs="宋体"/>
          <w:color w:val="auto"/>
          <w:szCs w:val="21"/>
        </w:rPr>
        <w:t>15.9.3有良好的执行合同能力和售后服务承诺。</w:t>
      </w:r>
    </w:p>
    <w:p>
      <w:pPr>
        <w:ind w:firstLine="420"/>
        <w:rPr>
          <w:rFonts w:ascii="宋体" w:hAnsi="宋体" w:cs="宋体"/>
          <w:color w:val="auto"/>
          <w:szCs w:val="21"/>
        </w:rPr>
      </w:pPr>
      <w:r>
        <w:rPr>
          <w:rFonts w:hint="eastAsia" w:ascii="宋体" w:hAnsi="宋体" w:cs="宋体"/>
          <w:bCs/>
          <w:color w:val="auto"/>
          <w:szCs w:val="21"/>
        </w:rPr>
        <w:t>15.9.4招标人将把中标通知书授予最佳投标人</w:t>
      </w:r>
      <w:r>
        <w:rPr>
          <w:rFonts w:hint="eastAsia" w:ascii="宋体" w:hAnsi="宋体" w:cs="宋体"/>
          <w:color w:val="auto"/>
          <w:szCs w:val="21"/>
        </w:rPr>
        <w:t>，</w:t>
      </w:r>
      <w:r>
        <w:rPr>
          <w:rFonts w:hint="eastAsia" w:ascii="宋体" w:hAnsi="宋体" w:cs="宋体"/>
          <w:bCs/>
          <w:color w:val="auto"/>
          <w:szCs w:val="21"/>
        </w:rPr>
        <w:t>最低报价并不是中标的保证。</w:t>
      </w:r>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15.10定标办法</w:t>
      </w:r>
    </w:p>
    <w:p>
      <w:pPr>
        <w:ind w:firstLine="420"/>
        <w:rPr>
          <w:rFonts w:ascii="宋体" w:hAnsi="宋体" w:cs="宋体"/>
          <w:color w:val="auto"/>
          <w:szCs w:val="21"/>
        </w:rPr>
      </w:pPr>
      <w:r>
        <w:rPr>
          <w:rFonts w:hint="eastAsia" w:ascii="宋体" w:hAnsi="宋体" w:cs="宋体"/>
          <w:color w:val="auto"/>
          <w:szCs w:val="21"/>
        </w:rPr>
        <w:t>15.10.1定标由采购人授权评审委员会确定，原则上应确定通过资格审查、符合性审查且综合得分排名第一的中标候选人为中标人。但按照相关政策法规规定，如出现下列情况之一的，招标人可以确定排名第二的候选人为中标人：</w:t>
      </w:r>
    </w:p>
    <w:p>
      <w:pPr>
        <w:ind w:firstLine="420"/>
        <w:rPr>
          <w:rFonts w:ascii="宋体" w:hAnsi="宋体" w:cs="宋体"/>
          <w:color w:val="auto"/>
          <w:szCs w:val="21"/>
        </w:rPr>
      </w:pPr>
      <w:r>
        <w:rPr>
          <w:rFonts w:hint="eastAsia" w:ascii="宋体" w:hAnsi="宋体" w:cs="宋体"/>
          <w:color w:val="auto"/>
          <w:szCs w:val="21"/>
        </w:rPr>
        <w:t>（1）排名第一的候选投标人，因自身原因放弃中标成交或因不可抗力不能履行合同的；</w:t>
      </w:r>
    </w:p>
    <w:p>
      <w:pPr>
        <w:ind w:firstLine="420"/>
        <w:rPr>
          <w:rFonts w:ascii="宋体" w:hAnsi="宋体" w:cs="宋体"/>
          <w:color w:val="auto"/>
          <w:szCs w:val="21"/>
        </w:rPr>
      </w:pPr>
      <w:r>
        <w:rPr>
          <w:rFonts w:hint="eastAsia" w:ascii="宋体" w:hAnsi="宋体" w:cs="宋体"/>
          <w:color w:val="auto"/>
          <w:szCs w:val="21"/>
        </w:rPr>
        <w:t>（2）经质疑，采购代理机构审查确认因排名第一的候选投标人在本次采购活动中存在违法违规行为或其他原因使质疑成立的。</w:t>
      </w:r>
    </w:p>
    <w:p>
      <w:pPr>
        <w:ind w:firstLine="420"/>
        <w:rPr>
          <w:rFonts w:ascii="宋体" w:hAnsi="宋体" w:cs="宋体"/>
          <w:color w:val="auto"/>
          <w:szCs w:val="21"/>
        </w:rPr>
      </w:pPr>
      <w:r>
        <w:rPr>
          <w:rFonts w:hint="eastAsia" w:ascii="宋体" w:hAnsi="宋体" w:cs="宋体"/>
          <w:color w:val="auto"/>
          <w:szCs w:val="21"/>
        </w:rPr>
        <w:t>15.10.2招标人在确定第二中标候选人为中标人的，应当在确定前向财政部门报告说明。</w:t>
      </w:r>
    </w:p>
    <w:p>
      <w:pPr>
        <w:ind w:firstLine="420"/>
        <w:rPr>
          <w:rFonts w:ascii="宋体" w:hAnsi="宋体" w:cs="宋体"/>
          <w:color w:val="auto"/>
          <w:szCs w:val="21"/>
        </w:rPr>
      </w:pPr>
      <w:r>
        <w:rPr>
          <w:rFonts w:hint="eastAsia" w:ascii="宋体" w:hAnsi="宋体" w:cs="宋体"/>
          <w:color w:val="auto"/>
          <w:szCs w:val="21"/>
        </w:rPr>
        <w:t>15.10.3定标且公示后，由采购代理机构发出中标通知书。</w:t>
      </w:r>
    </w:p>
    <w:p>
      <w:pPr>
        <w:ind w:firstLine="420"/>
        <w:rPr>
          <w:rFonts w:ascii="宋体" w:hAnsi="宋体" w:cs="宋体"/>
          <w:color w:val="auto"/>
          <w:szCs w:val="21"/>
        </w:rPr>
      </w:pPr>
      <w:r>
        <w:rPr>
          <w:rFonts w:hint="eastAsia" w:ascii="宋体" w:hAnsi="宋体" w:cs="宋体"/>
          <w:color w:val="auto"/>
          <w:szCs w:val="21"/>
        </w:rPr>
        <w:t>15.10.4不得通过对样品进行检测、对供应商进行考察等方式改变评审结果。</w:t>
      </w:r>
    </w:p>
    <w:p>
      <w:pPr>
        <w:ind w:firstLine="420"/>
        <w:rPr>
          <w:rFonts w:ascii="宋体" w:hAnsi="宋体" w:cs="宋体"/>
          <w:color w:val="auto"/>
          <w:szCs w:val="21"/>
        </w:rPr>
      </w:pPr>
      <w:r>
        <w:rPr>
          <w:rFonts w:hint="eastAsia" w:ascii="宋体" w:hAnsi="宋体" w:cs="宋体"/>
          <w:color w:val="auto"/>
          <w:szCs w:val="21"/>
        </w:rPr>
        <w:t>15.10.5中标单位放弃中标的，须赔偿专家评审费、代理机构场地费、资料费、通讯费、人工费等不低于成交金额2%。</w:t>
      </w:r>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15.11落标解释</w:t>
      </w:r>
    </w:p>
    <w:p>
      <w:pPr>
        <w:ind w:firstLine="420"/>
        <w:rPr>
          <w:rFonts w:ascii="宋体" w:hAnsi="宋体" w:cs="宋体"/>
          <w:color w:val="auto"/>
          <w:szCs w:val="21"/>
        </w:rPr>
      </w:pPr>
      <w:r>
        <w:rPr>
          <w:rFonts w:hint="eastAsia" w:ascii="宋体" w:hAnsi="宋体" w:cs="宋体"/>
          <w:color w:val="auto"/>
          <w:szCs w:val="21"/>
        </w:rPr>
        <w:t>采购人、采购代理机构及评审小组对未成交的供应商不作落标原因解释。</w:t>
      </w:r>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15.12中标公告</w:t>
      </w:r>
    </w:p>
    <w:p>
      <w:pPr>
        <w:ind w:firstLine="420"/>
        <w:rPr>
          <w:rFonts w:ascii="宋体" w:hAnsi="宋体" w:cs="宋体"/>
          <w:color w:val="auto"/>
          <w:szCs w:val="21"/>
        </w:rPr>
      </w:pPr>
      <w:r>
        <w:rPr>
          <w:rFonts w:hint="eastAsia" w:ascii="宋体" w:hAnsi="宋体" w:cs="宋体"/>
          <w:color w:val="auto"/>
          <w:szCs w:val="21"/>
        </w:rPr>
        <w:t>5.12.1 根据评审报告内容，在浙江政府采购网公布中标人。</w:t>
      </w:r>
    </w:p>
    <w:p>
      <w:pPr>
        <w:ind w:firstLine="420"/>
        <w:rPr>
          <w:rFonts w:ascii="宋体" w:hAnsi="宋体" w:cs="宋体"/>
          <w:bCs/>
          <w:color w:val="auto"/>
          <w:szCs w:val="21"/>
        </w:rPr>
      </w:pPr>
      <w:r>
        <w:rPr>
          <w:rFonts w:hint="eastAsia" w:ascii="宋体" w:hAnsi="宋体" w:cs="宋体"/>
          <w:color w:val="auto"/>
          <w:szCs w:val="21"/>
        </w:rPr>
        <w:t>5.12.2 公告期限为1个工作日。</w:t>
      </w:r>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15.13签订合同</w:t>
      </w:r>
    </w:p>
    <w:p>
      <w:pPr>
        <w:ind w:firstLine="420"/>
        <w:rPr>
          <w:rFonts w:ascii="宋体" w:hAnsi="宋体" w:cs="宋体"/>
          <w:bCs/>
          <w:color w:val="auto"/>
          <w:szCs w:val="21"/>
        </w:rPr>
      </w:pPr>
      <w:r>
        <w:rPr>
          <w:rFonts w:hint="eastAsia" w:ascii="宋体" w:hAnsi="宋体" w:cs="宋体"/>
          <w:color w:val="auto"/>
          <w:szCs w:val="21"/>
        </w:rPr>
        <w:t>15.13.1 中标人应在接到中标通知书后按中标通知书规定的时间与招标人签订合同</w:t>
      </w:r>
      <w:r>
        <w:rPr>
          <w:rFonts w:hint="eastAsia" w:ascii="宋体" w:hAnsi="宋体" w:cs="宋体"/>
          <w:bCs/>
          <w:color w:val="auto"/>
          <w:szCs w:val="21"/>
        </w:rPr>
        <w:t>。</w:t>
      </w:r>
    </w:p>
    <w:p>
      <w:pPr>
        <w:ind w:firstLine="420"/>
        <w:rPr>
          <w:rFonts w:ascii="宋体" w:hAnsi="宋体" w:cs="宋体"/>
          <w:color w:val="auto"/>
          <w:szCs w:val="21"/>
        </w:rPr>
      </w:pPr>
      <w:r>
        <w:rPr>
          <w:rFonts w:hint="eastAsia" w:ascii="宋体" w:hAnsi="宋体" w:cs="宋体"/>
          <w:color w:val="auto"/>
          <w:szCs w:val="21"/>
        </w:rPr>
        <w:t>15.13.2招标文件、中标人的投标文件及投标修改文件、评标过程中有关澄清文件、询标纪要和中标通知书均作为合同组成部分。</w:t>
      </w:r>
    </w:p>
    <w:p>
      <w:pPr>
        <w:ind w:firstLine="420"/>
        <w:rPr>
          <w:rFonts w:ascii="宋体" w:hAnsi="宋体" w:cs="宋体"/>
          <w:color w:val="auto"/>
          <w:szCs w:val="21"/>
        </w:rPr>
      </w:pPr>
      <w:r>
        <w:rPr>
          <w:rFonts w:hint="eastAsia" w:ascii="宋体" w:hAnsi="宋体" w:cs="宋体"/>
          <w:color w:val="auto"/>
          <w:szCs w:val="21"/>
        </w:rPr>
        <w:t>15.13.3拒签合同的责任</w:t>
      </w:r>
    </w:p>
    <w:p>
      <w:pPr>
        <w:ind w:firstLine="420"/>
        <w:rPr>
          <w:rFonts w:ascii="宋体" w:hAnsi="宋体" w:cs="宋体"/>
          <w:color w:val="auto"/>
          <w:szCs w:val="21"/>
        </w:rPr>
      </w:pPr>
      <w:r>
        <w:rPr>
          <w:rFonts w:hint="eastAsia" w:ascii="宋体" w:hAnsi="宋体" w:cs="宋体"/>
          <w:color w:val="auto"/>
          <w:szCs w:val="21"/>
        </w:rPr>
        <w:t>除不可抗力等因素外，中标人无正当理由拒不与采购人签订政府采购合同的，应当承担相应的法律责任。</w:t>
      </w:r>
    </w:p>
    <w:p>
      <w:pPr>
        <w:spacing w:after="120"/>
        <w:ind w:firstLine="420"/>
        <w:rPr>
          <w:rFonts w:ascii="宋体" w:hAnsi="宋体" w:cs="宋体"/>
          <w:color w:val="auto"/>
          <w:szCs w:val="21"/>
        </w:rPr>
      </w:pPr>
      <w:r>
        <w:rPr>
          <w:rFonts w:hint="eastAsia" w:ascii="宋体" w:hAnsi="宋体" w:cs="宋体"/>
          <w:color w:val="auto"/>
          <w:szCs w:val="21"/>
        </w:rPr>
        <w:t>15.13.4中标人放弃中标的，须赔偿专家评审费、代理机构场地费、资料费、通讯费、人工费等不低于中标价金额2%。</w:t>
      </w:r>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15.14可中止电子交易活动的情形</w:t>
      </w:r>
    </w:p>
    <w:p>
      <w:pPr>
        <w:ind w:firstLine="422"/>
        <w:rPr>
          <w:rFonts w:ascii="宋体" w:hAnsi="宋体" w:cs="宋体"/>
          <w:b/>
          <w:color w:val="auto"/>
          <w:szCs w:val="21"/>
        </w:rPr>
      </w:pPr>
      <w:r>
        <w:rPr>
          <w:rFonts w:hint="eastAsia" w:ascii="宋体" w:hAnsi="宋体" w:cs="宋体"/>
          <w:b/>
          <w:color w:val="auto"/>
          <w:szCs w:val="21"/>
        </w:rPr>
        <w:t>采购过程中出现以下情形，导致电子交易平台无法正常运行，或者无法保证电子交易的公平、公正和安全时，采购组织机构可中止电子交易活动：</w:t>
      </w:r>
    </w:p>
    <w:p>
      <w:pPr>
        <w:ind w:firstLine="420"/>
        <w:rPr>
          <w:rFonts w:ascii="宋体" w:hAnsi="宋体" w:cs="宋体"/>
          <w:color w:val="auto"/>
          <w:szCs w:val="21"/>
        </w:rPr>
      </w:pPr>
      <w:r>
        <w:rPr>
          <w:rFonts w:hint="eastAsia" w:ascii="宋体" w:hAnsi="宋体" w:cs="宋体"/>
          <w:color w:val="auto"/>
          <w:szCs w:val="21"/>
        </w:rPr>
        <w:t>1、电子交易平台发生故障而无法登录访问的；</w:t>
      </w:r>
    </w:p>
    <w:p>
      <w:pPr>
        <w:ind w:firstLine="420"/>
        <w:rPr>
          <w:rFonts w:ascii="宋体" w:hAnsi="宋体" w:cs="宋体"/>
          <w:color w:val="auto"/>
          <w:szCs w:val="21"/>
        </w:rPr>
      </w:pPr>
      <w:r>
        <w:rPr>
          <w:rFonts w:hint="eastAsia" w:ascii="宋体" w:hAnsi="宋体" w:cs="宋体"/>
          <w:color w:val="auto"/>
          <w:szCs w:val="21"/>
        </w:rPr>
        <w:t>2、电子交易平台应用或数据库出现错误，不能进行正常操作的；</w:t>
      </w:r>
    </w:p>
    <w:p>
      <w:pPr>
        <w:ind w:firstLine="420"/>
        <w:rPr>
          <w:rFonts w:ascii="宋体" w:hAnsi="宋体" w:cs="宋体"/>
          <w:color w:val="auto"/>
          <w:szCs w:val="21"/>
        </w:rPr>
      </w:pPr>
      <w:r>
        <w:rPr>
          <w:rFonts w:hint="eastAsia" w:ascii="宋体" w:hAnsi="宋体" w:cs="宋体"/>
          <w:color w:val="auto"/>
          <w:szCs w:val="21"/>
        </w:rPr>
        <w:t>3、电子交易平台发现严重安全漏洞，有潜在泄密危险的；</w:t>
      </w:r>
    </w:p>
    <w:p>
      <w:pPr>
        <w:ind w:firstLine="420"/>
        <w:rPr>
          <w:rFonts w:ascii="宋体" w:hAnsi="宋体" w:cs="宋体"/>
          <w:color w:val="auto"/>
          <w:szCs w:val="21"/>
        </w:rPr>
      </w:pPr>
      <w:r>
        <w:rPr>
          <w:rFonts w:hint="eastAsia" w:ascii="宋体" w:hAnsi="宋体" w:cs="宋体"/>
          <w:color w:val="auto"/>
          <w:szCs w:val="21"/>
        </w:rPr>
        <w:t>4、病毒发作导致不能进行正常操作的；</w:t>
      </w:r>
    </w:p>
    <w:p>
      <w:pPr>
        <w:ind w:firstLine="420"/>
        <w:rPr>
          <w:rFonts w:ascii="宋体" w:hAnsi="宋体" w:cs="宋体"/>
          <w:color w:val="auto"/>
          <w:szCs w:val="21"/>
        </w:rPr>
      </w:pPr>
      <w:r>
        <w:rPr>
          <w:rFonts w:hint="eastAsia" w:ascii="宋体" w:hAnsi="宋体" w:cs="宋体"/>
          <w:color w:val="auto"/>
          <w:szCs w:val="21"/>
        </w:rPr>
        <w:t>5、其他无法保证电子交易的公平、公正和安全的情况。</w:t>
      </w:r>
    </w:p>
    <w:p>
      <w:pPr>
        <w:ind w:firstLine="422"/>
        <w:rPr>
          <w:rFonts w:ascii="宋体" w:hAnsi="宋体" w:cs="宋体"/>
          <w:b/>
          <w:color w:val="auto"/>
          <w:szCs w:val="21"/>
        </w:rPr>
      </w:pPr>
      <w:r>
        <w:rPr>
          <w:rFonts w:hint="eastAsia" w:ascii="宋体" w:hAnsi="宋体" w:cs="宋体"/>
          <w:b/>
          <w:color w:val="auto"/>
          <w:szCs w:val="21"/>
        </w:rPr>
        <w:t>出现前款规定情形，不影响采购公平、公正性的，采购组织机构可以待上述情形消除后继续组织电子交易活动；影响或可能影响采购公平、公正性的，应当重新采购。</w:t>
      </w:r>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15.15关于要求制造商授权的说明</w:t>
      </w:r>
    </w:p>
    <w:p>
      <w:pPr>
        <w:ind w:firstLine="420"/>
        <w:rPr>
          <w:rFonts w:ascii="宋体" w:hAnsi="宋体" w:cs="宋体"/>
          <w:color w:val="auto"/>
          <w:szCs w:val="21"/>
        </w:rPr>
      </w:pPr>
      <w:r>
        <w:rPr>
          <w:rFonts w:hint="eastAsia" w:ascii="宋体" w:hAnsi="宋体" w:cs="宋体"/>
          <w:color w:val="auto"/>
          <w:szCs w:val="21"/>
        </w:rPr>
        <w:t>招标文件要求供应商提供制造商授权的，建议供应商在提交投标文件时一并提供。也可在中标结果公告后向采购人提供。如制造商无故不予授权，在中标供应商作出保证产品质量和售后服务的承诺后，可以不需该授权文件将合同授予该供应商，但对此应在合同的验收、结算和违约责任中补充增加相应的制约性条款。</w:t>
      </w:r>
    </w:p>
    <w:p>
      <w:pPr>
        <w:keepNext/>
        <w:keepLines/>
        <w:ind w:firstLine="0" w:firstLineChars="0"/>
        <w:outlineLvl w:val="1"/>
        <w:rPr>
          <w:rFonts w:ascii="宋体" w:hAnsi="宋体" w:cs="宋体"/>
          <w:b/>
          <w:bCs/>
          <w:color w:val="auto"/>
          <w:szCs w:val="21"/>
        </w:rPr>
      </w:pPr>
      <w:bookmarkStart w:id="110" w:name="_Toc444084291"/>
      <w:bookmarkStart w:id="111" w:name="_Toc439316483"/>
      <w:bookmarkStart w:id="112" w:name="_Toc50450157"/>
      <w:bookmarkStart w:id="113" w:name="_Toc450840078"/>
      <w:bookmarkStart w:id="114" w:name="_Toc2078366"/>
      <w:r>
        <w:rPr>
          <w:rFonts w:hint="eastAsia" w:ascii="宋体" w:hAnsi="宋体" w:cs="宋体"/>
          <w:b/>
          <w:bCs/>
          <w:color w:val="auto"/>
          <w:szCs w:val="21"/>
        </w:rPr>
        <w:t>16其他</w:t>
      </w:r>
      <w:bookmarkEnd w:id="110"/>
      <w:bookmarkEnd w:id="111"/>
      <w:bookmarkEnd w:id="112"/>
      <w:bookmarkEnd w:id="113"/>
      <w:bookmarkEnd w:id="114"/>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16.1质疑</w:t>
      </w:r>
    </w:p>
    <w:p>
      <w:pPr>
        <w:ind w:firstLine="420"/>
        <w:rPr>
          <w:rFonts w:ascii="宋体" w:hAnsi="宋体" w:cs="宋体"/>
          <w:color w:val="auto"/>
          <w:szCs w:val="21"/>
        </w:rPr>
      </w:pPr>
      <w:r>
        <w:rPr>
          <w:rFonts w:hint="eastAsia" w:ascii="宋体" w:hAnsi="宋体" w:cs="宋体"/>
          <w:color w:val="auto"/>
          <w:szCs w:val="21"/>
        </w:rPr>
        <w:t>16.1.1</w:t>
      </w:r>
      <w:r>
        <w:rPr>
          <w:rFonts w:hint="eastAsia" w:ascii="宋体" w:hAnsi="宋体" w:cs="宋体"/>
          <w:color w:val="auto"/>
          <w:kern w:val="0"/>
          <w:szCs w:val="21"/>
        </w:rPr>
        <w:t>根据《政府采购质疑和投诉办法》（财政部令第94号）的规定，</w:t>
      </w:r>
      <w:r>
        <w:rPr>
          <w:rFonts w:hint="eastAsia" w:ascii="宋体" w:hAnsi="宋体" w:cs="宋体"/>
          <w:color w:val="auto"/>
          <w:szCs w:val="21"/>
        </w:rPr>
        <w:t>供应商认为磋商文件、采购过程和中标、成交结果使自己的权益受到损害的，可以在知道或者应知其权益受到损害之日起7个工作日内，以书面形式向采购代理机构提出质疑，供应商应当在法定质疑期内一次性提出针对同一采购程序环节的质疑。上述供应商应知其权益受到损害之日，是指：</w:t>
      </w:r>
    </w:p>
    <w:p>
      <w:pPr>
        <w:ind w:firstLine="420"/>
        <w:rPr>
          <w:rFonts w:ascii="宋体" w:hAnsi="宋体" w:cs="宋体"/>
          <w:color w:val="auto"/>
          <w:szCs w:val="21"/>
        </w:rPr>
      </w:pPr>
      <w:r>
        <w:rPr>
          <w:rFonts w:hint="eastAsia" w:ascii="宋体" w:hAnsi="宋体" w:cs="宋体"/>
          <w:color w:val="auto"/>
          <w:szCs w:val="21"/>
        </w:rPr>
        <w:t>（1）对可以质疑的磋商文件提出质疑的，为收到磋商文件之日或者磋商文件公告期限届满之日；</w:t>
      </w:r>
    </w:p>
    <w:p>
      <w:pPr>
        <w:ind w:firstLine="420"/>
        <w:rPr>
          <w:rFonts w:ascii="宋体" w:hAnsi="宋体" w:cs="宋体"/>
          <w:color w:val="auto"/>
          <w:szCs w:val="21"/>
        </w:rPr>
      </w:pPr>
      <w:r>
        <w:rPr>
          <w:rFonts w:hint="eastAsia" w:ascii="宋体" w:hAnsi="宋体" w:cs="宋体"/>
          <w:color w:val="auto"/>
          <w:szCs w:val="21"/>
        </w:rPr>
        <w:t>（2）对采购过程提出质疑的，为各采购程序环节结束之日；</w:t>
      </w:r>
    </w:p>
    <w:p>
      <w:pPr>
        <w:ind w:firstLine="420"/>
        <w:rPr>
          <w:rFonts w:ascii="宋体" w:hAnsi="宋体" w:cs="宋体"/>
          <w:color w:val="auto"/>
          <w:szCs w:val="21"/>
        </w:rPr>
      </w:pPr>
      <w:r>
        <w:rPr>
          <w:rFonts w:hint="eastAsia" w:ascii="宋体" w:hAnsi="宋体" w:cs="宋体"/>
          <w:color w:val="auto"/>
          <w:szCs w:val="21"/>
        </w:rPr>
        <w:t>（3）对中标或者成交结果提出质疑的，为中标或者成交结果公告期限届满之日。</w:t>
      </w:r>
    </w:p>
    <w:p>
      <w:pPr>
        <w:ind w:firstLine="420"/>
        <w:rPr>
          <w:rFonts w:ascii="宋体" w:hAnsi="宋体" w:cs="宋体"/>
          <w:color w:val="auto"/>
          <w:szCs w:val="21"/>
        </w:rPr>
      </w:pPr>
      <w:r>
        <w:rPr>
          <w:rFonts w:hint="eastAsia" w:ascii="宋体" w:hAnsi="宋体" w:cs="宋体"/>
          <w:color w:val="auto"/>
          <w:szCs w:val="21"/>
        </w:rPr>
        <w:t>16.1.2提出质疑的供应商（以下简称质疑供应商）应当是参与所质疑项目采购活动的供应商。</w:t>
      </w:r>
    </w:p>
    <w:p>
      <w:pPr>
        <w:ind w:firstLine="420"/>
        <w:rPr>
          <w:rFonts w:ascii="宋体" w:hAnsi="宋体" w:cs="宋体"/>
          <w:color w:val="auto"/>
          <w:szCs w:val="21"/>
        </w:rPr>
      </w:pPr>
      <w:r>
        <w:rPr>
          <w:rFonts w:hint="eastAsia" w:ascii="宋体" w:hAnsi="宋体" w:cs="宋体"/>
          <w:color w:val="auto"/>
          <w:szCs w:val="21"/>
        </w:rPr>
        <w:t>16.1.3供应商为自然人的，应当由本人签字；供应商为法人或者其他组织的，应当由法定代表人、主要负责人，或者其授权代表签字或者盖章，并加盖公章。</w:t>
      </w:r>
    </w:p>
    <w:p>
      <w:pPr>
        <w:ind w:firstLine="420"/>
        <w:rPr>
          <w:rFonts w:ascii="宋体" w:hAnsi="宋体" w:cs="宋体"/>
          <w:color w:val="auto"/>
          <w:szCs w:val="21"/>
        </w:rPr>
      </w:pPr>
      <w:r>
        <w:rPr>
          <w:rFonts w:hint="eastAsia" w:ascii="宋体" w:hAnsi="宋体" w:cs="宋体"/>
          <w:color w:val="auto"/>
          <w:szCs w:val="21"/>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ind w:firstLine="420"/>
        <w:rPr>
          <w:rFonts w:ascii="宋体" w:hAnsi="宋体" w:cs="宋体"/>
          <w:color w:val="auto"/>
          <w:szCs w:val="21"/>
        </w:rPr>
      </w:pPr>
      <w:r>
        <w:rPr>
          <w:rFonts w:hint="eastAsia" w:ascii="宋体" w:hAnsi="宋体" w:cs="宋体"/>
          <w:color w:val="auto"/>
          <w:szCs w:val="21"/>
        </w:rPr>
        <w:t>以联合体形式参加政府采购活动的，其投诉应当由组成联合体的所有供应商共同提出。</w:t>
      </w:r>
    </w:p>
    <w:p>
      <w:pPr>
        <w:ind w:firstLine="420"/>
        <w:rPr>
          <w:rFonts w:ascii="宋体" w:hAnsi="宋体" w:cs="宋体"/>
          <w:color w:val="auto"/>
          <w:szCs w:val="21"/>
        </w:rPr>
      </w:pPr>
      <w:r>
        <w:rPr>
          <w:rFonts w:hint="eastAsia" w:ascii="宋体" w:hAnsi="宋体" w:cs="宋体"/>
          <w:color w:val="auto"/>
          <w:szCs w:val="21"/>
        </w:rPr>
        <w:t>16.1.4供应商提交的质疑书需一式三份，质疑书至少应包括下列主要内容：</w:t>
      </w:r>
    </w:p>
    <w:p>
      <w:pPr>
        <w:ind w:firstLine="420"/>
        <w:rPr>
          <w:rFonts w:ascii="宋体" w:hAnsi="宋体" w:cs="宋体"/>
          <w:color w:val="auto"/>
          <w:szCs w:val="21"/>
        </w:rPr>
      </w:pPr>
      <w:r>
        <w:rPr>
          <w:rFonts w:hint="eastAsia" w:ascii="宋体" w:hAnsi="宋体" w:cs="宋体"/>
          <w:color w:val="auto"/>
          <w:szCs w:val="21"/>
        </w:rPr>
        <w:t>（一）供应商的姓名或者名称、地址、邮编、联系人及联系电话；</w:t>
      </w:r>
    </w:p>
    <w:p>
      <w:pPr>
        <w:ind w:firstLine="420"/>
        <w:rPr>
          <w:rFonts w:ascii="宋体" w:hAnsi="宋体" w:cs="宋体"/>
          <w:color w:val="auto"/>
          <w:szCs w:val="21"/>
        </w:rPr>
      </w:pPr>
      <w:r>
        <w:rPr>
          <w:rFonts w:hint="eastAsia" w:ascii="宋体" w:hAnsi="宋体" w:cs="宋体"/>
          <w:color w:val="auto"/>
          <w:szCs w:val="21"/>
        </w:rPr>
        <w:t>（二）质疑项目的名称、编号；</w:t>
      </w:r>
    </w:p>
    <w:p>
      <w:pPr>
        <w:ind w:firstLine="420"/>
        <w:rPr>
          <w:rFonts w:ascii="宋体" w:hAnsi="宋体" w:cs="宋体"/>
          <w:color w:val="auto"/>
          <w:szCs w:val="21"/>
        </w:rPr>
      </w:pPr>
      <w:r>
        <w:rPr>
          <w:rFonts w:hint="eastAsia" w:ascii="宋体" w:hAnsi="宋体" w:cs="宋体"/>
          <w:color w:val="auto"/>
          <w:szCs w:val="21"/>
        </w:rPr>
        <w:t>（三）具体、明确的质疑事项和与质疑事项相关的请求；</w:t>
      </w:r>
    </w:p>
    <w:p>
      <w:pPr>
        <w:ind w:firstLine="420"/>
        <w:rPr>
          <w:rFonts w:ascii="宋体" w:hAnsi="宋体" w:cs="宋体"/>
          <w:color w:val="auto"/>
          <w:szCs w:val="21"/>
        </w:rPr>
      </w:pPr>
      <w:r>
        <w:rPr>
          <w:rFonts w:hint="eastAsia" w:ascii="宋体" w:hAnsi="宋体" w:cs="宋体"/>
          <w:color w:val="auto"/>
          <w:szCs w:val="21"/>
        </w:rPr>
        <w:t>（四）事实依据；</w:t>
      </w:r>
    </w:p>
    <w:p>
      <w:pPr>
        <w:ind w:firstLine="420"/>
        <w:rPr>
          <w:rFonts w:ascii="宋体" w:hAnsi="宋体" w:cs="宋体"/>
          <w:color w:val="auto"/>
          <w:szCs w:val="21"/>
        </w:rPr>
      </w:pPr>
      <w:r>
        <w:rPr>
          <w:rFonts w:hint="eastAsia" w:ascii="宋体" w:hAnsi="宋体" w:cs="宋体"/>
          <w:color w:val="auto"/>
          <w:szCs w:val="21"/>
        </w:rPr>
        <w:t>（五）必要的法律依据；</w:t>
      </w:r>
    </w:p>
    <w:p>
      <w:pPr>
        <w:ind w:firstLine="420"/>
        <w:rPr>
          <w:rFonts w:ascii="宋体" w:hAnsi="宋体" w:cs="宋体"/>
          <w:color w:val="auto"/>
          <w:szCs w:val="21"/>
        </w:rPr>
      </w:pPr>
      <w:r>
        <w:rPr>
          <w:rFonts w:hint="eastAsia" w:ascii="宋体" w:hAnsi="宋体" w:cs="宋体"/>
          <w:color w:val="auto"/>
          <w:szCs w:val="21"/>
        </w:rPr>
        <w:t>（六）提出质疑的日期。</w:t>
      </w:r>
    </w:p>
    <w:p>
      <w:pPr>
        <w:ind w:firstLine="420"/>
        <w:rPr>
          <w:rFonts w:ascii="宋体" w:hAnsi="宋体" w:cs="宋体"/>
          <w:color w:val="auto"/>
          <w:szCs w:val="21"/>
          <w:shd w:val="clear" w:color="auto" w:fill="FFFFFF"/>
        </w:rPr>
      </w:pPr>
      <w:r>
        <w:rPr>
          <w:rFonts w:hint="eastAsia" w:ascii="宋体" w:hAnsi="宋体" w:cs="宋体"/>
          <w:color w:val="auto"/>
          <w:szCs w:val="21"/>
        </w:rPr>
        <w:t>16.1.5</w:t>
      </w:r>
      <w:r>
        <w:rPr>
          <w:rFonts w:hint="eastAsia" w:ascii="宋体" w:hAnsi="宋体" w:cs="宋体"/>
          <w:color w:val="auto"/>
          <w:szCs w:val="21"/>
          <w:shd w:val="clear" w:color="auto" w:fill="FFFFFF"/>
        </w:rPr>
        <w:t>采购人、采购代理机构不得拒收质疑供应商在法定质疑期内发出的质疑函，应当在收到质疑函后7个工作日内作出答复，质疑答复的内容不得涉及商业秘密，并以书面形式通知被质疑供应商和其他有关供应商。</w:t>
      </w:r>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16.2投诉</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16.2.1质疑供应商对采购人、采购代理机构的答复不满意，或者采购人、采购代理机构未在规定时间内作出答复的，可以在答复期满后15个工作日内向《政府采购质疑和投诉办法》（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color w:val="auto"/>
          <w:kern w:val="0"/>
          <w:szCs w:val="21"/>
        </w:rPr>
        <w:t>财政部令第94号</w:t>
      </w:r>
      <w:r>
        <w:rPr>
          <w:rFonts w:hint="eastAsia" w:ascii="宋体" w:hAnsi="宋体" w:cs="宋体"/>
          <w:color w:val="auto"/>
          <w:szCs w:val="21"/>
          <w:shd w:val="clear" w:color="auto" w:fill="FFFFFF"/>
        </w:rPr>
        <w:t>）第六条规定的财政部门提起投诉。</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16.2.2供应商投诉的事项不得超出已质疑事项的范围，但基于质疑答复内容提出的投诉事项除外。</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16.2.3投诉人提起投诉应当符合下列条件：</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（一）提起投诉前已依法进行质疑；</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（二）投诉书内容符合本办法的规定；</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（三）在投诉有效期限内提起投诉；</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（四）同一投诉事项未经财政部门投诉处理；</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（五）财政部规定的其他条件。</w:t>
      </w:r>
    </w:p>
    <w:p>
      <w:pPr>
        <w:ind w:firstLine="422"/>
        <w:rPr>
          <w:rFonts w:ascii="宋体" w:hAnsi="宋体" w:cs="宋体"/>
          <w:b/>
          <w:color w:val="auto"/>
          <w:szCs w:val="21"/>
          <w:shd w:val="clear" w:color="auto" w:fill="FFFFFF"/>
        </w:rPr>
      </w:pPr>
      <w:r>
        <w:rPr>
          <w:rFonts w:hint="eastAsia" w:ascii="宋体" w:hAnsi="宋体" w:cs="宋体"/>
          <w:b/>
          <w:color w:val="auto"/>
          <w:szCs w:val="21"/>
          <w:shd w:val="clear" w:color="auto" w:fill="FFFFFF"/>
        </w:rPr>
        <w:t>16.2.4投诉人在全国范围12个月内三次以上投诉查无实据的，由财政部门列入不良行为记录名单。</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16.2.5投诉人有下列行为之一的，属于虚假、恶意投诉，由财政部门列入不良行为记录名单，禁止其1至3年内参加政府采购活动：</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（一）捏造事实；</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（二）提供虚假材料；</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（三）以非法手段取得证明材料。证据来源的合法性存在明显疑问，投诉人无法证明其取得方式合法的，视为以非法手段取得证明材料。</w:t>
      </w:r>
    </w:p>
    <w:p>
      <w:pPr>
        <w:ind w:firstLine="420"/>
        <w:rPr>
          <w:rFonts w:ascii="宋体" w:hAnsi="宋体" w:cs="宋体"/>
          <w:color w:val="auto"/>
          <w:szCs w:val="21"/>
          <w:shd w:val="clear" w:color="auto" w:fill="FFFFFF"/>
        </w:rPr>
        <w:sectPr>
          <w:headerReference r:id="rId13" w:type="first"/>
          <w:footerReference r:id="rId14" w:type="first"/>
          <w:pgSz w:w="11907" w:h="16840"/>
          <w:pgMar w:top="1247" w:right="1304" w:bottom="1021" w:left="1304" w:header="720" w:footer="720" w:gutter="0"/>
          <w:pgNumType w:start="1"/>
          <w:cols w:space="720" w:num="1"/>
          <w:docGrid w:linePitch="286" w:charSpace="0"/>
        </w:sectPr>
      </w:pPr>
    </w:p>
    <w:bookmarkEnd w:id="82"/>
    <w:bookmarkEnd w:id="83"/>
    <w:bookmarkEnd w:id="84"/>
    <w:p>
      <w:pPr>
        <w:pStyle w:val="5"/>
        <w:ind w:firstLine="482"/>
        <w:rPr>
          <w:color w:val="auto"/>
        </w:rPr>
      </w:pPr>
      <w:bookmarkStart w:id="115" w:name="_Toc50450158"/>
      <w:bookmarkStart w:id="116" w:name="_Toc82873317"/>
      <w:bookmarkStart w:id="117" w:name="_Toc450840083"/>
      <w:bookmarkStart w:id="118" w:name="_Toc82338234"/>
      <w:r>
        <w:rPr>
          <w:rFonts w:hint="eastAsia"/>
          <w:color w:val="auto"/>
        </w:rPr>
        <w:t>第三章招标需求及项目技术规范和要求</w:t>
      </w:r>
      <w:bookmarkEnd w:id="115"/>
      <w:bookmarkEnd w:id="116"/>
      <w:bookmarkEnd w:id="117"/>
      <w:bookmarkEnd w:id="118"/>
    </w:p>
    <w:p>
      <w:pPr>
        <w:keepNext/>
        <w:keepLines/>
        <w:ind w:firstLine="0" w:firstLineChars="0"/>
        <w:outlineLvl w:val="1"/>
        <w:rPr>
          <w:rFonts w:cs="宋体" w:asciiTheme="majorEastAsia" w:hAnsiTheme="majorEastAsia" w:eastAsiaTheme="majorEastAsia"/>
          <w:b/>
          <w:bCs/>
          <w:color w:val="auto"/>
          <w:szCs w:val="21"/>
        </w:rPr>
      </w:pPr>
      <w:bookmarkStart w:id="119" w:name="_Toc7902707"/>
      <w:bookmarkStart w:id="120" w:name="_Toc3684"/>
      <w:bookmarkStart w:id="121" w:name="_Toc50450159"/>
      <w:bookmarkStart w:id="122" w:name="_Toc44006578"/>
      <w:bookmarkStart w:id="123" w:name="_Toc12817"/>
      <w:bookmarkStart w:id="124" w:name="_Toc21230"/>
      <w:bookmarkStart w:id="125" w:name="_Toc450840086"/>
      <w:r>
        <w:rPr>
          <w:rFonts w:hint="eastAsia" w:cs="宋体" w:asciiTheme="majorEastAsia" w:hAnsiTheme="majorEastAsia" w:eastAsiaTheme="majorEastAsia"/>
          <w:b/>
          <w:bCs/>
          <w:color w:val="auto"/>
          <w:szCs w:val="21"/>
        </w:rPr>
        <w:t>1</w:t>
      </w:r>
      <w:bookmarkEnd w:id="119"/>
      <w:bookmarkStart w:id="126" w:name="_Toc450840084"/>
      <w:bookmarkStart w:id="127" w:name="_Toc82873318"/>
      <w:bookmarkStart w:id="128" w:name="_Toc82338235"/>
      <w:r>
        <w:rPr>
          <w:rFonts w:hint="eastAsia" w:cs="宋体" w:asciiTheme="majorEastAsia" w:hAnsiTheme="majorEastAsia" w:eastAsiaTheme="majorEastAsia"/>
          <w:b/>
          <w:bCs/>
          <w:color w:val="auto"/>
          <w:szCs w:val="21"/>
        </w:rPr>
        <w:t>相关法规、管理条例与技术标准、行业规范</w:t>
      </w:r>
      <w:bookmarkEnd w:id="120"/>
      <w:bookmarkEnd w:id="121"/>
      <w:bookmarkEnd w:id="122"/>
      <w:bookmarkEnd w:id="123"/>
      <w:bookmarkEnd w:id="124"/>
      <w:bookmarkEnd w:id="126"/>
      <w:bookmarkEnd w:id="127"/>
      <w:bookmarkEnd w:id="128"/>
    </w:p>
    <w:p>
      <w:pPr>
        <w:ind w:firstLine="42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1.1 国家规定的标准和规范，有新标准按新标准执行；</w:t>
      </w:r>
    </w:p>
    <w:p>
      <w:pPr>
        <w:ind w:firstLine="42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1.2行业标准及规范，有新标准按新标准执行；</w:t>
      </w:r>
    </w:p>
    <w:p>
      <w:pPr>
        <w:ind w:firstLine="42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1.3其他相关标准。</w:t>
      </w:r>
    </w:p>
    <w:bookmarkEnd w:id="125"/>
    <w:p>
      <w:pPr>
        <w:keepNext/>
        <w:keepLines/>
        <w:tabs>
          <w:tab w:val="left" w:pos="1674"/>
        </w:tabs>
        <w:ind w:firstLine="0" w:firstLineChars="0"/>
        <w:outlineLvl w:val="1"/>
        <w:rPr>
          <w:b/>
          <w:bCs/>
          <w:color w:val="auto"/>
        </w:rPr>
      </w:pPr>
      <w:bookmarkStart w:id="129" w:name="_Toc25732"/>
      <w:bookmarkStart w:id="130" w:name="_Toc23292"/>
      <w:bookmarkStart w:id="131" w:name="_Toc35786657"/>
      <w:bookmarkStart w:id="132" w:name="_Toc16598"/>
      <w:bookmarkStart w:id="133" w:name="_Toc50450160"/>
      <w:r>
        <w:rPr>
          <w:rFonts w:hint="eastAsia" w:ascii="宋体" w:hAnsi="宋体" w:cs="宋体"/>
          <w:b/>
          <w:bCs/>
          <w:color w:val="auto"/>
          <w:szCs w:val="21"/>
        </w:rPr>
        <w:t>2</w:t>
      </w:r>
      <w:bookmarkEnd w:id="129"/>
      <w:bookmarkEnd w:id="130"/>
      <w:bookmarkEnd w:id="131"/>
      <w:bookmarkEnd w:id="132"/>
      <w:r>
        <w:rPr>
          <w:b/>
          <w:bCs/>
          <w:color w:val="auto"/>
        </w:rPr>
        <w:t>招标需求</w:t>
      </w:r>
      <w:bookmarkEnd w:id="133"/>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采购设备清单</w:t>
      </w:r>
    </w:p>
    <w:tbl>
      <w:tblPr>
        <w:tblStyle w:val="23"/>
        <w:tblW w:w="4998" w:type="pct"/>
        <w:jc w:val="center"/>
        <w:tblLayout w:type="autofit"/>
        <w:tblCellMar>
          <w:top w:w="0" w:type="dxa"/>
          <w:left w:w="108" w:type="dxa"/>
          <w:bottom w:w="0" w:type="dxa"/>
          <w:right w:w="108" w:type="dxa"/>
        </w:tblCellMar>
      </w:tblPr>
      <w:tblGrid>
        <w:gridCol w:w="951"/>
        <w:gridCol w:w="2180"/>
        <w:gridCol w:w="4106"/>
        <w:gridCol w:w="1161"/>
        <w:gridCol w:w="1113"/>
      </w:tblGrid>
      <w:tr>
        <w:tblPrEx>
          <w:tblCellMar>
            <w:top w:w="0" w:type="dxa"/>
            <w:left w:w="108" w:type="dxa"/>
            <w:bottom w:w="0" w:type="dxa"/>
            <w:right w:w="108" w:type="dxa"/>
          </w:tblCellMar>
        </w:tblPrEx>
        <w:trPr>
          <w:trHeight w:val="474"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155"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产品名称</w:t>
            </w:r>
          </w:p>
        </w:tc>
        <w:tc>
          <w:tcPr>
            <w:tcW w:w="2167"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规格（</w:t>
            </w:r>
            <w:r>
              <w:rPr>
                <w:rFonts w:hint="eastAsia" w:ascii="宋体" w:hAnsi="宋体" w:eastAsia="宋体" w:cs="宋体"/>
                <w:b/>
                <w:bCs/>
                <w:color w:val="auto"/>
                <w:kern w:val="0"/>
                <w:sz w:val="21"/>
                <w:szCs w:val="21"/>
                <w:lang w:val="en-US" w:eastAsia="zh-CN"/>
              </w:rPr>
              <w:t>长*宽*高</w:t>
            </w:r>
            <w:r>
              <w:rPr>
                <w:rFonts w:hint="eastAsia" w:ascii="宋体" w:hAnsi="宋体" w:eastAsia="宋体" w:cs="宋体"/>
                <w:b/>
                <w:bCs/>
                <w:color w:val="auto"/>
                <w:kern w:val="0"/>
                <w:sz w:val="21"/>
                <w:szCs w:val="21"/>
              </w:rPr>
              <w:t>)</w:t>
            </w:r>
          </w:p>
        </w:tc>
        <w:tc>
          <w:tcPr>
            <w:tcW w:w="61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单位</w:t>
            </w:r>
          </w:p>
        </w:tc>
        <w:tc>
          <w:tcPr>
            <w:tcW w:w="59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数量</w:t>
            </w:r>
          </w:p>
        </w:tc>
      </w:tr>
      <w:tr>
        <w:tblPrEx>
          <w:tblCellMar>
            <w:top w:w="0" w:type="dxa"/>
            <w:left w:w="108" w:type="dxa"/>
            <w:bottom w:w="0" w:type="dxa"/>
            <w:right w:w="108" w:type="dxa"/>
          </w:tblCellMar>
        </w:tblPrEx>
        <w:trPr>
          <w:trHeight w:val="474"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一</w:t>
            </w:r>
          </w:p>
        </w:tc>
        <w:tc>
          <w:tcPr>
            <w:tcW w:w="4535" w:type="pct"/>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sz w:val="21"/>
                <w:szCs w:val="21"/>
                <w:shd w:val="clear" w:color="auto" w:fill="FFFFFF"/>
              </w:rPr>
              <w:t>物联网无线温湿度监控系统</w:t>
            </w:r>
          </w:p>
        </w:tc>
      </w:tr>
      <w:tr>
        <w:tblPrEx>
          <w:tblCellMar>
            <w:top w:w="0" w:type="dxa"/>
            <w:left w:w="108" w:type="dxa"/>
            <w:bottom w:w="0" w:type="dxa"/>
            <w:right w:w="108" w:type="dxa"/>
          </w:tblCellMar>
        </w:tblPrEx>
        <w:trPr>
          <w:trHeight w:val="474"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1.1</w:t>
            </w:r>
          </w:p>
        </w:tc>
        <w:tc>
          <w:tcPr>
            <w:tcW w:w="1155"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shd w:val="clear" w:color="auto" w:fill="FFFFFF"/>
              </w:rPr>
            </w:pPr>
            <w:r>
              <w:rPr>
                <w:rFonts w:hint="eastAsia" w:ascii="宋体" w:hAnsi="宋体" w:eastAsia="宋体" w:cs="宋体"/>
                <w:b w:val="0"/>
                <w:bCs w:val="0"/>
                <w:color w:val="auto"/>
                <w:sz w:val="21"/>
                <w:szCs w:val="21"/>
                <w:lang w:val="en-US" w:eastAsia="zh-CN"/>
              </w:rPr>
              <w:t>可移动文物预防性保存环境智能控制系统</w:t>
            </w:r>
          </w:p>
        </w:tc>
        <w:tc>
          <w:tcPr>
            <w:tcW w:w="2167"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shd w:val="clear" w:color="auto" w:fill="FFFFFF"/>
              </w:rPr>
            </w:pPr>
            <w:r>
              <w:rPr>
                <w:rFonts w:hint="eastAsia" w:ascii="宋体" w:hAnsi="宋体" w:eastAsia="宋体" w:cs="宋体"/>
                <w:b w:val="0"/>
                <w:bCs w:val="0"/>
                <w:color w:val="auto"/>
                <w:sz w:val="21"/>
                <w:szCs w:val="21"/>
              </w:rPr>
              <w:t>对展厅的环境调控设备的监测数据及运行状态通过无线网络实现监测与调控。</w:t>
            </w:r>
          </w:p>
        </w:tc>
        <w:tc>
          <w:tcPr>
            <w:tcW w:w="61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rPr>
              <w:t>套</w:t>
            </w:r>
          </w:p>
        </w:tc>
        <w:tc>
          <w:tcPr>
            <w:tcW w:w="59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rPr>
              <w:t>1</w:t>
            </w:r>
          </w:p>
        </w:tc>
      </w:tr>
      <w:tr>
        <w:tblPrEx>
          <w:tblCellMar>
            <w:top w:w="0" w:type="dxa"/>
            <w:left w:w="108" w:type="dxa"/>
            <w:bottom w:w="0" w:type="dxa"/>
            <w:right w:w="108" w:type="dxa"/>
          </w:tblCellMar>
        </w:tblPrEx>
        <w:trPr>
          <w:trHeight w:val="474"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1.2</w:t>
            </w:r>
          </w:p>
        </w:tc>
        <w:tc>
          <w:tcPr>
            <w:tcW w:w="115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Cs/>
                <w:color w:val="auto"/>
                <w:kern w:val="2"/>
                <w:sz w:val="21"/>
                <w:szCs w:val="21"/>
                <w:lang w:val="en-US" w:eastAsia="zh-CN" w:bidi="ar"/>
              </w:rPr>
              <w:t>无线温湿度变送器</w:t>
            </w:r>
          </w:p>
        </w:tc>
        <w:tc>
          <w:tcPr>
            <w:tcW w:w="2167"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温度测量测量范围：-20～50℃；</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分辨率：0.1℃；</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测量精度：±0.</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湿度测量测量范围：0～98%RH；</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分辨率：0.1%RH；</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rPr>
              <w:t>测量精度：±</w:t>
            </w:r>
            <w:r>
              <w:rPr>
                <w:rFonts w:hint="eastAsia" w:ascii="宋体" w:hAnsi="宋体" w:eastAsia="宋体" w:cs="宋体"/>
                <w:b w:val="0"/>
                <w:bCs w:val="0"/>
                <w:color w:val="auto"/>
                <w:sz w:val="21"/>
                <w:szCs w:val="21"/>
                <w:lang w:val="en-US" w:eastAsia="zh-CN"/>
              </w:rPr>
              <w:t>1.5</w:t>
            </w:r>
            <w:r>
              <w:rPr>
                <w:rFonts w:hint="eastAsia" w:ascii="宋体" w:hAnsi="宋体" w:eastAsia="宋体" w:cs="宋体"/>
                <w:b w:val="0"/>
                <w:bCs w:val="0"/>
                <w:color w:val="auto"/>
                <w:sz w:val="21"/>
                <w:szCs w:val="21"/>
              </w:rPr>
              <w:t>%RH。</w:t>
            </w:r>
          </w:p>
        </w:tc>
        <w:tc>
          <w:tcPr>
            <w:tcW w:w="61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sz w:val="21"/>
                <w:szCs w:val="21"/>
                <w:shd w:val="clear" w:color="auto" w:fill="FFFFFF"/>
              </w:rPr>
              <w:t>套</w:t>
            </w:r>
          </w:p>
        </w:tc>
        <w:tc>
          <w:tcPr>
            <w:tcW w:w="59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sz w:val="21"/>
                <w:szCs w:val="21"/>
                <w:shd w:val="clear" w:color="auto" w:fill="FFFFFF"/>
              </w:rPr>
              <w:t>5</w:t>
            </w:r>
          </w:p>
        </w:tc>
      </w:tr>
      <w:tr>
        <w:tblPrEx>
          <w:tblCellMar>
            <w:top w:w="0" w:type="dxa"/>
            <w:left w:w="108" w:type="dxa"/>
            <w:bottom w:w="0" w:type="dxa"/>
            <w:right w:w="108" w:type="dxa"/>
          </w:tblCellMar>
        </w:tblPrEx>
        <w:trPr>
          <w:trHeight w:val="474"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1.3</w:t>
            </w:r>
          </w:p>
        </w:tc>
        <w:tc>
          <w:tcPr>
            <w:tcW w:w="1155"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无线信号中继装置</w:t>
            </w:r>
          </w:p>
        </w:tc>
        <w:tc>
          <w:tcPr>
            <w:tcW w:w="2167"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lang w:val="en-US" w:eastAsia="zh-CN" w:bidi="ar-SA"/>
              </w:rPr>
              <w:t>发送功率≤22dBm；通讯距离大于200米（视距传输）</w:t>
            </w:r>
          </w:p>
        </w:tc>
        <w:tc>
          <w:tcPr>
            <w:tcW w:w="61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0"/>
                <w:sz w:val="21"/>
                <w:szCs w:val="21"/>
              </w:rPr>
              <w:t>套</w:t>
            </w:r>
          </w:p>
        </w:tc>
        <w:tc>
          <w:tcPr>
            <w:tcW w:w="59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0"/>
                <w:sz w:val="21"/>
                <w:szCs w:val="21"/>
              </w:rPr>
              <w:t>1</w:t>
            </w:r>
          </w:p>
        </w:tc>
      </w:tr>
      <w:tr>
        <w:tblPrEx>
          <w:tblCellMar>
            <w:top w:w="0" w:type="dxa"/>
            <w:left w:w="108" w:type="dxa"/>
            <w:bottom w:w="0" w:type="dxa"/>
            <w:right w:w="108" w:type="dxa"/>
          </w:tblCellMar>
        </w:tblPrEx>
        <w:trPr>
          <w:trHeight w:val="474"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1.4</w:t>
            </w:r>
          </w:p>
        </w:tc>
        <w:tc>
          <w:tcPr>
            <w:tcW w:w="1155"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物联网接收网关</w:t>
            </w:r>
          </w:p>
        </w:tc>
        <w:tc>
          <w:tcPr>
            <w:tcW w:w="2167"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rPr>
            </w:pPr>
            <w:r>
              <w:rPr>
                <w:rFonts w:hint="eastAsia" w:ascii="宋体" w:hAnsi="宋体" w:eastAsia="宋体" w:cs="宋体"/>
                <w:color w:val="auto"/>
                <w:sz w:val="21"/>
                <w:szCs w:val="21"/>
              </w:rPr>
              <w:t>二合一VPN/防火墙网关</w:t>
            </w:r>
          </w:p>
        </w:tc>
        <w:tc>
          <w:tcPr>
            <w:tcW w:w="61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0"/>
                <w:sz w:val="21"/>
                <w:szCs w:val="21"/>
              </w:rPr>
              <w:t>套</w:t>
            </w:r>
          </w:p>
        </w:tc>
        <w:tc>
          <w:tcPr>
            <w:tcW w:w="59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0"/>
                <w:sz w:val="21"/>
                <w:szCs w:val="21"/>
              </w:rPr>
              <w:t>1</w:t>
            </w:r>
          </w:p>
        </w:tc>
      </w:tr>
      <w:tr>
        <w:tblPrEx>
          <w:tblCellMar>
            <w:top w:w="0" w:type="dxa"/>
            <w:left w:w="108" w:type="dxa"/>
            <w:bottom w:w="0" w:type="dxa"/>
            <w:right w:w="108" w:type="dxa"/>
          </w:tblCellMar>
        </w:tblPrEx>
        <w:trPr>
          <w:trHeight w:val="474"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二</w:t>
            </w:r>
          </w:p>
        </w:tc>
        <w:tc>
          <w:tcPr>
            <w:tcW w:w="4535" w:type="pct"/>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展厅展柜及环境调控设备项</w:t>
            </w:r>
          </w:p>
        </w:tc>
      </w:tr>
      <w:tr>
        <w:tblPrEx>
          <w:tblCellMar>
            <w:top w:w="0" w:type="dxa"/>
            <w:left w:w="108" w:type="dxa"/>
            <w:bottom w:w="0" w:type="dxa"/>
            <w:right w:w="108" w:type="dxa"/>
          </w:tblCellMar>
        </w:tblPrEx>
        <w:trPr>
          <w:trHeight w:val="474" w:hRule="atLeast"/>
          <w:jc w:val="center"/>
        </w:trPr>
        <w:tc>
          <w:tcPr>
            <w:tcW w:w="464"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2.1</w:t>
            </w:r>
          </w:p>
        </w:tc>
        <w:tc>
          <w:tcPr>
            <w:tcW w:w="1155" w:type="pct"/>
            <w:vMerge w:val="restart"/>
            <w:tcBorders>
              <w:top w:val="single" w:color="auto" w:sz="4" w:space="0"/>
              <w:left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沿墙式展柜</w:t>
            </w:r>
          </w:p>
        </w:tc>
        <w:tc>
          <w:tcPr>
            <w:tcW w:w="2167"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sz w:val="21"/>
                <w:szCs w:val="21"/>
                <w:lang w:val="en-US" w:eastAsia="zh-CN"/>
              </w:rPr>
              <w:t>132</w:t>
            </w:r>
            <w:r>
              <w:rPr>
                <w:rFonts w:hint="eastAsia" w:ascii="宋体" w:hAnsi="宋体" w:eastAsia="宋体" w:cs="宋体"/>
                <w:b w:val="0"/>
                <w:bCs w:val="0"/>
                <w:color w:val="auto"/>
                <w:sz w:val="21"/>
                <w:szCs w:val="21"/>
              </w:rPr>
              <w:t>00*</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00*3</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00mm</w:t>
            </w:r>
          </w:p>
        </w:tc>
        <w:tc>
          <w:tcPr>
            <w:tcW w:w="61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套</w:t>
            </w:r>
          </w:p>
        </w:tc>
        <w:tc>
          <w:tcPr>
            <w:tcW w:w="59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p>
        </w:tc>
      </w:tr>
      <w:tr>
        <w:tblPrEx>
          <w:tblCellMar>
            <w:top w:w="0" w:type="dxa"/>
            <w:left w:w="108" w:type="dxa"/>
            <w:bottom w:w="0" w:type="dxa"/>
            <w:right w:w="108" w:type="dxa"/>
          </w:tblCellMar>
        </w:tblPrEx>
        <w:trPr>
          <w:trHeight w:val="474" w:hRule="atLeast"/>
          <w:jc w:val="center"/>
        </w:trPr>
        <w:tc>
          <w:tcPr>
            <w:tcW w:w="464"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rPr>
            </w:pPr>
          </w:p>
        </w:tc>
        <w:tc>
          <w:tcPr>
            <w:tcW w:w="1155" w:type="pct"/>
            <w:vMerge w:val="continue"/>
            <w:tcBorders>
              <w:left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rPr>
            </w:pPr>
          </w:p>
        </w:tc>
        <w:tc>
          <w:tcPr>
            <w:tcW w:w="2167"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sz w:val="21"/>
                <w:szCs w:val="21"/>
                <w:lang w:val="en-US" w:eastAsia="zh-CN"/>
              </w:rPr>
              <w:t>212</w:t>
            </w:r>
            <w:r>
              <w:rPr>
                <w:rFonts w:hint="eastAsia" w:ascii="宋体" w:hAnsi="宋体" w:eastAsia="宋体" w:cs="宋体"/>
                <w:b w:val="0"/>
                <w:bCs w:val="0"/>
                <w:color w:val="auto"/>
                <w:sz w:val="21"/>
                <w:szCs w:val="21"/>
              </w:rPr>
              <w:t>00*</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00*3</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00mm</w:t>
            </w:r>
          </w:p>
        </w:tc>
        <w:tc>
          <w:tcPr>
            <w:tcW w:w="61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套</w:t>
            </w:r>
          </w:p>
        </w:tc>
        <w:tc>
          <w:tcPr>
            <w:tcW w:w="59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p>
        </w:tc>
      </w:tr>
      <w:tr>
        <w:tblPrEx>
          <w:tblCellMar>
            <w:top w:w="0" w:type="dxa"/>
            <w:left w:w="108" w:type="dxa"/>
            <w:bottom w:w="0" w:type="dxa"/>
            <w:right w:w="108" w:type="dxa"/>
          </w:tblCellMar>
        </w:tblPrEx>
        <w:trPr>
          <w:trHeight w:val="474" w:hRule="atLeast"/>
          <w:jc w:val="center"/>
        </w:trPr>
        <w:tc>
          <w:tcPr>
            <w:tcW w:w="464"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rPr>
            </w:pPr>
          </w:p>
        </w:tc>
        <w:tc>
          <w:tcPr>
            <w:tcW w:w="1155" w:type="pct"/>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rPr>
            </w:pPr>
          </w:p>
        </w:tc>
        <w:tc>
          <w:tcPr>
            <w:tcW w:w="2167"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sz w:val="21"/>
                <w:szCs w:val="21"/>
                <w:lang w:val="en-US" w:eastAsia="zh-CN"/>
              </w:rPr>
              <w:t>152</w:t>
            </w:r>
            <w:r>
              <w:rPr>
                <w:rFonts w:hint="eastAsia" w:ascii="宋体" w:hAnsi="宋体" w:eastAsia="宋体" w:cs="宋体"/>
                <w:b w:val="0"/>
                <w:bCs w:val="0"/>
                <w:color w:val="auto"/>
                <w:sz w:val="21"/>
                <w:szCs w:val="21"/>
              </w:rPr>
              <w:t>00*</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00*3</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00mm</w:t>
            </w:r>
          </w:p>
        </w:tc>
        <w:tc>
          <w:tcPr>
            <w:tcW w:w="61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套</w:t>
            </w:r>
          </w:p>
        </w:tc>
        <w:tc>
          <w:tcPr>
            <w:tcW w:w="59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p>
        </w:tc>
      </w:tr>
      <w:tr>
        <w:tblPrEx>
          <w:tblCellMar>
            <w:top w:w="0" w:type="dxa"/>
            <w:left w:w="108" w:type="dxa"/>
            <w:bottom w:w="0" w:type="dxa"/>
            <w:right w:w="108" w:type="dxa"/>
          </w:tblCellMar>
        </w:tblPrEx>
        <w:trPr>
          <w:trHeight w:val="474"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2.2</w:t>
            </w:r>
          </w:p>
        </w:tc>
        <w:tc>
          <w:tcPr>
            <w:tcW w:w="1155"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color w:val="auto"/>
                <w:kern w:val="2"/>
                <w:sz w:val="21"/>
                <w:szCs w:val="21"/>
                <w:lang w:val="en-US" w:eastAsia="zh-CN"/>
              </w:rPr>
              <w:t>循环式智能电子恒湿机</w:t>
            </w:r>
          </w:p>
        </w:tc>
        <w:tc>
          <w:tcPr>
            <w:tcW w:w="2167"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sz w:val="21"/>
                <w:szCs w:val="21"/>
              </w:rPr>
              <w:t>600</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27</w:t>
            </w:r>
            <w:r>
              <w:rPr>
                <w:rFonts w:hint="eastAsia" w:ascii="宋体" w:hAnsi="宋体" w:eastAsia="宋体" w:cs="宋体"/>
                <w:b w:val="0"/>
                <w:bCs w:val="0"/>
                <w:color w:val="auto"/>
                <w:sz w:val="21"/>
                <w:szCs w:val="21"/>
              </w:rPr>
              <w:t>0</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150</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mm</w:t>
            </w:r>
          </w:p>
        </w:tc>
        <w:tc>
          <w:tcPr>
            <w:tcW w:w="61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套</w:t>
            </w:r>
          </w:p>
        </w:tc>
        <w:tc>
          <w:tcPr>
            <w:tcW w:w="59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9</w:t>
            </w:r>
          </w:p>
        </w:tc>
      </w:tr>
      <w:tr>
        <w:tblPrEx>
          <w:tblCellMar>
            <w:top w:w="0" w:type="dxa"/>
            <w:left w:w="108" w:type="dxa"/>
            <w:bottom w:w="0" w:type="dxa"/>
            <w:right w:w="108" w:type="dxa"/>
          </w:tblCellMar>
        </w:tblPrEx>
        <w:trPr>
          <w:trHeight w:val="474"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三</w:t>
            </w:r>
          </w:p>
        </w:tc>
        <w:tc>
          <w:tcPr>
            <w:tcW w:w="4535" w:type="pct"/>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sz w:val="21"/>
                <w:szCs w:val="21"/>
              </w:rPr>
              <w:t>展厅移动板墙设备项</w:t>
            </w:r>
          </w:p>
        </w:tc>
      </w:tr>
      <w:tr>
        <w:tblPrEx>
          <w:tblCellMar>
            <w:top w:w="0" w:type="dxa"/>
            <w:left w:w="108" w:type="dxa"/>
            <w:bottom w:w="0" w:type="dxa"/>
            <w:right w:w="108" w:type="dxa"/>
          </w:tblCellMar>
        </w:tblPrEx>
        <w:trPr>
          <w:trHeight w:val="474"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3.1</w:t>
            </w:r>
          </w:p>
        </w:tc>
        <w:tc>
          <w:tcPr>
            <w:tcW w:w="115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移动板墙</w:t>
            </w:r>
          </w:p>
        </w:tc>
        <w:tc>
          <w:tcPr>
            <w:tcW w:w="2167"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rPr>
              <w:t>12</w:t>
            </w:r>
            <w:r>
              <w:rPr>
                <w:rFonts w:hint="eastAsia" w:ascii="宋体" w:hAnsi="宋体" w:eastAsia="宋体" w:cs="宋体"/>
                <w:b w:val="0"/>
                <w:bCs w:val="0"/>
                <w:color w:val="auto"/>
                <w:kern w:val="0"/>
                <w:sz w:val="21"/>
                <w:szCs w:val="21"/>
              </w:rPr>
              <w:t>00*50*3650mm</w:t>
            </w:r>
          </w:p>
        </w:tc>
        <w:tc>
          <w:tcPr>
            <w:tcW w:w="61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平方米</w:t>
            </w:r>
          </w:p>
        </w:tc>
        <w:tc>
          <w:tcPr>
            <w:tcW w:w="593"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166.5</w:t>
            </w:r>
            <w:r>
              <w:rPr>
                <w:rFonts w:hint="eastAsia" w:ascii="宋体" w:hAnsi="宋体" w:eastAsia="宋体" w:cs="宋体"/>
                <w:b w:val="0"/>
                <w:bCs w:val="0"/>
                <w:color w:val="auto"/>
                <w:sz w:val="21"/>
                <w:szCs w:val="21"/>
              </w:rPr>
              <w:t>㎡</w:t>
            </w:r>
          </w:p>
        </w:tc>
      </w:tr>
      <w:tr>
        <w:tblPrEx>
          <w:tblCellMar>
            <w:top w:w="0" w:type="dxa"/>
            <w:left w:w="108" w:type="dxa"/>
            <w:bottom w:w="0" w:type="dxa"/>
            <w:right w:w="108" w:type="dxa"/>
          </w:tblCellMar>
        </w:tblPrEx>
        <w:trPr>
          <w:trHeight w:val="474"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3.2</w:t>
            </w:r>
          </w:p>
        </w:tc>
        <w:tc>
          <w:tcPr>
            <w:tcW w:w="115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轨道</w:t>
            </w:r>
          </w:p>
        </w:tc>
        <w:tc>
          <w:tcPr>
            <w:tcW w:w="2167"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rPr>
              <w:t>106</w:t>
            </w:r>
            <w:r>
              <w:rPr>
                <w:rFonts w:hint="eastAsia" w:ascii="宋体" w:hAnsi="宋体" w:eastAsia="宋体" w:cs="宋体"/>
                <w:b w:val="0"/>
                <w:bCs w:val="0"/>
                <w:color w:val="auto"/>
                <w:kern w:val="0"/>
                <w:sz w:val="21"/>
                <w:szCs w:val="21"/>
              </w:rPr>
              <w:t>米(长）</w:t>
            </w:r>
          </w:p>
        </w:tc>
        <w:tc>
          <w:tcPr>
            <w:tcW w:w="61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米</w:t>
            </w:r>
          </w:p>
        </w:tc>
        <w:tc>
          <w:tcPr>
            <w:tcW w:w="593"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106</w:t>
            </w:r>
          </w:p>
        </w:tc>
      </w:tr>
    </w:tbl>
    <w:p>
      <w:pPr>
        <w:ind w:firstLine="420"/>
        <w:rPr>
          <w:color w:val="auto"/>
          <w:szCs w:val="21"/>
        </w:rPr>
      </w:pPr>
    </w:p>
    <w:p>
      <w:pPr>
        <w:keepNext/>
        <w:keepLines/>
        <w:tabs>
          <w:tab w:val="left" w:pos="1674"/>
        </w:tabs>
        <w:ind w:firstLine="0" w:firstLineChars="0"/>
        <w:outlineLvl w:val="1"/>
        <w:rPr>
          <w:rFonts w:ascii="宋体" w:hAnsi="宋体" w:cs="宋体"/>
          <w:b/>
          <w:bCs/>
          <w:color w:val="auto"/>
          <w:szCs w:val="21"/>
        </w:rPr>
      </w:pPr>
      <w:bookmarkStart w:id="134" w:name="_Toc20680"/>
      <w:bookmarkStart w:id="135" w:name="_Toc50450161"/>
      <w:r>
        <w:rPr>
          <w:rFonts w:hint="eastAsia" w:ascii="宋体" w:hAnsi="宋体" w:cs="宋体"/>
          <w:b/>
          <w:bCs/>
          <w:color w:val="auto"/>
          <w:szCs w:val="21"/>
        </w:rPr>
        <w:t>3</w:t>
      </w:r>
      <w:bookmarkEnd w:id="134"/>
      <w:r>
        <w:rPr>
          <w:rFonts w:hint="eastAsia" w:ascii="宋体" w:hAnsi="宋体" w:cs="宋体"/>
          <w:b/>
          <w:bCs/>
          <w:color w:val="auto"/>
          <w:szCs w:val="21"/>
        </w:rPr>
        <w:t>技术要求</w:t>
      </w:r>
      <w:bookmarkEnd w:id="135"/>
      <w:r>
        <w:rPr>
          <w:rFonts w:hint="eastAsia" w:ascii="宋体" w:hAnsi="宋体" w:cs="宋体"/>
          <w:b/>
          <w:bCs/>
          <w:color w:val="auto"/>
          <w:szCs w:val="21"/>
        </w:rPr>
        <w:tab/>
      </w:r>
    </w:p>
    <w:p>
      <w:pPr>
        <w:pStyle w:val="2"/>
        <w:rPr>
          <w:rFonts w:hint="eastAsia" w:ascii="宋体" w:hAnsi="宋体" w:eastAsia="宋体" w:cs="宋体"/>
          <w:b w:val="0"/>
          <w:bCs w:val="0"/>
          <w:color w:val="auto"/>
          <w:sz w:val="21"/>
          <w:szCs w:val="21"/>
          <w:shd w:val="clear" w:color="auto" w:fill="FFFFFF"/>
        </w:rPr>
      </w:pPr>
      <w:bookmarkStart w:id="136" w:name="_Toc4044"/>
      <w:r>
        <w:rPr>
          <w:rFonts w:hint="eastAsia" w:ascii="宋体" w:hAnsi="宋体" w:eastAsia="宋体" w:cs="宋体"/>
          <w:b w:val="0"/>
          <w:bCs w:val="0"/>
          <w:color w:val="auto"/>
          <w:sz w:val="21"/>
          <w:szCs w:val="21"/>
          <w:shd w:val="clear" w:color="auto" w:fill="FFFFFF"/>
          <w:lang w:val="en-US" w:eastAsia="zh-CN"/>
        </w:rPr>
        <w:t>3.1、</w:t>
      </w:r>
      <w:r>
        <w:rPr>
          <w:rFonts w:hint="eastAsia" w:ascii="宋体" w:hAnsi="宋体" w:eastAsia="宋体" w:cs="宋体"/>
          <w:b w:val="0"/>
          <w:bCs w:val="0"/>
          <w:color w:val="auto"/>
          <w:sz w:val="21"/>
          <w:szCs w:val="21"/>
          <w:shd w:val="clear" w:color="auto" w:fill="FFFFFF"/>
        </w:rPr>
        <w:t>物联网无线温湿度监控系统</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4"/>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pct"/>
            <w:vAlign w:val="center"/>
          </w:tcPr>
          <w:p>
            <w:pPr>
              <w:keepNext w:val="0"/>
              <w:keepLines w:val="0"/>
              <w:numPr>
                <w:ilvl w:val="0"/>
                <w:numId w:val="0"/>
              </w:numPr>
              <w:suppressLineNumbers w:val="0"/>
              <w:spacing w:before="0" w:beforeAutospacing="0" w:after="0" w:afterAutospacing="0" w:line="360" w:lineRule="auto"/>
              <w:ind w:left="0" w:leftChars="0" w:right="0"/>
              <w:jc w:val="left"/>
              <w:rPr>
                <w:rFonts w:hint="eastAsia" w:ascii="宋体" w:hAnsi="宋体" w:eastAsia="宋体" w:cs="宋体"/>
                <w:color w:val="auto"/>
                <w:sz w:val="21"/>
                <w:szCs w:val="21"/>
              </w:rPr>
            </w:pPr>
            <w:r>
              <w:rPr>
                <w:rFonts w:hint="eastAsia" w:ascii="宋体" w:hAnsi="宋体" w:eastAsia="宋体" w:cs="宋体"/>
                <w:color w:val="auto"/>
                <w:kern w:val="2"/>
                <w:sz w:val="21"/>
                <w:szCs w:val="21"/>
                <w:highlight w:val="none"/>
                <w:lang w:val="en-US" w:eastAsia="zh-CN"/>
              </w:rPr>
              <w:t>可移动文物预防性保存环境智能控制系统</w:t>
            </w:r>
          </w:p>
        </w:tc>
        <w:tc>
          <w:tcPr>
            <w:tcW w:w="3326" w:type="pct"/>
          </w:tcPr>
          <w:p>
            <w:pPr>
              <w:keepNext w:val="0"/>
              <w:keepLines w:val="0"/>
              <w:numPr>
                <w:ilvl w:val="0"/>
                <w:numId w:val="0"/>
              </w:numPr>
              <w:suppressLineNumbers w:val="0"/>
              <w:spacing w:before="0" w:beforeAutospacing="0" w:after="0" w:afterAutospacing="0" w:line="360" w:lineRule="auto"/>
              <w:ind w:left="0" w:leftChars="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（1）所有监测点要求采用一套监测系统（总控）来管理与控制。总控计算机采用高性能PC服务器，能实现24小时不间断工作。</w:t>
            </w:r>
          </w:p>
          <w:p>
            <w:pPr>
              <w:keepNext w:val="0"/>
              <w:keepLines w:val="0"/>
              <w:numPr>
                <w:ilvl w:val="0"/>
                <w:numId w:val="0"/>
              </w:numPr>
              <w:suppressLineNumbers w:val="0"/>
              <w:spacing w:before="0" w:beforeAutospacing="0" w:after="0" w:afterAutospacing="0" w:line="360" w:lineRule="auto"/>
              <w:ind w:left="0" w:leftChars="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（2）总体架构：采用Client/Server架构，一个服务器主机，用户可以在办公计算机上查询相应权限的监测点的数据。</w:t>
            </w:r>
          </w:p>
          <w:p>
            <w:pPr>
              <w:keepNext w:val="0"/>
              <w:keepLines w:val="0"/>
              <w:numPr>
                <w:ilvl w:val="0"/>
                <w:numId w:val="0"/>
              </w:numPr>
              <w:suppressLineNumbers w:val="0"/>
              <w:spacing w:before="0" w:beforeAutospacing="0" w:after="0" w:afterAutospacing="0" w:line="360" w:lineRule="auto"/>
              <w:ind w:left="0" w:leftChars="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（3）实时数据显示与查询：支持多用户同时查询监测点部署位置及运行状态；查询全馆所有监测点的实时数据。</w:t>
            </w:r>
          </w:p>
          <w:p>
            <w:pPr>
              <w:keepNext w:val="0"/>
              <w:keepLines w:val="0"/>
              <w:numPr>
                <w:ilvl w:val="0"/>
                <w:numId w:val="0"/>
              </w:numPr>
              <w:suppressLineNumbers w:val="0"/>
              <w:spacing w:before="0" w:beforeAutospacing="0" w:after="0" w:afterAutospacing="0" w:line="360" w:lineRule="auto"/>
              <w:ind w:left="0" w:leftChars="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（4）历史数据查询：所有监测数据都被保存在系统数据库中，支持按监测点编号、监测量类型、指定时间段等方式随时获取历史数据并能以图形方式呈现。</w:t>
            </w:r>
          </w:p>
          <w:p>
            <w:pPr>
              <w:keepNext w:val="0"/>
              <w:keepLines w:val="0"/>
              <w:numPr>
                <w:ilvl w:val="0"/>
                <w:numId w:val="0"/>
              </w:numPr>
              <w:suppressLineNumbers w:val="0"/>
              <w:spacing w:before="0" w:beforeAutospacing="0" w:after="0" w:afterAutospacing="0" w:line="360" w:lineRule="auto"/>
              <w:ind w:left="0" w:leftChars="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（5）数据分析与处理：用户通过客户端软件可以对监测数据进行分析、整理和计算，可按照不同需求自动生成各类报表，支持数据导出或转存为Excel、txt等格式的文件。</w:t>
            </w:r>
          </w:p>
          <w:p>
            <w:pPr>
              <w:keepNext w:val="0"/>
              <w:keepLines w:val="0"/>
              <w:numPr>
                <w:ilvl w:val="0"/>
                <w:numId w:val="0"/>
              </w:numPr>
              <w:suppressLineNumbers w:val="0"/>
              <w:spacing w:before="0" w:beforeAutospacing="0" w:after="0" w:afterAutospacing="0" w:line="360" w:lineRule="auto"/>
              <w:ind w:left="0" w:leftChars="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6）报警设置：用户可根据需要设置各项监测参数的许可范围，当监测点实时数据信息超出设定的许可范围后，软件可以通过声音、图形、手机短信息、电子邮件等多种方式向用户提示监测数据已达到或超过报警值，每一条报警信息可以发送至多个相关管理员。</w:t>
            </w:r>
          </w:p>
          <w:p>
            <w:pPr>
              <w:keepNext w:val="0"/>
              <w:keepLines w:val="0"/>
              <w:numPr>
                <w:ilvl w:val="0"/>
                <w:numId w:val="0"/>
              </w:numPr>
              <w:suppressLineNumbers w:val="0"/>
              <w:spacing w:before="0" w:beforeAutospacing="0" w:after="0" w:afterAutospacing="0" w:line="360" w:lineRule="auto"/>
              <w:ind w:left="0" w:leftChars="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7）用户管理：支持分组管理与权限分级管理。只有系统管理员才能对整个系统的参数进行修改设置。其它一般用户可以查询所负责的监测点的数据，领导用户可以查询所有监测点的数据。用户根据口令登入系统，非授权用户不能查看或修改系统的任何数据。</w:t>
            </w:r>
          </w:p>
          <w:p>
            <w:pPr>
              <w:keepNext w:val="0"/>
              <w:keepLines w:val="0"/>
              <w:numPr>
                <w:ilvl w:val="0"/>
                <w:numId w:val="0"/>
              </w:numPr>
              <w:suppressLineNumbers w:val="0"/>
              <w:spacing w:before="0" w:beforeAutospacing="0" w:after="0" w:afterAutospacing="0" w:line="360" w:lineRule="auto"/>
              <w:ind w:left="0" w:leftChars="0" w:right="0"/>
              <w:jc w:val="left"/>
              <w:rPr>
                <w:rFonts w:hint="eastAsia" w:ascii="宋体" w:hAnsi="宋体" w:eastAsia="宋体" w:cs="宋体"/>
                <w:color w:val="auto"/>
                <w:sz w:val="21"/>
                <w:szCs w:val="21"/>
              </w:rPr>
            </w:pPr>
            <w:r>
              <w:rPr>
                <w:rFonts w:hint="eastAsia" w:ascii="宋体" w:hAnsi="宋体" w:eastAsia="宋体" w:cs="宋体"/>
                <w:bCs/>
                <w:color w:val="auto"/>
                <w:kern w:val="2"/>
                <w:sz w:val="21"/>
                <w:szCs w:val="21"/>
                <w:lang w:val="en-US" w:eastAsia="zh-CN" w:bidi="ar"/>
              </w:rPr>
              <w:t>★</w:t>
            </w:r>
            <w:r>
              <w:rPr>
                <w:rFonts w:hint="eastAsia" w:ascii="宋体" w:hAnsi="宋体" w:eastAsia="宋体" w:cs="宋体"/>
                <w:color w:val="auto"/>
                <w:sz w:val="21"/>
                <w:szCs w:val="21"/>
              </w:rPr>
              <w:t>（8）数据安全：本</w:t>
            </w:r>
            <w:r>
              <w:rPr>
                <w:rFonts w:hint="eastAsia" w:ascii="宋体" w:hAnsi="宋体" w:eastAsia="宋体" w:cs="宋体"/>
                <w:color w:val="auto"/>
                <w:kern w:val="2"/>
                <w:sz w:val="21"/>
                <w:szCs w:val="21"/>
                <w:highlight w:val="none"/>
                <w:lang w:val="en-US" w:eastAsia="zh-CN"/>
              </w:rPr>
              <w:t>可移动文物预防性保存环境智能控制</w:t>
            </w:r>
            <w:r>
              <w:rPr>
                <w:rFonts w:hint="eastAsia" w:ascii="宋体" w:hAnsi="宋体" w:eastAsia="宋体" w:cs="宋体"/>
                <w:color w:val="auto"/>
                <w:sz w:val="21"/>
                <w:szCs w:val="21"/>
              </w:rPr>
              <w:t>系统包含数据自动备份，防止因系统故障导致的数据丢失，并且本系统应该包含恢复功能，根据备份信息进行恢复。</w:t>
            </w:r>
            <w:r>
              <w:rPr>
                <w:rFonts w:hint="eastAsia" w:ascii="宋体" w:hAnsi="宋体" w:eastAsia="宋体" w:cs="宋体"/>
                <w:color w:val="auto"/>
                <w:sz w:val="21"/>
                <w:szCs w:val="21"/>
                <w:lang w:eastAsia="zh-CN"/>
              </w:rPr>
              <w:t>具备</w:t>
            </w:r>
            <w:r>
              <w:rPr>
                <w:rFonts w:hint="eastAsia" w:ascii="宋体" w:hAnsi="宋体" w:eastAsia="宋体" w:cs="宋体"/>
                <w:color w:val="auto"/>
                <w:kern w:val="2"/>
                <w:sz w:val="21"/>
                <w:szCs w:val="21"/>
                <w:highlight w:val="none"/>
                <w:lang w:val="en-US" w:eastAsia="zh-CN"/>
              </w:rPr>
              <w:t>可移动文物预防性保存环境智能控制功能</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lang w:val="en-US" w:eastAsia="zh-CN"/>
              </w:rPr>
              <w:t>提供</w:t>
            </w:r>
            <w:r>
              <w:rPr>
                <w:rFonts w:hint="eastAsia" w:ascii="宋体" w:hAnsi="宋体" w:eastAsia="宋体" w:cs="宋体"/>
                <w:color w:val="auto"/>
                <w:kern w:val="2"/>
                <w:sz w:val="21"/>
                <w:szCs w:val="21"/>
                <w:highlight w:val="none"/>
                <w:lang w:val="en-US" w:eastAsia="zh-CN"/>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pct"/>
            <w:vAlign w:val="center"/>
          </w:tcPr>
          <w:p>
            <w:pPr>
              <w:pStyle w:val="2"/>
              <w:keepNext w:val="0"/>
              <w:keepLines w:val="0"/>
              <w:numPr>
                <w:ilvl w:val="0"/>
                <w:numId w:val="0"/>
              </w:numPr>
              <w:suppressLineNumbers w:val="0"/>
              <w:spacing w:before="0" w:beforeAutospacing="0" w:line="240" w:lineRule="auto"/>
              <w:ind w:left="0" w:leftChars="0" w:right="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Cs/>
                <w:color w:val="auto"/>
                <w:kern w:val="2"/>
                <w:sz w:val="21"/>
                <w:szCs w:val="21"/>
                <w:lang w:val="en-US" w:eastAsia="zh-CN" w:bidi="ar"/>
              </w:rPr>
              <w:t>无线温湿度变送器</w:t>
            </w:r>
          </w:p>
        </w:tc>
        <w:tc>
          <w:tcPr>
            <w:tcW w:w="3326" w:type="pct"/>
          </w:tcPr>
          <w:p>
            <w:pPr>
              <w:keepNext w:val="0"/>
              <w:keepLines w:val="0"/>
              <w:numPr>
                <w:ilvl w:val="0"/>
                <w:numId w:val="3"/>
              </w:numPr>
              <w:suppressLineNumbers w:val="0"/>
              <w:spacing w:before="0" w:beforeAutospacing="0" w:after="0" w:afterAutospacing="0" w:line="360" w:lineRule="auto"/>
              <w:ind w:left="425" w:leftChars="0" w:right="0" w:hanging="425" w:firstLine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总体指标</w:t>
            </w:r>
            <w:r>
              <w:rPr>
                <w:rFonts w:hint="eastAsia" w:ascii="宋体" w:hAnsi="宋体" w:eastAsia="宋体" w:cs="宋体"/>
                <w:color w:val="auto"/>
                <w:sz w:val="21"/>
                <w:szCs w:val="21"/>
                <w:lang w:eastAsia="zh-CN"/>
              </w:rPr>
              <w:t>：</w:t>
            </w:r>
          </w:p>
          <w:p>
            <w:pPr>
              <w:keepNext w:val="0"/>
              <w:keepLines w:val="0"/>
              <w:numPr>
                <w:ilvl w:val="0"/>
                <w:numId w:val="0"/>
              </w:numPr>
              <w:suppressLineNumbers w:val="0"/>
              <w:spacing w:before="0" w:beforeAutospacing="0" w:after="0" w:afterAutospacing="0" w:line="360" w:lineRule="auto"/>
              <w:ind w:left="0" w:leftChars="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使用国家无委会免申请的频段</w:t>
            </w:r>
            <w:r>
              <w:rPr>
                <w:rFonts w:hint="eastAsia" w:ascii="宋体" w:hAnsi="宋体" w:eastAsia="宋体" w:cs="宋体"/>
                <w:color w:val="auto"/>
                <w:sz w:val="21"/>
                <w:szCs w:val="21"/>
                <w:lang w:eastAsia="zh-CN"/>
              </w:rPr>
              <w:t>。</w:t>
            </w:r>
          </w:p>
          <w:p>
            <w:pPr>
              <w:keepNext w:val="0"/>
              <w:keepLines w:val="0"/>
              <w:numPr>
                <w:ilvl w:val="0"/>
                <w:numId w:val="0"/>
              </w:numPr>
              <w:suppressLineNumbers w:val="0"/>
              <w:spacing w:before="0" w:beforeAutospacing="0" w:after="0" w:afterAutospacing="0" w:line="360" w:lineRule="auto"/>
              <w:ind w:left="0" w:leftChars="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使用无线信号覆盖所要监测的区域后，打开设备电源开关即可自动运行；鼓励采用多参数组合式无线传感环境监测终端。</w:t>
            </w:r>
          </w:p>
          <w:p>
            <w:pPr>
              <w:keepNext w:val="0"/>
              <w:keepLines w:val="0"/>
              <w:numPr>
                <w:ilvl w:val="0"/>
                <w:numId w:val="3"/>
              </w:numPr>
              <w:suppressLineNumbers w:val="0"/>
              <w:spacing w:before="0" w:beforeAutospacing="0" w:after="0" w:afterAutospacing="0" w:line="360" w:lineRule="auto"/>
              <w:ind w:left="425" w:leftChars="0" w:right="0" w:hanging="425" w:firstLine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组网方式</w:t>
            </w:r>
            <w:r>
              <w:rPr>
                <w:rFonts w:hint="eastAsia" w:ascii="宋体" w:hAnsi="宋体" w:eastAsia="宋体" w:cs="宋体"/>
                <w:color w:val="auto"/>
                <w:sz w:val="21"/>
                <w:szCs w:val="21"/>
                <w:lang w:eastAsia="zh-CN"/>
              </w:rPr>
              <w:t>：</w:t>
            </w:r>
          </w:p>
          <w:p>
            <w:pPr>
              <w:keepNext w:val="0"/>
              <w:keepLines w:val="0"/>
              <w:numPr>
                <w:ilvl w:val="0"/>
                <w:numId w:val="0"/>
              </w:numPr>
              <w:suppressLineNumbers w:val="0"/>
              <w:spacing w:before="0" w:beforeAutospacing="0" w:after="0" w:afterAutospacing="0" w:line="360" w:lineRule="auto"/>
              <w:ind w:left="0" w:leftChars="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具有自组织网络的能力，能自行搜索网络，加入网络；</w:t>
            </w:r>
          </w:p>
          <w:p>
            <w:pPr>
              <w:keepNext w:val="0"/>
              <w:keepLines w:val="0"/>
              <w:numPr>
                <w:ilvl w:val="0"/>
                <w:numId w:val="0"/>
              </w:numPr>
              <w:suppressLineNumbers w:val="0"/>
              <w:spacing w:before="0" w:beforeAutospacing="0" w:after="0" w:afterAutospacing="0" w:line="360" w:lineRule="auto"/>
              <w:ind w:left="0" w:leftChars="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具有记录和上报路由信息的能力，发出的心跳包到达网关的路径能够被上位机解析，供其描绘网络拓扑关系图；</w:t>
            </w:r>
          </w:p>
          <w:p>
            <w:pPr>
              <w:pStyle w:val="2"/>
              <w:keepNext w:val="0"/>
              <w:keepLines w:val="0"/>
              <w:numPr>
                <w:ilvl w:val="0"/>
                <w:numId w:val="0"/>
              </w:numPr>
              <w:suppressLineNumbers w:val="0"/>
              <w:spacing w:before="0" w:beforeAutospacing="0"/>
              <w:ind w:left="0" w:leftChars="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具有链路质量侦测能力。在信号微弱或不稳定情况下，能够自行判别，并搜索和优选更优质的网络传输路径。</w:t>
            </w:r>
          </w:p>
          <w:p>
            <w:pPr>
              <w:pStyle w:val="2"/>
              <w:keepNext w:val="0"/>
              <w:keepLines w:val="0"/>
              <w:numPr>
                <w:ilvl w:val="0"/>
                <w:numId w:val="3"/>
              </w:numPr>
              <w:suppressLineNumbers w:val="0"/>
              <w:spacing w:before="0" w:beforeAutospacing="0"/>
              <w:ind w:left="425" w:leftChars="0" w:right="0" w:hanging="425" w:firstLine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数据传输</w:t>
            </w:r>
            <w:r>
              <w:rPr>
                <w:rFonts w:hint="eastAsia" w:ascii="宋体" w:hAnsi="宋体" w:eastAsia="宋体" w:cs="宋体"/>
                <w:color w:val="auto"/>
                <w:sz w:val="21"/>
                <w:szCs w:val="21"/>
                <w:lang w:eastAsia="zh-CN"/>
              </w:rPr>
              <w:t>：</w:t>
            </w:r>
          </w:p>
          <w:p>
            <w:pPr>
              <w:keepNext w:val="0"/>
              <w:keepLines w:val="0"/>
              <w:numPr>
                <w:ilvl w:val="0"/>
                <w:numId w:val="0"/>
              </w:numPr>
              <w:suppressLineNumbers w:val="0"/>
              <w:spacing w:before="0" w:beforeAutospacing="0" w:after="0" w:afterAutospacing="0" w:line="360" w:lineRule="auto"/>
              <w:ind w:left="0" w:leftChars="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具有掉电非易失存贮功能；</w:t>
            </w:r>
          </w:p>
          <w:p>
            <w:pPr>
              <w:keepNext w:val="0"/>
              <w:keepLines w:val="0"/>
              <w:numPr>
                <w:ilvl w:val="0"/>
                <w:numId w:val="0"/>
              </w:numPr>
              <w:suppressLineNumbers w:val="0"/>
              <w:spacing w:before="0" w:beforeAutospacing="0" w:after="0" w:afterAutospacing="0" w:line="360" w:lineRule="auto"/>
              <w:ind w:left="0" w:leftChars="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具有数据校验的能力，数据包中携带CRC校验信息，在数据被网关收到后能验证数据的正确性；</w:t>
            </w:r>
          </w:p>
          <w:p>
            <w:pPr>
              <w:keepNext w:val="0"/>
              <w:keepLines w:val="0"/>
              <w:numPr>
                <w:ilvl w:val="0"/>
                <w:numId w:val="0"/>
              </w:numPr>
              <w:suppressLineNumbers w:val="0"/>
              <w:spacing w:before="0" w:beforeAutospacing="0" w:after="0" w:afterAutospacing="0" w:line="360" w:lineRule="auto"/>
              <w:ind w:left="0" w:leftChars="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数据包具有可扩展性，数据包为可变字长，能适应不同的传感器要求，携带不定字长的数据；</w:t>
            </w:r>
          </w:p>
          <w:p>
            <w:pPr>
              <w:keepNext w:val="0"/>
              <w:keepLines w:val="0"/>
              <w:numPr>
                <w:ilvl w:val="0"/>
                <w:numId w:val="0"/>
              </w:numPr>
              <w:suppressLineNumbers w:val="0"/>
              <w:spacing w:before="0" w:beforeAutospacing="0" w:after="0" w:afterAutospacing="0" w:line="360" w:lineRule="auto"/>
              <w:ind w:left="0" w:leftChars="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具有数据重发机制，当数据发送失败后，具有回避及重发机制。如果数据发送多次不成功，能够优选父节点，并重新发送；</w:t>
            </w:r>
          </w:p>
          <w:p>
            <w:pPr>
              <w:keepNext w:val="0"/>
              <w:keepLines w:val="0"/>
              <w:numPr>
                <w:ilvl w:val="0"/>
                <w:numId w:val="0"/>
              </w:numPr>
              <w:suppressLineNumbers w:val="0"/>
              <w:spacing w:before="0" w:beforeAutospacing="0" w:after="0" w:afterAutospacing="0" w:line="360" w:lineRule="auto"/>
              <w:ind w:left="0" w:leftChars="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数据包携带时间戳；</w:t>
            </w:r>
          </w:p>
          <w:p>
            <w:pPr>
              <w:pStyle w:val="2"/>
              <w:keepNext w:val="0"/>
              <w:keepLines w:val="0"/>
              <w:numPr>
                <w:ilvl w:val="0"/>
                <w:numId w:val="0"/>
              </w:numPr>
              <w:suppressLineNumbers w:val="0"/>
              <w:spacing w:before="0" w:beforeAutospacing="0"/>
              <w:ind w:left="0" w:leftChars="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发射功率≤10dBm，支持双向无线通讯网络协议标准。</w:t>
            </w:r>
          </w:p>
          <w:p>
            <w:pPr>
              <w:pStyle w:val="2"/>
              <w:keepNext w:val="0"/>
              <w:keepLines w:val="0"/>
              <w:numPr>
                <w:ilvl w:val="0"/>
                <w:numId w:val="0"/>
              </w:numPr>
              <w:suppressLineNumbers w:val="0"/>
              <w:spacing w:before="0" w:beforeAutospacing="0"/>
              <w:ind w:left="0" w:leftChars="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电路板保护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防潮、防霉</w:t>
            </w:r>
          </w:p>
          <w:p>
            <w:pPr>
              <w:keepNext w:val="0"/>
              <w:keepLines w:val="0"/>
              <w:numPr>
                <w:ilvl w:val="0"/>
                <w:numId w:val="3"/>
              </w:numPr>
              <w:suppressLineNumbers w:val="0"/>
              <w:spacing w:before="0" w:beforeAutospacing="0" w:after="0" w:afterAutospacing="0" w:line="360" w:lineRule="auto"/>
              <w:ind w:left="425" w:leftChars="0" w:right="0" w:hanging="425"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温度测量范围：</w:t>
            </w:r>
            <w:r>
              <w:rPr>
                <w:rFonts w:hint="eastAsia" w:ascii="宋体" w:hAnsi="宋体" w:eastAsia="宋体" w:cs="宋体"/>
                <w:b w:val="0"/>
                <w:bCs w:val="0"/>
                <w:color w:val="auto"/>
                <w:sz w:val="21"/>
                <w:szCs w:val="21"/>
              </w:rPr>
              <w:t>-20～50℃</w:t>
            </w:r>
            <w:r>
              <w:rPr>
                <w:rFonts w:hint="eastAsia" w:ascii="宋体" w:hAnsi="宋体" w:eastAsia="宋体" w:cs="宋体"/>
                <w:color w:val="auto"/>
                <w:sz w:val="21"/>
                <w:szCs w:val="21"/>
              </w:rPr>
              <w:t>；</w:t>
            </w:r>
          </w:p>
          <w:p>
            <w:pPr>
              <w:keepNext w:val="0"/>
              <w:keepLines w:val="0"/>
              <w:numPr>
                <w:ilvl w:val="0"/>
                <w:numId w:val="0"/>
              </w:numPr>
              <w:suppressLineNumbers w:val="0"/>
              <w:spacing w:before="0" w:beforeAutospacing="0" w:after="0" w:afterAutospacing="0" w:line="360" w:lineRule="auto"/>
              <w:ind w:left="0" w:leftChars="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分辨率：0.1</w:t>
            </w:r>
            <w:r>
              <w:rPr>
                <w:rFonts w:hint="eastAsia" w:ascii="宋体" w:hAnsi="宋体" w:eastAsia="宋体" w:cs="宋体"/>
                <w:b w:val="0"/>
                <w:bCs w:val="0"/>
                <w:color w:val="auto"/>
                <w:sz w:val="21"/>
                <w:szCs w:val="21"/>
              </w:rPr>
              <w:t>℃</w:t>
            </w:r>
            <w:r>
              <w:rPr>
                <w:rFonts w:hint="eastAsia" w:ascii="宋体" w:hAnsi="宋体" w:eastAsia="宋体" w:cs="宋体"/>
                <w:color w:val="auto"/>
                <w:sz w:val="21"/>
                <w:szCs w:val="21"/>
              </w:rPr>
              <w:t>；</w:t>
            </w:r>
          </w:p>
          <w:p>
            <w:pPr>
              <w:pStyle w:val="2"/>
              <w:keepNext w:val="0"/>
              <w:keepLines w:val="0"/>
              <w:numPr>
                <w:ilvl w:val="0"/>
                <w:numId w:val="0"/>
              </w:numPr>
              <w:suppressLineNumbers w:val="0"/>
              <w:spacing w:before="0" w:beforeAutospacing="0"/>
              <w:ind w:left="0" w:leftChars="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测量精度：±</w:t>
            </w:r>
            <w:r>
              <w:rPr>
                <w:rFonts w:hint="eastAsia" w:ascii="宋体" w:hAnsi="宋体" w:eastAsia="宋体" w:cs="宋体"/>
                <w:color w:val="auto"/>
                <w:sz w:val="21"/>
                <w:szCs w:val="21"/>
                <w:lang w:val="en-US" w:eastAsia="zh-CN"/>
              </w:rPr>
              <w:t>0.2</w:t>
            </w:r>
            <w:r>
              <w:rPr>
                <w:rFonts w:hint="eastAsia" w:ascii="宋体" w:hAnsi="宋体" w:eastAsia="宋体" w:cs="宋体"/>
                <w:b w:val="0"/>
                <w:bCs w:val="0"/>
                <w:color w:val="auto"/>
                <w:sz w:val="21"/>
                <w:szCs w:val="21"/>
              </w:rPr>
              <w:t>℃</w:t>
            </w:r>
            <w:r>
              <w:rPr>
                <w:rFonts w:hint="eastAsia" w:ascii="宋体" w:hAnsi="宋体" w:eastAsia="宋体" w:cs="宋体"/>
                <w:color w:val="auto"/>
                <w:sz w:val="21"/>
                <w:szCs w:val="21"/>
              </w:rPr>
              <w:t>。</w:t>
            </w:r>
          </w:p>
          <w:p>
            <w:pPr>
              <w:keepNext w:val="0"/>
              <w:keepLines w:val="0"/>
              <w:numPr>
                <w:ilvl w:val="0"/>
                <w:numId w:val="3"/>
              </w:numPr>
              <w:suppressLineNumbers w:val="0"/>
              <w:spacing w:before="0" w:beforeAutospacing="0" w:after="0" w:afterAutospacing="0" w:line="360" w:lineRule="auto"/>
              <w:ind w:left="425" w:leftChars="0" w:right="0" w:hanging="425"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湿度测量范围：0～98%RH；</w:t>
            </w:r>
          </w:p>
          <w:p>
            <w:pPr>
              <w:keepNext w:val="0"/>
              <w:keepLines w:val="0"/>
              <w:numPr>
                <w:ilvl w:val="0"/>
                <w:numId w:val="0"/>
              </w:numPr>
              <w:suppressLineNumbers w:val="0"/>
              <w:spacing w:before="0" w:beforeAutospacing="0" w:after="0" w:afterAutospacing="0" w:line="360" w:lineRule="auto"/>
              <w:ind w:left="0" w:leftChars="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分辨率：0.1%RH；</w:t>
            </w:r>
          </w:p>
          <w:p>
            <w:pPr>
              <w:pStyle w:val="2"/>
              <w:keepNext w:val="0"/>
              <w:keepLines w:val="0"/>
              <w:numPr>
                <w:ilvl w:val="0"/>
                <w:numId w:val="0"/>
              </w:numPr>
              <w:suppressLineNumbers w:val="0"/>
              <w:spacing w:before="0" w:beforeAutospacing="0"/>
              <w:ind w:left="0" w:leftChars="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测量精度：±</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%RH。</w:t>
            </w:r>
          </w:p>
          <w:p>
            <w:pPr>
              <w:pStyle w:val="2"/>
              <w:keepNext w:val="0"/>
              <w:keepLines w:val="0"/>
              <w:numPr>
                <w:ilvl w:val="0"/>
                <w:numId w:val="3"/>
              </w:numPr>
              <w:suppressLineNumbers w:val="0"/>
              <w:spacing w:before="0" w:beforeAutospacing="0"/>
              <w:ind w:left="425" w:leftChars="0" w:right="0" w:hanging="425"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能耗</w:t>
            </w:r>
            <w:r>
              <w:rPr>
                <w:rFonts w:hint="eastAsia" w:ascii="宋体" w:hAnsi="宋体" w:eastAsia="宋体" w:cs="宋体"/>
                <w:color w:val="auto"/>
                <w:sz w:val="21"/>
                <w:szCs w:val="21"/>
                <w:lang w:eastAsia="zh-CN"/>
              </w:rPr>
              <w:t>：</w:t>
            </w:r>
          </w:p>
          <w:p>
            <w:pPr>
              <w:pStyle w:val="2"/>
              <w:keepNext w:val="0"/>
              <w:keepLines w:val="0"/>
              <w:numPr>
                <w:ilvl w:val="0"/>
                <w:numId w:val="0"/>
              </w:numPr>
              <w:suppressLineNumbers w:val="0"/>
              <w:spacing w:before="0" w:beforeAutospacing="0"/>
              <w:ind w:left="0" w:leftChars="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环保无污染电池使用寿命要求5年以上，连续采样（频率10分钟）工作时长要求1年以上。</w:t>
            </w:r>
          </w:p>
          <w:p>
            <w:pPr>
              <w:pStyle w:val="2"/>
              <w:keepNext w:val="0"/>
              <w:keepLines w:val="0"/>
              <w:numPr>
                <w:ilvl w:val="0"/>
                <w:numId w:val="0"/>
              </w:numPr>
              <w:suppressLineNumbers w:val="0"/>
              <w:spacing w:before="0" w:beforeAutospacing="0"/>
              <w:ind w:left="0" w:leftChars="0" w:right="0"/>
              <w:jc w:val="both"/>
              <w:rPr>
                <w:rFonts w:hint="eastAsia" w:ascii="宋体" w:hAnsi="宋体" w:eastAsia="宋体" w:cs="宋体"/>
                <w:color w:val="auto"/>
                <w:sz w:val="21"/>
                <w:szCs w:val="21"/>
                <w:lang w:eastAsia="zh-CN"/>
              </w:rPr>
            </w:pPr>
            <w:r>
              <w:rPr>
                <w:rFonts w:hint="eastAsia" w:ascii="宋体" w:hAnsi="宋体" w:eastAsia="宋体" w:cs="宋体"/>
                <w:bCs/>
                <w:color w:val="auto"/>
                <w:kern w:val="2"/>
                <w:sz w:val="21"/>
                <w:szCs w:val="21"/>
                <w:lang w:val="en-US" w:eastAsia="zh-CN" w:bidi="ar"/>
              </w:rPr>
              <w:t>★无线温湿度变送器因需放置于展柜内，需获得法定计量机构出具的防爆合格证。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无线信号中继装置</w:t>
            </w:r>
          </w:p>
        </w:tc>
        <w:tc>
          <w:tcPr>
            <w:tcW w:w="3326" w:type="pct"/>
          </w:tcPr>
          <w:p>
            <w:pPr>
              <w:keepNext w:val="0"/>
              <w:keepLines w:val="0"/>
              <w:numPr>
                <w:ilvl w:val="0"/>
                <w:numId w:val="4"/>
              </w:numPr>
              <w:suppressLineNumbers w:val="0"/>
              <w:spacing w:before="0" w:beforeAutospacing="0" w:after="0" w:afterAutospacing="0" w:line="360" w:lineRule="auto"/>
              <w:ind w:left="425" w:leftChars="0" w:right="0" w:hanging="425" w:firstLineChars="0"/>
              <w:jc w:val="left"/>
              <w:rPr>
                <w:rFonts w:hint="eastAsia"/>
                <w:color w:val="auto"/>
                <w:lang w:eastAsia="zh-CN"/>
              </w:rPr>
            </w:pPr>
            <w:r>
              <w:rPr>
                <w:rFonts w:hint="eastAsia"/>
                <w:color w:val="auto"/>
                <w:lang w:eastAsia="zh-CN"/>
              </w:rPr>
              <w:t>具有自组织网络的能力，能够自行搜索及加入网络；</w:t>
            </w:r>
          </w:p>
          <w:p>
            <w:pPr>
              <w:keepNext w:val="0"/>
              <w:keepLines w:val="0"/>
              <w:numPr>
                <w:ilvl w:val="0"/>
                <w:numId w:val="4"/>
              </w:numPr>
              <w:suppressLineNumbers w:val="0"/>
              <w:spacing w:before="0" w:beforeAutospacing="0" w:after="0" w:afterAutospacing="0" w:line="360" w:lineRule="auto"/>
              <w:ind w:left="425" w:leftChars="0" w:right="0" w:hanging="425" w:firstLineChars="0"/>
              <w:jc w:val="left"/>
              <w:rPr>
                <w:rFonts w:hint="eastAsia"/>
                <w:color w:val="auto"/>
                <w:lang w:eastAsia="zh-CN"/>
              </w:rPr>
            </w:pPr>
            <w:r>
              <w:rPr>
                <w:rFonts w:hint="eastAsia"/>
                <w:color w:val="auto"/>
                <w:lang w:eastAsia="zh-CN"/>
              </w:rPr>
              <w:t>具有周期性心跳包，周期性向网关发送心跳包以表征工作状态；</w:t>
            </w:r>
          </w:p>
          <w:p>
            <w:pPr>
              <w:keepNext w:val="0"/>
              <w:keepLines w:val="0"/>
              <w:numPr>
                <w:ilvl w:val="0"/>
                <w:numId w:val="4"/>
              </w:numPr>
              <w:suppressLineNumbers w:val="0"/>
              <w:spacing w:before="0" w:beforeAutospacing="0" w:after="0" w:afterAutospacing="0" w:line="360" w:lineRule="auto"/>
              <w:ind w:left="425" w:leftChars="0" w:right="0" w:hanging="425" w:firstLineChars="0"/>
              <w:jc w:val="left"/>
              <w:rPr>
                <w:rFonts w:hint="eastAsia"/>
                <w:color w:val="auto"/>
                <w:lang w:eastAsia="zh-CN"/>
              </w:rPr>
            </w:pPr>
            <w:r>
              <w:rPr>
                <w:rFonts w:hint="eastAsia"/>
                <w:color w:val="auto"/>
                <w:lang w:eastAsia="zh-CN"/>
              </w:rPr>
              <w:t>具有链路质量侦测能力。在信号微弱或不稳定情况下，能够自行判别，并搜索和优选更优质的网络传输路径。</w:t>
            </w:r>
          </w:p>
          <w:p>
            <w:pPr>
              <w:keepNext w:val="0"/>
              <w:keepLines w:val="0"/>
              <w:numPr>
                <w:ilvl w:val="0"/>
                <w:numId w:val="4"/>
              </w:numPr>
              <w:suppressLineNumbers w:val="0"/>
              <w:spacing w:before="0" w:beforeAutospacing="0" w:after="0" w:afterAutospacing="0" w:line="360" w:lineRule="auto"/>
              <w:ind w:left="425" w:leftChars="0" w:right="0" w:hanging="425" w:firstLineChars="0"/>
              <w:jc w:val="left"/>
              <w:rPr>
                <w:rFonts w:hint="eastAsia"/>
                <w:color w:val="auto"/>
                <w:lang w:eastAsia="zh-CN"/>
              </w:rPr>
            </w:pPr>
            <w:r>
              <w:rPr>
                <w:rFonts w:hint="eastAsia"/>
                <w:color w:val="auto"/>
                <w:lang w:eastAsia="zh-CN"/>
              </w:rPr>
              <w:t>具有反馈能力，成功接收到数据包后，予以回复，表明成功接收状态；</w:t>
            </w:r>
          </w:p>
          <w:p>
            <w:pPr>
              <w:keepNext w:val="0"/>
              <w:keepLines w:val="0"/>
              <w:numPr>
                <w:ilvl w:val="0"/>
                <w:numId w:val="4"/>
              </w:numPr>
              <w:suppressLineNumbers w:val="0"/>
              <w:spacing w:before="0" w:beforeAutospacing="0" w:after="0" w:afterAutospacing="0" w:line="360" w:lineRule="auto"/>
              <w:ind w:left="425" w:leftChars="0" w:right="0" w:hanging="425" w:firstLineChars="0"/>
              <w:jc w:val="left"/>
              <w:rPr>
                <w:rFonts w:hint="eastAsia"/>
                <w:color w:val="auto"/>
                <w:lang w:eastAsia="zh-CN"/>
              </w:rPr>
            </w:pPr>
            <w:r>
              <w:rPr>
                <w:rFonts w:hint="eastAsia"/>
                <w:color w:val="auto"/>
                <w:lang w:eastAsia="zh-CN"/>
              </w:rPr>
              <w:t>具有数据重发机制，当数据发送失败后，具有回避及重发机制。如果数据发送多次不成功，能够优选父节点，并重新发送；</w:t>
            </w:r>
          </w:p>
          <w:p>
            <w:pPr>
              <w:keepNext w:val="0"/>
              <w:keepLines w:val="0"/>
              <w:numPr>
                <w:ilvl w:val="0"/>
                <w:numId w:val="4"/>
              </w:numPr>
              <w:suppressLineNumbers w:val="0"/>
              <w:spacing w:before="0" w:beforeAutospacing="0" w:after="0" w:afterAutospacing="0" w:line="360" w:lineRule="auto"/>
              <w:ind w:left="425" w:leftChars="0" w:right="0" w:hanging="425" w:firstLineChars="0"/>
              <w:jc w:val="left"/>
              <w:rPr>
                <w:rFonts w:hint="eastAsia"/>
                <w:color w:val="auto"/>
                <w:lang w:eastAsia="zh-CN"/>
              </w:rPr>
            </w:pPr>
            <w:r>
              <w:rPr>
                <w:rFonts w:hint="eastAsia"/>
                <w:color w:val="auto"/>
                <w:lang w:eastAsia="zh-CN"/>
              </w:rPr>
              <w:t>具有下行转发能力，自父节点接收下行包，并根据路由机制，转发至目标子节点；</w:t>
            </w:r>
          </w:p>
          <w:p>
            <w:pPr>
              <w:keepNext w:val="0"/>
              <w:keepLines w:val="0"/>
              <w:numPr>
                <w:ilvl w:val="0"/>
                <w:numId w:val="4"/>
              </w:numPr>
              <w:suppressLineNumbers w:val="0"/>
              <w:spacing w:before="0" w:beforeAutospacing="0" w:after="0" w:afterAutospacing="0" w:line="360" w:lineRule="auto"/>
              <w:ind w:left="425" w:leftChars="0" w:right="0" w:hanging="425" w:firstLineChars="0"/>
              <w:jc w:val="left"/>
              <w:rPr>
                <w:rFonts w:hint="eastAsia"/>
                <w:color w:val="auto"/>
                <w:lang w:eastAsia="zh-CN"/>
              </w:rPr>
            </w:pPr>
            <w:r>
              <w:rPr>
                <w:rFonts w:hint="eastAsia"/>
                <w:color w:val="auto"/>
                <w:lang w:eastAsia="zh-CN"/>
              </w:rPr>
              <w:t>发送功率≤22dBm；通讯距离大于200米（视距传输）。</w:t>
            </w:r>
          </w:p>
          <w:p>
            <w:pPr>
              <w:keepNext w:val="0"/>
              <w:keepLines w:val="0"/>
              <w:numPr>
                <w:ilvl w:val="0"/>
                <w:numId w:val="4"/>
              </w:numPr>
              <w:suppressLineNumbers w:val="0"/>
              <w:spacing w:before="0" w:beforeAutospacing="0" w:after="0" w:afterAutospacing="0" w:line="360" w:lineRule="auto"/>
              <w:ind w:left="425" w:leftChars="0" w:right="0" w:hanging="425" w:firstLineChars="0"/>
              <w:jc w:val="left"/>
              <w:rPr>
                <w:rFonts w:hint="eastAsia"/>
                <w:color w:val="auto"/>
                <w:lang w:eastAsia="zh-CN"/>
              </w:rPr>
            </w:pPr>
            <w:r>
              <w:rPr>
                <w:rFonts w:hint="eastAsia"/>
                <w:color w:val="auto"/>
                <w:lang w:eastAsia="zh-CN"/>
              </w:rPr>
              <w:t>具有灵活的供电方式，以便灵活安装；</w:t>
            </w:r>
          </w:p>
          <w:p>
            <w:pPr>
              <w:keepNext w:val="0"/>
              <w:keepLines w:val="0"/>
              <w:numPr>
                <w:ilvl w:val="0"/>
                <w:numId w:val="4"/>
              </w:numPr>
              <w:suppressLineNumbers w:val="0"/>
              <w:spacing w:before="0" w:beforeAutospacing="0" w:after="0" w:afterAutospacing="0" w:line="360" w:lineRule="auto"/>
              <w:ind w:left="425" w:leftChars="0" w:right="0" w:hanging="425" w:firstLineChars="0"/>
              <w:jc w:val="left"/>
              <w:rPr>
                <w:rFonts w:hint="eastAsia"/>
                <w:color w:val="auto"/>
                <w:lang w:eastAsia="zh-CN"/>
              </w:rPr>
            </w:pPr>
            <w:r>
              <w:rPr>
                <w:rFonts w:hint="eastAsia"/>
                <w:color w:val="auto"/>
                <w:lang w:eastAsia="zh-CN"/>
              </w:rPr>
              <w:t>能接入220V市电，并且内置应急可充电源。应急可充电源在无市电条件下可支撑设备正常运行两天；</w:t>
            </w:r>
          </w:p>
          <w:p>
            <w:pPr>
              <w:keepNext w:val="0"/>
              <w:keepLines w:val="0"/>
              <w:numPr>
                <w:ilvl w:val="0"/>
                <w:numId w:val="4"/>
              </w:numPr>
              <w:suppressLineNumbers w:val="0"/>
              <w:spacing w:before="0" w:beforeAutospacing="0" w:after="0" w:afterAutospacing="0" w:line="360" w:lineRule="auto"/>
              <w:ind w:left="425" w:leftChars="0" w:right="0" w:hanging="425" w:firstLineChars="0"/>
              <w:jc w:val="left"/>
              <w:rPr>
                <w:rFonts w:hint="eastAsia"/>
                <w:color w:val="auto"/>
                <w:lang w:eastAsia="zh-CN"/>
              </w:rPr>
            </w:pPr>
            <w:r>
              <w:rPr>
                <w:rFonts w:hint="eastAsia"/>
                <w:color w:val="auto"/>
                <w:lang w:eastAsia="zh-CN"/>
              </w:rPr>
              <w:t>外壳材料:采用ABS工程塑料；</w:t>
            </w:r>
          </w:p>
          <w:p>
            <w:pPr>
              <w:keepNext w:val="0"/>
              <w:keepLines w:val="0"/>
              <w:numPr>
                <w:ilvl w:val="0"/>
                <w:numId w:val="4"/>
              </w:numPr>
              <w:suppressLineNumbers w:val="0"/>
              <w:spacing w:before="0" w:beforeAutospacing="0" w:after="0" w:afterAutospacing="0" w:line="360" w:lineRule="auto"/>
              <w:ind w:left="425" w:leftChars="0" w:right="0" w:hanging="425" w:firstLineChars="0"/>
              <w:jc w:val="left"/>
              <w:rPr>
                <w:rFonts w:hint="eastAsia"/>
                <w:color w:val="auto"/>
                <w:lang w:eastAsia="zh-CN"/>
              </w:rPr>
            </w:pPr>
            <w:r>
              <w:rPr>
                <w:rFonts w:hint="eastAsia"/>
                <w:color w:val="auto"/>
                <w:lang w:eastAsia="zh-CN"/>
              </w:rPr>
              <w:t>电路板保护:防潮、防霉、防盐雾；</w:t>
            </w:r>
          </w:p>
          <w:p>
            <w:pPr>
              <w:pStyle w:val="2"/>
              <w:rPr>
                <w:rFonts w:hint="default"/>
                <w:color w:val="auto"/>
                <w:lang w:val="en-US" w:eastAsia="zh-CN"/>
              </w:rPr>
            </w:pPr>
            <w:r>
              <w:rPr>
                <w:rFonts w:hint="eastAsia" w:ascii="宋体" w:hAnsi="宋体" w:eastAsia="宋体" w:cs="宋体"/>
                <w:bCs/>
                <w:color w:val="auto"/>
                <w:kern w:val="2"/>
                <w:sz w:val="21"/>
                <w:szCs w:val="21"/>
                <w:lang w:val="en-US" w:eastAsia="zh-CN" w:bidi="ar"/>
              </w:rPr>
              <w:t>★依据Q/YZ02-2012、GB/T2423.10-2008，提供振动试验检测报告。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物联网接收网关</w:t>
            </w:r>
          </w:p>
        </w:tc>
        <w:tc>
          <w:tcPr>
            <w:tcW w:w="3326" w:type="pct"/>
          </w:tcPr>
          <w:p>
            <w:pPr>
              <w:keepNext w:val="0"/>
              <w:keepLines w:val="0"/>
              <w:numPr>
                <w:ilvl w:val="0"/>
                <w:numId w:val="5"/>
              </w:numPr>
              <w:suppressLineNumbers w:val="0"/>
              <w:spacing w:before="0" w:beforeAutospacing="0" w:after="0" w:afterAutospacing="0" w:line="360" w:lineRule="auto"/>
              <w:ind w:left="425" w:leftChars="0" w:right="0" w:hanging="425" w:firstLineChars="0"/>
              <w:jc w:val="both"/>
              <w:rPr>
                <w:rFonts w:hint="eastAsia"/>
                <w:color w:val="auto"/>
                <w:lang w:eastAsia="zh-CN"/>
              </w:rPr>
            </w:pPr>
            <w:r>
              <w:rPr>
                <w:rFonts w:hint="eastAsia"/>
                <w:color w:val="auto"/>
                <w:lang w:eastAsia="zh-CN"/>
              </w:rPr>
              <w:t>此设备能够有效实现控制设备与系统软件之间的通讯。</w:t>
            </w:r>
          </w:p>
          <w:p>
            <w:pPr>
              <w:keepNext w:val="0"/>
              <w:keepLines w:val="0"/>
              <w:numPr>
                <w:ilvl w:val="0"/>
                <w:numId w:val="5"/>
              </w:numPr>
              <w:suppressLineNumbers w:val="0"/>
              <w:spacing w:before="0" w:beforeAutospacing="0" w:after="0" w:afterAutospacing="0" w:line="360" w:lineRule="auto"/>
              <w:ind w:left="425" w:leftChars="0" w:right="0" w:hanging="425" w:firstLineChars="0"/>
              <w:jc w:val="both"/>
              <w:rPr>
                <w:rFonts w:hint="eastAsia"/>
                <w:color w:val="auto"/>
                <w:lang w:eastAsia="zh-CN"/>
              </w:rPr>
            </w:pPr>
            <w:r>
              <w:rPr>
                <w:rFonts w:hint="eastAsia"/>
                <w:color w:val="auto"/>
                <w:lang w:eastAsia="zh-CN"/>
              </w:rPr>
              <w:t>支持GPRS网络（890-915MHz、1710-1785MHz）数据传输，符合国家无线电管理条例规定，获得GPRS国家无线电发射设备型号核准证。</w:t>
            </w:r>
          </w:p>
          <w:p>
            <w:pPr>
              <w:keepNext w:val="0"/>
              <w:keepLines w:val="0"/>
              <w:numPr>
                <w:ilvl w:val="0"/>
                <w:numId w:val="5"/>
              </w:numPr>
              <w:suppressLineNumbers w:val="0"/>
              <w:spacing w:before="0" w:beforeAutospacing="0" w:after="0" w:afterAutospacing="0" w:line="360" w:lineRule="auto"/>
              <w:ind w:left="425" w:leftChars="0" w:right="0" w:hanging="425" w:firstLineChars="0"/>
              <w:jc w:val="both"/>
              <w:rPr>
                <w:rFonts w:hint="eastAsia"/>
                <w:color w:val="auto"/>
                <w:lang w:eastAsia="zh-CN"/>
              </w:rPr>
            </w:pPr>
            <w:r>
              <w:rPr>
                <w:rFonts w:hint="eastAsia"/>
                <w:color w:val="auto"/>
                <w:lang w:eastAsia="zh-CN"/>
              </w:rPr>
              <w:t>支持调控设备标配的RJ45或RS485通讯接口协议，可实现调控设备远程监测及调控等功能。</w:t>
            </w:r>
          </w:p>
          <w:p>
            <w:pPr>
              <w:keepNext w:val="0"/>
              <w:keepLines w:val="0"/>
              <w:numPr>
                <w:ilvl w:val="0"/>
                <w:numId w:val="5"/>
              </w:numPr>
              <w:suppressLineNumbers w:val="0"/>
              <w:spacing w:before="0" w:beforeAutospacing="0" w:after="0" w:afterAutospacing="0" w:line="360" w:lineRule="auto"/>
              <w:ind w:left="425" w:leftChars="0" w:right="0" w:hanging="425" w:firstLineChars="0"/>
              <w:jc w:val="both"/>
              <w:rPr>
                <w:rFonts w:hint="eastAsia"/>
                <w:color w:val="auto"/>
                <w:lang w:eastAsia="zh-CN"/>
              </w:rPr>
            </w:pPr>
            <w:r>
              <w:rPr>
                <w:rFonts w:hint="eastAsia"/>
                <w:color w:val="auto"/>
                <w:lang w:eastAsia="zh-CN"/>
              </w:rPr>
              <w:t>具有灵活的供电方式，以便灵活安装；</w:t>
            </w:r>
          </w:p>
          <w:p>
            <w:pPr>
              <w:keepNext w:val="0"/>
              <w:keepLines w:val="0"/>
              <w:numPr>
                <w:ilvl w:val="0"/>
                <w:numId w:val="5"/>
              </w:numPr>
              <w:suppressLineNumbers w:val="0"/>
              <w:spacing w:before="0" w:beforeAutospacing="0" w:after="0" w:afterAutospacing="0" w:line="360" w:lineRule="auto"/>
              <w:ind w:left="425" w:leftChars="0" w:right="0" w:hanging="425" w:firstLineChars="0"/>
              <w:jc w:val="both"/>
              <w:rPr>
                <w:rFonts w:hint="eastAsia"/>
                <w:color w:val="auto"/>
                <w:lang w:eastAsia="zh-CN"/>
              </w:rPr>
            </w:pPr>
            <w:r>
              <w:rPr>
                <w:rFonts w:hint="eastAsia"/>
                <w:color w:val="auto"/>
                <w:lang w:eastAsia="zh-CN"/>
              </w:rPr>
              <w:t>能接入220V市电，并且内置应急可充电源。应急可充电源在无市电条件下可支撑设备正常运行两天；</w:t>
            </w:r>
          </w:p>
          <w:p>
            <w:pPr>
              <w:keepNext w:val="0"/>
              <w:keepLines w:val="0"/>
              <w:numPr>
                <w:ilvl w:val="0"/>
                <w:numId w:val="5"/>
              </w:numPr>
              <w:suppressLineNumbers w:val="0"/>
              <w:spacing w:before="0" w:beforeAutospacing="0" w:after="0" w:afterAutospacing="0" w:line="360" w:lineRule="auto"/>
              <w:ind w:left="425" w:leftChars="0" w:right="0" w:hanging="425" w:firstLineChars="0"/>
              <w:jc w:val="both"/>
              <w:rPr>
                <w:rFonts w:hint="eastAsia"/>
                <w:color w:val="auto"/>
                <w:lang w:eastAsia="zh-CN"/>
              </w:rPr>
            </w:pPr>
            <w:r>
              <w:rPr>
                <w:rFonts w:hint="eastAsia"/>
                <w:color w:val="auto"/>
                <w:lang w:eastAsia="zh-CN"/>
              </w:rPr>
              <w:t>外壳材料:采用ABS工程塑料；</w:t>
            </w:r>
          </w:p>
          <w:p>
            <w:pPr>
              <w:keepNext w:val="0"/>
              <w:keepLines w:val="0"/>
              <w:numPr>
                <w:ilvl w:val="0"/>
                <w:numId w:val="5"/>
              </w:numPr>
              <w:suppressLineNumbers w:val="0"/>
              <w:spacing w:before="0" w:beforeAutospacing="0" w:after="0" w:afterAutospacing="0" w:line="360" w:lineRule="auto"/>
              <w:ind w:left="425" w:leftChars="0" w:right="0" w:hanging="425" w:firstLineChars="0"/>
              <w:jc w:val="both"/>
              <w:rPr>
                <w:rFonts w:hint="eastAsia"/>
                <w:color w:val="auto"/>
                <w:lang w:eastAsia="zh-CN"/>
              </w:rPr>
            </w:pPr>
            <w:r>
              <w:rPr>
                <w:rFonts w:hint="eastAsia"/>
                <w:color w:val="auto"/>
                <w:lang w:eastAsia="zh-CN"/>
              </w:rPr>
              <w:t>电路板保护:防潮、防霉、防盐雾；</w:t>
            </w:r>
          </w:p>
          <w:p>
            <w:pPr>
              <w:pStyle w:val="2"/>
              <w:rPr>
                <w:rFonts w:hint="eastAsia"/>
                <w:color w:val="auto"/>
                <w:lang w:eastAsia="zh-CN"/>
              </w:rPr>
            </w:pPr>
            <w:r>
              <w:rPr>
                <w:rFonts w:hint="eastAsia" w:ascii="宋体" w:hAnsi="宋体" w:eastAsia="宋体" w:cs="宋体"/>
                <w:bCs/>
                <w:color w:val="auto"/>
                <w:kern w:val="2"/>
                <w:sz w:val="21"/>
                <w:szCs w:val="21"/>
                <w:lang w:val="en-US" w:eastAsia="zh-CN" w:bidi="ar"/>
              </w:rPr>
              <w:t>★依据Q/YZ02-2012、GB/T2423.10-2008，提供振动试验检测报告。</w:t>
            </w:r>
          </w:p>
        </w:tc>
      </w:tr>
    </w:tbl>
    <w:p>
      <w:pPr>
        <w:pStyle w:val="2"/>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3.2、</w:t>
      </w:r>
      <w:r>
        <w:rPr>
          <w:rFonts w:hint="eastAsia" w:ascii="宋体" w:hAnsi="宋体" w:eastAsia="宋体" w:cs="宋体"/>
          <w:b w:val="0"/>
          <w:bCs w:val="0"/>
          <w:color w:val="auto"/>
          <w:sz w:val="21"/>
          <w:szCs w:val="21"/>
        </w:rPr>
        <w:t>展厅展柜及环境调控设备项</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2"/>
        <w:gridCol w:w="6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pct"/>
            <w:vAlign w:val="center"/>
          </w:tcPr>
          <w:p>
            <w:pPr>
              <w:keepNext w:val="0"/>
              <w:keepLines w:val="0"/>
              <w:numPr>
                <w:ilvl w:val="0"/>
                <w:numId w:val="0"/>
              </w:numPr>
              <w:suppressLineNumbers w:val="0"/>
              <w:spacing w:before="0" w:beforeAutospacing="0" w:after="0" w:afterAutospacing="0" w:line="360" w:lineRule="auto"/>
              <w:ind w:left="0" w:leftChars="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沿墙式展柜</w:t>
            </w:r>
          </w:p>
        </w:tc>
        <w:tc>
          <w:tcPr>
            <w:tcW w:w="3306" w:type="pct"/>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1、整体要求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要求保证该项目所需展柜系统和采用的材料必须满足采购人对安全、文物保护的要求。展柜外形应与相关展厅展陈设计、展柜形式设计风格相协调，外观工艺精致，外观、面材及尺寸在设计图纸中有清晰反映。成交人供应商在成交后须进行现场测量并根据现场进行展柜的深化设计，在通过采购人认可后才可以施工。</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2、外观要求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陈列专用展柜应结合展厅展陈设计，与展厅整体风格协调，视觉效果好。</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颜色需按确认样板指定，满足采购人要求。展柜外观线条挺拔顺直，表面光滑平整，涂层色泽一致，无划伤、露底、变形等明显缺陷。</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3、技术要求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A.陈列专用展柜技术要求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（1）展柜主体结构</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1.1展柜结构由上灯箱、展示区、下底座三部分组成，各部分具备独立空间，互不干扰。</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展示柜整体框架采用不低于40mm*40mm*2.5mm优质冷拔钢管型材经切割、钝化、调直、表校、胎具校正后采用气体保护焊焊接（焊口无氧化现象）；焊接成形后，经时效处理状态达到T6以上性能完毕后，用专业设备磨平打光。</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1.3防锈处理后采用静电氟碳喷涂工艺。</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1.4喷塑颜色与采购人所提供色卡匹配。</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展柜由基座骨架支撑，能将其承受的所有压力转移至基座区域的支撑物，再由支撑物将压力转移到建筑上。在展柜系统放置笨重物品时，展柜骨架须能承受所有施加于其上的压力。悬垂的和悬桁的展示系统须在设计上使其能将其内部所受压力分布于展柜的构架上。基座的出入口与展柜展陈部分的出入口分别控制，以保证展陈部分的安全性及密封性。基座的出入口的钥匙系统是区别于展陈部分的独立系统，以保证陈列与维修的分别管理，降低展品受损害的风险。</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1.6底板承载能力每平方米大于1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0kg。</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1.7展柜展示区后背板应为钢板包布，可利用磁体实现自吸功能，便于部分展陈布展等，并能根据展陈风格需要灵活更换包布。</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（2）柜体所用钢板</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2.1柜体外饰板、内部垫板等所使用钢板厚度采用不低于δ1.5mm(Q235)系列优质冷轧钢板，经剪切、开槽、冲孔、去角、折弯等专业设备成型。</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2.2防锈处理后采用静电氟碳喷涂工艺。</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2.3表面需喷塑颜色与采购人所提供色卡匹配。</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柜体钣金、上灯箱板，下底座展板和型材面通过反射观看外观应平整、光滑、光亮不得有明显凹坑打磨不均（弧度较大）和划痕处，不允许有≥100cm2的阴影区。柜体钣金、上灯箱板，下底座展板和型材外表面≤200cm2的阴影区不得多于1。</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（3）柜体所用型材</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3.1展柜使用型材与玻璃连接部分的结构符合高性能展柜的要求，采用壁厚3mm牌号的铝合金型材（6061）。 </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3.2时效状态为T5，韦氏硬度不小于8，符合GB 5237.1-2008的规定。</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3.3外表喷塑颜色与采购人所提供色卡匹配。</w:t>
            </w:r>
          </w:p>
          <w:p>
            <w:pPr>
              <w:keepNext w:val="0"/>
              <w:keepLines w:val="0"/>
              <w:numPr>
                <w:ilvl w:val="0"/>
                <w:numId w:val="6"/>
              </w:numPr>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柜体所用玻璃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所有展柜采用6+0.76+6(㎜)夹胶低反射玻璃</w:t>
            </w:r>
            <w:r>
              <w:rPr>
                <w:rFonts w:hint="eastAsia" w:ascii="宋体" w:hAnsi="宋体" w:eastAsia="宋体" w:cs="宋体"/>
                <w:color w:val="auto"/>
                <w:sz w:val="21"/>
                <w:szCs w:val="21"/>
                <w:lang w:eastAsia="zh-CN"/>
              </w:rPr>
              <w:t>）</w:t>
            </w:r>
          </w:p>
          <w:p>
            <w:pPr>
              <w:pStyle w:val="2"/>
              <w:keepNext w:val="0"/>
              <w:keepLines w:val="0"/>
              <w:numPr>
                <w:ilvl w:val="0"/>
                <w:numId w:val="0"/>
              </w:numPr>
              <w:suppressLineNumbers w:val="0"/>
              <w:spacing w:before="0" w:before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选用符合博物馆专业展柜要求的夹胶低反射玻璃，玻璃外露边缘精抛光，外露角为倒安全角，玻璃接合处无气泡、无胶痕。夹胶玻璃不得有划痕、气泡、内含物、裂纹、细小纹路和其它缺陷，夹层玻璃胶片使用进口抗弯胶片。</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bCs/>
                <w:color w:val="auto"/>
                <w:kern w:val="2"/>
                <w:sz w:val="21"/>
                <w:szCs w:val="21"/>
                <w:lang w:val="en-US" w:eastAsia="zh-CN" w:bidi="ar"/>
              </w:rPr>
              <w:t>★</w:t>
            </w:r>
            <w:r>
              <w:rPr>
                <w:rFonts w:hint="eastAsia" w:ascii="宋体" w:hAnsi="宋体" w:eastAsia="宋体" w:cs="宋体"/>
                <w:color w:val="auto"/>
                <w:sz w:val="21"/>
                <w:szCs w:val="21"/>
                <w:lang w:val="en-US" w:eastAsia="zh-CN"/>
              </w:rPr>
              <w:t>4.1展柜采用夹胶防爆、防紫外线夹胶低反射玻璃，玻璃厚度6+0.76+6(㎜)，成品实测可见光透射比≥97%以上；成品实测可见光反射比≦1%；成品实测雾度≦0.25％；成品实测可阻挡99.5%的紫外光（波长为320～380纳米）（提供相关的检测报告）</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bCs/>
                <w:color w:val="auto"/>
                <w:kern w:val="2"/>
                <w:sz w:val="21"/>
                <w:szCs w:val="21"/>
                <w:lang w:val="en-US" w:eastAsia="zh-CN" w:bidi="ar"/>
              </w:rPr>
              <w:t>★</w:t>
            </w:r>
            <w:r>
              <w:rPr>
                <w:rFonts w:hint="eastAsia" w:ascii="宋体" w:hAnsi="宋体" w:eastAsia="宋体" w:cs="宋体"/>
                <w:color w:val="auto"/>
                <w:sz w:val="21"/>
                <w:szCs w:val="21"/>
                <w:lang w:val="en-US" w:eastAsia="zh-CN"/>
              </w:rPr>
              <w:t xml:space="preserve">4.2玻璃经高压釜高温成型，经设备切割、磨边、精磨、抛光。磨边规格为0.7mm×0.7mm。外露角为安全倒角处理。可阻挡99%的紫外光（波长为320纳米～380纳米）。       </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低反射玻璃成品显色指数≧99（提供低反射玻璃成品显色指数的检测报告）。</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bCs/>
                <w:color w:val="auto"/>
                <w:kern w:val="2"/>
                <w:sz w:val="21"/>
                <w:szCs w:val="21"/>
                <w:lang w:val="en-US" w:eastAsia="zh-CN" w:bidi="ar"/>
              </w:rPr>
              <w:t>★</w:t>
            </w:r>
            <w:r>
              <w:rPr>
                <w:rFonts w:hint="eastAsia" w:ascii="宋体" w:hAnsi="宋体" w:eastAsia="宋体" w:cs="宋体"/>
                <w:color w:val="auto"/>
                <w:sz w:val="21"/>
                <w:szCs w:val="21"/>
                <w:lang w:val="en-US" w:eastAsia="zh-CN"/>
              </w:rPr>
              <w:t>4.3柜体玻璃面通过发射观察内部应无气泡等和明显杂质缺陷，每平方米内表面划痕长度≤2mm，表面不允许有麻点。</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低反射玻璃成品光畸变≦0.6′（提供低反射玻璃成品光畸变的检测报告）。</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bCs/>
                <w:color w:val="auto"/>
                <w:kern w:val="2"/>
                <w:sz w:val="21"/>
                <w:szCs w:val="21"/>
                <w:lang w:val="en-US" w:eastAsia="zh-CN" w:bidi="ar"/>
              </w:rPr>
              <w:t>★</w:t>
            </w:r>
            <w:r>
              <w:rPr>
                <w:rFonts w:hint="eastAsia" w:ascii="宋体" w:hAnsi="宋体" w:eastAsia="宋体" w:cs="宋体"/>
                <w:color w:val="auto"/>
                <w:sz w:val="21"/>
                <w:szCs w:val="21"/>
                <w:lang w:val="en-US" w:eastAsia="zh-CN"/>
              </w:rPr>
              <w:t>4.4</w:t>
            </w:r>
            <w:r>
              <w:rPr>
                <w:rFonts w:hint="eastAsia" w:ascii="宋体" w:hAnsi="宋体" w:eastAsia="宋体" w:cs="宋体"/>
                <w:color w:val="auto"/>
                <w:sz w:val="21"/>
                <w:szCs w:val="21"/>
                <w:highlight w:val="none"/>
                <w:lang w:val="en-US" w:eastAsia="zh-CN"/>
              </w:rPr>
              <w:t>安全性能</w:t>
            </w:r>
            <w:r>
              <w:rPr>
                <w:rFonts w:hint="eastAsia" w:ascii="宋体" w:hAnsi="宋体" w:eastAsia="宋体" w:cs="宋体"/>
                <w:color w:val="auto"/>
                <w:sz w:val="21"/>
                <w:szCs w:val="21"/>
                <w:highlight w:val="none"/>
              </w:rPr>
              <w:t>具有通透性好、高冲击力、防紫外线、防爆、安全防盗的功能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lang w:val="en-US" w:eastAsia="zh-CN"/>
              </w:rPr>
              <w:t>低反射玻璃耐热、耐湿、耐辐照、落球冲击、霰弹冲击（提供检测报告）。</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bCs/>
                <w:color w:val="auto"/>
                <w:kern w:val="2"/>
                <w:sz w:val="21"/>
                <w:szCs w:val="21"/>
                <w:lang w:val="en-US" w:eastAsia="zh-CN" w:bidi="ar"/>
              </w:rPr>
              <w:t>★</w:t>
            </w:r>
            <w:r>
              <w:rPr>
                <w:rFonts w:hint="eastAsia" w:ascii="宋体" w:hAnsi="宋体" w:eastAsia="宋体" w:cs="宋体"/>
                <w:color w:val="auto"/>
                <w:sz w:val="21"/>
                <w:szCs w:val="21"/>
                <w:lang w:val="en-US" w:eastAsia="zh-CN"/>
              </w:rPr>
              <w:t>4.5低反射玻璃成品实测黄色指数≦0.3（提供检测报告）。</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bCs/>
                <w:color w:val="auto"/>
                <w:kern w:val="2"/>
                <w:sz w:val="21"/>
                <w:szCs w:val="21"/>
                <w:lang w:val="en-US" w:eastAsia="zh-CN" w:bidi="ar"/>
              </w:rPr>
              <w:t>★</w:t>
            </w:r>
            <w:r>
              <w:rPr>
                <w:rFonts w:hint="eastAsia" w:ascii="宋体" w:hAnsi="宋体" w:eastAsia="宋体" w:cs="宋体"/>
                <w:color w:val="auto"/>
                <w:sz w:val="21"/>
                <w:szCs w:val="21"/>
                <w:lang w:val="en-US" w:eastAsia="zh-CN"/>
              </w:rPr>
              <w:t>4.6低反射玻璃耐洗刷性要求：膜层无明显脱落 、剥离、起皱现象（提供检测报告）。</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bCs/>
                <w:color w:val="auto"/>
                <w:kern w:val="2"/>
                <w:sz w:val="21"/>
                <w:szCs w:val="21"/>
                <w:lang w:val="en-US" w:eastAsia="zh-CN" w:bidi="ar"/>
              </w:rPr>
              <w:t>★</w:t>
            </w:r>
            <w:r>
              <w:rPr>
                <w:rFonts w:hint="eastAsia" w:ascii="宋体" w:hAnsi="宋体" w:eastAsia="宋体" w:cs="宋体"/>
                <w:color w:val="auto"/>
                <w:sz w:val="21"/>
                <w:szCs w:val="21"/>
                <w:lang w:val="en-US" w:eastAsia="zh-CN"/>
              </w:rPr>
              <w:t>4.7耐酸性、耐碱性：可见光透射比差值的绝对值≤4%、膜层变化均匀、不允许出现局部膜层脱落（提供检测报告）</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bCs/>
                <w:color w:val="auto"/>
                <w:kern w:val="2"/>
                <w:sz w:val="21"/>
                <w:szCs w:val="21"/>
                <w:lang w:val="en-US" w:eastAsia="zh-CN" w:bidi="ar"/>
              </w:rPr>
              <w:t>★</w:t>
            </w:r>
            <w:r>
              <w:rPr>
                <w:rFonts w:hint="eastAsia" w:ascii="宋体" w:hAnsi="宋体" w:eastAsia="宋体" w:cs="宋体"/>
                <w:color w:val="auto"/>
                <w:sz w:val="21"/>
                <w:szCs w:val="21"/>
                <w:lang w:val="en-US" w:eastAsia="zh-CN"/>
              </w:rPr>
              <w:t>4.8展柜所使用的低反射玻璃3C认证证书。（提供相关证书）</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（5）玻璃与铝型材的连接</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5.1玻璃与铝型材的连接为玻璃嵌入型材的“U”型槽，槽深为40mm，玻璃与“U”型槽底的连接处为2 mm厚的“U”型硅橡胶垫层，确保玻璃的安全。</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玻璃与“U”型槽两侧的间隙各为2mm-3 mm，便于密封胶的密封，密封胶选用中性密封胶，具有无气味、无挥发性，使展柜密封性增强从而更加安全的保护文物。</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5.2玻璃与铝合金边框的粘接为≥30mm的完全密封粘接，确保展柜玻璃板的牢固性，防撬性，密封性及防爆性。</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5.3玻璃及结构框之间的粘接剂，粘接剂指标为7500PS～10000PS，凝固剂指标为2500PS～6000PS，熔点大于150℃。</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（6）展柜支脚</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6.1柜体下部需安装支脚。</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6.2支脚材质为不锈钢（304）。</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6.3每个支脚承载不小于</w:t>
            </w:r>
            <w:r>
              <w:rPr>
                <w:rFonts w:hint="eastAsia" w:ascii="宋体" w:hAnsi="宋体" w:eastAsia="宋体" w:cs="宋体"/>
                <w:color w:val="auto"/>
                <w:sz w:val="21"/>
                <w:szCs w:val="21"/>
                <w:lang w:val="en-US" w:eastAsia="zh-CN"/>
              </w:rPr>
              <w:t>800</w:t>
            </w:r>
            <w:r>
              <w:rPr>
                <w:rFonts w:hint="eastAsia" w:ascii="宋体" w:hAnsi="宋体" w:eastAsia="宋体" w:cs="宋体"/>
                <w:color w:val="auto"/>
                <w:sz w:val="21"/>
                <w:szCs w:val="21"/>
              </w:rPr>
              <w:t>Kg。</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（7）展柜开启方式</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bCs/>
                <w:color w:val="auto"/>
                <w:kern w:val="2"/>
                <w:sz w:val="21"/>
                <w:szCs w:val="21"/>
                <w:lang w:val="en-US" w:eastAsia="zh-CN" w:bidi="ar"/>
              </w:rPr>
              <w:t>★</w:t>
            </w:r>
            <w:r>
              <w:rPr>
                <w:rFonts w:hint="eastAsia" w:ascii="宋体" w:hAnsi="宋体" w:eastAsia="宋体" w:cs="宋体"/>
                <w:color w:val="auto"/>
                <w:sz w:val="21"/>
                <w:szCs w:val="21"/>
              </w:rPr>
              <w:t>7.1柜体采用</w:t>
            </w:r>
            <w:r>
              <w:rPr>
                <w:rFonts w:hint="eastAsia" w:ascii="宋体" w:hAnsi="宋体" w:eastAsia="宋体" w:cs="宋体"/>
                <w:color w:val="auto"/>
                <w:sz w:val="21"/>
                <w:szCs w:val="21"/>
                <w:lang w:val="en-US" w:eastAsia="zh-CN"/>
              </w:rPr>
              <w:t>平板电脑无线遥控</w:t>
            </w:r>
            <w:r>
              <w:rPr>
                <w:rFonts w:hint="eastAsia" w:ascii="宋体" w:hAnsi="宋体" w:eastAsia="宋体" w:cs="宋体"/>
                <w:color w:val="auto"/>
                <w:sz w:val="21"/>
                <w:szCs w:val="21"/>
              </w:rPr>
              <w:t>开启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具备文物展柜无线遥控开启功能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提供相关证明</w:t>
            </w:r>
            <w:r>
              <w:rPr>
                <w:rFonts w:hint="eastAsia" w:ascii="宋体" w:hAnsi="宋体" w:cs="宋体"/>
                <w:color w:val="auto"/>
                <w:sz w:val="21"/>
                <w:szCs w:val="21"/>
                <w:lang w:val="en-US" w:eastAsia="zh-CN"/>
              </w:rPr>
              <w:t>材料</w:t>
            </w:r>
            <w:r>
              <w:rPr>
                <w:rFonts w:hint="eastAsia" w:ascii="宋体" w:hAnsi="宋体" w:eastAsia="宋体" w:cs="宋体"/>
                <w:color w:val="auto"/>
                <w:sz w:val="21"/>
                <w:szCs w:val="21"/>
                <w:lang w:val="en-US" w:eastAsia="zh-CN"/>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柜门开启和关闭应顺畅，进出不得有较大震动和异常响声，不得有爬行现象。</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柜门开启后左右拉动玻璃门至左右限位，运动应顺畅，轻便，拉力≤10N。</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柜门开启后，向左（或右）至最大位置，开启尺寸不小于柜体门玻璃尺寸的70%。</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（8）展柜环保性能要求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8.1展柜中所使用的喷漆、粘接剂、装饰布等为中性环保材料，不会散发有害气体污染展品和展厅空气环境。</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8.2展柜内壁板与积木展台包亚麻布等所有用材均采用环保型、阻燃性材料，展柜的外围材料均为非燃烧性材料，保证展柜的防火性能。</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8.3其他使用的材料为惰性的环保材料以降低潜在的污染风险，与陈列部分直接接触的板材及展台基座材料板材均选择E0级板材，原木材料经过熏蒸消毒处理，防止虫霉滋生。</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8.4柜内使用的织物为环保100%纯棉纺织物，织物无胶固定于面板。可选炭布或其他活性清洁材料控制污染物，所有材料及工序须符合博物馆保存标准。适合在博物馆使用的产品，采用无胶粘接的固定方式固定在板材上。</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8.5文物展柜安装装修完成后须利用机械通风，排除柜内装饰材料所挥发的污染气体。</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8.6展柜内空气质量应控制在二氧化硫≤10μg/m3；氮氧化物≤10μg/m3；羰基化合物（甲酸、乙酸等）≤100μg/m3；甲醛≤0.05mg/m3；挥发性有机化合物总量（TVOC）≤0.5mg/m3。</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（9）展柜气体密封性能</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文物展柜为整体密闭型结构，展柜密封性能良好，无漏光现象。</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展柜密封采用专用双组密封胶和硅胶密封条密封，保证其密闭性：展示空间空气交换次数≤0.2次/天。</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展柜可设置放置微环境被动调控材料的箱体，能与展陈空间通畅交换空气，调控材料储存箱不影响展柜的密闭性。</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工艺：采用优质有机硅，表面光滑，无明显的机械杂质，经专用设备挤压成型。密封接口缝隙填塞±≤3mm。</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密封胶或密封条质量标准：拉伸强度不小于7.0Mpa。断裂伸长率不小于300%。撕裂强度不小于15KN/M。永久变形率不大于8%。硬度HA为60±5。使用寿命原则上不低于两年；密封胶采用双组分、中性固化结构胶，具有耐臭氧、耐紫外线等优越的气候性能，耐高低温可在-50℃～+100℃，具良好的特强粘接力和弱性。</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特点：具有抗氧化性、抗腐蚀性、抗老化、经久耐用，是密封不可缺少的部件。展柜各部件相连接处选用专业硅胶、密封条、胶垫做密封处理。</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（10）展柜维护管理性能</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10.1展柜设计制作应预留检测、维修、升级相关设备或添加、更新有关的温湿度设备的空间及相关管路接口。</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（11）展柜制作工艺要求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11.1安全</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11.1.1 通用安全性能要求符合GB 4706.1（即1.06倍的额定电压时泄漏电流≤1.5mA、电气强度为1000V不击穿）。</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11.2柜体外观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11.2.1柜体外观喷图根据订单色卡，视检无色差。</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11.2.2柜体钣金、上灯箱板，下底座展板和型材面通过反射观看外观应平整、光滑、光亮不得有明显凹坑打磨不均（弧度较大）和划痕处，不允许有≥100cm2的阴影区。柜体钣金、上灯箱板，下底座展板和型材外表面≤200cm2的阴影区不得多于1，试样表面任意200cm2正方形面积内，长度≤5mm的划痕不得多于1个，不允许出现长度&gt;5mm的划痕。</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11.2.3涂层表面不得有明显的流痕、麻坑、皱纹、起泡、漏涂和集合沙粒等，涂层的外表面不允许有明显的针孔、气泡，塑层表面附着力使用划格测试（＜5%）。</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11.2.4柜体玻璃面通过发射观察内部应无气泡等和明显杂质缺陷，每平方米内表面划痕长度≤2mm，任意一面划痕数量不得多于1，表面不允许有麻点。</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11.3柜体尺寸</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11.3.1柜体尺寸根据图纸要求，长、宽偏差≤±2mm，高偏差≤±5mm。</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11.3.2柜体外部缝隙</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11.3.2.1各型材连接处缝隙≤0.5mm。</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11.3.2.2护板与护板拼接处平面度≤1mm，缝隙≤1mm。</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11.3.2.3护板与型材拼接处缝隙等于1±0.1㎜，周圈缝隙应均匀一致。</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11.3.2.4护板与型材拼接处平面度≤1mm。</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11.3.2.5展柜上灯箱射灯板与型材缝隙应均匀（2mm），误差≤1mm，平面度≤1mm。</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11.3.2.6展柜底座展板与型材缝隙应均匀（2mm），误差≤1mm，平面度≤1mm。</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11.3.2.7展柜柜体四面玻璃之间所形成的四条缝隙宽度应为4 mm，上下应均匀一致，偏差≤±1mm。</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13.3.2.8展柜玻璃四条缝隙处粘接胶条应保证直线±0.3㎜、清洁美观，无溢出玻璃胶。</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B.展柜配备照明系统要求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（1）技术要求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eastAsia="zh-CN"/>
              </w:rPr>
            </w:pPr>
            <w:r>
              <w:rPr>
                <w:rFonts w:hint="eastAsia" w:ascii="宋体" w:hAnsi="宋体" w:eastAsia="宋体" w:cs="宋体"/>
                <w:bCs/>
                <w:color w:val="auto"/>
                <w:kern w:val="2"/>
                <w:sz w:val="21"/>
                <w:szCs w:val="21"/>
                <w:lang w:val="en-US" w:eastAsia="zh-CN" w:bidi="ar"/>
              </w:rPr>
              <w:t>★</w:t>
            </w:r>
            <w:r>
              <w:rPr>
                <w:rFonts w:hint="eastAsia" w:ascii="宋体" w:hAnsi="宋体" w:eastAsia="宋体" w:cs="宋体"/>
                <w:color w:val="auto"/>
                <w:sz w:val="21"/>
                <w:szCs w:val="21"/>
              </w:rPr>
              <w:t>2.1根据不同类型及规格展柜所需的良好展品照明展示效果、有利于文物保护的照明参数要求和不同的展柜与文物类型配备不同类型的照明灯具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具备博物馆智能照明多角度精确控制系统（提供控制系统的相关证明材料）。</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第一套为防紫外线无照明热的LED洗墙灯泛光照明，通过此灯将沿墙柜体后背板全部打亮（根据不同的需要亮度可无线调整），为展陈大型书画做好照明基础。</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第二套为防紫外线无照明热的LED射灯，在洗墙灯的照明基础上，使用此灯做重点照明，</w:t>
            </w:r>
            <w:r>
              <w:rPr>
                <w:rFonts w:hint="eastAsia" w:ascii="宋体" w:hAnsi="宋体" w:eastAsia="宋体" w:cs="宋体"/>
                <w:color w:val="auto"/>
                <w:sz w:val="21"/>
                <w:szCs w:val="21"/>
                <w:lang w:val="en-US" w:eastAsia="zh-CN"/>
              </w:rPr>
              <w:t>具备多角度精确控制功能，</w:t>
            </w:r>
            <w:r>
              <w:rPr>
                <w:rFonts w:hint="eastAsia" w:ascii="宋体" w:hAnsi="宋体" w:eastAsia="宋体" w:cs="宋体"/>
                <w:color w:val="auto"/>
                <w:sz w:val="21"/>
                <w:szCs w:val="21"/>
              </w:rPr>
              <w:t>使得展陈层次分明，重点得以突出，避免了展出品通量或斑驳照明。</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控制性灵活</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bCs/>
                <w:color w:val="auto"/>
                <w:kern w:val="2"/>
                <w:sz w:val="21"/>
                <w:szCs w:val="21"/>
                <w:lang w:val="en-US" w:eastAsia="zh-CN" w:bidi="ar"/>
              </w:rPr>
              <w:t>★</w:t>
            </w:r>
            <w:r>
              <w:rPr>
                <w:rFonts w:hint="eastAsia" w:ascii="宋体" w:hAnsi="宋体" w:eastAsia="宋体" w:cs="宋体"/>
                <w:color w:val="auto"/>
                <w:sz w:val="21"/>
                <w:szCs w:val="21"/>
              </w:rPr>
              <w:t>用平板手机通过WIFI可以对灯具亮度大小进行无线控制，</w:t>
            </w:r>
            <w:r>
              <w:rPr>
                <w:rFonts w:hint="eastAsia" w:ascii="宋体" w:hAnsi="宋体" w:eastAsia="宋体" w:cs="宋体"/>
                <w:color w:val="auto"/>
                <w:sz w:val="21"/>
                <w:szCs w:val="21"/>
                <w:lang w:val="en-US" w:eastAsia="zh-CN"/>
              </w:rPr>
              <w:t>LED</w:t>
            </w:r>
            <w:r>
              <w:rPr>
                <w:rFonts w:hint="eastAsia" w:ascii="宋体" w:hAnsi="宋体" w:eastAsia="宋体" w:cs="宋体"/>
                <w:color w:val="auto"/>
                <w:sz w:val="21"/>
                <w:szCs w:val="21"/>
              </w:rPr>
              <w:t>灯具功率在5~15W之间可调。针对不同文物选择适当角度、光斑以及照度等对文物进行照明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具备ＬＥＤ照明无线智能调光控制系统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提供相关证明材料）</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eastAsia="zh-CN"/>
              </w:rPr>
            </w:pPr>
            <w:r>
              <w:rPr>
                <w:rFonts w:hint="eastAsia" w:ascii="宋体" w:hAnsi="宋体" w:eastAsia="宋体" w:cs="宋体"/>
                <w:bCs/>
                <w:color w:val="auto"/>
                <w:kern w:val="2"/>
                <w:sz w:val="21"/>
                <w:szCs w:val="21"/>
                <w:lang w:val="en-US" w:eastAsia="zh-CN" w:bidi="ar"/>
              </w:rPr>
              <w:t>★2.1</w:t>
            </w:r>
            <w:r>
              <w:rPr>
                <w:rFonts w:hint="eastAsia" w:ascii="宋体" w:hAnsi="宋体" w:eastAsia="宋体" w:cs="宋体"/>
                <w:color w:val="auto"/>
                <w:sz w:val="21"/>
                <w:szCs w:val="21"/>
                <w:lang w:val="en-US" w:eastAsia="zh-CN"/>
              </w:rPr>
              <w:t>可</w:t>
            </w:r>
            <w:r>
              <w:rPr>
                <w:rFonts w:hint="eastAsia" w:ascii="宋体" w:hAnsi="宋体" w:eastAsia="宋体" w:cs="宋体"/>
                <w:color w:val="auto"/>
                <w:sz w:val="21"/>
                <w:szCs w:val="21"/>
              </w:rPr>
              <w:t>根据文物可连续调节出光角度及光斑大小，实现最佳的照明效果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rPr>
              <w:t>整体无漏光现象，</w:t>
            </w:r>
            <w:r>
              <w:rPr>
                <w:rFonts w:hint="eastAsia" w:ascii="宋体" w:hAnsi="宋体" w:eastAsia="宋体" w:cs="宋体"/>
                <w:color w:val="auto"/>
                <w:sz w:val="21"/>
                <w:szCs w:val="21"/>
                <w:lang w:val="en-US" w:eastAsia="zh-CN"/>
              </w:rPr>
              <w:t>具备旋转微调照度功能</w:t>
            </w:r>
            <w:r>
              <w:rPr>
                <w:rFonts w:hint="eastAsia" w:ascii="宋体" w:hAnsi="宋体" w:eastAsia="宋体" w:cs="宋体"/>
                <w:color w:val="auto"/>
                <w:sz w:val="21"/>
                <w:szCs w:val="21"/>
              </w:rPr>
              <w:t>，可灵活根据展品展陈需求，展示不同的照明效果要求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tl w:val="0"/>
                <w:lang w:val="en-US" w:eastAsia="zh-CN"/>
              </w:rPr>
              <w:t>提供</w:t>
            </w:r>
            <w:r>
              <w:rPr>
                <w:rFonts w:hint="eastAsia" w:ascii="宋体" w:hAnsi="宋体" w:eastAsia="宋体" w:cs="宋体"/>
                <w:color w:val="auto"/>
                <w:sz w:val="21"/>
                <w:szCs w:val="21"/>
                <w:lang w:eastAsia="zh-CN"/>
              </w:rPr>
              <w:t>相关证明材料）。</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bCs/>
                <w:color w:val="auto"/>
                <w:kern w:val="2"/>
                <w:sz w:val="21"/>
                <w:szCs w:val="21"/>
                <w:lang w:val="en-US" w:eastAsia="zh-CN" w:bidi="ar"/>
              </w:rPr>
              <w:t>★</w:t>
            </w:r>
            <w:r>
              <w:rPr>
                <w:rFonts w:hint="eastAsia" w:ascii="宋体" w:hAnsi="宋体" w:eastAsia="宋体" w:cs="宋体"/>
                <w:color w:val="auto"/>
                <w:sz w:val="21"/>
                <w:szCs w:val="21"/>
                <w:lang w:val="en-US" w:eastAsia="zh-CN"/>
              </w:rPr>
              <w:t>2.2此展柜具备开启、调光等功能，为方便管理，需具备文物展柜智能开启、调光及环境控制功能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tl w:val="0"/>
                <w:lang w:val="en-US" w:eastAsia="zh-CN"/>
              </w:rPr>
              <w:t>提供</w:t>
            </w:r>
            <w:r>
              <w:rPr>
                <w:rFonts w:hint="eastAsia" w:ascii="宋体" w:hAnsi="宋体" w:eastAsia="宋体" w:cs="宋体"/>
                <w:color w:val="auto"/>
                <w:sz w:val="21"/>
                <w:szCs w:val="21"/>
                <w:lang w:eastAsia="zh-CN"/>
              </w:rPr>
              <w:t>相关证</w:t>
            </w:r>
            <w:r>
              <w:rPr>
                <w:rFonts w:hint="eastAsia" w:ascii="宋体" w:hAnsi="宋体" w:eastAsia="宋体" w:cs="宋体"/>
                <w:color w:val="auto"/>
                <w:sz w:val="21"/>
                <w:szCs w:val="21"/>
                <w:lang w:val="en-US" w:eastAsia="zh-CN"/>
              </w:rPr>
              <w:t>明材料</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展柜的照明装置具有对展览品的保护功能，可以阻断紫外线和照明热，照明装置均安装在展柜顶部或底部（仅限下部补光情形）箱内独立空间，安装检修简便，不开启展示柜门也能进行维修，灯具的检修与更换均为独立操作与展示空间互不影响。</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柜内灯光色温（4000-4500K），展柜整体照明色调需保持一致，（同一展柜内）所有灯具色温差别不超过标称的10%，灯光不含紫外线及红外线。所有灯具必须采用LED作为光源，不允许使用荧光灯照明。</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展柜内照明须满足多种（不同）展品的照明需要，采用泛光和重点照明的效果展示方式。配备的射灯需选用显色指数Ra≧90的光源芯片。通过泛光灯对展柜上下部（整体）实施均匀的泛光照明，射灯对不同尺寸大小的展品实施整体或局部的重点照明。正常人（170cm)距展柜1.5米看不到光源的直接眩光和灯板眩光。</w:t>
            </w:r>
          </w:p>
          <w:p>
            <w:pPr>
              <w:pStyle w:val="72"/>
              <w:keepNext w:val="0"/>
              <w:keepLines w:val="0"/>
              <w:suppressLineNumbers w:val="0"/>
              <w:spacing w:before="0" w:beforeAutospacing="0" w:after="0" w:afterAutospacing="0"/>
              <w:ind w:left="0" w:right="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c展柜配备安防探测报警系统</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振动入侵探测报警系统</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适用于不同结构的文物展柜及大小不等的保险柜等设备的防范。有效的防止入侵者用工具或徒手拍击对文物展柜及大小不等的保险柜等设备凿、打、撬的安全防护。</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技术指标：</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eastAsia="zh-CN"/>
              </w:rPr>
            </w:pPr>
            <w:r>
              <w:rPr>
                <w:rFonts w:hint="eastAsia" w:ascii="宋体" w:hAnsi="宋体" w:eastAsia="宋体" w:cs="宋体"/>
                <w:bCs/>
                <w:color w:val="auto"/>
                <w:kern w:val="2"/>
                <w:sz w:val="21"/>
                <w:szCs w:val="21"/>
                <w:lang w:val="en-US" w:eastAsia="zh-CN" w:bidi="ar"/>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tl w:val="0"/>
                <w:lang w:val="en-US" w:eastAsia="zh-CN"/>
              </w:rPr>
              <w:t>具备</w:t>
            </w:r>
            <w:r>
              <w:rPr>
                <w:rFonts w:hint="eastAsia" w:ascii="宋体" w:hAnsi="宋体" w:eastAsia="宋体" w:cs="宋体"/>
                <w:color w:val="auto"/>
                <w:sz w:val="21"/>
                <w:szCs w:val="21"/>
              </w:rPr>
              <w:t>文物展柜</w:t>
            </w:r>
            <w:r>
              <w:rPr>
                <w:rFonts w:hint="eastAsia" w:ascii="宋体" w:hAnsi="宋体" w:eastAsia="宋体" w:cs="宋体"/>
                <w:color w:val="auto"/>
                <w:sz w:val="21"/>
                <w:szCs w:val="21"/>
                <w:lang w:val="en-US" w:eastAsia="zh-CN"/>
              </w:rPr>
              <w:t>智能安防管理功能，</w:t>
            </w:r>
            <w:r>
              <w:rPr>
                <w:rFonts w:hint="eastAsia" w:ascii="宋体" w:hAnsi="宋体" w:eastAsia="宋体" w:cs="宋体"/>
                <w:color w:val="auto"/>
                <w:sz w:val="21"/>
                <w:szCs w:val="21"/>
              </w:rPr>
              <w:t>探测范围：每只振动探测器（或振动传感器）可控制文物展柜及大小不等的保险柜。</w:t>
            </w:r>
            <w:r>
              <w:rPr>
                <w:rFonts w:hint="eastAsia" w:ascii="宋体" w:hAnsi="宋体" w:eastAsia="宋体" w:cs="宋体"/>
                <w:color w:val="auto"/>
                <w:sz w:val="21"/>
                <w:szCs w:val="21"/>
                <w:lang w:eastAsia="zh-CN"/>
              </w:rPr>
              <w:t>（提供相关证明材料）。</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w:t>
            </w:r>
            <w:r>
              <w:rPr>
                <w:rFonts w:hint="eastAsia" w:ascii="宋体" w:hAnsi="宋体" w:eastAsia="宋体" w:cs="宋体"/>
                <w:bCs/>
                <w:color w:val="auto"/>
                <w:kern w:val="2"/>
                <w:sz w:val="21"/>
                <w:szCs w:val="21"/>
                <w:lang w:val="en-US" w:eastAsia="zh-CN" w:bidi="ar"/>
              </w:rPr>
              <w:t>★</w:t>
            </w:r>
            <w:r>
              <w:rPr>
                <w:rFonts w:hint="eastAsia" w:ascii="宋体" w:hAnsi="宋体" w:eastAsia="宋体" w:cs="宋体"/>
                <w:color w:val="auto"/>
                <w:sz w:val="21"/>
                <w:szCs w:val="21"/>
              </w:rPr>
              <w:t>2.</w:t>
            </w:r>
            <w:r>
              <w:rPr>
                <w:rFonts w:hint="eastAsia" w:ascii="宋体" w:hAnsi="宋体" w:eastAsia="宋体" w:cs="宋体"/>
                <w:color w:val="auto"/>
                <w:sz w:val="21"/>
                <w:szCs w:val="21"/>
                <w:rtl w:val="0"/>
                <w:lang w:val="en-US" w:eastAsia="zh-CN"/>
              </w:rPr>
              <w:t>具备</w:t>
            </w:r>
            <w:r>
              <w:rPr>
                <w:rFonts w:hint="eastAsia" w:ascii="宋体" w:hAnsi="宋体" w:eastAsia="宋体" w:cs="宋体"/>
                <w:color w:val="auto"/>
                <w:sz w:val="21"/>
                <w:szCs w:val="21"/>
              </w:rPr>
              <w:t>文物展柜</w:t>
            </w:r>
            <w:r>
              <w:rPr>
                <w:rFonts w:hint="eastAsia" w:ascii="宋体" w:hAnsi="宋体" w:eastAsia="宋体" w:cs="宋体"/>
                <w:color w:val="auto"/>
                <w:sz w:val="21"/>
                <w:szCs w:val="21"/>
                <w:lang w:val="en-US" w:eastAsia="zh-CN"/>
              </w:rPr>
              <w:t>智能报警功能</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（提供相关证明材料）。</w:t>
            </w:r>
          </w:p>
          <w:p>
            <w:pPr>
              <w:keepNext w:val="0"/>
              <w:keepLines w:val="0"/>
              <w:numPr>
                <w:ilvl w:val="-1"/>
                <w:numId w:val="0"/>
              </w:numPr>
              <w:suppressLineNumbers w:val="0"/>
              <w:spacing w:before="0" w:beforeAutospacing="0" w:after="0" w:afterAutospacing="0" w:line="360" w:lineRule="auto"/>
              <w:ind w:left="0" w:right="0"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 防拆功能：打开探测器盒盖或断电源线时报警。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使用环境：－10℃－＋40℃，相对湿度≦80％。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693" w:type="pct"/>
            <w:vAlign w:val="center"/>
          </w:tcPr>
          <w:p>
            <w:pPr>
              <w:keepNext w:val="0"/>
              <w:keepLines w:val="0"/>
              <w:numPr>
                <w:ilvl w:val="0"/>
                <w:numId w:val="0"/>
              </w:numPr>
              <w:suppressLineNumbers w:val="0"/>
              <w:spacing w:before="0" w:beforeAutospacing="0" w:after="0" w:afterAutospacing="0" w:line="360" w:lineRule="auto"/>
              <w:ind w:left="0" w:leftChars="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循环式智能电子恒湿机</w:t>
            </w:r>
          </w:p>
        </w:tc>
        <w:tc>
          <w:tcPr>
            <w:tcW w:w="3306" w:type="pct"/>
          </w:tcPr>
          <w:tbl>
            <w:tblPr>
              <w:tblStyle w:val="73"/>
              <w:tblW w:w="5410" w:type="dxa"/>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shd w:val="clear" w:color="auto" w:fill="auto"/>
              <w:tblLayout w:type="autofit"/>
              <w:tblCellMar>
                <w:top w:w="0" w:type="dxa"/>
                <w:left w:w="108" w:type="dxa"/>
                <w:bottom w:w="0" w:type="dxa"/>
                <w:right w:w="108" w:type="dxa"/>
              </w:tblCellMar>
            </w:tblPr>
            <w:tblGrid>
              <w:gridCol w:w="2822"/>
              <w:gridCol w:w="2588"/>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shd w:val="clear" w:color="auto" w:fill="auto"/>
                <w:tblCellMar>
                  <w:top w:w="0" w:type="dxa"/>
                  <w:left w:w="108" w:type="dxa"/>
                  <w:bottom w:w="0" w:type="dxa"/>
                  <w:right w:w="108" w:type="dxa"/>
                </w:tblCellMar>
              </w:tblPrEx>
              <w:trPr>
                <w:trHeight w:val="567" w:hRule="atLeast"/>
              </w:trPr>
              <w:tc>
                <w:tcPr>
                  <w:tcW w:w="2822"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调控容积：≤</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m3；</w:t>
                  </w:r>
                </w:p>
              </w:tc>
              <w:tc>
                <w:tcPr>
                  <w:tcW w:w="2588"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控湿精度：≤±</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567" w:hRule="atLeast"/>
              </w:trPr>
              <w:tc>
                <w:tcPr>
                  <w:tcW w:w="5410" w:type="dxa"/>
                  <w:gridSpan w:val="2"/>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shd w:val="clear" w:fill="FFFFFF" w:themeFill="background1"/>
                    </w:rPr>
                    <w:t>控湿范围：在展柜内温度</w:t>
                  </w:r>
                  <w:r>
                    <w:rPr>
                      <w:rFonts w:hint="eastAsia" w:ascii="宋体" w:hAnsi="宋体" w:eastAsia="宋体" w:cs="宋体"/>
                      <w:color w:val="auto"/>
                      <w:sz w:val="21"/>
                      <w:szCs w:val="21"/>
                      <w:shd w:val="clear" w:fill="FFFFFF" w:themeFill="background1"/>
                      <w:lang w:val="en-US" w:eastAsia="zh-CN"/>
                    </w:rPr>
                    <w:t>15-32</w:t>
                  </w:r>
                  <w:r>
                    <w:rPr>
                      <w:rFonts w:hint="eastAsia" w:ascii="宋体" w:hAnsi="宋体" w:eastAsia="宋体" w:cs="宋体"/>
                      <w:color w:val="auto"/>
                      <w:sz w:val="21"/>
                      <w:szCs w:val="21"/>
                      <w:shd w:val="clear" w:fill="FFFFFF" w:themeFill="background1"/>
                    </w:rPr>
                    <w:t>℃条件下，有效湿度控制范围为</w:t>
                  </w:r>
                  <w:r>
                    <w:rPr>
                      <w:rFonts w:hint="eastAsia" w:ascii="宋体" w:hAnsi="宋体" w:eastAsia="宋体" w:cs="宋体"/>
                      <w:color w:val="auto"/>
                      <w:sz w:val="21"/>
                      <w:szCs w:val="21"/>
                      <w:shd w:val="clear" w:fill="FFFFFF" w:themeFill="background1"/>
                      <w:lang w:val="en-US" w:eastAsia="zh-CN"/>
                    </w:rPr>
                    <w:t>3</w:t>
                  </w:r>
                  <w:r>
                    <w:rPr>
                      <w:rFonts w:hint="eastAsia" w:ascii="宋体" w:hAnsi="宋体" w:eastAsia="宋体" w:cs="宋体"/>
                      <w:color w:val="auto"/>
                      <w:sz w:val="21"/>
                      <w:szCs w:val="21"/>
                      <w:shd w:val="clear" w:fill="FFFFFF" w:themeFill="background1"/>
                    </w:rPr>
                    <w:t>0%-70%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567" w:hRule="atLeast"/>
              </w:trPr>
              <w:tc>
                <w:tcPr>
                  <w:tcW w:w="2822"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供电电源：AC220V/50Hz；</w:t>
                  </w:r>
                </w:p>
              </w:tc>
              <w:tc>
                <w:tcPr>
                  <w:tcW w:w="2588"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额定功率：≤</w:t>
                  </w:r>
                  <w:r>
                    <w:rPr>
                      <w:rFonts w:hint="eastAsia" w:ascii="宋体" w:hAnsi="宋体" w:eastAsia="宋体" w:cs="宋体"/>
                      <w:color w:val="auto"/>
                      <w:sz w:val="21"/>
                      <w:szCs w:val="21"/>
                      <w:lang w:val="en-US" w:eastAsia="zh-CN"/>
                    </w:rPr>
                    <w:t>135</w:t>
                  </w:r>
                  <w:r>
                    <w:rPr>
                      <w:rFonts w:hint="eastAsia" w:ascii="宋体" w:hAnsi="宋体" w:eastAsia="宋体" w:cs="宋体"/>
                      <w:color w:val="auto"/>
                      <w:sz w:val="21"/>
                      <w:szCs w:val="21"/>
                    </w:rPr>
                    <w:t>W</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567" w:hRule="atLeast"/>
              </w:trPr>
              <w:tc>
                <w:tcPr>
                  <w:tcW w:w="2822"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气流组织：微正压送风</w:t>
                  </w:r>
                </w:p>
              </w:tc>
              <w:tc>
                <w:tcPr>
                  <w:tcW w:w="2588"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净化方式：活性炭滤网吸附，</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567" w:hRule="atLeast"/>
              </w:trPr>
              <w:tc>
                <w:tcPr>
                  <w:tcW w:w="5410" w:type="dxa"/>
                  <w:gridSpan w:val="2"/>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通讯方式：预留通讯端口RS485/RJ45，内置2.4GHz无线通讯模块</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567" w:hRule="atLeast"/>
              </w:trPr>
              <w:tc>
                <w:tcPr>
                  <w:tcW w:w="5410" w:type="dxa"/>
                  <w:gridSpan w:val="2"/>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安全防护性能：多重安全保护系统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具备自动诊断和远程诊断功能，</w:t>
                  </w:r>
                  <w:r>
                    <w:rPr>
                      <w:rFonts w:hint="eastAsia" w:ascii="宋体" w:hAnsi="宋体" w:eastAsia="宋体" w:cs="宋体"/>
                      <w:color w:val="auto"/>
                      <w:sz w:val="21"/>
                      <w:szCs w:val="21"/>
                      <w:lang w:val="en-US" w:eastAsia="zh-CN"/>
                    </w:rPr>
                    <w:t>具备自动控制功能</w:t>
                  </w:r>
                  <w:r>
                    <w:rPr>
                      <w:rFonts w:hint="eastAsia" w:ascii="宋体" w:hAnsi="宋体" w:eastAsia="宋体" w:cs="宋体"/>
                      <w:color w:val="auto"/>
                      <w:kern w:val="2"/>
                      <w:sz w:val="21"/>
                      <w:szCs w:val="21"/>
                      <w:highlight w:val="none"/>
                      <w:lang w:val="en-US" w:eastAsia="zh-CN"/>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567" w:hRule="atLeast"/>
              </w:trPr>
              <w:tc>
                <w:tcPr>
                  <w:tcW w:w="5410" w:type="dxa"/>
                  <w:gridSpan w:val="2"/>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kern w:val="2"/>
                      <w:sz w:val="21"/>
                      <w:szCs w:val="21"/>
                      <w:lang w:val="en-US" w:eastAsia="zh-CN" w:bidi="ar"/>
                    </w:rPr>
                  </w:pPr>
                  <w:r>
                    <w:rPr>
                      <w:rFonts w:hint="eastAsia" w:ascii="宋体" w:hAnsi="宋体" w:eastAsia="宋体" w:cs="宋体"/>
                      <w:bCs/>
                      <w:color w:val="auto"/>
                      <w:kern w:val="2"/>
                      <w:sz w:val="21"/>
                      <w:szCs w:val="21"/>
                      <w:lang w:val="en-US" w:eastAsia="zh-CN" w:bidi="ar"/>
                    </w:rPr>
                    <w:t>★微环境调控要求：具备无线数据监测、存储及设备控制的物联网系统（提供相关证明材料）</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567" w:hRule="atLeast"/>
              </w:trPr>
              <w:tc>
                <w:tcPr>
                  <w:tcW w:w="5410" w:type="dxa"/>
                  <w:gridSpan w:val="2"/>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安装方式：主机体积小，适用展柜底部安装</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567" w:hRule="atLeast"/>
              </w:trPr>
              <w:tc>
                <w:tcPr>
                  <w:tcW w:w="5410" w:type="dxa"/>
                  <w:gridSpan w:val="2"/>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shd w:val="clear" w:fill="FFFFFF" w:themeFill="background1"/>
                      <w:lang w:val="en-US" w:eastAsia="zh-CN"/>
                    </w:rPr>
                    <w:t>噪音：≤</w:t>
                  </w:r>
                  <w:r>
                    <w:rPr>
                      <w:rFonts w:hint="eastAsia" w:ascii="宋体" w:hAnsi="宋体" w:eastAsia="宋体" w:cs="宋体"/>
                      <w:color w:val="auto"/>
                      <w:sz w:val="21"/>
                      <w:szCs w:val="21"/>
                      <w:shd w:val="clear" w:fill="FFFFFF" w:themeFill="background1"/>
                    </w:rPr>
                    <w:t>45dB</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567" w:hRule="atLeast"/>
              </w:trPr>
              <w:tc>
                <w:tcPr>
                  <w:tcW w:w="5410" w:type="dxa"/>
                  <w:gridSpan w:val="2"/>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shd w:val="clear" w:fill="FFFFFF" w:themeFill="background1"/>
                      <w:lang w:val="en-US" w:eastAsia="zh-CN"/>
                    </w:rPr>
                  </w:pPr>
                  <w:r>
                    <w:rPr>
                      <w:rFonts w:hint="eastAsia" w:ascii="宋体" w:hAnsi="宋体" w:eastAsia="宋体" w:cs="宋体"/>
                      <w:color w:val="auto"/>
                      <w:sz w:val="21"/>
                      <w:szCs w:val="21"/>
                      <w:lang w:val="en-US" w:eastAsia="zh-CN"/>
                    </w:rPr>
                    <w:t>尺寸：600（±2）*270（±2）*150（±2）mm</w:t>
                  </w:r>
                </w:p>
              </w:tc>
            </w:tr>
          </w:tbl>
          <w:p>
            <w:pPr>
              <w:keepNext w:val="0"/>
              <w:keepLines w:val="0"/>
              <w:numPr>
                <w:ilvl w:val="0"/>
                <w:numId w:val="0"/>
              </w:numPr>
              <w:suppressLineNumbers w:val="0"/>
              <w:spacing w:before="0" w:beforeAutospacing="0" w:after="0" w:afterAutospacing="0" w:line="360" w:lineRule="auto"/>
              <w:ind w:left="0" w:leftChars="0" w:right="0"/>
              <w:jc w:val="both"/>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Cs/>
                <w:color w:val="auto"/>
                <w:kern w:val="2"/>
                <w:sz w:val="21"/>
                <w:szCs w:val="21"/>
                <w:lang w:val="en-US" w:eastAsia="zh-CN" w:bidi="ar"/>
              </w:rPr>
              <w:t>★</w:t>
            </w:r>
            <w:r>
              <w:rPr>
                <w:rFonts w:hint="eastAsia" w:ascii="宋体" w:hAnsi="宋体" w:eastAsia="宋体" w:cs="宋体"/>
                <w:color w:val="auto"/>
                <w:kern w:val="2"/>
                <w:sz w:val="21"/>
                <w:szCs w:val="21"/>
                <w:highlight w:val="none"/>
                <w:rtl w:val="0"/>
                <w:lang w:val="en-US" w:eastAsia="zh-CN" w:bidi="ar-SA"/>
              </w:rPr>
              <w:t>提供</w:t>
            </w:r>
            <w:r>
              <w:rPr>
                <w:rFonts w:hint="eastAsia" w:ascii="宋体" w:hAnsi="宋体" w:eastAsia="宋体" w:cs="宋体"/>
                <w:color w:val="auto"/>
                <w:sz w:val="21"/>
                <w:szCs w:val="21"/>
                <w:lang w:val="en-US" w:eastAsia="zh-CN"/>
              </w:rPr>
              <w:t>循环式智能电子恒湿机在试验温度25</w:t>
            </w:r>
            <w:r>
              <w:rPr>
                <w:rFonts w:hint="eastAsia" w:ascii="宋体" w:hAnsi="宋体" w:eastAsia="宋体" w:cs="宋体"/>
                <w:color w:val="auto"/>
                <w:sz w:val="21"/>
                <w:szCs w:val="21"/>
                <w:shd w:val="clear" w:fill="FFFFFF" w:themeFill="background1"/>
              </w:rPr>
              <w:t>℃</w:t>
            </w:r>
            <w:r>
              <w:rPr>
                <w:rFonts w:hint="eastAsia" w:ascii="宋体" w:hAnsi="宋体" w:eastAsia="宋体" w:cs="宋体"/>
                <w:color w:val="auto"/>
                <w:sz w:val="21"/>
                <w:szCs w:val="21"/>
              </w:rPr>
              <w:t>±2</w:t>
            </w:r>
            <w:r>
              <w:rPr>
                <w:rFonts w:hint="eastAsia" w:ascii="宋体" w:hAnsi="宋体" w:eastAsia="宋体" w:cs="宋体"/>
                <w:color w:val="auto"/>
                <w:sz w:val="21"/>
                <w:szCs w:val="21"/>
                <w:shd w:val="clear" w:fill="FFFFFF" w:themeFill="background1"/>
              </w:rPr>
              <w:t>℃</w:t>
            </w:r>
            <w:r>
              <w:rPr>
                <w:rFonts w:hint="eastAsia" w:ascii="宋体" w:hAnsi="宋体" w:eastAsia="宋体" w:cs="宋体"/>
                <w:color w:val="auto"/>
                <w:sz w:val="21"/>
                <w:szCs w:val="21"/>
                <w:shd w:val="clear" w:fill="FFFFFF" w:themeFill="background1"/>
                <w:lang w:eastAsia="zh-CN"/>
              </w:rPr>
              <w:t>、</w:t>
            </w:r>
            <w:r>
              <w:rPr>
                <w:rFonts w:hint="eastAsia" w:ascii="宋体" w:hAnsi="宋体" w:eastAsia="宋体" w:cs="宋体"/>
                <w:color w:val="auto"/>
                <w:sz w:val="21"/>
                <w:szCs w:val="21"/>
                <w:shd w:val="clear" w:fill="FFFFFF" w:themeFill="background1"/>
                <w:lang w:val="en-US" w:eastAsia="zh-CN"/>
              </w:rPr>
              <w:t>相对湿度50%RH</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shd w:val="clear" w:fill="FFFFFF" w:themeFill="background1"/>
                <w:lang w:val="en-US" w:eastAsia="zh-CN"/>
              </w:rPr>
              <w:t>%RH的条件下加湿除湿性能及连续运行1小时湿度波动值</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shd w:val="clear" w:fill="FFFFFF" w:themeFill="background1"/>
                <w:lang w:val="en-US" w:eastAsia="zh-CN"/>
              </w:rPr>
              <w:t>%RH的检测报告。</w:t>
            </w:r>
          </w:p>
          <w:p>
            <w:pPr>
              <w:keepNext w:val="0"/>
              <w:keepLines w:val="0"/>
              <w:numPr>
                <w:ilvl w:val="0"/>
                <w:numId w:val="0"/>
              </w:numPr>
              <w:suppressLineNumbers w:val="0"/>
              <w:spacing w:before="0" w:beforeAutospacing="0" w:after="0" w:afterAutospacing="0" w:line="360" w:lineRule="auto"/>
              <w:ind w:left="0" w:leftChars="0" w:right="0"/>
              <w:jc w:val="both"/>
              <w:rPr>
                <w:rFonts w:hint="eastAsia" w:ascii="宋体" w:hAnsi="宋体" w:eastAsia="宋体" w:cs="宋体"/>
                <w:color w:val="auto"/>
                <w:sz w:val="21"/>
                <w:szCs w:val="21"/>
                <w:lang w:val="en-US" w:eastAsia="zh-CN"/>
              </w:rPr>
            </w:pPr>
            <w:r>
              <w:rPr>
                <w:rFonts w:hint="eastAsia" w:ascii="宋体" w:hAnsi="宋体" w:eastAsia="宋体" w:cs="宋体"/>
                <w:bCs/>
                <w:color w:val="auto"/>
                <w:kern w:val="2"/>
                <w:sz w:val="21"/>
                <w:szCs w:val="21"/>
                <w:lang w:val="en-US" w:eastAsia="zh-CN" w:bidi="ar"/>
              </w:rPr>
              <w:t>★</w:t>
            </w:r>
            <w:r>
              <w:rPr>
                <w:rFonts w:hint="eastAsia" w:ascii="宋体" w:hAnsi="宋体" w:eastAsia="宋体" w:cs="宋体"/>
                <w:color w:val="auto"/>
                <w:kern w:val="2"/>
                <w:sz w:val="21"/>
                <w:szCs w:val="21"/>
                <w:highlight w:val="none"/>
                <w:rtl w:val="0"/>
                <w:lang w:val="en-US" w:eastAsia="zh-CN" w:bidi="ar-SA"/>
              </w:rPr>
              <w:t>提供</w:t>
            </w:r>
            <w:r>
              <w:rPr>
                <w:rFonts w:hint="eastAsia" w:ascii="宋体" w:hAnsi="宋体" w:eastAsia="宋体" w:cs="宋体"/>
                <w:color w:val="auto"/>
                <w:sz w:val="21"/>
                <w:szCs w:val="21"/>
                <w:lang w:val="en-US" w:eastAsia="zh-CN"/>
              </w:rPr>
              <w:t>循环式智能电子恒湿机在工作温度下的泄露电流和电器强度、低温试验、高温试验、恒定湿热试验的合格检测报告；</w:t>
            </w:r>
          </w:p>
        </w:tc>
      </w:tr>
    </w:tbl>
    <w:p>
      <w:pPr>
        <w:pStyle w:val="2"/>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3.3、</w:t>
      </w:r>
      <w:r>
        <w:rPr>
          <w:rFonts w:hint="eastAsia" w:ascii="宋体" w:hAnsi="宋体" w:eastAsia="宋体" w:cs="宋体"/>
          <w:b w:val="0"/>
          <w:bCs w:val="0"/>
          <w:color w:val="auto"/>
          <w:sz w:val="21"/>
          <w:szCs w:val="21"/>
        </w:rPr>
        <w:t>展厅移动板墙设备项</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2"/>
        <w:gridCol w:w="6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pct"/>
            <w:vAlign w:val="center"/>
          </w:tcPr>
          <w:p>
            <w:pPr>
              <w:keepNext w:val="0"/>
              <w:keepLines w:val="0"/>
              <w:suppressLineNumbers w:val="0"/>
              <w:spacing w:before="0" w:beforeAutospacing="0" w:after="0" w:afterAutospacing="0"/>
              <w:ind w:left="0" w:right="0" w:firstLine="1050" w:firstLineChars="5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移动板墙</w:t>
            </w:r>
          </w:p>
        </w:tc>
        <w:tc>
          <w:tcPr>
            <w:tcW w:w="3306" w:type="pct"/>
          </w:tcPr>
          <w:p>
            <w:pPr>
              <w:pStyle w:val="2"/>
              <w:keepNext w:val="0"/>
              <w:keepLines w:val="0"/>
              <w:suppressLineNumbers w:val="0"/>
              <w:spacing w:before="0" w:beforeAutospacing="0" w:line="240" w:lineRule="auto"/>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板墙类型：65型双轨</w:t>
            </w:r>
          </w:p>
          <w:p>
            <w:pPr>
              <w:pStyle w:val="2"/>
              <w:keepNext w:val="0"/>
              <w:keepLines w:val="0"/>
              <w:suppressLineNumbers w:val="0"/>
              <w:spacing w:before="0" w:before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lang w:val="en-US" w:eastAsia="zh-CN" w:bidi="ar-SA"/>
              </w:rPr>
              <w:t>厚度：</w:t>
            </w:r>
            <w:r>
              <w:rPr>
                <w:rFonts w:hint="eastAsia" w:ascii="宋体" w:hAnsi="宋体" w:eastAsia="宋体" w:cs="宋体"/>
                <w:color w:val="auto"/>
                <w:sz w:val="21"/>
                <w:szCs w:val="21"/>
              </w:rPr>
              <w:t>≤</w:t>
            </w:r>
            <w:r>
              <w:rPr>
                <w:rFonts w:hint="eastAsia" w:ascii="宋体" w:hAnsi="宋体" w:eastAsia="宋体" w:cs="宋体"/>
                <w:color w:val="auto"/>
                <w:kern w:val="2"/>
                <w:sz w:val="21"/>
                <w:szCs w:val="21"/>
                <w:lang w:val="en-US" w:eastAsia="zh-CN" w:bidi="ar-SA"/>
              </w:rPr>
              <w:t>65mm，</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墙板骨架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由铝合金及钢管组成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内部添加隔音棉墙体表层</w:t>
            </w:r>
            <w:r>
              <w:rPr>
                <w:rFonts w:hint="eastAsia" w:ascii="宋体" w:hAnsi="宋体" w:eastAsia="宋体" w:cs="宋体"/>
                <w:color w:val="auto"/>
                <w:sz w:val="21"/>
                <w:szCs w:val="21"/>
                <w:lang w:val="en-US" w:eastAsia="zh-CN"/>
              </w:rPr>
              <w:t>采用</w:t>
            </w:r>
            <w:r>
              <w:rPr>
                <w:rFonts w:hint="eastAsia" w:ascii="宋体" w:hAnsi="宋体" w:eastAsia="宋体" w:cs="宋体"/>
                <w:color w:val="auto"/>
                <w:sz w:val="21"/>
                <w:szCs w:val="21"/>
              </w:rPr>
              <w:t>具有防火功能</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刨花板、中纤板、玻镁板</w:t>
            </w:r>
          </w:p>
          <w:p>
            <w:pPr>
              <w:pStyle w:val="2"/>
              <w:keepNext w:val="0"/>
              <w:keepLines w:val="0"/>
              <w:suppressLineNumbers w:val="0"/>
              <w:spacing w:before="0" w:beforeAutospacing="0" w:line="240" w:lineRule="auto"/>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隔音系数：RW≥36dB</w:t>
            </w:r>
          </w:p>
          <w:p>
            <w:pPr>
              <w:pStyle w:val="2"/>
              <w:keepNext w:val="0"/>
              <w:keepLines w:val="0"/>
              <w:suppressLineNumbers w:val="0"/>
              <w:spacing w:before="0" w:beforeAutospacing="0" w:line="240" w:lineRule="auto"/>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密度：≥32kg/m</w:t>
            </w:r>
          </w:p>
          <w:p>
            <w:pPr>
              <w:pStyle w:val="2"/>
              <w:keepNext w:val="0"/>
              <w:keepLines w:val="0"/>
              <w:suppressLineNumbers w:val="0"/>
              <w:spacing w:before="0" w:beforeAutospacing="0" w:line="240" w:lineRule="auto"/>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上下伸缩范围：45mm</w:t>
            </w:r>
          </w:p>
          <w:p>
            <w:pPr>
              <w:pStyle w:val="2"/>
              <w:keepNext w:val="0"/>
              <w:keepLines w:val="0"/>
              <w:suppressLineNumbers w:val="0"/>
              <w:spacing w:before="0" w:beforeAutospacing="0" w:line="240" w:lineRule="auto"/>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门中门固定方式：强力压簧固定</w:t>
            </w:r>
          </w:p>
          <w:p>
            <w:pPr>
              <w:pStyle w:val="2"/>
              <w:keepNext w:val="0"/>
              <w:keepLines w:val="0"/>
              <w:suppressLineNumbers w:val="0"/>
              <w:spacing w:before="0" w:beforeAutospacing="0" w:line="240" w:lineRule="auto"/>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板墙于板墙之间拼接方式：使用铝合金凹凸式卡槽做接缝处理，缝隙</w:t>
            </w:r>
            <w:r>
              <w:rPr>
                <w:rFonts w:hint="eastAsia" w:ascii="宋体" w:hAnsi="宋体" w:eastAsia="宋体" w:cs="宋体"/>
                <w:color w:val="auto"/>
                <w:sz w:val="21"/>
                <w:szCs w:val="21"/>
                <w:shd w:val="clear" w:fill="FFFFFF" w:themeFill="background1"/>
                <w:lang w:val="en-US" w:eastAsia="zh-CN"/>
              </w:rPr>
              <w:t>≤3</w:t>
            </w:r>
            <w:r>
              <w:rPr>
                <w:rFonts w:hint="eastAsia" w:ascii="宋体" w:hAnsi="宋体" w:eastAsia="宋体" w:cs="宋体"/>
                <w:color w:val="auto"/>
                <w:kern w:val="2"/>
                <w:sz w:val="21"/>
                <w:szCs w:val="21"/>
                <w:lang w:val="en-US" w:eastAsia="zh-CN" w:bidi="ar-SA"/>
              </w:rPr>
              <w:t>mm。</w:t>
            </w:r>
          </w:p>
          <w:p>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其他要求：预留挂画槽、板墙正反两面再外敷厚度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9mm</w:t>
            </w:r>
            <w:r>
              <w:rPr>
                <w:rFonts w:hint="eastAsia" w:ascii="宋体" w:hAnsi="宋体" w:eastAsia="宋体" w:cs="宋体"/>
                <w:color w:val="auto"/>
                <w:sz w:val="21"/>
                <w:szCs w:val="21"/>
              </w:rPr>
              <w:t>具有防火功能</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刨花板、中纤板、玻镁板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轨道</w:t>
            </w:r>
          </w:p>
        </w:tc>
        <w:tc>
          <w:tcPr>
            <w:tcW w:w="3306" w:type="pct"/>
          </w:tcPr>
          <w:p>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#46或#160的路轨。路轨均为银白色面板氧化铝6063规格，其硬度为T6度标准，轨道上装有定位针，可用于正确定位和隔音控制。滑动顺畅、轻巧耐用、安全静音。</w:t>
            </w:r>
          </w:p>
          <w:p>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轨道荷载：250kg/m</w:t>
            </w:r>
          </w:p>
        </w:tc>
      </w:tr>
    </w:tbl>
    <w:p>
      <w:pPr>
        <w:ind w:firstLine="420"/>
        <w:rPr>
          <w:rFonts w:hint="eastAsia" w:ascii="宋体" w:hAnsi="宋体" w:eastAsia="宋体" w:cs="宋体"/>
          <w:color w:val="auto"/>
          <w:sz w:val="21"/>
          <w:szCs w:val="21"/>
        </w:rPr>
      </w:pPr>
    </w:p>
    <w:p>
      <w:pPr>
        <w:ind w:firstLine="420"/>
        <w:rPr>
          <w:rFonts w:asciiTheme="minorEastAsia" w:hAnsiTheme="minorEastAsia" w:eastAsiaTheme="minorEastAsia"/>
          <w:color w:val="auto"/>
        </w:rPr>
      </w:pPr>
      <w:r>
        <w:rPr>
          <w:rFonts w:hint="eastAsia" w:asciiTheme="minorEastAsia" w:hAnsiTheme="minorEastAsia" w:eastAsiaTheme="minorEastAsia"/>
          <w:color w:val="auto"/>
        </w:rPr>
        <w:br w:type="page"/>
      </w:r>
    </w:p>
    <w:p>
      <w:pPr>
        <w:pStyle w:val="5"/>
        <w:ind w:firstLine="0" w:firstLineChars="0"/>
        <w:rPr>
          <w:rFonts w:asciiTheme="minorEastAsia" w:hAnsiTheme="minorEastAsia" w:eastAsiaTheme="minorEastAsia"/>
          <w:color w:val="auto"/>
          <w:sz w:val="32"/>
          <w:szCs w:val="32"/>
        </w:rPr>
      </w:pPr>
      <w:bookmarkStart w:id="137" w:name="_Toc50450162"/>
      <w:r>
        <w:rPr>
          <w:rFonts w:hint="eastAsia" w:asciiTheme="minorEastAsia" w:hAnsiTheme="minorEastAsia" w:eastAsiaTheme="minorEastAsia"/>
          <w:color w:val="auto"/>
          <w:szCs w:val="24"/>
        </w:rPr>
        <w:t>第四章采购项目商务要求</w:t>
      </w:r>
      <w:bookmarkEnd w:id="136"/>
      <w:bookmarkEnd w:id="137"/>
    </w:p>
    <w:p>
      <w:pPr>
        <w:ind w:firstLine="420"/>
        <w:rPr>
          <w:rFonts w:asciiTheme="minorEastAsia" w:hAnsiTheme="minorEastAsia" w:eastAsiaTheme="minorEastAsia"/>
          <w:color w:val="auto"/>
        </w:rPr>
      </w:pPr>
    </w:p>
    <w:p>
      <w:pPr>
        <w:pStyle w:val="6"/>
        <w:rPr>
          <w:color w:val="auto"/>
        </w:rPr>
      </w:pPr>
      <w:bookmarkStart w:id="138" w:name="_Toc20198"/>
      <w:r>
        <w:rPr>
          <w:color w:val="auto"/>
        </w:rPr>
        <w:t>1</w:t>
      </w:r>
      <w:r>
        <w:rPr>
          <w:rFonts w:hint="eastAsia" w:ascii="宋体" w:hAnsi="宋体"/>
          <w:color w:val="auto"/>
        </w:rPr>
        <w:t>供货期</w:t>
      </w:r>
    </w:p>
    <w:p>
      <w:pPr>
        <w:ind w:firstLine="420"/>
        <w:rPr>
          <w:color w:val="auto"/>
        </w:rPr>
      </w:pPr>
      <w:r>
        <w:rPr>
          <w:rFonts w:hint="eastAsia" w:ascii="宋体" w:hAnsi="宋体"/>
          <w:color w:val="auto"/>
        </w:rPr>
        <w:t>合同签订之日起按要求</w:t>
      </w:r>
      <w:r>
        <w:rPr>
          <w:rFonts w:hint="eastAsia" w:ascii="宋体" w:hAnsi="宋体"/>
          <w:color w:val="auto"/>
          <w:lang w:val="en-US" w:eastAsia="zh-CN"/>
        </w:rPr>
        <w:t>90</w:t>
      </w:r>
      <w:r>
        <w:rPr>
          <w:rFonts w:hint="eastAsia" w:ascii="宋体" w:hAnsi="宋体"/>
          <w:color w:val="auto"/>
        </w:rPr>
        <w:t>个工作日内交货。</w:t>
      </w:r>
    </w:p>
    <w:p>
      <w:pPr>
        <w:pStyle w:val="6"/>
        <w:rPr>
          <w:color w:val="auto"/>
        </w:rPr>
      </w:pPr>
      <w:r>
        <w:rPr>
          <w:color w:val="auto"/>
        </w:rPr>
        <w:t>2</w:t>
      </w:r>
      <w:r>
        <w:rPr>
          <w:rFonts w:hint="eastAsia" w:ascii="宋体" w:hAnsi="宋体"/>
          <w:color w:val="auto"/>
        </w:rPr>
        <w:t>质保期</w:t>
      </w:r>
    </w:p>
    <w:p>
      <w:pPr>
        <w:ind w:firstLine="420"/>
        <w:rPr>
          <w:color w:val="auto"/>
        </w:rPr>
      </w:pPr>
      <w:r>
        <w:rPr>
          <w:rFonts w:hint="eastAsia" w:ascii="宋体" w:hAnsi="宋体"/>
          <w:color w:val="auto"/>
        </w:rPr>
        <w:t>质保期</w:t>
      </w:r>
      <w:r>
        <w:rPr>
          <w:rFonts w:hint="eastAsia"/>
          <w:color w:val="auto"/>
        </w:rPr>
        <w:t>1</w:t>
      </w:r>
      <w:r>
        <w:rPr>
          <w:rFonts w:hint="eastAsia" w:ascii="宋体" w:hAnsi="宋体"/>
          <w:color w:val="auto"/>
        </w:rPr>
        <w:t>年，使用期间上门免费维保。</w:t>
      </w:r>
    </w:p>
    <w:p>
      <w:pPr>
        <w:pStyle w:val="6"/>
        <w:rPr>
          <w:color w:val="auto"/>
        </w:rPr>
      </w:pPr>
      <w:r>
        <w:rPr>
          <w:color w:val="auto"/>
        </w:rPr>
        <w:t>3</w:t>
      </w:r>
      <w:r>
        <w:rPr>
          <w:rFonts w:hint="eastAsia" w:ascii="宋体" w:hAnsi="宋体"/>
          <w:color w:val="auto"/>
        </w:rPr>
        <w:t>保存和运输要求</w:t>
      </w:r>
    </w:p>
    <w:p>
      <w:pPr>
        <w:ind w:firstLine="420"/>
        <w:rPr>
          <w:color w:val="auto"/>
        </w:rPr>
      </w:pPr>
      <w:r>
        <w:rPr>
          <w:rFonts w:hint="eastAsia" w:ascii="宋体" w:hAnsi="宋体"/>
          <w:color w:val="auto"/>
        </w:rPr>
        <w:t>送货至指定地点</w:t>
      </w:r>
    </w:p>
    <w:p>
      <w:pPr>
        <w:pStyle w:val="6"/>
        <w:rPr>
          <w:color w:val="auto"/>
        </w:rPr>
      </w:pPr>
      <w:r>
        <w:rPr>
          <w:color w:val="auto"/>
        </w:rPr>
        <w:t>4</w:t>
      </w:r>
      <w:r>
        <w:rPr>
          <w:rFonts w:hint="eastAsia" w:ascii="宋体" w:hAnsi="宋体"/>
          <w:color w:val="auto"/>
        </w:rPr>
        <w:t>验收标准</w:t>
      </w:r>
    </w:p>
    <w:p>
      <w:pPr>
        <w:ind w:firstLine="420"/>
        <w:rPr>
          <w:color w:val="auto"/>
        </w:rPr>
      </w:pPr>
      <w:r>
        <w:rPr>
          <w:rFonts w:hint="eastAsia" w:ascii="宋体" w:hAnsi="宋体"/>
          <w:color w:val="auto"/>
        </w:rPr>
        <w:t>中标人须按国家有关规定及标准完成本次招标货物的供货、运输、检验等。如中标，中标人及制造商对中标产品使用的质量、安全性能与检测结果的可靠性负全部责任。按中国美术学院标准验收和确认。</w:t>
      </w:r>
    </w:p>
    <w:p>
      <w:pPr>
        <w:pStyle w:val="6"/>
        <w:rPr>
          <w:color w:val="auto"/>
        </w:rPr>
      </w:pPr>
      <w:r>
        <w:rPr>
          <w:color w:val="auto"/>
        </w:rPr>
        <w:t>5</w:t>
      </w:r>
      <w:r>
        <w:rPr>
          <w:rFonts w:hint="eastAsia" w:ascii="宋体" w:hAnsi="宋体"/>
          <w:color w:val="auto"/>
        </w:rPr>
        <w:t>售后服务</w:t>
      </w:r>
      <w:r>
        <w:rPr>
          <w:color w:val="auto"/>
        </w:rPr>
        <w:t xml:space="preserve"> </w:t>
      </w:r>
    </w:p>
    <w:p>
      <w:pPr>
        <w:ind w:firstLine="420"/>
        <w:rPr>
          <w:color w:val="auto"/>
        </w:rPr>
      </w:pPr>
      <w:r>
        <w:rPr>
          <w:rFonts w:hint="eastAsia" w:ascii="宋体" w:hAnsi="宋体"/>
          <w:color w:val="auto"/>
        </w:rPr>
        <w:t>要求</w:t>
      </w:r>
      <w:r>
        <w:rPr>
          <w:color w:val="auto"/>
        </w:rPr>
        <w:t>24</w:t>
      </w:r>
      <w:r>
        <w:rPr>
          <w:rFonts w:hint="eastAsia" w:ascii="宋体" w:hAnsi="宋体"/>
          <w:color w:val="auto"/>
        </w:rPr>
        <w:t>小时内响应，每个季度提供上门咨询，听取使用意见。</w:t>
      </w:r>
    </w:p>
    <w:p>
      <w:pPr>
        <w:pStyle w:val="6"/>
        <w:rPr>
          <w:rFonts w:hint="eastAsia" w:ascii="宋体" w:hAnsi="宋体"/>
          <w:color w:val="auto"/>
        </w:rPr>
      </w:pPr>
      <w:r>
        <w:rPr>
          <w:color w:val="auto"/>
        </w:rPr>
        <w:t>6</w:t>
      </w:r>
      <w:r>
        <w:rPr>
          <w:rFonts w:hint="eastAsia" w:ascii="宋体" w:hAnsi="宋体"/>
          <w:color w:val="auto"/>
        </w:rPr>
        <w:t>履约保证金</w:t>
      </w:r>
    </w:p>
    <w:p>
      <w:pPr>
        <w:ind w:firstLine="420"/>
        <w:rPr>
          <w:rFonts w:ascii="宋体" w:hAnsi="宋体" w:cs="宋体"/>
          <w:color w:val="auto"/>
        </w:rPr>
      </w:pPr>
      <w:r>
        <w:rPr>
          <w:rFonts w:hint="eastAsia" w:ascii="宋体" w:hAnsi="宋体" w:cs="宋体"/>
          <w:color w:val="auto"/>
        </w:rPr>
        <w:t>详见供应商须知前附表</w:t>
      </w:r>
    </w:p>
    <w:p>
      <w:pPr>
        <w:pStyle w:val="6"/>
        <w:rPr>
          <w:color w:val="auto"/>
        </w:rPr>
      </w:pPr>
      <w:r>
        <w:rPr>
          <w:color w:val="auto"/>
        </w:rPr>
        <w:t>7</w:t>
      </w:r>
      <w:r>
        <w:rPr>
          <w:rFonts w:hint="eastAsia" w:ascii="宋体" w:hAnsi="宋体"/>
          <w:color w:val="auto"/>
        </w:rPr>
        <w:t>付款方式</w:t>
      </w:r>
    </w:p>
    <w:p>
      <w:pPr>
        <w:ind w:firstLine="420"/>
        <w:rPr>
          <w:color w:val="auto"/>
        </w:rPr>
      </w:pPr>
      <w:r>
        <w:rPr>
          <w:rFonts w:hint="eastAsia" w:ascii="宋体" w:hAnsi="宋体"/>
          <w:color w:val="auto"/>
        </w:rPr>
        <w:t>在合同签收5个工作日内支付合同总金额</w:t>
      </w:r>
      <w:r>
        <w:rPr>
          <w:rFonts w:hint="eastAsia" w:ascii="宋体" w:hAnsi="宋体"/>
          <w:color w:val="auto"/>
          <w:lang w:val="en-US" w:eastAsia="zh-CN"/>
        </w:rPr>
        <w:t>5</w:t>
      </w:r>
      <w:r>
        <w:rPr>
          <w:color w:val="auto"/>
        </w:rPr>
        <w:t>0%</w:t>
      </w:r>
      <w:r>
        <w:rPr>
          <w:rFonts w:hint="eastAsia"/>
          <w:color w:val="auto"/>
        </w:rPr>
        <w:t>，</w:t>
      </w:r>
      <w:r>
        <w:rPr>
          <w:rFonts w:hint="eastAsia" w:ascii="宋体" w:hAnsi="宋体"/>
          <w:color w:val="auto"/>
        </w:rPr>
        <w:t>货物最终验收后，甲方支付合同总价款</w:t>
      </w:r>
      <w:r>
        <w:rPr>
          <w:rFonts w:hint="eastAsia" w:ascii="宋体" w:hAnsi="宋体"/>
          <w:color w:val="auto"/>
          <w:lang w:val="en-US" w:eastAsia="zh-CN"/>
        </w:rPr>
        <w:t>50</w:t>
      </w:r>
      <w:r>
        <w:rPr>
          <w:color w:val="auto"/>
        </w:rPr>
        <w:t>%</w:t>
      </w:r>
      <w:r>
        <w:rPr>
          <w:rFonts w:hint="eastAsia"/>
          <w:color w:val="auto"/>
        </w:rPr>
        <w:t>。</w:t>
      </w:r>
    </w:p>
    <w:p>
      <w:pPr>
        <w:pStyle w:val="6"/>
        <w:rPr>
          <w:color w:val="auto"/>
        </w:rPr>
      </w:pPr>
      <w:r>
        <w:rPr>
          <w:color w:val="auto"/>
        </w:rPr>
        <w:t>8</w:t>
      </w:r>
      <w:r>
        <w:rPr>
          <w:rFonts w:hint="eastAsia" w:ascii="宋体" w:hAnsi="宋体"/>
          <w:color w:val="auto"/>
        </w:rPr>
        <w:t>合同履行</w:t>
      </w:r>
    </w:p>
    <w:p>
      <w:pPr>
        <w:ind w:firstLine="420"/>
        <w:rPr>
          <w:color w:val="auto"/>
        </w:rPr>
      </w:pPr>
      <w:r>
        <w:rPr>
          <w:rFonts w:hint="eastAsia" w:ascii="宋体" w:hAnsi="宋体" w:cs="宋体"/>
          <w:color w:val="auto"/>
        </w:rPr>
        <w:t>按相关规定进行合同履约</w:t>
      </w:r>
      <w:r>
        <w:rPr>
          <w:rFonts w:hint="eastAsia" w:ascii="宋体" w:hAnsi="宋体"/>
          <w:color w:val="auto"/>
        </w:rPr>
        <w:t>。</w:t>
      </w:r>
    </w:p>
    <w:p>
      <w:pPr>
        <w:ind w:firstLine="420"/>
        <w:rPr>
          <w:rFonts w:ascii="宋体" w:hAnsi="宋体" w:cs="宋体"/>
          <w:color w:val="auto"/>
          <w:szCs w:val="21"/>
        </w:rPr>
      </w:pPr>
    </w:p>
    <w:p>
      <w:pPr>
        <w:ind w:firstLine="420"/>
        <w:rPr>
          <w:color w:val="auto"/>
        </w:rPr>
      </w:pPr>
    </w:p>
    <w:p>
      <w:pPr>
        <w:ind w:firstLine="420"/>
        <w:rPr>
          <w:b/>
          <w:bCs/>
          <w:color w:val="auto"/>
        </w:rPr>
      </w:pPr>
      <w:r>
        <w:rPr>
          <w:rFonts w:eastAsiaTheme="minorEastAsia"/>
          <w:color w:val="auto"/>
        </w:rPr>
        <w:br w:type="page"/>
      </w:r>
    </w:p>
    <w:bookmarkEnd w:id="138"/>
    <w:p>
      <w:pPr>
        <w:pStyle w:val="5"/>
        <w:ind w:firstLine="482"/>
        <w:rPr>
          <w:color w:val="auto"/>
        </w:rPr>
      </w:pPr>
      <w:bookmarkStart w:id="139" w:name="_Toc50450164"/>
      <w:r>
        <w:rPr>
          <w:rFonts w:hint="eastAsia"/>
          <w:color w:val="auto"/>
        </w:rPr>
        <w:t>第五章合同格式</w:t>
      </w:r>
      <w:bookmarkEnd w:id="139"/>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pStyle w:val="6"/>
        <w:jc w:val="center"/>
        <w:rPr>
          <w:color w:val="auto"/>
        </w:rPr>
      </w:pPr>
      <w:bookmarkStart w:id="140" w:name="_Toc29909100"/>
      <w:bookmarkStart w:id="141" w:name="_Toc6906007"/>
      <w:bookmarkStart w:id="142" w:name="_Toc16683793"/>
      <w:bookmarkStart w:id="143" w:name="_Toc16691617"/>
      <w:bookmarkStart w:id="144" w:name="_Toc50450165"/>
      <w:r>
        <w:rPr>
          <w:rFonts w:hint="eastAsia"/>
          <w:color w:val="auto"/>
        </w:rPr>
        <w:t>浙江省政府采购合同指引（货物）</w:t>
      </w:r>
      <w:bookmarkEnd w:id="140"/>
      <w:bookmarkEnd w:id="141"/>
      <w:bookmarkEnd w:id="142"/>
      <w:bookmarkEnd w:id="143"/>
      <w:bookmarkEnd w:id="144"/>
    </w:p>
    <w:p>
      <w:pPr>
        <w:ind w:firstLine="420"/>
        <w:rPr>
          <w:color w:val="auto"/>
        </w:rPr>
      </w:pPr>
      <w:r>
        <w:rPr>
          <w:rFonts w:hint="eastAsia"/>
          <w:color w:val="auto"/>
        </w:rPr>
        <w:t>项目名称</w:t>
      </w:r>
      <w:r>
        <w:rPr>
          <w:rFonts w:hint="eastAsia" w:ascii="MingLiU_HKSCS" w:hAnsi="MingLiU_HKSCS" w:eastAsia="MingLiU_HKSCS" w:cs="MingLiU_HKSCS"/>
          <w:color w:val="auto"/>
        </w:rPr>
        <w:t></w:t>
      </w:r>
      <w:r>
        <w:rPr>
          <w:rFonts w:hint="eastAsia"/>
          <w:color w:val="auto"/>
        </w:rPr>
        <w:t xml:space="preserve">                               项目编号</w:t>
      </w:r>
      <w:r>
        <w:rPr>
          <w:rFonts w:hint="eastAsia" w:ascii="MingLiU_HKSCS" w:hAnsi="MingLiU_HKSCS" w:eastAsia="MingLiU_HKSCS" w:cs="MingLiU_HKSCS"/>
          <w:color w:val="auto"/>
        </w:rPr>
        <w:t></w:t>
      </w:r>
    </w:p>
    <w:p>
      <w:pPr>
        <w:ind w:firstLine="420"/>
        <w:rPr>
          <w:color w:val="auto"/>
        </w:rPr>
      </w:pPr>
      <w:r>
        <w:rPr>
          <w:rFonts w:hint="eastAsia"/>
          <w:color w:val="auto"/>
        </w:rPr>
        <w:t>甲方（买方）</w:t>
      </w:r>
      <w:r>
        <w:rPr>
          <w:color w:val="auto"/>
        </w:rPr>
        <w:t>：</w:t>
      </w:r>
      <w:r>
        <w:rPr>
          <w:rFonts w:hint="eastAsia" w:ascii="MingLiU_HKSCS" w:hAnsi="MingLiU_HKSCS" w:eastAsia="MingLiU_HKSCS" w:cs="MingLiU_HKSCS"/>
          <w:color w:val="auto"/>
        </w:rPr>
        <w:t></w:t>
      </w:r>
    </w:p>
    <w:p>
      <w:pPr>
        <w:ind w:firstLine="420"/>
        <w:rPr>
          <w:color w:val="auto"/>
        </w:rPr>
      </w:pPr>
      <w:r>
        <w:rPr>
          <w:rFonts w:hint="eastAsia"/>
          <w:color w:val="auto"/>
        </w:rPr>
        <w:t>乙方（卖方）</w:t>
      </w:r>
      <w:r>
        <w:rPr>
          <w:color w:val="auto"/>
        </w:rPr>
        <w:t>：</w:t>
      </w:r>
    </w:p>
    <w:p>
      <w:pPr>
        <w:ind w:firstLine="514" w:firstLineChars="245"/>
        <w:rPr>
          <w:color w:val="auto"/>
        </w:rPr>
      </w:pPr>
      <w:r>
        <w:rPr>
          <w:color w:val="auto"/>
        </w:rPr>
        <w:t>甲、乙双方根据 的结果，签署本合同。</w:t>
      </w:r>
    </w:p>
    <w:p>
      <w:pPr>
        <w:pStyle w:val="7"/>
        <w:rPr>
          <w:color w:val="auto"/>
        </w:rPr>
      </w:pPr>
      <w:r>
        <w:rPr>
          <w:rFonts w:hint="eastAsia"/>
          <w:color w:val="auto"/>
        </w:rPr>
        <w:t xml:space="preserve">一、货物内容 </w:t>
      </w:r>
    </w:p>
    <w:p>
      <w:pPr>
        <w:ind w:firstLine="420"/>
        <w:rPr>
          <w:color w:val="auto"/>
        </w:rPr>
      </w:pPr>
      <w:r>
        <w:rPr>
          <w:rFonts w:hint="eastAsia"/>
          <w:color w:val="auto"/>
        </w:rPr>
        <w:t xml:space="preserve">1.1 货物名称： </w:t>
      </w:r>
    </w:p>
    <w:p>
      <w:pPr>
        <w:ind w:firstLine="420"/>
        <w:rPr>
          <w:color w:val="auto"/>
        </w:rPr>
      </w:pPr>
      <w:r>
        <w:rPr>
          <w:rFonts w:hint="eastAsia"/>
          <w:color w:val="auto"/>
        </w:rPr>
        <w:t xml:space="preserve">1.2 型号规格： </w:t>
      </w:r>
    </w:p>
    <w:p>
      <w:pPr>
        <w:ind w:firstLine="420"/>
        <w:rPr>
          <w:color w:val="auto"/>
        </w:rPr>
      </w:pPr>
      <w:r>
        <w:rPr>
          <w:rFonts w:hint="eastAsia"/>
          <w:color w:val="auto"/>
        </w:rPr>
        <w:t xml:space="preserve">1.3 技术参数： </w:t>
      </w:r>
    </w:p>
    <w:p>
      <w:pPr>
        <w:ind w:firstLine="420"/>
        <w:rPr>
          <w:color w:val="auto"/>
        </w:rPr>
      </w:pPr>
      <w:r>
        <w:rPr>
          <w:rFonts w:hint="eastAsia"/>
          <w:color w:val="auto"/>
        </w:rPr>
        <w:t xml:space="preserve">1.4 数量、单位： </w:t>
      </w:r>
    </w:p>
    <w:p>
      <w:pPr>
        <w:pStyle w:val="7"/>
        <w:rPr>
          <w:color w:val="auto"/>
        </w:rPr>
      </w:pPr>
      <w:r>
        <w:rPr>
          <w:rFonts w:hint="eastAsia"/>
          <w:color w:val="auto"/>
        </w:rPr>
        <w:t xml:space="preserve">二、合同金额 </w:t>
      </w:r>
    </w:p>
    <w:p>
      <w:pPr>
        <w:ind w:firstLine="420"/>
        <w:rPr>
          <w:color w:val="auto"/>
        </w:rPr>
      </w:pPr>
      <w:r>
        <w:rPr>
          <w:rFonts w:hint="eastAsia"/>
          <w:color w:val="auto"/>
        </w:rPr>
        <w:t>2.1</w:t>
      </w:r>
      <w:r>
        <w:rPr>
          <w:color w:val="auto"/>
        </w:rPr>
        <w:t>本合同金额为（大写）：____________________________________元（￥_______________元）人民币。</w:t>
      </w:r>
    </w:p>
    <w:p>
      <w:pPr>
        <w:pStyle w:val="7"/>
        <w:rPr>
          <w:color w:val="auto"/>
        </w:rPr>
      </w:pPr>
      <w:r>
        <w:rPr>
          <w:rFonts w:hint="eastAsia"/>
          <w:color w:val="auto"/>
        </w:rPr>
        <w:t xml:space="preserve">三、技术资料 </w:t>
      </w:r>
    </w:p>
    <w:p>
      <w:pPr>
        <w:ind w:firstLine="420"/>
        <w:rPr>
          <w:color w:val="auto"/>
        </w:rPr>
      </w:pPr>
      <w:r>
        <w:rPr>
          <w:rFonts w:hint="eastAsia"/>
          <w:color w:val="auto"/>
        </w:rPr>
        <w:t xml:space="preserve">3.1乙方应按采购文件规定的时间向甲方提供使用货物的有关技术资料。 </w:t>
      </w:r>
    </w:p>
    <w:p>
      <w:pPr>
        <w:ind w:firstLine="420"/>
        <w:rPr>
          <w:color w:val="auto"/>
        </w:rPr>
      </w:pPr>
      <w:r>
        <w:rPr>
          <w:rFonts w:hint="eastAsia"/>
          <w:color w:val="auto"/>
        </w:rPr>
        <w:t>3.2 没有甲方事先书面同意</w:t>
      </w:r>
      <w:r>
        <w:rPr>
          <w:rFonts w:hint="eastAsia" w:ascii="MingLiU_HKSCS" w:hAnsi="MingLiU_HKSCS" w:eastAsia="MingLiU_HKSCS" w:cs="MingLiU_HKSCS"/>
          <w:color w:val="auto"/>
        </w:rPr>
        <w:t></w:t>
      </w:r>
      <w:r>
        <w:rPr>
          <w:rFonts w:hint="eastAsia" w:ascii="宋体" w:hAnsi="宋体" w:cs="宋体"/>
          <w:color w:val="auto"/>
        </w:rPr>
        <w:t>乙方不得将由甲方提供的有关合同或</w:t>
      </w:r>
      <w:r>
        <w:rPr>
          <w:rFonts w:hint="eastAsia"/>
          <w:color w:val="auto"/>
        </w:rPr>
        <w:t>任何合同条文、规格、计划、图纸、样品或资料提供给与履行本合同无关的任何其他人。即使向履行本合同有关的人员提供也应注意保密并限于履行合同的必需范围。</w:t>
      </w:r>
    </w:p>
    <w:p>
      <w:pPr>
        <w:pStyle w:val="7"/>
        <w:rPr>
          <w:color w:val="auto"/>
        </w:rPr>
      </w:pPr>
      <w:r>
        <w:rPr>
          <w:rFonts w:hint="eastAsia"/>
          <w:color w:val="auto"/>
        </w:rPr>
        <w:t>四、知识产权</w:t>
      </w:r>
    </w:p>
    <w:p>
      <w:pPr>
        <w:ind w:firstLine="420"/>
        <w:rPr>
          <w:color w:val="auto"/>
        </w:rPr>
      </w:pPr>
      <w:r>
        <w:rPr>
          <w:rFonts w:hint="eastAsia"/>
          <w:color w:val="auto"/>
        </w:rPr>
        <w:t>4.1 乙方应保证所提供的货物或其任何一部分均不会侵犯任何第三方的知识产权。</w:t>
      </w:r>
    </w:p>
    <w:p>
      <w:pPr>
        <w:pStyle w:val="7"/>
        <w:rPr>
          <w:color w:val="auto"/>
        </w:rPr>
      </w:pPr>
      <w:r>
        <w:rPr>
          <w:rFonts w:hint="eastAsia"/>
          <w:color w:val="auto"/>
        </w:rPr>
        <w:t xml:space="preserve">五、产权担保 </w:t>
      </w:r>
    </w:p>
    <w:p>
      <w:pPr>
        <w:ind w:firstLine="420"/>
        <w:rPr>
          <w:color w:val="auto"/>
        </w:rPr>
      </w:pPr>
      <w:r>
        <w:rPr>
          <w:rFonts w:hint="eastAsia"/>
          <w:color w:val="auto"/>
        </w:rPr>
        <w:t xml:space="preserve">5.1 乙方保证所交付的货物的所有权完全属于乙方且无任何抵押、查封等产权瑕疵。 </w:t>
      </w:r>
    </w:p>
    <w:p>
      <w:pPr>
        <w:keepNext/>
        <w:keepLines/>
        <w:ind w:firstLine="0" w:firstLineChars="0"/>
        <w:outlineLvl w:val="2"/>
        <w:rPr>
          <w:b/>
          <w:bCs/>
          <w:color w:val="auto"/>
          <w:szCs w:val="32"/>
        </w:rPr>
      </w:pPr>
      <w:r>
        <w:rPr>
          <w:rFonts w:hint="eastAsia"/>
          <w:b/>
          <w:bCs/>
          <w:color w:val="auto"/>
          <w:szCs w:val="32"/>
        </w:rPr>
        <w:t>六、履约保证金</w:t>
      </w:r>
    </w:p>
    <w:p>
      <w:pPr>
        <w:ind w:firstLine="420"/>
        <w:rPr>
          <w:color w:val="auto"/>
        </w:rPr>
      </w:pPr>
      <w:r>
        <w:rPr>
          <w:rFonts w:hint="eastAsia"/>
          <w:color w:val="auto"/>
        </w:rPr>
        <w:t>6.1乙方在合同签订之日起5个工作日内向甲方指定账户交纳合同总价5%的履约保证金。</w:t>
      </w:r>
    </w:p>
    <w:p>
      <w:pPr>
        <w:ind w:firstLine="420"/>
        <w:rPr>
          <w:color w:val="auto"/>
        </w:rPr>
      </w:pPr>
      <w:r>
        <w:rPr>
          <w:rFonts w:hint="eastAsia"/>
          <w:color w:val="auto"/>
        </w:rPr>
        <w:t>6.2 2.履约保证金在验收合格，采购人正常使用满一年，确认投标人无违约行为后30日内无息返还。（遇周末及国定假日顺延）。</w:t>
      </w:r>
    </w:p>
    <w:p>
      <w:pPr>
        <w:pStyle w:val="7"/>
        <w:rPr>
          <w:color w:val="auto"/>
        </w:rPr>
      </w:pPr>
      <w:r>
        <w:rPr>
          <w:rFonts w:hint="eastAsia"/>
          <w:color w:val="auto"/>
        </w:rPr>
        <w:t>七.、转包或</w:t>
      </w:r>
      <w:r>
        <w:rPr>
          <w:rStyle w:val="31"/>
          <w:rFonts w:hint="eastAsia"/>
          <w:b w:val="0"/>
          <w:bCs w:val="0"/>
          <w:color w:val="auto"/>
        </w:rPr>
        <w:t>分</w:t>
      </w:r>
      <w:r>
        <w:rPr>
          <w:rFonts w:hint="eastAsia"/>
          <w:color w:val="auto"/>
        </w:rPr>
        <w:t xml:space="preserve">包 </w:t>
      </w:r>
    </w:p>
    <w:p>
      <w:pPr>
        <w:ind w:firstLine="420"/>
        <w:rPr>
          <w:color w:val="auto"/>
        </w:rPr>
      </w:pPr>
      <w:r>
        <w:rPr>
          <w:rFonts w:hint="eastAsia"/>
          <w:color w:val="auto"/>
        </w:rPr>
        <w:t>7.1本合同范围的货物</w:t>
      </w:r>
      <w:r>
        <w:rPr>
          <w:rFonts w:hint="eastAsia" w:ascii="MingLiU_HKSCS" w:hAnsi="MingLiU_HKSCS" w:eastAsia="MingLiU_HKSCS" w:cs="MingLiU_HKSCS"/>
          <w:color w:val="auto"/>
        </w:rPr>
        <w:t></w:t>
      </w:r>
      <w:r>
        <w:rPr>
          <w:rFonts w:hint="eastAsia" w:ascii="宋体" w:hAnsi="宋体" w:cs="宋体"/>
          <w:color w:val="auto"/>
        </w:rPr>
        <w:t>应由供方直接供应</w:t>
      </w:r>
      <w:r>
        <w:rPr>
          <w:rFonts w:hint="eastAsia" w:ascii="MingLiU_HKSCS" w:hAnsi="MingLiU_HKSCS" w:eastAsia="MingLiU_HKSCS" w:cs="MingLiU_HKSCS"/>
          <w:color w:val="auto"/>
        </w:rPr>
        <w:t></w:t>
      </w:r>
      <w:r>
        <w:rPr>
          <w:rFonts w:hint="eastAsia" w:ascii="宋体" w:hAnsi="宋体" w:cs="宋体"/>
          <w:color w:val="auto"/>
        </w:rPr>
        <w:t>不得转让他人供应。</w:t>
      </w:r>
    </w:p>
    <w:p>
      <w:pPr>
        <w:ind w:firstLine="420"/>
        <w:rPr>
          <w:color w:val="auto"/>
        </w:rPr>
      </w:pPr>
      <w:r>
        <w:rPr>
          <w:rFonts w:hint="eastAsia"/>
          <w:color w:val="auto"/>
        </w:rPr>
        <w:t>7.2 除非得到需方的书面同意</w:t>
      </w:r>
      <w:r>
        <w:rPr>
          <w:rFonts w:hint="eastAsia" w:ascii="MingLiU_HKSCS" w:hAnsi="MingLiU_HKSCS" w:eastAsia="MingLiU_HKSCS" w:cs="MingLiU_HKSCS"/>
          <w:color w:val="auto"/>
        </w:rPr>
        <w:t></w:t>
      </w:r>
      <w:r>
        <w:rPr>
          <w:rFonts w:hint="eastAsia" w:ascii="宋体" w:hAnsi="宋体" w:cs="宋体"/>
          <w:color w:val="auto"/>
        </w:rPr>
        <w:t>供方不得部分分包给他人供应。</w:t>
      </w:r>
    </w:p>
    <w:p>
      <w:pPr>
        <w:ind w:firstLine="420"/>
        <w:rPr>
          <w:color w:val="auto"/>
        </w:rPr>
      </w:pPr>
      <w:r>
        <w:rPr>
          <w:rFonts w:hint="eastAsia"/>
          <w:color w:val="auto"/>
        </w:rPr>
        <w:t>7.3如有转让和未经需方同意的分包行为</w:t>
      </w:r>
      <w:r>
        <w:rPr>
          <w:rFonts w:hint="eastAsia" w:ascii="MingLiU_HKSCS" w:hAnsi="MingLiU_HKSCS" w:eastAsia="MingLiU_HKSCS" w:cs="MingLiU_HKSCS"/>
          <w:color w:val="auto"/>
        </w:rPr>
        <w:t></w:t>
      </w:r>
      <w:r>
        <w:rPr>
          <w:rFonts w:hint="eastAsia" w:ascii="宋体" w:hAnsi="宋体" w:cs="宋体"/>
          <w:color w:val="auto"/>
        </w:rPr>
        <w:t>需方有权给予终止合同。</w:t>
      </w:r>
    </w:p>
    <w:p>
      <w:pPr>
        <w:pStyle w:val="7"/>
        <w:rPr>
          <w:color w:val="auto"/>
        </w:rPr>
      </w:pPr>
      <w:r>
        <w:rPr>
          <w:rFonts w:hint="eastAsia"/>
          <w:color w:val="auto"/>
        </w:rPr>
        <w:t xml:space="preserve">八、质保期 </w:t>
      </w:r>
    </w:p>
    <w:p>
      <w:pPr>
        <w:ind w:firstLine="420"/>
        <w:rPr>
          <w:color w:val="auto"/>
        </w:rPr>
      </w:pPr>
      <w:r>
        <w:rPr>
          <w:rFonts w:hint="eastAsia"/>
          <w:color w:val="auto"/>
        </w:rPr>
        <w:t>8.1 质保期：    年。</w:t>
      </w:r>
      <w:r>
        <w:rPr>
          <w:rFonts w:hint="eastAsia" w:ascii="MingLiU_HKSCS" w:hAnsi="MingLiU_HKSCS" w:eastAsia="MingLiU_HKSCS" w:cs="MingLiU_HKSCS"/>
          <w:color w:val="auto"/>
        </w:rPr>
        <w:t></w:t>
      </w:r>
      <w:r>
        <w:rPr>
          <w:rFonts w:hint="eastAsia" w:ascii="宋体" w:hAnsi="宋体" w:cs="宋体"/>
          <w:color w:val="auto"/>
        </w:rPr>
        <w:t>自交货验收合格之日起计</w:t>
      </w:r>
    </w:p>
    <w:p>
      <w:pPr>
        <w:pStyle w:val="7"/>
        <w:rPr>
          <w:color w:val="auto"/>
        </w:rPr>
      </w:pPr>
      <w:r>
        <w:rPr>
          <w:rFonts w:hint="eastAsia"/>
          <w:color w:val="auto"/>
        </w:rPr>
        <w:t xml:space="preserve">九、交货期、交货方式及交货地点 </w:t>
      </w:r>
    </w:p>
    <w:p>
      <w:pPr>
        <w:ind w:firstLine="420"/>
        <w:rPr>
          <w:color w:val="auto"/>
        </w:rPr>
      </w:pPr>
      <w:r>
        <w:rPr>
          <w:rFonts w:hint="eastAsia"/>
          <w:color w:val="auto"/>
        </w:rPr>
        <w:t xml:space="preserve">9.1 交货期： </w:t>
      </w:r>
    </w:p>
    <w:p>
      <w:pPr>
        <w:ind w:firstLine="420"/>
        <w:rPr>
          <w:color w:val="auto"/>
        </w:rPr>
      </w:pPr>
      <w:r>
        <w:rPr>
          <w:rFonts w:hint="eastAsia"/>
          <w:color w:val="auto"/>
        </w:rPr>
        <w:t xml:space="preserve">9.2 交货方式： </w:t>
      </w:r>
    </w:p>
    <w:p>
      <w:pPr>
        <w:ind w:firstLine="420"/>
        <w:rPr>
          <w:color w:val="auto"/>
        </w:rPr>
      </w:pPr>
      <w:r>
        <w:rPr>
          <w:rFonts w:hint="eastAsia"/>
          <w:color w:val="auto"/>
        </w:rPr>
        <w:t>9.3 交货地点：</w:t>
      </w:r>
    </w:p>
    <w:p>
      <w:pPr>
        <w:pStyle w:val="7"/>
        <w:rPr>
          <w:color w:val="auto"/>
        </w:rPr>
      </w:pPr>
      <w:r>
        <w:rPr>
          <w:rFonts w:hint="eastAsia"/>
          <w:color w:val="auto"/>
        </w:rPr>
        <w:t xml:space="preserve">十、货款支付 </w:t>
      </w:r>
    </w:p>
    <w:p>
      <w:pPr>
        <w:ind w:firstLine="420"/>
        <w:rPr>
          <w:color w:val="auto"/>
        </w:rPr>
      </w:pPr>
      <w:r>
        <w:rPr>
          <w:rFonts w:hint="eastAsia"/>
          <w:color w:val="auto"/>
        </w:rPr>
        <w:t>10.1 付款方式：</w:t>
      </w:r>
    </w:p>
    <w:p>
      <w:pPr>
        <w:ind w:firstLine="420"/>
        <w:rPr>
          <w:color w:val="auto"/>
        </w:rPr>
      </w:pPr>
      <w:r>
        <w:rPr>
          <w:rFonts w:hint="eastAsia"/>
          <w:color w:val="auto"/>
        </w:rPr>
        <w:t xml:space="preserve">10.2当采购数量与实际使用数量不一致时，供应商应根据实际使用量，供货合同的最终结算金额按实际使用量乘以成交单价进行计算。 </w:t>
      </w:r>
    </w:p>
    <w:p>
      <w:pPr>
        <w:pStyle w:val="7"/>
        <w:rPr>
          <w:color w:val="auto"/>
        </w:rPr>
      </w:pPr>
      <w:r>
        <w:rPr>
          <w:rFonts w:hint="eastAsia"/>
          <w:color w:val="auto"/>
        </w:rPr>
        <w:t xml:space="preserve">十一、税费 </w:t>
      </w:r>
    </w:p>
    <w:p>
      <w:pPr>
        <w:ind w:firstLine="420"/>
        <w:rPr>
          <w:color w:val="auto"/>
        </w:rPr>
      </w:pPr>
      <w:r>
        <w:rPr>
          <w:rFonts w:hint="eastAsia"/>
          <w:color w:val="auto"/>
        </w:rPr>
        <w:t xml:space="preserve">11.1本合同执行中相关的一切税费均由供方负担。 </w:t>
      </w:r>
    </w:p>
    <w:p>
      <w:pPr>
        <w:pStyle w:val="7"/>
        <w:rPr>
          <w:color w:val="auto"/>
        </w:rPr>
      </w:pPr>
      <w:r>
        <w:rPr>
          <w:rFonts w:hint="eastAsia"/>
          <w:color w:val="auto"/>
        </w:rPr>
        <w:t xml:space="preserve">十二、质量保证及售后服务 </w:t>
      </w:r>
    </w:p>
    <w:p>
      <w:pPr>
        <w:ind w:firstLine="420"/>
        <w:rPr>
          <w:color w:val="auto"/>
        </w:rPr>
      </w:pPr>
      <w:r>
        <w:rPr>
          <w:rFonts w:hint="eastAsia"/>
          <w:color w:val="auto"/>
        </w:rPr>
        <w:t>12.1 乙方应按采购文件规定的货物性能、技术要求、质量标准向甲方提供未经使用的全新产品。</w:t>
      </w:r>
    </w:p>
    <w:p>
      <w:pPr>
        <w:ind w:firstLine="420"/>
        <w:rPr>
          <w:color w:val="auto"/>
        </w:rPr>
      </w:pPr>
      <w:r>
        <w:rPr>
          <w:rFonts w:hint="eastAsia"/>
          <w:color w:val="auto"/>
        </w:rPr>
        <w:t>12.2 乙方提供的货物在质量期内因货物本身的质量问题发生故障</w:t>
      </w:r>
      <w:r>
        <w:rPr>
          <w:rFonts w:hint="eastAsia" w:ascii="MingLiU_HKSCS" w:hAnsi="MingLiU_HKSCS" w:eastAsia="MingLiU_HKSCS" w:cs="MingLiU_HKSCS"/>
          <w:color w:val="auto"/>
        </w:rPr>
        <w:t></w:t>
      </w:r>
      <w:r>
        <w:rPr>
          <w:rFonts w:hint="eastAsia" w:ascii="宋体" w:hAnsi="宋体" w:cs="宋体"/>
          <w:color w:val="auto"/>
        </w:rPr>
        <w:t>乙方应负责免费更换。对达不到技术要求者</w:t>
      </w:r>
      <w:r>
        <w:rPr>
          <w:rFonts w:hint="eastAsia" w:ascii="MingLiU_HKSCS" w:hAnsi="MingLiU_HKSCS" w:eastAsia="MingLiU_HKSCS" w:cs="MingLiU_HKSCS"/>
          <w:color w:val="auto"/>
        </w:rPr>
        <w:t></w:t>
      </w:r>
      <w:r>
        <w:rPr>
          <w:rFonts w:hint="eastAsia" w:ascii="宋体" w:hAnsi="宋体" w:cs="宋体"/>
          <w:color w:val="auto"/>
        </w:rPr>
        <w:t>根据实际情况</w:t>
      </w:r>
      <w:r>
        <w:rPr>
          <w:rFonts w:hint="eastAsia" w:ascii="MingLiU_HKSCS" w:hAnsi="MingLiU_HKSCS" w:eastAsia="MingLiU_HKSCS" w:cs="MingLiU_HKSCS"/>
          <w:color w:val="auto"/>
        </w:rPr>
        <w:t></w:t>
      </w:r>
      <w:r>
        <w:rPr>
          <w:rFonts w:hint="eastAsia" w:ascii="宋体" w:hAnsi="宋体" w:cs="宋体"/>
          <w:color w:val="auto"/>
        </w:rPr>
        <w:t>经双方协商</w:t>
      </w:r>
      <w:r>
        <w:rPr>
          <w:rFonts w:hint="eastAsia" w:ascii="MingLiU_HKSCS" w:hAnsi="MingLiU_HKSCS" w:eastAsia="MingLiU_HKSCS" w:cs="MingLiU_HKSCS"/>
          <w:color w:val="auto"/>
        </w:rPr>
        <w:t></w:t>
      </w:r>
      <w:r>
        <w:rPr>
          <w:rFonts w:hint="eastAsia" w:ascii="宋体" w:hAnsi="宋体" w:cs="宋体"/>
          <w:color w:val="auto"/>
        </w:rPr>
        <w:t>可按以下办法处理</w:t>
      </w:r>
    </w:p>
    <w:p>
      <w:pPr>
        <w:ind w:firstLine="420"/>
        <w:rPr>
          <w:color w:val="auto"/>
        </w:rPr>
      </w:pPr>
      <w:r>
        <w:rPr>
          <w:rFonts w:hint="eastAsia"/>
          <w:color w:val="auto"/>
        </w:rPr>
        <w:t>⑴更换。由乙方承担所发生的全部费用。</w:t>
      </w:r>
    </w:p>
    <w:p>
      <w:pPr>
        <w:ind w:firstLine="420"/>
        <w:rPr>
          <w:color w:val="auto"/>
        </w:rPr>
      </w:pPr>
      <w:r>
        <w:rPr>
          <w:rFonts w:hint="eastAsia"/>
          <w:color w:val="auto"/>
        </w:rPr>
        <w:t>⑵贬值处理。由甲乙双方合议定价。</w:t>
      </w:r>
    </w:p>
    <w:p>
      <w:pPr>
        <w:ind w:firstLine="420"/>
        <w:rPr>
          <w:color w:val="auto"/>
        </w:rPr>
      </w:pPr>
      <w:r>
        <w:rPr>
          <w:rFonts w:hint="eastAsia"/>
          <w:color w:val="auto"/>
        </w:rPr>
        <w:t>⑶退货处理。乙方应退还甲方支付的合同款，同时应承担该货物的直接费用、运输、保险、检验、货款利息及银行手续费等。</w:t>
      </w:r>
    </w:p>
    <w:p>
      <w:pPr>
        <w:ind w:firstLine="420"/>
        <w:rPr>
          <w:color w:val="auto"/>
        </w:rPr>
      </w:pPr>
      <w:r>
        <w:rPr>
          <w:rFonts w:hint="eastAsia"/>
          <w:color w:val="auto"/>
        </w:rPr>
        <w:t xml:space="preserve">12.3 如在使用过程中发生质量问题，乙方在接到甲方通知后在一小时内到达甲方现场。 </w:t>
      </w:r>
    </w:p>
    <w:p>
      <w:pPr>
        <w:ind w:firstLine="420"/>
        <w:rPr>
          <w:color w:val="auto"/>
        </w:rPr>
      </w:pPr>
      <w:r>
        <w:rPr>
          <w:rFonts w:hint="eastAsia"/>
          <w:color w:val="auto"/>
        </w:rPr>
        <w:t xml:space="preserve">12.4 在质保期内，乙方应对货物出现的质量及安全问题负责处理解决并承担一切费用。 </w:t>
      </w:r>
    </w:p>
    <w:p>
      <w:pPr>
        <w:ind w:firstLine="420"/>
        <w:rPr>
          <w:color w:val="auto"/>
        </w:rPr>
      </w:pPr>
      <w:r>
        <w:rPr>
          <w:rFonts w:hint="eastAsia"/>
          <w:color w:val="auto"/>
        </w:rPr>
        <w:t>12.5上述的货物免费保修期为     年</w:t>
      </w:r>
      <w:r>
        <w:rPr>
          <w:rFonts w:hint="eastAsia" w:ascii="MingLiU_HKSCS" w:hAnsi="MingLiU_HKSCS" w:eastAsia="MingLiU_HKSCS" w:cs="MingLiU_HKSCS"/>
          <w:color w:val="auto"/>
        </w:rPr>
        <w:t></w:t>
      </w:r>
      <w:r>
        <w:rPr>
          <w:rFonts w:hint="eastAsia" w:ascii="宋体" w:hAnsi="宋体" w:cs="宋体"/>
          <w:color w:val="auto"/>
        </w:rPr>
        <w:t>因人为因素出现的故障不在免费保修范围内。超过保修期的机器设备终生维修，维修时只收部件成本费。</w:t>
      </w:r>
    </w:p>
    <w:p>
      <w:pPr>
        <w:pStyle w:val="7"/>
        <w:rPr>
          <w:color w:val="auto"/>
        </w:rPr>
      </w:pPr>
      <w:r>
        <w:rPr>
          <w:rFonts w:hint="eastAsia"/>
          <w:color w:val="auto"/>
        </w:rPr>
        <w:t xml:space="preserve">十三、调试和验收 </w:t>
      </w:r>
    </w:p>
    <w:p>
      <w:pPr>
        <w:ind w:firstLine="420"/>
        <w:rPr>
          <w:color w:val="auto"/>
        </w:rPr>
      </w:pPr>
      <w:r>
        <w:rPr>
          <w:rFonts w:hint="eastAsia"/>
          <w:color w:val="auto"/>
        </w:rPr>
        <w:t>13.1 甲方对乙方提交的货物依据采购文件上的技术规格要求和国家有关质量标准进行现场初步验收。外观、说明书符合采购文件技术要求的</w:t>
      </w:r>
      <w:r>
        <w:rPr>
          <w:rFonts w:hint="eastAsia" w:ascii="MingLiU_HKSCS" w:hAnsi="MingLiU_HKSCS" w:eastAsia="MingLiU_HKSCS" w:cs="MingLiU_HKSCS"/>
          <w:color w:val="auto"/>
        </w:rPr>
        <w:t></w:t>
      </w:r>
      <w:r>
        <w:rPr>
          <w:rFonts w:hint="eastAsia" w:ascii="宋体" w:hAnsi="宋体" w:cs="宋体"/>
          <w:color w:val="auto"/>
        </w:rPr>
        <w:t>给予签收初步验收不合格的不予签收。货到后</w:t>
      </w:r>
      <w:r>
        <w:rPr>
          <w:rFonts w:hint="eastAsia" w:ascii="MingLiU_HKSCS" w:hAnsi="MingLiU_HKSCS" w:eastAsia="MingLiU_HKSCS" w:cs="MingLiU_HKSCS"/>
          <w:color w:val="auto"/>
        </w:rPr>
        <w:t></w:t>
      </w:r>
      <w:r>
        <w:rPr>
          <w:rFonts w:hint="eastAsia" w:ascii="宋体" w:hAnsi="宋体" w:cs="宋体"/>
          <w:color w:val="auto"/>
        </w:rPr>
        <w:t>甲方需在五个工作日内验收。</w:t>
      </w:r>
    </w:p>
    <w:p>
      <w:pPr>
        <w:ind w:firstLine="420"/>
        <w:rPr>
          <w:color w:val="auto"/>
        </w:rPr>
      </w:pPr>
      <w:r>
        <w:rPr>
          <w:rFonts w:hint="eastAsia"/>
          <w:color w:val="auto"/>
        </w:rPr>
        <w:t>13.2 乙方交货前应对产品作出全面检查和对验收文件进行整理</w:t>
      </w:r>
      <w:r>
        <w:rPr>
          <w:rFonts w:hint="eastAsia" w:ascii="MingLiU_HKSCS" w:hAnsi="MingLiU_HKSCS" w:eastAsia="MingLiU_HKSCS" w:cs="MingLiU_HKSCS"/>
          <w:color w:val="auto"/>
        </w:rPr>
        <w:t></w:t>
      </w:r>
      <w:r>
        <w:rPr>
          <w:rFonts w:hint="eastAsia" w:ascii="宋体" w:hAnsi="宋体" w:cs="宋体"/>
          <w:color w:val="auto"/>
        </w:rPr>
        <w:t>并列出清单作为甲方收货验收和使用的技术条件依据，检验的结果应随货物交甲方。</w:t>
      </w:r>
    </w:p>
    <w:p>
      <w:pPr>
        <w:ind w:firstLine="420"/>
        <w:rPr>
          <w:color w:val="auto"/>
        </w:rPr>
      </w:pPr>
      <w:r>
        <w:rPr>
          <w:rFonts w:hint="eastAsia"/>
          <w:color w:val="auto"/>
        </w:rPr>
        <w:t>13.3 甲方对乙方提供的货物在使用前进行调试时，乙方需负责安装并培训甲方的使用操作人员</w:t>
      </w:r>
      <w:r>
        <w:rPr>
          <w:rFonts w:hint="eastAsia" w:ascii="MingLiU_HKSCS" w:hAnsi="MingLiU_HKSCS" w:eastAsia="MingLiU_HKSCS" w:cs="MingLiU_HKSCS"/>
          <w:color w:val="auto"/>
        </w:rPr>
        <w:t></w:t>
      </w:r>
      <w:r>
        <w:rPr>
          <w:rFonts w:hint="eastAsia" w:ascii="宋体" w:hAnsi="宋体" w:cs="宋体"/>
          <w:color w:val="auto"/>
        </w:rPr>
        <w:t>并协助甲方一起调试</w:t>
      </w:r>
      <w:r>
        <w:rPr>
          <w:rFonts w:hint="eastAsia" w:ascii="MingLiU_HKSCS" w:hAnsi="MingLiU_HKSCS" w:eastAsia="MingLiU_HKSCS" w:cs="MingLiU_HKSCS"/>
          <w:color w:val="auto"/>
        </w:rPr>
        <w:t></w:t>
      </w:r>
      <w:r>
        <w:rPr>
          <w:rFonts w:hint="eastAsia" w:ascii="宋体" w:hAnsi="宋体" w:cs="宋体"/>
          <w:color w:val="auto"/>
        </w:rPr>
        <w:t>直到符合技术要求</w:t>
      </w:r>
      <w:r>
        <w:rPr>
          <w:rFonts w:hint="eastAsia" w:ascii="MingLiU_HKSCS" w:hAnsi="MingLiU_HKSCS" w:eastAsia="MingLiU_HKSCS" w:cs="MingLiU_HKSCS"/>
          <w:color w:val="auto"/>
        </w:rPr>
        <w:t></w:t>
      </w:r>
      <w:r>
        <w:rPr>
          <w:rFonts w:hint="eastAsia" w:ascii="宋体" w:hAnsi="宋体" w:cs="宋体"/>
          <w:color w:val="auto"/>
        </w:rPr>
        <w:t>甲方才做最终验收。</w:t>
      </w:r>
    </w:p>
    <w:p>
      <w:pPr>
        <w:ind w:firstLine="420"/>
        <w:rPr>
          <w:color w:val="auto"/>
        </w:rPr>
      </w:pPr>
      <w:r>
        <w:rPr>
          <w:rFonts w:hint="eastAsia"/>
          <w:color w:val="auto"/>
        </w:rPr>
        <w:t>13.4 对技术复杂的货物，甲方应请国家认可的专业检测机构参与初步验收及最终验收，并由其出具质量检测报告。</w:t>
      </w:r>
    </w:p>
    <w:p>
      <w:pPr>
        <w:ind w:firstLine="420"/>
        <w:rPr>
          <w:color w:val="auto"/>
        </w:rPr>
      </w:pPr>
      <w:r>
        <w:rPr>
          <w:rFonts w:hint="eastAsia"/>
          <w:color w:val="auto"/>
        </w:rPr>
        <w:t>13.5 验收时乙方必须在现场，验收完毕后作出验收结果报告，验收费用由乙方负责。</w:t>
      </w:r>
    </w:p>
    <w:p>
      <w:pPr>
        <w:pStyle w:val="7"/>
        <w:rPr>
          <w:color w:val="auto"/>
        </w:rPr>
      </w:pPr>
      <w:r>
        <w:rPr>
          <w:rFonts w:hint="eastAsia"/>
          <w:color w:val="auto"/>
        </w:rPr>
        <w:t xml:space="preserve">十四、货物包装、发运及运输 </w:t>
      </w:r>
    </w:p>
    <w:p>
      <w:pPr>
        <w:ind w:firstLine="420"/>
        <w:rPr>
          <w:color w:val="auto"/>
        </w:rPr>
      </w:pPr>
      <w:r>
        <w:rPr>
          <w:rFonts w:hint="eastAsia"/>
          <w:color w:val="auto"/>
        </w:rPr>
        <w:t>14.1 乙方应在货物发运前对其进行满足运输距离、防潮、防震、防锈和防破损装卸等要求包装</w:t>
      </w:r>
      <w:r>
        <w:rPr>
          <w:rFonts w:hint="eastAsia" w:ascii="MingLiU_HKSCS" w:hAnsi="MingLiU_HKSCS" w:eastAsia="MingLiU_HKSCS" w:cs="MingLiU_HKSCS"/>
          <w:color w:val="auto"/>
        </w:rPr>
        <w:t></w:t>
      </w:r>
      <w:r>
        <w:rPr>
          <w:rFonts w:hint="eastAsia" w:ascii="宋体" w:hAnsi="宋体" w:cs="宋体"/>
          <w:color w:val="auto"/>
        </w:rPr>
        <w:t>以保证货物安全运达甲方指定地点。</w:t>
      </w:r>
    </w:p>
    <w:p>
      <w:pPr>
        <w:ind w:firstLine="420"/>
        <w:rPr>
          <w:color w:val="auto"/>
        </w:rPr>
      </w:pPr>
      <w:r>
        <w:rPr>
          <w:rFonts w:hint="eastAsia"/>
          <w:color w:val="auto"/>
        </w:rPr>
        <w:t>14.2 使用说明书、质量检验证明书、随配附件和工具以及清单一并附于货物内。</w:t>
      </w:r>
    </w:p>
    <w:p>
      <w:pPr>
        <w:ind w:firstLine="420"/>
        <w:rPr>
          <w:color w:val="auto"/>
        </w:rPr>
      </w:pPr>
      <w:r>
        <w:rPr>
          <w:rFonts w:hint="eastAsia"/>
          <w:color w:val="auto"/>
        </w:rPr>
        <w:t xml:space="preserve">14.3 乙方在货物发运手续办理完毕后24小时内或货到甲方48小时前通知甲方以准备接货。 </w:t>
      </w:r>
    </w:p>
    <w:p>
      <w:pPr>
        <w:ind w:firstLine="420"/>
        <w:rPr>
          <w:color w:val="auto"/>
        </w:rPr>
      </w:pPr>
      <w:r>
        <w:rPr>
          <w:rFonts w:hint="eastAsia"/>
          <w:color w:val="auto"/>
        </w:rPr>
        <w:t>14.3 货物在交付甲方前发生的风险均由乙方负责。</w:t>
      </w:r>
    </w:p>
    <w:p>
      <w:pPr>
        <w:ind w:firstLine="420"/>
        <w:rPr>
          <w:color w:val="auto"/>
        </w:rPr>
      </w:pPr>
      <w:r>
        <w:rPr>
          <w:rFonts w:hint="eastAsia"/>
          <w:color w:val="auto"/>
        </w:rPr>
        <w:t>14.5 货物在规定的交付期限内由乙方送达甲方指定的地点视为交付，乙方同时需通知甲方货物已送达。</w:t>
      </w:r>
    </w:p>
    <w:p>
      <w:pPr>
        <w:pStyle w:val="7"/>
        <w:rPr>
          <w:color w:val="auto"/>
        </w:rPr>
      </w:pPr>
      <w:r>
        <w:rPr>
          <w:rFonts w:hint="eastAsia"/>
          <w:color w:val="auto"/>
        </w:rPr>
        <w:t xml:space="preserve">十五、违约责任 </w:t>
      </w:r>
    </w:p>
    <w:p>
      <w:pPr>
        <w:ind w:firstLine="420"/>
        <w:rPr>
          <w:color w:val="auto"/>
        </w:rPr>
      </w:pPr>
      <w:r>
        <w:rPr>
          <w:rFonts w:hint="eastAsia"/>
          <w:color w:val="auto"/>
        </w:rPr>
        <w:t>15.1 甲方无正当理由拒收货物的，甲方向乙方偿付拒收货款总值的百分之五违约金。</w:t>
      </w:r>
    </w:p>
    <w:p>
      <w:pPr>
        <w:ind w:firstLine="420"/>
        <w:rPr>
          <w:color w:val="auto"/>
        </w:rPr>
      </w:pPr>
      <w:r>
        <w:rPr>
          <w:rFonts w:hint="eastAsia"/>
          <w:color w:val="auto"/>
        </w:rPr>
        <w:t>15.2 甲方无故逾期验收和办理货款支付手续的,甲方应按逾期付款总额每日万分之五向乙方支付违约金。</w:t>
      </w:r>
    </w:p>
    <w:p>
      <w:pPr>
        <w:ind w:firstLine="420"/>
        <w:rPr>
          <w:color w:val="auto"/>
        </w:rPr>
      </w:pPr>
      <w:r>
        <w:rPr>
          <w:rFonts w:hint="eastAsia"/>
          <w:color w:val="auto"/>
        </w:rPr>
        <w:t>15.3 乙方逾期交付货物的，乙方应按逾期交货总额每日千分之六向甲方支付违约金</w:t>
      </w:r>
      <w:r>
        <w:rPr>
          <w:rFonts w:hint="eastAsia" w:ascii="MingLiU_HKSCS" w:hAnsi="MingLiU_HKSCS" w:eastAsia="MingLiU_HKSCS" w:cs="MingLiU_HKSCS"/>
          <w:color w:val="auto"/>
        </w:rPr>
        <w:t></w:t>
      </w:r>
      <w:r>
        <w:rPr>
          <w:rFonts w:hint="eastAsia" w:ascii="宋体" w:hAnsi="宋体" w:cs="宋体"/>
          <w:color w:val="auto"/>
        </w:rPr>
        <w:t>由甲方从待付货款中扣除。逾期超过约定日期</w:t>
      </w:r>
      <w:r>
        <w:rPr>
          <w:rFonts w:hint="eastAsia"/>
          <w:color w:val="auto"/>
        </w:rPr>
        <w:t>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firstLine="420"/>
        <w:rPr>
          <w:color w:val="auto"/>
        </w:rPr>
      </w:pPr>
      <w:r>
        <w:rPr>
          <w:rFonts w:hint="eastAsia"/>
          <w:color w:val="auto"/>
        </w:rPr>
        <w:t>15.4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7"/>
        <w:rPr>
          <w:color w:val="auto"/>
        </w:rPr>
      </w:pPr>
      <w:r>
        <w:rPr>
          <w:rFonts w:hint="eastAsia"/>
          <w:color w:val="auto"/>
        </w:rPr>
        <w:t xml:space="preserve">十六、不可抗力事件处理 </w:t>
      </w:r>
    </w:p>
    <w:p>
      <w:pPr>
        <w:ind w:firstLine="420"/>
        <w:rPr>
          <w:color w:val="auto"/>
        </w:rPr>
      </w:pPr>
      <w:r>
        <w:rPr>
          <w:rFonts w:hint="eastAsia"/>
          <w:color w:val="auto"/>
        </w:rPr>
        <w:t>16.1 在合同有效期内，任何一方因不可抗力事件导致不能履行合同，则合同履行期可延长</w:t>
      </w:r>
      <w:r>
        <w:rPr>
          <w:rFonts w:hint="eastAsia" w:ascii="MingLiU_HKSCS" w:hAnsi="MingLiU_HKSCS" w:eastAsia="MingLiU_HKSCS" w:cs="MingLiU_HKSCS"/>
          <w:color w:val="auto"/>
        </w:rPr>
        <w:t></w:t>
      </w:r>
      <w:r>
        <w:rPr>
          <w:rFonts w:hint="eastAsia" w:ascii="宋体" w:hAnsi="宋体" w:cs="宋体"/>
          <w:color w:val="auto"/>
        </w:rPr>
        <w:t>其延长期与不可抗力影响期相同。</w:t>
      </w:r>
    </w:p>
    <w:p>
      <w:pPr>
        <w:ind w:firstLine="420"/>
        <w:rPr>
          <w:color w:val="auto"/>
        </w:rPr>
      </w:pPr>
      <w:r>
        <w:rPr>
          <w:rFonts w:hint="eastAsia"/>
          <w:color w:val="auto"/>
        </w:rPr>
        <w:t>16.2 不可抗力事件发生后，应立即通知对方，并寄送有关权威机构出具的证明。</w:t>
      </w:r>
    </w:p>
    <w:p>
      <w:pPr>
        <w:ind w:firstLine="420"/>
        <w:rPr>
          <w:color w:val="auto"/>
        </w:rPr>
      </w:pPr>
      <w:r>
        <w:rPr>
          <w:rFonts w:hint="eastAsia"/>
          <w:color w:val="auto"/>
        </w:rPr>
        <w:t xml:space="preserve">16.3 不可抗力事件延续120天以上，双方应通过友好协商，确定是否继续履行合同。 </w:t>
      </w:r>
    </w:p>
    <w:p>
      <w:pPr>
        <w:pStyle w:val="7"/>
        <w:rPr>
          <w:color w:val="auto"/>
        </w:rPr>
      </w:pPr>
      <w:r>
        <w:rPr>
          <w:rFonts w:hint="eastAsia"/>
          <w:color w:val="auto"/>
        </w:rPr>
        <w:t xml:space="preserve">十七、诉讼 </w:t>
      </w:r>
    </w:p>
    <w:p>
      <w:pPr>
        <w:ind w:firstLine="420"/>
        <w:rPr>
          <w:color w:val="auto"/>
        </w:rPr>
      </w:pPr>
      <w:r>
        <w:rPr>
          <w:rFonts w:hint="eastAsia"/>
          <w:color w:val="auto"/>
        </w:rPr>
        <w:t xml:space="preserve">17.1 双方在执行合同中所发生的一切争议，应通过协商解决。如协商不成，可向合同签订地法院起诉，合同签订地在此约定为杭州市。 </w:t>
      </w:r>
    </w:p>
    <w:p>
      <w:pPr>
        <w:pStyle w:val="7"/>
        <w:rPr>
          <w:color w:val="auto"/>
        </w:rPr>
      </w:pPr>
      <w:r>
        <w:rPr>
          <w:rFonts w:hint="eastAsia"/>
          <w:color w:val="auto"/>
        </w:rPr>
        <w:t xml:space="preserve">十八、合同生效及其它 </w:t>
      </w:r>
    </w:p>
    <w:p>
      <w:pPr>
        <w:ind w:firstLine="420"/>
        <w:rPr>
          <w:color w:val="auto"/>
        </w:rPr>
      </w:pPr>
      <w:r>
        <w:rPr>
          <w:rFonts w:hint="eastAsia"/>
          <w:color w:val="auto"/>
        </w:rPr>
        <w:t xml:space="preserve">18.1 合同经双方法定代表人或授权委托代理人签字并加盖单位公章后生效。 </w:t>
      </w:r>
    </w:p>
    <w:p>
      <w:pPr>
        <w:ind w:firstLine="420"/>
        <w:rPr>
          <w:color w:val="auto"/>
        </w:rPr>
      </w:pPr>
      <w:r>
        <w:rPr>
          <w:rFonts w:hint="eastAsia"/>
          <w:color w:val="auto"/>
        </w:rPr>
        <w:t xml:space="preserve">18.2合同执行中涉及采购资金和采购内容修改或补充的，须经财政部门审批，并签书面补充协议报采购监督管理部门备案，方可作为主合同不可分割的一部分。 </w:t>
      </w:r>
    </w:p>
    <w:p>
      <w:pPr>
        <w:ind w:firstLine="420"/>
        <w:rPr>
          <w:color w:val="auto"/>
        </w:rPr>
      </w:pPr>
      <w:r>
        <w:rPr>
          <w:rFonts w:hint="eastAsia"/>
          <w:color w:val="auto"/>
        </w:rPr>
        <w:t>18.3本合同未尽事宜</w:t>
      </w:r>
      <w:r>
        <w:rPr>
          <w:rFonts w:hint="eastAsia" w:ascii="MingLiU_HKSCS" w:hAnsi="MingLiU_HKSCS" w:eastAsia="MingLiU_HKSCS" w:cs="MingLiU_HKSCS"/>
          <w:color w:val="auto"/>
        </w:rPr>
        <w:t></w:t>
      </w:r>
      <w:r>
        <w:rPr>
          <w:rFonts w:hint="eastAsia" w:ascii="宋体" w:hAnsi="宋体" w:cs="宋体"/>
          <w:color w:val="auto"/>
        </w:rPr>
        <w:t>遵照《合同法》有关条文执行。</w:t>
      </w:r>
    </w:p>
    <w:p>
      <w:pPr>
        <w:ind w:firstLine="420"/>
        <w:rPr>
          <w:color w:val="auto"/>
        </w:rPr>
      </w:pPr>
      <w:r>
        <w:rPr>
          <w:rFonts w:hint="eastAsia"/>
          <w:color w:val="auto"/>
        </w:rPr>
        <w:t>18.4 本合同正本一式叁份，具有同等法律效力</w:t>
      </w:r>
      <w:r>
        <w:rPr>
          <w:rFonts w:hint="eastAsia" w:ascii="MingLiU_HKSCS" w:hAnsi="MingLiU_HKSCS" w:eastAsia="MingLiU_HKSCS" w:cs="MingLiU_HKSCS"/>
          <w:color w:val="auto"/>
        </w:rPr>
        <w:t></w:t>
      </w:r>
      <w:r>
        <w:rPr>
          <w:rFonts w:hint="eastAsia" w:ascii="宋体" w:hAnsi="宋体" w:cs="宋体"/>
          <w:color w:val="auto"/>
        </w:rPr>
        <w:t>甲乙双方各执壹份，代理机构壹份。</w:t>
      </w:r>
    </w:p>
    <w:p>
      <w:pPr>
        <w:ind w:firstLine="420"/>
        <w:rPr>
          <w:color w:val="auto"/>
        </w:rPr>
      </w:pPr>
    </w:p>
    <w:p>
      <w:pPr>
        <w:ind w:firstLine="420"/>
        <w:rPr>
          <w:color w:val="auto"/>
        </w:rPr>
      </w:pPr>
      <w:r>
        <w:rPr>
          <w:rFonts w:hint="eastAsia"/>
          <w:color w:val="auto"/>
        </w:rPr>
        <w:t>甲方（</w:t>
      </w:r>
      <w:r>
        <w:rPr>
          <w:color w:val="auto"/>
        </w:rPr>
        <w:t>盖章）</w:t>
      </w:r>
      <w:r>
        <w:rPr>
          <w:rFonts w:hint="eastAsia"/>
          <w:color w:val="auto"/>
        </w:rPr>
        <w:t>：</w:t>
      </w:r>
      <w:r>
        <w:rPr>
          <w:rFonts w:hint="eastAsia" w:ascii="MingLiU_HKSCS" w:hAnsi="MingLiU_HKSCS" w:eastAsia="MingLiU_HKSCS" w:cs="MingLiU_HKSCS"/>
          <w:color w:val="auto"/>
        </w:rPr>
        <w:t></w:t>
      </w:r>
      <w:r>
        <w:rPr>
          <w:rFonts w:hint="eastAsia"/>
          <w:color w:val="auto"/>
        </w:rPr>
        <w:t xml:space="preserve">             乙方（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w:t>
      </w:r>
      <w:r>
        <w:rPr>
          <w:rFonts w:hint="eastAsia" w:ascii="MingLiU_HKSCS" w:hAnsi="MingLiU_HKSCS" w:eastAsia="MingLiU_HKSCS" w:cs="MingLiU_HKSCS"/>
          <w:color w:val="auto"/>
        </w:rPr>
        <w:t></w:t>
      </w:r>
      <w:r>
        <w:rPr>
          <w:rFonts w:hint="eastAsia"/>
          <w:color w:val="auto"/>
        </w:rPr>
        <w:t xml:space="preserve">        法定代表人（</w:t>
      </w:r>
      <w:r>
        <w:rPr>
          <w:color w:val="auto"/>
        </w:rPr>
        <w:t>或授权代表）</w:t>
      </w:r>
      <w:r>
        <w:rPr>
          <w:rFonts w:hint="eastAsia"/>
          <w:color w:val="auto"/>
        </w:rPr>
        <w:t>：</w:t>
      </w:r>
    </w:p>
    <w:p>
      <w:pPr>
        <w:ind w:firstLine="420"/>
        <w:rPr>
          <w:color w:val="auto"/>
        </w:rPr>
      </w:pPr>
      <w:r>
        <w:rPr>
          <w:rFonts w:hint="eastAsia"/>
          <w:color w:val="auto"/>
        </w:rPr>
        <w:t>地址：</w:t>
      </w:r>
      <w:r>
        <w:rPr>
          <w:rFonts w:hint="eastAsia" w:ascii="MingLiU_HKSCS" w:hAnsi="MingLiU_HKSCS" w:eastAsia="MingLiU_HKSCS" w:cs="MingLiU_HKSCS"/>
          <w:color w:val="auto"/>
        </w:rPr>
        <w:t></w:t>
      </w:r>
      <w:r>
        <w:rPr>
          <w:rFonts w:hint="eastAsia"/>
          <w:color w:val="auto"/>
        </w:rPr>
        <w:t xml:space="preserve">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sz w:val="28"/>
          <w:szCs w:val="28"/>
        </w:rPr>
        <w:sectPr>
          <w:pgSz w:w="11907" w:h="16840"/>
          <w:pgMar w:top="1247" w:right="1304" w:bottom="1021" w:left="1304" w:header="720" w:footer="720" w:gutter="0"/>
          <w:cols w:space="720" w:num="1"/>
          <w:docGrid w:linePitch="286" w:charSpace="0"/>
        </w:sectPr>
      </w:pPr>
      <w:r>
        <w:rPr>
          <w:rFonts w:hint="eastAsia"/>
          <w:color w:val="auto"/>
        </w:rPr>
        <w:t>签订地点：                        签订日期：</w:t>
      </w:r>
    </w:p>
    <w:p>
      <w:pPr>
        <w:pStyle w:val="6"/>
        <w:jc w:val="center"/>
        <w:rPr>
          <w:color w:val="auto"/>
        </w:rPr>
      </w:pPr>
      <w:bookmarkStart w:id="145" w:name="_Toc50450166"/>
      <w:r>
        <w:rPr>
          <w:rFonts w:hint="eastAsia"/>
          <w:color w:val="auto"/>
        </w:rPr>
        <w:t>政府采购项目验收书</w:t>
      </w:r>
      <w:bookmarkEnd w:id="145"/>
    </w:p>
    <w:tbl>
      <w:tblPr>
        <w:tblStyle w:val="23"/>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招标人</w:t>
            </w:r>
          </w:p>
        </w:tc>
        <w:tc>
          <w:tcPr>
            <w:tcW w:w="4358"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1312" w:type="dxa"/>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项目编号</w:t>
            </w:r>
          </w:p>
        </w:tc>
        <w:tc>
          <w:tcPr>
            <w:tcW w:w="2461" w:type="dxa"/>
            <w:gridSpan w:val="2"/>
            <w:vAlign w:val="center"/>
          </w:tcPr>
          <w:p>
            <w:pPr>
              <w:snapToGrid w:val="0"/>
              <w:spacing w:before="120" w:beforeLines="50" w:after="120" w:afterLines="50"/>
              <w:ind w:firstLine="0" w:firstLineChars="0"/>
              <w:jc w:val="center"/>
              <w:rPr>
                <w:rFonts w:ascii="宋体"/>
                <w:b/>
                <w:bCs/>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招标项目</w:t>
            </w:r>
          </w:p>
        </w:tc>
        <w:tc>
          <w:tcPr>
            <w:tcW w:w="8131" w:type="dxa"/>
            <w:gridSpan w:val="5"/>
            <w:vAlign w:val="center"/>
          </w:tcPr>
          <w:p>
            <w:pPr>
              <w:snapToGrid w:val="0"/>
              <w:spacing w:before="120" w:beforeLines="50" w:after="120" w:afterLines="50"/>
              <w:ind w:firstLine="0" w:firstLineChars="0"/>
              <w:jc w:val="center"/>
              <w:rPr>
                <w:rFonts w:ascii="宋体"/>
                <w:b/>
                <w:bCs/>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序号</w:t>
            </w:r>
          </w:p>
        </w:tc>
        <w:tc>
          <w:tcPr>
            <w:tcW w:w="3010" w:type="dxa"/>
            <w:gridSpan w:val="2"/>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验收内容</w:t>
            </w:r>
          </w:p>
        </w:tc>
        <w:tc>
          <w:tcPr>
            <w:tcW w:w="1915" w:type="dxa"/>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合同约定</w:t>
            </w:r>
          </w:p>
        </w:tc>
        <w:tc>
          <w:tcPr>
            <w:tcW w:w="2871" w:type="dxa"/>
            <w:gridSpan w:val="2"/>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执行情况</w:t>
            </w:r>
          </w:p>
        </w:tc>
        <w:tc>
          <w:tcPr>
            <w:tcW w:w="902" w:type="dxa"/>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招标人</w:t>
            </w:r>
          </w:p>
        </w:tc>
        <w:tc>
          <w:tcPr>
            <w:tcW w:w="8131" w:type="dxa"/>
            <w:gridSpan w:val="5"/>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gridSpan w:val="2"/>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投标人</w:t>
            </w:r>
          </w:p>
        </w:tc>
        <w:tc>
          <w:tcPr>
            <w:tcW w:w="8131" w:type="dxa"/>
            <w:gridSpan w:val="5"/>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盖章</w:t>
            </w:r>
          </w:p>
        </w:tc>
      </w:tr>
    </w:tbl>
    <w:p>
      <w:pPr>
        <w:ind w:firstLine="420"/>
        <w:rPr>
          <w:color w:val="auto"/>
          <w:szCs w:val="21"/>
        </w:rPr>
      </w:pPr>
      <w:r>
        <w:rPr>
          <w:rFonts w:hint="eastAsia"/>
          <w:color w:val="auto"/>
          <w:szCs w:val="21"/>
        </w:rPr>
        <w:t>注：</w:t>
      </w:r>
      <w:r>
        <w:rPr>
          <w:color w:val="auto"/>
          <w:szCs w:val="21"/>
        </w:rPr>
        <w:t>1</w:t>
      </w:r>
      <w:r>
        <w:rPr>
          <w:rFonts w:hint="eastAsia"/>
          <w:color w:val="auto"/>
          <w:szCs w:val="21"/>
        </w:rPr>
        <w:t>、采购人应当按照合同规定的技术、服务、安全标准，组织对供应商履约情况进行验收，并出具验收书。验收书应当包括每一项技术、服务、安全标准履约情况。</w:t>
      </w:r>
    </w:p>
    <w:p>
      <w:pPr>
        <w:ind w:firstLine="420"/>
        <w:rPr>
          <w:color w:val="auto"/>
          <w:szCs w:val="21"/>
        </w:rPr>
      </w:pPr>
      <w:r>
        <w:rPr>
          <w:color w:val="auto"/>
          <w:szCs w:val="21"/>
        </w:rPr>
        <w:t>2</w:t>
      </w:r>
      <w:r>
        <w:rPr>
          <w:rFonts w:hint="eastAsia"/>
          <w:color w:val="auto"/>
          <w:szCs w:val="21"/>
        </w:rPr>
        <w:t>、政府向社会公众提供的公共服务项目，验收时应当邀请服务对象参与并出具意见，验收结果应当向社会公告。</w:t>
      </w:r>
    </w:p>
    <w:p>
      <w:pPr>
        <w:pStyle w:val="5"/>
        <w:ind w:firstLine="482"/>
        <w:rPr>
          <w:color w:val="auto"/>
        </w:rPr>
      </w:pPr>
      <w:bookmarkStart w:id="146" w:name="_Toc450840088"/>
      <w:r>
        <w:rPr>
          <w:color w:val="auto"/>
        </w:rPr>
        <w:br w:type="page"/>
      </w:r>
      <w:bookmarkStart w:id="147" w:name="_Toc50450167"/>
      <w:r>
        <w:rPr>
          <w:rFonts w:hint="eastAsia"/>
          <w:color w:val="auto"/>
        </w:rPr>
        <w:t>第六章投标文件内容及格式</w:t>
      </w:r>
      <w:bookmarkEnd w:id="146"/>
      <w:bookmarkEnd w:id="147"/>
    </w:p>
    <w:p>
      <w:pPr>
        <w:pStyle w:val="6"/>
        <w:rPr>
          <w:rFonts w:ascii="宋体"/>
          <w:color w:val="auto"/>
        </w:rPr>
      </w:pPr>
      <w:bookmarkStart w:id="148" w:name="_Toc50450168"/>
      <w:bookmarkStart w:id="149" w:name="_Toc2078383"/>
      <w:r>
        <w:rPr>
          <w:color w:val="auto"/>
        </w:rPr>
        <w:t>1</w:t>
      </w:r>
      <w:r>
        <w:rPr>
          <w:rFonts w:hint="eastAsia"/>
          <w:color w:val="auto"/>
        </w:rPr>
        <w:t>投标人提交投标文件须知</w:t>
      </w:r>
      <w:bookmarkEnd w:id="148"/>
      <w:bookmarkEnd w:id="149"/>
    </w:p>
    <w:p>
      <w:pPr>
        <w:pStyle w:val="13"/>
        <w:spacing w:line="360" w:lineRule="auto"/>
        <w:ind w:firstLine="420" w:firstLineChars="200"/>
        <w:rPr>
          <w:rFonts w:hAnsi="宋体"/>
          <w:color w:val="auto"/>
        </w:rPr>
      </w:pPr>
      <w:r>
        <w:rPr>
          <w:rFonts w:hAnsi="宋体"/>
          <w:color w:val="auto"/>
        </w:rPr>
        <w:t xml:space="preserve">1.1 </w:t>
      </w:r>
      <w:r>
        <w:rPr>
          <w:rFonts w:hint="eastAsia" w:hAnsi="宋体"/>
          <w:color w:val="auto"/>
        </w:rPr>
        <w:t>投标人应严格按照以下顺序填写和提交下述规定的全部格式文件以及其他有关资料，混乱的编排导致投标文件被误读或评标委员会查找不到有效文件是投标人的风险。</w:t>
      </w:r>
    </w:p>
    <w:p>
      <w:pPr>
        <w:pStyle w:val="13"/>
        <w:spacing w:line="360" w:lineRule="auto"/>
        <w:ind w:firstLine="420" w:firstLineChars="200"/>
        <w:rPr>
          <w:rFonts w:hAnsi="宋体"/>
          <w:color w:val="auto"/>
        </w:rPr>
      </w:pPr>
      <w:r>
        <w:rPr>
          <w:rFonts w:hAnsi="宋体"/>
          <w:color w:val="auto"/>
        </w:rPr>
        <w:t xml:space="preserve">1.2 </w:t>
      </w:r>
      <w:r>
        <w:rPr>
          <w:rFonts w:hint="eastAsia" w:hAnsi="宋体"/>
          <w:color w:val="auto"/>
        </w:rPr>
        <w:t>所附表格中要求回答的全部问题和</w:t>
      </w:r>
      <w:r>
        <w:rPr>
          <w:rFonts w:hAnsi="宋体"/>
          <w:color w:val="auto"/>
        </w:rPr>
        <w:t>/</w:t>
      </w:r>
      <w:r>
        <w:rPr>
          <w:rFonts w:hint="eastAsia" w:hAnsi="宋体"/>
          <w:color w:val="auto"/>
        </w:rPr>
        <w:t>或信息都必须正面回答。</w:t>
      </w:r>
    </w:p>
    <w:p>
      <w:pPr>
        <w:pStyle w:val="13"/>
        <w:spacing w:line="360" w:lineRule="auto"/>
        <w:ind w:firstLine="420" w:firstLineChars="200"/>
        <w:rPr>
          <w:rFonts w:hAnsi="宋体"/>
          <w:color w:val="auto"/>
        </w:rPr>
      </w:pPr>
      <w:r>
        <w:rPr>
          <w:rFonts w:hAnsi="宋体"/>
          <w:color w:val="auto"/>
        </w:rPr>
        <w:t xml:space="preserve">1.3 </w:t>
      </w:r>
      <w:r>
        <w:rPr>
          <w:rFonts w:hint="eastAsia" w:hAnsi="宋体"/>
          <w:color w:val="auto"/>
        </w:rPr>
        <w:t>本声明书的签字人应保证全部声明和问题的回答是真实的和准确的。</w:t>
      </w:r>
    </w:p>
    <w:p>
      <w:pPr>
        <w:pStyle w:val="13"/>
        <w:spacing w:line="360" w:lineRule="auto"/>
        <w:ind w:firstLine="420" w:firstLineChars="200"/>
        <w:rPr>
          <w:rFonts w:hAnsi="宋体"/>
          <w:color w:val="auto"/>
        </w:rPr>
      </w:pPr>
      <w:r>
        <w:rPr>
          <w:rFonts w:hAnsi="宋体"/>
          <w:color w:val="auto"/>
        </w:rPr>
        <w:t>1.4</w:t>
      </w:r>
      <w:r>
        <w:rPr>
          <w:rFonts w:hint="eastAsia" w:hAnsi="宋体"/>
          <w:color w:val="auto"/>
        </w:rPr>
        <w:t>评标委员会将应用投标人提交的资料根据自己的判断和考虑决定投标人履行合同的合格性及能力。</w:t>
      </w:r>
    </w:p>
    <w:p>
      <w:pPr>
        <w:pStyle w:val="13"/>
        <w:spacing w:line="360" w:lineRule="auto"/>
        <w:ind w:firstLine="420" w:firstLineChars="200"/>
        <w:rPr>
          <w:rFonts w:hAnsi="宋体"/>
          <w:color w:val="auto"/>
        </w:rPr>
      </w:pPr>
      <w:r>
        <w:rPr>
          <w:rFonts w:hAnsi="宋体"/>
          <w:color w:val="auto"/>
        </w:rPr>
        <w:t xml:space="preserve">1.5 </w:t>
      </w:r>
      <w:r>
        <w:rPr>
          <w:rFonts w:hint="eastAsia" w:hAnsi="宋体"/>
          <w:color w:val="auto"/>
        </w:rPr>
        <w:t>投标人提交的材料将在一定期限内被保密保存。</w:t>
      </w:r>
    </w:p>
    <w:p>
      <w:pPr>
        <w:pStyle w:val="13"/>
        <w:spacing w:line="360" w:lineRule="auto"/>
        <w:ind w:firstLine="420" w:firstLineChars="200"/>
        <w:rPr>
          <w:rFonts w:hAnsi="宋体"/>
          <w:color w:val="auto"/>
        </w:rPr>
      </w:pPr>
      <w:r>
        <w:rPr>
          <w:rFonts w:hAnsi="宋体"/>
          <w:color w:val="auto"/>
        </w:rPr>
        <w:t xml:space="preserve">1.6 </w:t>
      </w:r>
      <w:r>
        <w:rPr>
          <w:rFonts w:hint="eastAsia" w:hAnsi="宋体"/>
          <w:color w:val="auto"/>
        </w:rPr>
        <w:t>全部文件应按投标人须知中规定的语言和份数提交。</w:t>
      </w:r>
    </w:p>
    <w:p>
      <w:pPr>
        <w:pStyle w:val="6"/>
        <w:rPr>
          <w:color w:val="auto"/>
        </w:rPr>
      </w:pPr>
      <w:bookmarkStart w:id="150" w:name="_Toc2078384"/>
      <w:bookmarkStart w:id="151" w:name="_Toc50450169"/>
      <w:r>
        <w:rPr>
          <w:color w:val="auto"/>
        </w:rPr>
        <w:t>2</w:t>
      </w:r>
      <w:r>
        <w:rPr>
          <w:rFonts w:hint="eastAsia"/>
          <w:color w:val="auto"/>
        </w:rPr>
        <w:t>投标文件组成</w:t>
      </w:r>
      <w:bookmarkEnd w:id="150"/>
      <w:bookmarkEnd w:id="151"/>
    </w:p>
    <w:p>
      <w:pPr>
        <w:ind w:firstLine="420"/>
        <w:rPr>
          <w:color w:val="auto"/>
        </w:rPr>
      </w:pPr>
      <w:r>
        <w:rPr>
          <w:rFonts w:hint="eastAsia"/>
          <w:color w:val="auto"/>
        </w:rPr>
        <w:t>投标文件由资格证明文件、报价文件、商务技术文件组成。</w:t>
      </w:r>
    </w:p>
    <w:p>
      <w:pPr>
        <w:pStyle w:val="7"/>
        <w:rPr>
          <w:color w:val="auto"/>
        </w:rPr>
      </w:pPr>
      <w:r>
        <w:rPr>
          <w:color w:val="auto"/>
        </w:rPr>
        <w:t>2.1</w:t>
      </w:r>
      <w:r>
        <w:rPr>
          <w:rFonts w:hint="eastAsia"/>
          <w:color w:val="auto"/>
        </w:rPr>
        <w:t>资格证明文件</w:t>
      </w:r>
    </w:p>
    <w:p>
      <w:pPr>
        <w:ind w:firstLine="420"/>
        <w:rPr>
          <w:color w:val="auto"/>
        </w:rPr>
      </w:pPr>
      <w:r>
        <w:rPr>
          <w:color w:val="auto"/>
        </w:rPr>
        <w:t>1</w:t>
      </w:r>
      <w:r>
        <w:rPr>
          <w:rFonts w:hint="eastAsia"/>
          <w:color w:val="auto"/>
        </w:rPr>
        <w:t>）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color w:val="auto"/>
        </w:rPr>
      </w:pPr>
      <w:r>
        <w:rPr>
          <w:rFonts w:hint="eastAsia"/>
          <w:color w:val="auto"/>
        </w:rPr>
        <w:t>2）最近一个年度已出具的经审计的财务报告，包括资产负债表、利润表、现金流量表(执行《小企业会计准则》的提供资产负债表和利润表两张基本报表），未经审计的，提供资产负债表、利润表或损益表。（新成立不足一年的公司须出具情况说明）；</w:t>
      </w:r>
    </w:p>
    <w:p>
      <w:pPr>
        <w:ind w:firstLine="420"/>
        <w:rPr>
          <w:color w:val="auto"/>
        </w:rPr>
      </w:pPr>
      <w:r>
        <w:rPr>
          <w:rFonts w:hint="eastAsia"/>
          <w:color w:val="auto"/>
        </w:rPr>
        <w:t>3）出具具有履行合同所必需的设备和专业技术能力的承诺函（格式自拟）；</w:t>
      </w:r>
    </w:p>
    <w:p>
      <w:pPr>
        <w:ind w:firstLine="420"/>
        <w:rPr>
          <w:rFonts w:cs="宋体" w:asciiTheme="minorEastAsia" w:hAnsiTheme="minorEastAsia" w:eastAsiaTheme="minorEastAsia"/>
          <w:color w:val="auto"/>
          <w:szCs w:val="21"/>
        </w:rPr>
      </w:pPr>
      <w:r>
        <w:rPr>
          <w:rFonts w:hint="eastAsia"/>
          <w:color w:val="auto"/>
        </w:rPr>
        <w:t>4）</w:t>
      </w:r>
      <w:r>
        <w:rPr>
          <w:rFonts w:hint="eastAsia" w:cs="宋体" w:asciiTheme="minorEastAsia" w:hAnsiTheme="minorEastAsia" w:eastAsiaTheme="minorEastAsia"/>
          <w:color w:val="auto"/>
          <w:szCs w:val="21"/>
        </w:rPr>
        <w:t>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color w:val="auto"/>
        </w:rPr>
      </w:pPr>
      <w:r>
        <w:rPr>
          <w:rFonts w:hint="eastAsia"/>
          <w:color w:val="auto"/>
        </w:rPr>
        <w:t>5）提供有效的最近一次有效的依法缴纳社会保障资金证明（缴纳凭证或人社部门出具的证明）；</w:t>
      </w:r>
    </w:p>
    <w:p>
      <w:pPr>
        <w:ind w:firstLine="420"/>
        <w:rPr>
          <w:color w:val="auto"/>
        </w:rPr>
      </w:pPr>
      <w:r>
        <w:rPr>
          <w:rFonts w:hint="eastAsia"/>
          <w:color w:val="auto"/>
        </w:rPr>
        <w:t>6）投标声明函；</w:t>
      </w:r>
    </w:p>
    <w:p>
      <w:pPr>
        <w:pStyle w:val="7"/>
        <w:rPr>
          <w:color w:val="auto"/>
        </w:rPr>
      </w:pPr>
      <w:r>
        <w:rPr>
          <w:rFonts w:hint="eastAsia"/>
          <w:color w:val="auto"/>
        </w:rPr>
        <w:t>2.2报价文件</w:t>
      </w:r>
    </w:p>
    <w:p>
      <w:pPr>
        <w:ind w:firstLine="420"/>
        <w:rPr>
          <w:color w:val="auto"/>
        </w:rPr>
      </w:pPr>
      <w:r>
        <w:rPr>
          <w:rFonts w:hint="eastAsia"/>
          <w:color w:val="auto"/>
        </w:rPr>
        <w:t>投标人的报价文件包括以下内容（均需加盖公章）。</w:t>
      </w:r>
    </w:p>
    <w:p>
      <w:pPr>
        <w:ind w:firstLine="420"/>
        <w:rPr>
          <w:color w:val="auto"/>
        </w:rPr>
      </w:pPr>
      <w:r>
        <w:rPr>
          <w:color w:val="auto"/>
        </w:rPr>
        <w:t>1</w:t>
      </w:r>
      <w:r>
        <w:rPr>
          <w:rFonts w:hint="eastAsia"/>
          <w:color w:val="auto"/>
        </w:rPr>
        <w:t>）投标函</w:t>
      </w:r>
    </w:p>
    <w:p>
      <w:pPr>
        <w:ind w:firstLine="420"/>
        <w:rPr>
          <w:color w:val="auto"/>
        </w:rPr>
      </w:pPr>
      <w:r>
        <w:rPr>
          <w:color w:val="auto"/>
        </w:rPr>
        <w:t>2</w:t>
      </w:r>
      <w:r>
        <w:rPr>
          <w:rFonts w:hint="eastAsia"/>
          <w:color w:val="auto"/>
        </w:rPr>
        <w:t>）开标一览表</w:t>
      </w:r>
    </w:p>
    <w:p>
      <w:pPr>
        <w:ind w:firstLine="420"/>
        <w:rPr>
          <w:color w:val="auto"/>
        </w:rPr>
      </w:pPr>
      <w:r>
        <w:rPr>
          <w:color w:val="auto"/>
        </w:rPr>
        <w:t>3</w:t>
      </w:r>
      <w:r>
        <w:rPr>
          <w:rFonts w:hint="eastAsia"/>
          <w:color w:val="auto"/>
        </w:rPr>
        <w:t>）投标报价明细表</w:t>
      </w:r>
    </w:p>
    <w:p>
      <w:pPr>
        <w:ind w:firstLine="420"/>
        <w:rPr>
          <w:rFonts w:ascii="宋体" w:hAnsi="宋体" w:cs="宋体"/>
          <w:color w:val="auto"/>
          <w:szCs w:val="21"/>
        </w:rPr>
      </w:pPr>
      <w:r>
        <w:rPr>
          <w:rFonts w:hint="eastAsia" w:ascii="宋体" w:hAnsi="宋体" w:cs="宋体"/>
          <w:color w:val="auto"/>
          <w:szCs w:val="21"/>
        </w:rPr>
        <w:t>4）中小企业声明函（如有）；</w:t>
      </w:r>
    </w:p>
    <w:p>
      <w:pPr>
        <w:ind w:firstLine="420"/>
        <w:rPr>
          <w:rFonts w:ascii="宋体" w:hAnsi="宋体" w:cs="宋体"/>
          <w:color w:val="auto"/>
          <w:szCs w:val="21"/>
        </w:rPr>
      </w:pPr>
      <w:r>
        <w:rPr>
          <w:rFonts w:hint="eastAsia" w:ascii="宋体" w:hAnsi="宋体" w:cs="宋体"/>
          <w:color w:val="auto"/>
          <w:szCs w:val="21"/>
        </w:rPr>
        <w:t>5）监狱企业、残疾人福利企业声明函（如有）；</w:t>
      </w:r>
    </w:p>
    <w:p>
      <w:pPr>
        <w:ind w:firstLine="420"/>
        <w:rPr>
          <w:color w:val="auto"/>
        </w:rPr>
      </w:pPr>
      <w:r>
        <w:rPr>
          <w:rFonts w:hint="eastAsia"/>
          <w:color w:val="auto"/>
        </w:rPr>
        <w:t>6）包括但不限于以上文件资料</w:t>
      </w:r>
    </w:p>
    <w:p>
      <w:pPr>
        <w:pStyle w:val="7"/>
        <w:rPr>
          <w:color w:val="auto"/>
        </w:rPr>
      </w:pPr>
      <w:r>
        <w:rPr>
          <w:color w:val="auto"/>
        </w:rPr>
        <w:t>2.</w:t>
      </w:r>
      <w:r>
        <w:rPr>
          <w:rFonts w:hint="eastAsia"/>
          <w:color w:val="auto"/>
        </w:rPr>
        <w:t>3商务技术文件</w:t>
      </w:r>
    </w:p>
    <w:p>
      <w:pPr>
        <w:ind w:firstLine="420"/>
        <w:rPr>
          <w:color w:val="auto"/>
        </w:rPr>
      </w:pPr>
      <w:r>
        <w:rPr>
          <w:rFonts w:hint="eastAsia"/>
          <w:color w:val="auto"/>
        </w:rPr>
        <w:t>投标人的商务技术文件包括以下内容（均需加盖公章）。</w:t>
      </w:r>
    </w:p>
    <w:p>
      <w:pPr>
        <w:ind w:firstLine="420"/>
        <w:rPr>
          <w:color w:val="auto"/>
        </w:rPr>
      </w:pPr>
      <w:r>
        <w:rPr>
          <w:color w:val="auto"/>
        </w:rPr>
        <w:t>1</w:t>
      </w:r>
      <w:r>
        <w:rPr>
          <w:rFonts w:hint="eastAsia"/>
          <w:color w:val="auto"/>
        </w:rPr>
        <w:t>）企业法人营业执照（事业单位法人证书</w:t>
      </w:r>
      <w:r>
        <w:rPr>
          <w:color w:val="auto"/>
        </w:rPr>
        <w:t>/</w:t>
      </w:r>
      <w:r>
        <w:rPr>
          <w:rFonts w:hint="eastAsia"/>
          <w:color w:val="auto"/>
        </w:rPr>
        <w:t>社会团体法人登记证书）复印件；</w:t>
      </w:r>
    </w:p>
    <w:p>
      <w:pPr>
        <w:ind w:firstLine="420"/>
        <w:rPr>
          <w:color w:val="auto"/>
        </w:rPr>
      </w:pPr>
      <w:r>
        <w:rPr>
          <w:color w:val="auto"/>
        </w:rPr>
        <w:t>2</w:t>
      </w:r>
      <w:r>
        <w:rPr>
          <w:rFonts w:hint="eastAsia"/>
          <w:color w:val="auto"/>
        </w:rPr>
        <w:t>）诚信承诺书；</w:t>
      </w:r>
    </w:p>
    <w:p>
      <w:pPr>
        <w:ind w:firstLine="420"/>
        <w:rPr>
          <w:color w:val="auto"/>
        </w:rPr>
      </w:pPr>
      <w:r>
        <w:rPr>
          <w:rFonts w:hint="eastAsia"/>
          <w:color w:val="auto"/>
        </w:rPr>
        <w:t>3）投标人基本情况介绍；</w:t>
      </w:r>
    </w:p>
    <w:p>
      <w:pPr>
        <w:ind w:firstLine="420"/>
        <w:rPr>
          <w:rFonts w:ascii="宋体" w:hAnsi="宋体" w:cs="宋体"/>
          <w:color w:val="auto"/>
          <w:szCs w:val="21"/>
        </w:rPr>
      </w:pPr>
      <w:r>
        <w:rPr>
          <w:rFonts w:hint="eastAsia" w:ascii="宋体" w:hAnsi="宋体" w:cs="宋体"/>
          <w:color w:val="auto"/>
          <w:szCs w:val="21"/>
        </w:rPr>
        <w:t>4）投标产品环境标志产品认证证书（如有）；</w:t>
      </w:r>
    </w:p>
    <w:p>
      <w:pPr>
        <w:ind w:firstLine="420"/>
        <w:rPr>
          <w:rFonts w:ascii="宋体" w:hAnsi="宋体" w:cs="宋体"/>
          <w:color w:val="auto"/>
          <w:szCs w:val="21"/>
        </w:rPr>
      </w:pPr>
      <w:r>
        <w:rPr>
          <w:rFonts w:hint="eastAsia" w:ascii="宋体" w:hAnsi="宋体" w:cs="宋体"/>
          <w:color w:val="auto"/>
          <w:szCs w:val="21"/>
        </w:rPr>
        <w:t>5）投标产品节能产品认证证书（如有）；</w:t>
      </w:r>
    </w:p>
    <w:p>
      <w:pPr>
        <w:ind w:firstLine="420"/>
        <w:rPr>
          <w:rFonts w:ascii="宋体" w:hAnsi="宋体" w:cs="宋体"/>
          <w:color w:val="auto"/>
          <w:szCs w:val="21"/>
        </w:rPr>
      </w:pPr>
      <w:r>
        <w:rPr>
          <w:rFonts w:hint="eastAsia" w:ascii="宋体" w:hAnsi="宋体" w:cs="宋体"/>
          <w:color w:val="auto"/>
          <w:szCs w:val="21"/>
        </w:rPr>
        <w:t>6）投标人业绩情况一览表及业绩证明材料（按第七章评分办法要求提供）</w:t>
      </w:r>
    </w:p>
    <w:p>
      <w:pPr>
        <w:ind w:firstLine="420"/>
        <w:rPr>
          <w:rFonts w:ascii="宋体" w:hAnsi="宋体" w:cs="宋体"/>
          <w:color w:val="auto"/>
          <w:szCs w:val="21"/>
        </w:rPr>
      </w:pPr>
      <w:r>
        <w:rPr>
          <w:rFonts w:hint="eastAsia" w:ascii="宋体" w:hAnsi="宋体" w:cs="宋体"/>
          <w:color w:val="auto"/>
          <w:szCs w:val="21"/>
        </w:rPr>
        <w:t>7）所投标的货物的完整配置方案、设计方案，详细列明投标货物的所有技术指标（包括但不限于投标货物的品牌、规格型号、详细配置、主要技术参数、产品合格证、等，其中宣传册、彩页等应与标书装订在一起）（本次投标产品的技术参数是否与官网上公开的技术参数一致，如不一致，明确哪些参数不一致，不一致的原因以及使用何种技术可以达到投标产品参数。）</w:t>
      </w:r>
    </w:p>
    <w:p>
      <w:pPr>
        <w:ind w:firstLine="420"/>
        <w:rPr>
          <w:rFonts w:ascii="宋体" w:hAnsi="宋体" w:cs="宋体"/>
          <w:color w:val="auto"/>
          <w:szCs w:val="21"/>
        </w:rPr>
      </w:pPr>
      <w:r>
        <w:rPr>
          <w:rFonts w:hint="eastAsia" w:ascii="宋体" w:hAnsi="宋体" w:cs="宋体"/>
          <w:color w:val="auto"/>
          <w:szCs w:val="21"/>
        </w:rPr>
        <w:t>8）商务条款偏离表（针对招标文件第四章内容逐条填写）；</w:t>
      </w:r>
    </w:p>
    <w:p>
      <w:pPr>
        <w:ind w:firstLine="420"/>
        <w:rPr>
          <w:rFonts w:ascii="宋体" w:hAnsi="宋体" w:cs="宋体"/>
          <w:color w:val="auto"/>
          <w:szCs w:val="21"/>
        </w:rPr>
      </w:pPr>
      <w:r>
        <w:rPr>
          <w:rFonts w:hint="eastAsia" w:ascii="宋体" w:hAnsi="宋体" w:cs="宋体"/>
          <w:color w:val="auto"/>
          <w:szCs w:val="21"/>
        </w:rPr>
        <w:t>9）技术条款偏离表（针对招标文件第三章内容逐条填写）；</w:t>
      </w:r>
    </w:p>
    <w:p>
      <w:pPr>
        <w:ind w:firstLine="420"/>
        <w:rPr>
          <w:rFonts w:ascii="宋体" w:hAnsi="宋体" w:cs="宋体"/>
          <w:color w:val="auto"/>
          <w:szCs w:val="21"/>
        </w:rPr>
      </w:pPr>
      <w:r>
        <w:rPr>
          <w:rFonts w:hint="eastAsia" w:ascii="宋体" w:hAnsi="宋体" w:cs="宋体"/>
          <w:color w:val="auto"/>
          <w:szCs w:val="21"/>
        </w:rPr>
        <w:t>10）针对本项目的详细实施计划，包括产品备供货、运输、验货等内容；</w:t>
      </w:r>
    </w:p>
    <w:p>
      <w:pPr>
        <w:ind w:firstLine="420"/>
        <w:rPr>
          <w:rFonts w:ascii="宋体" w:hAnsi="宋体" w:cs="宋体"/>
          <w:color w:val="auto"/>
          <w:szCs w:val="21"/>
        </w:rPr>
      </w:pPr>
      <w:r>
        <w:rPr>
          <w:rFonts w:hint="eastAsia" w:ascii="宋体" w:hAnsi="宋体" w:cs="宋体"/>
          <w:color w:val="auto"/>
          <w:szCs w:val="21"/>
        </w:rPr>
        <w:t>11）售后服务方案；</w:t>
      </w:r>
    </w:p>
    <w:p>
      <w:pPr>
        <w:ind w:firstLine="420"/>
        <w:rPr>
          <w:rFonts w:ascii="宋体" w:hAnsi="宋体" w:cs="宋体"/>
          <w:color w:val="auto"/>
          <w:szCs w:val="21"/>
        </w:rPr>
      </w:pPr>
      <w:r>
        <w:rPr>
          <w:rFonts w:hint="eastAsia" w:ascii="宋体" w:hAnsi="宋体" w:cs="宋体"/>
          <w:color w:val="auto"/>
          <w:szCs w:val="21"/>
        </w:rPr>
        <w:t>12）备品备件清单（如有）；</w:t>
      </w:r>
    </w:p>
    <w:p>
      <w:pPr>
        <w:ind w:firstLine="420"/>
        <w:rPr>
          <w:rFonts w:ascii="宋体" w:hAnsi="宋体" w:cs="宋体"/>
          <w:color w:val="auto"/>
          <w:szCs w:val="21"/>
        </w:rPr>
      </w:pPr>
      <w:r>
        <w:rPr>
          <w:rFonts w:hint="eastAsia" w:ascii="宋体" w:hAnsi="宋体" w:cs="宋体"/>
          <w:color w:val="auto"/>
          <w:szCs w:val="21"/>
        </w:rPr>
        <w:t>13）培训计划；</w:t>
      </w:r>
    </w:p>
    <w:p>
      <w:pPr>
        <w:ind w:firstLine="420"/>
        <w:rPr>
          <w:rFonts w:hint="eastAsia" w:ascii="宋体" w:hAnsi="宋体" w:cs="宋体"/>
          <w:color w:val="auto"/>
          <w:szCs w:val="21"/>
        </w:rPr>
      </w:pPr>
      <w:r>
        <w:rPr>
          <w:rFonts w:hint="eastAsia" w:ascii="宋体" w:hAnsi="宋体" w:cs="宋体"/>
          <w:color w:val="auto"/>
          <w:szCs w:val="21"/>
        </w:rPr>
        <w:t>14）招标文件第七章评分细则中涉及的相关内容描述；</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）法定代表人证明书，法定代表人授权书（法定代表人参加投标的无须提供）、授权委托人身份证复印件、授权委托人社保证明（被委托人必须为本单位在职员工，并提供至少开标前一个月的社保证明）；</w:t>
      </w:r>
    </w:p>
    <w:p>
      <w:pPr>
        <w:ind w:firstLine="42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6</w:t>
      </w:r>
      <w:r>
        <w:rPr>
          <w:rFonts w:hint="eastAsia" w:ascii="宋体" w:hAnsi="宋体" w:cs="宋体"/>
          <w:color w:val="auto"/>
          <w:szCs w:val="21"/>
        </w:rPr>
        <w:t>）包括但不限于以上技术文件或说明。</w:t>
      </w:r>
    </w:p>
    <w:p>
      <w:pPr>
        <w:ind w:firstLine="420"/>
        <w:rPr>
          <w:color w:val="auto"/>
        </w:rPr>
      </w:pPr>
      <w:r>
        <w:rPr>
          <w:rFonts w:hint="eastAsia"/>
          <w:color w:val="auto"/>
        </w:rPr>
        <w:t>以上所需的各种证书、证件、证明、证照若系复印件，须在复印件上加盖有效公章。</w:t>
      </w:r>
    </w:p>
    <w:p>
      <w:pPr>
        <w:pStyle w:val="6"/>
        <w:rPr>
          <w:color w:val="auto"/>
        </w:rPr>
      </w:pPr>
      <w:bookmarkStart w:id="152" w:name="_Toc50450170"/>
      <w:r>
        <w:rPr>
          <w:color w:val="auto"/>
        </w:rPr>
        <w:t>3</w:t>
      </w:r>
      <w:r>
        <w:rPr>
          <w:rFonts w:hint="eastAsia"/>
          <w:color w:val="auto"/>
        </w:rPr>
        <w:t>投标文件编制格式及规范要求</w:t>
      </w:r>
      <w:bookmarkEnd w:id="152"/>
    </w:p>
    <w:p>
      <w:pPr>
        <w:pStyle w:val="39"/>
        <w:spacing w:line="360" w:lineRule="auto"/>
        <w:ind w:firstLine="359" w:firstLineChars="171"/>
        <w:rPr>
          <w:rFonts w:ascii="宋体" w:hAnsi="宋体" w:eastAsia="宋体"/>
          <w:b w:val="0"/>
          <w:color w:val="auto"/>
          <w:sz w:val="21"/>
          <w:szCs w:val="21"/>
        </w:rPr>
      </w:pPr>
      <w:r>
        <w:rPr>
          <w:rFonts w:hint="eastAsia" w:ascii="宋体" w:hAnsi="宋体" w:eastAsia="宋体"/>
          <w:b w:val="0"/>
          <w:color w:val="auto"/>
          <w:sz w:val="21"/>
          <w:szCs w:val="21"/>
        </w:rPr>
        <w:t>详见投标人须知前附表</w:t>
      </w:r>
    </w:p>
    <w:p>
      <w:pPr>
        <w:pStyle w:val="13"/>
        <w:spacing w:line="360" w:lineRule="auto"/>
        <w:ind w:firstLine="420"/>
        <w:rPr>
          <w:rFonts w:hAnsi="宋体"/>
          <w:color w:val="auto"/>
        </w:rPr>
      </w:pPr>
    </w:p>
    <w:p>
      <w:pPr>
        <w:pStyle w:val="7"/>
        <w:rPr>
          <w:color w:val="auto"/>
          <w:szCs w:val="21"/>
        </w:rPr>
        <w:sectPr>
          <w:pgSz w:w="11907" w:h="16840"/>
          <w:pgMar w:top="1247" w:right="1304" w:bottom="1021" w:left="1304" w:header="720" w:footer="720" w:gutter="0"/>
          <w:cols w:space="720" w:num="1"/>
          <w:docGrid w:linePitch="286" w:charSpace="0"/>
        </w:sectPr>
      </w:pPr>
    </w:p>
    <w:p>
      <w:pPr>
        <w:pStyle w:val="7"/>
        <w:rPr>
          <w:color w:val="auto"/>
          <w:szCs w:val="21"/>
        </w:rPr>
      </w:pPr>
      <w:r>
        <w:rPr>
          <w:rFonts w:hint="eastAsia"/>
          <w:color w:val="auto"/>
          <w:szCs w:val="21"/>
        </w:rPr>
        <w:t>附件投标文件封面</w:t>
      </w:r>
    </w:p>
    <w:p>
      <w:pPr>
        <w:spacing w:line="240" w:lineRule="auto"/>
        <w:ind w:firstLine="0" w:firstLineChars="0"/>
        <w:jc w:val="center"/>
        <w:rPr>
          <w:rFonts w:hint="eastAsia" w:ascii="Arial" w:hAnsi="宋体" w:eastAsia="宋体" w:cs="Arial"/>
          <w:b/>
          <w:bCs/>
          <w:color w:val="auto"/>
          <w:sz w:val="48"/>
          <w:szCs w:val="48"/>
          <w:lang w:eastAsia="zh-CN"/>
        </w:rPr>
      </w:pPr>
      <w:r>
        <w:rPr>
          <w:rFonts w:hint="eastAsia" w:ascii="Arial" w:hAnsi="宋体" w:cs="Arial"/>
          <w:b/>
          <w:bCs/>
          <w:color w:val="auto"/>
          <w:sz w:val="48"/>
          <w:szCs w:val="48"/>
          <w:lang w:eastAsia="zh-CN"/>
        </w:rPr>
        <w:t>中国美术学院</w:t>
      </w:r>
    </w:p>
    <w:p>
      <w:pPr>
        <w:spacing w:line="240" w:lineRule="auto"/>
        <w:ind w:firstLine="0" w:firstLineChars="0"/>
        <w:jc w:val="center"/>
        <w:rPr>
          <w:rFonts w:hint="eastAsia" w:ascii="Arial" w:hAnsi="宋体" w:eastAsia="宋体" w:cs="Arial"/>
          <w:b/>
          <w:bCs/>
          <w:color w:val="auto"/>
          <w:sz w:val="48"/>
          <w:szCs w:val="48"/>
          <w:lang w:eastAsia="zh-CN"/>
        </w:rPr>
      </w:pPr>
      <w:r>
        <w:rPr>
          <w:rFonts w:hint="eastAsia" w:ascii="Arial" w:hAnsi="宋体" w:cs="Arial"/>
          <w:b/>
          <w:bCs/>
          <w:color w:val="auto"/>
          <w:sz w:val="48"/>
          <w:szCs w:val="48"/>
        </w:rPr>
        <w:tab/>
      </w:r>
      <w:r>
        <w:rPr>
          <w:rFonts w:hint="eastAsia" w:ascii="Arial" w:hAnsi="宋体" w:cs="Arial"/>
          <w:b/>
          <w:bCs/>
          <w:color w:val="auto"/>
          <w:sz w:val="48"/>
          <w:szCs w:val="48"/>
          <w:lang w:eastAsia="zh-CN"/>
        </w:rPr>
        <w:t>美术馆文物智能展柜及配套设备采购</w:t>
      </w:r>
    </w:p>
    <w:p>
      <w:pPr>
        <w:spacing w:line="600" w:lineRule="auto"/>
        <w:ind w:firstLine="964"/>
        <w:jc w:val="center"/>
        <w:rPr>
          <w:rFonts w:ascii="Arial" w:hAnsi="宋体" w:cs="Arial"/>
          <w:b/>
          <w:bCs/>
          <w:color w:val="auto"/>
          <w:sz w:val="48"/>
          <w:szCs w:val="48"/>
        </w:rPr>
      </w:pPr>
    </w:p>
    <w:p>
      <w:pPr>
        <w:pStyle w:val="3"/>
        <w:ind w:firstLine="210"/>
        <w:rPr>
          <w:color w:val="auto"/>
        </w:rPr>
      </w:pPr>
    </w:p>
    <w:p>
      <w:pPr>
        <w:pStyle w:val="3"/>
        <w:ind w:firstLine="210"/>
        <w:rPr>
          <w:color w:val="auto"/>
        </w:rPr>
      </w:pPr>
    </w:p>
    <w:p>
      <w:pPr>
        <w:pStyle w:val="3"/>
        <w:ind w:firstLine="210"/>
        <w:rPr>
          <w:color w:val="auto"/>
        </w:rPr>
      </w:pPr>
    </w:p>
    <w:p>
      <w:pPr>
        <w:snapToGrid w:val="0"/>
        <w:ind w:firstLine="0" w:firstLineChars="0"/>
        <w:jc w:val="center"/>
        <w:rPr>
          <w:rFonts w:ascii="Arial" w:hAnsi="Arial" w:cs="Arial"/>
          <w:b/>
          <w:color w:val="auto"/>
          <w:sz w:val="84"/>
          <w:szCs w:val="84"/>
        </w:rPr>
      </w:pPr>
      <w:r>
        <w:rPr>
          <w:rFonts w:hint="eastAsia" w:ascii="Arial" w:hAnsi="宋体" w:cs="Arial"/>
          <w:b/>
          <w:color w:val="auto"/>
          <w:sz w:val="84"/>
          <w:szCs w:val="84"/>
        </w:rPr>
        <w:t>投标文件</w:t>
      </w:r>
    </w:p>
    <w:p>
      <w:pPr>
        <w:snapToGrid w:val="0"/>
        <w:ind w:firstLine="0" w:firstLineChars="0"/>
        <w:rPr>
          <w:rFonts w:ascii="Arial" w:hAnsi="Arial" w:cs="Arial"/>
          <w:b/>
          <w:color w:val="auto"/>
          <w:sz w:val="36"/>
        </w:rPr>
      </w:pPr>
      <w:r>
        <w:rPr>
          <w:rFonts w:hint="eastAsia" w:ascii="Arial" w:hAnsi="Arial" w:cs="Arial"/>
          <w:b/>
          <w:color w:val="auto"/>
          <w:sz w:val="48"/>
          <w:szCs w:val="48"/>
        </w:rPr>
        <w:t>（资格证明文件/报价文件/商务技术文件）</w:t>
      </w:r>
    </w:p>
    <w:p>
      <w:pPr>
        <w:snapToGrid w:val="0"/>
        <w:ind w:firstLine="723"/>
        <w:rPr>
          <w:rFonts w:ascii="Arial" w:hAnsi="Arial" w:cs="Arial"/>
          <w:b/>
          <w:color w:val="auto"/>
          <w:sz w:val="36"/>
        </w:rPr>
      </w:pPr>
    </w:p>
    <w:p>
      <w:pPr>
        <w:pStyle w:val="3"/>
        <w:ind w:firstLine="210"/>
        <w:rPr>
          <w:color w:val="auto"/>
        </w:rPr>
      </w:pPr>
    </w:p>
    <w:p>
      <w:pPr>
        <w:pStyle w:val="3"/>
        <w:ind w:firstLine="210"/>
        <w:rPr>
          <w:color w:val="auto"/>
        </w:rPr>
      </w:pPr>
    </w:p>
    <w:p>
      <w:pPr>
        <w:pStyle w:val="3"/>
        <w:ind w:firstLine="210"/>
        <w:rPr>
          <w:color w:val="auto"/>
        </w:rPr>
      </w:pPr>
    </w:p>
    <w:p>
      <w:pPr>
        <w:spacing w:line="240" w:lineRule="auto"/>
        <w:ind w:firstLine="560"/>
        <w:rPr>
          <w:rFonts w:ascii="宋体" w:hAnsi="宋体" w:cs="宋体"/>
          <w:color w:val="auto"/>
          <w:sz w:val="28"/>
          <w:szCs w:val="28"/>
        </w:rPr>
      </w:pPr>
    </w:p>
    <w:p>
      <w:pPr>
        <w:spacing w:line="240" w:lineRule="auto"/>
        <w:ind w:firstLine="560"/>
        <w:rPr>
          <w:rFonts w:ascii="宋体" w:hAnsi="宋体" w:cs="宋体"/>
          <w:color w:val="auto"/>
          <w:sz w:val="28"/>
          <w:szCs w:val="28"/>
        </w:rPr>
      </w:pPr>
    </w:p>
    <w:p>
      <w:pPr>
        <w:spacing w:line="240" w:lineRule="auto"/>
        <w:ind w:firstLine="560"/>
        <w:rPr>
          <w:rFonts w:hint="eastAsia" w:ascii="宋体" w:hAnsi="宋体" w:eastAsia="宋体" w:cs="宋体"/>
          <w:color w:val="auto"/>
          <w:sz w:val="28"/>
          <w:szCs w:val="28"/>
          <w:lang w:eastAsia="zh-CN"/>
        </w:rPr>
      </w:pPr>
      <w:r>
        <w:rPr>
          <w:rFonts w:hint="eastAsia" w:ascii="宋体" w:hAnsi="宋体" w:cs="宋体"/>
          <w:color w:val="auto"/>
          <w:sz w:val="28"/>
          <w:szCs w:val="28"/>
        </w:rPr>
        <w:t>招标项目：</w:t>
      </w:r>
      <w:r>
        <w:rPr>
          <w:rFonts w:hint="eastAsia" w:ascii="宋体" w:hAnsi="宋体" w:cs="宋体"/>
          <w:color w:val="auto"/>
          <w:sz w:val="28"/>
          <w:szCs w:val="28"/>
          <w:lang w:eastAsia="zh-CN"/>
        </w:rPr>
        <w:t>美术馆文物智能展柜及配套设备采购</w:t>
      </w:r>
    </w:p>
    <w:p>
      <w:pPr>
        <w:tabs>
          <w:tab w:val="left" w:pos="1190"/>
        </w:tabs>
        <w:spacing w:line="240" w:lineRule="auto"/>
        <w:ind w:firstLine="560"/>
        <w:rPr>
          <w:rFonts w:ascii="宋体" w:hAnsi="宋体" w:cs="宋体"/>
          <w:color w:val="auto"/>
          <w:sz w:val="28"/>
          <w:szCs w:val="28"/>
        </w:rPr>
      </w:pPr>
      <w:r>
        <w:rPr>
          <w:rFonts w:ascii="宋体" w:hAnsi="宋体" w:cs="宋体"/>
          <w:color w:val="auto"/>
          <w:sz w:val="28"/>
          <w:szCs w:val="28"/>
        </w:rPr>
        <w:tab/>
      </w:r>
    </w:p>
    <w:p>
      <w:pPr>
        <w:spacing w:line="240" w:lineRule="auto"/>
        <w:ind w:firstLine="560"/>
        <w:rPr>
          <w:rFonts w:hint="eastAsia" w:ascii="宋体" w:hAnsi="宋体" w:eastAsia="宋体" w:cs="宋体"/>
          <w:color w:val="auto"/>
          <w:sz w:val="28"/>
          <w:szCs w:val="28"/>
          <w:lang w:eastAsia="zh-CN"/>
        </w:rPr>
      </w:pPr>
      <w:r>
        <w:rPr>
          <w:rFonts w:hint="eastAsia" w:ascii="宋体" w:hAnsi="宋体" w:cs="宋体"/>
          <w:color w:val="auto"/>
          <w:sz w:val="28"/>
          <w:szCs w:val="28"/>
        </w:rPr>
        <w:t>项目编号：</w:t>
      </w:r>
      <w:r>
        <w:rPr>
          <w:rFonts w:hint="eastAsia" w:ascii="宋体" w:hAnsi="宋体" w:cs="宋体"/>
          <w:color w:val="auto"/>
          <w:sz w:val="28"/>
          <w:szCs w:val="28"/>
          <w:lang w:eastAsia="zh-CN"/>
        </w:rPr>
        <w:t>ZJXL-MY-202088</w:t>
      </w:r>
    </w:p>
    <w:p>
      <w:pPr>
        <w:spacing w:line="240" w:lineRule="auto"/>
        <w:ind w:firstLine="560"/>
        <w:rPr>
          <w:rFonts w:ascii="宋体" w:hAnsi="宋体" w:cs="宋体"/>
          <w:color w:val="auto"/>
          <w:sz w:val="28"/>
          <w:szCs w:val="28"/>
        </w:rPr>
      </w:pPr>
    </w:p>
    <w:p>
      <w:pPr>
        <w:spacing w:line="240" w:lineRule="auto"/>
        <w:ind w:firstLine="560"/>
        <w:rPr>
          <w:rFonts w:hint="eastAsia" w:ascii="宋体" w:hAnsi="宋体" w:eastAsia="宋体" w:cs="宋体"/>
          <w:color w:val="auto"/>
          <w:sz w:val="28"/>
          <w:szCs w:val="28"/>
          <w:lang w:eastAsia="zh-CN"/>
        </w:rPr>
      </w:pPr>
      <w:r>
        <w:rPr>
          <w:rFonts w:hint="eastAsia" w:ascii="宋体" w:hAnsi="宋体" w:cs="宋体"/>
          <w:color w:val="auto"/>
          <w:sz w:val="28"/>
          <w:szCs w:val="28"/>
        </w:rPr>
        <w:t>招标人：</w:t>
      </w:r>
      <w:r>
        <w:rPr>
          <w:rFonts w:hint="eastAsia" w:ascii="宋体" w:hAnsi="宋体" w:cs="宋体"/>
          <w:color w:val="auto"/>
          <w:sz w:val="28"/>
          <w:szCs w:val="28"/>
          <w:lang w:eastAsia="zh-CN"/>
        </w:rPr>
        <w:t>中国美术学院</w:t>
      </w:r>
    </w:p>
    <w:p>
      <w:pPr>
        <w:spacing w:line="240" w:lineRule="auto"/>
        <w:ind w:firstLine="560"/>
        <w:rPr>
          <w:rFonts w:ascii="宋体" w:hAnsi="宋体" w:cs="宋体"/>
          <w:color w:val="auto"/>
          <w:sz w:val="28"/>
          <w:szCs w:val="28"/>
        </w:rPr>
      </w:pPr>
    </w:p>
    <w:p>
      <w:pPr>
        <w:spacing w:line="240" w:lineRule="auto"/>
        <w:ind w:firstLine="560"/>
        <w:rPr>
          <w:rFonts w:ascii="宋体" w:hAnsi="宋体" w:cs="宋体"/>
          <w:color w:val="auto"/>
          <w:sz w:val="28"/>
          <w:szCs w:val="28"/>
        </w:rPr>
      </w:pPr>
      <w:r>
        <w:rPr>
          <w:rFonts w:hint="eastAsia" w:ascii="宋体" w:hAnsi="宋体" w:cs="宋体"/>
          <w:color w:val="auto"/>
          <w:sz w:val="28"/>
          <w:szCs w:val="28"/>
        </w:rPr>
        <w:t>投标人：</w:t>
      </w:r>
    </w:p>
    <w:p>
      <w:pPr>
        <w:spacing w:line="240" w:lineRule="auto"/>
        <w:ind w:firstLine="560"/>
        <w:rPr>
          <w:rFonts w:ascii="宋体" w:hAnsi="宋体" w:cs="宋体"/>
          <w:color w:val="auto"/>
          <w:sz w:val="28"/>
          <w:szCs w:val="28"/>
        </w:rPr>
      </w:pPr>
    </w:p>
    <w:p>
      <w:pPr>
        <w:spacing w:line="240" w:lineRule="auto"/>
        <w:ind w:firstLine="560"/>
        <w:rPr>
          <w:rFonts w:ascii="宋体" w:hAnsi="宋体" w:cs="宋体"/>
          <w:color w:val="auto"/>
          <w:sz w:val="28"/>
          <w:szCs w:val="28"/>
        </w:rPr>
      </w:pPr>
      <w:r>
        <w:rPr>
          <w:rFonts w:hint="eastAsia" w:ascii="宋体" w:hAnsi="宋体" w:cs="宋体"/>
          <w:color w:val="auto"/>
          <w:sz w:val="28"/>
          <w:szCs w:val="28"/>
        </w:rPr>
        <w:t>时间：年  月  日</w:t>
      </w:r>
      <w:r>
        <w:rPr>
          <w:rFonts w:ascii="宋体" w:cs="宋体"/>
          <w:color w:val="auto"/>
          <w:sz w:val="28"/>
          <w:szCs w:val="28"/>
        </w:rPr>
        <w:br w:type="page"/>
      </w:r>
    </w:p>
    <w:p>
      <w:pPr>
        <w:pStyle w:val="7"/>
        <w:rPr>
          <w:color w:val="auto"/>
        </w:rPr>
      </w:pPr>
      <w:r>
        <w:rPr>
          <w:rFonts w:hint="eastAsia"/>
          <w:color w:val="auto"/>
        </w:rPr>
        <w:t>资信技术标评分索引</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6777"/>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434" w:type="pct"/>
            <w:vAlign w:val="center"/>
          </w:tcPr>
          <w:p>
            <w:pPr>
              <w:adjustRightInd w:val="0"/>
              <w:snapToGrid w:val="0"/>
              <w:ind w:firstLine="0" w:firstLineChars="0"/>
              <w:jc w:val="center"/>
              <w:rPr>
                <w:rFonts w:ascii="宋体" w:hAnsi="宋体" w:cs="宋体"/>
                <w:color w:val="auto"/>
                <w:szCs w:val="21"/>
              </w:rPr>
            </w:pPr>
            <w:r>
              <w:rPr>
                <w:rFonts w:hint="eastAsia" w:ascii="宋体" w:hAnsi="宋体" w:cs="宋体"/>
                <w:color w:val="auto"/>
                <w:szCs w:val="21"/>
              </w:rPr>
              <w:t>序号</w:t>
            </w:r>
          </w:p>
        </w:tc>
        <w:tc>
          <w:tcPr>
            <w:tcW w:w="3561" w:type="pct"/>
            <w:vAlign w:val="center"/>
          </w:tcPr>
          <w:p>
            <w:pPr>
              <w:adjustRightInd w:val="0"/>
              <w:snapToGrid w:val="0"/>
              <w:ind w:firstLine="0" w:firstLineChars="0"/>
              <w:jc w:val="center"/>
              <w:rPr>
                <w:rFonts w:ascii="宋体" w:hAnsi="宋体" w:cs="宋体"/>
                <w:color w:val="auto"/>
                <w:szCs w:val="21"/>
              </w:rPr>
            </w:pPr>
            <w:r>
              <w:rPr>
                <w:rFonts w:hint="eastAsia" w:ascii="宋体" w:hAnsi="宋体" w:cs="宋体"/>
                <w:color w:val="auto"/>
                <w:szCs w:val="21"/>
              </w:rPr>
              <w:t>评分项目</w:t>
            </w:r>
          </w:p>
        </w:tc>
        <w:tc>
          <w:tcPr>
            <w:tcW w:w="1004" w:type="pct"/>
            <w:vAlign w:val="center"/>
          </w:tcPr>
          <w:p>
            <w:pPr>
              <w:adjustRightInd w:val="0"/>
              <w:snapToGrid w:val="0"/>
              <w:ind w:firstLine="0" w:firstLineChars="0"/>
              <w:jc w:val="center"/>
              <w:rPr>
                <w:rFonts w:ascii="宋体" w:hAnsi="宋体" w:cs="宋体"/>
                <w:color w:val="auto"/>
                <w:szCs w:val="21"/>
              </w:rPr>
            </w:pPr>
            <w:r>
              <w:rPr>
                <w:rFonts w:hint="eastAsia" w:ascii="宋体" w:hAnsi="宋体" w:cs="宋体"/>
                <w:color w:val="auto"/>
                <w:kern w:val="0"/>
                <w:szCs w:val="21"/>
              </w:rPr>
              <w:t>响应文件页码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434" w:type="pct"/>
            <w:vAlign w:val="center"/>
          </w:tcPr>
          <w:p>
            <w:pPr>
              <w:adjustRightInd w:val="0"/>
              <w:snapToGrid w:val="0"/>
              <w:ind w:firstLine="0" w:firstLineChars="0"/>
              <w:jc w:val="center"/>
              <w:rPr>
                <w:rFonts w:ascii="宋体" w:hAnsi="宋体" w:cs="宋体"/>
                <w:color w:val="auto"/>
                <w:szCs w:val="21"/>
              </w:rPr>
            </w:pPr>
            <w:r>
              <w:rPr>
                <w:rFonts w:hint="eastAsia" w:ascii="宋体" w:hAnsi="宋体" w:cs="宋体"/>
                <w:color w:val="auto"/>
                <w:szCs w:val="21"/>
              </w:rPr>
              <w:t>1</w:t>
            </w:r>
          </w:p>
        </w:tc>
        <w:tc>
          <w:tcPr>
            <w:tcW w:w="3561" w:type="pct"/>
            <w:vAlign w:val="center"/>
          </w:tcPr>
          <w:p>
            <w:pPr>
              <w:adjustRightInd w:val="0"/>
              <w:snapToGrid w:val="0"/>
              <w:ind w:firstLine="420"/>
              <w:jc w:val="left"/>
              <w:rPr>
                <w:rFonts w:ascii="宋体" w:hAnsi="宋体" w:cs="宋体"/>
                <w:color w:val="auto"/>
                <w:szCs w:val="21"/>
              </w:rPr>
            </w:pPr>
          </w:p>
        </w:tc>
        <w:tc>
          <w:tcPr>
            <w:tcW w:w="1004" w:type="pct"/>
            <w:vAlign w:val="center"/>
          </w:tcPr>
          <w:p>
            <w:pPr>
              <w:adjustRightInd w:val="0"/>
              <w:snapToGrid w:val="0"/>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434" w:type="pct"/>
            <w:vAlign w:val="center"/>
          </w:tcPr>
          <w:p>
            <w:pPr>
              <w:adjustRightInd w:val="0"/>
              <w:snapToGrid w:val="0"/>
              <w:ind w:firstLine="0" w:firstLineChars="0"/>
              <w:jc w:val="center"/>
              <w:rPr>
                <w:rFonts w:ascii="宋体" w:hAnsi="宋体" w:cs="宋体"/>
                <w:color w:val="auto"/>
                <w:szCs w:val="21"/>
              </w:rPr>
            </w:pPr>
            <w:r>
              <w:rPr>
                <w:rFonts w:hint="eastAsia" w:ascii="宋体" w:hAnsi="宋体" w:cs="宋体"/>
                <w:color w:val="auto"/>
                <w:szCs w:val="21"/>
              </w:rPr>
              <w:t>2</w:t>
            </w:r>
          </w:p>
        </w:tc>
        <w:tc>
          <w:tcPr>
            <w:tcW w:w="3561" w:type="pct"/>
            <w:vAlign w:val="center"/>
          </w:tcPr>
          <w:p>
            <w:pPr>
              <w:spacing w:after="120"/>
              <w:ind w:firstLine="420"/>
              <w:jc w:val="left"/>
              <w:rPr>
                <w:rFonts w:ascii="宋体" w:hAnsi="宋体" w:cs="宋体"/>
                <w:color w:val="auto"/>
                <w:szCs w:val="21"/>
              </w:rPr>
            </w:pPr>
          </w:p>
        </w:tc>
        <w:tc>
          <w:tcPr>
            <w:tcW w:w="1004" w:type="pct"/>
            <w:vAlign w:val="center"/>
          </w:tcPr>
          <w:p>
            <w:pPr>
              <w:adjustRightInd w:val="0"/>
              <w:snapToGrid w:val="0"/>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434" w:type="pct"/>
            <w:vAlign w:val="center"/>
          </w:tcPr>
          <w:p>
            <w:pPr>
              <w:adjustRightInd w:val="0"/>
              <w:snapToGrid w:val="0"/>
              <w:ind w:firstLine="0" w:firstLineChars="0"/>
              <w:jc w:val="center"/>
              <w:rPr>
                <w:rFonts w:ascii="宋体" w:hAnsi="宋体" w:cs="宋体"/>
                <w:color w:val="auto"/>
                <w:szCs w:val="21"/>
              </w:rPr>
            </w:pPr>
            <w:r>
              <w:rPr>
                <w:rFonts w:hint="eastAsia" w:ascii="宋体" w:hAnsi="宋体" w:cs="宋体"/>
                <w:color w:val="auto"/>
                <w:szCs w:val="21"/>
              </w:rPr>
              <w:t>3</w:t>
            </w:r>
          </w:p>
        </w:tc>
        <w:tc>
          <w:tcPr>
            <w:tcW w:w="3561" w:type="pct"/>
            <w:vAlign w:val="center"/>
          </w:tcPr>
          <w:p>
            <w:pPr>
              <w:ind w:firstLine="420"/>
              <w:jc w:val="left"/>
              <w:rPr>
                <w:rFonts w:ascii="宋体" w:hAnsi="宋体" w:cs="宋体"/>
                <w:color w:val="auto"/>
                <w:szCs w:val="21"/>
              </w:rPr>
            </w:pPr>
          </w:p>
        </w:tc>
        <w:tc>
          <w:tcPr>
            <w:tcW w:w="1004" w:type="pct"/>
            <w:vAlign w:val="center"/>
          </w:tcPr>
          <w:p>
            <w:pPr>
              <w:adjustRightInd w:val="0"/>
              <w:snapToGrid w:val="0"/>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434" w:type="pct"/>
            <w:vAlign w:val="center"/>
          </w:tcPr>
          <w:p>
            <w:pPr>
              <w:adjustRightInd w:val="0"/>
              <w:snapToGrid w:val="0"/>
              <w:ind w:firstLine="0" w:firstLineChars="0"/>
              <w:jc w:val="center"/>
              <w:rPr>
                <w:rFonts w:ascii="宋体" w:hAnsi="宋体" w:cs="宋体"/>
                <w:color w:val="auto"/>
                <w:szCs w:val="21"/>
              </w:rPr>
            </w:pPr>
            <w:r>
              <w:rPr>
                <w:rFonts w:hint="eastAsia" w:ascii="宋体" w:hAnsi="宋体" w:cs="宋体"/>
                <w:color w:val="auto"/>
                <w:szCs w:val="21"/>
              </w:rPr>
              <w:t>4</w:t>
            </w:r>
          </w:p>
        </w:tc>
        <w:tc>
          <w:tcPr>
            <w:tcW w:w="3561" w:type="pct"/>
            <w:vAlign w:val="center"/>
          </w:tcPr>
          <w:p>
            <w:pPr>
              <w:ind w:firstLine="420"/>
              <w:jc w:val="left"/>
              <w:rPr>
                <w:rFonts w:ascii="宋体" w:hAnsi="宋体" w:cs="宋体"/>
                <w:color w:val="auto"/>
                <w:szCs w:val="21"/>
              </w:rPr>
            </w:pPr>
          </w:p>
        </w:tc>
        <w:tc>
          <w:tcPr>
            <w:tcW w:w="1004" w:type="pct"/>
            <w:vAlign w:val="center"/>
          </w:tcPr>
          <w:p>
            <w:pPr>
              <w:adjustRightInd w:val="0"/>
              <w:snapToGrid w:val="0"/>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34" w:type="pct"/>
            <w:vAlign w:val="center"/>
          </w:tcPr>
          <w:p>
            <w:pPr>
              <w:adjustRightInd w:val="0"/>
              <w:snapToGrid w:val="0"/>
              <w:ind w:firstLine="0" w:firstLineChars="0"/>
              <w:jc w:val="center"/>
              <w:rPr>
                <w:rFonts w:ascii="宋体" w:hAnsi="宋体" w:cs="宋体"/>
                <w:color w:val="auto"/>
                <w:szCs w:val="21"/>
              </w:rPr>
            </w:pPr>
            <w:r>
              <w:rPr>
                <w:rFonts w:hint="eastAsia" w:ascii="宋体" w:hAnsi="宋体" w:cs="宋体"/>
                <w:color w:val="auto"/>
                <w:szCs w:val="21"/>
              </w:rPr>
              <w:t>5</w:t>
            </w:r>
          </w:p>
        </w:tc>
        <w:tc>
          <w:tcPr>
            <w:tcW w:w="3561" w:type="pct"/>
            <w:vAlign w:val="center"/>
          </w:tcPr>
          <w:p>
            <w:pPr>
              <w:adjustRightInd w:val="0"/>
              <w:snapToGrid w:val="0"/>
              <w:ind w:firstLine="420"/>
              <w:jc w:val="left"/>
              <w:rPr>
                <w:rFonts w:ascii="宋体" w:hAnsi="宋体" w:cs="宋体"/>
                <w:color w:val="auto"/>
                <w:szCs w:val="21"/>
              </w:rPr>
            </w:pPr>
          </w:p>
        </w:tc>
        <w:tc>
          <w:tcPr>
            <w:tcW w:w="1004" w:type="pct"/>
            <w:vAlign w:val="center"/>
          </w:tcPr>
          <w:p>
            <w:pPr>
              <w:adjustRightInd w:val="0"/>
              <w:snapToGrid w:val="0"/>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434" w:type="pct"/>
            <w:vAlign w:val="center"/>
          </w:tcPr>
          <w:p>
            <w:pPr>
              <w:adjustRightInd w:val="0"/>
              <w:snapToGrid w:val="0"/>
              <w:ind w:firstLine="0" w:firstLineChars="0"/>
              <w:jc w:val="center"/>
              <w:rPr>
                <w:rFonts w:ascii="宋体" w:hAnsi="宋体" w:cs="宋体"/>
                <w:color w:val="auto"/>
                <w:szCs w:val="21"/>
              </w:rPr>
            </w:pPr>
            <w:r>
              <w:rPr>
                <w:rFonts w:hint="eastAsia" w:ascii="宋体" w:hAnsi="宋体" w:cs="宋体"/>
                <w:color w:val="auto"/>
                <w:szCs w:val="21"/>
              </w:rPr>
              <w:t>6</w:t>
            </w:r>
          </w:p>
        </w:tc>
        <w:tc>
          <w:tcPr>
            <w:tcW w:w="3561" w:type="pct"/>
            <w:vAlign w:val="center"/>
          </w:tcPr>
          <w:p>
            <w:pPr>
              <w:adjustRightInd w:val="0"/>
              <w:snapToGrid w:val="0"/>
              <w:ind w:firstLine="420"/>
              <w:jc w:val="left"/>
              <w:rPr>
                <w:rFonts w:ascii="宋体" w:hAnsi="宋体" w:cs="宋体"/>
                <w:color w:val="auto"/>
                <w:szCs w:val="21"/>
              </w:rPr>
            </w:pPr>
          </w:p>
        </w:tc>
        <w:tc>
          <w:tcPr>
            <w:tcW w:w="1004" w:type="pct"/>
            <w:vAlign w:val="center"/>
          </w:tcPr>
          <w:p>
            <w:pPr>
              <w:adjustRightInd w:val="0"/>
              <w:snapToGrid w:val="0"/>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34" w:type="pct"/>
            <w:vAlign w:val="center"/>
          </w:tcPr>
          <w:p>
            <w:pPr>
              <w:adjustRightInd w:val="0"/>
              <w:snapToGrid w:val="0"/>
              <w:ind w:firstLine="0" w:firstLineChars="0"/>
              <w:jc w:val="center"/>
              <w:rPr>
                <w:rFonts w:ascii="宋体" w:hAnsi="宋体" w:cs="宋体"/>
                <w:color w:val="auto"/>
                <w:szCs w:val="21"/>
              </w:rPr>
            </w:pPr>
            <w:r>
              <w:rPr>
                <w:rFonts w:hint="eastAsia" w:ascii="宋体" w:hAnsi="宋体" w:cs="宋体"/>
                <w:color w:val="auto"/>
                <w:szCs w:val="21"/>
              </w:rPr>
              <w:t>7</w:t>
            </w:r>
          </w:p>
        </w:tc>
        <w:tc>
          <w:tcPr>
            <w:tcW w:w="3561" w:type="pct"/>
            <w:vAlign w:val="center"/>
          </w:tcPr>
          <w:p>
            <w:pPr>
              <w:ind w:firstLine="420"/>
              <w:jc w:val="left"/>
              <w:rPr>
                <w:rFonts w:ascii="宋体" w:hAnsi="宋体" w:cs="宋体"/>
                <w:color w:val="auto"/>
                <w:kern w:val="0"/>
                <w:szCs w:val="21"/>
              </w:rPr>
            </w:pPr>
          </w:p>
        </w:tc>
        <w:tc>
          <w:tcPr>
            <w:tcW w:w="1004" w:type="pct"/>
            <w:vAlign w:val="center"/>
          </w:tcPr>
          <w:p>
            <w:pPr>
              <w:adjustRightInd w:val="0"/>
              <w:snapToGrid w:val="0"/>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434" w:type="pct"/>
            <w:vAlign w:val="center"/>
          </w:tcPr>
          <w:p>
            <w:pPr>
              <w:adjustRightInd w:val="0"/>
              <w:snapToGrid w:val="0"/>
              <w:ind w:firstLine="0" w:firstLineChars="0"/>
              <w:jc w:val="center"/>
              <w:rPr>
                <w:rFonts w:ascii="宋体" w:hAnsi="宋体" w:cs="宋体"/>
                <w:color w:val="auto"/>
                <w:szCs w:val="21"/>
              </w:rPr>
            </w:pPr>
            <w:r>
              <w:rPr>
                <w:rFonts w:hint="eastAsia" w:ascii="宋体" w:hAnsi="宋体" w:cs="宋体"/>
                <w:color w:val="auto"/>
                <w:szCs w:val="21"/>
              </w:rPr>
              <w:t>8</w:t>
            </w:r>
          </w:p>
        </w:tc>
        <w:tc>
          <w:tcPr>
            <w:tcW w:w="3561" w:type="pct"/>
            <w:vAlign w:val="center"/>
          </w:tcPr>
          <w:p>
            <w:pPr>
              <w:ind w:firstLine="420"/>
              <w:jc w:val="left"/>
              <w:rPr>
                <w:rFonts w:ascii="宋体" w:hAnsi="宋体" w:cs="宋体"/>
                <w:color w:val="auto"/>
                <w:szCs w:val="21"/>
              </w:rPr>
            </w:pPr>
          </w:p>
        </w:tc>
        <w:tc>
          <w:tcPr>
            <w:tcW w:w="1004" w:type="pct"/>
            <w:vAlign w:val="center"/>
          </w:tcPr>
          <w:p>
            <w:pPr>
              <w:adjustRightInd w:val="0"/>
              <w:snapToGrid w:val="0"/>
              <w:ind w:firstLine="0" w:firstLineChars="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34" w:type="pct"/>
            <w:vAlign w:val="center"/>
          </w:tcPr>
          <w:p>
            <w:pPr>
              <w:adjustRightInd w:val="0"/>
              <w:snapToGrid w:val="0"/>
              <w:ind w:firstLine="0" w:firstLineChars="0"/>
              <w:jc w:val="center"/>
              <w:rPr>
                <w:rFonts w:ascii="宋体" w:hAnsi="宋体" w:cs="宋体"/>
                <w:color w:val="auto"/>
                <w:szCs w:val="21"/>
              </w:rPr>
            </w:pPr>
            <w:r>
              <w:rPr>
                <w:rFonts w:hint="eastAsia" w:ascii="宋体" w:hAnsi="宋体" w:cs="宋体"/>
                <w:color w:val="auto"/>
                <w:szCs w:val="21"/>
              </w:rPr>
              <w:t>9</w:t>
            </w:r>
          </w:p>
        </w:tc>
        <w:tc>
          <w:tcPr>
            <w:tcW w:w="3561" w:type="pct"/>
            <w:vAlign w:val="center"/>
          </w:tcPr>
          <w:p>
            <w:pPr>
              <w:ind w:firstLine="420"/>
              <w:contextualSpacing/>
              <w:jc w:val="left"/>
              <w:rPr>
                <w:rFonts w:ascii="宋体" w:hAnsi="宋体" w:cs="宋体"/>
                <w:color w:val="auto"/>
                <w:szCs w:val="21"/>
              </w:rPr>
            </w:pPr>
          </w:p>
        </w:tc>
        <w:tc>
          <w:tcPr>
            <w:tcW w:w="1004" w:type="pct"/>
            <w:vAlign w:val="center"/>
          </w:tcPr>
          <w:p>
            <w:pPr>
              <w:ind w:firstLine="0" w:firstLineChars="0"/>
              <w:contextualSpacing/>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34" w:type="pct"/>
            <w:vAlign w:val="center"/>
          </w:tcPr>
          <w:p>
            <w:pPr>
              <w:adjustRightInd w:val="0"/>
              <w:snapToGrid w:val="0"/>
              <w:ind w:firstLine="0" w:firstLineChars="0"/>
              <w:jc w:val="center"/>
              <w:rPr>
                <w:rFonts w:ascii="宋体" w:hAnsi="宋体" w:cs="宋体"/>
                <w:color w:val="auto"/>
                <w:szCs w:val="21"/>
              </w:rPr>
            </w:pPr>
            <w:r>
              <w:rPr>
                <w:rFonts w:hint="eastAsia" w:ascii="宋体" w:hAnsi="宋体" w:cs="宋体"/>
                <w:color w:val="auto"/>
                <w:szCs w:val="21"/>
              </w:rPr>
              <w:t>10</w:t>
            </w:r>
          </w:p>
        </w:tc>
        <w:tc>
          <w:tcPr>
            <w:tcW w:w="3561" w:type="pct"/>
            <w:vAlign w:val="center"/>
          </w:tcPr>
          <w:p>
            <w:pPr>
              <w:ind w:firstLine="0" w:firstLineChars="0"/>
              <w:contextualSpacing/>
              <w:jc w:val="left"/>
              <w:rPr>
                <w:rFonts w:ascii="宋体" w:hAnsi="宋体" w:cs="宋体"/>
                <w:color w:val="auto"/>
                <w:szCs w:val="21"/>
              </w:rPr>
            </w:pPr>
          </w:p>
        </w:tc>
        <w:tc>
          <w:tcPr>
            <w:tcW w:w="1004" w:type="pct"/>
            <w:vAlign w:val="center"/>
          </w:tcPr>
          <w:p>
            <w:pPr>
              <w:ind w:firstLine="0" w:firstLineChars="0"/>
              <w:contextualSpacing/>
              <w:jc w:val="center"/>
              <w:rPr>
                <w:rFonts w:ascii="宋体" w:hAnsi="宋体" w:cs="宋体"/>
                <w:color w:val="auto"/>
                <w:szCs w:val="21"/>
              </w:rPr>
            </w:pPr>
          </w:p>
        </w:tc>
      </w:tr>
    </w:tbl>
    <w:p>
      <w:pPr>
        <w:ind w:firstLine="420"/>
        <w:rPr>
          <w:color w:val="auto"/>
        </w:rPr>
      </w:pPr>
      <w:r>
        <w:rPr>
          <w:rFonts w:hint="eastAsia"/>
          <w:color w:val="auto"/>
        </w:rPr>
        <w:br w:type="page"/>
      </w:r>
    </w:p>
    <w:p>
      <w:pPr>
        <w:pStyle w:val="7"/>
        <w:rPr>
          <w:color w:val="auto"/>
        </w:rPr>
      </w:pPr>
      <w:r>
        <w:rPr>
          <w:rFonts w:hint="eastAsia"/>
          <w:color w:val="auto"/>
        </w:rPr>
        <w:t>附件一投标函</w:t>
      </w:r>
    </w:p>
    <w:p>
      <w:pPr>
        <w:ind w:firstLine="420"/>
        <w:rPr>
          <w:color w:val="auto"/>
        </w:rPr>
      </w:pPr>
    </w:p>
    <w:p>
      <w:pPr>
        <w:ind w:firstLine="0" w:firstLineChars="0"/>
        <w:rPr>
          <w:rFonts w:hint="eastAsia" w:ascii="宋体" w:eastAsia="宋体"/>
          <w:color w:val="auto"/>
          <w:szCs w:val="21"/>
          <w:lang w:eastAsia="zh-CN"/>
        </w:rPr>
      </w:pPr>
      <w:r>
        <w:rPr>
          <w:rFonts w:hint="eastAsia" w:hAnsi="宋体"/>
          <w:color w:val="auto"/>
          <w:lang w:eastAsia="zh-CN"/>
        </w:rPr>
        <w:t>中国美术学院</w:t>
      </w:r>
    </w:p>
    <w:p>
      <w:pPr>
        <w:ind w:firstLine="0" w:firstLineChars="0"/>
        <w:rPr>
          <w:rFonts w:ascii="宋体"/>
          <w:color w:val="auto"/>
          <w:szCs w:val="21"/>
        </w:rPr>
      </w:pPr>
      <w:r>
        <w:rPr>
          <w:rFonts w:hint="eastAsia" w:ascii="宋体" w:hAnsi="宋体"/>
          <w:color w:val="auto"/>
          <w:szCs w:val="21"/>
        </w:rPr>
        <w:t>浙江信镧建设工程咨询有限公司：</w:t>
      </w:r>
    </w:p>
    <w:p>
      <w:pPr>
        <w:ind w:firstLine="420"/>
        <w:rPr>
          <w:rFonts w:ascii="宋体"/>
          <w:color w:val="auto"/>
          <w:szCs w:val="21"/>
        </w:rPr>
      </w:pPr>
      <w:r>
        <w:rPr>
          <w:rFonts w:hint="eastAsia" w:ascii="宋体" w:hAnsi="宋体"/>
          <w:color w:val="auto"/>
          <w:szCs w:val="21"/>
        </w:rPr>
        <w:t>（投标人全称）授权 （授权委托人姓名）（职务、职称）为授权委托人，参加贵方组织的 （项目名称）项目编号：（ ）招标的有关活动，并对此项目进行投标。为此：</w:t>
      </w:r>
    </w:p>
    <w:p>
      <w:pPr>
        <w:ind w:firstLine="420"/>
        <w:rPr>
          <w:rFonts w:ascii="宋体"/>
          <w:color w:val="auto"/>
          <w:szCs w:val="21"/>
        </w:rPr>
      </w:pPr>
      <w:r>
        <w:rPr>
          <w:rFonts w:ascii="宋体" w:hAnsi="宋体"/>
          <w:color w:val="auto"/>
        </w:rPr>
        <w:t>1</w:t>
      </w:r>
      <w:r>
        <w:rPr>
          <w:rFonts w:hint="eastAsia" w:ascii="宋体" w:hAnsi="宋体"/>
          <w:color w:val="auto"/>
        </w:rPr>
        <w:t>、</w:t>
      </w:r>
      <w:r>
        <w:rPr>
          <w:rFonts w:hint="eastAsia"/>
          <w:color w:val="auto"/>
        </w:rPr>
        <w:t>根据已收到贵方的项目编号为</w:t>
      </w:r>
      <w:r>
        <w:rPr>
          <w:rFonts w:hint="eastAsia"/>
          <w:color w:val="auto"/>
          <w:u w:val="single"/>
          <w:lang w:eastAsia="zh-CN"/>
        </w:rPr>
        <w:t>ZJXL-MY-202088</w:t>
      </w:r>
      <w:r>
        <w:rPr>
          <w:rFonts w:hint="eastAsia"/>
          <w:color w:val="auto"/>
        </w:rPr>
        <w:t>的</w:t>
      </w:r>
      <w:r>
        <w:rPr>
          <w:rFonts w:hint="eastAsia"/>
          <w:color w:val="auto"/>
          <w:u w:val="single"/>
        </w:rPr>
        <w:tab/>
      </w:r>
      <w:r>
        <w:rPr>
          <w:rFonts w:hint="eastAsia"/>
          <w:color w:val="auto"/>
          <w:u w:val="single"/>
          <w:lang w:eastAsia="zh-CN"/>
        </w:rPr>
        <w:t>美术馆文物智能展柜及配套设备采购</w:t>
      </w:r>
      <w:r>
        <w:rPr>
          <w:rFonts w:hint="eastAsia"/>
          <w:color w:val="auto"/>
        </w:rPr>
        <w:t>的招标文件，遵照《中华人民共和国政府采购法》等有关规定，我单位经研究上述招标文件的投标人须知、招标项目技术要求、招标项目商务要求、合同条款及其他招标文件的有关文件后，我方愿以开标一览表中的投标总报价参与本项目的竞标。</w:t>
      </w:r>
    </w:p>
    <w:p>
      <w:pPr>
        <w:ind w:firstLine="420"/>
        <w:rPr>
          <w:rFonts w:ascii="宋体"/>
          <w:color w:val="auto"/>
          <w:szCs w:val="21"/>
        </w:rPr>
      </w:pPr>
      <w:r>
        <w:rPr>
          <w:rFonts w:ascii="宋体" w:hAnsi="宋体"/>
          <w:color w:val="auto"/>
          <w:szCs w:val="21"/>
        </w:rPr>
        <w:t>2</w:t>
      </w:r>
      <w:r>
        <w:rPr>
          <w:rFonts w:hint="eastAsia" w:ascii="宋体" w:hAnsi="宋体"/>
          <w:color w:val="auto"/>
          <w:szCs w:val="21"/>
        </w:rPr>
        <w:t>、我方同意在投标人须知前附表规定的开标日期起遵守本投标书中的承诺且在投标有效期满之前均具有约束力。</w:t>
      </w:r>
    </w:p>
    <w:p>
      <w:pPr>
        <w:ind w:firstLine="420"/>
        <w:rPr>
          <w:rFonts w:ascii="宋体"/>
          <w:color w:val="auto"/>
          <w:szCs w:val="21"/>
        </w:rPr>
      </w:pPr>
      <w:r>
        <w:rPr>
          <w:rFonts w:ascii="宋体" w:hAnsi="宋体"/>
          <w:color w:val="auto"/>
          <w:szCs w:val="21"/>
        </w:rPr>
        <w:t>3</w:t>
      </w:r>
      <w:r>
        <w:rPr>
          <w:rFonts w:hint="eastAsia" w:ascii="宋体" w:hAnsi="宋体"/>
          <w:color w:val="auto"/>
          <w:szCs w:val="21"/>
        </w:rPr>
        <w:t>、我方承诺已经具备《中华人民共和国政府采购法》中第二十二条相关规定的参加政府采购活动的投标人应当具备的条件。</w:t>
      </w:r>
    </w:p>
    <w:p>
      <w:pPr>
        <w:ind w:firstLine="420"/>
        <w:rPr>
          <w:color w:val="auto"/>
        </w:rPr>
      </w:pPr>
      <w:r>
        <w:rPr>
          <w:color w:val="auto"/>
        </w:rPr>
        <w:t>4</w:t>
      </w:r>
      <w:r>
        <w:rPr>
          <w:rFonts w:hint="eastAsia"/>
          <w:color w:val="auto"/>
        </w:rPr>
        <w:t>、编制和提交招标文件规定的全部投标文件，包括：</w:t>
      </w:r>
    </w:p>
    <w:p>
      <w:pPr>
        <w:ind w:firstLine="420"/>
        <w:rPr>
          <w:color w:val="auto"/>
        </w:rPr>
      </w:pPr>
      <w:r>
        <w:rPr>
          <w:rFonts w:ascii="宋体" w:hAnsi="宋体"/>
          <w:color w:val="auto"/>
          <w:szCs w:val="21"/>
        </w:rPr>
        <w:t>4.1</w:t>
      </w:r>
      <w:r>
        <w:rPr>
          <w:rFonts w:hint="eastAsia" w:ascii="宋体" w:hAnsi="宋体"/>
          <w:color w:val="auto"/>
          <w:szCs w:val="21"/>
        </w:rPr>
        <w:t>资格证明文件</w:t>
      </w:r>
    </w:p>
    <w:p>
      <w:pPr>
        <w:ind w:firstLine="420"/>
        <w:rPr>
          <w:rFonts w:ascii="宋体"/>
          <w:color w:val="auto"/>
          <w:szCs w:val="21"/>
        </w:rPr>
      </w:pPr>
      <w:r>
        <w:rPr>
          <w:rFonts w:ascii="宋体" w:hAnsi="宋体"/>
          <w:color w:val="auto"/>
          <w:szCs w:val="21"/>
        </w:rPr>
        <w:t>4</w:t>
      </w:r>
      <w:r>
        <w:rPr>
          <w:rFonts w:ascii="宋体"/>
          <w:color w:val="auto"/>
          <w:szCs w:val="21"/>
        </w:rPr>
        <w:t>.</w:t>
      </w:r>
      <w:r>
        <w:rPr>
          <w:rFonts w:ascii="宋体" w:hAnsi="宋体"/>
          <w:color w:val="auto"/>
          <w:szCs w:val="21"/>
        </w:rPr>
        <w:t>2</w:t>
      </w:r>
      <w:r>
        <w:rPr>
          <w:rFonts w:hint="eastAsia" w:ascii="宋体" w:hAnsi="宋体"/>
          <w:color w:val="auto"/>
          <w:szCs w:val="21"/>
        </w:rPr>
        <w:t>报价文件</w:t>
      </w:r>
    </w:p>
    <w:p>
      <w:pPr>
        <w:ind w:firstLine="420"/>
        <w:rPr>
          <w:rFonts w:ascii="宋体" w:hAnsi="宋体"/>
          <w:color w:val="auto"/>
          <w:szCs w:val="21"/>
        </w:rPr>
      </w:pPr>
      <w:r>
        <w:rPr>
          <w:rFonts w:ascii="宋体" w:hAnsi="宋体"/>
          <w:color w:val="auto"/>
          <w:szCs w:val="21"/>
        </w:rPr>
        <w:t>4.3</w:t>
      </w:r>
      <w:r>
        <w:rPr>
          <w:rFonts w:hint="eastAsia" w:ascii="宋体" w:hAnsi="宋体"/>
          <w:color w:val="auto"/>
          <w:szCs w:val="21"/>
        </w:rPr>
        <w:t>商务技术文件</w:t>
      </w:r>
    </w:p>
    <w:p>
      <w:pPr>
        <w:ind w:firstLine="420"/>
        <w:rPr>
          <w:rFonts w:ascii="宋体"/>
          <w:color w:val="auto"/>
          <w:szCs w:val="21"/>
        </w:rPr>
      </w:pPr>
      <w:r>
        <w:rPr>
          <w:rFonts w:ascii="宋体" w:hAnsi="宋体"/>
          <w:color w:val="auto"/>
          <w:szCs w:val="21"/>
        </w:rPr>
        <w:t>5</w:t>
      </w:r>
      <w:r>
        <w:rPr>
          <w:rFonts w:hint="eastAsia" w:ascii="宋体" w:hAnsi="宋体"/>
          <w:color w:val="auto"/>
          <w:szCs w:val="21"/>
        </w:rPr>
        <w:t>、</w:t>
      </w:r>
      <w:r>
        <w:rPr>
          <w:rFonts w:hint="eastAsia" w:ascii="宋体" w:hAnsi="宋体" w:cs="宋体"/>
          <w:color w:val="auto"/>
        </w:rPr>
        <w:t>我方承诺在确认中标后5个工作日内支付采购代理服务费。</w:t>
      </w:r>
    </w:p>
    <w:p>
      <w:pPr>
        <w:ind w:firstLine="420"/>
        <w:rPr>
          <w:rFonts w:ascii="宋体"/>
          <w:color w:val="auto"/>
          <w:szCs w:val="21"/>
        </w:rPr>
      </w:pPr>
      <w:r>
        <w:rPr>
          <w:rFonts w:ascii="宋体" w:hAnsi="宋体"/>
          <w:color w:val="auto"/>
          <w:szCs w:val="21"/>
        </w:rPr>
        <w:t>6</w:t>
      </w:r>
      <w:r>
        <w:rPr>
          <w:rFonts w:hint="eastAsia" w:ascii="宋体" w:hAnsi="宋体"/>
          <w:color w:val="auto"/>
          <w:szCs w:val="21"/>
        </w:rPr>
        <w:t>、我方完全理解最低价并非是中标的保证。</w:t>
      </w:r>
    </w:p>
    <w:p>
      <w:pPr>
        <w:ind w:firstLine="420"/>
        <w:rPr>
          <w:rFonts w:ascii="宋体"/>
          <w:color w:val="auto"/>
          <w:szCs w:val="21"/>
        </w:rPr>
      </w:pPr>
      <w:r>
        <w:rPr>
          <w:rFonts w:ascii="宋体" w:hAnsi="宋体"/>
          <w:color w:val="auto"/>
          <w:szCs w:val="21"/>
        </w:rPr>
        <w:t>7</w:t>
      </w:r>
      <w:r>
        <w:rPr>
          <w:rFonts w:hint="eastAsia" w:ascii="宋体" w:hAnsi="宋体"/>
          <w:color w:val="auto"/>
          <w:szCs w:val="21"/>
        </w:rPr>
        <w:t>、我方愿意向贵方提供任何与该项投标有关的数据、情况和技术资料。若贵方需要，我方愿意提供我方作出的一切承诺的证明材料。</w:t>
      </w:r>
    </w:p>
    <w:p>
      <w:pPr>
        <w:ind w:firstLine="420"/>
        <w:rPr>
          <w:rFonts w:ascii="宋体"/>
          <w:color w:val="auto"/>
          <w:szCs w:val="21"/>
        </w:rPr>
      </w:pPr>
      <w:r>
        <w:rPr>
          <w:rFonts w:ascii="宋体" w:hAnsi="宋体"/>
          <w:color w:val="auto"/>
          <w:szCs w:val="21"/>
        </w:rPr>
        <w:t>8</w:t>
      </w:r>
      <w:r>
        <w:rPr>
          <w:rFonts w:hint="eastAsia" w:ascii="宋体" w:hAnsi="宋体"/>
          <w:color w:val="auto"/>
          <w:szCs w:val="21"/>
        </w:rPr>
        <w:t>、我方已详细审核全部招标文件，包括招标文件的澄清或修改（如有的话）、参考资料及有关附件，确认无异议。</w:t>
      </w:r>
    </w:p>
    <w:p>
      <w:pPr>
        <w:ind w:firstLine="420"/>
        <w:rPr>
          <w:rFonts w:ascii="宋体"/>
          <w:color w:val="auto"/>
          <w:szCs w:val="21"/>
        </w:rPr>
      </w:pPr>
      <w:r>
        <w:rPr>
          <w:rFonts w:ascii="宋体" w:hAnsi="宋体"/>
          <w:color w:val="auto"/>
          <w:szCs w:val="21"/>
        </w:rPr>
        <w:t>9</w:t>
      </w:r>
      <w:r>
        <w:rPr>
          <w:rFonts w:hint="eastAsia" w:ascii="宋体" w:hAnsi="宋体"/>
          <w:color w:val="auto"/>
          <w:szCs w:val="21"/>
        </w:rPr>
        <w:t>、我方将严格遵守《中华人民共和国政府采购法》第七十七条规定，投标人有下列情形之一的，处以采购金额</w:t>
      </w:r>
      <w:r>
        <w:rPr>
          <w:rFonts w:ascii="宋体" w:hAnsi="宋体"/>
          <w:color w:val="auto"/>
          <w:szCs w:val="21"/>
        </w:rPr>
        <w:t>5</w:t>
      </w:r>
      <w:r>
        <w:rPr>
          <w:rFonts w:hint="eastAsia" w:ascii="宋体" w:hAnsi="宋体"/>
          <w:color w:val="auto"/>
          <w:szCs w:val="21"/>
        </w:rPr>
        <w:t>‰以上</w:t>
      </w:r>
      <w:r>
        <w:rPr>
          <w:rFonts w:ascii="宋体" w:hAnsi="宋体"/>
          <w:color w:val="auto"/>
          <w:szCs w:val="21"/>
        </w:rPr>
        <w:t>10</w:t>
      </w:r>
      <w:r>
        <w:rPr>
          <w:rFonts w:hint="eastAsia" w:ascii="宋体" w:hAnsi="宋体"/>
          <w:color w:val="auto"/>
          <w:szCs w:val="21"/>
        </w:rPr>
        <w:t>‰以下的罚款，列入不良行为记录名单，在一至三年内禁止参加政府采购活动，有违法所得的，并处没收违法所得；情节严重的，由工商行政管理机关吊销营业执照；构成犯罪的，依法追究刑事责任：</w:t>
      </w:r>
    </w:p>
    <w:p>
      <w:pPr>
        <w:ind w:firstLine="420"/>
        <w:rPr>
          <w:color w:val="auto"/>
        </w:rPr>
      </w:pPr>
      <w:r>
        <w:rPr>
          <w:color w:val="auto"/>
        </w:rPr>
        <w:t>9.1</w:t>
      </w:r>
      <w:r>
        <w:rPr>
          <w:rFonts w:hint="eastAsia"/>
          <w:color w:val="auto"/>
        </w:rPr>
        <w:t>提供虚假材料谋取中标、成交的；</w:t>
      </w:r>
    </w:p>
    <w:p>
      <w:pPr>
        <w:ind w:firstLine="420"/>
        <w:rPr>
          <w:color w:val="auto"/>
        </w:rPr>
      </w:pPr>
      <w:r>
        <w:rPr>
          <w:color w:val="auto"/>
        </w:rPr>
        <w:t>9.2</w:t>
      </w:r>
      <w:r>
        <w:rPr>
          <w:rFonts w:hint="eastAsia"/>
          <w:color w:val="auto"/>
        </w:rPr>
        <w:t>采取不正当手段诋毁、排挤其他投标人的；</w:t>
      </w:r>
    </w:p>
    <w:p>
      <w:pPr>
        <w:ind w:firstLine="420"/>
        <w:rPr>
          <w:color w:val="auto"/>
        </w:rPr>
      </w:pPr>
      <w:r>
        <w:rPr>
          <w:color w:val="auto"/>
        </w:rPr>
        <w:t>9.3</w:t>
      </w:r>
      <w:r>
        <w:rPr>
          <w:rFonts w:hint="eastAsia"/>
          <w:color w:val="auto"/>
        </w:rPr>
        <w:t>与招标人、其它投标人或者采购代理机构恶意串通的；</w:t>
      </w:r>
    </w:p>
    <w:p>
      <w:pPr>
        <w:ind w:firstLine="420"/>
        <w:rPr>
          <w:color w:val="auto"/>
        </w:rPr>
      </w:pPr>
      <w:r>
        <w:rPr>
          <w:color w:val="auto"/>
        </w:rPr>
        <w:t>9.4</w:t>
      </w:r>
      <w:r>
        <w:rPr>
          <w:rFonts w:hint="eastAsia"/>
          <w:color w:val="auto"/>
        </w:rPr>
        <w:t>向招标人、采购代理机构行贿或者提供其他不正当利益的；</w:t>
      </w:r>
    </w:p>
    <w:p>
      <w:pPr>
        <w:ind w:firstLine="420"/>
        <w:rPr>
          <w:color w:val="auto"/>
        </w:rPr>
      </w:pPr>
      <w:r>
        <w:rPr>
          <w:color w:val="auto"/>
        </w:rPr>
        <w:t>9.5</w:t>
      </w:r>
      <w:r>
        <w:rPr>
          <w:rFonts w:hint="eastAsia"/>
          <w:color w:val="auto"/>
        </w:rPr>
        <w:t>在招标采购过程中与招标人进行协商谈判的；</w:t>
      </w:r>
    </w:p>
    <w:p>
      <w:pPr>
        <w:ind w:firstLine="420"/>
        <w:rPr>
          <w:color w:val="auto"/>
        </w:rPr>
      </w:pPr>
      <w:r>
        <w:rPr>
          <w:color w:val="auto"/>
        </w:rPr>
        <w:t>9.6</w:t>
      </w:r>
      <w:r>
        <w:rPr>
          <w:rFonts w:hint="eastAsia"/>
          <w:color w:val="auto"/>
        </w:rPr>
        <w:t>拒绝有关部门监督检查或提供虚假情况的。</w:t>
      </w:r>
    </w:p>
    <w:p>
      <w:pPr>
        <w:ind w:firstLine="409" w:firstLineChars="195"/>
        <w:rPr>
          <w:rFonts w:ascii="宋体" w:hAnsi="宋体"/>
          <w:color w:val="auto"/>
          <w:szCs w:val="21"/>
        </w:rPr>
      </w:pPr>
      <w:r>
        <w:rPr>
          <w:rFonts w:hint="eastAsia" w:ascii="宋体" w:hAnsi="宋体"/>
          <w:color w:val="auto"/>
          <w:szCs w:val="21"/>
        </w:rPr>
        <w:t>投标人有前款第</w:t>
      </w:r>
      <w:r>
        <w:rPr>
          <w:rFonts w:ascii="宋体" w:hAnsi="宋体"/>
          <w:color w:val="auto"/>
          <w:szCs w:val="21"/>
        </w:rPr>
        <w:t>9.1</w:t>
      </w:r>
      <w:r>
        <w:rPr>
          <w:rFonts w:hint="eastAsia" w:ascii="宋体" w:hAnsi="宋体"/>
          <w:color w:val="auto"/>
          <w:szCs w:val="21"/>
        </w:rPr>
        <w:t>至</w:t>
      </w:r>
      <w:r>
        <w:rPr>
          <w:rFonts w:ascii="宋体" w:hAnsi="宋体"/>
          <w:color w:val="auto"/>
          <w:szCs w:val="21"/>
        </w:rPr>
        <w:t>9.5</w:t>
      </w:r>
      <w:r>
        <w:rPr>
          <w:rFonts w:hint="eastAsia" w:ascii="宋体" w:hAnsi="宋体"/>
          <w:color w:val="auto"/>
          <w:szCs w:val="21"/>
        </w:rPr>
        <w:t>项情形之一的</w:t>
      </w:r>
      <w:r>
        <w:rPr>
          <w:rFonts w:ascii="宋体"/>
          <w:color w:val="auto"/>
          <w:szCs w:val="21"/>
        </w:rPr>
        <w:t>,</w:t>
      </w:r>
      <w:r>
        <w:rPr>
          <w:rFonts w:hint="eastAsia" w:ascii="宋体" w:hAnsi="宋体"/>
          <w:color w:val="auto"/>
          <w:szCs w:val="21"/>
        </w:rPr>
        <w:t>中标、成交无效。</w:t>
      </w:r>
    </w:p>
    <w:p>
      <w:pPr>
        <w:ind w:firstLine="420"/>
        <w:rPr>
          <w:color w:val="auto"/>
        </w:rPr>
      </w:pPr>
      <w:r>
        <w:rPr>
          <w:rFonts w:hint="eastAsia"/>
          <w:color w:val="auto"/>
        </w:rPr>
        <w:t>10、我方承诺在中标后放弃中标的，将赔偿专家评审费、代理机构场地费、资料费、通讯费、人工费等，赔偿金额为成交金额2%。</w:t>
      </w:r>
    </w:p>
    <w:p>
      <w:pPr>
        <w:pStyle w:val="3"/>
        <w:ind w:firstLine="210"/>
        <w:rPr>
          <w:color w:val="auto"/>
        </w:rPr>
      </w:pPr>
    </w:p>
    <w:p>
      <w:pPr>
        <w:ind w:firstLine="420"/>
        <w:rPr>
          <w:rFonts w:ascii="宋体" w:hAnsi="宋体" w:cs="宋体"/>
          <w:color w:val="auto"/>
        </w:rPr>
      </w:pPr>
    </w:p>
    <w:p>
      <w:pPr>
        <w:ind w:firstLine="420"/>
        <w:rPr>
          <w:color w:val="auto"/>
        </w:rPr>
      </w:pPr>
    </w:p>
    <w:p>
      <w:pPr>
        <w:ind w:firstLine="420"/>
        <w:rPr>
          <w:color w:val="auto"/>
        </w:rPr>
      </w:pPr>
      <w:r>
        <w:rPr>
          <w:rFonts w:hint="eastAsia"/>
          <w:color w:val="auto"/>
        </w:rPr>
        <w:t>法人代表签字或盖章：</w:t>
      </w:r>
    </w:p>
    <w:p>
      <w:pPr>
        <w:ind w:firstLine="420"/>
        <w:rPr>
          <w:color w:val="auto"/>
        </w:rPr>
      </w:pPr>
      <w:r>
        <w:rPr>
          <w:rFonts w:hint="eastAsia"/>
          <w:color w:val="auto"/>
        </w:rPr>
        <w:t>授权委托人签字或盖章：</w:t>
      </w:r>
    </w:p>
    <w:p>
      <w:pPr>
        <w:ind w:firstLine="420"/>
        <w:rPr>
          <w:color w:val="auto"/>
        </w:rPr>
      </w:pPr>
      <w:r>
        <w:rPr>
          <w:rFonts w:hint="eastAsia"/>
          <w:color w:val="auto"/>
        </w:rPr>
        <w:t>公司盖章：</w:t>
      </w:r>
    </w:p>
    <w:p>
      <w:pPr>
        <w:ind w:firstLine="420"/>
        <w:rPr>
          <w:color w:val="auto"/>
        </w:rPr>
      </w:pPr>
      <w:r>
        <w:rPr>
          <w:rFonts w:hint="eastAsia"/>
          <w:color w:val="auto"/>
        </w:rPr>
        <w:t>联系人：联系电话：</w:t>
      </w:r>
    </w:p>
    <w:p>
      <w:pPr>
        <w:ind w:firstLine="420"/>
        <w:rPr>
          <w:color w:val="auto"/>
        </w:rPr>
      </w:pPr>
      <w:r>
        <w:rPr>
          <w:rFonts w:hint="eastAsia"/>
          <w:color w:val="auto"/>
        </w:rPr>
        <w:t>联系地址：</w:t>
      </w:r>
    </w:p>
    <w:p>
      <w:pPr>
        <w:ind w:firstLine="420"/>
        <w:rPr>
          <w:color w:val="auto"/>
        </w:rPr>
      </w:pPr>
      <w:r>
        <w:rPr>
          <w:rFonts w:hint="eastAsia"/>
          <w:color w:val="auto"/>
        </w:rPr>
        <w:t>邮政编码：传真号码：</w:t>
      </w:r>
    </w:p>
    <w:p>
      <w:pPr>
        <w:ind w:firstLine="420"/>
        <w:rPr>
          <w:color w:val="auto"/>
        </w:rPr>
      </w:pPr>
      <w:r>
        <w:rPr>
          <w:rFonts w:hint="eastAsia"/>
          <w:color w:val="auto"/>
        </w:rPr>
        <w:t>日期：年月日</w:t>
      </w:r>
    </w:p>
    <w:p>
      <w:pPr>
        <w:ind w:firstLine="0" w:firstLineChars="0"/>
        <w:rPr>
          <w:rFonts w:ascii="宋体" w:hAnsi="宋体"/>
          <w:color w:val="auto"/>
          <w:szCs w:val="21"/>
        </w:rPr>
      </w:pPr>
    </w:p>
    <w:p>
      <w:pPr>
        <w:ind w:firstLine="0" w:firstLineChars="0"/>
        <w:rPr>
          <w:rFonts w:ascii="宋体" w:hAnsi="宋体"/>
          <w:color w:val="auto"/>
          <w:szCs w:val="21"/>
        </w:rPr>
      </w:pPr>
    </w:p>
    <w:p>
      <w:pPr>
        <w:ind w:firstLine="0" w:firstLineChars="0"/>
        <w:rPr>
          <w:rFonts w:ascii="宋体"/>
          <w:color w:val="auto"/>
          <w:szCs w:val="21"/>
        </w:rPr>
      </w:pPr>
      <w:r>
        <w:rPr>
          <w:rFonts w:hint="eastAsia" w:ascii="宋体" w:hAnsi="宋体"/>
          <w:color w:val="auto"/>
          <w:szCs w:val="21"/>
        </w:rPr>
        <w:t>注：未按照本投标函要求填报的将被视为非实质性响应投标，从而可能导致该投标被拒绝</w:t>
      </w:r>
    </w:p>
    <w:p>
      <w:pPr>
        <w:pStyle w:val="7"/>
        <w:rPr>
          <w:color w:val="auto"/>
        </w:rPr>
      </w:pPr>
      <w:r>
        <w:rPr>
          <w:color w:val="auto"/>
        </w:rPr>
        <w:br w:type="page"/>
      </w:r>
      <w:r>
        <w:rPr>
          <w:rFonts w:hint="eastAsia"/>
          <w:color w:val="auto"/>
        </w:rPr>
        <w:t>附件二 开标一览表</w:t>
      </w:r>
    </w:p>
    <w:p>
      <w:pPr>
        <w:pStyle w:val="3"/>
        <w:ind w:firstLine="0" w:firstLineChars="0"/>
        <w:jc w:val="center"/>
        <w:rPr>
          <w:rFonts w:ascii="宋体" w:hAnsi="宋体" w:eastAsia="宋体"/>
          <w:b/>
          <w:color w:val="auto"/>
          <w:sz w:val="32"/>
          <w:szCs w:val="32"/>
        </w:rPr>
      </w:pPr>
    </w:p>
    <w:p>
      <w:pPr>
        <w:pStyle w:val="3"/>
        <w:ind w:firstLine="0" w:firstLineChars="0"/>
        <w:jc w:val="center"/>
        <w:rPr>
          <w:rFonts w:ascii="宋体" w:hAnsi="宋体" w:eastAsia="宋体"/>
          <w:b/>
          <w:color w:val="auto"/>
          <w:sz w:val="32"/>
          <w:szCs w:val="32"/>
        </w:rPr>
      </w:pPr>
      <w:r>
        <w:rPr>
          <w:rFonts w:hint="eastAsia" w:ascii="宋体" w:hAnsi="宋体" w:eastAsia="宋体"/>
          <w:b/>
          <w:color w:val="auto"/>
          <w:sz w:val="32"/>
          <w:szCs w:val="32"/>
        </w:rPr>
        <w:t>开标一览表</w:t>
      </w:r>
    </w:p>
    <w:p>
      <w:pPr>
        <w:pStyle w:val="3"/>
        <w:ind w:firstLine="210"/>
        <w:rPr>
          <w:rFonts w:ascii="宋体" w:hAnsi="宋体" w:eastAsia="宋体"/>
          <w:color w:val="auto"/>
        </w:rPr>
      </w:pPr>
    </w:p>
    <w:p>
      <w:pPr>
        <w:adjustRightInd w:val="0"/>
        <w:snapToGrid w:val="0"/>
        <w:ind w:firstLine="0" w:firstLineChars="0"/>
        <w:rPr>
          <w:rFonts w:ascii="宋体" w:hAnsi="宋体" w:cs="宋体"/>
          <w:color w:val="auto"/>
          <w:szCs w:val="21"/>
        </w:rPr>
      </w:pPr>
      <w:r>
        <w:rPr>
          <w:rFonts w:hint="eastAsia" w:ascii="宋体" w:hAnsi="宋体" w:cs="宋体"/>
          <w:color w:val="auto"/>
          <w:spacing w:val="20"/>
          <w:szCs w:val="21"/>
        </w:rPr>
        <w:t xml:space="preserve">项目名称：                                 招标编号：            </w:t>
      </w:r>
    </w:p>
    <w:tbl>
      <w:tblPr>
        <w:tblStyle w:val="23"/>
        <w:tblW w:w="10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2477"/>
        <w:gridCol w:w="1991"/>
        <w:gridCol w:w="1977"/>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623" w:type="dxa"/>
            <w:vAlign w:val="center"/>
          </w:tcPr>
          <w:p>
            <w:pPr>
              <w:pStyle w:val="9"/>
              <w:ind w:firstLine="0"/>
              <w:jc w:val="center"/>
              <w:rPr>
                <w:rFonts w:ascii="宋体" w:hAnsi="宋体"/>
                <w:color w:val="auto"/>
                <w:szCs w:val="21"/>
              </w:rPr>
            </w:pPr>
            <w:r>
              <w:rPr>
                <w:rFonts w:hint="eastAsia" w:ascii="宋体" w:hAnsi="宋体"/>
                <w:color w:val="auto"/>
                <w:szCs w:val="21"/>
              </w:rPr>
              <w:t>项目（标段号）名称</w:t>
            </w:r>
          </w:p>
        </w:tc>
        <w:tc>
          <w:tcPr>
            <w:tcW w:w="2477" w:type="dxa"/>
            <w:vAlign w:val="center"/>
          </w:tcPr>
          <w:p>
            <w:pPr>
              <w:pStyle w:val="9"/>
              <w:ind w:firstLine="0"/>
              <w:jc w:val="center"/>
              <w:rPr>
                <w:rFonts w:ascii="宋体" w:hAnsi="宋体"/>
                <w:color w:val="auto"/>
                <w:szCs w:val="21"/>
              </w:rPr>
            </w:pPr>
            <w:r>
              <w:rPr>
                <w:rFonts w:hint="eastAsia" w:ascii="宋体" w:hAnsi="宋体"/>
                <w:color w:val="auto"/>
                <w:szCs w:val="21"/>
              </w:rPr>
              <w:t>投标报价（元）</w:t>
            </w:r>
          </w:p>
        </w:tc>
        <w:tc>
          <w:tcPr>
            <w:tcW w:w="1991" w:type="dxa"/>
            <w:vAlign w:val="center"/>
          </w:tcPr>
          <w:p>
            <w:pPr>
              <w:pStyle w:val="9"/>
              <w:ind w:firstLine="0"/>
              <w:jc w:val="center"/>
              <w:rPr>
                <w:rFonts w:ascii="宋体" w:hAnsi="宋体"/>
                <w:color w:val="auto"/>
                <w:szCs w:val="21"/>
              </w:rPr>
            </w:pPr>
            <w:r>
              <w:rPr>
                <w:rFonts w:hint="eastAsia" w:ascii="宋体" w:hAnsi="宋体"/>
                <w:color w:val="auto"/>
                <w:szCs w:val="21"/>
              </w:rPr>
              <w:t>工期（交货期）</w:t>
            </w:r>
          </w:p>
        </w:tc>
        <w:tc>
          <w:tcPr>
            <w:tcW w:w="1977" w:type="dxa"/>
            <w:vAlign w:val="center"/>
          </w:tcPr>
          <w:p>
            <w:pPr>
              <w:pStyle w:val="9"/>
              <w:ind w:firstLine="0"/>
              <w:jc w:val="center"/>
              <w:rPr>
                <w:rFonts w:ascii="宋体" w:hAnsi="宋体"/>
                <w:color w:val="auto"/>
                <w:szCs w:val="21"/>
              </w:rPr>
            </w:pPr>
            <w:r>
              <w:rPr>
                <w:rFonts w:hint="eastAsia" w:ascii="宋体" w:hAnsi="宋体"/>
                <w:color w:val="auto"/>
                <w:szCs w:val="21"/>
              </w:rPr>
              <w:t>质保期</w:t>
            </w:r>
          </w:p>
        </w:tc>
        <w:tc>
          <w:tcPr>
            <w:tcW w:w="2305" w:type="dxa"/>
            <w:vAlign w:val="center"/>
          </w:tcPr>
          <w:p>
            <w:pPr>
              <w:pStyle w:val="9"/>
              <w:ind w:firstLine="0"/>
              <w:jc w:val="center"/>
              <w:rPr>
                <w:rFonts w:ascii="宋体" w:hAnsi="宋体"/>
                <w:color w:val="auto"/>
                <w:szCs w:val="21"/>
              </w:rPr>
            </w:pPr>
            <w:r>
              <w:rPr>
                <w:rFonts w:hint="eastAsia" w:ascii="宋体" w:hAnsi="宋体"/>
                <w:color w:val="auto"/>
                <w:szCs w:val="21"/>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1623" w:type="dxa"/>
            <w:vAlign w:val="center"/>
          </w:tcPr>
          <w:p>
            <w:pPr>
              <w:pStyle w:val="9"/>
              <w:jc w:val="center"/>
              <w:rPr>
                <w:rFonts w:ascii="宋体" w:hAnsi="宋体"/>
                <w:color w:val="auto"/>
                <w:szCs w:val="21"/>
              </w:rPr>
            </w:pPr>
          </w:p>
        </w:tc>
        <w:tc>
          <w:tcPr>
            <w:tcW w:w="2477" w:type="dxa"/>
            <w:vAlign w:val="center"/>
          </w:tcPr>
          <w:p>
            <w:pPr>
              <w:pStyle w:val="9"/>
              <w:ind w:firstLine="0"/>
              <w:rPr>
                <w:rFonts w:ascii="宋体" w:hAnsi="宋体"/>
                <w:color w:val="auto"/>
                <w:szCs w:val="21"/>
              </w:rPr>
            </w:pPr>
            <w:r>
              <w:rPr>
                <w:rFonts w:hint="eastAsia" w:ascii="宋体" w:hAnsi="宋体"/>
                <w:color w:val="auto"/>
                <w:szCs w:val="21"/>
              </w:rPr>
              <w:t>小写：</w:t>
            </w:r>
          </w:p>
          <w:p>
            <w:pPr>
              <w:pStyle w:val="9"/>
              <w:ind w:firstLine="0"/>
              <w:rPr>
                <w:rFonts w:ascii="宋体" w:hAnsi="宋体"/>
                <w:color w:val="auto"/>
                <w:szCs w:val="21"/>
              </w:rPr>
            </w:pPr>
            <w:r>
              <w:rPr>
                <w:rFonts w:hint="eastAsia" w:ascii="宋体" w:hAnsi="宋体"/>
                <w:color w:val="auto"/>
                <w:szCs w:val="21"/>
              </w:rPr>
              <w:t>大写：</w:t>
            </w:r>
          </w:p>
        </w:tc>
        <w:tc>
          <w:tcPr>
            <w:tcW w:w="1991" w:type="dxa"/>
            <w:vAlign w:val="center"/>
          </w:tcPr>
          <w:p>
            <w:pPr>
              <w:ind w:firstLine="420"/>
              <w:jc w:val="center"/>
              <w:rPr>
                <w:rFonts w:ascii="宋体" w:hAnsi="宋体"/>
                <w:color w:val="auto"/>
                <w:szCs w:val="21"/>
              </w:rPr>
            </w:pPr>
          </w:p>
        </w:tc>
        <w:tc>
          <w:tcPr>
            <w:tcW w:w="1977" w:type="dxa"/>
            <w:vAlign w:val="center"/>
          </w:tcPr>
          <w:p>
            <w:pPr>
              <w:ind w:firstLine="420"/>
              <w:jc w:val="center"/>
              <w:rPr>
                <w:rFonts w:ascii="宋体" w:hAnsi="宋体"/>
                <w:color w:val="auto"/>
                <w:szCs w:val="21"/>
              </w:rPr>
            </w:pPr>
          </w:p>
        </w:tc>
        <w:tc>
          <w:tcPr>
            <w:tcW w:w="2305" w:type="dxa"/>
            <w:vAlign w:val="center"/>
          </w:tcPr>
          <w:p>
            <w:pPr>
              <w:ind w:firstLine="420"/>
              <w:jc w:val="center"/>
              <w:rPr>
                <w:rFonts w:ascii="宋体" w:hAnsi="宋体"/>
                <w:color w:val="auto"/>
                <w:szCs w:val="21"/>
              </w:rPr>
            </w:pPr>
          </w:p>
        </w:tc>
      </w:tr>
    </w:tbl>
    <w:p>
      <w:pPr>
        <w:pStyle w:val="13"/>
        <w:snapToGrid w:val="0"/>
        <w:jc w:val="left"/>
        <w:rPr>
          <w:rFonts w:asciiTheme="minorEastAsia" w:hAnsiTheme="minorEastAsia" w:eastAsiaTheme="minorEastAsia"/>
          <w:color w:val="auto"/>
          <w:szCs w:val="21"/>
        </w:rPr>
      </w:pPr>
    </w:p>
    <w:p>
      <w:pPr>
        <w:pStyle w:val="13"/>
        <w:snapToGrid w:val="0"/>
        <w:ind w:firstLine="315" w:firstLineChars="15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3"/>
        <w:ind w:firstLine="210"/>
        <w:rPr>
          <w:rFonts w:asciiTheme="minorEastAsia" w:hAnsiTheme="minorEastAsia" w:eastAsiaTheme="minorEastAsia"/>
          <w:color w:val="auto"/>
          <w:szCs w:val="21"/>
        </w:rPr>
      </w:pPr>
    </w:p>
    <w:p>
      <w:pPr>
        <w:adjustRightInd w:val="0"/>
        <w:snapToGrid w:val="0"/>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9"/>
        <w:rPr>
          <w:rFonts w:cs="宋体" w:asciiTheme="minorEastAsia" w:hAnsiTheme="minorEastAsia" w:eastAsiaTheme="minorEastAsia"/>
          <w:color w:val="auto"/>
          <w:szCs w:val="21"/>
        </w:rPr>
      </w:pPr>
    </w:p>
    <w:p>
      <w:pPr>
        <w:pStyle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法定代表人或授权委托人（签字或盖章）：</w:t>
      </w:r>
    </w:p>
    <w:p>
      <w:pPr>
        <w:adjustRightInd w:val="0"/>
        <w:snapToGrid w:val="0"/>
        <w:ind w:firstLine="420"/>
        <w:rPr>
          <w:rFonts w:cs="宋体" w:asciiTheme="minorEastAsia" w:hAnsiTheme="minorEastAsia" w:eastAsiaTheme="minorEastAsia"/>
          <w:color w:val="auto"/>
          <w:szCs w:val="21"/>
        </w:rPr>
      </w:pPr>
    </w:p>
    <w:p>
      <w:pPr>
        <w:adjustRightInd w:val="0"/>
        <w:snapToGrid w:val="0"/>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3"/>
        <w:ind w:firstLine="0" w:firstLineChars="0"/>
        <w:jc w:val="center"/>
        <w:rPr>
          <w:rFonts w:asciiTheme="minorEastAsia" w:hAnsiTheme="minorEastAsia" w:eastAsiaTheme="minorEastAsia"/>
          <w:b/>
          <w:color w:val="auto"/>
          <w:sz w:val="32"/>
          <w:szCs w:val="32"/>
        </w:rPr>
      </w:pPr>
    </w:p>
    <w:p>
      <w:pPr>
        <w:adjustRightInd w:val="0"/>
        <w:snapToGrid w:val="0"/>
        <w:ind w:firstLine="420"/>
        <w:rPr>
          <w:rFonts w:cs="宋体" w:asciiTheme="minorEastAsia" w:hAnsiTheme="minorEastAsia" w:eastAsiaTheme="minorEastAsia"/>
          <w:color w:val="auto"/>
          <w:szCs w:val="21"/>
        </w:rPr>
      </w:pPr>
    </w:p>
    <w:p>
      <w:pPr>
        <w:widowControl/>
        <w:ind w:firstLine="0" w:firstLineChars="0"/>
        <w:jc w:val="left"/>
        <w:rPr>
          <w:rFonts w:cs="宋体" w:asciiTheme="minorEastAsia" w:hAnsiTheme="minorEastAsia" w:eastAsiaTheme="minorEastAsia"/>
          <w:color w:val="auto"/>
          <w:szCs w:val="21"/>
        </w:rPr>
        <w:sectPr>
          <w:headerReference r:id="rId15" w:type="default"/>
          <w:footerReference r:id="rId16" w:type="default"/>
          <w:pgSz w:w="11907" w:h="16840"/>
          <w:pgMar w:top="1247" w:right="1304" w:bottom="1020" w:left="1304" w:header="720" w:footer="720" w:gutter="0"/>
          <w:cols w:space="720" w:num="1"/>
        </w:sectPr>
      </w:pPr>
    </w:p>
    <w:p>
      <w:pPr>
        <w:pStyle w:val="7"/>
        <w:rPr>
          <w:rFonts w:ascii="宋体" w:hAnsi="宋体"/>
          <w:color w:val="auto"/>
          <w:szCs w:val="21"/>
        </w:rPr>
      </w:pPr>
      <w:r>
        <w:rPr>
          <w:rFonts w:hint="eastAsia" w:ascii="宋体" w:hAnsi="宋体"/>
          <w:color w:val="auto"/>
          <w:szCs w:val="21"/>
        </w:rPr>
        <w:t>附件三 投标报价明细表</w:t>
      </w:r>
    </w:p>
    <w:tbl>
      <w:tblPr>
        <w:tblStyle w:val="24"/>
        <w:tblpPr w:leftFromText="180" w:rightFromText="180" w:vertAnchor="text" w:tblpX="15644" w:tblpY="126"/>
        <w:tblOverlap w:val="never"/>
        <w:tblW w:w="1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99" w:type="dxa"/>
          </w:tcPr>
          <w:p>
            <w:pPr>
              <w:ind w:firstLine="420"/>
              <w:rPr>
                <w:rFonts w:ascii="宋体" w:hAnsi="宋体" w:eastAsia="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99" w:type="dxa"/>
          </w:tcPr>
          <w:p>
            <w:pPr>
              <w:ind w:firstLine="420"/>
              <w:rPr>
                <w:rFonts w:ascii="宋体" w:hAnsi="宋体" w:eastAsia="Times New Roman"/>
                <w:color w:val="auto"/>
              </w:rPr>
            </w:pPr>
          </w:p>
        </w:tc>
      </w:tr>
    </w:tbl>
    <w:p>
      <w:pPr>
        <w:ind w:firstLine="420"/>
        <w:rPr>
          <w:rFonts w:ascii="宋体" w:hAnsi="宋体"/>
          <w:color w:val="auto"/>
        </w:rPr>
      </w:pPr>
    </w:p>
    <w:p>
      <w:pPr>
        <w:pStyle w:val="3"/>
        <w:ind w:firstLine="0" w:firstLineChars="0"/>
        <w:jc w:val="center"/>
        <w:rPr>
          <w:rFonts w:ascii="宋体" w:hAnsi="宋体" w:eastAsia="宋体"/>
          <w:b/>
          <w:color w:val="auto"/>
          <w:sz w:val="32"/>
          <w:szCs w:val="32"/>
        </w:rPr>
      </w:pPr>
      <w:r>
        <w:rPr>
          <w:rFonts w:hint="eastAsia" w:ascii="宋体" w:hAnsi="宋体" w:eastAsia="宋体" w:cs="宋体"/>
          <w:b/>
          <w:color w:val="auto"/>
          <w:sz w:val="32"/>
          <w:szCs w:val="32"/>
        </w:rPr>
        <w:t>投标报价明细表</w:t>
      </w:r>
    </w:p>
    <w:p>
      <w:pPr>
        <w:pStyle w:val="3"/>
        <w:ind w:firstLine="210"/>
        <w:rPr>
          <w:rFonts w:ascii="宋体" w:hAnsi="宋体" w:eastAsia="宋体"/>
          <w:color w:val="auto"/>
        </w:rPr>
      </w:pPr>
    </w:p>
    <w:p>
      <w:pPr>
        <w:adjustRightInd w:val="0"/>
        <w:snapToGrid w:val="0"/>
        <w:ind w:firstLine="735" w:firstLineChars="350"/>
        <w:rPr>
          <w:rFonts w:ascii="宋体" w:hAnsi="宋体" w:cs="宋体"/>
          <w:color w:val="auto"/>
          <w:szCs w:val="21"/>
        </w:rPr>
      </w:pPr>
      <w:r>
        <w:rPr>
          <w:rFonts w:hint="eastAsia" w:ascii="宋体" w:hAnsi="宋体" w:cs="宋体"/>
          <w:color w:val="auto"/>
          <w:szCs w:val="21"/>
        </w:rPr>
        <w:t>项目名称：                                招标编号：                           （价格单位：元人民币）</w:t>
      </w:r>
    </w:p>
    <w:tbl>
      <w:tblPr>
        <w:tblStyle w:val="23"/>
        <w:tblW w:w="13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925"/>
        <w:gridCol w:w="1085"/>
        <w:gridCol w:w="1066"/>
        <w:gridCol w:w="1337"/>
        <w:gridCol w:w="1331"/>
        <w:gridCol w:w="851"/>
        <w:gridCol w:w="992"/>
        <w:gridCol w:w="1276"/>
        <w:gridCol w:w="127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color w:val="auto"/>
                <w:szCs w:val="21"/>
              </w:rPr>
            </w:pPr>
            <w:r>
              <w:rPr>
                <w:rFonts w:hint="eastAsia" w:ascii="宋体" w:hAnsi="宋体" w:cs="宋体"/>
                <w:color w:val="auto"/>
                <w:szCs w:val="21"/>
              </w:rPr>
              <w:t>序号</w:t>
            </w:r>
          </w:p>
        </w:tc>
        <w:tc>
          <w:tcPr>
            <w:tcW w:w="1925" w:type="dxa"/>
            <w:vAlign w:val="center"/>
          </w:tcPr>
          <w:p>
            <w:pPr>
              <w:ind w:firstLine="0" w:firstLineChars="0"/>
              <w:jc w:val="center"/>
              <w:rPr>
                <w:rFonts w:ascii="宋体" w:hAnsi="宋体" w:cs="宋体"/>
                <w:color w:val="auto"/>
                <w:szCs w:val="21"/>
              </w:rPr>
            </w:pPr>
            <w:r>
              <w:rPr>
                <w:rFonts w:hint="eastAsia" w:ascii="宋体" w:hAnsi="宋体" w:cs="宋体"/>
                <w:color w:val="auto"/>
                <w:szCs w:val="21"/>
              </w:rPr>
              <w:t>货物名称/内容</w:t>
            </w:r>
          </w:p>
        </w:tc>
        <w:tc>
          <w:tcPr>
            <w:tcW w:w="1085" w:type="dxa"/>
            <w:tcBorders>
              <w:right w:val="single" w:color="auto" w:sz="2" w:space="0"/>
            </w:tcBorders>
            <w:vAlign w:val="center"/>
          </w:tcPr>
          <w:p>
            <w:pPr>
              <w:ind w:firstLine="0" w:firstLineChars="0"/>
              <w:jc w:val="center"/>
              <w:rPr>
                <w:rFonts w:ascii="宋体" w:hAnsi="宋体" w:cs="宋体"/>
                <w:color w:val="auto"/>
                <w:szCs w:val="21"/>
              </w:rPr>
            </w:pPr>
            <w:r>
              <w:rPr>
                <w:rFonts w:hint="eastAsia" w:ascii="宋体" w:hAnsi="宋体" w:cs="宋体"/>
                <w:color w:val="auto"/>
                <w:szCs w:val="21"/>
              </w:rPr>
              <w:t>品牌</w:t>
            </w:r>
          </w:p>
        </w:tc>
        <w:tc>
          <w:tcPr>
            <w:tcW w:w="1066" w:type="dxa"/>
            <w:tcBorders>
              <w:left w:val="single" w:color="auto" w:sz="2" w:space="0"/>
              <w:right w:val="single" w:color="auto" w:sz="2" w:space="0"/>
            </w:tcBorders>
            <w:vAlign w:val="center"/>
          </w:tcPr>
          <w:p>
            <w:pPr>
              <w:ind w:firstLine="0" w:firstLineChars="0"/>
              <w:jc w:val="center"/>
              <w:rPr>
                <w:rFonts w:ascii="宋体" w:hAnsi="宋体" w:cs="宋体"/>
                <w:color w:val="auto"/>
                <w:szCs w:val="21"/>
              </w:rPr>
            </w:pPr>
            <w:r>
              <w:rPr>
                <w:rFonts w:hint="eastAsia" w:ascii="宋体" w:hAnsi="宋体" w:cs="宋体"/>
                <w:color w:val="auto"/>
                <w:szCs w:val="21"/>
              </w:rPr>
              <w:t>型号规格</w:t>
            </w:r>
          </w:p>
        </w:tc>
        <w:tc>
          <w:tcPr>
            <w:tcW w:w="1337" w:type="dxa"/>
            <w:tcBorders>
              <w:left w:val="single" w:color="auto" w:sz="2" w:space="0"/>
            </w:tcBorders>
            <w:vAlign w:val="center"/>
          </w:tcPr>
          <w:p>
            <w:pPr>
              <w:ind w:firstLine="0" w:firstLineChars="0"/>
              <w:jc w:val="center"/>
              <w:rPr>
                <w:rFonts w:ascii="宋体" w:hAnsi="宋体" w:cs="宋体"/>
                <w:color w:val="auto"/>
                <w:szCs w:val="21"/>
              </w:rPr>
            </w:pPr>
            <w:r>
              <w:rPr>
                <w:rFonts w:hint="eastAsia" w:ascii="宋体" w:hAnsi="宋体" w:cs="宋体"/>
                <w:color w:val="auto"/>
                <w:szCs w:val="21"/>
              </w:rPr>
              <w:t>原产地</w:t>
            </w:r>
          </w:p>
        </w:tc>
        <w:tc>
          <w:tcPr>
            <w:tcW w:w="1331" w:type="dxa"/>
            <w:tcBorders>
              <w:left w:val="single" w:color="auto" w:sz="4" w:space="0"/>
            </w:tcBorders>
            <w:vAlign w:val="center"/>
          </w:tcPr>
          <w:p>
            <w:pPr>
              <w:ind w:firstLine="0" w:firstLineChars="0"/>
              <w:jc w:val="center"/>
              <w:rPr>
                <w:rFonts w:ascii="宋体" w:hAnsi="宋体" w:cs="宋体"/>
                <w:color w:val="auto"/>
                <w:szCs w:val="21"/>
              </w:rPr>
            </w:pPr>
            <w:r>
              <w:rPr>
                <w:rFonts w:hint="eastAsia" w:ascii="宋体" w:hAnsi="宋体" w:cs="宋体"/>
                <w:color w:val="auto"/>
                <w:szCs w:val="21"/>
              </w:rPr>
              <w:t>制造商名称</w:t>
            </w:r>
          </w:p>
        </w:tc>
        <w:tc>
          <w:tcPr>
            <w:tcW w:w="851" w:type="dxa"/>
            <w:tcBorders>
              <w:left w:val="single" w:color="auto" w:sz="2" w:space="0"/>
            </w:tcBorders>
            <w:vAlign w:val="center"/>
          </w:tcPr>
          <w:p>
            <w:pPr>
              <w:ind w:firstLine="0" w:firstLineChars="0"/>
              <w:jc w:val="center"/>
              <w:rPr>
                <w:rFonts w:ascii="宋体" w:hAnsi="宋体" w:cs="宋体"/>
                <w:color w:val="auto"/>
                <w:szCs w:val="21"/>
              </w:rPr>
            </w:pPr>
            <w:r>
              <w:rPr>
                <w:rFonts w:hint="eastAsia" w:ascii="宋体" w:hAnsi="宋体" w:cs="宋体"/>
                <w:color w:val="auto"/>
                <w:szCs w:val="21"/>
              </w:rPr>
              <w:t>单位</w:t>
            </w:r>
          </w:p>
        </w:tc>
        <w:tc>
          <w:tcPr>
            <w:tcW w:w="992" w:type="dxa"/>
            <w:vAlign w:val="center"/>
          </w:tcPr>
          <w:p>
            <w:pPr>
              <w:ind w:firstLine="0" w:firstLineChars="0"/>
              <w:jc w:val="center"/>
              <w:rPr>
                <w:rFonts w:ascii="宋体" w:hAnsi="宋体" w:cs="宋体"/>
                <w:color w:val="auto"/>
                <w:szCs w:val="21"/>
              </w:rPr>
            </w:pPr>
            <w:r>
              <w:rPr>
                <w:rFonts w:hint="eastAsia" w:ascii="宋体" w:hAnsi="宋体" w:cs="宋体"/>
                <w:color w:val="auto"/>
                <w:szCs w:val="21"/>
              </w:rPr>
              <w:t>数量</w:t>
            </w:r>
          </w:p>
        </w:tc>
        <w:tc>
          <w:tcPr>
            <w:tcW w:w="1276" w:type="dxa"/>
            <w:vAlign w:val="center"/>
          </w:tcPr>
          <w:p>
            <w:pPr>
              <w:ind w:firstLine="0" w:firstLineChars="0"/>
              <w:jc w:val="center"/>
              <w:rPr>
                <w:rFonts w:ascii="宋体" w:hAnsi="宋体" w:cs="宋体"/>
                <w:color w:val="auto"/>
                <w:szCs w:val="21"/>
              </w:rPr>
            </w:pPr>
            <w:r>
              <w:rPr>
                <w:rFonts w:hint="eastAsia" w:ascii="宋体" w:hAnsi="宋体" w:cs="宋体"/>
                <w:color w:val="auto"/>
                <w:szCs w:val="21"/>
              </w:rPr>
              <w:t>单价</w:t>
            </w:r>
          </w:p>
        </w:tc>
        <w:tc>
          <w:tcPr>
            <w:tcW w:w="1275" w:type="dxa"/>
            <w:vAlign w:val="center"/>
          </w:tcPr>
          <w:p>
            <w:pPr>
              <w:ind w:firstLine="0" w:firstLineChars="0"/>
              <w:jc w:val="center"/>
              <w:rPr>
                <w:rFonts w:ascii="宋体" w:hAnsi="宋体" w:cs="宋体"/>
                <w:color w:val="auto"/>
                <w:szCs w:val="21"/>
              </w:rPr>
            </w:pPr>
            <w:r>
              <w:rPr>
                <w:rFonts w:hint="eastAsia" w:ascii="宋体" w:hAnsi="宋体" w:cs="宋体"/>
                <w:color w:val="auto"/>
                <w:szCs w:val="21"/>
              </w:rPr>
              <w:t>总价</w:t>
            </w:r>
          </w:p>
        </w:tc>
        <w:tc>
          <w:tcPr>
            <w:tcW w:w="1298" w:type="dxa"/>
            <w:vAlign w:val="center"/>
          </w:tcPr>
          <w:p>
            <w:pPr>
              <w:ind w:firstLine="0" w:firstLineChars="0"/>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color w:val="auto"/>
                <w:szCs w:val="21"/>
              </w:rPr>
            </w:pPr>
            <w:r>
              <w:rPr>
                <w:rFonts w:hint="eastAsia" w:ascii="宋体" w:hAnsi="宋体" w:cs="宋体"/>
                <w:color w:val="auto"/>
                <w:szCs w:val="21"/>
              </w:rPr>
              <w:t>一</w:t>
            </w:r>
          </w:p>
        </w:tc>
        <w:tc>
          <w:tcPr>
            <w:tcW w:w="1925" w:type="dxa"/>
            <w:vAlign w:val="center"/>
          </w:tcPr>
          <w:p>
            <w:pPr>
              <w:ind w:firstLine="420"/>
              <w:rPr>
                <w:rFonts w:ascii="宋体" w:hAnsi="宋体" w:cs="宋体"/>
                <w:color w:val="auto"/>
                <w:szCs w:val="21"/>
              </w:rPr>
            </w:pPr>
          </w:p>
        </w:tc>
        <w:tc>
          <w:tcPr>
            <w:tcW w:w="1085" w:type="dxa"/>
            <w:tcBorders>
              <w:right w:val="single" w:color="auto" w:sz="2" w:space="0"/>
            </w:tcBorders>
            <w:vAlign w:val="center"/>
          </w:tcPr>
          <w:p>
            <w:pPr>
              <w:ind w:firstLine="420"/>
              <w:rPr>
                <w:rFonts w:ascii="宋体" w:hAnsi="宋体" w:cs="宋体"/>
                <w:color w:val="auto"/>
                <w:szCs w:val="21"/>
              </w:rPr>
            </w:pPr>
          </w:p>
        </w:tc>
        <w:tc>
          <w:tcPr>
            <w:tcW w:w="1066" w:type="dxa"/>
            <w:tcBorders>
              <w:left w:val="single" w:color="auto" w:sz="2" w:space="0"/>
              <w:right w:val="single" w:color="auto" w:sz="2" w:space="0"/>
            </w:tcBorders>
            <w:vAlign w:val="center"/>
          </w:tcPr>
          <w:p>
            <w:pPr>
              <w:ind w:firstLine="420"/>
              <w:rPr>
                <w:rFonts w:ascii="宋体" w:hAnsi="宋体" w:cs="宋体"/>
                <w:color w:val="auto"/>
                <w:szCs w:val="21"/>
              </w:rPr>
            </w:pPr>
          </w:p>
        </w:tc>
        <w:tc>
          <w:tcPr>
            <w:tcW w:w="1337" w:type="dxa"/>
            <w:tcBorders>
              <w:left w:val="single" w:color="auto" w:sz="2" w:space="0"/>
            </w:tcBorders>
            <w:vAlign w:val="center"/>
          </w:tcPr>
          <w:p>
            <w:pPr>
              <w:ind w:firstLine="420"/>
              <w:rPr>
                <w:rFonts w:ascii="宋体" w:hAnsi="宋体" w:cs="宋体"/>
                <w:color w:val="auto"/>
                <w:szCs w:val="21"/>
              </w:rPr>
            </w:pPr>
          </w:p>
        </w:tc>
        <w:tc>
          <w:tcPr>
            <w:tcW w:w="1331" w:type="dxa"/>
            <w:tcBorders>
              <w:left w:val="single" w:color="auto" w:sz="4" w:space="0"/>
            </w:tcBorders>
            <w:vAlign w:val="center"/>
          </w:tcPr>
          <w:p>
            <w:pPr>
              <w:ind w:firstLine="420"/>
              <w:rPr>
                <w:rFonts w:ascii="宋体" w:hAnsi="宋体" w:cs="宋体"/>
                <w:color w:val="auto"/>
                <w:szCs w:val="21"/>
              </w:rPr>
            </w:pPr>
          </w:p>
        </w:tc>
        <w:tc>
          <w:tcPr>
            <w:tcW w:w="851" w:type="dxa"/>
            <w:tcBorders>
              <w:left w:val="single" w:color="auto" w:sz="2" w:space="0"/>
            </w:tcBorders>
            <w:vAlign w:val="center"/>
          </w:tcPr>
          <w:p>
            <w:pPr>
              <w:ind w:firstLine="420"/>
              <w:rPr>
                <w:rFonts w:ascii="宋体" w:hAnsi="宋体" w:cs="宋体"/>
                <w:color w:val="auto"/>
                <w:szCs w:val="21"/>
              </w:rPr>
            </w:pPr>
          </w:p>
        </w:tc>
        <w:tc>
          <w:tcPr>
            <w:tcW w:w="992" w:type="dxa"/>
            <w:vAlign w:val="center"/>
          </w:tcPr>
          <w:p>
            <w:pPr>
              <w:ind w:firstLine="420"/>
              <w:rPr>
                <w:rFonts w:ascii="宋体" w:hAnsi="宋体" w:cs="宋体"/>
                <w:color w:val="auto"/>
                <w:szCs w:val="21"/>
              </w:rPr>
            </w:pPr>
          </w:p>
        </w:tc>
        <w:tc>
          <w:tcPr>
            <w:tcW w:w="1276" w:type="dxa"/>
            <w:vAlign w:val="center"/>
          </w:tcPr>
          <w:p>
            <w:pPr>
              <w:ind w:firstLine="420"/>
              <w:rPr>
                <w:rFonts w:ascii="宋体" w:hAnsi="宋体" w:cs="宋体"/>
                <w:color w:val="auto"/>
                <w:szCs w:val="21"/>
              </w:rPr>
            </w:pPr>
          </w:p>
        </w:tc>
        <w:tc>
          <w:tcPr>
            <w:tcW w:w="1275" w:type="dxa"/>
            <w:vAlign w:val="center"/>
          </w:tcPr>
          <w:p>
            <w:pPr>
              <w:ind w:firstLine="420"/>
              <w:rPr>
                <w:rFonts w:ascii="宋体" w:hAnsi="宋体" w:cs="宋体"/>
                <w:color w:val="auto"/>
                <w:szCs w:val="21"/>
              </w:rPr>
            </w:pPr>
          </w:p>
        </w:tc>
        <w:tc>
          <w:tcPr>
            <w:tcW w:w="1298" w:type="dxa"/>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color w:val="auto"/>
                <w:szCs w:val="21"/>
              </w:rPr>
            </w:pPr>
            <w:r>
              <w:rPr>
                <w:rFonts w:hint="eastAsia" w:ascii="宋体" w:hAnsi="宋体" w:cs="宋体"/>
                <w:color w:val="auto"/>
                <w:szCs w:val="21"/>
              </w:rPr>
              <w:t>1</w:t>
            </w:r>
          </w:p>
        </w:tc>
        <w:tc>
          <w:tcPr>
            <w:tcW w:w="1925" w:type="dxa"/>
            <w:vAlign w:val="center"/>
          </w:tcPr>
          <w:p>
            <w:pPr>
              <w:ind w:firstLine="420"/>
              <w:rPr>
                <w:rFonts w:ascii="宋体" w:hAnsi="宋体" w:cs="宋体"/>
                <w:color w:val="auto"/>
                <w:szCs w:val="21"/>
              </w:rPr>
            </w:pPr>
          </w:p>
        </w:tc>
        <w:tc>
          <w:tcPr>
            <w:tcW w:w="1085" w:type="dxa"/>
            <w:tcBorders>
              <w:right w:val="single" w:color="auto" w:sz="2" w:space="0"/>
            </w:tcBorders>
            <w:vAlign w:val="center"/>
          </w:tcPr>
          <w:p>
            <w:pPr>
              <w:ind w:firstLine="420"/>
              <w:rPr>
                <w:rFonts w:ascii="宋体" w:hAnsi="宋体" w:cs="宋体"/>
                <w:color w:val="auto"/>
                <w:szCs w:val="21"/>
              </w:rPr>
            </w:pPr>
          </w:p>
        </w:tc>
        <w:tc>
          <w:tcPr>
            <w:tcW w:w="1066" w:type="dxa"/>
            <w:tcBorders>
              <w:left w:val="single" w:color="auto" w:sz="2" w:space="0"/>
              <w:right w:val="single" w:color="auto" w:sz="2" w:space="0"/>
            </w:tcBorders>
            <w:vAlign w:val="center"/>
          </w:tcPr>
          <w:p>
            <w:pPr>
              <w:ind w:firstLine="420"/>
              <w:rPr>
                <w:rFonts w:ascii="宋体" w:hAnsi="宋体" w:cs="宋体"/>
                <w:color w:val="auto"/>
                <w:szCs w:val="21"/>
              </w:rPr>
            </w:pPr>
          </w:p>
        </w:tc>
        <w:tc>
          <w:tcPr>
            <w:tcW w:w="1337" w:type="dxa"/>
            <w:tcBorders>
              <w:left w:val="single" w:color="auto" w:sz="2" w:space="0"/>
            </w:tcBorders>
            <w:vAlign w:val="center"/>
          </w:tcPr>
          <w:p>
            <w:pPr>
              <w:ind w:firstLine="420"/>
              <w:rPr>
                <w:rFonts w:ascii="宋体" w:hAnsi="宋体" w:cs="宋体"/>
                <w:color w:val="auto"/>
                <w:szCs w:val="21"/>
              </w:rPr>
            </w:pPr>
          </w:p>
        </w:tc>
        <w:tc>
          <w:tcPr>
            <w:tcW w:w="1331" w:type="dxa"/>
            <w:tcBorders>
              <w:left w:val="single" w:color="auto" w:sz="4" w:space="0"/>
            </w:tcBorders>
            <w:vAlign w:val="center"/>
          </w:tcPr>
          <w:p>
            <w:pPr>
              <w:ind w:firstLine="420"/>
              <w:rPr>
                <w:rFonts w:ascii="宋体" w:hAnsi="宋体" w:cs="宋体"/>
                <w:color w:val="auto"/>
                <w:szCs w:val="21"/>
              </w:rPr>
            </w:pPr>
          </w:p>
        </w:tc>
        <w:tc>
          <w:tcPr>
            <w:tcW w:w="851" w:type="dxa"/>
            <w:tcBorders>
              <w:left w:val="single" w:color="auto" w:sz="2" w:space="0"/>
            </w:tcBorders>
            <w:vAlign w:val="center"/>
          </w:tcPr>
          <w:p>
            <w:pPr>
              <w:ind w:firstLine="420"/>
              <w:rPr>
                <w:rFonts w:ascii="宋体" w:hAnsi="宋体" w:cs="宋体"/>
                <w:color w:val="auto"/>
                <w:szCs w:val="21"/>
              </w:rPr>
            </w:pPr>
          </w:p>
        </w:tc>
        <w:tc>
          <w:tcPr>
            <w:tcW w:w="992" w:type="dxa"/>
            <w:vAlign w:val="center"/>
          </w:tcPr>
          <w:p>
            <w:pPr>
              <w:ind w:firstLine="420"/>
              <w:rPr>
                <w:rFonts w:ascii="宋体" w:hAnsi="宋体" w:cs="宋体"/>
                <w:color w:val="auto"/>
                <w:szCs w:val="21"/>
              </w:rPr>
            </w:pPr>
          </w:p>
        </w:tc>
        <w:tc>
          <w:tcPr>
            <w:tcW w:w="1276" w:type="dxa"/>
            <w:vAlign w:val="center"/>
          </w:tcPr>
          <w:p>
            <w:pPr>
              <w:ind w:firstLine="420"/>
              <w:rPr>
                <w:rFonts w:ascii="宋体" w:hAnsi="宋体" w:cs="宋体"/>
                <w:color w:val="auto"/>
                <w:szCs w:val="21"/>
              </w:rPr>
            </w:pPr>
          </w:p>
        </w:tc>
        <w:tc>
          <w:tcPr>
            <w:tcW w:w="1275" w:type="dxa"/>
            <w:vAlign w:val="center"/>
          </w:tcPr>
          <w:p>
            <w:pPr>
              <w:ind w:firstLine="420"/>
              <w:rPr>
                <w:rFonts w:ascii="宋体" w:hAnsi="宋体" w:cs="宋体"/>
                <w:color w:val="auto"/>
                <w:szCs w:val="21"/>
              </w:rPr>
            </w:pPr>
          </w:p>
        </w:tc>
        <w:tc>
          <w:tcPr>
            <w:tcW w:w="1298" w:type="dxa"/>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color w:val="auto"/>
                <w:szCs w:val="21"/>
              </w:rPr>
            </w:pPr>
            <w:r>
              <w:rPr>
                <w:rFonts w:hint="eastAsia" w:ascii="宋体" w:hAnsi="宋体" w:cs="宋体"/>
                <w:color w:val="auto"/>
                <w:szCs w:val="21"/>
              </w:rPr>
              <w:t>……</w:t>
            </w:r>
          </w:p>
        </w:tc>
        <w:tc>
          <w:tcPr>
            <w:tcW w:w="1925" w:type="dxa"/>
            <w:vAlign w:val="center"/>
          </w:tcPr>
          <w:p>
            <w:pPr>
              <w:ind w:firstLine="420"/>
              <w:rPr>
                <w:rFonts w:ascii="宋体" w:hAnsi="宋体" w:cs="宋体"/>
                <w:color w:val="auto"/>
                <w:szCs w:val="21"/>
              </w:rPr>
            </w:pPr>
          </w:p>
        </w:tc>
        <w:tc>
          <w:tcPr>
            <w:tcW w:w="1085" w:type="dxa"/>
            <w:vAlign w:val="center"/>
          </w:tcPr>
          <w:p>
            <w:pPr>
              <w:ind w:firstLine="420"/>
              <w:rPr>
                <w:rFonts w:ascii="宋体" w:hAnsi="宋体" w:cs="宋体"/>
                <w:color w:val="auto"/>
                <w:szCs w:val="21"/>
              </w:rPr>
            </w:pPr>
          </w:p>
        </w:tc>
        <w:tc>
          <w:tcPr>
            <w:tcW w:w="1066" w:type="dxa"/>
            <w:vAlign w:val="center"/>
          </w:tcPr>
          <w:p>
            <w:pPr>
              <w:ind w:firstLine="420"/>
              <w:rPr>
                <w:rFonts w:ascii="宋体" w:hAnsi="宋体" w:cs="宋体"/>
                <w:color w:val="auto"/>
                <w:szCs w:val="21"/>
              </w:rPr>
            </w:pPr>
          </w:p>
        </w:tc>
        <w:tc>
          <w:tcPr>
            <w:tcW w:w="1337" w:type="dxa"/>
            <w:vAlign w:val="center"/>
          </w:tcPr>
          <w:p>
            <w:pPr>
              <w:ind w:firstLine="420"/>
              <w:rPr>
                <w:rFonts w:ascii="宋体" w:hAnsi="宋体" w:cs="宋体"/>
                <w:color w:val="auto"/>
                <w:szCs w:val="21"/>
              </w:rPr>
            </w:pPr>
          </w:p>
        </w:tc>
        <w:tc>
          <w:tcPr>
            <w:tcW w:w="1331" w:type="dxa"/>
            <w:vAlign w:val="center"/>
          </w:tcPr>
          <w:p>
            <w:pPr>
              <w:ind w:firstLine="420"/>
              <w:rPr>
                <w:rFonts w:ascii="宋体" w:hAnsi="宋体" w:cs="宋体"/>
                <w:color w:val="auto"/>
                <w:szCs w:val="21"/>
              </w:rPr>
            </w:pPr>
          </w:p>
        </w:tc>
        <w:tc>
          <w:tcPr>
            <w:tcW w:w="851" w:type="dxa"/>
            <w:vAlign w:val="center"/>
          </w:tcPr>
          <w:p>
            <w:pPr>
              <w:ind w:firstLine="420"/>
              <w:rPr>
                <w:rFonts w:ascii="宋体" w:hAnsi="宋体" w:cs="宋体"/>
                <w:color w:val="auto"/>
                <w:szCs w:val="21"/>
              </w:rPr>
            </w:pPr>
          </w:p>
        </w:tc>
        <w:tc>
          <w:tcPr>
            <w:tcW w:w="992" w:type="dxa"/>
            <w:vAlign w:val="center"/>
          </w:tcPr>
          <w:p>
            <w:pPr>
              <w:ind w:firstLine="420"/>
              <w:rPr>
                <w:rFonts w:ascii="宋体" w:hAnsi="宋体" w:cs="宋体"/>
                <w:color w:val="auto"/>
                <w:szCs w:val="21"/>
              </w:rPr>
            </w:pPr>
          </w:p>
        </w:tc>
        <w:tc>
          <w:tcPr>
            <w:tcW w:w="1276" w:type="dxa"/>
            <w:vAlign w:val="center"/>
          </w:tcPr>
          <w:p>
            <w:pPr>
              <w:ind w:firstLine="420"/>
              <w:rPr>
                <w:rFonts w:ascii="宋体" w:hAnsi="宋体" w:cs="宋体"/>
                <w:color w:val="auto"/>
                <w:szCs w:val="21"/>
              </w:rPr>
            </w:pPr>
          </w:p>
        </w:tc>
        <w:tc>
          <w:tcPr>
            <w:tcW w:w="1275" w:type="dxa"/>
            <w:vAlign w:val="center"/>
          </w:tcPr>
          <w:p>
            <w:pPr>
              <w:ind w:firstLine="420"/>
              <w:rPr>
                <w:rFonts w:ascii="宋体" w:hAnsi="宋体" w:cs="宋体"/>
                <w:color w:val="auto"/>
                <w:szCs w:val="21"/>
              </w:rPr>
            </w:pPr>
          </w:p>
        </w:tc>
        <w:tc>
          <w:tcPr>
            <w:tcW w:w="1298" w:type="dxa"/>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color w:val="auto"/>
                <w:szCs w:val="21"/>
              </w:rPr>
            </w:pPr>
            <w:r>
              <w:rPr>
                <w:rFonts w:hint="eastAsia" w:ascii="宋体" w:hAnsi="宋体" w:cs="宋体"/>
                <w:color w:val="auto"/>
                <w:szCs w:val="21"/>
              </w:rPr>
              <w:t>二</w:t>
            </w:r>
          </w:p>
        </w:tc>
        <w:tc>
          <w:tcPr>
            <w:tcW w:w="1925" w:type="dxa"/>
            <w:vAlign w:val="center"/>
          </w:tcPr>
          <w:p>
            <w:pPr>
              <w:ind w:firstLine="0" w:firstLineChars="0"/>
              <w:rPr>
                <w:rFonts w:ascii="宋体" w:hAnsi="宋体" w:cs="宋体"/>
                <w:color w:val="auto"/>
                <w:szCs w:val="21"/>
              </w:rPr>
            </w:pPr>
            <w:r>
              <w:rPr>
                <w:rFonts w:hint="eastAsia" w:ascii="宋体" w:hAnsi="宋体" w:cs="宋体"/>
                <w:color w:val="auto"/>
                <w:szCs w:val="21"/>
              </w:rPr>
              <w:t>小计</w:t>
            </w:r>
          </w:p>
        </w:tc>
        <w:tc>
          <w:tcPr>
            <w:tcW w:w="7938" w:type="dxa"/>
            <w:gridSpan w:val="7"/>
            <w:vAlign w:val="center"/>
          </w:tcPr>
          <w:p>
            <w:pPr>
              <w:ind w:firstLine="0" w:firstLineChars="0"/>
              <w:rPr>
                <w:rFonts w:ascii="宋体" w:hAnsi="宋体" w:cs="宋体"/>
                <w:color w:val="auto"/>
                <w:szCs w:val="21"/>
              </w:rPr>
            </w:pPr>
            <w:r>
              <w:rPr>
                <w:rFonts w:hint="eastAsia" w:ascii="宋体" w:hAnsi="宋体" w:cs="宋体"/>
                <w:color w:val="auto"/>
                <w:szCs w:val="21"/>
              </w:rPr>
              <w:t>∕</w:t>
            </w:r>
          </w:p>
        </w:tc>
        <w:tc>
          <w:tcPr>
            <w:tcW w:w="1275" w:type="dxa"/>
            <w:vAlign w:val="center"/>
          </w:tcPr>
          <w:p>
            <w:pPr>
              <w:ind w:firstLine="420"/>
              <w:rPr>
                <w:rFonts w:ascii="宋体" w:hAnsi="宋体" w:cs="宋体"/>
                <w:color w:val="auto"/>
                <w:szCs w:val="21"/>
              </w:rPr>
            </w:pPr>
          </w:p>
        </w:tc>
        <w:tc>
          <w:tcPr>
            <w:tcW w:w="1298" w:type="dxa"/>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color w:val="auto"/>
                <w:szCs w:val="21"/>
              </w:rPr>
            </w:pPr>
            <w:r>
              <w:rPr>
                <w:rFonts w:hint="eastAsia" w:ascii="宋体" w:hAnsi="宋体" w:cs="宋体"/>
                <w:color w:val="auto"/>
                <w:szCs w:val="21"/>
              </w:rPr>
              <w:t>三</w:t>
            </w:r>
          </w:p>
        </w:tc>
        <w:tc>
          <w:tcPr>
            <w:tcW w:w="1925" w:type="dxa"/>
            <w:vAlign w:val="center"/>
          </w:tcPr>
          <w:p>
            <w:pPr>
              <w:ind w:firstLine="0" w:firstLineChars="0"/>
              <w:rPr>
                <w:rFonts w:ascii="宋体" w:hAnsi="宋体" w:cs="宋体"/>
                <w:color w:val="auto"/>
                <w:szCs w:val="21"/>
              </w:rPr>
            </w:pPr>
            <w:r>
              <w:rPr>
                <w:rFonts w:hint="eastAsia" w:ascii="宋体" w:hAnsi="宋体" w:cs="宋体"/>
                <w:color w:val="auto"/>
                <w:szCs w:val="21"/>
              </w:rPr>
              <w:t>安装费、调试费</w:t>
            </w:r>
          </w:p>
        </w:tc>
        <w:tc>
          <w:tcPr>
            <w:tcW w:w="7938" w:type="dxa"/>
            <w:gridSpan w:val="7"/>
            <w:vAlign w:val="center"/>
          </w:tcPr>
          <w:p>
            <w:pPr>
              <w:ind w:firstLine="0" w:firstLineChars="0"/>
              <w:rPr>
                <w:rFonts w:ascii="宋体" w:hAnsi="宋体" w:cs="宋体"/>
                <w:color w:val="auto"/>
                <w:szCs w:val="21"/>
              </w:rPr>
            </w:pPr>
            <w:r>
              <w:rPr>
                <w:rFonts w:hint="eastAsia" w:ascii="宋体" w:hAnsi="宋体" w:cs="宋体"/>
                <w:color w:val="auto"/>
                <w:szCs w:val="21"/>
              </w:rPr>
              <w:t>∕</w:t>
            </w:r>
          </w:p>
        </w:tc>
        <w:tc>
          <w:tcPr>
            <w:tcW w:w="1275" w:type="dxa"/>
            <w:vAlign w:val="center"/>
          </w:tcPr>
          <w:p>
            <w:pPr>
              <w:ind w:firstLine="420"/>
              <w:rPr>
                <w:rFonts w:ascii="宋体" w:hAnsi="宋体" w:cs="宋体"/>
                <w:color w:val="auto"/>
                <w:szCs w:val="21"/>
              </w:rPr>
            </w:pPr>
          </w:p>
        </w:tc>
        <w:tc>
          <w:tcPr>
            <w:tcW w:w="1298" w:type="dxa"/>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color w:val="auto"/>
                <w:szCs w:val="21"/>
              </w:rPr>
            </w:pPr>
            <w:r>
              <w:rPr>
                <w:rFonts w:hint="eastAsia" w:ascii="宋体" w:hAnsi="宋体" w:cs="宋体"/>
                <w:color w:val="auto"/>
                <w:szCs w:val="21"/>
              </w:rPr>
              <w:t>四</w:t>
            </w:r>
          </w:p>
        </w:tc>
        <w:tc>
          <w:tcPr>
            <w:tcW w:w="1925" w:type="dxa"/>
            <w:vAlign w:val="center"/>
          </w:tcPr>
          <w:p>
            <w:pPr>
              <w:ind w:firstLine="0" w:firstLineChars="0"/>
              <w:rPr>
                <w:rFonts w:ascii="宋体" w:hAnsi="宋体" w:cs="宋体"/>
                <w:color w:val="auto"/>
                <w:szCs w:val="21"/>
              </w:rPr>
            </w:pPr>
            <w:r>
              <w:rPr>
                <w:rFonts w:hint="eastAsia" w:ascii="宋体" w:hAnsi="宋体" w:cs="宋体"/>
                <w:color w:val="auto"/>
                <w:szCs w:val="21"/>
              </w:rPr>
              <w:t>人工费</w:t>
            </w:r>
          </w:p>
        </w:tc>
        <w:tc>
          <w:tcPr>
            <w:tcW w:w="7938" w:type="dxa"/>
            <w:gridSpan w:val="7"/>
            <w:vAlign w:val="center"/>
          </w:tcPr>
          <w:p>
            <w:pPr>
              <w:ind w:firstLine="0" w:firstLineChars="0"/>
              <w:rPr>
                <w:rFonts w:ascii="宋体" w:hAnsi="宋体" w:cs="宋体"/>
                <w:color w:val="auto"/>
                <w:szCs w:val="21"/>
              </w:rPr>
            </w:pPr>
            <w:r>
              <w:rPr>
                <w:rFonts w:hint="eastAsia" w:ascii="宋体" w:hAnsi="宋体" w:cs="宋体"/>
                <w:color w:val="auto"/>
                <w:szCs w:val="21"/>
              </w:rPr>
              <w:t>∕</w:t>
            </w:r>
          </w:p>
        </w:tc>
        <w:tc>
          <w:tcPr>
            <w:tcW w:w="1275" w:type="dxa"/>
            <w:vAlign w:val="center"/>
          </w:tcPr>
          <w:p>
            <w:pPr>
              <w:ind w:firstLine="420"/>
              <w:rPr>
                <w:rFonts w:ascii="宋体" w:hAnsi="宋体" w:cs="宋体"/>
                <w:color w:val="auto"/>
                <w:szCs w:val="21"/>
              </w:rPr>
            </w:pPr>
          </w:p>
        </w:tc>
        <w:tc>
          <w:tcPr>
            <w:tcW w:w="1298" w:type="dxa"/>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color w:val="auto"/>
                <w:szCs w:val="21"/>
              </w:rPr>
            </w:pPr>
            <w:r>
              <w:rPr>
                <w:rFonts w:hint="eastAsia" w:ascii="宋体" w:hAnsi="宋体" w:cs="宋体"/>
                <w:color w:val="auto"/>
                <w:szCs w:val="21"/>
              </w:rPr>
              <w:t>五</w:t>
            </w:r>
          </w:p>
        </w:tc>
        <w:tc>
          <w:tcPr>
            <w:tcW w:w="1925" w:type="dxa"/>
            <w:vAlign w:val="center"/>
          </w:tcPr>
          <w:p>
            <w:pPr>
              <w:ind w:firstLine="0" w:firstLineChars="0"/>
              <w:rPr>
                <w:rFonts w:ascii="宋体" w:hAnsi="宋体" w:cs="宋体"/>
                <w:color w:val="auto"/>
                <w:szCs w:val="21"/>
                <w:u w:val="single"/>
              </w:rPr>
            </w:pPr>
            <w:r>
              <w:rPr>
                <w:rFonts w:hint="eastAsia" w:ascii="宋体" w:hAnsi="宋体" w:cs="宋体"/>
                <w:color w:val="auto"/>
                <w:szCs w:val="21"/>
              </w:rPr>
              <w:t>培训费</w:t>
            </w:r>
          </w:p>
        </w:tc>
        <w:tc>
          <w:tcPr>
            <w:tcW w:w="7938" w:type="dxa"/>
            <w:gridSpan w:val="7"/>
            <w:vAlign w:val="center"/>
          </w:tcPr>
          <w:p>
            <w:pPr>
              <w:ind w:firstLine="0" w:firstLineChars="0"/>
              <w:rPr>
                <w:rFonts w:ascii="宋体" w:hAnsi="宋体" w:cs="宋体"/>
                <w:color w:val="auto"/>
                <w:szCs w:val="21"/>
                <w:u w:val="single"/>
              </w:rPr>
            </w:pPr>
            <w:r>
              <w:rPr>
                <w:rFonts w:hint="eastAsia" w:ascii="宋体" w:hAnsi="宋体" w:cs="宋体"/>
                <w:color w:val="auto"/>
                <w:szCs w:val="21"/>
              </w:rPr>
              <w:t>∕</w:t>
            </w:r>
          </w:p>
        </w:tc>
        <w:tc>
          <w:tcPr>
            <w:tcW w:w="1275" w:type="dxa"/>
            <w:vAlign w:val="center"/>
          </w:tcPr>
          <w:p>
            <w:pPr>
              <w:ind w:firstLine="420"/>
              <w:rPr>
                <w:rFonts w:ascii="宋体" w:hAnsi="宋体" w:cs="宋体"/>
                <w:color w:val="auto"/>
                <w:szCs w:val="21"/>
              </w:rPr>
            </w:pPr>
          </w:p>
        </w:tc>
        <w:tc>
          <w:tcPr>
            <w:tcW w:w="1298" w:type="dxa"/>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color w:val="auto"/>
                <w:szCs w:val="21"/>
              </w:rPr>
            </w:pPr>
            <w:r>
              <w:rPr>
                <w:rFonts w:hint="eastAsia" w:ascii="宋体" w:hAnsi="宋体" w:cs="宋体"/>
                <w:color w:val="auto"/>
                <w:szCs w:val="21"/>
              </w:rPr>
              <w:t>六</w:t>
            </w:r>
          </w:p>
        </w:tc>
        <w:tc>
          <w:tcPr>
            <w:tcW w:w="1925" w:type="dxa"/>
            <w:vAlign w:val="center"/>
          </w:tcPr>
          <w:p>
            <w:pPr>
              <w:ind w:firstLine="0" w:firstLineChars="0"/>
              <w:rPr>
                <w:rFonts w:ascii="宋体" w:hAnsi="宋体" w:cs="宋体"/>
                <w:color w:val="auto"/>
                <w:szCs w:val="21"/>
              </w:rPr>
            </w:pPr>
            <w:r>
              <w:rPr>
                <w:rFonts w:hint="eastAsia" w:ascii="宋体" w:hAnsi="宋体" w:cs="宋体"/>
                <w:color w:val="auto"/>
                <w:szCs w:val="21"/>
              </w:rPr>
              <w:t>质保费用</w:t>
            </w:r>
          </w:p>
        </w:tc>
        <w:tc>
          <w:tcPr>
            <w:tcW w:w="7938" w:type="dxa"/>
            <w:gridSpan w:val="7"/>
            <w:vAlign w:val="center"/>
          </w:tcPr>
          <w:p>
            <w:pPr>
              <w:ind w:firstLine="0" w:firstLineChars="0"/>
              <w:rPr>
                <w:rFonts w:ascii="宋体" w:hAnsi="宋体" w:cs="宋体"/>
                <w:color w:val="auto"/>
                <w:szCs w:val="21"/>
              </w:rPr>
            </w:pPr>
            <w:r>
              <w:rPr>
                <w:rFonts w:hint="eastAsia" w:ascii="宋体" w:hAnsi="宋体" w:cs="宋体"/>
                <w:color w:val="auto"/>
                <w:szCs w:val="21"/>
              </w:rPr>
              <w:t>∕</w:t>
            </w:r>
          </w:p>
        </w:tc>
        <w:tc>
          <w:tcPr>
            <w:tcW w:w="1275" w:type="dxa"/>
            <w:vAlign w:val="center"/>
          </w:tcPr>
          <w:p>
            <w:pPr>
              <w:ind w:firstLine="420"/>
              <w:rPr>
                <w:rFonts w:ascii="宋体" w:hAnsi="宋体" w:cs="宋体"/>
                <w:color w:val="auto"/>
                <w:szCs w:val="21"/>
              </w:rPr>
            </w:pPr>
          </w:p>
        </w:tc>
        <w:tc>
          <w:tcPr>
            <w:tcW w:w="1298" w:type="dxa"/>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color w:val="auto"/>
                <w:szCs w:val="21"/>
              </w:rPr>
            </w:pPr>
            <w:r>
              <w:rPr>
                <w:rFonts w:hint="eastAsia" w:ascii="宋体" w:hAnsi="宋体" w:cs="宋体"/>
                <w:color w:val="auto"/>
                <w:szCs w:val="21"/>
              </w:rPr>
              <w:t>七</w:t>
            </w:r>
          </w:p>
        </w:tc>
        <w:tc>
          <w:tcPr>
            <w:tcW w:w="1925" w:type="dxa"/>
            <w:vAlign w:val="center"/>
          </w:tcPr>
          <w:p>
            <w:pPr>
              <w:ind w:firstLine="0" w:firstLineChars="0"/>
              <w:rPr>
                <w:rFonts w:ascii="宋体" w:hAnsi="宋体" w:cs="宋体"/>
                <w:color w:val="auto"/>
                <w:szCs w:val="21"/>
              </w:rPr>
            </w:pPr>
            <w:r>
              <w:rPr>
                <w:rFonts w:hint="eastAsia" w:ascii="宋体" w:hAnsi="宋体" w:cs="宋体"/>
                <w:color w:val="auto"/>
                <w:szCs w:val="21"/>
              </w:rPr>
              <w:t>其它费用</w:t>
            </w:r>
          </w:p>
        </w:tc>
        <w:tc>
          <w:tcPr>
            <w:tcW w:w="7938" w:type="dxa"/>
            <w:gridSpan w:val="7"/>
            <w:vAlign w:val="center"/>
          </w:tcPr>
          <w:p>
            <w:pPr>
              <w:ind w:firstLine="0" w:firstLineChars="0"/>
              <w:rPr>
                <w:rFonts w:ascii="宋体" w:hAnsi="宋体" w:cs="宋体"/>
                <w:color w:val="auto"/>
                <w:szCs w:val="21"/>
              </w:rPr>
            </w:pPr>
            <w:r>
              <w:rPr>
                <w:rFonts w:hint="eastAsia" w:ascii="宋体" w:hAnsi="宋体" w:cs="宋体"/>
                <w:color w:val="auto"/>
                <w:szCs w:val="21"/>
              </w:rPr>
              <w:t>∕</w:t>
            </w:r>
          </w:p>
        </w:tc>
        <w:tc>
          <w:tcPr>
            <w:tcW w:w="1275" w:type="dxa"/>
            <w:vAlign w:val="center"/>
          </w:tcPr>
          <w:p>
            <w:pPr>
              <w:ind w:firstLine="420"/>
              <w:rPr>
                <w:rFonts w:ascii="宋体" w:hAnsi="宋体" w:cs="宋体"/>
                <w:color w:val="auto"/>
                <w:szCs w:val="21"/>
              </w:rPr>
            </w:pPr>
          </w:p>
        </w:tc>
        <w:tc>
          <w:tcPr>
            <w:tcW w:w="1298" w:type="dxa"/>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6" w:type="dxa"/>
            <w:vMerge w:val="restart"/>
            <w:vAlign w:val="center"/>
          </w:tcPr>
          <w:p>
            <w:pPr>
              <w:ind w:firstLine="0" w:firstLineChars="0"/>
              <w:jc w:val="center"/>
              <w:rPr>
                <w:rFonts w:ascii="宋体" w:hAnsi="宋体" w:cs="宋体"/>
                <w:color w:val="auto"/>
                <w:szCs w:val="21"/>
              </w:rPr>
            </w:pPr>
            <w:r>
              <w:rPr>
                <w:rFonts w:hint="eastAsia" w:ascii="宋体" w:hAnsi="宋体" w:cs="宋体"/>
                <w:color w:val="auto"/>
                <w:szCs w:val="21"/>
              </w:rPr>
              <w:t>八</w:t>
            </w:r>
          </w:p>
        </w:tc>
        <w:tc>
          <w:tcPr>
            <w:tcW w:w="1925" w:type="dxa"/>
            <w:vMerge w:val="restart"/>
            <w:vAlign w:val="center"/>
          </w:tcPr>
          <w:p>
            <w:pPr>
              <w:ind w:firstLine="0" w:firstLineChars="0"/>
              <w:rPr>
                <w:rFonts w:ascii="宋体" w:hAnsi="宋体" w:cs="宋体"/>
                <w:color w:val="auto"/>
                <w:szCs w:val="21"/>
              </w:rPr>
            </w:pPr>
            <w:r>
              <w:rPr>
                <w:rFonts w:hint="eastAsia" w:ascii="宋体" w:hAnsi="宋体" w:cs="宋体"/>
                <w:color w:val="auto"/>
                <w:szCs w:val="21"/>
              </w:rPr>
              <w:t>报价合计=二+三+四+五+六+七</w:t>
            </w:r>
          </w:p>
        </w:tc>
        <w:tc>
          <w:tcPr>
            <w:tcW w:w="7938" w:type="dxa"/>
            <w:gridSpan w:val="7"/>
            <w:vAlign w:val="center"/>
          </w:tcPr>
          <w:p>
            <w:pPr>
              <w:ind w:firstLine="0" w:firstLineChars="0"/>
              <w:rPr>
                <w:rFonts w:ascii="宋体" w:hAnsi="宋体" w:cs="宋体"/>
                <w:color w:val="auto"/>
                <w:szCs w:val="21"/>
              </w:rPr>
            </w:pPr>
            <w:r>
              <w:rPr>
                <w:rFonts w:hint="eastAsia" w:ascii="宋体" w:hAnsi="宋体" w:cs="宋体"/>
                <w:color w:val="auto"/>
                <w:szCs w:val="21"/>
              </w:rPr>
              <w:t>小写</w:t>
            </w:r>
          </w:p>
        </w:tc>
        <w:tc>
          <w:tcPr>
            <w:tcW w:w="1275" w:type="dxa"/>
            <w:vAlign w:val="center"/>
          </w:tcPr>
          <w:p>
            <w:pPr>
              <w:ind w:firstLine="420"/>
              <w:rPr>
                <w:rFonts w:ascii="宋体" w:hAnsi="宋体" w:cs="宋体"/>
                <w:color w:val="auto"/>
                <w:szCs w:val="21"/>
              </w:rPr>
            </w:pPr>
          </w:p>
        </w:tc>
        <w:tc>
          <w:tcPr>
            <w:tcW w:w="1298" w:type="dxa"/>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76" w:type="dxa"/>
            <w:vMerge w:val="continue"/>
            <w:vAlign w:val="center"/>
          </w:tcPr>
          <w:p>
            <w:pPr>
              <w:widowControl/>
              <w:ind w:firstLine="0" w:firstLineChars="0"/>
              <w:jc w:val="center"/>
              <w:rPr>
                <w:rFonts w:ascii="宋体" w:hAnsi="宋体" w:cs="宋体"/>
                <w:color w:val="auto"/>
                <w:szCs w:val="21"/>
              </w:rPr>
            </w:pPr>
          </w:p>
        </w:tc>
        <w:tc>
          <w:tcPr>
            <w:tcW w:w="1925" w:type="dxa"/>
            <w:vMerge w:val="continue"/>
            <w:vAlign w:val="center"/>
          </w:tcPr>
          <w:p>
            <w:pPr>
              <w:widowControl/>
              <w:ind w:firstLine="0" w:firstLineChars="0"/>
              <w:jc w:val="left"/>
              <w:rPr>
                <w:rFonts w:ascii="宋体" w:hAnsi="宋体" w:cs="宋体"/>
                <w:color w:val="auto"/>
                <w:szCs w:val="21"/>
              </w:rPr>
            </w:pPr>
          </w:p>
        </w:tc>
        <w:tc>
          <w:tcPr>
            <w:tcW w:w="10511" w:type="dxa"/>
            <w:gridSpan w:val="9"/>
            <w:vAlign w:val="center"/>
          </w:tcPr>
          <w:p>
            <w:pPr>
              <w:ind w:firstLine="0" w:firstLineChars="0"/>
              <w:rPr>
                <w:rFonts w:ascii="宋体" w:hAnsi="宋体" w:cs="宋体"/>
                <w:color w:val="auto"/>
                <w:szCs w:val="21"/>
              </w:rPr>
            </w:pPr>
            <w:r>
              <w:rPr>
                <w:rFonts w:hint="eastAsia" w:ascii="宋体" w:hAnsi="宋体" w:cs="宋体"/>
                <w:color w:val="auto"/>
                <w:szCs w:val="21"/>
              </w:rPr>
              <w:t>大写：</w:t>
            </w:r>
          </w:p>
        </w:tc>
      </w:tr>
    </w:tbl>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注：1、本表合计金额应与“开标一览表”中投标报价相一致；</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2、本表可进一步细分，栏目可另加，应包括为完成本项目可能发生的全部费用。</w:t>
      </w:r>
    </w:p>
    <w:p>
      <w:pPr>
        <w:adjustRightInd w:val="0"/>
        <w:snapToGrid w:val="0"/>
        <w:ind w:firstLine="735" w:firstLineChars="3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adjustRightInd w:val="0"/>
        <w:snapToGrid w:val="0"/>
        <w:ind w:firstLine="619" w:firstLineChars="295"/>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授权委托人（签字或盖章）：                </w:t>
      </w:r>
    </w:p>
    <w:p>
      <w:pPr>
        <w:adjustRightInd w:val="0"/>
        <w:snapToGrid w:val="0"/>
        <w:ind w:firstLine="619" w:firstLineChars="295"/>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日期：</w:t>
      </w:r>
    </w:p>
    <w:p>
      <w:pPr>
        <w:pStyle w:val="7"/>
        <w:rPr>
          <w:color w:val="auto"/>
        </w:rPr>
        <w:sectPr>
          <w:pgSz w:w="16840" w:h="11907" w:orient="landscape"/>
          <w:pgMar w:top="1247" w:right="1304" w:bottom="1020" w:left="1304" w:header="720" w:footer="720" w:gutter="0"/>
          <w:cols w:space="720" w:num="1"/>
          <w:docGrid w:linePitch="286" w:charSpace="0"/>
        </w:sectPr>
      </w:pPr>
    </w:p>
    <w:p>
      <w:pPr>
        <w:pStyle w:val="7"/>
        <w:rPr>
          <w:color w:val="auto"/>
        </w:rPr>
      </w:pPr>
      <w:r>
        <w:rPr>
          <w:rFonts w:hint="eastAsia"/>
          <w:color w:val="auto"/>
        </w:rPr>
        <w:t>附件四诚信承诺书</w:t>
      </w:r>
    </w:p>
    <w:p>
      <w:pPr>
        <w:spacing w:line="240" w:lineRule="auto"/>
        <w:ind w:firstLine="0" w:firstLineChars="0"/>
        <w:rPr>
          <w:rFonts w:ascii="宋体"/>
          <w:color w:val="auto"/>
          <w:sz w:val="24"/>
        </w:rPr>
      </w:pPr>
    </w:p>
    <w:p>
      <w:pPr>
        <w:ind w:firstLine="0" w:firstLineChars="0"/>
        <w:jc w:val="center"/>
        <w:rPr>
          <w:b/>
          <w:color w:val="auto"/>
          <w:sz w:val="24"/>
        </w:rPr>
      </w:pPr>
      <w:r>
        <w:rPr>
          <w:rFonts w:hint="eastAsia"/>
          <w:b/>
          <w:color w:val="auto"/>
          <w:sz w:val="24"/>
        </w:rPr>
        <w:t>政府采购诚信承诺书</w:t>
      </w:r>
    </w:p>
    <w:p>
      <w:pPr>
        <w:pStyle w:val="3"/>
        <w:ind w:firstLine="210"/>
        <w:rPr>
          <w:color w:val="auto"/>
        </w:rPr>
      </w:pPr>
    </w:p>
    <w:p>
      <w:pPr>
        <w:ind w:firstLine="0" w:firstLineChars="0"/>
        <w:rPr>
          <w:rFonts w:asciiTheme="majorEastAsia" w:hAnsiTheme="majorEastAsia" w:eastAsiaTheme="majorEastAsia" w:cstheme="majorEastAsia"/>
          <w:color w:val="auto"/>
          <w:szCs w:val="21"/>
          <w:u w:val="single"/>
        </w:rPr>
      </w:pPr>
      <w:r>
        <w:rPr>
          <w:rFonts w:hint="eastAsia" w:asciiTheme="majorEastAsia" w:hAnsiTheme="majorEastAsia" w:eastAsiaTheme="majorEastAsia" w:cstheme="majorEastAsia"/>
          <w:color w:val="auto"/>
          <w:szCs w:val="21"/>
          <w:u w:val="single"/>
        </w:rPr>
        <w:t>（采购人）</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u w:val="single"/>
        </w:rPr>
        <w:t>（采购代理机构）</w:t>
      </w:r>
      <w:r>
        <w:rPr>
          <w:rFonts w:hint="eastAsia" w:asciiTheme="majorEastAsia" w:hAnsiTheme="majorEastAsia" w:eastAsiaTheme="majorEastAsia" w:cstheme="majorEastAsia"/>
          <w:color w:val="auto"/>
          <w:szCs w:val="21"/>
        </w:rPr>
        <w:t>：</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  我公司</w:t>
      </w:r>
      <w:r>
        <w:rPr>
          <w:rFonts w:hint="eastAsia" w:asciiTheme="majorEastAsia" w:hAnsiTheme="majorEastAsia" w:eastAsiaTheme="majorEastAsia" w:cstheme="majorEastAsia"/>
          <w:color w:val="auto"/>
          <w:szCs w:val="21"/>
          <w:u w:val="single"/>
        </w:rPr>
        <w:t xml:space="preserve">            （单位名称）</w:t>
      </w:r>
      <w:r>
        <w:rPr>
          <w:rFonts w:hint="eastAsia" w:asciiTheme="majorEastAsia" w:hAnsiTheme="majorEastAsia" w:eastAsiaTheme="majorEastAsia" w:cstheme="majorEastAsia"/>
          <w:color w:val="auto"/>
          <w:szCs w:val="21"/>
        </w:rPr>
        <w:t>已详细阅读了项目（项目编号：）的采购文件，自愿参加该项目的采购活动，现就有关事项做出郑重承诺如下：</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一、诚信竞争，材料真实。我公司保证所提供的全部材料、内容均真实、合法、有效，保证不出借或者借用其他企业资质，不以他人名义参与采购和竞争，不弄虚作假；</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二、遵纪守法，公平竞争。不与其他单位相互串通、哄抬价格，不排挤其他单位，不损害采购人的合法权益；不向评审小组、采购人、采购代理机构提供利益以谋取中标（成交）。</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2.1不向项目有关人员及部门赠送礼金礼物、有价证券、回扣以及中介费、介绍费、咨询费等好处费；</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2.2不为项目有关人员及部门报销应由你方单位或个人支付的费用；</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2.3不向项目有关人员及部门提供有可能影响公正的宴请和健身娱乐等活动；</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2.4不为项目有关人员及部门出国（境）、旅游等提供方便；</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2.5不为项目有关人员个人装修住房、婚丧嫁娶、配偶子女工作安排等提供好处；</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2.6严格遵守政府采购法、招标投标法、合同法等法律，诚实守信，合法经营，坚决抵制各种违法违纪行为。</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若有违反以上承诺内容的行为，我公司自愿接受取消竞争资格、记入信用档案、没收参与竞争的保证金、媒体通报、1-3年内禁止参与政府采购活动等处罚；如已中标（成交）的，自动放弃中标（成交）资格，并承担全部法律责任；给采购人造成损失的，依法承担赔偿责任。</w:t>
      </w:r>
    </w:p>
    <w:p>
      <w:pPr>
        <w:spacing w:line="420" w:lineRule="auto"/>
        <w:ind w:firstLine="3595" w:firstLineChars="1712"/>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  位 ：（盖单位公章）</w:t>
      </w:r>
    </w:p>
    <w:p>
      <w:pPr>
        <w:spacing w:line="420" w:lineRule="auto"/>
        <w:ind w:firstLine="3595" w:firstLineChars="1712"/>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法定代表人：（签字或印章）</w:t>
      </w:r>
    </w:p>
    <w:p>
      <w:pPr>
        <w:spacing w:line="420" w:lineRule="auto"/>
        <w:ind w:firstLine="3595" w:firstLineChars="1712"/>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日      期：年月日</w:t>
      </w:r>
    </w:p>
    <w:p>
      <w:pPr>
        <w:topLinePunct/>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（备注：允许联合体投标的项目，若以联合体形式参与采购活动的，联合体各成员应分别填写。）</w:t>
      </w: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ind w:firstLine="420"/>
        <w:rPr>
          <w:color w:val="auto"/>
        </w:rPr>
      </w:pPr>
    </w:p>
    <w:p>
      <w:pPr>
        <w:pStyle w:val="7"/>
        <w:rPr>
          <w:color w:val="auto"/>
        </w:rPr>
      </w:pPr>
      <w:r>
        <w:rPr>
          <w:color w:val="auto"/>
        </w:rPr>
        <w:br w:type="page"/>
      </w:r>
      <w:r>
        <w:rPr>
          <w:rFonts w:hint="eastAsia"/>
          <w:color w:val="auto"/>
        </w:rPr>
        <w:t>附件五法定代表人证明书、法定代表人授权书</w:t>
      </w:r>
    </w:p>
    <w:p>
      <w:pPr>
        <w:ind w:firstLine="0" w:firstLineChars="0"/>
        <w:rPr>
          <w:rFonts w:ascii="宋体"/>
          <w:b/>
          <w:bCs/>
          <w:color w:val="auto"/>
          <w:szCs w:val="20"/>
        </w:rPr>
      </w:pPr>
    </w:p>
    <w:p>
      <w:pPr>
        <w:ind w:firstLine="0" w:firstLineChars="0"/>
        <w:jc w:val="center"/>
        <w:rPr>
          <w:rFonts w:ascii="宋体"/>
          <w:b/>
          <w:bCs/>
          <w:color w:val="auto"/>
          <w:szCs w:val="20"/>
        </w:rPr>
      </w:pPr>
      <w:r>
        <w:rPr>
          <w:rFonts w:hint="eastAsia" w:ascii="宋体" w:hAnsi="宋体"/>
          <w:b/>
          <w:bCs/>
          <w:color w:val="auto"/>
          <w:szCs w:val="20"/>
        </w:rPr>
        <w:t>法定代表人证明书</w:t>
      </w:r>
    </w:p>
    <w:p>
      <w:pPr>
        <w:ind w:firstLine="0" w:firstLineChars="0"/>
        <w:rPr>
          <w:rFonts w:ascii="宋体"/>
          <w:bCs/>
          <w:color w:val="auto"/>
          <w:szCs w:val="20"/>
        </w:rPr>
      </w:pPr>
      <w:r>
        <w:rPr>
          <w:rFonts w:hint="eastAsia" w:ascii="宋体" w:hAnsi="宋体"/>
          <w:b/>
          <w:bCs/>
          <w:color w:val="auto"/>
          <w:szCs w:val="20"/>
          <w:lang w:eastAsia="zh-CN"/>
        </w:rPr>
        <w:t>中国美术学院</w:t>
      </w:r>
      <w:r>
        <w:rPr>
          <w:rFonts w:hint="eastAsia" w:ascii="宋体" w:hAnsi="宋体"/>
          <w:bCs/>
          <w:color w:val="auto"/>
          <w:szCs w:val="20"/>
        </w:rPr>
        <w:t>：</w:t>
      </w:r>
    </w:p>
    <w:p>
      <w:pPr>
        <w:ind w:firstLine="0" w:firstLineChars="0"/>
        <w:rPr>
          <w:rFonts w:ascii="宋体"/>
          <w:b/>
          <w:bCs/>
          <w:color w:val="auto"/>
          <w:szCs w:val="20"/>
        </w:rPr>
      </w:pPr>
      <w:r>
        <w:rPr>
          <w:rFonts w:hint="eastAsia" w:ascii="宋体" w:hAnsi="宋体"/>
          <w:b/>
          <w:bCs/>
          <w:color w:val="auto"/>
          <w:szCs w:val="20"/>
        </w:rPr>
        <w:t>浙江信镧建设工程咨询有限公司：</w:t>
      </w:r>
    </w:p>
    <w:p>
      <w:pPr>
        <w:ind w:firstLine="0" w:firstLineChars="0"/>
        <w:rPr>
          <w:rFonts w:ascii="宋体"/>
          <w:b/>
          <w:bCs/>
          <w:color w:val="auto"/>
          <w:szCs w:val="20"/>
        </w:rPr>
      </w:pPr>
    </w:p>
    <w:p>
      <w:pPr>
        <w:ind w:firstLine="420"/>
        <w:rPr>
          <w:rFonts w:ascii="宋体"/>
          <w:bCs/>
          <w:color w:val="auto"/>
          <w:szCs w:val="20"/>
        </w:rPr>
      </w:pPr>
      <w:r>
        <w:rPr>
          <w:rFonts w:hint="eastAsia" w:ascii="宋体" w:hAnsi="宋体"/>
          <w:bCs/>
          <w:color w:val="auto"/>
          <w:szCs w:val="20"/>
        </w:rPr>
        <w:t>同志，身份证号码：，现任我单位职务，为我单位法定代表人，特此证明。</w:t>
      </w:r>
    </w:p>
    <w:p>
      <w:pPr>
        <w:ind w:firstLine="420"/>
        <w:rPr>
          <w:rFonts w:ascii="宋体"/>
          <w:color w:val="auto"/>
          <w:szCs w:val="20"/>
        </w:rPr>
      </w:pPr>
    </w:p>
    <w:p>
      <w:pPr>
        <w:ind w:firstLine="420"/>
        <w:rPr>
          <w:rFonts w:ascii="宋体"/>
          <w:color w:val="auto"/>
          <w:szCs w:val="20"/>
        </w:rPr>
      </w:pPr>
    </w:p>
    <w:p>
      <w:pPr>
        <w:ind w:firstLine="420"/>
        <w:rPr>
          <w:rFonts w:ascii="宋体"/>
          <w:color w:val="auto"/>
          <w:szCs w:val="20"/>
        </w:rPr>
      </w:pPr>
      <w:r>
        <w:rPr>
          <w:rFonts w:hint="eastAsia" w:ascii="宋体" w:hAnsi="宋体"/>
          <w:color w:val="auto"/>
          <w:szCs w:val="20"/>
        </w:rPr>
        <w:t>投标人（公章）：</w:t>
      </w:r>
    </w:p>
    <w:p>
      <w:pPr>
        <w:ind w:firstLine="420"/>
        <w:rPr>
          <w:rFonts w:ascii="宋体"/>
          <w:color w:val="auto"/>
          <w:szCs w:val="20"/>
        </w:rPr>
      </w:pPr>
      <w:r>
        <w:rPr>
          <w:rFonts w:hint="eastAsia" w:ascii="宋体" w:hAnsi="宋体"/>
          <w:color w:val="auto"/>
          <w:szCs w:val="20"/>
        </w:rPr>
        <w:t>法定代表人签字或盖章：</w:t>
      </w:r>
    </w:p>
    <w:p>
      <w:pPr>
        <w:ind w:firstLine="420"/>
        <w:rPr>
          <w:rFonts w:ascii="宋体"/>
          <w:color w:val="auto"/>
          <w:szCs w:val="20"/>
        </w:rPr>
      </w:pPr>
      <w:r>
        <w:rPr>
          <w:rFonts w:hint="eastAsia" w:ascii="宋体" w:hAnsi="宋体"/>
          <w:color w:val="auto"/>
          <w:szCs w:val="20"/>
        </w:rPr>
        <w:t>电话：</w:t>
      </w:r>
    </w:p>
    <w:p>
      <w:pPr>
        <w:ind w:firstLine="420"/>
        <w:rPr>
          <w:rFonts w:ascii="宋体"/>
          <w:color w:val="auto"/>
          <w:szCs w:val="20"/>
        </w:rPr>
      </w:pPr>
      <w:r>
        <w:rPr>
          <w:rFonts w:hint="eastAsia" w:ascii="宋体" w:hAnsi="宋体"/>
          <w:color w:val="auto"/>
          <w:szCs w:val="20"/>
        </w:rPr>
        <w:t>日期：</w:t>
      </w:r>
    </w:p>
    <w:p>
      <w:pPr>
        <w:ind w:firstLine="420"/>
        <w:rPr>
          <w:rFonts w:ascii="宋体"/>
          <w:color w:val="auto"/>
          <w:szCs w:val="20"/>
        </w:rPr>
      </w:pPr>
      <w:r>
        <w:rPr>
          <w:color w:val="auto"/>
        </w:rPr>
        <mc:AlternateContent>
          <mc:Choice Requires="wps">
            <w:drawing>
              <wp:anchor distT="0" distB="0" distL="114300" distR="114300" simplePos="0" relativeHeight="251657216" behindDoc="0" locked="0" layoutInCell="1" allowOverlap="1">
                <wp:simplePos x="0" y="0"/>
                <wp:positionH relativeFrom="column">
                  <wp:posOffset>219710</wp:posOffset>
                </wp:positionH>
                <wp:positionV relativeFrom="paragraph">
                  <wp:posOffset>129540</wp:posOffset>
                </wp:positionV>
                <wp:extent cx="5638800" cy="3033395"/>
                <wp:effectExtent l="0" t="0" r="19050" b="14605"/>
                <wp:wrapNone/>
                <wp:docPr id="1"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7216;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yhjitgAAAAJAQAADwAAAAAAAAAB&#10;ACAAAAAiAAAAZHJzL2Rvd25yZXYueG1sUEsBAhQAFAAAAAgAh07iQNseG0cQAgAARQQAAA4AAAAA&#10;AAAAAQAgAAAAJwEAAGRycy9lMm9Eb2MueG1sUEsFBgAAAAAGAAYAWQEAAKkFA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ascii="宋体"/>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jc w:val="center"/>
        <w:rPr>
          <w:rFonts w:ascii="宋体"/>
          <w:b/>
          <w:bCs/>
          <w:color w:val="auto"/>
          <w:szCs w:val="20"/>
        </w:rPr>
      </w:pPr>
      <w:r>
        <w:rPr>
          <w:b/>
          <w:color w:val="auto"/>
        </w:rPr>
        <w:br w:type="page"/>
      </w:r>
      <w:r>
        <w:rPr>
          <w:rFonts w:hint="eastAsia"/>
          <w:b/>
          <w:color w:val="auto"/>
        </w:rPr>
        <w:t>法定代表人授权书</w:t>
      </w:r>
    </w:p>
    <w:p>
      <w:pPr>
        <w:ind w:firstLine="0" w:firstLineChars="0"/>
        <w:rPr>
          <w:rFonts w:ascii="宋体"/>
          <w:color w:val="auto"/>
          <w:szCs w:val="20"/>
        </w:rPr>
      </w:pPr>
      <w:r>
        <w:rPr>
          <w:rFonts w:hint="eastAsia" w:ascii="宋体" w:hAnsi="宋体"/>
          <w:b/>
          <w:bCs/>
          <w:color w:val="auto"/>
          <w:szCs w:val="20"/>
          <w:lang w:eastAsia="zh-CN"/>
        </w:rPr>
        <w:t>中国美术学院</w:t>
      </w:r>
      <w:r>
        <w:rPr>
          <w:rFonts w:hint="eastAsia" w:ascii="宋体" w:hAnsi="宋体"/>
          <w:color w:val="auto"/>
          <w:szCs w:val="20"/>
        </w:rPr>
        <w:t>：</w:t>
      </w:r>
    </w:p>
    <w:p>
      <w:pPr>
        <w:ind w:firstLine="0" w:firstLineChars="0"/>
        <w:rPr>
          <w:rFonts w:ascii="宋体"/>
          <w:b/>
          <w:bCs/>
          <w:color w:val="auto"/>
          <w:szCs w:val="20"/>
        </w:rPr>
      </w:pPr>
      <w:r>
        <w:rPr>
          <w:rFonts w:hint="eastAsia" w:ascii="宋体" w:hAnsi="宋体"/>
          <w:b/>
          <w:bCs/>
          <w:color w:val="auto"/>
          <w:szCs w:val="20"/>
        </w:rPr>
        <w:t>浙江信镧建设工程咨询有限公司：</w:t>
      </w:r>
    </w:p>
    <w:p>
      <w:pPr>
        <w:ind w:firstLine="630" w:firstLineChars="300"/>
        <w:rPr>
          <w:rFonts w:ascii="宋体" w:hAnsi="宋体"/>
          <w:color w:val="auto"/>
          <w:szCs w:val="20"/>
        </w:rPr>
      </w:pPr>
      <w:r>
        <w:rPr>
          <w:rFonts w:hint="eastAsia" w:ascii="宋体" w:hAnsi="宋体"/>
          <w:color w:val="auto"/>
          <w:szCs w:val="20"/>
        </w:rPr>
        <w:t>我以</w:t>
      </w:r>
      <w:r>
        <w:rPr>
          <w:rFonts w:hint="eastAsia" w:ascii="宋体" w:hAnsi="宋体"/>
          <w:color w:val="auto"/>
          <w:szCs w:val="20"/>
          <w:u w:val="single"/>
        </w:rPr>
        <w:t xml:space="preserve">       （供应商全称）</w:t>
      </w:r>
      <w:r>
        <w:rPr>
          <w:rFonts w:hint="eastAsia" w:ascii="宋体" w:hAnsi="宋体"/>
          <w:color w:val="auto"/>
          <w:szCs w:val="20"/>
        </w:rPr>
        <w:t>法定代表人的身份授权</w:t>
      </w:r>
      <w:r>
        <w:rPr>
          <w:rFonts w:hint="eastAsia" w:ascii="宋体" w:hAnsi="宋体"/>
          <w:color w:val="auto"/>
          <w:szCs w:val="20"/>
          <w:u w:val="single"/>
        </w:rPr>
        <w:t xml:space="preserve">       （授权委托人姓名）</w:t>
      </w:r>
      <w:r>
        <w:rPr>
          <w:rFonts w:hint="eastAsia" w:ascii="宋体" w:hAnsi="宋体"/>
          <w:color w:val="auto"/>
          <w:szCs w:val="20"/>
        </w:rPr>
        <w:t>、身份证号</w:t>
      </w:r>
      <w:r>
        <w:rPr>
          <w:rFonts w:hint="eastAsia" w:ascii="宋体" w:hAnsi="宋体"/>
          <w:color w:val="auto"/>
          <w:szCs w:val="20"/>
          <w:u w:val="single"/>
        </w:rPr>
        <w:tab/>
      </w:r>
      <w:r>
        <w:rPr>
          <w:rFonts w:hint="eastAsia" w:ascii="宋体" w:hAnsi="宋体"/>
          <w:color w:val="auto"/>
          <w:szCs w:val="20"/>
          <w:u w:val="single"/>
        </w:rPr>
        <w:tab/>
      </w:r>
      <w:r>
        <w:rPr>
          <w:rFonts w:hint="eastAsia" w:ascii="宋体" w:hAnsi="宋体"/>
          <w:color w:val="auto"/>
          <w:szCs w:val="20"/>
        </w:rPr>
        <w:t xml:space="preserve"> ，为我单位的授权委托人，参加贵处组织的</w:t>
      </w:r>
      <w:r>
        <w:rPr>
          <w:rFonts w:hint="eastAsia" w:ascii="宋体" w:hAnsi="宋体"/>
          <w:b/>
          <w:color w:val="auto"/>
          <w:u w:val="single"/>
        </w:rPr>
        <w:t xml:space="preserve">             项目</w:t>
      </w:r>
      <w:r>
        <w:rPr>
          <w:rFonts w:hint="eastAsia" w:ascii="宋体" w:hAnsi="宋体"/>
          <w:color w:val="auto"/>
          <w:szCs w:val="20"/>
        </w:rPr>
        <w:t>（采购编号：）的采购，全权处理采购活动中的一切事宜，我单位均予承认。</w:t>
      </w:r>
    </w:p>
    <w:p>
      <w:pPr>
        <w:ind w:firstLine="420"/>
        <w:rPr>
          <w:rFonts w:ascii="宋体"/>
          <w:color w:val="auto"/>
          <w:szCs w:val="20"/>
        </w:rPr>
      </w:pPr>
    </w:p>
    <w:p>
      <w:pPr>
        <w:ind w:firstLine="420"/>
        <w:rPr>
          <w:rFonts w:ascii="宋体"/>
          <w:color w:val="auto"/>
          <w:szCs w:val="20"/>
        </w:rPr>
      </w:pPr>
      <w:r>
        <w:rPr>
          <w:rFonts w:hint="eastAsia" w:ascii="宋体" w:hAnsi="宋体"/>
          <w:color w:val="auto"/>
          <w:szCs w:val="20"/>
        </w:rPr>
        <w:t>投标人（公章）：</w:t>
      </w:r>
    </w:p>
    <w:p>
      <w:pPr>
        <w:ind w:firstLine="420"/>
        <w:rPr>
          <w:rFonts w:ascii="宋体"/>
          <w:color w:val="auto"/>
          <w:szCs w:val="20"/>
        </w:rPr>
      </w:pPr>
      <w:r>
        <w:rPr>
          <w:rFonts w:hint="eastAsia" w:ascii="宋体" w:hAnsi="宋体"/>
          <w:color w:val="auto"/>
          <w:szCs w:val="20"/>
        </w:rPr>
        <w:t>法定代表人签字或盖章：</w:t>
      </w:r>
    </w:p>
    <w:p>
      <w:pPr>
        <w:ind w:firstLine="420"/>
        <w:rPr>
          <w:rFonts w:ascii="宋体"/>
          <w:color w:val="auto"/>
          <w:szCs w:val="20"/>
        </w:rPr>
      </w:pPr>
      <w:r>
        <w:rPr>
          <w:rFonts w:hint="eastAsia" w:ascii="宋体" w:hAnsi="宋体"/>
          <w:color w:val="auto"/>
          <w:szCs w:val="20"/>
        </w:rPr>
        <w:t>电话：</w:t>
      </w:r>
    </w:p>
    <w:p>
      <w:pPr>
        <w:ind w:firstLine="420"/>
        <w:rPr>
          <w:rFonts w:ascii="宋体"/>
          <w:color w:val="auto"/>
          <w:szCs w:val="20"/>
        </w:rPr>
      </w:pPr>
      <w:r>
        <w:rPr>
          <w:rFonts w:hint="eastAsia" w:ascii="宋体" w:hAnsi="宋体"/>
          <w:color w:val="auto"/>
          <w:szCs w:val="20"/>
        </w:rPr>
        <w:t>日期：</w:t>
      </w:r>
    </w:p>
    <w:p>
      <w:pPr>
        <w:ind w:firstLine="0" w:firstLineChars="0"/>
        <w:rPr>
          <w:rFonts w:ascii="宋体"/>
          <w:b/>
          <w:color w:val="auto"/>
          <w:szCs w:val="20"/>
        </w:rPr>
      </w:pPr>
    </w:p>
    <w:p>
      <w:pPr>
        <w:ind w:firstLine="0" w:firstLineChars="0"/>
        <w:rPr>
          <w:rFonts w:ascii="宋体"/>
          <w:b/>
          <w:color w:val="auto"/>
          <w:szCs w:val="20"/>
        </w:rPr>
      </w:pPr>
    </w:p>
    <w:p>
      <w:pPr>
        <w:ind w:firstLine="0" w:firstLineChars="0"/>
        <w:rPr>
          <w:rFonts w:ascii="宋体"/>
          <w:b/>
          <w:color w:val="auto"/>
          <w:szCs w:val="20"/>
        </w:rPr>
      </w:pPr>
      <w:r>
        <w:rPr>
          <w:rFonts w:hint="eastAsia" w:ascii="宋体" w:hAnsi="宋体"/>
          <w:b/>
          <w:color w:val="auto"/>
          <w:szCs w:val="20"/>
        </w:rPr>
        <w:t>授权委托人身份证复印件：</w:t>
      </w:r>
    </w:p>
    <w:p>
      <w:pPr>
        <w:adjustRightInd w:val="0"/>
        <w:snapToGrid w:val="0"/>
        <w:ind w:firstLine="0" w:firstLineChars="0"/>
        <w:rPr>
          <w:rFonts w:ascii="宋体"/>
          <w:color w:val="auto"/>
          <w:sz w:val="24"/>
        </w:rPr>
      </w:pPr>
      <w:r>
        <w:rPr>
          <w:color w:val="auto"/>
        </w:rPr>
        <mc:AlternateContent>
          <mc:Choice Requires="wps">
            <w:drawing>
              <wp:anchor distT="0" distB="0" distL="114300" distR="114300" simplePos="0" relativeHeight="251658240" behindDoc="0" locked="0" layoutInCell="1" allowOverlap="1">
                <wp:simplePos x="0" y="0"/>
                <wp:positionH relativeFrom="column">
                  <wp:posOffset>210185</wp:posOffset>
                </wp:positionH>
                <wp:positionV relativeFrom="paragraph">
                  <wp:posOffset>201295</wp:posOffset>
                </wp:positionV>
                <wp:extent cx="5638800" cy="3033395"/>
                <wp:effectExtent l="0" t="0" r="19050" b="14605"/>
                <wp:wrapNone/>
                <wp:docPr id="3" name="Text Box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wps:wsp>
                  </a:graphicData>
                </a:graphic>
              </wp:anchor>
            </w:drawing>
          </mc:Choice>
          <mc:Fallback>
            <w:pict>
              <v:shape id="Text Box 3" o:spid="_x0000_s1026" o:spt="202" type="#_x0000_t202" style="position:absolute;left:0pt;margin-left:16.55pt;margin-top:15.85pt;height:238.85pt;width:444pt;z-index:251658240;mso-width-relative:page;mso-height-relative:page;" fillcolor="#FFFFFF" filled="t" stroked="t" coordsize="21600,21600" o:gfxdata="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w4jzZAAAACQEAAA8AAAAAAAAAAQAgAAAAIgAAAGRycy9k&#10;b3ducmV2LnhtbFBLAQIUABQAAAAIAIdO4kC7xNRIAQIAAEQEAAAOAAAAAAAAAAEAIAAAACgBAABk&#10;cnMvZTJvRG9jLnhtbFBLBQYAAAAABgAGAFkBAACbBQ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ind w:firstLine="0" w:firstLineChars="0"/>
        <w:rPr>
          <w:rFonts w:ascii="宋体"/>
          <w:b/>
          <w:color w:val="auto"/>
          <w:spacing w:val="20"/>
          <w:sz w:val="24"/>
        </w:rPr>
        <w:sectPr>
          <w:pgSz w:w="11907" w:h="16840"/>
          <w:pgMar w:top="1247" w:right="1304" w:bottom="1021" w:left="1304" w:header="720" w:footer="720" w:gutter="0"/>
          <w:cols w:space="720" w:num="1"/>
          <w:docGrid w:linePitch="286" w:charSpace="0"/>
        </w:sectPr>
      </w:pPr>
    </w:p>
    <w:p>
      <w:pPr>
        <w:pStyle w:val="7"/>
        <w:rPr>
          <w:rFonts w:hAnsi="宋体"/>
          <w:color w:val="auto"/>
          <w:spacing w:val="20"/>
        </w:rPr>
      </w:pPr>
      <w:r>
        <w:rPr>
          <w:rFonts w:hint="eastAsia"/>
          <w:color w:val="auto"/>
        </w:rPr>
        <w:t>附件六商务条款偏离表</w:t>
      </w:r>
    </w:p>
    <w:p>
      <w:pPr>
        <w:ind w:firstLine="0" w:firstLineChars="0"/>
        <w:rPr>
          <w:rFonts w:ascii="宋体"/>
          <w:color w:val="auto"/>
          <w:spacing w:val="20"/>
        </w:rPr>
      </w:pPr>
    </w:p>
    <w:p>
      <w:pPr>
        <w:ind w:firstLine="0" w:firstLineChars="0"/>
        <w:rPr>
          <w:rFonts w:ascii="宋体"/>
          <w:color w:val="auto"/>
          <w:spacing w:val="20"/>
        </w:rPr>
      </w:pPr>
      <w:r>
        <w:rPr>
          <w:rFonts w:hint="eastAsia" w:ascii="宋体" w:hAnsi="宋体"/>
          <w:color w:val="auto"/>
          <w:spacing w:val="20"/>
        </w:rPr>
        <w:t>招标项目名称：项目编号：</w:t>
      </w:r>
    </w:p>
    <w:tbl>
      <w:tblPr>
        <w:tblStyle w:val="23"/>
        <w:tblW w:w="13860" w:type="dxa"/>
        <w:tblInd w:w="21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2520"/>
        <w:gridCol w:w="2520"/>
        <w:gridCol w:w="5250"/>
        <w:gridCol w:w="23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序号</w:t>
            </w:r>
          </w:p>
        </w:tc>
        <w:tc>
          <w:tcPr>
            <w:tcW w:w="252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内容</w:t>
            </w:r>
          </w:p>
        </w:tc>
        <w:tc>
          <w:tcPr>
            <w:tcW w:w="252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招标要求</w:t>
            </w:r>
          </w:p>
        </w:tc>
        <w:tc>
          <w:tcPr>
            <w:tcW w:w="525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投标响应</w:t>
            </w:r>
          </w:p>
        </w:tc>
        <w:tc>
          <w:tcPr>
            <w:tcW w:w="231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bottom w:val="double" w:color="auto" w:sz="4" w:space="0"/>
            </w:tcBorders>
            <w:vAlign w:val="center"/>
          </w:tcPr>
          <w:p>
            <w:pPr>
              <w:ind w:firstLine="0" w:firstLineChars="0"/>
              <w:jc w:val="center"/>
              <w:rPr>
                <w:rFonts w:ascii="宋体"/>
                <w:color w:val="auto"/>
                <w:spacing w:val="20"/>
              </w:rPr>
            </w:pPr>
          </w:p>
        </w:tc>
        <w:tc>
          <w:tcPr>
            <w:tcW w:w="2520" w:type="dxa"/>
            <w:tcBorders>
              <w:bottom w:val="double" w:color="auto" w:sz="4" w:space="0"/>
            </w:tcBorders>
            <w:vAlign w:val="center"/>
          </w:tcPr>
          <w:p>
            <w:pPr>
              <w:ind w:firstLine="0" w:firstLineChars="0"/>
              <w:jc w:val="center"/>
              <w:rPr>
                <w:rFonts w:ascii="宋体"/>
                <w:color w:val="auto"/>
                <w:spacing w:val="20"/>
              </w:rPr>
            </w:pPr>
          </w:p>
        </w:tc>
        <w:tc>
          <w:tcPr>
            <w:tcW w:w="2520" w:type="dxa"/>
            <w:tcBorders>
              <w:bottom w:val="double" w:color="auto" w:sz="4" w:space="0"/>
            </w:tcBorders>
            <w:vAlign w:val="center"/>
          </w:tcPr>
          <w:p>
            <w:pPr>
              <w:ind w:firstLine="0" w:firstLineChars="0"/>
              <w:jc w:val="center"/>
              <w:rPr>
                <w:rFonts w:ascii="宋体"/>
                <w:color w:val="auto"/>
                <w:spacing w:val="20"/>
              </w:rPr>
            </w:pPr>
          </w:p>
        </w:tc>
        <w:tc>
          <w:tcPr>
            <w:tcW w:w="5250" w:type="dxa"/>
            <w:tcBorders>
              <w:bottom w:val="double" w:color="auto" w:sz="4" w:space="0"/>
            </w:tcBorders>
            <w:vAlign w:val="center"/>
          </w:tcPr>
          <w:p>
            <w:pPr>
              <w:ind w:firstLine="0" w:firstLineChars="0"/>
              <w:jc w:val="center"/>
              <w:rPr>
                <w:rFonts w:ascii="宋体"/>
                <w:color w:val="auto"/>
                <w:spacing w:val="20"/>
              </w:rPr>
            </w:pPr>
          </w:p>
        </w:tc>
        <w:tc>
          <w:tcPr>
            <w:tcW w:w="2310" w:type="dxa"/>
            <w:tcBorders>
              <w:bottom w:val="double" w:color="auto" w:sz="4" w:space="0"/>
            </w:tcBorders>
            <w:vAlign w:val="center"/>
          </w:tcPr>
          <w:p>
            <w:pPr>
              <w:ind w:firstLine="0" w:firstLineChars="0"/>
              <w:jc w:val="center"/>
              <w:rPr>
                <w:rFonts w:ascii="宋体"/>
                <w:color w:val="auto"/>
                <w:spacing w:val="20"/>
              </w:rPr>
            </w:pPr>
          </w:p>
        </w:tc>
      </w:tr>
    </w:tbl>
    <w:p>
      <w:pPr>
        <w:ind w:firstLine="210" w:firstLineChars="100"/>
        <w:rPr>
          <w:rFonts w:ascii="宋体"/>
          <w:color w:val="auto"/>
          <w:szCs w:val="21"/>
        </w:rPr>
      </w:pPr>
      <w:r>
        <w:rPr>
          <w:rFonts w:hint="eastAsia" w:ascii="宋体" w:hAnsi="宋体"/>
          <w:color w:val="auto"/>
          <w:szCs w:val="21"/>
        </w:rPr>
        <w:t>注：此表不填或填写为无偏离，视为完全响应招标要求。</w:t>
      </w:r>
    </w:p>
    <w:p>
      <w:pPr>
        <w:ind w:firstLine="210" w:firstLineChars="100"/>
        <w:rPr>
          <w:rFonts w:ascii="宋体"/>
          <w:color w:val="auto"/>
          <w:szCs w:val="21"/>
        </w:rPr>
      </w:pPr>
      <w:r>
        <w:rPr>
          <w:rFonts w:hint="eastAsia" w:ascii="宋体" w:hAnsi="宋体"/>
          <w:color w:val="auto"/>
          <w:szCs w:val="21"/>
        </w:rPr>
        <w:t>投标人（盖章）：</w:t>
      </w:r>
    </w:p>
    <w:p>
      <w:pPr>
        <w:ind w:firstLine="210" w:firstLineChars="100"/>
        <w:rPr>
          <w:rFonts w:ascii="宋体"/>
          <w:color w:val="auto"/>
          <w:szCs w:val="21"/>
        </w:rPr>
      </w:pPr>
      <w:r>
        <w:rPr>
          <w:rFonts w:hint="eastAsia" w:ascii="宋体" w:hAnsi="宋体"/>
          <w:color w:val="auto"/>
          <w:szCs w:val="21"/>
        </w:rPr>
        <w:t>授权委托人（签字</w:t>
      </w:r>
      <w:r>
        <w:rPr>
          <w:rFonts w:hint="eastAsia"/>
          <w:color w:val="auto"/>
        </w:rPr>
        <w:t>或盖章</w:t>
      </w:r>
      <w:r>
        <w:rPr>
          <w:rFonts w:hint="eastAsia" w:ascii="宋体" w:hAnsi="宋体"/>
          <w:color w:val="auto"/>
          <w:szCs w:val="21"/>
        </w:rPr>
        <w:t>）：</w:t>
      </w:r>
    </w:p>
    <w:p>
      <w:pPr>
        <w:spacing w:line="240" w:lineRule="auto"/>
        <w:ind w:firstLine="210" w:firstLineChars="100"/>
        <w:rPr>
          <w:rFonts w:ascii="宋体"/>
          <w:b/>
          <w:color w:val="auto"/>
          <w:spacing w:val="20"/>
          <w:sz w:val="24"/>
        </w:rPr>
      </w:pPr>
      <w:r>
        <w:rPr>
          <w:rFonts w:hint="eastAsia" w:ascii="宋体" w:hAnsi="宋体"/>
          <w:color w:val="auto"/>
          <w:szCs w:val="21"/>
        </w:rPr>
        <w:t>日期：</w:t>
      </w:r>
    </w:p>
    <w:p>
      <w:pPr>
        <w:ind w:firstLine="420"/>
        <w:rPr>
          <w:color w:val="auto"/>
        </w:rPr>
      </w:pPr>
    </w:p>
    <w:p>
      <w:pPr>
        <w:ind w:firstLine="562"/>
        <w:rPr>
          <w:rFonts w:ascii="宋体"/>
          <w:b/>
          <w:color w:val="auto"/>
          <w:spacing w:val="20"/>
          <w:sz w:val="24"/>
        </w:rPr>
        <w:sectPr>
          <w:pgSz w:w="16840" w:h="11907" w:orient="landscape"/>
          <w:pgMar w:top="1304" w:right="1247" w:bottom="1304" w:left="1021" w:header="720" w:footer="720" w:gutter="0"/>
          <w:cols w:space="720" w:num="1"/>
        </w:sectPr>
      </w:pPr>
    </w:p>
    <w:p>
      <w:pPr>
        <w:pStyle w:val="7"/>
        <w:rPr>
          <w:rFonts w:ascii="宋体" w:hAnsi="宋体"/>
          <w:color w:val="auto"/>
          <w:szCs w:val="21"/>
        </w:rPr>
      </w:pPr>
      <w:r>
        <w:rPr>
          <w:rFonts w:hint="eastAsia"/>
          <w:color w:val="auto"/>
        </w:rPr>
        <w:t>附件七</w:t>
      </w:r>
      <w:r>
        <w:rPr>
          <w:rFonts w:hint="eastAsia" w:ascii="宋体" w:hAnsi="宋体"/>
          <w:color w:val="auto"/>
          <w:szCs w:val="21"/>
        </w:rPr>
        <w:t>投标声明函</w:t>
      </w:r>
    </w:p>
    <w:p>
      <w:pPr>
        <w:ind w:firstLine="199" w:firstLineChars="95"/>
        <w:rPr>
          <w:color w:val="auto"/>
        </w:rPr>
      </w:pPr>
    </w:p>
    <w:p>
      <w:pPr>
        <w:pStyle w:val="3"/>
        <w:ind w:firstLine="210"/>
        <w:rPr>
          <w:color w:val="auto"/>
        </w:rPr>
      </w:pPr>
    </w:p>
    <w:p>
      <w:pPr>
        <w:ind w:firstLine="199" w:firstLineChars="95"/>
        <w:rPr>
          <w:color w:val="auto"/>
        </w:rPr>
      </w:pPr>
      <w:r>
        <w:rPr>
          <w:rFonts w:hint="eastAsia"/>
          <w:color w:val="auto"/>
        </w:rPr>
        <w:t>致：  浙江信镧建设工程咨询有限公司</w:t>
      </w:r>
    </w:p>
    <w:p>
      <w:pPr>
        <w:ind w:firstLine="724" w:firstLineChars="345"/>
        <w:rPr>
          <w:rFonts w:hint="eastAsia" w:eastAsia="宋体"/>
          <w:color w:val="auto"/>
          <w:lang w:eastAsia="zh-CN"/>
        </w:rPr>
      </w:pPr>
      <w:r>
        <w:rPr>
          <w:rFonts w:hint="eastAsia"/>
          <w:color w:val="auto"/>
          <w:lang w:eastAsia="zh-CN"/>
        </w:rPr>
        <w:t>中国美术学院</w:t>
      </w:r>
    </w:p>
    <w:p>
      <w:pPr>
        <w:ind w:firstLine="724" w:firstLineChars="345"/>
        <w:rPr>
          <w:color w:val="auto"/>
        </w:rPr>
      </w:pPr>
      <w:r>
        <w:rPr>
          <w:rFonts w:hint="eastAsia"/>
          <w:color w:val="auto"/>
        </w:rPr>
        <w:t>            </w:t>
      </w:r>
    </w:p>
    <w:p>
      <w:pPr>
        <w:ind w:firstLine="735" w:firstLineChars="350"/>
        <w:rPr>
          <w:color w:val="auto"/>
        </w:rPr>
      </w:pPr>
      <w:r>
        <w:rPr>
          <w:rFonts w:hint="eastAsia"/>
          <w:color w:val="auto"/>
          <w:u w:val="single"/>
        </w:rPr>
        <w:t>_            （</w:t>
      </w:r>
      <w:r>
        <w:rPr>
          <w:rFonts w:hint="eastAsia"/>
          <w:color w:val="auto"/>
        </w:rPr>
        <w:t>投标人名称）系中华人民共和国合法企业，经营地址 </w:t>
      </w:r>
      <w:r>
        <w:rPr>
          <w:rFonts w:hint="eastAsia"/>
          <w:color w:val="auto"/>
          <w:u w:val="single"/>
        </w:rPr>
        <w:t>                              </w:t>
      </w:r>
      <w:r>
        <w:rPr>
          <w:rFonts w:hint="eastAsia"/>
          <w:color w:val="auto"/>
        </w:rPr>
        <w:t>。</w:t>
      </w:r>
    </w:p>
    <w:p>
      <w:pPr>
        <w:ind w:firstLine="420"/>
        <w:rPr>
          <w:color w:val="auto"/>
        </w:rPr>
      </w:pPr>
      <w:r>
        <w:rPr>
          <w:rFonts w:hint="eastAsia"/>
          <w:color w:val="auto"/>
        </w:rPr>
        <w:t>我方愿意参加贵方组织的____</w:t>
      </w:r>
      <w:r>
        <w:rPr>
          <w:rFonts w:hint="eastAsia"/>
          <w:color w:val="auto"/>
          <w:u w:val="single"/>
        </w:rPr>
        <w:t>_         </w:t>
      </w:r>
      <w:r>
        <w:rPr>
          <w:rFonts w:hint="eastAsia"/>
          <w:color w:val="auto"/>
        </w:rPr>
        <w:t> 项目的投标，为便于贵方公正、择优地确定中标人及其投标产品和服务，我方就参加本次投标有关事项郑重声明如下：</w:t>
      </w:r>
    </w:p>
    <w:p>
      <w:pPr>
        <w:ind w:firstLine="420"/>
        <w:rPr>
          <w:color w:val="auto"/>
        </w:rPr>
      </w:pPr>
      <w:r>
        <w:rPr>
          <w:rFonts w:hint="eastAsia"/>
          <w:color w:val="auto"/>
        </w:rPr>
        <w:t>1.我方向贵方提交的所有投标文件、资料都是准确的和真实的；</w:t>
      </w:r>
    </w:p>
    <w:p>
      <w:pPr>
        <w:ind w:firstLine="420"/>
        <w:rPr>
          <w:color w:val="auto"/>
        </w:rPr>
      </w:pPr>
      <w:r>
        <w:rPr>
          <w:rFonts w:hint="eastAsia"/>
          <w:color w:val="auto"/>
        </w:rPr>
        <w:t>2.我方不是采购人的附属机构；</w:t>
      </w:r>
    </w:p>
    <w:p>
      <w:pPr>
        <w:ind w:firstLine="420"/>
        <w:rPr>
          <w:b/>
          <w:color w:val="auto"/>
        </w:rPr>
      </w:pPr>
      <w:r>
        <w:rPr>
          <w:rFonts w:hint="eastAsia"/>
          <w:color w:val="auto"/>
        </w:rPr>
        <w:t>3. 我方参加本采购项目的整体设计、规范编制或者项目管理、监理、检测等服务情况：</w:t>
      </w:r>
      <w:r>
        <w:rPr>
          <w:rFonts w:hint="eastAsia"/>
          <w:b/>
          <w:color w:val="auto"/>
          <w:u w:val="single"/>
        </w:rPr>
        <w:t>（填有或无）　</w:t>
      </w:r>
      <w:r>
        <w:rPr>
          <w:rFonts w:hint="eastAsia"/>
          <w:b/>
          <w:color w:val="auto"/>
        </w:rPr>
        <w:t>　；　　　　　　　　　　　　　　　　　　　　　　　</w:t>
      </w:r>
    </w:p>
    <w:p>
      <w:pPr>
        <w:ind w:firstLine="420"/>
        <w:rPr>
          <w:color w:val="auto"/>
        </w:rPr>
      </w:pPr>
      <w:r>
        <w:rPr>
          <w:rFonts w:hint="eastAsia"/>
          <w:color w:val="auto"/>
        </w:rPr>
        <w:t>4.我方直接控股的单位、由我方管理的单位，没有同时参加本合同项下的投标；</w:t>
      </w:r>
    </w:p>
    <w:p>
      <w:pPr>
        <w:ind w:firstLine="420"/>
        <w:rPr>
          <w:color w:val="auto"/>
        </w:rPr>
      </w:pPr>
      <w:r>
        <w:rPr>
          <w:rFonts w:hint="eastAsia"/>
          <w:color w:val="auto"/>
        </w:rPr>
        <w:t>5.我方参加本次政府采购活动前三年内，在经营活动中的重大违法记录：</w:t>
      </w:r>
      <w:r>
        <w:rPr>
          <w:rFonts w:hint="eastAsia"/>
          <w:color w:val="auto"/>
          <w:u w:val="single"/>
        </w:rPr>
        <w:t>　</w:t>
      </w:r>
      <w:r>
        <w:rPr>
          <w:rFonts w:hint="eastAsia"/>
          <w:b/>
          <w:color w:val="auto"/>
          <w:u w:val="single"/>
        </w:rPr>
        <w:t>（填有或无）　</w:t>
      </w:r>
      <w:r>
        <w:rPr>
          <w:rFonts w:hint="eastAsia"/>
          <w:color w:val="auto"/>
          <w:u w:val="single"/>
        </w:rPr>
        <w:t>　</w:t>
      </w:r>
    </w:p>
    <w:p>
      <w:pPr>
        <w:ind w:firstLine="420"/>
        <w:rPr>
          <w:b/>
          <w:color w:val="auto"/>
          <w:u w:val="single"/>
        </w:rPr>
      </w:pPr>
      <w:r>
        <w:rPr>
          <w:rFonts w:hint="eastAsia"/>
          <w:color w:val="auto"/>
        </w:rPr>
        <w:t>6、我方被“信用中国”（www.creditchina.gov.cn）、中国政府采购网（www.ccgp.gov.cn）列入失信被执行人、重大税收违法案件当事人名单、政府采购严重违法失信行为记录名单。</w:t>
      </w:r>
      <w:r>
        <w:rPr>
          <w:rFonts w:hint="eastAsia"/>
          <w:b/>
          <w:color w:val="auto"/>
          <w:u w:val="single"/>
        </w:rPr>
        <w:t xml:space="preserve">  （填有或无）</w:t>
      </w:r>
    </w:p>
    <w:p>
      <w:pPr>
        <w:ind w:firstLine="420"/>
        <w:rPr>
          <w:color w:val="auto"/>
        </w:rPr>
      </w:pPr>
      <w:r>
        <w:rPr>
          <w:rFonts w:hint="eastAsia"/>
          <w:color w:val="auto"/>
        </w:rPr>
        <w:t>7.以上事项如有虚假或隐瞒，我方愿意承担一切后果，并不再寻求任何旨在减轻或免除法律责任的辩解。</w:t>
      </w:r>
    </w:p>
    <w:p>
      <w:pPr>
        <w:ind w:firstLine="420"/>
        <w:rPr>
          <w:color w:val="auto"/>
        </w:rPr>
      </w:pPr>
      <w:r>
        <w:rPr>
          <w:rFonts w:hint="eastAsia"/>
          <w:color w:val="auto"/>
        </w:rPr>
        <w:t> </w:t>
      </w:r>
    </w:p>
    <w:p>
      <w:pPr>
        <w:ind w:firstLine="420"/>
        <w:rPr>
          <w:color w:val="auto"/>
        </w:rPr>
      </w:pPr>
      <w:r>
        <w:rPr>
          <w:rFonts w:hint="eastAsia"/>
          <w:color w:val="auto"/>
        </w:rPr>
        <w:t> </w:t>
      </w:r>
    </w:p>
    <w:p>
      <w:pPr>
        <w:ind w:firstLine="420"/>
        <w:rPr>
          <w:color w:val="auto"/>
        </w:rPr>
      </w:pPr>
      <w:r>
        <w:rPr>
          <w:rFonts w:hint="eastAsia"/>
          <w:color w:val="auto"/>
        </w:rPr>
        <w:t> </w:t>
      </w:r>
    </w:p>
    <w:p>
      <w:pPr>
        <w:ind w:firstLine="420"/>
        <w:rPr>
          <w:color w:val="auto"/>
        </w:rPr>
      </w:pPr>
      <w:r>
        <w:rPr>
          <w:rFonts w:hint="eastAsia"/>
          <w:color w:val="auto"/>
        </w:rPr>
        <w:t> </w:t>
      </w:r>
    </w:p>
    <w:p>
      <w:pPr>
        <w:ind w:firstLine="420"/>
        <w:rPr>
          <w:color w:val="auto"/>
        </w:rPr>
      </w:pPr>
      <w:r>
        <w:rPr>
          <w:rFonts w:hint="eastAsia"/>
          <w:color w:val="auto"/>
        </w:rPr>
        <w:t>法定代表人或授权委托人：     （签字或盖章）</w:t>
      </w:r>
    </w:p>
    <w:p>
      <w:pPr>
        <w:ind w:firstLine="420"/>
        <w:rPr>
          <w:color w:val="auto"/>
        </w:rPr>
      </w:pPr>
      <w:r>
        <w:rPr>
          <w:rFonts w:hint="eastAsia"/>
          <w:color w:val="auto"/>
        </w:rPr>
        <w:t> </w:t>
      </w:r>
    </w:p>
    <w:p>
      <w:pPr>
        <w:ind w:firstLine="420"/>
        <w:rPr>
          <w:color w:val="auto"/>
        </w:rPr>
      </w:pPr>
      <w:r>
        <w:rPr>
          <w:rFonts w:hint="eastAsia"/>
          <w:color w:val="auto"/>
        </w:rPr>
        <w:t> </w:t>
      </w:r>
    </w:p>
    <w:p>
      <w:pPr>
        <w:ind w:firstLine="420"/>
        <w:rPr>
          <w:color w:val="auto"/>
        </w:rPr>
      </w:pPr>
      <w:r>
        <w:rPr>
          <w:rFonts w:hint="eastAsia"/>
          <w:color w:val="auto"/>
        </w:rPr>
        <w:t>投标人：       （盖章）                              年    月    日</w:t>
      </w:r>
    </w:p>
    <w:p>
      <w:pPr>
        <w:ind w:firstLine="420"/>
        <w:rPr>
          <w:color w:val="auto"/>
        </w:rPr>
      </w:pPr>
      <w:r>
        <w:rPr>
          <w:rFonts w:hint="eastAsia"/>
          <w:color w:val="auto"/>
        </w:rPr>
        <w:t> </w:t>
      </w:r>
    </w:p>
    <w:p>
      <w:pPr>
        <w:ind w:firstLine="420"/>
        <w:rPr>
          <w:color w:val="auto"/>
        </w:rPr>
      </w:pPr>
      <w:r>
        <w:rPr>
          <w:rFonts w:hint="eastAsia"/>
          <w:color w:val="auto"/>
        </w:rPr>
        <w:t> </w:t>
      </w:r>
    </w:p>
    <w:p>
      <w:pPr>
        <w:ind w:firstLine="420"/>
        <w:rPr>
          <w:color w:val="auto"/>
        </w:rPr>
      </w:pPr>
      <w:r>
        <w:rPr>
          <w:rFonts w:hint="eastAsia"/>
          <w:color w:val="auto"/>
        </w:rPr>
        <w:t> </w:t>
      </w:r>
    </w:p>
    <w:p>
      <w:pPr>
        <w:ind w:firstLine="420"/>
        <w:rPr>
          <w:color w:val="auto"/>
        </w:rPr>
      </w:pPr>
      <w:r>
        <w:rPr>
          <w:rFonts w:hint="eastAsia"/>
          <w:color w:val="auto"/>
        </w:rPr>
        <w:t> </w:t>
      </w:r>
    </w:p>
    <w:p>
      <w:pPr>
        <w:ind w:firstLine="422"/>
        <w:rPr>
          <w:b/>
          <w:color w:val="auto"/>
        </w:rPr>
        <w:sectPr>
          <w:pgSz w:w="11907" w:h="16840"/>
          <w:pgMar w:top="1247" w:right="1304" w:bottom="1020" w:left="1304" w:header="720" w:footer="720" w:gutter="0"/>
          <w:cols w:space="720" w:num="1"/>
          <w:docGrid w:linePitch="286" w:charSpace="0"/>
        </w:sectPr>
      </w:pPr>
      <w:r>
        <w:rPr>
          <w:rFonts w:hint="eastAsia"/>
          <w:b/>
          <w:color w:val="auto"/>
        </w:rPr>
        <w:t>备注：第3条，第5条、第6条如填写“有”，资格审查不合格</w:t>
      </w:r>
    </w:p>
    <w:p>
      <w:pPr>
        <w:pStyle w:val="7"/>
        <w:rPr>
          <w:color w:val="auto"/>
        </w:rPr>
      </w:pPr>
      <w:r>
        <w:rPr>
          <w:rFonts w:hint="eastAsia"/>
          <w:color w:val="auto"/>
        </w:rPr>
        <w:t>附件八中小企业声明函（如有）</w:t>
      </w:r>
    </w:p>
    <w:p>
      <w:pPr>
        <w:ind w:firstLine="420"/>
        <w:rPr>
          <w:color w:val="auto"/>
        </w:rPr>
      </w:pPr>
    </w:p>
    <w:p>
      <w:pPr>
        <w:ind w:firstLine="0" w:firstLineChars="0"/>
        <w:jc w:val="center"/>
        <w:rPr>
          <w:b/>
          <w:color w:val="auto"/>
          <w:sz w:val="24"/>
        </w:rPr>
      </w:pPr>
      <w:r>
        <w:rPr>
          <w:rFonts w:hint="eastAsia"/>
          <w:b/>
          <w:color w:val="auto"/>
          <w:sz w:val="24"/>
        </w:rPr>
        <w:t>中小企业声明函</w:t>
      </w:r>
    </w:p>
    <w:p>
      <w:pPr>
        <w:ind w:firstLine="420"/>
        <w:rPr>
          <w:color w:val="auto"/>
          <w:szCs w:val="21"/>
        </w:rPr>
      </w:pPr>
      <w:r>
        <w:rPr>
          <w:rFonts w:hint="eastAsia"/>
          <w:color w:val="auto"/>
        </w:rPr>
        <w:t>本公司郑重声明，根据《政府采购促进中小企业发展暂行办法》（财库</w:t>
      </w:r>
      <w:r>
        <w:rPr>
          <w:color w:val="auto"/>
        </w:rPr>
        <w:t>[2011]181</w:t>
      </w:r>
      <w:r>
        <w:rPr>
          <w:rFonts w:hint="eastAsia"/>
          <w:color w:val="auto"/>
        </w:rPr>
        <w:t>号）的规定，本公司为</w:t>
      </w:r>
      <w:r>
        <w:rPr>
          <w:rFonts w:hint="eastAsia"/>
          <w:color w:val="auto"/>
          <w:szCs w:val="21"/>
        </w:rPr>
        <w:t>（请填写：中型、小型、微型）企业。即，本公司同时满足以下条件：</w:t>
      </w:r>
    </w:p>
    <w:p>
      <w:pPr>
        <w:ind w:firstLine="420"/>
        <w:rPr>
          <w:color w:val="auto"/>
          <w:szCs w:val="21"/>
        </w:rPr>
      </w:pPr>
      <w:r>
        <w:rPr>
          <w:color w:val="auto"/>
        </w:rPr>
        <w:t>1.</w:t>
      </w:r>
      <w:r>
        <w:rPr>
          <w:rFonts w:hint="eastAsia"/>
          <w:color w:val="auto"/>
          <w:szCs w:val="21"/>
        </w:rPr>
        <w:t>根据《工业和信息化部、国家统计局、国家发展和改革委员会、财政部关于印发中小企业划型标准规定的通知》（工信部联企业</w:t>
      </w:r>
      <w:r>
        <w:rPr>
          <w:color w:val="auto"/>
          <w:szCs w:val="21"/>
        </w:rPr>
        <w:t>[2011]300</w:t>
      </w:r>
      <w:r>
        <w:rPr>
          <w:rFonts w:hint="eastAsia"/>
          <w:color w:val="auto"/>
          <w:szCs w:val="21"/>
        </w:rPr>
        <w:t>号）规定的划分标准，本公司为（请填写：中型、小型、微型）企业。</w:t>
      </w:r>
    </w:p>
    <w:p>
      <w:pPr>
        <w:ind w:firstLine="420"/>
        <w:rPr>
          <w:color w:val="auto"/>
          <w:szCs w:val="21"/>
        </w:rPr>
      </w:pPr>
      <w:r>
        <w:rPr>
          <w:color w:val="auto"/>
        </w:rPr>
        <w:t>2.</w:t>
      </w:r>
      <w:r>
        <w:rPr>
          <w:rFonts w:hint="eastAsia"/>
          <w:color w:val="auto"/>
          <w:szCs w:val="21"/>
        </w:rPr>
        <w:t>本公司参加单位的项目采购活动提供本企业制造的货物，由本企业承担工程、提供服务，或者提供其他（请填写：中型、小型、微型）企业制造的货物。本条所称货物不包括使用大型企业注册商标的货物。</w:t>
      </w:r>
    </w:p>
    <w:p>
      <w:pPr>
        <w:ind w:firstLine="420"/>
        <w:rPr>
          <w:color w:val="auto"/>
        </w:rPr>
      </w:pPr>
      <w:r>
        <w:rPr>
          <w:rFonts w:hint="eastAsia"/>
          <w:color w:val="auto"/>
        </w:rPr>
        <w:t>本公司对上述声明的真实性负责。如有虚假，将依法承担相应责任。</w:t>
      </w:r>
    </w:p>
    <w:p>
      <w:pPr>
        <w:ind w:firstLine="420"/>
        <w:jc w:val="right"/>
        <w:rPr>
          <w:color w:val="auto"/>
        </w:rPr>
      </w:pPr>
    </w:p>
    <w:p>
      <w:pPr>
        <w:ind w:firstLine="420"/>
        <w:jc w:val="right"/>
        <w:rPr>
          <w:color w:val="auto"/>
        </w:rPr>
      </w:pPr>
    </w:p>
    <w:p>
      <w:pPr>
        <w:ind w:firstLine="420"/>
        <w:jc w:val="right"/>
        <w:rPr>
          <w:color w:val="auto"/>
        </w:rPr>
      </w:pPr>
      <w:r>
        <w:rPr>
          <w:rFonts w:hint="eastAsia"/>
          <w:color w:val="auto"/>
        </w:rPr>
        <w:t>企业名称（盖章）：</w:t>
      </w:r>
    </w:p>
    <w:p>
      <w:pPr>
        <w:ind w:right="630" w:firstLine="420"/>
        <w:jc w:val="right"/>
        <w:rPr>
          <w:color w:val="auto"/>
        </w:rPr>
      </w:pPr>
      <w:r>
        <w:rPr>
          <w:rFonts w:hint="eastAsia"/>
          <w:color w:val="auto"/>
        </w:rPr>
        <w:t>日期：</w:t>
      </w:r>
    </w:p>
    <w:p>
      <w:pPr>
        <w:ind w:firstLine="0" w:firstLineChars="0"/>
        <w:jc w:val="left"/>
        <w:rPr>
          <w:color w:val="auto"/>
          <w:szCs w:val="21"/>
        </w:rPr>
      </w:pPr>
    </w:p>
    <w:p>
      <w:pPr>
        <w:ind w:firstLine="0" w:firstLineChars="0"/>
        <w:jc w:val="left"/>
        <w:rPr>
          <w:color w:val="auto"/>
          <w:szCs w:val="21"/>
        </w:rPr>
      </w:pPr>
    </w:p>
    <w:p>
      <w:pPr>
        <w:pStyle w:val="7"/>
        <w:rPr>
          <w:color w:val="auto"/>
        </w:rPr>
        <w:sectPr>
          <w:pgSz w:w="11907" w:h="16840"/>
          <w:pgMar w:top="1247" w:right="1304" w:bottom="1021" w:left="1304" w:header="720" w:footer="720" w:gutter="0"/>
          <w:cols w:space="720" w:num="1"/>
          <w:docGrid w:linePitch="286" w:charSpace="0"/>
        </w:sectPr>
      </w:pPr>
    </w:p>
    <w:p>
      <w:pPr>
        <w:pStyle w:val="7"/>
        <w:rPr>
          <w:color w:val="auto"/>
        </w:rPr>
      </w:pPr>
      <w:r>
        <w:rPr>
          <w:rFonts w:hint="eastAsia"/>
          <w:color w:val="auto"/>
        </w:rPr>
        <w:t>附件九残疾人福利性单位声明函（如有）</w:t>
      </w:r>
    </w:p>
    <w:p>
      <w:pPr>
        <w:ind w:firstLine="420"/>
        <w:rPr>
          <w:color w:val="auto"/>
        </w:rPr>
      </w:pPr>
    </w:p>
    <w:p>
      <w:pPr>
        <w:pStyle w:val="3"/>
        <w:ind w:firstLine="210"/>
        <w:rPr>
          <w:color w:val="auto"/>
        </w:rPr>
      </w:pPr>
    </w:p>
    <w:p>
      <w:pPr>
        <w:ind w:firstLine="0" w:firstLineChars="0"/>
        <w:jc w:val="center"/>
        <w:rPr>
          <w:b/>
          <w:color w:val="auto"/>
          <w:sz w:val="24"/>
        </w:rPr>
      </w:pPr>
      <w:r>
        <w:rPr>
          <w:rFonts w:hint="eastAsia"/>
          <w:b/>
          <w:color w:val="auto"/>
          <w:sz w:val="24"/>
        </w:rPr>
        <w:t>残疾人福利性单位声明函</w:t>
      </w:r>
    </w:p>
    <w:p>
      <w:pPr>
        <w:ind w:firstLine="420"/>
        <w:rPr>
          <w:color w:val="auto"/>
          <w:szCs w:val="21"/>
        </w:rPr>
      </w:pPr>
      <w:r>
        <w:rPr>
          <w:rFonts w:hint="eastAsia"/>
          <w:color w:val="auto"/>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rPr>
      </w:pPr>
      <w:r>
        <w:rPr>
          <w:rFonts w:hint="eastAsia"/>
          <w:color w:val="auto"/>
          <w:szCs w:val="21"/>
        </w:rPr>
        <w:t>本单位对上述声明的真实性负责。如有虚假，将依法承担相应责任。</w:t>
      </w: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单位名称（盖章）：</w:t>
      </w:r>
    </w:p>
    <w:p>
      <w:pPr>
        <w:ind w:firstLine="420"/>
        <w:jc w:val="right"/>
        <w:rPr>
          <w:color w:val="auto"/>
          <w:szCs w:val="21"/>
        </w:rPr>
      </w:pPr>
      <w:r>
        <w:rPr>
          <w:rFonts w:hint="eastAsia"/>
          <w:color w:val="auto"/>
          <w:szCs w:val="21"/>
        </w:rPr>
        <w:t>日期：</w:t>
      </w:r>
    </w:p>
    <w:p>
      <w:pPr>
        <w:snapToGrid w:val="0"/>
        <w:ind w:firstLine="527" w:firstLineChars="250"/>
        <w:rPr>
          <w:rFonts w:ascii="宋体" w:hAnsi="宋体"/>
          <w:b/>
          <w:color w:val="auto"/>
          <w:szCs w:val="21"/>
        </w:rPr>
      </w:pPr>
    </w:p>
    <w:p>
      <w:pPr>
        <w:adjustRightInd w:val="0"/>
        <w:snapToGrid w:val="0"/>
        <w:ind w:firstLine="315" w:firstLineChars="150"/>
        <w:rPr>
          <w:rFonts w:ascii="宋体"/>
          <w:b/>
          <w:color w:val="auto"/>
          <w:sz w:val="28"/>
          <w:szCs w:val="28"/>
        </w:rPr>
        <w:sectPr>
          <w:pgSz w:w="11907" w:h="16840"/>
          <w:pgMar w:top="1247" w:right="1304" w:bottom="1021" w:left="1304" w:header="720" w:footer="720" w:gutter="0"/>
          <w:cols w:space="720" w:num="1"/>
          <w:docGrid w:linePitch="286" w:charSpace="0"/>
        </w:sectPr>
      </w:pPr>
      <w:r>
        <w:rPr>
          <w:rFonts w:hint="eastAsia"/>
          <w:color w:val="auto"/>
        </w:rPr>
        <w:t>备注：非残疾人福利性单位无需提供此函。</w:t>
      </w:r>
    </w:p>
    <w:p>
      <w:pPr>
        <w:keepNext/>
        <w:keepLines/>
        <w:ind w:firstLine="0" w:firstLineChars="0"/>
        <w:outlineLvl w:val="2"/>
        <w:rPr>
          <w:b/>
          <w:bCs/>
          <w:color w:val="auto"/>
          <w:szCs w:val="32"/>
        </w:rPr>
      </w:pPr>
      <w:r>
        <w:rPr>
          <w:rFonts w:hint="eastAsia"/>
          <w:b/>
          <w:bCs/>
          <w:color w:val="auto"/>
          <w:szCs w:val="32"/>
        </w:rPr>
        <w:t>附件十项目负责人情况表</w:t>
      </w:r>
    </w:p>
    <w:p>
      <w:pPr>
        <w:ind w:firstLine="0" w:firstLineChars="0"/>
        <w:rPr>
          <w:color w:val="auto"/>
        </w:rPr>
      </w:pPr>
    </w:p>
    <w:tbl>
      <w:tblPr>
        <w:tblStyle w:val="23"/>
        <w:tblW w:w="9287" w:type="dxa"/>
        <w:tblInd w:w="0" w:type="dxa"/>
        <w:tblLayout w:type="fixed"/>
        <w:tblCellMar>
          <w:top w:w="0" w:type="dxa"/>
          <w:left w:w="108" w:type="dxa"/>
          <w:bottom w:w="0" w:type="dxa"/>
          <w:right w:w="108" w:type="dxa"/>
        </w:tblCellMar>
      </w:tblPr>
      <w:tblGrid>
        <w:gridCol w:w="2061"/>
        <w:gridCol w:w="1824"/>
        <w:gridCol w:w="5402"/>
      </w:tblGrid>
      <w:tr>
        <w:tblPrEx>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r>
              <w:rPr>
                <w:rFonts w:hint="eastAsia" w:ascii="Arial" w:hAnsi="Arial" w:cs="Arial"/>
                <w:color w:val="auto"/>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r>
              <w:rPr>
                <w:rFonts w:hint="eastAsia" w:ascii="Arial" w:hAnsi="Arial" w:cs="Arial"/>
                <w:color w:val="auto"/>
                <w:lang w:val="zh-CN"/>
              </w:rPr>
              <w:t>业绩及承担的主要工作情况</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r>
              <w:rPr>
                <w:rFonts w:hint="eastAsia" w:ascii="Arial" w:hAnsi="Arial" w:cs="Arial"/>
                <w:color w:val="auto"/>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r>
              <w:rPr>
                <w:rFonts w:hint="eastAsia" w:ascii="Arial" w:hAnsi="Arial" w:cs="Arial"/>
                <w:color w:val="auto"/>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b/>
                <w:bCs/>
                <w:color w:val="auto"/>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r>
              <w:rPr>
                <w:rFonts w:hint="eastAsia" w:ascii="Arial" w:hAnsi="Arial" w:cs="Arial"/>
                <w:color w:val="auto"/>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b/>
                <w:bCs/>
                <w:color w:val="auto"/>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r>
              <w:rPr>
                <w:rFonts w:hint="eastAsia" w:ascii="Arial" w:hAnsi="Arial" w:cs="Arial"/>
                <w:color w:val="auto"/>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b/>
                <w:bCs/>
                <w:color w:val="auto"/>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r>
              <w:rPr>
                <w:rFonts w:hint="eastAsia" w:ascii="Arial" w:hAnsi="Arial" w:cs="Arial"/>
                <w:color w:val="auto"/>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b/>
                <w:bCs/>
                <w:color w:val="auto"/>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r>
              <w:rPr>
                <w:rFonts w:hint="eastAsia" w:ascii="Arial" w:hAnsi="Arial" w:cs="Arial"/>
                <w:color w:val="auto"/>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b/>
                <w:bCs/>
                <w:color w:val="auto"/>
                <w:sz w:val="24"/>
              </w:rPr>
            </w:pPr>
          </w:p>
        </w:tc>
      </w:tr>
      <w:tr>
        <w:tblPrEx>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r>
              <w:rPr>
                <w:rFonts w:hint="eastAsia" w:ascii="Arial" w:hAnsi="Arial" w:cs="Arial"/>
                <w:color w:val="auto"/>
                <w:lang w:val="zh-CN"/>
              </w:rPr>
              <w:t>资质证书编号</w:t>
            </w:r>
            <w:r>
              <w:rPr>
                <w:rFonts w:ascii="Arial" w:hAnsi="Arial" w:cs="Arial"/>
                <w:color w:val="auto"/>
                <w:lang w:val="zh-CN"/>
              </w:rPr>
              <w:t>(</w:t>
            </w:r>
            <w:r>
              <w:rPr>
                <w:rFonts w:hint="eastAsia" w:ascii="Arial" w:hAnsi="Arial" w:cs="Arial"/>
                <w:color w:val="auto"/>
                <w:lang w:val="zh-CN"/>
              </w:rPr>
              <w:t>如有</w:t>
            </w:r>
            <w:r>
              <w:rPr>
                <w:rFonts w:ascii="Arial" w:hAnsi="Arial" w:cs="Arial"/>
                <w:color w:val="auto"/>
                <w:lang w:val="zh-CN"/>
              </w:rPr>
              <w:t>)</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b/>
                <w:bCs/>
                <w:color w:val="auto"/>
                <w:sz w:val="24"/>
              </w:rPr>
            </w:pPr>
          </w:p>
        </w:tc>
      </w:tr>
      <w:tr>
        <w:tblPrEx>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r>
              <w:rPr>
                <w:rFonts w:hint="eastAsia" w:ascii="Arial" w:hAnsi="Arial" w:cs="Arial"/>
                <w:color w:val="auto"/>
                <w:lang w:val="zh-CN"/>
              </w:rPr>
              <w:t>其他资质情况</w:t>
            </w:r>
            <w:r>
              <w:rPr>
                <w:rFonts w:ascii="Arial" w:hAnsi="Arial" w:cs="Arial"/>
                <w:color w:val="auto"/>
                <w:lang w:val="zh-CN"/>
              </w:rPr>
              <w:t>(</w:t>
            </w:r>
            <w:r>
              <w:rPr>
                <w:rFonts w:hint="eastAsia" w:ascii="Arial" w:hAnsi="Arial" w:cs="Arial"/>
                <w:color w:val="auto"/>
                <w:lang w:val="zh-CN"/>
              </w:rPr>
              <w:t>如有</w:t>
            </w:r>
            <w:r>
              <w:rPr>
                <w:rFonts w:ascii="Arial" w:hAnsi="Arial" w:cs="Arial"/>
                <w:color w:val="auto"/>
                <w:lang w:val="zh-CN"/>
              </w:rPr>
              <w:t>)</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b/>
                <w:bCs/>
                <w:color w:val="auto"/>
                <w:sz w:val="24"/>
              </w:rPr>
            </w:pPr>
          </w:p>
        </w:tc>
      </w:tr>
      <w:tr>
        <w:tblPrEx>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r>
              <w:rPr>
                <w:rFonts w:hint="eastAsia" w:ascii="Arial" w:hAnsi="Arial" w:cs="Arial"/>
                <w:color w:val="auto"/>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b/>
                <w:bCs/>
                <w:color w:val="auto"/>
                <w:sz w:val="24"/>
              </w:rPr>
            </w:pPr>
          </w:p>
        </w:tc>
      </w:tr>
    </w:tbl>
    <w:p>
      <w:pPr>
        <w:ind w:firstLine="210" w:firstLineChars="100"/>
        <w:rPr>
          <w:rFonts w:ascii="宋体"/>
          <w:color w:val="auto"/>
          <w:szCs w:val="21"/>
        </w:rPr>
      </w:pPr>
      <w:r>
        <w:rPr>
          <w:rFonts w:hint="eastAsia" w:ascii="宋体" w:hAnsi="宋体"/>
          <w:color w:val="auto"/>
          <w:szCs w:val="21"/>
        </w:rPr>
        <w:t>投标人（盖章）：</w:t>
      </w:r>
    </w:p>
    <w:p>
      <w:pPr>
        <w:ind w:firstLine="210" w:firstLineChars="100"/>
        <w:rPr>
          <w:rFonts w:ascii="宋体"/>
          <w:color w:val="auto"/>
          <w:szCs w:val="21"/>
        </w:rPr>
      </w:pPr>
      <w:r>
        <w:rPr>
          <w:rFonts w:hint="eastAsia" w:ascii="宋体" w:hAnsi="宋体"/>
          <w:color w:val="auto"/>
          <w:szCs w:val="21"/>
        </w:rPr>
        <w:t>授权委托人（签字）：</w:t>
      </w:r>
    </w:p>
    <w:p>
      <w:pPr>
        <w:ind w:firstLine="199" w:firstLineChars="95"/>
        <w:rPr>
          <w:color w:val="auto"/>
        </w:rPr>
      </w:pPr>
      <w:r>
        <w:rPr>
          <w:rFonts w:hint="eastAsia" w:ascii="宋体" w:hAnsi="宋体"/>
          <w:color w:val="auto"/>
          <w:szCs w:val="21"/>
        </w:rPr>
        <w:t>日期：</w:t>
      </w:r>
    </w:p>
    <w:p>
      <w:pPr>
        <w:keepNext/>
        <w:keepLines/>
        <w:ind w:firstLine="0" w:firstLineChars="0"/>
        <w:outlineLvl w:val="2"/>
        <w:rPr>
          <w:b/>
          <w:bCs/>
          <w:color w:val="auto"/>
          <w:szCs w:val="32"/>
        </w:rPr>
      </w:pPr>
      <w:r>
        <w:rPr>
          <w:b/>
          <w:bCs/>
          <w:color w:val="auto"/>
          <w:szCs w:val="32"/>
        </w:rPr>
        <w:br w:type="page"/>
      </w:r>
      <w:r>
        <w:rPr>
          <w:rFonts w:hint="eastAsia"/>
          <w:b/>
          <w:bCs/>
          <w:color w:val="auto"/>
          <w:szCs w:val="32"/>
        </w:rPr>
        <w:t>附件十一项目团队人员情况表</w:t>
      </w:r>
    </w:p>
    <w:p>
      <w:pPr>
        <w:ind w:firstLine="420"/>
        <w:rPr>
          <w:color w:val="auto"/>
        </w:rPr>
      </w:pPr>
    </w:p>
    <w:tbl>
      <w:tblPr>
        <w:tblStyle w:val="23"/>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CellMar>
            <w:top w:w="0" w:type="dxa"/>
            <w:left w:w="108" w:type="dxa"/>
            <w:bottom w:w="0" w:type="dxa"/>
            <w:right w:w="108" w:type="dxa"/>
          </w:tblCellMar>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rPr>
            </w:pPr>
            <w:r>
              <w:rPr>
                <w:rFonts w:hint="eastAsia" w:ascii="Arial" w:hAnsi="Arial" w:cs="Arial"/>
                <w:color w:val="auto"/>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rPr>
            </w:pPr>
            <w:r>
              <w:rPr>
                <w:rFonts w:hint="eastAsia" w:ascii="Arial" w:hAnsi="Arial" w:cs="Arial"/>
                <w:color w:val="auto"/>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rPr>
            </w:pPr>
            <w:r>
              <w:rPr>
                <w:rFonts w:hint="eastAsia" w:ascii="Arial" w:hAnsi="Arial" w:cs="Arial"/>
                <w:color w:val="auto"/>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rPr>
            </w:pPr>
            <w:r>
              <w:rPr>
                <w:rFonts w:hint="eastAsia" w:ascii="Arial" w:hAnsi="Arial" w:cs="Arial"/>
                <w:color w:val="auto"/>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rPr>
            </w:pPr>
            <w:r>
              <w:rPr>
                <w:rFonts w:hint="eastAsia" w:ascii="Arial" w:hAnsi="Arial" w:cs="Arial"/>
                <w:color w:val="auto"/>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rPr>
            </w:pPr>
            <w:r>
              <w:rPr>
                <w:rFonts w:hint="eastAsia" w:ascii="Arial" w:hAnsi="Arial" w:cs="Arial"/>
                <w:color w:val="auto"/>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rPr>
            </w:pPr>
            <w:r>
              <w:rPr>
                <w:rFonts w:hint="eastAsia" w:ascii="Arial" w:hAnsi="Arial" w:cs="Arial"/>
                <w:color w:val="auto"/>
                <w:lang w:val="zh-CN"/>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rPr>
            </w:pPr>
            <w:r>
              <w:rPr>
                <w:rFonts w:hint="eastAsia" w:ascii="Arial" w:hAnsi="Arial" w:cs="Arial"/>
                <w:color w:val="auto"/>
                <w:lang w:val="zh-CN"/>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rPr>
            </w:pPr>
            <w:r>
              <w:rPr>
                <w:rFonts w:hint="eastAsia" w:ascii="Arial" w:hAnsi="Arial" w:cs="Arial"/>
                <w:color w:val="auto"/>
                <w:lang w:val="zh-CN"/>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rPr>
            </w:pPr>
            <w:r>
              <w:rPr>
                <w:rFonts w:hint="eastAsia" w:ascii="Arial" w:hAnsi="Arial" w:cs="Arial"/>
                <w:color w:val="auto"/>
                <w:lang w:val="zh-CN"/>
              </w:rPr>
              <w:t>参与本项目的到位情况</w:t>
            </w:r>
          </w:p>
        </w:tc>
      </w:tr>
      <w:tr>
        <w:tblPrEx>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rPr>
            </w:pPr>
          </w:p>
          <w:p>
            <w:pPr>
              <w:adjustRightInd w:val="0"/>
              <w:snapToGrid w:val="0"/>
              <w:spacing w:after="120" w:afterLines="50"/>
              <w:ind w:firstLine="482"/>
              <w:jc w:val="center"/>
              <w:rPr>
                <w:rFonts w:ascii="Arial" w:hAnsi="Arial" w:cs="Arial"/>
                <w:b/>
                <w:bCs/>
                <w:color w:val="auto"/>
                <w:sz w:val="24"/>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rPr>
            </w:pPr>
          </w:p>
        </w:tc>
      </w:tr>
    </w:tbl>
    <w:p>
      <w:pPr>
        <w:ind w:firstLine="210" w:firstLineChars="100"/>
        <w:rPr>
          <w:rFonts w:ascii="宋体"/>
          <w:color w:val="auto"/>
          <w:szCs w:val="21"/>
        </w:rPr>
      </w:pPr>
    </w:p>
    <w:p>
      <w:pPr>
        <w:ind w:firstLine="210" w:firstLineChars="100"/>
        <w:rPr>
          <w:rFonts w:ascii="宋体"/>
          <w:color w:val="auto"/>
          <w:szCs w:val="21"/>
        </w:rPr>
      </w:pPr>
      <w:r>
        <w:rPr>
          <w:rFonts w:hint="eastAsia" w:ascii="宋体" w:hAnsi="宋体"/>
          <w:color w:val="auto"/>
          <w:szCs w:val="21"/>
        </w:rPr>
        <w:t>投标人（盖章）：</w:t>
      </w:r>
    </w:p>
    <w:p>
      <w:pPr>
        <w:ind w:firstLine="210" w:firstLineChars="100"/>
        <w:rPr>
          <w:rFonts w:ascii="宋体"/>
          <w:color w:val="auto"/>
          <w:szCs w:val="21"/>
        </w:rPr>
      </w:pPr>
      <w:r>
        <w:rPr>
          <w:rFonts w:hint="eastAsia" w:ascii="宋体" w:hAnsi="宋体"/>
          <w:color w:val="auto"/>
          <w:szCs w:val="21"/>
        </w:rPr>
        <w:t>授权委托人（签字</w:t>
      </w:r>
      <w:r>
        <w:rPr>
          <w:rFonts w:hint="eastAsia"/>
          <w:color w:val="auto"/>
        </w:rPr>
        <w:t>或盖章</w:t>
      </w:r>
      <w:r>
        <w:rPr>
          <w:rFonts w:hint="eastAsia" w:ascii="宋体" w:hAnsi="宋体"/>
          <w:color w:val="auto"/>
          <w:szCs w:val="21"/>
        </w:rPr>
        <w:t>）：</w:t>
      </w:r>
    </w:p>
    <w:p>
      <w:pPr>
        <w:ind w:firstLine="199" w:firstLineChars="95"/>
        <w:rPr>
          <w:color w:val="auto"/>
        </w:rPr>
      </w:pPr>
      <w:r>
        <w:rPr>
          <w:rFonts w:hint="eastAsia" w:ascii="宋体" w:hAnsi="宋体"/>
          <w:color w:val="auto"/>
          <w:szCs w:val="21"/>
        </w:rPr>
        <w:t>日期：</w:t>
      </w:r>
    </w:p>
    <w:p>
      <w:pPr>
        <w:keepNext/>
        <w:keepLines/>
        <w:ind w:firstLine="422"/>
        <w:outlineLvl w:val="2"/>
        <w:rPr>
          <w:b/>
          <w:bCs/>
          <w:color w:val="auto"/>
          <w:szCs w:val="32"/>
        </w:rPr>
        <w:sectPr>
          <w:pgSz w:w="11907" w:h="16840"/>
          <w:pgMar w:top="1247" w:right="1304" w:bottom="1021" w:left="1304" w:header="720" w:footer="720" w:gutter="0"/>
          <w:cols w:space="720" w:num="1"/>
        </w:sectPr>
      </w:pPr>
    </w:p>
    <w:p>
      <w:pPr>
        <w:pStyle w:val="7"/>
        <w:rPr>
          <w:rFonts w:ascii="宋体" w:hAnsi="宋体" w:cs="宋体"/>
          <w:color w:val="auto"/>
          <w:szCs w:val="21"/>
        </w:rPr>
      </w:pPr>
      <w:r>
        <w:rPr>
          <w:rFonts w:hint="eastAsia" w:ascii="宋体" w:hAnsi="宋体" w:cs="宋体"/>
          <w:color w:val="auto"/>
          <w:szCs w:val="21"/>
        </w:rPr>
        <w:t>附件十二  备品备件清单（如有）</w:t>
      </w:r>
    </w:p>
    <w:p>
      <w:pPr>
        <w:ind w:firstLine="420"/>
        <w:rPr>
          <w:rFonts w:ascii="宋体" w:hAnsi="宋体"/>
          <w:color w:val="auto"/>
        </w:rPr>
      </w:pPr>
    </w:p>
    <w:p>
      <w:pPr>
        <w:pStyle w:val="3"/>
        <w:ind w:firstLine="0" w:firstLineChars="0"/>
        <w:jc w:val="center"/>
        <w:rPr>
          <w:rFonts w:ascii="宋体" w:hAnsi="宋体" w:eastAsia="宋体"/>
          <w:b/>
          <w:color w:val="auto"/>
          <w:sz w:val="32"/>
          <w:szCs w:val="32"/>
        </w:rPr>
      </w:pPr>
      <w:r>
        <w:rPr>
          <w:rFonts w:hint="eastAsia" w:ascii="宋体" w:hAnsi="宋体" w:eastAsia="宋体" w:cs="宋体"/>
          <w:b/>
          <w:color w:val="auto"/>
          <w:sz w:val="32"/>
          <w:szCs w:val="32"/>
        </w:rPr>
        <w:t>备品备件清单</w:t>
      </w:r>
    </w:p>
    <w:p>
      <w:pPr>
        <w:ind w:firstLine="420"/>
        <w:rPr>
          <w:rFonts w:ascii="宋体" w:hAnsi="宋体" w:cs="宋体"/>
          <w:color w:val="auto"/>
          <w:szCs w:val="21"/>
        </w:rPr>
      </w:pPr>
    </w:p>
    <w:tbl>
      <w:tblPr>
        <w:tblStyle w:val="2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1511"/>
        <w:gridCol w:w="993"/>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ind w:firstLine="0" w:firstLineChars="0"/>
              <w:jc w:val="center"/>
              <w:rPr>
                <w:rFonts w:ascii="宋体" w:hAnsi="宋体" w:cs="宋体"/>
                <w:color w:val="auto"/>
                <w:spacing w:val="20"/>
                <w:szCs w:val="21"/>
              </w:rPr>
            </w:pPr>
            <w:r>
              <w:rPr>
                <w:rFonts w:hint="eastAsia" w:ascii="宋体" w:hAnsi="宋体" w:cs="宋体"/>
                <w:color w:val="auto"/>
                <w:spacing w:val="20"/>
                <w:szCs w:val="21"/>
              </w:rPr>
              <w:t>名称</w:t>
            </w:r>
          </w:p>
        </w:tc>
        <w:tc>
          <w:tcPr>
            <w:tcW w:w="1281" w:type="dxa"/>
            <w:vAlign w:val="center"/>
          </w:tcPr>
          <w:p>
            <w:pPr>
              <w:ind w:firstLine="0" w:firstLineChars="0"/>
              <w:jc w:val="center"/>
              <w:rPr>
                <w:rFonts w:ascii="宋体" w:hAnsi="宋体" w:cs="宋体"/>
                <w:color w:val="auto"/>
                <w:spacing w:val="20"/>
                <w:szCs w:val="21"/>
              </w:rPr>
            </w:pPr>
            <w:r>
              <w:rPr>
                <w:rFonts w:hint="eastAsia" w:ascii="宋体" w:hAnsi="宋体" w:cs="宋体"/>
                <w:color w:val="auto"/>
                <w:spacing w:val="20"/>
                <w:szCs w:val="21"/>
              </w:rPr>
              <w:t>品牌</w:t>
            </w:r>
          </w:p>
        </w:tc>
        <w:tc>
          <w:tcPr>
            <w:tcW w:w="1511" w:type="dxa"/>
            <w:vAlign w:val="center"/>
          </w:tcPr>
          <w:p>
            <w:pPr>
              <w:ind w:firstLine="0" w:firstLineChars="0"/>
              <w:jc w:val="center"/>
              <w:rPr>
                <w:rFonts w:ascii="宋体" w:hAnsi="宋体" w:cs="宋体"/>
                <w:color w:val="auto"/>
                <w:spacing w:val="20"/>
                <w:szCs w:val="21"/>
              </w:rPr>
            </w:pPr>
            <w:r>
              <w:rPr>
                <w:rFonts w:hint="eastAsia" w:ascii="宋体" w:hAnsi="宋体" w:cs="宋体"/>
                <w:color w:val="auto"/>
                <w:spacing w:val="20"/>
                <w:szCs w:val="21"/>
              </w:rPr>
              <w:t>规格型号</w:t>
            </w:r>
          </w:p>
        </w:tc>
        <w:tc>
          <w:tcPr>
            <w:tcW w:w="993" w:type="dxa"/>
            <w:vAlign w:val="center"/>
          </w:tcPr>
          <w:p>
            <w:pPr>
              <w:ind w:firstLine="0" w:firstLineChars="0"/>
              <w:jc w:val="center"/>
              <w:rPr>
                <w:rFonts w:ascii="宋体" w:hAnsi="宋体" w:cs="宋体"/>
                <w:color w:val="auto"/>
                <w:spacing w:val="20"/>
                <w:szCs w:val="21"/>
              </w:rPr>
            </w:pPr>
            <w:r>
              <w:rPr>
                <w:rFonts w:hint="eastAsia" w:ascii="宋体" w:hAnsi="宋体" w:cs="宋体"/>
                <w:color w:val="auto"/>
                <w:spacing w:val="20"/>
                <w:szCs w:val="21"/>
              </w:rPr>
              <w:t>数量</w:t>
            </w:r>
          </w:p>
        </w:tc>
        <w:tc>
          <w:tcPr>
            <w:tcW w:w="4445" w:type="dxa"/>
            <w:vAlign w:val="center"/>
          </w:tcPr>
          <w:p>
            <w:pPr>
              <w:ind w:firstLine="0" w:firstLineChars="0"/>
              <w:jc w:val="center"/>
              <w:rPr>
                <w:rFonts w:ascii="宋体" w:hAnsi="宋体" w:cs="宋体"/>
                <w:color w:val="auto"/>
                <w:spacing w:val="20"/>
                <w:szCs w:val="21"/>
              </w:rPr>
            </w:pPr>
            <w:r>
              <w:rPr>
                <w:rFonts w:hint="eastAsia" w:ascii="宋体" w:hAnsi="宋体" w:cs="宋体"/>
                <w:color w:val="auto"/>
                <w:spacing w:val="20"/>
                <w:szCs w:val="21"/>
              </w:rPr>
              <w:t>产地和制造商名称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rPr>
            </w:pPr>
          </w:p>
        </w:tc>
        <w:tc>
          <w:tcPr>
            <w:tcW w:w="1281" w:type="dxa"/>
          </w:tcPr>
          <w:p>
            <w:pPr>
              <w:ind w:firstLine="0" w:firstLineChars="0"/>
              <w:jc w:val="center"/>
              <w:rPr>
                <w:rFonts w:ascii="宋体" w:hAnsi="宋体" w:cs="宋体"/>
                <w:color w:val="auto"/>
                <w:spacing w:val="20"/>
                <w:szCs w:val="21"/>
              </w:rPr>
            </w:pPr>
          </w:p>
        </w:tc>
        <w:tc>
          <w:tcPr>
            <w:tcW w:w="1511" w:type="dxa"/>
          </w:tcPr>
          <w:p>
            <w:pPr>
              <w:ind w:firstLine="0" w:firstLineChars="0"/>
              <w:jc w:val="center"/>
              <w:rPr>
                <w:rFonts w:ascii="宋体" w:hAnsi="宋体" w:cs="宋体"/>
                <w:color w:val="auto"/>
                <w:spacing w:val="20"/>
                <w:szCs w:val="21"/>
              </w:rPr>
            </w:pPr>
          </w:p>
        </w:tc>
        <w:tc>
          <w:tcPr>
            <w:tcW w:w="993" w:type="dxa"/>
          </w:tcPr>
          <w:p>
            <w:pPr>
              <w:ind w:firstLine="0" w:firstLineChars="0"/>
              <w:jc w:val="center"/>
              <w:rPr>
                <w:rFonts w:ascii="宋体" w:hAnsi="宋体" w:cs="宋体"/>
                <w:color w:val="auto"/>
                <w:spacing w:val="20"/>
                <w:szCs w:val="21"/>
              </w:rPr>
            </w:pPr>
          </w:p>
        </w:tc>
        <w:tc>
          <w:tcPr>
            <w:tcW w:w="4445" w:type="dxa"/>
          </w:tcPr>
          <w:p>
            <w:pPr>
              <w:ind w:firstLine="0" w:firstLineChars="0"/>
              <w:jc w:val="center"/>
              <w:rPr>
                <w:rFonts w:ascii="宋体" w:hAns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rPr>
            </w:pPr>
          </w:p>
        </w:tc>
        <w:tc>
          <w:tcPr>
            <w:tcW w:w="1281" w:type="dxa"/>
          </w:tcPr>
          <w:p>
            <w:pPr>
              <w:ind w:firstLine="0" w:firstLineChars="0"/>
              <w:jc w:val="center"/>
              <w:rPr>
                <w:rFonts w:ascii="宋体" w:hAnsi="宋体" w:cs="宋体"/>
                <w:color w:val="auto"/>
                <w:spacing w:val="20"/>
                <w:szCs w:val="21"/>
              </w:rPr>
            </w:pPr>
          </w:p>
        </w:tc>
        <w:tc>
          <w:tcPr>
            <w:tcW w:w="1511" w:type="dxa"/>
          </w:tcPr>
          <w:p>
            <w:pPr>
              <w:ind w:firstLine="0" w:firstLineChars="0"/>
              <w:jc w:val="center"/>
              <w:rPr>
                <w:rFonts w:ascii="宋体" w:hAnsi="宋体" w:cs="宋体"/>
                <w:color w:val="auto"/>
                <w:spacing w:val="20"/>
                <w:szCs w:val="21"/>
              </w:rPr>
            </w:pPr>
          </w:p>
        </w:tc>
        <w:tc>
          <w:tcPr>
            <w:tcW w:w="993" w:type="dxa"/>
          </w:tcPr>
          <w:p>
            <w:pPr>
              <w:ind w:firstLine="0" w:firstLineChars="0"/>
              <w:jc w:val="center"/>
              <w:rPr>
                <w:rFonts w:ascii="宋体" w:hAnsi="宋体" w:cs="宋体"/>
                <w:color w:val="auto"/>
                <w:spacing w:val="20"/>
                <w:szCs w:val="21"/>
              </w:rPr>
            </w:pPr>
          </w:p>
        </w:tc>
        <w:tc>
          <w:tcPr>
            <w:tcW w:w="4445" w:type="dxa"/>
          </w:tcPr>
          <w:p>
            <w:pPr>
              <w:ind w:firstLine="0" w:firstLineChars="0"/>
              <w:jc w:val="center"/>
              <w:rPr>
                <w:rFonts w:ascii="宋体" w:hAns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rPr>
            </w:pPr>
          </w:p>
        </w:tc>
        <w:tc>
          <w:tcPr>
            <w:tcW w:w="1281" w:type="dxa"/>
          </w:tcPr>
          <w:p>
            <w:pPr>
              <w:ind w:firstLine="0" w:firstLineChars="0"/>
              <w:jc w:val="center"/>
              <w:rPr>
                <w:rFonts w:ascii="宋体" w:hAnsi="宋体" w:cs="宋体"/>
                <w:color w:val="auto"/>
                <w:spacing w:val="20"/>
                <w:szCs w:val="21"/>
              </w:rPr>
            </w:pPr>
          </w:p>
        </w:tc>
        <w:tc>
          <w:tcPr>
            <w:tcW w:w="1511" w:type="dxa"/>
          </w:tcPr>
          <w:p>
            <w:pPr>
              <w:ind w:firstLine="0" w:firstLineChars="0"/>
              <w:jc w:val="center"/>
              <w:rPr>
                <w:rFonts w:ascii="宋体" w:hAnsi="宋体" w:cs="宋体"/>
                <w:color w:val="auto"/>
                <w:spacing w:val="20"/>
                <w:szCs w:val="21"/>
              </w:rPr>
            </w:pPr>
          </w:p>
        </w:tc>
        <w:tc>
          <w:tcPr>
            <w:tcW w:w="993" w:type="dxa"/>
          </w:tcPr>
          <w:p>
            <w:pPr>
              <w:ind w:firstLine="0" w:firstLineChars="0"/>
              <w:jc w:val="center"/>
              <w:rPr>
                <w:rFonts w:ascii="宋体" w:hAnsi="宋体" w:cs="宋体"/>
                <w:color w:val="auto"/>
                <w:spacing w:val="20"/>
                <w:szCs w:val="21"/>
              </w:rPr>
            </w:pPr>
          </w:p>
        </w:tc>
        <w:tc>
          <w:tcPr>
            <w:tcW w:w="4445" w:type="dxa"/>
          </w:tcPr>
          <w:p>
            <w:pPr>
              <w:ind w:firstLine="0" w:firstLineChars="0"/>
              <w:jc w:val="center"/>
              <w:rPr>
                <w:rFonts w:ascii="宋体" w:hAns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rPr>
            </w:pPr>
          </w:p>
        </w:tc>
        <w:tc>
          <w:tcPr>
            <w:tcW w:w="1281" w:type="dxa"/>
          </w:tcPr>
          <w:p>
            <w:pPr>
              <w:ind w:firstLine="0" w:firstLineChars="0"/>
              <w:jc w:val="center"/>
              <w:rPr>
                <w:rFonts w:ascii="宋体" w:hAnsi="宋体" w:cs="宋体"/>
                <w:color w:val="auto"/>
                <w:spacing w:val="20"/>
                <w:szCs w:val="21"/>
              </w:rPr>
            </w:pPr>
          </w:p>
        </w:tc>
        <w:tc>
          <w:tcPr>
            <w:tcW w:w="1511" w:type="dxa"/>
          </w:tcPr>
          <w:p>
            <w:pPr>
              <w:ind w:firstLine="0" w:firstLineChars="0"/>
              <w:jc w:val="center"/>
              <w:rPr>
                <w:rFonts w:ascii="宋体" w:hAnsi="宋体" w:cs="宋体"/>
                <w:color w:val="auto"/>
                <w:spacing w:val="20"/>
                <w:szCs w:val="21"/>
              </w:rPr>
            </w:pPr>
          </w:p>
        </w:tc>
        <w:tc>
          <w:tcPr>
            <w:tcW w:w="993" w:type="dxa"/>
          </w:tcPr>
          <w:p>
            <w:pPr>
              <w:ind w:firstLine="0" w:firstLineChars="0"/>
              <w:jc w:val="center"/>
              <w:rPr>
                <w:rFonts w:ascii="宋体" w:hAnsi="宋体" w:cs="宋体"/>
                <w:color w:val="auto"/>
                <w:spacing w:val="20"/>
                <w:szCs w:val="21"/>
              </w:rPr>
            </w:pPr>
          </w:p>
        </w:tc>
        <w:tc>
          <w:tcPr>
            <w:tcW w:w="4445" w:type="dxa"/>
          </w:tcPr>
          <w:p>
            <w:pPr>
              <w:ind w:firstLine="0" w:firstLineChars="0"/>
              <w:jc w:val="center"/>
              <w:rPr>
                <w:rFonts w:ascii="宋体" w:hAns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rPr>
            </w:pPr>
          </w:p>
        </w:tc>
        <w:tc>
          <w:tcPr>
            <w:tcW w:w="1281" w:type="dxa"/>
          </w:tcPr>
          <w:p>
            <w:pPr>
              <w:ind w:firstLine="0" w:firstLineChars="0"/>
              <w:jc w:val="center"/>
              <w:rPr>
                <w:rFonts w:ascii="宋体" w:hAnsi="宋体" w:cs="宋体"/>
                <w:color w:val="auto"/>
                <w:spacing w:val="20"/>
                <w:szCs w:val="21"/>
              </w:rPr>
            </w:pPr>
          </w:p>
        </w:tc>
        <w:tc>
          <w:tcPr>
            <w:tcW w:w="1511" w:type="dxa"/>
          </w:tcPr>
          <w:p>
            <w:pPr>
              <w:ind w:firstLine="0" w:firstLineChars="0"/>
              <w:jc w:val="center"/>
              <w:rPr>
                <w:rFonts w:ascii="宋体" w:hAnsi="宋体" w:cs="宋体"/>
                <w:color w:val="auto"/>
                <w:spacing w:val="20"/>
                <w:szCs w:val="21"/>
              </w:rPr>
            </w:pPr>
          </w:p>
        </w:tc>
        <w:tc>
          <w:tcPr>
            <w:tcW w:w="993" w:type="dxa"/>
          </w:tcPr>
          <w:p>
            <w:pPr>
              <w:ind w:firstLine="0" w:firstLineChars="0"/>
              <w:jc w:val="center"/>
              <w:rPr>
                <w:rFonts w:ascii="宋体" w:hAnsi="宋体" w:cs="宋体"/>
                <w:color w:val="auto"/>
                <w:spacing w:val="20"/>
                <w:szCs w:val="21"/>
              </w:rPr>
            </w:pPr>
          </w:p>
        </w:tc>
        <w:tc>
          <w:tcPr>
            <w:tcW w:w="4445" w:type="dxa"/>
          </w:tcPr>
          <w:p>
            <w:pPr>
              <w:ind w:firstLine="0" w:firstLineChars="0"/>
              <w:jc w:val="center"/>
              <w:rPr>
                <w:rFonts w:ascii="宋体" w:hAns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rPr>
            </w:pPr>
          </w:p>
        </w:tc>
        <w:tc>
          <w:tcPr>
            <w:tcW w:w="1281" w:type="dxa"/>
          </w:tcPr>
          <w:p>
            <w:pPr>
              <w:ind w:firstLine="0" w:firstLineChars="0"/>
              <w:jc w:val="center"/>
              <w:rPr>
                <w:rFonts w:ascii="宋体" w:hAnsi="宋体" w:cs="宋体"/>
                <w:color w:val="auto"/>
                <w:spacing w:val="20"/>
                <w:szCs w:val="21"/>
              </w:rPr>
            </w:pPr>
          </w:p>
        </w:tc>
        <w:tc>
          <w:tcPr>
            <w:tcW w:w="1511" w:type="dxa"/>
          </w:tcPr>
          <w:p>
            <w:pPr>
              <w:ind w:firstLine="0" w:firstLineChars="0"/>
              <w:jc w:val="center"/>
              <w:rPr>
                <w:rFonts w:ascii="宋体" w:hAnsi="宋体" w:cs="宋体"/>
                <w:color w:val="auto"/>
                <w:spacing w:val="20"/>
                <w:szCs w:val="21"/>
              </w:rPr>
            </w:pPr>
          </w:p>
        </w:tc>
        <w:tc>
          <w:tcPr>
            <w:tcW w:w="993" w:type="dxa"/>
          </w:tcPr>
          <w:p>
            <w:pPr>
              <w:ind w:firstLine="0" w:firstLineChars="0"/>
              <w:jc w:val="center"/>
              <w:rPr>
                <w:rFonts w:ascii="宋体" w:hAnsi="宋体" w:cs="宋体"/>
                <w:color w:val="auto"/>
                <w:spacing w:val="20"/>
                <w:szCs w:val="21"/>
              </w:rPr>
            </w:pPr>
          </w:p>
        </w:tc>
        <w:tc>
          <w:tcPr>
            <w:tcW w:w="4445" w:type="dxa"/>
          </w:tcPr>
          <w:p>
            <w:pPr>
              <w:ind w:firstLine="0" w:firstLineChars="0"/>
              <w:jc w:val="center"/>
              <w:rPr>
                <w:rFonts w:ascii="宋体" w:hAns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rPr>
            </w:pPr>
          </w:p>
        </w:tc>
        <w:tc>
          <w:tcPr>
            <w:tcW w:w="1281" w:type="dxa"/>
          </w:tcPr>
          <w:p>
            <w:pPr>
              <w:ind w:firstLine="0" w:firstLineChars="0"/>
              <w:jc w:val="center"/>
              <w:rPr>
                <w:rFonts w:ascii="宋体" w:hAnsi="宋体" w:cs="宋体"/>
                <w:color w:val="auto"/>
                <w:spacing w:val="20"/>
                <w:szCs w:val="21"/>
              </w:rPr>
            </w:pPr>
          </w:p>
        </w:tc>
        <w:tc>
          <w:tcPr>
            <w:tcW w:w="1511" w:type="dxa"/>
          </w:tcPr>
          <w:p>
            <w:pPr>
              <w:ind w:firstLine="0" w:firstLineChars="0"/>
              <w:jc w:val="center"/>
              <w:rPr>
                <w:rFonts w:ascii="宋体" w:hAnsi="宋体" w:cs="宋体"/>
                <w:color w:val="auto"/>
                <w:spacing w:val="20"/>
                <w:szCs w:val="21"/>
              </w:rPr>
            </w:pPr>
          </w:p>
        </w:tc>
        <w:tc>
          <w:tcPr>
            <w:tcW w:w="993" w:type="dxa"/>
          </w:tcPr>
          <w:p>
            <w:pPr>
              <w:ind w:firstLine="0" w:firstLineChars="0"/>
              <w:jc w:val="center"/>
              <w:rPr>
                <w:rFonts w:ascii="宋体" w:hAnsi="宋体" w:cs="宋体"/>
                <w:color w:val="auto"/>
                <w:spacing w:val="20"/>
                <w:szCs w:val="21"/>
              </w:rPr>
            </w:pPr>
          </w:p>
        </w:tc>
        <w:tc>
          <w:tcPr>
            <w:tcW w:w="4445" w:type="dxa"/>
          </w:tcPr>
          <w:p>
            <w:pPr>
              <w:ind w:firstLine="0" w:firstLineChars="0"/>
              <w:jc w:val="center"/>
              <w:rPr>
                <w:rFonts w:ascii="宋体" w:hAns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rPr>
            </w:pPr>
          </w:p>
        </w:tc>
        <w:tc>
          <w:tcPr>
            <w:tcW w:w="1281" w:type="dxa"/>
          </w:tcPr>
          <w:p>
            <w:pPr>
              <w:ind w:firstLine="0" w:firstLineChars="0"/>
              <w:jc w:val="center"/>
              <w:rPr>
                <w:rFonts w:ascii="宋体" w:hAnsi="宋体" w:cs="宋体"/>
                <w:color w:val="auto"/>
                <w:spacing w:val="20"/>
                <w:szCs w:val="21"/>
              </w:rPr>
            </w:pPr>
          </w:p>
        </w:tc>
        <w:tc>
          <w:tcPr>
            <w:tcW w:w="1511" w:type="dxa"/>
          </w:tcPr>
          <w:p>
            <w:pPr>
              <w:ind w:firstLine="0" w:firstLineChars="0"/>
              <w:jc w:val="center"/>
              <w:rPr>
                <w:rFonts w:ascii="宋体" w:hAnsi="宋体" w:cs="宋体"/>
                <w:color w:val="auto"/>
                <w:spacing w:val="20"/>
                <w:szCs w:val="21"/>
              </w:rPr>
            </w:pPr>
          </w:p>
        </w:tc>
        <w:tc>
          <w:tcPr>
            <w:tcW w:w="993" w:type="dxa"/>
          </w:tcPr>
          <w:p>
            <w:pPr>
              <w:ind w:firstLine="0" w:firstLineChars="0"/>
              <w:jc w:val="center"/>
              <w:rPr>
                <w:rFonts w:ascii="宋体" w:hAnsi="宋体" w:cs="宋体"/>
                <w:color w:val="auto"/>
                <w:spacing w:val="20"/>
                <w:szCs w:val="21"/>
              </w:rPr>
            </w:pPr>
          </w:p>
        </w:tc>
        <w:tc>
          <w:tcPr>
            <w:tcW w:w="4445" w:type="dxa"/>
          </w:tcPr>
          <w:p>
            <w:pPr>
              <w:ind w:firstLine="0" w:firstLineChars="0"/>
              <w:jc w:val="center"/>
              <w:rPr>
                <w:rFonts w:ascii="宋体" w:hAns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rPr>
            </w:pPr>
          </w:p>
        </w:tc>
        <w:tc>
          <w:tcPr>
            <w:tcW w:w="1281" w:type="dxa"/>
          </w:tcPr>
          <w:p>
            <w:pPr>
              <w:ind w:firstLine="0" w:firstLineChars="0"/>
              <w:jc w:val="center"/>
              <w:rPr>
                <w:rFonts w:ascii="宋体" w:hAnsi="宋体" w:cs="宋体"/>
                <w:color w:val="auto"/>
                <w:spacing w:val="20"/>
                <w:szCs w:val="21"/>
              </w:rPr>
            </w:pPr>
          </w:p>
        </w:tc>
        <w:tc>
          <w:tcPr>
            <w:tcW w:w="1511" w:type="dxa"/>
          </w:tcPr>
          <w:p>
            <w:pPr>
              <w:ind w:firstLine="0" w:firstLineChars="0"/>
              <w:jc w:val="center"/>
              <w:rPr>
                <w:rFonts w:ascii="宋体" w:hAnsi="宋体" w:cs="宋体"/>
                <w:color w:val="auto"/>
                <w:spacing w:val="20"/>
                <w:szCs w:val="21"/>
              </w:rPr>
            </w:pPr>
          </w:p>
        </w:tc>
        <w:tc>
          <w:tcPr>
            <w:tcW w:w="993" w:type="dxa"/>
          </w:tcPr>
          <w:p>
            <w:pPr>
              <w:ind w:firstLine="0" w:firstLineChars="0"/>
              <w:jc w:val="center"/>
              <w:rPr>
                <w:rFonts w:ascii="宋体" w:hAnsi="宋体" w:cs="宋体"/>
                <w:color w:val="auto"/>
                <w:spacing w:val="20"/>
                <w:szCs w:val="21"/>
              </w:rPr>
            </w:pPr>
          </w:p>
        </w:tc>
        <w:tc>
          <w:tcPr>
            <w:tcW w:w="4445" w:type="dxa"/>
          </w:tcPr>
          <w:p>
            <w:pPr>
              <w:ind w:firstLine="0" w:firstLineChars="0"/>
              <w:jc w:val="center"/>
              <w:rPr>
                <w:rFonts w:ascii="宋体" w:hAns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rPr>
            </w:pPr>
          </w:p>
        </w:tc>
        <w:tc>
          <w:tcPr>
            <w:tcW w:w="1281" w:type="dxa"/>
          </w:tcPr>
          <w:p>
            <w:pPr>
              <w:ind w:firstLine="0" w:firstLineChars="0"/>
              <w:jc w:val="center"/>
              <w:rPr>
                <w:rFonts w:ascii="宋体" w:hAnsi="宋体" w:cs="宋体"/>
                <w:color w:val="auto"/>
                <w:spacing w:val="20"/>
                <w:szCs w:val="21"/>
              </w:rPr>
            </w:pPr>
          </w:p>
        </w:tc>
        <w:tc>
          <w:tcPr>
            <w:tcW w:w="1511" w:type="dxa"/>
          </w:tcPr>
          <w:p>
            <w:pPr>
              <w:ind w:firstLine="0" w:firstLineChars="0"/>
              <w:jc w:val="center"/>
              <w:rPr>
                <w:rFonts w:ascii="宋体" w:hAnsi="宋体" w:cs="宋体"/>
                <w:color w:val="auto"/>
                <w:spacing w:val="20"/>
                <w:szCs w:val="21"/>
              </w:rPr>
            </w:pPr>
          </w:p>
        </w:tc>
        <w:tc>
          <w:tcPr>
            <w:tcW w:w="993" w:type="dxa"/>
          </w:tcPr>
          <w:p>
            <w:pPr>
              <w:ind w:firstLine="0" w:firstLineChars="0"/>
              <w:jc w:val="center"/>
              <w:rPr>
                <w:rFonts w:ascii="宋体" w:hAnsi="宋体" w:cs="宋体"/>
                <w:color w:val="auto"/>
                <w:spacing w:val="20"/>
                <w:szCs w:val="21"/>
              </w:rPr>
            </w:pPr>
          </w:p>
        </w:tc>
        <w:tc>
          <w:tcPr>
            <w:tcW w:w="4445" w:type="dxa"/>
          </w:tcPr>
          <w:p>
            <w:pPr>
              <w:ind w:firstLine="0" w:firstLineChars="0"/>
              <w:jc w:val="center"/>
              <w:rPr>
                <w:rFonts w:ascii="宋体" w:hAns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rPr>
            </w:pPr>
          </w:p>
        </w:tc>
        <w:tc>
          <w:tcPr>
            <w:tcW w:w="1281" w:type="dxa"/>
          </w:tcPr>
          <w:p>
            <w:pPr>
              <w:ind w:firstLine="0" w:firstLineChars="0"/>
              <w:jc w:val="center"/>
              <w:rPr>
                <w:rFonts w:ascii="宋体" w:hAnsi="宋体" w:cs="宋体"/>
                <w:color w:val="auto"/>
                <w:spacing w:val="20"/>
                <w:szCs w:val="21"/>
              </w:rPr>
            </w:pPr>
          </w:p>
        </w:tc>
        <w:tc>
          <w:tcPr>
            <w:tcW w:w="1511" w:type="dxa"/>
          </w:tcPr>
          <w:p>
            <w:pPr>
              <w:ind w:firstLine="0" w:firstLineChars="0"/>
              <w:jc w:val="center"/>
              <w:rPr>
                <w:rFonts w:ascii="宋体" w:hAnsi="宋体" w:cs="宋体"/>
                <w:color w:val="auto"/>
                <w:spacing w:val="20"/>
                <w:szCs w:val="21"/>
              </w:rPr>
            </w:pPr>
          </w:p>
        </w:tc>
        <w:tc>
          <w:tcPr>
            <w:tcW w:w="993" w:type="dxa"/>
          </w:tcPr>
          <w:p>
            <w:pPr>
              <w:ind w:firstLine="0" w:firstLineChars="0"/>
              <w:jc w:val="center"/>
              <w:rPr>
                <w:rFonts w:ascii="宋体" w:hAnsi="宋体" w:cs="宋体"/>
                <w:color w:val="auto"/>
                <w:spacing w:val="20"/>
                <w:szCs w:val="21"/>
              </w:rPr>
            </w:pPr>
          </w:p>
        </w:tc>
        <w:tc>
          <w:tcPr>
            <w:tcW w:w="4445" w:type="dxa"/>
          </w:tcPr>
          <w:p>
            <w:pPr>
              <w:ind w:firstLine="0" w:firstLineChars="0"/>
              <w:jc w:val="center"/>
              <w:rPr>
                <w:rFonts w:ascii="宋体" w:hAnsi="宋体" w:cs="宋体"/>
                <w:color w:val="auto"/>
                <w:spacing w:val="20"/>
                <w:szCs w:val="21"/>
              </w:rPr>
            </w:pPr>
          </w:p>
        </w:tc>
      </w:tr>
    </w:tbl>
    <w:p>
      <w:pPr>
        <w:ind w:firstLine="0" w:firstLineChars="0"/>
        <w:rPr>
          <w:rFonts w:ascii="宋体" w:hAnsi="宋体" w:cs="宋体"/>
          <w:color w:val="auto"/>
          <w:spacing w:val="20"/>
          <w:szCs w:val="21"/>
        </w:rPr>
      </w:pPr>
      <w:r>
        <w:rPr>
          <w:rFonts w:ascii="宋体" w:hAnsi="宋体" w:cs="宋体"/>
          <w:color w:val="auto"/>
          <w:spacing w:val="20"/>
          <w:szCs w:val="21"/>
        </w:rPr>
        <w:br w:type="textWrapping" w:clear="all"/>
      </w:r>
      <w:r>
        <w:rPr>
          <w:rFonts w:hint="eastAsia" w:ascii="宋体" w:hAnsi="宋体" w:cs="宋体"/>
          <w:color w:val="auto"/>
          <w:spacing w:val="20"/>
          <w:szCs w:val="21"/>
        </w:rPr>
        <w:t>注：备品备件是指供应商为本次采购服务所准备的备品备件货物，以保证出现故障时，可以在最短的时间内使用备品备件清单中的货物排除故障。备品备件价格包含在投标报价中。</w:t>
      </w:r>
    </w:p>
    <w:p>
      <w:pPr>
        <w:adjustRightInd w:val="0"/>
        <w:snapToGrid w:val="0"/>
        <w:ind w:firstLine="0" w:firstLineChars="0"/>
        <w:rPr>
          <w:rFonts w:ascii="宋体" w:hAnsi="宋体" w:cs="宋体"/>
          <w:color w:val="auto"/>
          <w:szCs w:val="21"/>
        </w:rPr>
      </w:pPr>
      <w:r>
        <w:rPr>
          <w:rFonts w:hint="eastAsia" w:ascii="宋体" w:hAnsi="宋体" w:cs="宋体"/>
          <w:color w:val="auto"/>
          <w:szCs w:val="21"/>
        </w:rPr>
        <w:t>供应商全称（盖章）：</w:t>
      </w:r>
    </w:p>
    <w:p>
      <w:pPr>
        <w:adjustRightInd w:val="0"/>
        <w:snapToGrid w:val="0"/>
        <w:ind w:firstLine="0" w:firstLineChars="0"/>
        <w:rPr>
          <w:rFonts w:ascii="宋体" w:hAnsi="宋体" w:cs="宋体"/>
          <w:color w:val="auto"/>
          <w:szCs w:val="21"/>
        </w:rPr>
      </w:pPr>
      <w:r>
        <w:rPr>
          <w:rFonts w:hint="eastAsia" w:ascii="宋体" w:hAnsi="宋体" w:cs="宋体"/>
          <w:color w:val="auto"/>
          <w:szCs w:val="21"/>
        </w:rPr>
        <w:t>授权委托人（签字或盖章）：</w:t>
      </w:r>
    </w:p>
    <w:p>
      <w:pPr>
        <w:adjustRightInd w:val="0"/>
        <w:snapToGrid w:val="0"/>
        <w:ind w:firstLine="0" w:firstLineChars="0"/>
        <w:rPr>
          <w:rFonts w:ascii="宋体" w:hAnsi="宋体" w:cs="宋体"/>
          <w:color w:val="auto"/>
          <w:szCs w:val="21"/>
        </w:rPr>
      </w:pPr>
      <w:r>
        <w:rPr>
          <w:rFonts w:hint="eastAsia" w:ascii="宋体" w:hAnsi="宋体" w:cs="宋体"/>
          <w:color w:val="auto"/>
          <w:szCs w:val="21"/>
        </w:rPr>
        <w:t>日期：</w:t>
      </w:r>
    </w:p>
    <w:p>
      <w:pPr>
        <w:keepNext/>
        <w:keepLines/>
        <w:ind w:firstLine="0" w:firstLineChars="0"/>
        <w:outlineLvl w:val="2"/>
        <w:rPr>
          <w:b/>
          <w:bCs/>
          <w:color w:val="auto"/>
          <w:szCs w:val="32"/>
        </w:rPr>
      </w:pPr>
      <w:r>
        <w:rPr>
          <w:rFonts w:hint="eastAsia"/>
          <w:b/>
          <w:bCs/>
          <w:color w:val="auto"/>
          <w:szCs w:val="32"/>
        </w:rPr>
        <w:t>附件十三技术条款偏离表</w:t>
      </w:r>
    </w:p>
    <w:p>
      <w:pPr>
        <w:ind w:firstLine="750" w:firstLineChars="300"/>
        <w:rPr>
          <w:rFonts w:ascii="宋体"/>
          <w:color w:val="auto"/>
          <w:spacing w:val="20"/>
        </w:rPr>
      </w:pPr>
    </w:p>
    <w:p>
      <w:pPr>
        <w:ind w:firstLine="750" w:firstLineChars="300"/>
        <w:rPr>
          <w:rFonts w:ascii="宋体"/>
          <w:color w:val="auto"/>
          <w:spacing w:val="20"/>
        </w:rPr>
      </w:pPr>
      <w:r>
        <w:rPr>
          <w:rFonts w:hint="eastAsia" w:ascii="宋体" w:hAnsi="宋体"/>
          <w:color w:val="auto"/>
          <w:spacing w:val="20"/>
        </w:rPr>
        <w:t>招标项目名称：项目编号：</w:t>
      </w:r>
    </w:p>
    <w:tbl>
      <w:tblPr>
        <w:tblStyle w:val="23"/>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463"/>
        <w:gridCol w:w="3464"/>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78" w:type="dxa"/>
            <w:tcBorders>
              <w:top w:val="double" w:color="auto" w:sz="4" w:space="0"/>
              <w:left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序号</w:t>
            </w:r>
          </w:p>
        </w:tc>
        <w:tc>
          <w:tcPr>
            <w:tcW w:w="3463"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采购要求</w:t>
            </w:r>
          </w:p>
        </w:tc>
        <w:tc>
          <w:tcPr>
            <w:tcW w:w="3464"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投标响应</w:t>
            </w:r>
          </w:p>
        </w:tc>
        <w:tc>
          <w:tcPr>
            <w:tcW w:w="2835"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偏离</w:t>
            </w:r>
          </w:p>
        </w:tc>
        <w:tc>
          <w:tcPr>
            <w:tcW w:w="2836" w:type="dxa"/>
            <w:tcBorders>
              <w:top w:val="double" w:color="auto" w:sz="4" w:space="0"/>
              <w:right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rPr>
            </w:pPr>
          </w:p>
        </w:tc>
        <w:tc>
          <w:tcPr>
            <w:tcW w:w="3463" w:type="dxa"/>
          </w:tcPr>
          <w:p>
            <w:pPr>
              <w:spacing w:line="480" w:lineRule="auto"/>
              <w:ind w:firstLine="0" w:firstLineChars="0"/>
              <w:jc w:val="center"/>
              <w:rPr>
                <w:rFonts w:ascii="宋体"/>
                <w:color w:val="auto"/>
                <w:spacing w:val="20"/>
              </w:rPr>
            </w:pPr>
          </w:p>
        </w:tc>
        <w:tc>
          <w:tcPr>
            <w:tcW w:w="3464" w:type="dxa"/>
          </w:tcPr>
          <w:p>
            <w:pPr>
              <w:spacing w:line="480" w:lineRule="auto"/>
              <w:ind w:firstLine="0" w:firstLineChars="0"/>
              <w:jc w:val="center"/>
              <w:rPr>
                <w:rFonts w:ascii="宋体"/>
                <w:color w:val="auto"/>
                <w:spacing w:val="20"/>
              </w:rPr>
            </w:pPr>
          </w:p>
        </w:tc>
        <w:tc>
          <w:tcPr>
            <w:tcW w:w="2835" w:type="dxa"/>
          </w:tcPr>
          <w:p>
            <w:pPr>
              <w:spacing w:line="480" w:lineRule="auto"/>
              <w:ind w:firstLine="0" w:firstLineChars="0"/>
              <w:jc w:val="center"/>
              <w:rPr>
                <w:rFonts w:ascii="宋体"/>
                <w:color w:val="auto"/>
                <w:spacing w:val="20"/>
              </w:rPr>
            </w:pPr>
          </w:p>
        </w:tc>
        <w:tc>
          <w:tcPr>
            <w:tcW w:w="2836" w:type="dxa"/>
            <w:tcBorders>
              <w:right w:val="double" w:color="auto" w:sz="4" w:space="0"/>
            </w:tcBorders>
          </w:tcPr>
          <w:p>
            <w:pPr>
              <w:spacing w:line="480" w:lineRule="auto"/>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rPr>
            </w:pPr>
          </w:p>
        </w:tc>
        <w:tc>
          <w:tcPr>
            <w:tcW w:w="3463" w:type="dxa"/>
          </w:tcPr>
          <w:p>
            <w:pPr>
              <w:spacing w:line="480" w:lineRule="auto"/>
              <w:ind w:firstLine="0" w:firstLineChars="0"/>
              <w:jc w:val="center"/>
              <w:rPr>
                <w:rFonts w:ascii="宋体"/>
                <w:color w:val="auto"/>
                <w:spacing w:val="20"/>
              </w:rPr>
            </w:pPr>
          </w:p>
        </w:tc>
        <w:tc>
          <w:tcPr>
            <w:tcW w:w="3464" w:type="dxa"/>
          </w:tcPr>
          <w:p>
            <w:pPr>
              <w:spacing w:line="480" w:lineRule="auto"/>
              <w:ind w:firstLine="0" w:firstLineChars="0"/>
              <w:jc w:val="center"/>
              <w:rPr>
                <w:rFonts w:ascii="宋体"/>
                <w:color w:val="auto"/>
                <w:spacing w:val="20"/>
              </w:rPr>
            </w:pPr>
          </w:p>
        </w:tc>
        <w:tc>
          <w:tcPr>
            <w:tcW w:w="2835" w:type="dxa"/>
          </w:tcPr>
          <w:p>
            <w:pPr>
              <w:spacing w:line="480" w:lineRule="auto"/>
              <w:ind w:firstLine="0" w:firstLineChars="0"/>
              <w:jc w:val="center"/>
              <w:rPr>
                <w:rFonts w:ascii="宋体"/>
                <w:color w:val="auto"/>
                <w:spacing w:val="20"/>
              </w:rPr>
            </w:pPr>
          </w:p>
        </w:tc>
        <w:tc>
          <w:tcPr>
            <w:tcW w:w="2836" w:type="dxa"/>
            <w:tcBorders>
              <w:right w:val="double" w:color="auto" w:sz="4" w:space="0"/>
            </w:tcBorders>
          </w:tcPr>
          <w:p>
            <w:pPr>
              <w:spacing w:line="480" w:lineRule="auto"/>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rPr>
            </w:pPr>
          </w:p>
        </w:tc>
        <w:tc>
          <w:tcPr>
            <w:tcW w:w="3463" w:type="dxa"/>
          </w:tcPr>
          <w:p>
            <w:pPr>
              <w:spacing w:line="480" w:lineRule="auto"/>
              <w:ind w:firstLine="0" w:firstLineChars="0"/>
              <w:jc w:val="center"/>
              <w:rPr>
                <w:rFonts w:ascii="宋体"/>
                <w:color w:val="auto"/>
                <w:spacing w:val="20"/>
              </w:rPr>
            </w:pPr>
          </w:p>
        </w:tc>
        <w:tc>
          <w:tcPr>
            <w:tcW w:w="3464" w:type="dxa"/>
          </w:tcPr>
          <w:p>
            <w:pPr>
              <w:spacing w:line="480" w:lineRule="auto"/>
              <w:ind w:firstLine="0" w:firstLineChars="0"/>
              <w:jc w:val="center"/>
              <w:rPr>
                <w:rFonts w:ascii="宋体"/>
                <w:color w:val="auto"/>
                <w:spacing w:val="20"/>
              </w:rPr>
            </w:pPr>
          </w:p>
        </w:tc>
        <w:tc>
          <w:tcPr>
            <w:tcW w:w="2835" w:type="dxa"/>
          </w:tcPr>
          <w:p>
            <w:pPr>
              <w:spacing w:line="480" w:lineRule="auto"/>
              <w:ind w:firstLine="0" w:firstLineChars="0"/>
              <w:jc w:val="center"/>
              <w:rPr>
                <w:rFonts w:ascii="宋体"/>
                <w:color w:val="auto"/>
                <w:spacing w:val="20"/>
              </w:rPr>
            </w:pPr>
          </w:p>
        </w:tc>
        <w:tc>
          <w:tcPr>
            <w:tcW w:w="2836" w:type="dxa"/>
            <w:tcBorders>
              <w:right w:val="double" w:color="auto" w:sz="4" w:space="0"/>
            </w:tcBorders>
          </w:tcPr>
          <w:p>
            <w:pPr>
              <w:spacing w:line="480" w:lineRule="auto"/>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rPr>
            </w:pPr>
          </w:p>
        </w:tc>
        <w:tc>
          <w:tcPr>
            <w:tcW w:w="3463" w:type="dxa"/>
          </w:tcPr>
          <w:p>
            <w:pPr>
              <w:spacing w:line="480" w:lineRule="auto"/>
              <w:ind w:firstLine="0" w:firstLineChars="0"/>
              <w:jc w:val="center"/>
              <w:rPr>
                <w:rFonts w:ascii="宋体"/>
                <w:color w:val="auto"/>
                <w:spacing w:val="20"/>
              </w:rPr>
            </w:pPr>
          </w:p>
        </w:tc>
        <w:tc>
          <w:tcPr>
            <w:tcW w:w="3464" w:type="dxa"/>
          </w:tcPr>
          <w:p>
            <w:pPr>
              <w:spacing w:line="480" w:lineRule="auto"/>
              <w:ind w:firstLine="0" w:firstLineChars="0"/>
              <w:jc w:val="center"/>
              <w:rPr>
                <w:rFonts w:ascii="宋体"/>
                <w:color w:val="auto"/>
                <w:spacing w:val="20"/>
              </w:rPr>
            </w:pPr>
          </w:p>
        </w:tc>
        <w:tc>
          <w:tcPr>
            <w:tcW w:w="2835" w:type="dxa"/>
          </w:tcPr>
          <w:p>
            <w:pPr>
              <w:spacing w:line="480" w:lineRule="auto"/>
              <w:ind w:firstLine="0" w:firstLineChars="0"/>
              <w:jc w:val="center"/>
              <w:rPr>
                <w:rFonts w:ascii="宋体"/>
                <w:color w:val="auto"/>
                <w:spacing w:val="20"/>
              </w:rPr>
            </w:pPr>
          </w:p>
        </w:tc>
        <w:tc>
          <w:tcPr>
            <w:tcW w:w="2836" w:type="dxa"/>
            <w:tcBorders>
              <w:right w:val="double" w:color="auto" w:sz="4" w:space="0"/>
            </w:tcBorders>
          </w:tcPr>
          <w:p>
            <w:pPr>
              <w:spacing w:line="480" w:lineRule="auto"/>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rPr>
            </w:pPr>
          </w:p>
        </w:tc>
        <w:tc>
          <w:tcPr>
            <w:tcW w:w="3463" w:type="dxa"/>
          </w:tcPr>
          <w:p>
            <w:pPr>
              <w:spacing w:line="480" w:lineRule="auto"/>
              <w:ind w:firstLine="0" w:firstLineChars="0"/>
              <w:jc w:val="center"/>
              <w:rPr>
                <w:rFonts w:ascii="宋体"/>
                <w:color w:val="auto"/>
                <w:spacing w:val="20"/>
              </w:rPr>
            </w:pPr>
          </w:p>
        </w:tc>
        <w:tc>
          <w:tcPr>
            <w:tcW w:w="3464" w:type="dxa"/>
          </w:tcPr>
          <w:p>
            <w:pPr>
              <w:spacing w:line="480" w:lineRule="auto"/>
              <w:ind w:firstLine="0" w:firstLineChars="0"/>
              <w:jc w:val="center"/>
              <w:rPr>
                <w:rFonts w:ascii="宋体"/>
                <w:color w:val="auto"/>
                <w:spacing w:val="20"/>
              </w:rPr>
            </w:pPr>
          </w:p>
        </w:tc>
        <w:tc>
          <w:tcPr>
            <w:tcW w:w="2835" w:type="dxa"/>
          </w:tcPr>
          <w:p>
            <w:pPr>
              <w:spacing w:line="480" w:lineRule="auto"/>
              <w:ind w:firstLine="0" w:firstLineChars="0"/>
              <w:jc w:val="center"/>
              <w:rPr>
                <w:rFonts w:ascii="宋体"/>
                <w:color w:val="auto"/>
                <w:spacing w:val="20"/>
              </w:rPr>
            </w:pPr>
          </w:p>
        </w:tc>
        <w:tc>
          <w:tcPr>
            <w:tcW w:w="2836" w:type="dxa"/>
            <w:tcBorders>
              <w:right w:val="double" w:color="auto" w:sz="4" w:space="0"/>
            </w:tcBorders>
          </w:tcPr>
          <w:p>
            <w:pPr>
              <w:spacing w:line="480" w:lineRule="auto"/>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rPr>
            </w:pPr>
          </w:p>
        </w:tc>
        <w:tc>
          <w:tcPr>
            <w:tcW w:w="3463" w:type="dxa"/>
          </w:tcPr>
          <w:p>
            <w:pPr>
              <w:spacing w:line="480" w:lineRule="auto"/>
              <w:ind w:firstLine="0" w:firstLineChars="0"/>
              <w:jc w:val="center"/>
              <w:rPr>
                <w:rFonts w:ascii="宋体"/>
                <w:color w:val="auto"/>
                <w:spacing w:val="20"/>
              </w:rPr>
            </w:pPr>
          </w:p>
        </w:tc>
        <w:tc>
          <w:tcPr>
            <w:tcW w:w="3464" w:type="dxa"/>
          </w:tcPr>
          <w:p>
            <w:pPr>
              <w:spacing w:line="480" w:lineRule="auto"/>
              <w:ind w:firstLine="0" w:firstLineChars="0"/>
              <w:jc w:val="center"/>
              <w:rPr>
                <w:rFonts w:ascii="宋体"/>
                <w:color w:val="auto"/>
                <w:spacing w:val="20"/>
              </w:rPr>
            </w:pPr>
          </w:p>
        </w:tc>
        <w:tc>
          <w:tcPr>
            <w:tcW w:w="2835" w:type="dxa"/>
          </w:tcPr>
          <w:p>
            <w:pPr>
              <w:spacing w:line="480" w:lineRule="auto"/>
              <w:ind w:firstLine="0" w:firstLineChars="0"/>
              <w:jc w:val="center"/>
              <w:rPr>
                <w:rFonts w:ascii="宋体"/>
                <w:color w:val="auto"/>
                <w:spacing w:val="20"/>
              </w:rPr>
            </w:pPr>
          </w:p>
        </w:tc>
        <w:tc>
          <w:tcPr>
            <w:tcW w:w="2836" w:type="dxa"/>
            <w:tcBorders>
              <w:right w:val="double" w:color="auto" w:sz="4" w:space="0"/>
            </w:tcBorders>
          </w:tcPr>
          <w:p>
            <w:pPr>
              <w:spacing w:line="480" w:lineRule="auto"/>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bottom w:val="double" w:color="auto" w:sz="4" w:space="0"/>
            </w:tcBorders>
          </w:tcPr>
          <w:p>
            <w:pPr>
              <w:spacing w:line="480" w:lineRule="auto"/>
              <w:ind w:firstLine="0" w:firstLineChars="0"/>
              <w:jc w:val="center"/>
              <w:rPr>
                <w:rFonts w:ascii="宋体"/>
                <w:color w:val="auto"/>
                <w:spacing w:val="20"/>
              </w:rPr>
            </w:pPr>
          </w:p>
        </w:tc>
        <w:tc>
          <w:tcPr>
            <w:tcW w:w="3463" w:type="dxa"/>
            <w:tcBorders>
              <w:bottom w:val="double" w:color="auto" w:sz="4" w:space="0"/>
            </w:tcBorders>
          </w:tcPr>
          <w:p>
            <w:pPr>
              <w:spacing w:line="480" w:lineRule="auto"/>
              <w:ind w:firstLine="0" w:firstLineChars="0"/>
              <w:jc w:val="center"/>
              <w:rPr>
                <w:rFonts w:ascii="宋体"/>
                <w:color w:val="auto"/>
                <w:spacing w:val="20"/>
              </w:rPr>
            </w:pPr>
          </w:p>
        </w:tc>
        <w:tc>
          <w:tcPr>
            <w:tcW w:w="3464" w:type="dxa"/>
            <w:tcBorders>
              <w:bottom w:val="double" w:color="auto" w:sz="4" w:space="0"/>
            </w:tcBorders>
          </w:tcPr>
          <w:p>
            <w:pPr>
              <w:spacing w:line="480" w:lineRule="auto"/>
              <w:ind w:firstLine="0" w:firstLineChars="0"/>
              <w:jc w:val="center"/>
              <w:rPr>
                <w:rFonts w:ascii="宋体"/>
                <w:color w:val="auto"/>
                <w:spacing w:val="20"/>
              </w:rPr>
            </w:pPr>
          </w:p>
        </w:tc>
        <w:tc>
          <w:tcPr>
            <w:tcW w:w="2835" w:type="dxa"/>
            <w:tcBorders>
              <w:bottom w:val="double" w:color="auto" w:sz="4" w:space="0"/>
            </w:tcBorders>
          </w:tcPr>
          <w:p>
            <w:pPr>
              <w:spacing w:line="480" w:lineRule="auto"/>
              <w:ind w:firstLine="0" w:firstLineChars="0"/>
              <w:jc w:val="center"/>
              <w:rPr>
                <w:rFonts w:ascii="宋体"/>
                <w:color w:val="auto"/>
                <w:spacing w:val="20"/>
              </w:rPr>
            </w:pPr>
          </w:p>
        </w:tc>
        <w:tc>
          <w:tcPr>
            <w:tcW w:w="2836" w:type="dxa"/>
            <w:tcBorders>
              <w:bottom w:val="double" w:color="auto" w:sz="4" w:space="0"/>
              <w:right w:val="double" w:color="auto" w:sz="4" w:space="0"/>
            </w:tcBorders>
          </w:tcPr>
          <w:p>
            <w:pPr>
              <w:spacing w:line="480" w:lineRule="auto"/>
              <w:ind w:firstLine="0" w:firstLineChars="0"/>
              <w:jc w:val="center"/>
              <w:rPr>
                <w:rFonts w:ascii="宋体"/>
                <w:color w:val="auto"/>
                <w:spacing w:val="20"/>
              </w:rPr>
            </w:pPr>
          </w:p>
        </w:tc>
      </w:tr>
    </w:tbl>
    <w:p>
      <w:pPr>
        <w:ind w:firstLine="0" w:firstLineChars="0"/>
        <w:rPr>
          <w:rFonts w:ascii="宋体"/>
          <w:color w:val="auto"/>
          <w:szCs w:val="21"/>
        </w:rPr>
      </w:pPr>
    </w:p>
    <w:p>
      <w:pPr>
        <w:ind w:firstLine="210" w:firstLineChars="100"/>
        <w:rPr>
          <w:rFonts w:ascii="宋体"/>
          <w:color w:val="auto"/>
          <w:szCs w:val="20"/>
        </w:rPr>
      </w:pPr>
      <w:r>
        <w:rPr>
          <w:rFonts w:hint="eastAsia" w:ascii="宋体" w:hAnsi="宋体"/>
          <w:color w:val="auto"/>
          <w:szCs w:val="21"/>
        </w:rPr>
        <w:t>注：此表不填或填写为无偏离，视为完全响应招标要求。</w:t>
      </w:r>
    </w:p>
    <w:p>
      <w:pPr>
        <w:adjustRightInd w:val="0"/>
        <w:snapToGrid w:val="0"/>
        <w:ind w:firstLine="0" w:firstLineChars="0"/>
        <w:rPr>
          <w:rFonts w:ascii="宋体"/>
          <w:color w:val="auto"/>
          <w:szCs w:val="20"/>
        </w:rPr>
      </w:pPr>
      <w:r>
        <w:rPr>
          <w:rFonts w:hint="eastAsia" w:ascii="宋体" w:hAnsi="宋体"/>
          <w:color w:val="auto"/>
          <w:szCs w:val="20"/>
        </w:rPr>
        <w:t>投标人全称（盖章）：</w:t>
      </w:r>
    </w:p>
    <w:p>
      <w:pPr>
        <w:adjustRightInd w:val="0"/>
        <w:snapToGrid w:val="0"/>
        <w:ind w:firstLine="0" w:firstLineChars="0"/>
        <w:rPr>
          <w:rFonts w:ascii="宋体"/>
          <w:color w:val="auto"/>
          <w:szCs w:val="20"/>
        </w:rPr>
      </w:pPr>
      <w:r>
        <w:rPr>
          <w:rFonts w:hint="eastAsia" w:ascii="宋体" w:hAnsi="宋体"/>
          <w:color w:val="auto"/>
          <w:szCs w:val="20"/>
        </w:rPr>
        <w:t>授权委托人（签字</w:t>
      </w:r>
      <w:r>
        <w:rPr>
          <w:rFonts w:hint="eastAsia"/>
          <w:color w:val="auto"/>
        </w:rPr>
        <w:t>或盖章</w:t>
      </w:r>
      <w:r>
        <w:rPr>
          <w:rFonts w:hint="eastAsia" w:ascii="宋体" w:hAnsi="宋体"/>
          <w:color w:val="auto"/>
          <w:szCs w:val="20"/>
        </w:rPr>
        <w:t>）：</w:t>
      </w:r>
    </w:p>
    <w:p>
      <w:pPr>
        <w:adjustRightInd w:val="0"/>
        <w:snapToGrid w:val="0"/>
        <w:ind w:firstLine="0" w:firstLineChars="0"/>
        <w:rPr>
          <w:rFonts w:ascii="宋体"/>
          <w:color w:val="auto"/>
          <w:szCs w:val="20"/>
        </w:rPr>
      </w:pPr>
      <w:r>
        <w:rPr>
          <w:rFonts w:hint="eastAsia" w:ascii="宋体" w:hAnsi="宋体"/>
          <w:color w:val="auto"/>
          <w:szCs w:val="20"/>
        </w:rPr>
        <w:t>日期：</w:t>
      </w:r>
    </w:p>
    <w:p>
      <w:pPr>
        <w:ind w:firstLine="0" w:firstLineChars="0"/>
        <w:rPr>
          <w:rFonts w:ascii="宋体"/>
          <w:color w:val="auto"/>
          <w:spacing w:val="20"/>
          <w:sz w:val="24"/>
        </w:rPr>
      </w:pPr>
    </w:p>
    <w:p>
      <w:pPr>
        <w:ind w:firstLine="0" w:firstLineChars="0"/>
        <w:rPr>
          <w:rFonts w:ascii="宋体"/>
          <w:color w:val="auto"/>
          <w:spacing w:val="20"/>
          <w:sz w:val="24"/>
        </w:rPr>
        <w:sectPr>
          <w:pgSz w:w="16840" w:h="11907" w:orient="landscape"/>
          <w:pgMar w:top="1304" w:right="1247" w:bottom="1304" w:left="1021" w:header="720" w:footer="720" w:gutter="0"/>
          <w:cols w:space="720" w:num="1"/>
          <w:docGrid w:linePitch="286" w:charSpace="0"/>
        </w:sectPr>
      </w:pPr>
    </w:p>
    <w:p>
      <w:pPr>
        <w:pStyle w:val="5"/>
        <w:ind w:firstLine="482"/>
        <w:rPr>
          <w:color w:val="auto"/>
        </w:rPr>
      </w:pPr>
      <w:bookmarkStart w:id="153" w:name="_Toc450840090"/>
      <w:bookmarkStart w:id="154" w:name="_Toc50450171"/>
      <w:r>
        <w:rPr>
          <w:rFonts w:hint="eastAsia"/>
          <w:color w:val="auto"/>
        </w:rPr>
        <w:t>第七章评标办法</w:t>
      </w:r>
      <w:bookmarkEnd w:id="153"/>
      <w:bookmarkEnd w:id="154"/>
    </w:p>
    <w:p>
      <w:pPr>
        <w:ind w:firstLine="420"/>
        <w:rPr>
          <w:color w:val="auto"/>
        </w:rPr>
      </w:pPr>
      <w:r>
        <w:rPr>
          <w:rFonts w:hint="eastAsia"/>
          <w:color w:val="auto"/>
        </w:rPr>
        <w:t>本评标办法遵照《中华人民共和国政府采购法实施条例》、《政府采购货物和服务招标投标管理办法》（财政部令第87号）的有关规定，并结合本项目的具体情况制定。</w:t>
      </w:r>
    </w:p>
    <w:p>
      <w:pPr>
        <w:pStyle w:val="6"/>
        <w:rPr>
          <w:color w:val="auto"/>
        </w:rPr>
      </w:pPr>
      <w:bookmarkStart w:id="155" w:name="_Toc2078387"/>
      <w:bookmarkStart w:id="156" w:name="_Toc50450172"/>
      <w:r>
        <w:rPr>
          <w:color w:val="auto"/>
        </w:rPr>
        <w:t>1</w:t>
      </w:r>
      <w:r>
        <w:rPr>
          <w:rFonts w:hint="eastAsia"/>
          <w:color w:val="auto"/>
        </w:rPr>
        <w:t>总则</w:t>
      </w:r>
      <w:bookmarkEnd w:id="155"/>
      <w:bookmarkEnd w:id="156"/>
    </w:p>
    <w:p>
      <w:pPr>
        <w:ind w:firstLine="420"/>
        <w:rPr>
          <w:color w:val="auto"/>
        </w:rPr>
      </w:pPr>
      <w:r>
        <w:rPr>
          <w:rFonts w:hint="eastAsia"/>
          <w:color w:val="auto"/>
        </w:rPr>
        <w:t>采购工作遵循公开、公正、公平、择优和诚实信用的原则，评标人员将本着认真、公正、诚实、廉洁的精神，进行评标工作，择优推荐中标候选人。在评标期间，评标委员及相关工作人员必须严格遵守保密规定，不得泄露评标的有关情况。</w:t>
      </w:r>
    </w:p>
    <w:p>
      <w:pPr>
        <w:ind w:firstLine="420"/>
        <w:rPr>
          <w:color w:val="auto"/>
        </w:rPr>
      </w:pPr>
      <w:r>
        <w:rPr>
          <w:rFonts w:hint="eastAsia"/>
          <w:color w:val="auto"/>
        </w:rPr>
        <w:t>对落标人，评标委员会不作任何落标解释。</w:t>
      </w:r>
    </w:p>
    <w:p>
      <w:pPr>
        <w:pStyle w:val="6"/>
        <w:rPr>
          <w:color w:val="auto"/>
        </w:rPr>
      </w:pPr>
      <w:bookmarkStart w:id="157" w:name="_Toc50450173"/>
      <w:bookmarkStart w:id="158" w:name="_Toc2078388"/>
      <w:r>
        <w:rPr>
          <w:color w:val="auto"/>
        </w:rPr>
        <w:t>2</w:t>
      </w:r>
      <w:r>
        <w:rPr>
          <w:rFonts w:hint="eastAsia"/>
          <w:color w:val="auto"/>
        </w:rPr>
        <w:t>评标组织</w:t>
      </w:r>
      <w:bookmarkEnd w:id="157"/>
      <w:bookmarkEnd w:id="158"/>
    </w:p>
    <w:p>
      <w:pPr>
        <w:ind w:firstLine="420"/>
        <w:rPr>
          <w:color w:val="auto"/>
        </w:rPr>
      </w:pPr>
      <w:r>
        <w:rPr>
          <w:rFonts w:hint="eastAsia"/>
          <w:color w:val="auto"/>
        </w:rPr>
        <w:t>评标工作由采购单位依法组建的评标委员会负责。评标委员会负责审标、询标、评审等工作，并向招标人提出评审意见和评标报告。</w:t>
      </w:r>
    </w:p>
    <w:p>
      <w:pPr>
        <w:pStyle w:val="6"/>
        <w:rPr>
          <w:color w:val="auto"/>
        </w:rPr>
      </w:pPr>
      <w:bookmarkStart w:id="159" w:name="_Toc50450174"/>
      <w:bookmarkStart w:id="160" w:name="_Toc2078389"/>
      <w:r>
        <w:rPr>
          <w:color w:val="auto"/>
        </w:rPr>
        <w:t>3</w:t>
      </w:r>
      <w:r>
        <w:rPr>
          <w:rFonts w:hint="eastAsia"/>
          <w:color w:val="auto"/>
        </w:rPr>
        <w:t>评标程序和内容</w:t>
      </w:r>
      <w:bookmarkEnd w:id="159"/>
      <w:bookmarkEnd w:id="160"/>
    </w:p>
    <w:p>
      <w:pPr>
        <w:ind w:firstLine="420"/>
        <w:rPr>
          <w:color w:val="auto"/>
        </w:rPr>
      </w:pPr>
      <w:r>
        <w:rPr>
          <w:rFonts w:hint="eastAsia"/>
          <w:color w:val="auto"/>
        </w:rPr>
        <w:t>评标的一般程序为：</w:t>
      </w:r>
    </w:p>
    <w:p>
      <w:pPr>
        <w:numPr>
          <w:ilvl w:val="0"/>
          <w:numId w:val="7"/>
        </w:numPr>
        <w:ind w:firstLineChars="0"/>
        <w:rPr>
          <w:color w:val="auto"/>
        </w:rPr>
      </w:pPr>
      <w:r>
        <w:rPr>
          <w:rFonts w:hint="eastAsia"/>
          <w:color w:val="auto"/>
        </w:rPr>
        <w:t>投标文件的资格审查（先进行资格审查，通过之后进入符合性审查及后续程序）；</w:t>
      </w:r>
    </w:p>
    <w:p>
      <w:pPr>
        <w:numPr>
          <w:ilvl w:val="0"/>
          <w:numId w:val="7"/>
        </w:numPr>
        <w:ind w:firstLineChars="0"/>
        <w:rPr>
          <w:color w:val="auto"/>
        </w:rPr>
      </w:pPr>
      <w:r>
        <w:rPr>
          <w:rFonts w:hint="eastAsia"/>
          <w:color w:val="auto"/>
        </w:rPr>
        <w:t>熟悉招标文件和评标办法；</w:t>
      </w:r>
    </w:p>
    <w:p>
      <w:pPr>
        <w:numPr>
          <w:ilvl w:val="0"/>
          <w:numId w:val="7"/>
        </w:numPr>
        <w:ind w:firstLineChars="0"/>
        <w:rPr>
          <w:color w:val="auto"/>
        </w:rPr>
      </w:pPr>
      <w:r>
        <w:rPr>
          <w:rFonts w:hint="eastAsia"/>
          <w:color w:val="auto"/>
        </w:rPr>
        <w:t>投标文件的符合性审查；</w:t>
      </w:r>
    </w:p>
    <w:p>
      <w:pPr>
        <w:numPr>
          <w:ilvl w:val="0"/>
          <w:numId w:val="7"/>
        </w:numPr>
        <w:ind w:firstLineChars="0"/>
        <w:rPr>
          <w:color w:val="auto"/>
        </w:rPr>
      </w:pPr>
      <w:r>
        <w:rPr>
          <w:rFonts w:hint="eastAsia"/>
          <w:color w:val="auto"/>
        </w:rPr>
        <w:t>询标澄清投标文件的疑问；</w:t>
      </w:r>
    </w:p>
    <w:p>
      <w:pPr>
        <w:numPr>
          <w:ilvl w:val="0"/>
          <w:numId w:val="7"/>
        </w:numPr>
        <w:ind w:firstLineChars="0"/>
        <w:rPr>
          <w:color w:val="auto"/>
        </w:rPr>
      </w:pPr>
      <w:r>
        <w:rPr>
          <w:rFonts w:hint="eastAsia"/>
          <w:color w:val="auto"/>
        </w:rPr>
        <w:t>投标文件的商务技术文件评审；</w:t>
      </w:r>
    </w:p>
    <w:p>
      <w:pPr>
        <w:numPr>
          <w:ilvl w:val="0"/>
          <w:numId w:val="7"/>
        </w:numPr>
        <w:ind w:firstLineChars="0"/>
        <w:rPr>
          <w:color w:val="auto"/>
        </w:rPr>
      </w:pPr>
      <w:r>
        <w:rPr>
          <w:rFonts w:hint="eastAsia"/>
          <w:color w:val="auto"/>
        </w:rPr>
        <w:t>根据评标办法对商务技术文件进行评分；</w:t>
      </w:r>
    </w:p>
    <w:p>
      <w:pPr>
        <w:numPr>
          <w:ilvl w:val="0"/>
          <w:numId w:val="7"/>
        </w:numPr>
        <w:ind w:firstLineChars="0"/>
        <w:rPr>
          <w:color w:val="auto"/>
        </w:rPr>
      </w:pPr>
      <w:r>
        <w:rPr>
          <w:rFonts w:hint="eastAsia"/>
          <w:color w:val="auto"/>
        </w:rPr>
        <w:t>报价文件评审及评分；</w:t>
      </w:r>
    </w:p>
    <w:p>
      <w:pPr>
        <w:numPr>
          <w:ilvl w:val="0"/>
          <w:numId w:val="7"/>
        </w:numPr>
        <w:ind w:firstLineChars="0"/>
        <w:rPr>
          <w:color w:val="auto"/>
        </w:rPr>
      </w:pPr>
      <w:r>
        <w:rPr>
          <w:rFonts w:hint="eastAsia"/>
          <w:color w:val="auto"/>
        </w:rPr>
        <w:t>完成评标报告，推荐中标候选人。</w:t>
      </w:r>
    </w:p>
    <w:p>
      <w:pPr>
        <w:pStyle w:val="6"/>
        <w:rPr>
          <w:color w:val="auto"/>
        </w:rPr>
      </w:pPr>
      <w:bookmarkStart w:id="161" w:name="_Toc50450175"/>
      <w:bookmarkStart w:id="162" w:name="_Toc2078390"/>
      <w:r>
        <w:rPr>
          <w:color w:val="auto"/>
        </w:rPr>
        <w:t>4</w:t>
      </w:r>
      <w:r>
        <w:rPr>
          <w:rFonts w:hint="eastAsia"/>
          <w:color w:val="auto"/>
        </w:rPr>
        <w:t>投标文件的审查</w:t>
      </w:r>
      <w:bookmarkEnd w:id="161"/>
      <w:bookmarkEnd w:id="162"/>
    </w:p>
    <w:p>
      <w:pPr>
        <w:ind w:firstLine="420"/>
        <w:rPr>
          <w:color w:val="auto"/>
        </w:rPr>
      </w:pPr>
      <w:r>
        <w:rPr>
          <w:color w:val="auto"/>
        </w:rPr>
        <w:t>4.</w:t>
      </w:r>
      <w:r>
        <w:rPr>
          <w:rFonts w:hint="eastAsia"/>
          <w:color w:val="auto"/>
        </w:rPr>
        <w:t>1当评标委员会有充分理由确认所有投标人的报价没有达到预期的竞争效果，经评标委员会半数以上成员确认，可以否决本次采购，按废标处理。</w:t>
      </w:r>
    </w:p>
    <w:p>
      <w:pPr>
        <w:ind w:firstLine="422"/>
        <w:rPr>
          <w:b/>
          <w:color w:val="auto"/>
        </w:rPr>
      </w:pPr>
      <w:r>
        <w:rPr>
          <w:b/>
          <w:color w:val="auto"/>
        </w:rPr>
        <w:t>4.</w:t>
      </w:r>
      <w:r>
        <w:rPr>
          <w:rFonts w:hint="eastAsia"/>
          <w:b/>
          <w:color w:val="auto"/>
        </w:rPr>
        <w:t>2无效投标</w:t>
      </w:r>
    </w:p>
    <w:p>
      <w:pPr>
        <w:ind w:firstLine="422"/>
        <w:rPr>
          <w:b/>
          <w:color w:val="auto"/>
        </w:rPr>
      </w:pPr>
      <w:r>
        <w:rPr>
          <w:b/>
          <w:color w:val="auto"/>
        </w:rPr>
        <w:t>4.</w:t>
      </w:r>
      <w:r>
        <w:rPr>
          <w:rFonts w:hint="eastAsia"/>
          <w:b/>
          <w:color w:val="auto"/>
        </w:rPr>
        <w:t>2</w:t>
      </w:r>
      <w:r>
        <w:rPr>
          <w:b/>
          <w:color w:val="auto"/>
        </w:rPr>
        <w:t>.1</w:t>
      </w:r>
      <w:r>
        <w:rPr>
          <w:rFonts w:hint="eastAsia"/>
          <w:b/>
          <w:color w:val="auto"/>
        </w:rPr>
        <w:t>投标文件属下列情况之一的，应当在资格性检查时按照无效投标处理：</w:t>
      </w:r>
    </w:p>
    <w:p>
      <w:pPr>
        <w:ind w:firstLine="420"/>
        <w:rPr>
          <w:color w:val="auto"/>
        </w:rPr>
      </w:pPr>
      <w:r>
        <w:rPr>
          <w:rFonts w:hint="eastAsia"/>
          <w:color w:val="auto"/>
        </w:rPr>
        <w:t>资格证明文件不全的，或者不符合招标文件标明的资格要求的；</w:t>
      </w:r>
    </w:p>
    <w:p>
      <w:pPr>
        <w:ind w:firstLine="422"/>
        <w:rPr>
          <w:b/>
          <w:color w:val="auto"/>
        </w:rPr>
      </w:pPr>
      <w:r>
        <w:rPr>
          <w:b/>
          <w:color w:val="auto"/>
        </w:rPr>
        <w:t>4.</w:t>
      </w:r>
      <w:r>
        <w:rPr>
          <w:rFonts w:hint="eastAsia"/>
          <w:b/>
          <w:color w:val="auto"/>
        </w:rPr>
        <w:t>2</w:t>
      </w:r>
      <w:r>
        <w:rPr>
          <w:b/>
          <w:color w:val="auto"/>
        </w:rPr>
        <w:t>.2</w:t>
      </w:r>
      <w:r>
        <w:rPr>
          <w:rFonts w:hint="eastAsia"/>
          <w:b/>
          <w:color w:val="auto"/>
        </w:rPr>
        <w:t>投标文件属下列情况之一的，应当在符合性检查时按照无效投标处理：</w:t>
      </w:r>
    </w:p>
    <w:p>
      <w:pPr>
        <w:ind w:firstLine="420"/>
        <w:rPr>
          <w:rFonts w:ascii="宋体" w:hAnsi="宋体" w:cs="宋体"/>
          <w:color w:val="auto"/>
        </w:rPr>
      </w:pPr>
      <w:r>
        <w:rPr>
          <w:rFonts w:hint="eastAsia" w:ascii="宋体" w:hAnsi="宋体" w:cs="宋体"/>
          <w:color w:val="auto"/>
        </w:rPr>
        <w:t>（1）未按照招标文件规定要求签署、盖章的；</w:t>
      </w:r>
    </w:p>
    <w:p>
      <w:pPr>
        <w:ind w:firstLine="420"/>
        <w:rPr>
          <w:rFonts w:ascii="宋体" w:hAnsi="宋体" w:cs="宋体"/>
          <w:color w:val="auto"/>
        </w:rPr>
      </w:pPr>
      <w:r>
        <w:rPr>
          <w:rFonts w:hint="eastAsia" w:ascii="宋体" w:hAnsi="宋体" w:cs="宋体"/>
          <w:color w:val="auto"/>
        </w:rPr>
        <w:t>（2）不响应招标文件实质性要求（招标文件中带“</w:t>
      </w:r>
      <w:r>
        <w:rPr>
          <w:color w:val="auto"/>
          <w:shd w:val="clear" w:color="FFFFFF" w:fill="D9D9D9"/>
        </w:rPr>
        <w:t>▲</w:t>
      </w:r>
      <w:r>
        <w:rPr>
          <w:rFonts w:hint="eastAsia" w:ascii="宋体" w:hAnsi="宋体" w:cs="宋体"/>
          <w:color w:val="auto"/>
        </w:rPr>
        <w:t>”条款要求）</w:t>
      </w:r>
    </w:p>
    <w:p>
      <w:pPr>
        <w:ind w:firstLine="420"/>
        <w:rPr>
          <w:rFonts w:ascii="宋体" w:hAnsi="宋体" w:cs="宋体"/>
          <w:color w:val="auto"/>
        </w:rPr>
      </w:pPr>
      <w:r>
        <w:rPr>
          <w:rFonts w:hint="eastAsia" w:ascii="宋体" w:hAnsi="宋体" w:cs="宋体"/>
          <w:color w:val="auto"/>
        </w:rPr>
        <w:t>（3）投标有效期短于投标人须知前附表规定期限的投标文件；</w:t>
      </w:r>
    </w:p>
    <w:p>
      <w:pPr>
        <w:ind w:firstLine="420"/>
        <w:rPr>
          <w:rFonts w:ascii="宋体" w:hAnsi="宋体" w:cs="宋体"/>
          <w:color w:val="auto"/>
        </w:rPr>
      </w:pPr>
      <w:r>
        <w:rPr>
          <w:rFonts w:hint="eastAsia" w:ascii="宋体" w:hAnsi="宋体" w:cs="宋体"/>
          <w:color w:val="auto"/>
        </w:rPr>
        <w:t>（4）投标人存在串通行为或虚假投标的；</w:t>
      </w:r>
    </w:p>
    <w:p>
      <w:pPr>
        <w:ind w:firstLine="420"/>
        <w:rPr>
          <w:rFonts w:ascii="宋体" w:hAnsi="宋体" w:cs="宋体"/>
          <w:color w:val="auto"/>
        </w:rPr>
      </w:pPr>
      <w:r>
        <w:rPr>
          <w:rFonts w:hint="eastAsia" w:ascii="宋体" w:hAnsi="宋体" w:cs="宋体"/>
          <w:color w:val="auto"/>
        </w:rPr>
        <w:t>（5）投标文件含有采购人不能接受的附加条件的；</w:t>
      </w:r>
    </w:p>
    <w:p>
      <w:pPr>
        <w:pStyle w:val="3"/>
        <w:spacing w:line="360" w:lineRule="auto"/>
        <w:ind w:firstLineChars="200"/>
        <w:rPr>
          <w:rFonts w:ascii="宋体" w:hAnsi="宋体" w:eastAsia="宋体" w:cs="宋体"/>
          <w:color w:val="auto"/>
        </w:rPr>
      </w:pPr>
      <w:r>
        <w:rPr>
          <w:rFonts w:hint="eastAsia" w:ascii="宋体" w:hAnsi="宋体" w:eastAsia="宋体" w:cs="宋体"/>
          <w:color w:val="auto"/>
        </w:rPr>
        <w:t>（6）投标文件中有备选（替代）方案的；</w:t>
      </w:r>
    </w:p>
    <w:p>
      <w:pPr>
        <w:ind w:firstLine="420"/>
        <w:rPr>
          <w:rFonts w:ascii="宋体" w:hAnsi="宋体" w:cs="宋体"/>
          <w:color w:val="auto"/>
        </w:rPr>
      </w:pPr>
      <w:r>
        <w:rPr>
          <w:rFonts w:hint="eastAsia" w:ascii="宋体" w:hAnsi="宋体" w:cs="宋体"/>
          <w:color w:val="auto"/>
        </w:rPr>
        <w:t>（7）法律、法规和招标文件规定的其他无效情形的。</w:t>
      </w:r>
    </w:p>
    <w:p>
      <w:pPr>
        <w:ind w:firstLine="422"/>
        <w:rPr>
          <w:b/>
          <w:color w:val="auto"/>
        </w:rPr>
      </w:pPr>
      <w:r>
        <w:rPr>
          <w:b/>
          <w:color w:val="auto"/>
        </w:rPr>
        <w:t>4.</w:t>
      </w:r>
      <w:r>
        <w:rPr>
          <w:rFonts w:hint="eastAsia"/>
          <w:b/>
          <w:color w:val="auto"/>
        </w:rPr>
        <w:t>2</w:t>
      </w:r>
      <w:r>
        <w:rPr>
          <w:b/>
          <w:color w:val="auto"/>
        </w:rPr>
        <w:t>.3</w:t>
      </w:r>
      <w:r>
        <w:rPr>
          <w:rFonts w:hint="eastAsia"/>
          <w:b/>
          <w:color w:val="auto"/>
        </w:rPr>
        <w:t>在报价评审时，如发现下列情形之一的，报价文件将被视为无效，不再进入价格评审环节：</w:t>
      </w:r>
    </w:p>
    <w:p>
      <w:pPr>
        <w:ind w:firstLine="420"/>
        <w:rPr>
          <w:color w:val="auto"/>
        </w:rPr>
      </w:pPr>
      <w:r>
        <w:rPr>
          <w:rFonts w:hint="eastAsia"/>
          <w:color w:val="auto"/>
        </w:rPr>
        <w:t>（</w:t>
      </w:r>
      <w:r>
        <w:rPr>
          <w:color w:val="auto"/>
        </w:rPr>
        <w:t>1</w:t>
      </w:r>
      <w:r>
        <w:rPr>
          <w:rFonts w:hint="eastAsia"/>
          <w:color w:val="auto"/>
        </w:rPr>
        <w:t>）报价超出最高限价，或者超出采购预算金额，采购人不能支付的；</w:t>
      </w:r>
    </w:p>
    <w:p>
      <w:pPr>
        <w:ind w:firstLine="420"/>
        <w:rPr>
          <w:color w:val="auto"/>
        </w:rPr>
      </w:pPr>
      <w:r>
        <w:rPr>
          <w:rFonts w:hint="eastAsia"/>
          <w:color w:val="auto"/>
        </w:rPr>
        <w:t>（</w:t>
      </w:r>
      <w:r>
        <w:rPr>
          <w:color w:val="auto"/>
        </w:rPr>
        <w:t>2</w:t>
      </w:r>
      <w:r>
        <w:rPr>
          <w:rFonts w:hint="eastAsia"/>
          <w:color w:val="auto"/>
        </w:rPr>
        <w:t>）投标报价具有选择性；</w:t>
      </w:r>
    </w:p>
    <w:p>
      <w:pPr>
        <w:ind w:firstLine="420"/>
        <w:rPr>
          <w:color w:val="auto"/>
        </w:rPr>
      </w:pPr>
      <w:r>
        <w:rPr>
          <w:rFonts w:hint="eastAsia"/>
          <w:color w:val="auto"/>
        </w:rPr>
        <w:t>（</w:t>
      </w:r>
      <w:r>
        <w:rPr>
          <w:color w:val="auto"/>
        </w:rPr>
        <w:t>3</w:t>
      </w:r>
      <w:r>
        <w:rPr>
          <w:rFonts w:hint="eastAsia"/>
          <w:color w:val="auto"/>
        </w:rPr>
        <w:t>）不符合招标文件规定要求进行报价的；（格式、顺序除外）</w:t>
      </w:r>
    </w:p>
    <w:p>
      <w:pPr>
        <w:ind w:firstLine="420"/>
        <w:rPr>
          <w:color w:val="auto"/>
        </w:rPr>
      </w:pPr>
      <w:r>
        <w:rPr>
          <w:rFonts w:hint="eastAsia"/>
          <w:color w:val="auto"/>
        </w:rPr>
        <w:t>（</w:t>
      </w:r>
      <w:r>
        <w:rPr>
          <w:color w:val="auto"/>
        </w:rPr>
        <w:t>4</w:t>
      </w:r>
      <w:r>
        <w:rPr>
          <w:rFonts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w:t>
      </w:r>
      <w:r>
        <w:rPr>
          <w:color w:val="auto"/>
        </w:rPr>
        <w:t>;</w:t>
      </w:r>
      <w:r>
        <w:rPr>
          <w:rFonts w:hint="eastAsia"/>
          <w:color w:val="auto"/>
        </w:rPr>
        <w:t>投标人不能证明其报价合理性的，评标委员会应当将其作为无效投标处理。</w:t>
      </w:r>
    </w:p>
    <w:p>
      <w:pPr>
        <w:ind w:firstLine="422"/>
        <w:rPr>
          <w:b/>
          <w:color w:val="auto"/>
        </w:rPr>
      </w:pPr>
      <w:r>
        <w:rPr>
          <w:b/>
          <w:color w:val="auto"/>
        </w:rPr>
        <w:t>4.</w:t>
      </w:r>
      <w:r>
        <w:rPr>
          <w:rFonts w:hint="eastAsia"/>
          <w:b/>
          <w:color w:val="auto"/>
        </w:rPr>
        <w:t>3废标</w:t>
      </w:r>
    </w:p>
    <w:p>
      <w:pPr>
        <w:ind w:firstLine="420"/>
        <w:rPr>
          <w:color w:val="auto"/>
        </w:rPr>
      </w:pPr>
      <w:r>
        <w:rPr>
          <w:rFonts w:hint="eastAsia"/>
          <w:color w:val="auto"/>
        </w:rPr>
        <w:t>根据《中华人民共和国政府采购法》第三十六条之规定，在采购中，出现下列情况之一的，应予以废标：</w:t>
      </w:r>
    </w:p>
    <w:p>
      <w:pPr>
        <w:ind w:firstLine="420"/>
        <w:rPr>
          <w:color w:val="auto"/>
        </w:rPr>
      </w:pPr>
      <w:r>
        <w:rPr>
          <w:rFonts w:hint="eastAsia"/>
          <w:color w:val="auto"/>
        </w:rPr>
        <w:t>（</w:t>
      </w:r>
      <w:r>
        <w:rPr>
          <w:color w:val="auto"/>
        </w:rPr>
        <w:t>1</w:t>
      </w:r>
      <w:r>
        <w:rPr>
          <w:rFonts w:hint="eastAsia"/>
          <w:color w:val="auto"/>
        </w:rPr>
        <w:t>）符合专业条件的供应商或者对招标文件作实质响应的供应商不足</w:t>
      </w:r>
      <w:r>
        <w:rPr>
          <w:color w:val="auto"/>
        </w:rPr>
        <w:t>3</w:t>
      </w:r>
      <w:r>
        <w:rPr>
          <w:rFonts w:hint="eastAsia"/>
          <w:color w:val="auto"/>
        </w:rPr>
        <w:t>家的；</w:t>
      </w:r>
    </w:p>
    <w:p>
      <w:pPr>
        <w:ind w:firstLine="420"/>
        <w:rPr>
          <w:color w:val="auto"/>
        </w:rPr>
      </w:pPr>
      <w:r>
        <w:rPr>
          <w:rFonts w:hint="eastAsia"/>
          <w:color w:val="auto"/>
        </w:rPr>
        <w:t>（</w:t>
      </w:r>
      <w:r>
        <w:rPr>
          <w:color w:val="auto"/>
        </w:rPr>
        <w:t>2</w:t>
      </w:r>
      <w:r>
        <w:rPr>
          <w:rFonts w:hint="eastAsia"/>
          <w:color w:val="auto"/>
        </w:rPr>
        <w:t>）出现影响采购公正的违法、违规行为的；</w:t>
      </w:r>
    </w:p>
    <w:p>
      <w:pPr>
        <w:ind w:firstLine="420"/>
        <w:rPr>
          <w:color w:val="auto"/>
        </w:rPr>
      </w:pPr>
      <w:r>
        <w:rPr>
          <w:rFonts w:hint="eastAsia"/>
          <w:color w:val="auto"/>
        </w:rPr>
        <w:t>（</w:t>
      </w:r>
      <w:r>
        <w:rPr>
          <w:color w:val="auto"/>
        </w:rPr>
        <w:t>3</w:t>
      </w:r>
      <w:r>
        <w:rPr>
          <w:rFonts w:hint="eastAsia"/>
          <w:color w:val="auto"/>
        </w:rPr>
        <w:t>）投标人的报价均超过了采购预算，采购单位不能支付的；</w:t>
      </w:r>
    </w:p>
    <w:p>
      <w:pPr>
        <w:ind w:firstLine="420"/>
        <w:rPr>
          <w:color w:val="auto"/>
        </w:rPr>
      </w:pPr>
      <w:r>
        <w:rPr>
          <w:rFonts w:hint="eastAsia"/>
          <w:color w:val="auto"/>
        </w:rPr>
        <w:t>（</w:t>
      </w:r>
      <w:r>
        <w:rPr>
          <w:color w:val="auto"/>
        </w:rPr>
        <w:t>4</w:t>
      </w:r>
      <w:r>
        <w:rPr>
          <w:rFonts w:hint="eastAsia"/>
          <w:color w:val="auto"/>
        </w:rPr>
        <w:t>）因重大变故，采购任务取消的。</w:t>
      </w:r>
    </w:p>
    <w:p>
      <w:pPr>
        <w:ind w:firstLine="420"/>
        <w:rPr>
          <w:color w:val="auto"/>
        </w:rPr>
      </w:pPr>
      <w:r>
        <w:rPr>
          <w:rFonts w:hint="eastAsia"/>
          <w:color w:val="auto"/>
        </w:rPr>
        <w:t>废标后，采购代理机构应当将废标理由通知所有投标人。</w:t>
      </w:r>
    </w:p>
    <w:p>
      <w:pPr>
        <w:ind w:firstLine="422"/>
        <w:rPr>
          <w:b/>
          <w:color w:val="auto"/>
        </w:rPr>
      </w:pPr>
      <w:r>
        <w:rPr>
          <w:rFonts w:hint="eastAsia"/>
          <w:b/>
          <w:color w:val="auto"/>
        </w:rPr>
        <w:t>4.4串标情形认定</w:t>
      </w:r>
    </w:p>
    <w:p>
      <w:pPr>
        <w:ind w:firstLine="420"/>
        <w:rPr>
          <w:color w:val="auto"/>
        </w:rPr>
      </w:pPr>
      <w:r>
        <w:rPr>
          <w:rFonts w:hint="eastAsia"/>
          <w:color w:val="auto"/>
        </w:rPr>
        <w:t>有下列情形之一的，视为投标人串通投标，其投标无效：</w:t>
      </w:r>
    </w:p>
    <w:p>
      <w:pPr>
        <w:ind w:firstLine="420"/>
        <w:rPr>
          <w:color w:val="auto"/>
        </w:rPr>
      </w:pPr>
      <w:r>
        <w:rPr>
          <w:rFonts w:hint="eastAsia"/>
          <w:color w:val="auto"/>
        </w:rPr>
        <w:t>　　（1）不同投标人的投标文件由同一单位或者个人编制；</w:t>
      </w:r>
    </w:p>
    <w:p>
      <w:pPr>
        <w:ind w:firstLine="420"/>
        <w:rPr>
          <w:color w:val="auto"/>
        </w:rPr>
      </w:pPr>
      <w:r>
        <w:rPr>
          <w:rFonts w:hint="eastAsia"/>
          <w:color w:val="auto"/>
        </w:rPr>
        <w:t>　　（2）不同投标人委托同一单位或者个人办理投标事宜；</w:t>
      </w:r>
    </w:p>
    <w:p>
      <w:pPr>
        <w:ind w:firstLine="420"/>
        <w:rPr>
          <w:color w:val="auto"/>
        </w:rPr>
      </w:pPr>
      <w:r>
        <w:rPr>
          <w:rFonts w:hint="eastAsia"/>
          <w:color w:val="auto"/>
        </w:rPr>
        <w:t>　　（3）不同投标人的投标文件载明的项目管理成员或者联系人员为同一人；</w:t>
      </w:r>
    </w:p>
    <w:p>
      <w:pPr>
        <w:ind w:firstLine="420"/>
        <w:rPr>
          <w:color w:val="auto"/>
        </w:rPr>
      </w:pPr>
      <w:r>
        <w:rPr>
          <w:rFonts w:hint="eastAsia"/>
          <w:color w:val="auto"/>
        </w:rPr>
        <w:t>　　（4）不同投标人的投标文件异常一致或者投标报价呈规律性差异；</w:t>
      </w:r>
    </w:p>
    <w:p>
      <w:pPr>
        <w:ind w:firstLine="420"/>
        <w:rPr>
          <w:color w:val="auto"/>
        </w:rPr>
      </w:pPr>
      <w:r>
        <w:rPr>
          <w:rFonts w:hint="eastAsia"/>
          <w:color w:val="auto"/>
        </w:rPr>
        <w:t>　　（5）不同投标人的投标文件相互混装。</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4.5核心产品</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4</w:t>
      </w:r>
      <w:r>
        <w:rPr>
          <w:rFonts w:cs="宋体" w:asciiTheme="minorEastAsia" w:hAnsiTheme="minorEastAsia" w:eastAsiaTheme="minorEastAsia"/>
          <w:bCs/>
          <w:color w:val="auto"/>
          <w:szCs w:val="21"/>
        </w:rPr>
        <w:t>.</w:t>
      </w:r>
      <w:r>
        <w:rPr>
          <w:rFonts w:hint="eastAsia" w:cs="宋体" w:asciiTheme="minorEastAsia" w:hAnsiTheme="minorEastAsia" w:eastAsiaTheme="minorEastAsia"/>
          <w:bCs/>
          <w:color w:val="auto"/>
          <w:szCs w:val="21"/>
        </w:rPr>
        <w:t>5</w:t>
      </w: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若采购项目为单一产品，提供相同品牌产品且通过资格审查、符合性审查的不同投标人参加同一合同项下投标的，按一家投标人计算，经综合评标后得分最高的同品牌投标人获得中标人推荐资格；评标得分相同的，则技术得分最高的投标人获得中标人推荐资格，其他同品牌投标人不作为中标候选人；若技术得分相同的，则采取随机抽取方式确定，其他同品牌投标人不作为中标候选人。</w:t>
      </w:r>
    </w:p>
    <w:p>
      <w:pPr>
        <w:pStyle w:val="3"/>
        <w:spacing w:after="0" w:line="360" w:lineRule="auto"/>
        <w:ind w:firstLineChars="20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5</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kern w:val="0"/>
          <w:szCs w:val="21"/>
        </w:rPr>
        <w:t>若采购项目为非单一产品采购项目，采购人应当根据采购项目技术构成、产品价格比重等合理确定核心产品，并在招标文件中载明。多家投标人提供的核心产品品牌相同的，提供相同品牌产品且通过资格审查、符合性审查的不同投标人参加同一合同项下投标的，按一家投标人计算，经综合评标后得分最高的同品牌投标人获得中标人推荐资格；评标得分相同的，则技术得分最高的投标人获得中标人推荐资格，其他同品牌投标人不作为中标候选人；若技术得分相同的，则采取随机抽取方式确定，其他同品牌投标人不作为中标候选人。</w:t>
      </w:r>
    </w:p>
    <w:p>
      <w:pPr>
        <w:pStyle w:val="6"/>
        <w:rPr>
          <w:color w:val="auto"/>
        </w:rPr>
      </w:pPr>
      <w:bookmarkStart w:id="163" w:name="_Toc50450176"/>
      <w:r>
        <w:rPr>
          <w:color w:val="auto"/>
        </w:rPr>
        <w:t>5</w:t>
      </w:r>
      <w:bookmarkEnd w:id="74"/>
      <w:bookmarkEnd w:id="75"/>
      <w:bookmarkEnd w:id="76"/>
      <w:bookmarkEnd w:id="77"/>
      <w:bookmarkEnd w:id="78"/>
      <w:bookmarkEnd w:id="79"/>
      <w:bookmarkEnd w:id="80"/>
      <w:bookmarkEnd w:id="81"/>
      <w:r>
        <w:rPr>
          <w:rFonts w:hint="eastAsia"/>
          <w:color w:val="auto"/>
        </w:rPr>
        <w:t>评标细则</w:t>
      </w:r>
      <w:bookmarkEnd w:id="163"/>
    </w:p>
    <w:p>
      <w:pPr>
        <w:ind w:firstLine="420"/>
        <w:rPr>
          <w:color w:val="auto"/>
        </w:rPr>
      </w:pPr>
      <w:r>
        <w:rPr>
          <w:rFonts w:hint="eastAsia"/>
          <w:color w:val="auto"/>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w:t>
      </w:r>
      <w:r>
        <w:rPr>
          <w:color w:val="auto"/>
        </w:rPr>
        <w:t>2</w:t>
      </w:r>
      <w:r>
        <w:rPr>
          <w:rFonts w:hint="eastAsia"/>
          <w:color w:val="auto"/>
        </w:rPr>
        <w:t>位小数。若评标委员会的评分表中计分不在分值范围内的，则该评分表无效。</w:t>
      </w:r>
    </w:p>
    <w:p>
      <w:pPr>
        <w:ind w:firstLine="420"/>
        <w:rPr>
          <w:color w:val="auto"/>
        </w:rPr>
      </w:pPr>
      <w:r>
        <w:rPr>
          <w:rFonts w:hint="eastAsia"/>
          <w:color w:val="auto"/>
        </w:rPr>
        <w:t>每个投标人最终得分</w:t>
      </w:r>
      <w:r>
        <w:rPr>
          <w:color w:val="auto"/>
        </w:rPr>
        <w:t>=</w:t>
      </w:r>
      <w:r>
        <w:rPr>
          <w:rFonts w:hint="eastAsia"/>
          <w:color w:val="auto"/>
        </w:rPr>
        <w:t>商务报价分</w:t>
      </w:r>
      <w:r>
        <w:rPr>
          <w:color w:val="auto"/>
        </w:rPr>
        <w:t>+</w:t>
      </w:r>
      <w:r>
        <w:rPr>
          <w:rFonts w:hint="eastAsia"/>
          <w:color w:val="auto"/>
        </w:rPr>
        <w:t>资信分</w:t>
      </w:r>
      <w:r>
        <w:rPr>
          <w:color w:val="auto"/>
        </w:rPr>
        <w:t>+</w:t>
      </w:r>
      <w:r>
        <w:rPr>
          <w:rFonts w:hint="eastAsia"/>
          <w:color w:val="auto"/>
        </w:rPr>
        <w:t>技术分</w:t>
      </w:r>
    </w:p>
    <w:p>
      <w:pPr>
        <w:ind w:firstLine="420"/>
        <w:rPr>
          <w:color w:val="auto"/>
        </w:rPr>
      </w:pPr>
      <w:r>
        <w:rPr>
          <w:rFonts w:hint="eastAsia"/>
          <w:color w:val="auto"/>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则抽签决定。</w:t>
      </w:r>
    </w:p>
    <w:p>
      <w:pPr>
        <w:keepNext/>
        <w:keepLines/>
        <w:ind w:firstLine="422"/>
        <w:outlineLvl w:val="2"/>
        <w:rPr>
          <w:rFonts w:ascii="Calibri" w:hAnsi="Calibri"/>
          <w:b/>
          <w:bCs/>
          <w:color w:val="auto"/>
          <w:kern w:val="0"/>
          <w:szCs w:val="32"/>
        </w:rPr>
      </w:pPr>
      <w:r>
        <w:rPr>
          <w:rFonts w:ascii="Calibri" w:hAnsi="Calibri"/>
          <w:b/>
          <w:bCs/>
          <w:color w:val="auto"/>
          <w:kern w:val="0"/>
          <w:szCs w:val="32"/>
        </w:rPr>
        <w:t xml:space="preserve">5.1 </w:t>
      </w:r>
      <w:r>
        <w:rPr>
          <w:rFonts w:hint="eastAsia" w:ascii="Calibri" w:hAnsi="Calibri"/>
          <w:b/>
          <w:bCs/>
          <w:color w:val="auto"/>
          <w:kern w:val="0"/>
          <w:szCs w:val="32"/>
        </w:rPr>
        <w:t>商务报价分</w:t>
      </w:r>
      <w:r>
        <w:rPr>
          <w:rFonts w:hint="eastAsia" w:ascii="宋体" w:hAnsi="宋体" w:cs="宋体"/>
          <w:b/>
          <w:bCs/>
          <w:color w:val="auto"/>
          <w:kern w:val="0"/>
          <w:szCs w:val="21"/>
        </w:rPr>
        <w:t>30</w:t>
      </w:r>
      <w:r>
        <w:rPr>
          <w:rFonts w:hint="eastAsia" w:ascii="Calibri" w:hAnsi="Calibri"/>
          <w:b/>
          <w:bCs/>
          <w:color w:val="auto"/>
          <w:kern w:val="0"/>
          <w:szCs w:val="32"/>
        </w:rPr>
        <w:t>分</w:t>
      </w:r>
    </w:p>
    <w:p>
      <w:pPr>
        <w:ind w:firstLine="420"/>
        <w:rPr>
          <w:color w:val="auto"/>
        </w:rPr>
      </w:pPr>
      <w:r>
        <w:rPr>
          <w:rFonts w:hint="eastAsia"/>
          <w:color w:val="auto"/>
        </w:rPr>
        <w:t>商务报价评分将在有效投标人范围内进行，最高得30分，小数点后保留</w:t>
      </w:r>
      <w:r>
        <w:rPr>
          <w:color w:val="auto"/>
        </w:rPr>
        <w:t>2</w:t>
      </w:r>
      <w:r>
        <w:rPr>
          <w:rFonts w:hint="eastAsia"/>
          <w:color w:val="auto"/>
        </w:rPr>
        <w:t>位小数。满足招标文件要求且投标价格最低的投标报价为评标基准价，其商务报价分为满分。其他投标人的价格分按照下列公式计算：</w:t>
      </w:r>
    </w:p>
    <w:p>
      <w:pPr>
        <w:ind w:firstLine="420"/>
        <w:rPr>
          <w:color w:val="auto"/>
        </w:rPr>
      </w:pPr>
      <w:r>
        <w:rPr>
          <w:rFonts w:hint="eastAsia"/>
          <w:color w:val="auto"/>
        </w:rPr>
        <w:t>商务报价分</w:t>
      </w:r>
      <w:r>
        <w:rPr>
          <w:color w:val="auto"/>
        </w:rPr>
        <w:t>=(</w:t>
      </w:r>
      <w:r>
        <w:rPr>
          <w:rFonts w:hint="eastAsia"/>
          <w:color w:val="auto"/>
        </w:rPr>
        <w:t>评标基准价／投标报价</w:t>
      </w:r>
      <w:r>
        <w:rPr>
          <w:color w:val="auto"/>
        </w:rPr>
        <w:t>)</w:t>
      </w:r>
      <w:r>
        <w:rPr>
          <w:rFonts w:hint="eastAsia"/>
          <w:color w:val="auto"/>
        </w:rPr>
        <w:t>×30。</w:t>
      </w:r>
    </w:p>
    <w:p>
      <w:pPr>
        <w:ind w:firstLine="420"/>
        <w:jc w:val="left"/>
        <w:rPr>
          <w:color w:val="auto"/>
        </w:rPr>
      </w:pPr>
      <w:r>
        <w:rPr>
          <w:rFonts w:hint="eastAsia"/>
          <w:color w:val="auto"/>
        </w:rPr>
        <w:t>在报价评审时对小型和微型企业（监狱企业、残疾人福利性单位视同小微企业,须按投标人须知前附表要求提供相关材料，未提供或提供不全均不给予价格扣除）的投标报价给予 6 %的扣除，以扣除后的价格作为评标价，计算公式如下。</w:t>
      </w:r>
    </w:p>
    <w:p>
      <w:pPr>
        <w:ind w:firstLine="420"/>
        <w:jc w:val="left"/>
        <w:rPr>
          <w:color w:val="auto"/>
        </w:rPr>
      </w:pPr>
      <w:r>
        <w:rPr>
          <w:rFonts w:hint="eastAsia"/>
          <w:color w:val="auto"/>
        </w:rPr>
        <w:t>商务报价分</w:t>
      </w:r>
      <w:r>
        <w:rPr>
          <w:color w:val="auto"/>
        </w:rPr>
        <w:t>=(</w:t>
      </w:r>
      <w:r>
        <w:rPr>
          <w:rFonts w:hint="eastAsia"/>
          <w:color w:val="auto"/>
        </w:rPr>
        <w:t>评标基准价／</w:t>
      </w:r>
      <w:r>
        <w:rPr>
          <w:color w:val="auto"/>
        </w:rPr>
        <w:t>(</w:t>
      </w:r>
      <w:r>
        <w:rPr>
          <w:rFonts w:hint="eastAsia"/>
          <w:color w:val="auto"/>
        </w:rPr>
        <w:t>投标报价</w:t>
      </w:r>
      <w:r>
        <w:rPr>
          <w:color w:val="auto"/>
        </w:rPr>
        <w:t>*94%))</w:t>
      </w:r>
      <w:r>
        <w:rPr>
          <w:rFonts w:hint="eastAsia"/>
          <w:color w:val="auto"/>
        </w:rPr>
        <w:t>×30。</w:t>
      </w:r>
    </w:p>
    <w:p>
      <w:pPr>
        <w:ind w:firstLine="420"/>
        <w:rPr>
          <w:color w:val="auto"/>
        </w:rPr>
      </w:pPr>
      <w:r>
        <w:rPr>
          <w:rFonts w:hint="eastAsia"/>
          <w:color w:val="auto"/>
        </w:rPr>
        <w:t>此项由评标委员会集体核实后统一打分。</w:t>
      </w:r>
    </w:p>
    <w:p>
      <w:pPr>
        <w:keepNext/>
        <w:keepLines/>
        <w:ind w:firstLine="422"/>
        <w:outlineLvl w:val="2"/>
        <w:rPr>
          <w:rFonts w:ascii="Calibri" w:hAnsi="Calibri"/>
          <w:b/>
          <w:bCs/>
          <w:color w:val="auto"/>
          <w:kern w:val="0"/>
          <w:szCs w:val="32"/>
        </w:rPr>
      </w:pPr>
      <w:r>
        <w:rPr>
          <w:rFonts w:ascii="Calibri" w:hAnsi="Calibri"/>
          <w:b/>
          <w:bCs/>
          <w:color w:val="auto"/>
          <w:kern w:val="0"/>
          <w:szCs w:val="32"/>
        </w:rPr>
        <w:t xml:space="preserve">5.2 </w:t>
      </w:r>
      <w:r>
        <w:rPr>
          <w:rFonts w:hint="eastAsia" w:ascii="Calibri" w:hAnsi="Calibri"/>
          <w:b/>
          <w:bCs/>
          <w:color w:val="auto"/>
          <w:kern w:val="0"/>
          <w:szCs w:val="32"/>
        </w:rPr>
        <w:t>资信评分</w:t>
      </w:r>
      <w:r>
        <w:rPr>
          <w:rFonts w:hint="eastAsia" w:ascii="Calibri" w:hAnsi="Calibri"/>
          <w:b/>
          <w:bCs/>
          <w:color w:val="auto"/>
          <w:kern w:val="0"/>
          <w:szCs w:val="32"/>
          <w:lang w:val="en-US" w:eastAsia="zh-CN"/>
        </w:rPr>
        <w:t>4</w:t>
      </w:r>
      <w:r>
        <w:rPr>
          <w:rFonts w:hint="eastAsia" w:ascii="Calibri" w:hAnsi="Calibri"/>
          <w:b/>
          <w:bCs/>
          <w:color w:val="auto"/>
          <w:kern w:val="0"/>
          <w:szCs w:val="32"/>
        </w:rPr>
        <w:t>分</w:t>
      </w:r>
    </w:p>
    <w:p>
      <w:pPr>
        <w:ind w:firstLine="420"/>
        <w:rPr>
          <w:rFonts w:hAnsi="宋体"/>
          <w:color w:val="auto"/>
        </w:rPr>
      </w:pPr>
      <w:r>
        <w:rPr>
          <w:rFonts w:hint="eastAsia" w:hAnsi="宋体"/>
          <w:color w:val="auto"/>
        </w:rPr>
        <w:t>投标人自</w:t>
      </w:r>
      <w:r>
        <w:rPr>
          <w:rFonts w:hAnsi="宋体"/>
          <w:color w:val="auto"/>
        </w:rPr>
        <w:t>201</w:t>
      </w:r>
      <w:r>
        <w:rPr>
          <w:rFonts w:hint="eastAsia" w:hAnsi="宋体"/>
          <w:color w:val="auto"/>
        </w:rPr>
        <w:t>7年</w:t>
      </w:r>
      <w:r>
        <w:rPr>
          <w:rFonts w:hint="eastAsia" w:hAnsi="宋体"/>
          <w:color w:val="auto"/>
          <w:lang w:val="en-US" w:eastAsia="zh-CN"/>
        </w:rPr>
        <w:t>12</w:t>
      </w:r>
      <w:r>
        <w:rPr>
          <w:rFonts w:hint="eastAsia" w:hAnsi="宋体"/>
          <w:color w:val="auto"/>
        </w:rPr>
        <w:t>月份以来承接过各级国家机关、事业单位或团体组织同类项目业绩，每个得</w:t>
      </w:r>
      <w:r>
        <w:rPr>
          <w:rFonts w:hint="eastAsia" w:hAnsi="宋体"/>
          <w:color w:val="auto"/>
          <w:lang w:val="en-US" w:eastAsia="zh-CN"/>
        </w:rPr>
        <w:t>1</w:t>
      </w:r>
      <w:r>
        <w:rPr>
          <w:rFonts w:hint="eastAsia" w:hAnsi="宋体"/>
          <w:color w:val="auto"/>
        </w:rPr>
        <w:t>分，最高</w:t>
      </w:r>
      <w:r>
        <w:rPr>
          <w:rFonts w:hint="eastAsia" w:hAnsi="宋体"/>
          <w:color w:val="auto"/>
          <w:lang w:val="en-US" w:eastAsia="zh-CN"/>
        </w:rPr>
        <w:t>4</w:t>
      </w:r>
      <w:r>
        <w:rPr>
          <w:rFonts w:hint="eastAsia" w:hAnsi="宋体"/>
          <w:color w:val="auto"/>
        </w:rPr>
        <w:t>分；（业绩必须提供相应的证明文件（合同复印件），时间以合同签订时间为准。）（</w:t>
      </w:r>
      <w:r>
        <w:rPr>
          <w:rFonts w:hAnsi="宋体"/>
          <w:color w:val="auto"/>
        </w:rPr>
        <w:t>0-</w:t>
      </w:r>
      <w:r>
        <w:rPr>
          <w:rFonts w:hint="eastAsia" w:hAnsi="宋体"/>
          <w:color w:val="auto"/>
          <w:lang w:val="en-US" w:eastAsia="zh-CN"/>
        </w:rPr>
        <w:t>4</w:t>
      </w:r>
      <w:r>
        <w:rPr>
          <w:rFonts w:hint="eastAsia" w:hAnsi="宋体"/>
          <w:color w:val="auto"/>
        </w:rPr>
        <w:t>分）。</w:t>
      </w:r>
    </w:p>
    <w:p>
      <w:pPr>
        <w:ind w:firstLine="420"/>
        <w:rPr>
          <w:color w:val="auto"/>
        </w:rPr>
      </w:pPr>
      <w:r>
        <w:rPr>
          <w:rFonts w:hint="eastAsia"/>
          <w:color w:val="auto"/>
        </w:rPr>
        <w:t>此项由评标委员会集体核实后统一打分。</w:t>
      </w:r>
    </w:p>
    <w:p>
      <w:pPr>
        <w:keepNext/>
        <w:keepLines/>
        <w:ind w:firstLine="422"/>
        <w:outlineLvl w:val="2"/>
        <w:rPr>
          <w:rFonts w:ascii="Calibri" w:hAnsi="Calibri"/>
          <w:b/>
          <w:bCs/>
          <w:color w:val="auto"/>
          <w:kern w:val="0"/>
          <w:szCs w:val="32"/>
        </w:rPr>
      </w:pPr>
      <w:r>
        <w:rPr>
          <w:rFonts w:ascii="Calibri" w:hAnsi="Calibri"/>
          <w:b/>
          <w:bCs/>
          <w:color w:val="auto"/>
          <w:kern w:val="0"/>
          <w:szCs w:val="32"/>
        </w:rPr>
        <w:t xml:space="preserve">5.3 </w:t>
      </w:r>
      <w:r>
        <w:rPr>
          <w:rFonts w:hint="eastAsia" w:ascii="Calibri" w:hAnsi="Calibri"/>
          <w:b/>
          <w:bCs/>
          <w:color w:val="auto"/>
          <w:kern w:val="0"/>
          <w:szCs w:val="32"/>
        </w:rPr>
        <w:t>技术评分</w:t>
      </w:r>
      <w:r>
        <w:rPr>
          <w:rFonts w:hint="eastAsia" w:ascii="宋体" w:hAnsi="宋体" w:cs="宋体"/>
          <w:b/>
          <w:bCs/>
          <w:color w:val="auto"/>
          <w:kern w:val="0"/>
          <w:szCs w:val="21"/>
        </w:rPr>
        <w:t>6</w:t>
      </w:r>
      <w:r>
        <w:rPr>
          <w:rFonts w:hint="eastAsia" w:ascii="宋体" w:hAnsi="宋体" w:cs="宋体"/>
          <w:b/>
          <w:bCs/>
          <w:color w:val="auto"/>
          <w:kern w:val="0"/>
          <w:szCs w:val="21"/>
          <w:lang w:val="en-US" w:eastAsia="zh-CN"/>
        </w:rPr>
        <w:t>6</w:t>
      </w:r>
      <w:r>
        <w:rPr>
          <w:rFonts w:hint="eastAsia" w:ascii="Calibri" w:hAnsi="Calibri"/>
          <w:b/>
          <w:bCs/>
          <w:color w:val="auto"/>
          <w:kern w:val="0"/>
          <w:szCs w:val="32"/>
        </w:rPr>
        <w:t>分</w:t>
      </w:r>
    </w:p>
    <w:p>
      <w:pPr>
        <w:ind w:firstLine="420"/>
        <w:rPr>
          <w:color w:val="auto"/>
        </w:rPr>
      </w:pPr>
      <w:r>
        <w:rPr>
          <w:rFonts w:hint="eastAsia"/>
          <w:color w:val="auto"/>
        </w:rPr>
        <w:t>该评分分值由评标委员会根据评审情况在分值范围内独立打分（具体分值设定详见表格），小数点后保留</w:t>
      </w:r>
      <w:r>
        <w:rPr>
          <w:color w:val="auto"/>
        </w:rPr>
        <w:t>2</w:t>
      </w:r>
      <w:r>
        <w:rPr>
          <w:rFonts w:hint="eastAsia"/>
          <w:color w:val="auto"/>
        </w:rPr>
        <w:t>位小数。每个投标人的最终技术得分为评标委员会打分的算术平均值。</w:t>
      </w:r>
    </w:p>
    <w:p>
      <w:pPr>
        <w:ind w:firstLine="420"/>
        <w:rPr>
          <w:color w:val="auto"/>
        </w:rPr>
      </w:pPr>
    </w:p>
    <w:tbl>
      <w:tblPr>
        <w:tblStyle w:val="23"/>
        <w:tblW w:w="4998" w:type="pct"/>
        <w:tblInd w:w="0" w:type="dxa"/>
        <w:tblLayout w:type="autofit"/>
        <w:tblCellMar>
          <w:top w:w="0" w:type="dxa"/>
          <w:left w:w="0" w:type="dxa"/>
          <w:bottom w:w="0" w:type="dxa"/>
          <w:right w:w="0" w:type="dxa"/>
        </w:tblCellMar>
      </w:tblPr>
      <w:tblGrid>
        <w:gridCol w:w="910"/>
        <w:gridCol w:w="910"/>
        <w:gridCol w:w="4519"/>
        <w:gridCol w:w="914"/>
        <w:gridCol w:w="1080"/>
      </w:tblGrid>
      <w:tr>
        <w:tblPrEx>
          <w:tblCellMar>
            <w:top w:w="0" w:type="dxa"/>
            <w:left w:w="0" w:type="dxa"/>
            <w:bottom w:w="0" w:type="dxa"/>
            <w:right w:w="0" w:type="dxa"/>
          </w:tblCellMar>
        </w:tblPrEx>
        <w:trPr>
          <w:trHeight w:val="300" w:hRule="atLeast"/>
        </w:trPr>
        <w:tc>
          <w:tcPr>
            <w:tcW w:w="54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rPr>
              <w:t>序号</w:t>
            </w:r>
          </w:p>
        </w:tc>
        <w:tc>
          <w:tcPr>
            <w:tcW w:w="546"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0" w:firstLineChars="0"/>
              <w:jc w:val="center"/>
              <w:textAlignment w:val="center"/>
              <w:rPr>
                <w:rFonts w:ascii="宋体" w:hAnsi="宋体" w:cs="宋体"/>
                <w:color w:val="auto"/>
                <w:sz w:val="21"/>
                <w:szCs w:val="21"/>
              </w:rPr>
            </w:pPr>
            <w:r>
              <w:rPr>
                <w:rFonts w:hint="eastAsia" w:ascii="宋体" w:hAnsi="宋体" w:cs="宋体"/>
                <w:color w:val="auto"/>
                <w:kern w:val="0"/>
                <w:sz w:val="21"/>
                <w:szCs w:val="21"/>
              </w:rPr>
              <w:t>内容</w:t>
            </w:r>
          </w:p>
        </w:tc>
        <w:tc>
          <w:tcPr>
            <w:tcW w:w="2711" w:type="pct"/>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 w:val="21"/>
                <w:szCs w:val="21"/>
              </w:rPr>
            </w:pPr>
            <w:r>
              <w:rPr>
                <w:rFonts w:hint="eastAsia" w:ascii="宋体" w:hAnsi="宋体" w:cs="宋体"/>
                <w:color w:val="auto"/>
                <w:kern w:val="0"/>
                <w:sz w:val="21"/>
                <w:szCs w:val="21"/>
              </w:rPr>
              <w:t>评分标准</w:t>
            </w:r>
          </w:p>
        </w:tc>
        <w:tc>
          <w:tcPr>
            <w:tcW w:w="54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tcPr>
          <w:p>
            <w:pPr>
              <w:widowControl/>
              <w:ind w:firstLine="0" w:firstLineChars="0"/>
              <w:jc w:val="center"/>
              <w:textAlignment w:val="top"/>
              <w:rPr>
                <w:rFonts w:ascii="宋体" w:hAnsi="宋体" w:cs="宋体"/>
                <w:color w:val="auto"/>
                <w:sz w:val="21"/>
                <w:szCs w:val="21"/>
              </w:rPr>
            </w:pPr>
            <w:r>
              <w:rPr>
                <w:rFonts w:hint="eastAsia" w:ascii="宋体" w:hAnsi="宋体" w:cs="宋体"/>
                <w:color w:val="auto"/>
                <w:kern w:val="0"/>
                <w:sz w:val="21"/>
                <w:szCs w:val="21"/>
              </w:rPr>
              <w:t>分值</w:t>
            </w:r>
          </w:p>
        </w:tc>
        <w:tc>
          <w:tcPr>
            <w:tcW w:w="64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tcPr>
          <w:p>
            <w:pPr>
              <w:widowControl/>
              <w:ind w:firstLine="0" w:firstLineChars="0"/>
              <w:jc w:val="center"/>
              <w:textAlignment w:val="top"/>
              <w:rPr>
                <w:rFonts w:ascii="宋体" w:hAnsi="宋体" w:cs="宋体"/>
                <w:color w:val="auto"/>
                <w:sz w:val="21"/>
                <w:szCs w:val="21"/>
              </w:rPr>
            </w:pPr>
            <w:r>
              <w:rPr>
                <w:rFonts w:hint="eastAsia" w:ascii="宋体" w:hAnsi="宋体" w:cs="宋体"/>
                <w:color w:val="auto"/>
                <w:kern w:val="0"/>
                <w:sz w:val="21"/>
                <w:szCs w:val="21"/>
              </w:rPr>
              <w:t>评分类型</w:t>
            </w:r>
          </w:p>
        </w:tc>
      </w:tr>
      <w:tr>
        <w:tblPrEx>
          <w:tblCellMar>
            <w:top w:w="0" w:type="dxa"/>
            <w:left w:w="0" w:type="dxa"/>
            <w:bottom w:w="0" w:type="dxa"/>
            <w:right w:w="0" w:type="dxa"/>
          </w:tblCellMar>
        </w:tblPrEx>
        <w:trPr>
          <w:trHeight w:val="300" w:hRule="atLeast"/>
        </w:trPr>
        <w:tc>
          <w:tcPr>
            <w:tcW w:w="546" w:type="pct"/>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b w:val="0"/>
                <w:bCs w:val="0"/>
                <w:color w:val="auto"/>
                <w:szCs w:val="21"/>
              </w:rPr>
            </w:pPr>
            <w:r>
              <w:rPr>
                <w:rFonts w:hint="eastAsia" w:ascii="宋体" w:hAnsi="宋体" w:cs="宋体"/>
                <w:b w:val="0"/>
                <w:bCs w:val="0"/>
                <w:color w:val="auto"/>
                <w:kern w:val="0"/>
                <w:szCs w:val="21"/>
              </w:rPr>
              <w:t>1</w:t>
            </w:r>
          </w:p>
        </w:tc>
        <w:tc>
          <w:tcPr>
            <w:tcW w:w="546" w:type="pct"/>
            <w:vMerge w:val="restart"/>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产品需求</w:t>
            </w:r>
          </w:p>
        </w:tc>
        <w:tc>
          <w:tcPr>
            <w:tcW w:w="2711"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tcPr>
          <w:p>
            <w:pPr>
              <w:widowControl/>
              <w:ind w:firstLine="420"/>
              <w:jc w:val="center"/>
              <w:textAlignment w:val="top"/>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所投</w:t>
            </w:r>
            <w:r>
              <w:rPr>
                <w:rFonts w:hint="eastAsia" w:ascii="宋体" w:hAnsi="宋体" w:cs="宋体"/>
                <w:b w:val="0"/>
                <w:bCs w:val="0"/>
                <w:color w:val="auto"/>
                <w:sz w:val="21"/>
                <w:szCs w:val="21"/>
                <w:lang w:eastAsia="zh-CN"/>
              </w:rPr>
              <w:t>美术馆文物智能展柜及配套设备采购</w:t>
            </w:r>
            <w:r>
              <w:rPr>
                <w:rFonts w:hint="eastAsia" w:ascii="宋体" w:hAnsi="宋体" w:eastAsia="宋体" w:cs="宋体"/>
                <w:b w:val="0"/>
                <w:bCs w:val="0"/>
                <w:color w:val="auto"/>
                <w:kern w:val="0"/>
                <w:sz w:val="21"/>
                <w:szCs w:val="21"/>
              </w:rPr>
              <w:t>产品总体满足需求程度</w:t>
            </w:r>
          </w:p>
        </w:tc>
        <w:tc>
          <w:tcPr>
            <w:tcW w:w="548" w:type="pct"/>
            <w:vMerge w:val="restar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0-</w:t>
            </w:r>
            <w:r>
              <w:rPr>
                <w:rFonts w:hint="eastAsia" w:ascii="宋体" w:hAnsi="宋体" w:cs="宋体"/>
                <w:color w:val="auto"/>
                <w:kern w:val="0"/>
                <w:szCs w:val="21"/>
                <w:lang w:val="en-US" w:eastAsia="zh-CN"/>
              </w:rPr>
              <w:t>15</w:t>
            </w:r>
            <w:r>
              <w:rPr>
                <w:rFonts w:hint="eastAsia" w:ascii="宋体" w:hAnsi="宋体" w:cs="宋体"/>
                <w:color w:val="auto"/>
                <w:kern w:val="0"/>
                <w:szCs w:val="21"/>
              </w:rPr>
              <w:t>分</w:t>
            </w:r>
          </w:p>
        </w:tc>
        <w:tc>
          <w:tcPr>
            <w:tcW w:w="648" w:type="pct"/>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主观分</w:t>
            </w:r>
          </w:p>
        </w:tc>
      </w:tr>
      <w:tr>
        <w:tblPrEx>
          <w:tblCellMar>
            <w:top w:w="0" w:type="dxa"/>
            <w:left w:w="0" w:type="dxa"/>
            <w:bottom w:w="0" w:type="dxa"/>
            <w:right w:w="0" w:type="dxa"/>
          </w:tblCellMar>
        </w:tblPrEx>
        <w:trPr>
          <w:trHeight w:val="300" w:hRule="atLeast"/>
        </w:trPr>
        <w:tc>
          <w:tcPr>
            <w:tcW w:w="54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546" w:type="pct"/>
            <w:vMerge w:val="continue"/>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2711" w:type="pct"/>
            <w:tcBorders>
              <w:top w:val="nil"/>
              <w:left w:val="single" w:color="auto" w:sz="4" w:space="0"/>
              <w:bottom w:val="nil"/>
              <w:right w:val="single" w:color="auto" w:sz="4" w:space="0"/>
            </w:tcBorders>
            <w:shd w:val="clear" w:color="auto" w:fill="auto"/>
            <w:tcMar>
              <w:top w:w="15" w:type="dxa"/>
              <w:left w:w="15" w:type="dxa"/>
              <w:right w:w="15" w:type="dxa"/>
            </w:tcMar>
          </w:tcPr>
          <w:p>
            <w:pPr>
              <w:pStyle w:val="5"/>
              <w:numPr>
                <w:ilvl w:val="0"/>
                <w:numId w:val="0"/>
              </w:numPr>
              <w:bidi w:val="0"/>
              <w:ind w:left="607" w:left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物联网无线温湿度监控系统总体满足需求程度0-</w:t>
            </w: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rPr>
              <w:t>分；</w:t>
            </w:r>
          </w:p>
          <w:p>
            <w:pPr>
              <w:widowControl/>
              <w:numPr>
                <w:ilvl w:val="0"/>
                <w:numId w:val="8"/>
              </w:numPr>
              <w:ind w:firstLine="420"/>
              <w:jc w:val="center"/>
              <w:textAlignment w:val="top"/>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rPr>
              <w:t>沿墙式展柜</w:t>
            </w:r>
            <w:r>
              <w:rPr>
                <w:rFonts w:hint="eastAsia" w:ascii="宋体" w:hAnsi="宋体" w:eastAsia="宋体" w:cs="宋体"/>
                <w:b w:val="0"/>
                <w:bCs w:val="0"/>
                <w:color w:val="auto"/>
                <w:kern w:val="0"/>
                <w:sz w:val="21"/>
                <w:szCs w:val="21"/>
              </w:rPr>
              <w:t>总体满足需求程度0-</w:t>
            </w:r>
            <w:r>
              <w:rPr>
                <w:rFonts w:hint="eastAsia" w:ascii="宋体" w:hAnsi="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rPr>
              <w:t>分</w:t>
            </w:r>
            <w:r>
              <w:rPr>
                <w:rFonts w:hint="eastAsia" w:ascii="宋体" w:hAnsi="宋体" w:eastAsia="宋体" w:cs="宋体"/>
                <w:b w:val="0"/>
                <w:bCs w:val="0"/>
                <w:color w:val="auto"/>
                <w:kern w:val="0"/>
                <w:sz w:val="21"/>
                <w:szCs w:val="21"/>
                <w:lang w:eastAsia="zh-CN"/>
              </w:rPr>
              <w:t>；</w:t>
            </w:r>
          </w:p>
        </w:tc>
        <w:tc>
          <w:tcPr>
            <w:tcW w:w="548" w:type="pct"/>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6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r>
      <w:tr>
        <w:tblPrEx>
          <w:tblCellMar>
            <w:top w:w="0" w:type="dxa"/>
            <w:left w:w="0" w:type="dxa"/>
            <w:bottom w:w="0" w:type="dxa"/>
            <w:right w:w="0" w:type="dxa"/>
          </w:tblCellMar>
        </w:tblPrEx>
        <w:trPr>
          <w:trHeight w:val="300" w:hRule="atLeast"/>
        </w:trPr>
        <w:tc>
          <w:tcPr>
            <w:tcW w:w="54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546" w:type="pct"/>
            <w:vMerge w:val="continue"/>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2711"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widowControl/>
              <w:numPr>
                <w:ilvl w:val="0"/>
                <w:numId w:val="8"/>
              </w:numPr>
              <w:ind w:firstLine="420"/>
              <w:jc w:val="center"/>
              <w:textAlignment w:val="top"/>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lang w:val="en-US" w:eastAsia="zh-CN"/>
              </w:rPr>
              <w:t>循环式智能电子恒湿机</w:t>
            </w:r>
            <w:r>
              <w:rPr>
                <w:rFonts w:hint="eastAsia" w:ascii="宋体" w:hAnsi="宋体" w:eastAsia="宋体" w:cs="宋体"/>
                <w:b w:val="0"/>
                <w:bCs w:val="0"/>
                <w:color w:val="auto"/>
                <w:kern w:val="0"/>
                <w:sz w:val="21"/>
                <w:szCs w:val="21"/>
              </w:rPr>
              <w:t>总体满足需求程度0-</w:t>
            </w:r>
            <w:r>
              <w:rPr>
                <w:rFonts w:hint="eastAsia" w:ascii="宋体" w:hAnsi="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rPr>
              <w:t>分</w:t>
            </w:r>
            <w:r>
              <w:rPr>
                <w:rFonts w:hint="eastAsia" w:ascii="宋体" w:hAnsi="宋体" w:cs="宋体"/>
                <w:b w:val="0"/>
                <w:bCs w:val="0"/>
                <w:color w:val="auto"/>
                <w:kern w:val="0"/>
                <w:sz w:val="21"/>
                <w:szCs w:val="21"/>
                <w:lang w:eastAsia="zh-CN"/>
              </w:rPr>
              <w:t>；</w:t>
            </w:r>
          </w:p>
          <w:p>
            <w:pPr>
              <w:widowControl/>
              <w:numPr>
                <w:ilvl w:val="0"/>
                <w:numId w:val="8"/>
              </w:numPr>
              <w:tabs>
                <w:tab w:val="left" w:pos="1321"/>
                <w:tab w:val="center" w:pos="2672"/>
              </w:tabs>
              <w:ind w:firstLine="420"/>
              <w:jc w:val="left"/>
              <w:textAlignment w:val="top"/>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展厅移动板墙设备</w:t>
            </w:r>
            <w:r>
              <w:rPr>
                <w:rFonts w:hint="eastAsia" w:ascii="宋体" w:hAnsi="宋体" w:eastAsia="宋体" w:cs="宋体"/>
                <w:b w:val="0"/>
                <w:bCs w:val="0"/>
                <w:color w:val="auto"/>
                <w:kern w:val="0"/>
                <w:sz w:val="21"/>
                <w:szCs w:val="21"/>
              </w:rPr>
              <w:t>总体满足需求程度0-</w:t>
            </w:r>
            <w:r>
              <w:rPr>
                <w:rFonts w:hint="eastAsia" w:ascii="宋体" w:hAnsi="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分。</w:t>
            </w:r>
          </w:p>
        </w:tc>
        <w:tc>
          <w:tcPr>
            <w:tcW w:w="548" w:type="pct"/>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6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r>
      <w:tr>
        <w:tblPrEx>
          <w:tblCellMar>
            <w:top w:w="0" w:type="dxa"/>
            <w:left w:w="0" w:type="dxa"/>
            <w:bottom w:w="0" w:type="dxa"/>
            <w:right w:w="0" w:type="dxa"/>
          </w:tblCellMar>
        </w:tblPrEx>
        <w:trPr>
          <w:trHeight w:val="525" w:hRule="atLeast"/>
        </w:trPr>
        <w:tc>
          <w:tcPr>
            <w:tcW w:w="546" w:type="pct"/>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2</w:t>
            </w:r>
          </w:p>
        </w:tc>
        <w:tc>
          <w:tcPr>
            <w:tcW w:w="546" w:type="pct"/>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商务及技术指标偏离情况</w:t>
            </w:r>
          </w:p>
        </w:tc>
        <w:tc>
          <w:tcPr>
            <w:tcW w:w="2711" w:type="pct"/>
            <w:tcBorders>
              <w:top w:val="single" w:color="auto" w:sz="4" w:space="0"/>
              <w:left w:val="nil"/>
              <w:bottom w:val="nil"/>
              <w:right w:val="single" w:color="000000" w:sz="8" w:space="0"/>
            </w:tcBorders>
            <w:shd w:val="clear" w:color="auto" w:fill="auto"/>
            <w:tcMar>
              <w:top w:w="15" w:type="dxa"/>
              <w:left w:w="15" w:type="dxa"/>
              <w:right w:w="15" w:type="dxa"/>
            </w:tcMar>
          </w:tcPr>
          <w:p>
            <w:pPr>
              <w:widowControl/>
              <w:ind w:firstLine="420"/>
              <w:jc w:val="center"/>
              <w:textAlignment w:val="top"/>
              <w:rPr>
                <w:rFonts w:ascii="宋体" w:hAnsi="宋体" w:cs="宋体"/>
                <w:color w:val="auto"/>
                <w:szCs w:val="21"/>
              </w:rPr>
            </w:pPr>
            <w:r>
              <w:rPr>
                <w:color w:val="auto"/>
                <w:kern w:val="0"/>
                <w:szCs w:val="21"/>
              </w:rPr>
              <w:t>投标产品的部件整体性能、技术参数、技术规格、技术规范和对采购文件技术及商务要求的响应程度：</w:t>
            </w:r>
          </w:p>
        </w:tc>
        <w:tc>
          <w:tcPr>
            <w:tcW w:w="548" w:type="pct"/>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0-2</w:t>
            </w:r>
            <w:r>
              <w:rPr>
                <w:rFonts w:hint="eastAsia" w:ascii="宋体" w:hAnsi="宋体" w:cs="宋体"/>
                <w:color w:val="auto"/>
                <w:kern w:val="0"/>
                <w:szCs w:val="21"/>
                <w:lang w:val="en-US" w:eastAsia="zh-CN"/>
              </w:rPr>
              <w:t>6</w:t>
            </w:r>
            <w:r>
              <w:rPr>
                <w:rFonts w:hint="eastAsia" w:ascii="宋体" w:hAnsi="宋体" w:cs="宋体"/>
                <w:color w:val="auto"/>
                <w:kern w:val="0"/>
                <w:szCs w:val="21"/>
              </w:rPr>
              <w:t>分</w:t>
            </w:r>
          </w:p>
        </w:tc>
        <w:tc>
          <w:tcPr>
            <w:tcW w:w="648" w:type="pct"/>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主观分</w:t>
            </w:r>
          </w:p>
        </w:tc>
      </w:tr>
      <w:tr>
        <w:tblPrEx>
          <w:tblCellMar>
            <w:top w:w="0" w:type="dxa"/>
            <w:left w:w="0" w:type="dxa"/>
            <w:bottom w:w="0" w:type="dxa"/>
            <w:right w:w="0" w:type="dxa"/>
          </w:tblCellMar>
        </w:tblPrEx>
        <w:trPr>
          <w:trHeight w:val="780" w:hRule="atLeast"/>
        </w:trPr>
        <w:tc>
          <w:tcPr>
            <w:tcW w:w="546" w:type="pct"/>
            <w:vMerge w:val="continue"/>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546" w:type="pct"/>
            <w:vMerge w:val="continue"/>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2711" w:type="pct"/>
            <w:tcBorders>
              <w:top w:val="nil"/>
              <w:left w:val="nil"/>
              <w:bottom w:val="single" w:color="auto" w:sz="4" w:space="0"/>
              <w:right w:val="single" w:color="000000" w:sz="8" w:space="0"/>
            </w:tcBorders>
            <w:shd w:val="clear" w:color="auto" w:fill="auto"/>
            <w:tcMar>
              <w:top w:w="15" w:type="dxa"/>
              <w:left w:w="15" w:type="dxa"/>
              <w:right w:w="15" w:type="dxa"/>
            </w:tcMar>
          </w:tcPr>
          <w:p>
            <w:pPr>
              <w:widowControl/>
              <w:ind w:firstLine="420"/>
              <w:textAlignment w:val="top"/>
              <w:rPr>
                <w:rFonts w:ascii="宋体" w:hAnsi="宋体" w:cs="宋体"/>
                <w:color w:val="auto"/>
                <w:szCs w:val="21"/>
              </w:rPr>
            </w:pPr>
            <w:r>
              <w:rPr>
                <w:color w:val="auto"/>
                <w:kern w:val="0"/>
                <w:szCs w:val="21"/>
              </w:rPr>
              <w:t>重要技术功能偏离：对应于招标文件中各仪器设备的具体要求中打</w:t>
            </w:r>
            <w:r>
              <w:rPr>
                <w:rFonts w:ascii="Segoe UI Symbol" w:hAnsi="Segoe UI Symbol" w:cs="Segoe UI Symbol"/>
                <w:color w:val="auto"/>
                <w:kern w:val="0"/>
                <w:szCs w:val="21"/>
              </w:rPr>
              <w:t>★</w:t>
            </w:r>
            <w:r>
              <w:rPr>
                <w:color w:val="auto"/>
                <w:kern w:val="0"/>
                <w:szCs w:val="21"/>
              </w:rPr>
              <w:t>号的偏离度，每一项负偏离扣</w:t>
            </w:r>
            <w:r>
              <w:rPr>
                <w:rFonts w:hint="eastAsia"/>
                <w:color w:val="auto"/>
                <w:kern w:val="0"/>
                <w:szCs w:val="21"/>
                <w:lang w:val="en-US" w:eastAsia="zh-CN"/>
              </w:rPr>
              <w:t>2</w:t>
            </w:r>
            <w:r>
              <w:rPr>
                <w:color w:val="auto"/>
                <w:kern w:val="0"/>
                <w:szCs w:val="21"/>
              </w:rPr>
              <w:t>分</w:t>
            </w:r>
            <w:r>
              <w:rPr>
                <w:rFonts w:hint="eastAsia"/>
                <w:color w:val="auto"/>
                <w:kern w:val="0"/>
                <w:szCs w:val="21"/>
                <w:highlight w:val="none"/>
                <w:lang w:eastAsia="zh-CN"/>
              </w:rPr>
              <w:t>（</w:t>
            </w:r>
            <w:r>
              <w:rPr>
                <w:rFonts w:hint="eastAsia" w:ascii="宋体" w:hAnsi="宋体" w:eastAsia="宋体" w:cs="宋体"/>
                <w:color w:val="auto"/>
                <w:kern w:val="2"/>
                <w:sz w:val="21"/>
                <w:szCs w:val="21"/>
                <w:highlight w:val="none"/>
                <w:rtl w:val="0"/>
                <w:lang w:val="en-US" w:eastAsia="zh-CN" w:bidi="ar-SA"/>
              </w:rPr>
              <w:t>需提供扫描件并加盖投标人公章，原件备查</w:t>
            </w:r>
            <w:r>
              <w:rPr>
                <w:rFonts w:hint="eastAsia" w:ascii="宋体" w:hAnsi="宋体" w:cs="宋体"/>
                <w:color w:val="auto"/>
                <w:kern w:val="2"/>
                <w:sz w:val="21"/>
                <w:szCs w:val="21"/>
                <w:highlight w:val="none"/>
                <w:rtl w:val="0"/>
                <w:lang w:val="en-US" w:eastAsia="zh-CN" w:bidi="ar-SA"/>
              </w:rPr>
              <w:t>）</w:t>
            </w:r>
            <w:r>
              <w:rPr>
                <w:color w:val="auto"/>
                <w:kern w:val="0"/>
                <w:szCs w:val="21"/>
              </w:rPr>
              <w:t>；其它技术功能偏离：对应于招标文件中各仪器设备的具体要求（除去打</w:t>
            </w:r>
            <w:r>
              <w:rPr>
                <w:rFonts w:ascii="Segoe UI Symbol" w:hAnsi="Segoe UI Symbol" w:cs="Segoe UI Symbol"/>
                <w:color w:val="auto"/>
                <w:kern w:val="0"/>
                <w:szCs w:val="21"/>
              </w:rPr>
              <w:t>★</w:t>
            </w:r>
            <w:r>
              <w:rPr>
                <w:color w:val="auto"/>
                <w:kern w:val="0"/>
                <w:szCs w:val="21"/>
              </w:rPr>
              <w:t>号的）的偏离度，每一项负偏离扣</w:t>
            </w:r>
            <w:r>
              <w:rPr>
                <w:rFonts w:hint="eastAsia"/>
                <w:color w:val="auto"/>
                <w:kern w:val="0"/>
                <w:szCs w:val="21"/>
                <w:lang w:val="en-US" w:eastAsia="zh-CN"/>
              </w:rPr>
              <w:t>1</w:t>
            </w:r>
            <w:r>
              <w:rPr>
                <w:color w:val="auto"/>
                <w:kern w:val="0"/>
                <w:szCs w:val="21"/>
              </w:rPr>
              <w:t>分；商务部分负偏离情况：每一项负偏离扣1分</w:t>
            </w:r>
            <w:r>
              <w:rPr>
                <w:rFonts w:hint="eastAsia"/>
                <w:color w:val="auto"/>
                <w:kern w:val="0"/>
                <w:szCs w:val="21"/>
              </w:rPr>
              <w:t>；扣完为止</w:t>
            </w:r>
            <w:r>
              <w:rPr>
                <w:color w:val="auto"/>
                <w:kern w:val="0"/>
                <w:szCs w:val="21"/>
              </w:rPr>
              <w:t>。</w:t>
            </w:r>
          </w:p>
        </w:tc>
        <w:tc>
          <w:tcPr>
            <w:tcW w:w="548" w:type="pct"/>
            <w:vMerge w:val="continue"/>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648" w:type="pct"/>
            <w:vMerge w:val="continue"/>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r>
      <w:tr>
        <w:tblPrEx>
          <w:tblCellMar>
            <w:top w:w="0" w:type="dxa"/>
            <w:left w:w="0" w:type="dxa"/>
            <w:bottom w:w="0" w:type="dxa"/>
            <w:right w:w="0" w:type="dxa"/>
          </w:tblCellMar>
        </w:tblPrEx>
        <w:trPr>
          <w:trHeight w:val="525" w:hRule="atLeast"/>
        </w:trPr>
        <w:tc>
          <w:tcPr>
            <w:tcW w:w="546" w:type="pct"/>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546" w:type="pc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检测报告</w:t>
            </w:r>
          </w:p>
        </w:tc>
        <w:tc>
          <w:tcPr>
            <w:tcW w:w="2711" w:type="pc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为保障设备主要材料的安全性、设备的稳定性，请提供以下检测报告：</w:t>
            </w:r>
          </w:p>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1、提供</w:t>
            </w:r>
            <w:r>
              <w:rPr>
                <w:rFonts w:hint="eastAsia" w:ascii="宋体" w:hAnsi="宋体" w:eastAsia="宋体" w:cs="宋体"/>
                <w:color w:val="auto"/>
                <w:kern w:val="2"/>
                <w:sz w:val="21"/>
                <w:szCs w:val="21"/>
              </w:rPr>
              <w:t>以供应商为委托单位</w:t>
            </w:r>
            <w:r>
              <w:rPr>
                <w:rFonts w:hint="eastAsia" w:ascii="宋体" w:hAnsi="宋体" w:eastAsia="宋体" w:cs="宋体"/>
                <w:color w:val="auto"/>
                <w:spacing w:val="0"/>
                <w:kern w:val="2"/>
                <w:sz w:val="21"/>
                <w:szCs w:val="21"/>
                <w:lang w:val="en-US" w:eastAsia="zh-CN" w:bidi="ar-SA"/>
              </w:rPr>
              <w:t>检测机构出具的产品名称为冷轧钢板检测依据为GB/B232-2010金属材料弯曲实验方法，检测项目为弯曲试验弯曲角度180°检测结果无裂纹的检测报告 0-1</w:t>
            </w:r>
            <w:r>
              <w:rPr>
                <w:rFonts w:hint="eastAsia" w:ascii="宋体" w:hAnsi="宋体" w:cs="宋体"/>
                <w:color w:val="auto"/>
                <w:spacing w:val="0"/>
                <w:kern w:val="2"/>
                <w:sz w:val="21"/>
                <w:szCs w:val="21"/>
                <w:lang w:val="en-US" w:eastAsia="zh-CN" w:bidi="ar-SA"/>
              </w:rPr>
              <w:t>.5</w:t>
            </w:r>
            <w:r>
              <w:rPr>
                <w:rFonts w:hint="eastAsia" w:ascii="宋体" w:hAnsi="宋体" w:eastAsia="宋体" w:cs="宋体"/>
                <w:color w:val="auto"/>
                <w:spacing w:val="0"/>
                <w:kern w:val="2"/>
                <w:sz w:val="21"/>
                <w:szCs w:val="21"/>
                <w:lang w:val="en-US" w:eastAsia="zh-CN" w:bidi="ar-SA"/>
              </w:rPr>
              <w:t>分；</w:t>
            </w:r>
          </w:p>
          <w:p>
            <w:pPr>
              <w:pStyle w:val="74"/>
              <w:keepNext w:val="0"/>
              <w:keepLines w:val="0"/>
              <w:suppressLineNumbers w:val="0"/>
              <w:spacing w:beforeAutospacing="0" w:afterAutospacing="0" w:line="240" w:lineRule="auto"/>
              <w:ind w:left="0" w:right="0"/>
              <w:jc w:val="left"/>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kern w:val="2"/>
                <w:sz w:val="21"/>
                <w:szCs w:val="21"/>
              </w:rPr>
              <w:t>2、</w:t>
            </w:r>
            <w:r>
              <w:rPr>
                <w:rFonts w:hint="eastAsia" w:ascii="宋体" w:hAnsi="宋体" w:eastAsia="宋体" w:cs="宋体"/>
                <w:color w:val="auto"/>
                <w:kern w:val="2"/>
                <w:sz w:val="21"/>
                <w:szCs w:val="21"/>
                <w:lang w:val="en-US" w:eastAsia="zh-CN"/>
              </w:rPr>
              <w:t>提供</w:t>
            </w:r>
            <w:r>
              <w:rPr>
                <w:rFonts w:hint="eastAsia" w:ascii="宋体" w:hAnsi="宋体" w:eastAsia="宋体" w:cs="宋体"/>
                <w:color w:val="auto"/>
                <w:kern w:val="2"/>
                <w:sz w:val="21"/>
                <w:szCs w:val="21"/>
              </w:rPr>
              <w:t>以供应商为委托单位</w:t>
            </w:r>
            <w:r>
              <w:rPr>
                <w:rFonts w:hint="eastAsia" w:ascii="宋体" w:hAnsi="宋体" w:eastAsia="宋体" w:cs="宋体"/>
                <w:color w:val="auto"/>
                <w:spacing w:val="0"/>
                <w:kern w:val="2"/>
                <w:sz w:val="21"/>
                <w:szCs w:val="21"/>
                <w:lang w:val="en-US" w:eastAsia="zh-CN" w:bidi="ar-SA"/>
              </w:rPr>
              <w:t>该设备所用电线电缆必须满足GB/T2951.12-2008的质量要求和试验方法，需提供第三方检测机构出具的检测样品名称为高温线、检测项目为热空气老化（80℃，260h）、检测结果为无裂纹无气泡的检测报告 0-1</w:t>
            </w:r>
            <w:r>
              <w:rPr>
                <w:rFonts w:hint="eastAsia" w:ascii="宋体" w:hAnsi="宋体" w:cs="宋体"/>
                <w:color w:val="auto"/>
                <w:spacing w:val="0"/>
                <w:kern w:val="2"/>
                <w:sz w:val="21"/>
                <w:szCs w:val="21"/>
                <w:lang w:val="en-US" w:eastAsia="zh-CN" w:bidi="ar-SA"/>
              </w:rPr>
              <w:t>.5</w:t>
            </w:r>
            <w:r>
              <w:rPr>
                <w:rFonts w:hint="eastAsia" w:ascii="宋体" w:hAnsi="宋体" w:eastAsia="宋体" w:cs="宋体"/>
                <w:color w:val="auto"/>
                <w:spacing w:val="0"/>
                <w:kern w:val="2"/>
                <w:sz w:val="21"/>
                <w:szCs w:val="21"/>
                <w:lang w:val="en-US" w:eastAsia="zh-CN" w:bidi="ar-SA"/>
              </w:rPr>
              <w:t>分；</w:t>
            </w:r>
          </w:p>
          <w:p>
            <w:pPr>
              <w:pStyle w:val="74"/>
              <w:keepNext w:val="0"/>
              <w:keepLines w:val="0"/>
              <w:suppressLineNumbers w:val="0"/>
              <w:spacing w:beforeAutospacing="0" w:afterAutospacing="0" w:line="240" w:lineRule="auto"/>
              <w:ind w:left="0" w:right="0"/>
              <w:jc w:val="left"/>
              <w:rPr>
                <w:rFonts w:hint="eastAsia" w:ascii="宋体" w:hAnsi="宋体" w:eastAsia="宋体" w:cs="宋体"/>
                <w:color w:val="auto"/>
                <w:kern w:val="2"/>
                <w:sz w:val="21"/>
                <w:szCs w:val="21"/>
                <w:lang w:val="en-US"/>
              </w:rPr>
            </w:pPr>
            <w:r>
              <w:rPr>
                <w:rFonts w:hint="eastAsia" w:ascii="宋体" w:hAnsi="宋体" w:eastAsia="宋体" w:cs="宋体"/>
                <w:color w:val="auto"/>
                <w:kern w:val="2"/>
                <w:sz w:val="21"/>
                <w:szCs w:val="21"/>
              </w:rPr>
              <w:t>3、提供以供应商为委托单位检测机构出具的</w:t>
            </w:r>
            <w:r>
              <w:rPr>
                <w:rFonts w:hint="eastAsia" w:ascii="宋体" w:hAnsi="宋体" w:eastAsia="宋体" w:cs="宋体"/>
                <w:color w:val="auto"/>
                <w:spacing w:val="0"/>
                <w:kern w:val="2"/>
                <w:sz w:val="21"/>
                <w:szCs w:val="21"/>
                <w:lang w:val="en-US" w:eastAsia="zh-CN" w:bidi="ar-SA"/>
              </w:rPr>
              <w:t>产品名称为</w:t>
            </w:r>
            <w:r>
              <w:rPr>
                <w:rFonts w:hint="eastAsia" w:ascii="宋体" w:hAnsi="宋体" w:eastAsia="宋体" w:cs="宋体"/>
                <w:color w:val="auto"/>
                <w:kern w:val="2"/>
                <w:sz w:val="21"/>
                <w:szCs w:val="21"/>
              </w:rPr>
              <w:t>电动推杆</w:t>
            </w:r>
            <w:r>
              <w:rPr>
                <w:rFonts w:hint="eastAsia" w:ascii="宋体" w:hAnsi="宋体" w:eastAsia="宋体" w:cs="宋体"/>
                <w:color w:val="auto"/>
                <w:kern w:val="2"/>
                <w:sz w:val="21"/>
                <w:szCs w:val="21"/>
                <w:lang w:val="en-US" w:eastAsia="zh-CN"/>
              </w:rPr>
              <w:t>,</w:t>
            </w:r>
            <w:r>
              <w:rPr>
                <w:rFonts w:hint="eastAsia" w:ascii="宋体" w:hAnsi="宋体" w:eastAsia="宋体" w:cs="宋体"/>
                <w:color w:val="auto"/>
                <w:spacing w:val="0"/>
                <w:kern w:val="2"/>
                <w:sz w:val="21"/>
                <w:szCs w:val="21"/>
                <w:lang w:val="en-US" w:eastAsia="zh-CN" w:bidi="ar-SA"/>
              </w:rPr>
              <w:t>检测依据为GB/T12350-2009,检测试验结果合格的检测报告 0-1</w:t>
            </w:r>
            <w:r>
              <w:rPr>
                <w:rFonts w:hint="eastAsia" w:ascii="宋体" w:hAnsi="宋体" w:cs="宋体"/>
                <w:color w:val="auto"/>
                <w:spacing w:val="0"/>
                <w:kern w:val="2"/>
                <w:sz w:val="21"/>
                <w:szCs w:val="21"/>
                <w:lang w:val="en-US" w:eastAsia="zh-CN" w:bidi="ar-SA"/>
              </w:rPr>
              <w:t>.5</w:t>
            </w:r>
            <w:r>
              <w:rPr>
                <w:rFonts w:hint="eastAsia" w:ascii="宋体" w:hAnsi="宋体" w:eastAsia="宋体" w:cs="宋体"/>
                <w:color w:val="auto"/>
                <w:spacing w:val="0"/>
                <w:kern w:val="2"/>
                <w:sz w:val="21"/>
                <w:szCs w:val="21"/>
                <w:lang w:val="en-US" w:eastAsia="zh-CN" w:bidi="ar-SA"/>
              </w:rPr>
              <w:t>分；</w:t>
            </w:r>
          </w:p>
          <w:p>
            <w:pPr>
              <w:pStyle w:val="74"/>
              <w:keepNext w:val="0"/>
              <w:keepLines w:val="0"/>
              <w:suppressLineNumbers w:val="0"/>
              <w:spacing w:beforeAutospacing="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kern w:val="2"/>
                <w:sz w:val="21"/>
                <w:szCs w:val="21"/>
              </w:rPr>
              <w:t>4、提供以供应商为委托单位检测机构出具的</w:t>
            </w:r>
            <w:r>
              <w:rPr>
                <w:rFonts w:hint="eastAsia" w:ascii="宋体" w:hAnsi="宋体" w:eastAsia="宋体" w:cs="宋体"/>
                <w:color w:val="auto"/>
                <w:spacing w:val="0"/>
                <w:kern w:val="2"/>
                <w:sz w:val="21"/>
                <w:szCs w:val="21"/>
                <w:lang w:val="en-US" w:eastAsia="zh-CN" w:bidi="ar-SA"/>
              </w:rPr>
              <w:t>产品名称为</w:t>
            </w:r>
            <w:r>
              <w:rPr>
                <w:rFonts w:hint="eastAsia" w:ascii="宋体" w:hAnsi="宋体" w:eastAsia="宋体" w:cs="宋体"/>
                <w:color w:val="auto"/>
                <w:kern w:val="2"/>
                <w:sz w:val="21"/>
                <w:szCs w:val="21"/>
              </w:rPr>
              <w:t>螺栓</w:t>
            </w:r>
            <w:r>
              <w:rPr>
                <w:rFonts w:hint="eastAsia" w:ascii="宋体" w:hAnsi="宋体" w:eastAsia="宋体" w:cs="宋体"/>
                <w:color w:val="auto"/>
                <w:kern w:val="2"/>
                <w:sz w:val="21"/>
                <w:szCs w:val="21"/>
                <w:lang w:eastAsia="zh-CN"/>
              </w:rPr>
              <w:t>，</w:t>
            </w:r>
            <w:r>
              <w:rPr>
                <w:rFonts w:hint="eastAsia" w:ascii="宋体" w:hAnsi="宋体" w:eastAsia="宋体" w:cs="宋体"/>
                <w:color w:val="auto"/>
                <w:spacing w:val="0"/>
                <w:kern w:val="2"/>
                <w:sz w:val="21"/>
                <w:szCs w:val="21"/>
                <w:lang w:val="en-US" w:eastAsia="zh-CN" w:bidi="ar-SA"/>
              </w:rPr>
              <w:t>检测依据为GB/T3098.1-2010</w:t>
            </w:r>
            <w:r>
              <w:rPr>
                <w:rFonts w:hint="eastAsia" w:ascii="宋体" w:hAnsi="宋体" w:eastAsia="宋体" w:cs="宋体"/>
                <w:color w:val="auto"/>
                <w:kern w:val="2"/>
                <w:sz w:val="21"/>
                <w:szCs w:val="21"/>
              </w:rPr>
              <w:t>的屈服强度</w:t>
            </w:r>
            <w:r>
              <w:rPr>
                <w:rFonts w:hint="eastAsia" w:ascii="宋体" w:hAnsi="宋体" w:eastAsia="宋体" w:cs="宋体"/>
                <w:color w:val="auto"/>
                <w:kern w:val="2"/>
                <w:sz w:val="21"/>
                <w:szCs w:val="21"/>
                <w:lang w:eastAsia="zh-CN"/>
              </w:rPr>
              <w:t>合格的</w:t>
            </w:r>
            <w:r>
              <w:rPr>
                <w:rFonts w:hint="eastAsia" w:ascii="宋体" w:hAnsi="宋体" w:eastAsia="宋体" w:cs="宋体"/>
                <w:color w:val="auto"/>
                <w:kern w:val="2"/>
                <w:sz w:val="21"/>
                <w:szCs w:val="21"/>
              </w:rPr>
              <w:t>检测报告</w:t>
            </w:r>
            <w:r>
              <w:rPr>
                <w:rFonts w:hint="eastAsia" w:ascii="宋体" w:hAnsi="宋体" w:eastAsia="宋体" w:cs="宋体"/>
                <w:color w:val="auto"/>
                <w:kern w:val="2"/>
                <w:sz w:val="21"/>
                <w:szCs w:val="21"/>
                <w:lang w:val="en-US" w:eastAsia="zh-CN"/>
              </w:rPr>
              <w:t xml:space="preserve"> 0-1</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r>
              <w:rPr>
                <w:rFonts w:hint="eastAsia" w:ascii="宋体" w:hAnsi="宋体" w:eastAsia="宋体" w:cs="宋体"/>
                <w:color w:val="auto"/>
                <w:sz w:val="21"/>
                <w:szCs w:val="21"/>
              </w:rPr>
              <w:t>。</w:t>
            </w:r>
          </w:p>
          <w:p>
            <w:pPr>
              <w:widowControl/>
              <w:ind w:left="0" w:leftChars="0" w:firstLine="0" w:firstLineChars="0"/>
              <w:jc w:val="both"/>
              <w:textAlignment w:val="center"/>
              <w:rPr>
                <w:rFonts w:hint="eastAsia" w:ascii="宋体" w:hAnsi="宋体" w:eastAsia="宋体" w:cs="宋体"/>
                <w:color w:val="auto"/>
                <w:kern w:val="0"/>
                <w:sz w:val="21"/>
                <w:szCs w:val="21"/>
              </w:rPr>
            </w:pPr>
            <w:r>
              <w:rPr>
                <w:rFonts w:hint="eastAsia" w:ascii="宋体" w:hAnsi="宋体" w:eastAsia="宋体" w:cs="宋体"/>
                <w:color w:val="auto"/>
                <w:kern w:val="2"/>
                <w:sz w:val="21"/>
                <w:szCs w:val="21"/>
                <w:rtl w:val="0"/>
                <w:lang w:val="en-US" w:eastAsia="zh-CN" w:bidi="ar-SA"/>
              </w:rPr>
              <w:t>（需提供扫描件并加盖投标人公章，原件备查）</w:t>
            </w:r>
          </w:p>
        </w:tc>
        <w:tc>
          <w:tcPr>
            <w:tcW w:w="548" w:type="pc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0-6</w:t>
            </w:r>
            <w:r>
              <w:rPr>
                <w:rFonts w:hint="eastAsia" w:ascii="宋体" w:hAnsi="宋体" w:cs="宋体"/>
                <w:color w:val="auto"/>
                <w:kern w:val="0"/>
                <w:szCs w:val="21"/>
                <w:lang w:val="en-US" w:eastAsia="zh-CN"/>
              </w:rPr>
              <w:t>分</w:t>
            </w:r>
          </w:p>
        </w:tc>
        <w:tc>
          <w:tcPr>
            <w:tcW w:w="64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ind w:firstLine="420"/>
              <w:jc w:val="center"/>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客观分</w:t>
            </w:r>
          </w:p>
        </w:tc>
      </w:tr>
      <w:tr>
        <w:tblPrEx>
          <w:tblCellMar>
            <w:top w:w="0" w:type="dxa"/>
            <w:left w:w="0" w:type="dxa"/>
            <w:bottom w:w="0" w:type="dxa"/>
            <w:right w:w="0" w:type="dxa"/>
          </w:tblCellMar>
        </w:tblPrEx>
        <w:trPr>
          <w:trHeight w:val="525" w:hRule="atLeast"/>
        </w:trPr>
        <w:tc>
          <w:tcPr>
            <w:tcW w:w="546" w:type="pct"/>
            <w:vMerge w:val="restart"/>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4</w:t>
            </w:r>
          </w:p>
        </w:tc>
        <w:tc>
          <w:tcPr>
            <w:tcW w:w="546" w:type="pct"/>
            <w:vMerge w:val="restar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组织实施方案</w:t>
            </w:r>
          </w:p>
        </w:tc>
        <w:tc>
          <w:tcPr>
            <w:tcW w:w="2711" w:type="pct"/>
            <w:tcBorders>
              <w:top w:val="single" w:color="auto" w:sz="4" w:space="0"/>
              <w:left w:val="nil"/>
              <w:bottom w:val="nil"/>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投标人项目安装组织实施方案的科学性、合理性、规范性和可操作性等情况：</w:t>
            </w:r>
          </w:p>
        </w:tc>
        <w:tc>
          <w:tcPr>
            <w:tcW w:w="548" w:type="pct"/>
            <w:vMerge w:val="restar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kern w:val="0"/>
                <w:szCs w:val="21"/>
              </w:rPr>
            </w:pPr>
          </w:p>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p>
        </w:tc>
        <w:tc>
          <w:tcPr>
            <w:tcW w:w="648" w:type="pct"/>
            <w:vMerge w:val="restar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主观分</w:t>
            </w:r>
          </w:p>
        </w:tc>
      </w:tr>
      <w:tr>
        <w:tblPrEx>
          <w:tblCellMar>
            <w:top w:w="0" w:type="dxa"/>
            <w:left w:w="0" w:type="dxa"/>
            <w:bottom w:w="0" w:type="dxa"/>
            <w:right w:w="0" w:type="dxa"/>
          </w:tblCellMar>
        </w:tblPrEx>
        <w:trPr>
          <w:trHeight w:val="540" w:hRule="atLeast"/>
        </w:trPr>
        <w:tc>
          <w:tcPr>
            <w:tcW w:w="54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54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2711" w:type="pct"/>
            <w:tcBorders>
              <w:top w:val="nil"/>
              <w:left w:val="nil"/>
              <w:bottom w:val="nil"/>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1、工作时间进度表、工作程序和步骤、管理和协调方法、关键步骤的思路和要点等：0-2分；</w:t>
            </w:r>
          </w:p>
        </w:tc>
        <w:tc>
          <w:tcPr>
            <w:tcW w:w="5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6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r>
      <w:tr>
        <w:tblPrEx>
          <w:tblCellMar>
            <w:top w:w="0" w:type="dxa"/>
            <w:left w:w="0" w:type="dxa"/>
            <w:bottom w:w="0" w:type="dxa"/>
            <w:right w:w="0" w:type="dxa"/>
          </w:tblCellMar>
        </w:tblPrEx>
        <w:trPr>
          <w:trHeight w:val="540" w:hRule="atLeast"/>
        </w:trPr>
        <w:tc>
          <w:tcPr>
            <w:tcW w:w="54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54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2711" w:type="pct"/>
            <w:tcBorders>
              <w:top w:val="nil"/>
              <w:left w:val="nil"/>
              <w:bottom w:val="nil"/>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2、产品供货、验货、安装调试、试运行、测试、调优、系统管理、系统运行维护等内容：0-</w:t>
            </w:r>
            <w:r>
              <w:rPr>
                <w:rFonts w:hint="eastAsia" w:ascii="宋体" w:hAnsi="宋体" w:cs="宋体"/>
                <w:color w:val="auto"/>
                <w:kern w:val="0"/>
                <w:szCs w:val="21"/>
                <w:lang w:val="en-US" w:eastAsia="zh-CN"/>
              </w:rPr>
              <w:t>2</w:t>
            </w:r>
            <w:r>
              <w:rPr>
                <w:rFonts w:hint="eastAsia" w:ascii="宋体" w:hAnsi="宋体" w:cs="宋体"/>
                <w:color w:val="auto"/>
                <w:kern w:val="0"/>
                <w:szCs w:val="21"/>
              </w:rPr>
              <w:t>分；</w:t>
            </w:r>
          </w:p>
        </w:tc>
        <w:tc>
          <w:tcPr>
            <w:tcW w:w="5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6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r>
      <w:tr>
        <w:tblPrEx>
          <w:tblCellMar>
            <w:top w:w="0" w:type="dxa"/>
            <w:left w:w="0" w:type="dxa"/>
            <w:bottom w:w="0" w:type="dxa"/>
            <w:right w:w="0" w:type="dxa"/>
          </w:tblCellMar>
        </w:tblPrEx>
        <w:trPr>
          <w:trHeight w:val="540" w:hRule="atLeast"/>
        </w:trPr>
        <w:tc>
          <w:tcPr>
            <w:tcW w:w="54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54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2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3、与采购人的具体配合方案，项目的合理化建议及改进措施：0-</w:t>
            </w:r>
            <w:r>
              <w:rPr>
                <w:rFonts w:hint="eastAsia" w:ascii="宋体" w:hAnsi="宋体" w:cs="宋体"/>
                <w:color w:val="auto"/>
                <w:kern w:val="0"/>
                <w:szCs w:val="21"/>
                <w:lang w:val="en-US" w:eastAsia="zh-CN"/>
              </w:rPr>
              <w:t>1</w:t>
            </w:r>
            <w:r>
              <w:rPr>
                <w:rFonts w:hint="eastAsia" w:ascii="宋体" w:hAnsi="宋体" w:cs="宋体"/>
                <w:color w:val="auto"/>
                <w:kern w:val="0"/>
                <w:szCs w:val="21"/>
              </w:rPr>
              <w:t>分。</w:t>
            </w:r>
          </w:p>
        </w:tc>
        <w:tc>
          <w:tcPr>
            <w:tcW w:w="5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6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r>
      <w:tr>
        <w:tblPrEx>
          <w:tblCellMar>
            <w:top w:w="0" w:type="dxa"/>
            <w:left w:w="0" w:type="dxa"/>
            <w:bottom w:w="0" w:type="dxa"/>
            <w:right w:w="0" w:type="dxa"/>
          </w:tblCellMar>
        </w:tblPrEx>
        <w:trPr>
          <w:trHeight w:val="525" w:hRule="atLeast"/>
        </w:trPr>
        <w:tc>
          <w:tcPr>
            <w:tcW w:w="546" w:type="pct"/>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5</w:t>
            </w:r>
          </w:p>
        </w:tc>
        <w:tc>
          <w:tcPr>
            <w:tcW w:w="546" w:type="pct"/>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项目组成员情况</w:t>
            </w:r>
          </w:p>
        </w:tc>
        <w:tc>
          <w:tcPr>
            <w:tcW w:w="2711" w:type="pct"/>
            <w:tcBorders>
              <w:top w:val="nil"/>
              <w:left w:val="nil"/>
              <w:bottom w:val="nil"/>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拟投入本项目的项目团队整体能力（项目负责人、安装调试人员、售后人员）情况及人员配置合理性</w:t>
            </w:r>
          </w:p>
        </w:tc>
        <w:tc>
          <w:tcPr>
            <w:tcW w:w="548" w:type="pct"/>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0-</w:t>
            </w:r>
            <w:r>
              <w:rPr>
                <w:rFonts w:hint="eastAsia" w:ascii="宋体" w:hAnsi="宋体" w:cs="宋体"/>
                <w:color w:val="auto"/>
                <w:kern w:val="0"/>
                <w:szCs w:val="21"/>
                <w:lang w:val="en-US" w:eastAsia="zh-CN"/>
              </w:rPr>
              <w:t>2</w:t>
            </w:r>
            <w:r>
              <w:rPr>
                <w:rFonts w:hint="eastAsia" w:ascii="宋体" w:hAnsi="宋体" w:cs="宋体"/>
                <w:color w:val="auto"/>
                <w:kern w:val="0"/>
                <w:szCs w:val="21"/>
              </w:rPr>
              <w:t>分</w:t>
            </w:r>
          </w:p>
        </w:tc>
        <w:tc>
          <w:tcPr>
            <w:tcW w:w="648" w:type="pct"/>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主观分</w:t>
            </w:r>
          </w:p>
        </w:tc>
      </w:tr>
      <w:tr>
        <w:tblPrEx>
          <w:tblCellMar>
            <w:top w:w="0" w:type="dxa"/>
            <w:left w:w="0" w:type="dxa"/>
            <w:bottom w:w="0" w:type="dxa"/>
            <w:right w:w="0" w:type="dxa"/>
          </w:tblCellMar>
        </w:tblPrEx>
        <w:trPr>
          <w:trHeight w:val="300" w:hRule="atLeast"/>
        </w:trPr>
        <w:tc>
          <w:tcPr>
            <w:tcW w:w="54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54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2711" w:type="pct"/>
            <w:tcBorders>
              <w:top w:val="nil"/>
              <w:left w:val="nil"/>
              <w:bottom w:val="nil"/>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其中：</w:t>
            </w:r>
          </w:p>
        </w:tc>
        <w:tc>
          <w:tcPr>
            <w:tcW w:w="5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6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r>
      <w:tr>
        <w:tblPrEx>
          <w:tblCellMar>
            <w:top w:w="0" w:type="dxa"/>
            <w:left w:w="0" w:type="dxa"/>
            <w:bottom w:w="0" w:type="dxa"/>
            <w:right w:w="0" w:type="dxa"/>
          </w:tblCellMar>
        </w:tblPrEx>
        <w:trPr>
          <w:trHeight w:val="300" w:hRule="atLeast"/>
        </w:trPr>
        <w:tc>
          <w:tcPr>
            <w:tcW w:w="54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54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2711" w:type="pct"/>
            <w:tcBorders>
              <w:top w:val="nil"/>
              <w:left w:val="nil"/>
              <w:bottom w:val="nil"/>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团队人员职称、技术能力、专业总体水平：0-</w:t>
            </w:r>
            <w:r>
              <w:rPr>
                <w:rFonts w:hint="eastAsia" w:ascii="宋体" w:hAnsi="宋体" w:cs="宋体"/>
                <w:color w:val="auto"/>
                <w:kern w:val="0"/>
                <w:szCs w:val="21"/>
                <w:lang w:val="en-US" w:eastAsia="zh-CN"/>
              </w:rPr>
              <w:t>1</w:t>
            </w:r>
            <w:r>
              <w:rPr>
                <w:rFonts w:hint="eastAsia" w:ascii="宋体" w:hAnsi="宋体" w:cs="宋体"/>
                <w:color w:val="auto"/>
                <w:kern w:val="0"/>
                <w:szCs w:val="21"/>
              </w:rPr>
              <w:t>分；</w:t>
            </w:r>
          </w:p>
        </w:tc>
        <w:tc>
          <w:tcPr>
            <w:tcW w:w="5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6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r>
      <w:tr>
        <w:tblPrEx>
          <w:tblCellMar>
            <w:top w:w="0" w:type="dxa"/>
            <w:left w:w="0" w:type="dxa"/>
            <w:bottom w:w="0" w:type="dxa"/>
            <w:right w:w="0" w:type="dxa"/>
          </w:tblCellMar>
        </w:tblPrEx>
        <w:trPr>
          <w:trHeight w:val="300" w:hRule="atLeast"/>
        </w:trPr>
        <w:tc>
          <w:tcPr>
            <w:tcW w:w="54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54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2711" w:type="pct"/>
            <w:tcBorders>
              <w:top w:val="nil"/>
              <w:left w:val="nil"/>
              <w:bottom w:val="nil"/>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团队人员岗位配置合理性；0-</w:t>
            </w:r>
            <w:r>
              <w:rPr>
                <w:rFonts w:hint="eastAsia" w:ascii="宋体" w:hAnsi="宋体" w:cs="宋体"/>
                <w:color w:val="auto"/>
                <w:kern w:val="0"/>
                <w:szCs w:val="21"/>
                <w:lang w:val="en-US" w:eastAsia="zh-CN"/>
              </w:rPr>
              <w:t>1</w:t>
            </w:r>
            <w:r>
              <w:rPr>
                <w:rFonts w:hint="eastAsia" w:ascii="宋体" w:hAnsi="宋体" w:cs="宋体"/>
                <w:color w:val="auto"/>
                <w:kern w:val="0"/>
                <w:szCs w:val="21"/>
              </w:rPr>
              <w:t>分；</w:t>
            </w:r>
          </w:p>
        </w:tc>
        <w:tc>
          <w:tcPr>
            <w:tcW w:w="5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6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r>
      <w:tr>
        <w:tblPrEx>
          <w:tblCellMar>
            <w:top w:w="0" w:type="dxa"/>
            <w:left w:w="0" w:type="dxa"/>
            <w:bottom w:w="0" w:type="dxa"/>
            <w:right w:w="0" w:type="dxa"/>
          </w:tblCellMar>
        </w:tblPrEx>
        <w:trPr>
          <w:trHeight w:val="300" w:hRule="atLeast"/>
        </w:trPr>
        <w:tc>
          <w:tcPr>
            <w:tcW w:w="54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54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2711" w:type="pct"/>
            <w:tcBorders>
              <w:top w:val="nil"/>
              <w:left w:val="nil"/>
              <w:bottom w:val="nil"/>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注：（1）需提供证明材料；</w:t>
            </w:r>
          </w:p>
        </w:tc>
        <w:tc>
          <w:tcPr>
            <w:tcW w:w="5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6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r>
      <w:tr>
        <w:tblPrEx>
          <w:tblCellMar>
            <w:top w:w="0" w:type="dxa"/>
            <w:left w:w="0" w:type="dxa"/>
            <w:bottom w:w="0" w:type="dxa"/>
            <w:right w:w="0" w:type="dxa"/>
          </w:tblCellMar>
        </w:tblPrEx>
        <w:trPr>
          <w:trHeight w:val="540" w:hRule="atLeast"/>
        </w:trPr>
        <w:tc>
          <w:tcPr>
            <w:tcW w:w="54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54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2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（2）提供以上人员最近不少于1个月的社保证明，否则此项不得分。</w:t>
            </w:r>
          </w:p>
        </w:tc>
        <w:tc>
          <w:tcPr>
            <w:tcW w:w="5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6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r>
      <w:tr>
        <w:tblPrEx>
          <w:tblCellMar>
            <w:top w:w="0" w:type="dxa"/>
            <w:left w:w="0" w:type="dxa"/>
            <w:bottom w:w="0" w:type="dxa"/>
            <w:right w:w="0" w:type="dxa"/>
          </w:tblCellMar>
        </w:tblPrEx>
        <w:trPr>
          <w:trHeight w:val="1035" w:hRule="atLeast"/>
        </w:trPr>
        <w:tc>
          <w:tcPr>
            <w:tcW w:w="546" w:type="pct"/>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6</w:t>
            </w:r>
          </w:p>
        </w:tc>
        <w:tc>
          <w:tcPr>
            <w:tcW w:w="546" w:type="pct"/>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售后服务</w:t>
            </w:r>
          </w:p>
        </w:tc>
        <w:tc>
          <w:tcPr>
            <w:tcW w:w="2711" w:type="pct"/>
            <w:tcBorders>
              <w:top w:val="nil"/>
              <w:left w:val="nil"/>
              <w:bottom w:val="nil"/>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供应商提供详细完整的售后服务方案（包括但不限于对质保期、售后服务响应时间、方式、售后服务承诺、售后服务网点情况、服务能力，专家根据方案完整性、合理性、可行性情况综合评议。</w:t>
            </w:r>
          </w:p>
        </w:tc>
        <w:tc>
          <w:tcPr>
            <w:tcW w:w="548" w:type="pct"/>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0-</w:t>
            </w:r>
            <w:r>
              <w:rPr>
                <w:rFonts w:hint="eastAsia" w:ascii="宋体" w:hAnsi="宋体" w:cs="宋体"/>
                <w:color w:val="auto"/>
                <w:kern w:val="0"/>
                <w:szCs w:val="21"/>
                <w:lang w:val="en-US" w:eastAsia="zh-CN"/>
              </w:rPr>
              <w:t>7</w:t>
            </w:r>
            <w:r>
              <w:rPr>
                <w:rFonts w:hint="eastAsia" w:ascii="宋体" w:hAnsi="宋体" w:cs="宋体"/>
                <w:color w:val="auto"/>
                <w:kern w:val="0"/>
                <w:szCs w:val="21"/>
              </w:rPr>
              <w:t>分</w:t>
            </w:r>
          </w:p>
        </w:tc>
        <w:tc>
          <w:tcPr>
            <w:tcW w:w="64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主观分</w:t>
            </w:r>
          </w:p>
        </w:tc>
      </w:tr>
      <w:tr>
        <w:tblPrEx>
          <w:tblCellMar>
            <w:top w:w="0" w:type="dxa"/>
            <w:left w:w="0" w:type="dxa"/>
            <w:bottom w:w="0" w:type="dxa"/>
            <w:right w:w="0" w:type="dxa"/>
          </w:tblCellMar>
        </w:tblPrEx>
        <w:trPr>
          <w:trHeight w:val="300" w:hRule="atLeast"/>
        </w:trPr>
        <w:tc>
          <w:tcPr>
            <w:tcW w:w="54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54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2711" w:type="pct"/>
            <w:tcBorders>
              <w:top w:val="nil"/>
              <w:left w:val="nil"/>
              <w:bottom w:val="nil"/>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1、服务响应时间、方式、到场时间：0-</w:t>
            </w:r>
            <w:r>
              <w:rPr>
                <w:rFonts w:hint="eastAsia" w:ascii="宋体" w:hAnsi="宋体" w:cs="宋体"/>
                <w:color w:val="auto"/>
                <w:kern w:val="0"/>
                <w:szCs w:val="21"/>
                <w:lang w:val="en-US" w:eastAsia="zh-CN"/>
              </w:rPr>
              <w:t>1</w:t>
            </w:r>
            <w:r>
              <w:rPr>
                <w:rFonts w:hint="eastAsia" w:ascii="宋体" w:hAnsi="宋体" w:cs="宋体"/>
                <w:color w:val="auto"/>
                <w:kern w:val="0"/>
                <w:szCs w:val="21"/>
              </w:rPr>
              <w:t>分；</w:t>
            </w:r>
          </w:p>
        </w:tc>
        <w:tc>
          <w:tcPr>
            <w:tcW w:w="5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jc w:val="center"/>
              <w:rPr>
                <w:rFonts w:ascii="宋体" w:hAnsi="宋体" w:cs="宋体"/>
                <w:color w:val="auto"/>
                <w:szCs w:val="21"/>
              </w:rPr>
            </w:pPr>
          </w:p>
        </w:tc>
      </w:tr>
      <w:tr>
        <w:tblPrEx>
          <w:tblCellMar>
            <w:top w:w="0" w:type="dxa"/>
            <w:left w:w="0" w:type="dxa"/>
            <w:bottom w:w="0" w:type="dxa"/>
            <w:right w:w="0" w:type="dxa"/>
          </w:tblCellMar>
        </w:tblPrEx>
        <w:trPr>
          <w:trHeight w:val="525" w:hRule="atLeast"/>
        </w:trPr>
        <w:tc>
          <w:tcPr>
            <w:tcW w:w="54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54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2711" w:type="pct"/>
            <w:tcBorders>
              <w:top w:val="nil"/>
              <w:left w:val="nil"/>
              <w:bottom w:val="nil"/>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2、售后服务内容及维修解决方案和价格优惠承诺：0-3分；</w:t>
            </w:r>
          </w:p>
        </w:tc>
        <w:tc>
          <w:tcPr>
            <w:tcW w:w="5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jc w:val="center"/>
              <w:rPr>
                <w:rFonts w:ascii="宋体" w:hAnsi="宋体" w:cs="宋体"/>
                <w:color w:val="auto"/>
                <w:szCs w:val="21"/>
              </w:rPr>
            </w:pPr>
          </w:p>
        </w:tc>
      </w:tr>
      <w:tr>
        <w:tblPrEx>
          <w:tblCellMar>
            <w:top w:w="0" w:type="dxa"/>
            <w:left w:w="0" w:type="dxa"/>
            <w:bottom w:w="0" w:type="dxa"/>
            <w:right w:w="0" w:type="dxa"/>
          </w:tblCellMar>
        </w:tblPrEx>
        <w:trPr>
          <w:trHeight w:val="525" w:hRule="atLeast"/>
        </w:trPr>
        <w:tc>
          <w:tcPr>
            <w:tcW w:w="54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54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2711" w:type="pct"/>
            <w:tcBorders>
              <w:top w:val="nil"/>
              <w:left w:val="nil"/>
              <w:bottom w:val="nil"/>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3、质保期，在满足招标文件的基础上，所有产品的质保期每延长1年得</w:t>
            </w:r>
            <w:r>
              <w:rPr>
                <w:rFonts w:hint="eastAsia" w:ascii="宋体" w:hAnsi="宋体" w:cs="宋体"/>
                <w:color w:val="auto"/>
                <w:kern w:val="0"/>
                <w:szCs w:val="21"/>
                <w:lang w:val="en-US" w:eastAsia="zh-CN"/>
              </w:rPr>
              <w:t>1</w:t>
            </w:r>
            <w:r>
              <w:rPr>
                <w:rFonts w:hint="eastAsia" w:ascii="宋体" w:hAnsi="宋体" w:cs="宋体"/>
                <w:color w:val="auto"/>
                <w:kern w:val="0"/>
                <w:szCs w:val="21"/>
              </w:rPr>
              <w:t>分，最高得</w:t>
            </w:r>
            <w:r>
              <w:rPr>
                <w:rFonts w:hint="eastAsia" w:ascii="宋体" w:hAnsi="宋体" w:cs="宋体"/>
                <w:color w:val="auto"/>
                <w:kern w:val="0"/>
                <w:szCs w:val="21"/>
                <w:lang w:val="en-US" w:eastAsia="zh-CN"/>
              </w:rPr>
              <w:t>2</w:t>
            </w:r>
            <w:r>
              <w:rPr>
                <w:rFonts w:hint="eastAsia" w:ascii="宋体" w:hAnsi="宋体" w:cs="宋体"/>
                <w:color w:val="auto"/>
                <w:kern w:val="0"/>
                <w:szCs w:val="21"/>
              </w:rPr>
              <w:t>分；</w:t>
            </w:r>
          </w:p>
        </w:tc>
        <w:tc>
          <w:tcPr>
            <w:tcW w:w="5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客观分</w:t>
            </w:r>
          </w:p>
        </w:tc>
      </w:tr>
      <w:tr>
        <w:tblPrEx>
          <w:tblCellMar>
            <w:top w:w="0" w:type="dxa"/>
            <w:left w:w="0" w:type="dxa"/>
            <w:bottom w:w="0" w:type="dxa"/>
            <w:right w:w="0" w:type="dxa"/>
          </w:tblCellMar>
        </w:tblPrEx>
        <w:trPr>
          <w:trHeight w:val="300" w:hRule="atLeast"/>
        </w:trPr>
        <w:tc>
          <w:tcPr>
            <w:tcW w:w="546"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54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2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textAlignment w:val="center"/>
              <w:rPr>
                <w:rFonts w:ascii="宋体" w:hAnsi="宋体" w:cs="宋体"/>
                <w:color w:val="auto"/>
                <w:szCs w:val="21"/>
              </w:rPr>
            </w:pPr>
            <w:r>
              <w:rPr>
                <w:rFonts w:hint="eastAsia" w:ascii="宋体" w:hAnsi="宋体" w:cs="宋体"/>
                <w:color w:val="auto"/>
                <w:kern w:val="0"/>
                <w:szCs w:val="21"/>
              </w:rPr>
              <w:t>4、突发事件的应急措施及方案0-1分。</w:t>
            </w:r>
          </w:p>
        </w:tc>
        <w:tc>
          <w:tcPr>
            <w:tcW w:w="548"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ind w:firstLine="420"/>
              <w:jc w:val="center"/>
              <w:textAlignment w:val="top"/>
              <w:rPr>
                <w:rFonts w:ascii="宋体" w:hAnsi="宋体" w:cs="宋体"/>
                <w:color w:val="auto"/>
                <w:szCs w:val="21"/>
              </w:rPr>
            </w:pPr>
            <w:r>
              <w:rPr>
                <w:rFonts w:hint="eastAsia" w:ascii="宋体" w:hAnsi="宋体" w:cs="宋体"/>
                <w:color w:val="auto"/>
                <w:kern w:val="0"/>
                <w:szCs w:val="21"/>
              </w:rPr>
              <w:t>主观分</w:t>
            </w:r>
          </w:p>
        </w:tc>
      </w:tr>
      <w:tr>
        <w:tblPrEx>
          <w:tblCellMar>
            <w:top w:w="0" w:type="dxa"/>
            <w:left w:w="0" w:type="dxa"/>
            <w:bottom w:w="0" w:type="dxa"/>
            <w:right w:w="0" w:type="dxa"/>
          </w:tblCellMar>
        </w:tblPrEx>
        <w:trPr>
          <w:trHeight w:val="300" w:hRule="atLeast"/>
        </w:trPr>
        <w:tc>
          <w:tcPr>
            <w:tcW w:w="546"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7</w:t>
            </w:r>
          </w:p>
        </w:tc>
        <w:tc>
          <w:tcPr>
            <w:tcW w:w="54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培训方案</w:t>
            </w:r>
          </w:p>
        </w:tc>
        <w:tc>
          <w:tcPr>
            <w:tcW w:w="2711" w:type="pct"/>
            <w:tcBorders>
              <w:top w:val="nil"/>
              <w:left w:val="nil"/>
              <w:bottom w:val="single" w:color="000000" w:sz="8" w:space="0"/>
              <w:right w:val="single" w:color="000000" w:sz="8" w:space="0"/>
            </w:tcBorders>
            <w:shd w:val="clear" w:color="auto" w:fill="auto"/>
            <w:tcMar>
              <w:top w:w="15" w:type="dxa"/>
              <w:left w:w="15" w:type="dxa"/>
              <w:right w:w="15" w:type="dxa"/>
            </w:tcMar>
          </w:tcPr>
          <w:p>
            <w:pPr>
              <w:widowControl/>
              <w:ind w:firstLine="420"/>
              <w:jc w:val="center"/>
              <w:textAlignment w:val="top"/>
              <w:rPr>
                <w:rFonts w:ascii="宋体" w:hAnsi="宋体" w:cs="宋体"/>
                <w:color w:val="auto"/>
                <w:szCs w:val="21"/>
              </w:rPr>
            </w:pPr>
            <w:r>
              <w:rPr>
                <w:rFonts w:hint="eastAsia" w:ascii="宋体" w:hAnsi="宋体" w:cs="宋体"/>
                <w:color w:val="auto"/>
                <w:kern w:val="0"/>
                <w:szCs w:val="21"/>
              </w:rPr>
              <w:t>根据培训方案的具体承诺、实施计划安排情况。</w:t>
            </w:r>
          </w:p>
        </w:tc>
        <w:tc>
          <w:tcPr>
            <w:tcW w:w="54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0-2分</w:t>
            </w:r>
          </w:p>
        </w:tc>
        <w:tc>
          <w:tcPr>
            <w:tcW w:w="64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主观分</w:t>
            </w:r>
          </w:p>
        </w:tc>
      </w:tr>
      <w:tr>
        <w:tblPrEx>
          <w:tblCellMar>
            <w:top w:w="0" w:type="dxa"/>
            <w:left w:w="0" w:type="dxa"/>
            <w:bottom w:w="0" w:type="dxa"/>
            <w:right w:w="0" w:type="dxa"/>
          </w:tblCellMar>
        </w:tblPrEx>
        <w:trPr>
          <w:trHeight w:val="300" w:hRule="atLeast"/>
        </w:trPr>
        <w:tc>
          <w:tcPr>
            <w:tcW w:w="546"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8</w:t>
            </w:r>
          </w:p>
        </w:tc>
        <w:tc>
          <w:tcPr>
            <w:tcW w:w="54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质量保障</w:t>
            </w:r>
          </w:p>
        </w:tc>
        <w:tc>
          <w:tcPr>
            <w:tcW w:w="2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本项目所投产品质量保障措施。</w:t>
            </w:r>
          </w:p>
        </w:tc>
        <w:tc>
          <w:tcPr>
            <w:tcW w:w="54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0-2分</w:t>
            </w:r>
          </w:p>
        </w:tc>
        <w:tc>
          <w:tcPr>
            <w:tcW w:w="64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主观分</w:t>
            </w:r>
          </w:p>
        </w:tc>
      </w:tr>
      <w:tr>
        <w:tblPrEx>
          <w:tblCellMar>
            <w:top w:w="0" w:type="dxa"/>
            <w:left w:w="0" w:type="dxa"/>
            <w:bottom w:w="0" w:type="dxa"/>
            <w:right w:w="0" w:type="dxa"/>
          </w:tblCellMar>
        </w:tblPrEx>
        <w:trPr>
          <w:trHeight w:val="525" w:hRule="atLeast"/>
        </w:trPr>
        <w:tc>
          <w:tcPr>
            <w:tcW w:w="546" w:type="pct"/>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cPr>
          <w:p>
            <w:pPr>
              <w:widowControl/>
              <w:ind w:firstLine="420"/>
              <w:jc w:val="center"/>
              <w:textAlignment w:val="top"/>
              <w:rPr>
                <w:rFonts w:ascii="宋体" w:hAnsi="宋体" w:cs="宋体"/>
                <w:color w:val="auto"/>
                <w:szCs w:val="21"/>
              </w:rPr>
            </w:pPr>
            <w:r>
              <w:rPr>
                <w:rFonts w:hint="eastAsia" w:ascii="宋体" w:hAnsi="宋体" w:cs="宋体"/>
                <w:color w:val="auto"/>
                <w:kern w:val="0"/>
                <w:szCs w:val="21"/>
              </w:rPr>
              <w:t>9</w:t>
            </w:r>
          </w:p>
        </w:tc>
        <w:tc>
          <w:tcPr>
            <w:tcW w:w="546" w:type="pct"/>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政策功能</w:t>
            </w:r>
          </w:p>
        </w:tc>
        <w:tc>
          <w:tcPr>
            <w:tcW w:w="2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提供投标产品主体环境标志产品认证证书的（有效期内），得0.5分；</w:t>
            </w:r>
          </w:p>
        </w:tc>
        <w:tc>
          <w:tcPr>
            <w:tcW w:w="548"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0-1分</w:t>
            </w:r>
          </w:p>
        </w:tc>
        <w:tc>
          <w:tcPr>
            <w:tcW w:w="64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客观分</w:t>
            </w:r>
          </w:p>
        </w:tc>
      </w:tr>
      <w:tr>
        <w:tblPrEx>
          <w:tblCellMar>
            <w:top w:w="0" w:type="dxa"/>
            <w:left w:w="0" w:type="dxa"/>
            <w:bottom w:w="0" w:type="dxa"/>
            <w:right w:w="0" w:type="dxa"/>
          </w:tblCellMar>
        </w:tblPrEx>
        <w:trPr>
          <w:trHeight w:val="525" w:hRule="atLeast"/>
        </w:trPr>
        <w:tc>
          <w:tcPr>
            <w:tcW w:w="546"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cPr>
          <w:p>
            <w:pPr>
              <w:ind w:firstLine="420"/>
              <w:jc w:val="center"/>
              <w:rPr>
                <w:rFonts w:ascii="宋体" w:hAnsi="宋体" w:cs="宋体"/>
                <w:color w:val="auto"/>
                <w:szCs w:val="21"/>
              </w:rPr>
            </w:pPr>
          </w:p>
        </w:tc>
        <w:tc>
          <w:tcPr>
            <w:tcW w:w="546" w:type="pct"/>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2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提供投标产品主体节能产品认证证书的（有效期内），得0.5分。</w:t>
            </w:r>
          </w:p>
        </w:tc>
        <w:tc>
          <w:tcPr>
            <w:tcW w:w="548"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jc w:val="center"/>
              <w:rPr>
                <w:rFonts w:ascii="宋体" w:hAnsi="宋体" w:cs="宋体"/>
                <w:color w:val="auto"/>
                <w:szCs w:val="21"/>
              </w:rPr>
            </w:pPr>
          </w:p>
        </w:tc>
        <w:tc>
          <w:tcPr>
            <w:tcW w:w="64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jc w:val="center"/>
              <w:textAlignment w:val="center"/>
              <w:rPr>
                <w:rFonts w:ascii="宋体" w:hAnsi="宋体" w:cs="宋体"/>
                <w:color w:val="auto"/>
                <w:szCs w:val="21"/>
              </w:rPr>
            </w:pPr>
            <w:r>
              <w:rPr>
                <w:rFonts w:hint="eastAsia" w:ascii="宋体" w:hAnsi="宋体" w:cs="宋体"/>
                <w:color w:val="auto"/>
                <w:kern w:val="0"/>
                <w:szCs w:val="21"/>
              </w:rPr>
              <w:t>客观分</w:t>
            </w:r>
          </w:p>
        </w:tc>
      </w:tr>
    </w:tbl>
    <w:p>
      <w:pPr>
        <w:keepNext/>
        <w:keepLines/>
        <w:ind w:firstLine="420"/>
        <w:outlineLvl w:val="2"/>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roman"/>
    <w:pitch w:val="default"/>
    <w:sig w:usb0="00000000" w:usb1="00000000" w:usb2="00000000" w:usb3="00000000" w:csb0="00000001"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MingLiU_HKSCS">
    <w:altName w:val="PMingLiU"/>
    <w:panose1 w:val="02020500000000000000"/>
    <w:charset w:val="88"/>
    <w:family w:val="roman"/>
    <w:pitch w:val="default"/>
    <w:sig w:usb0="00000000" w:usb1="00000000" w:usb2="00000016" w:usb3="00000000" w:csb0="00100001" w:csb1="00000000"/>
  </w:font>
  <w:font w:name="新宋体">
    <w:panose1 w:val="02010609030101010101"/>
    <w:charset w:val="86"/>
    <w:family w:val="modern"/>
    <w:pitch w:val="default"/>
    <w:sig w:usb0="00000003" w:usb1="080E0000" w:usb2="00000000" w:usb3="00000000" w:csb0="00040001" w:csb1="00000000"/>
  </w:font>
  <w:font w:name="Segoe UI Symbol">
    <w:altName w:val="Segoe UI"/>
    <w:panose1 w:val="020B0502040204020203"/>
    <w:charset w:val="00"/>
    <w:family w:val="swiss"/>
    <w:pitch w:val="default"/>
    <w:sig w:usb0="00000000" w:usb1="00000000" w:usb2="00040000" w:usb3="04000000" w:csb0="00000001" w:csb1="40000000"/>
  </w:font>
  <w:font w:name="PMingLiU">
    <w:panose1 w:val="02020300000000000000"/>
    <w:charset w:val="88"/>
    <w:family w:val="auto"/>
    <w:pitch w:val="default"/>
    <w:sig w:usb0="00000003" w:usb1="082E0000" w:usb2="00000016" w:usb3="00000000" w:csb0="00100001" w:csb1="00000000"/>
  </w:font>
  <w:font w:name="Segoe UI">
    <w:panose1 w:val="020B0502040204020203"/>
    <w:charset w:val="00"/>
    <w:family w:val="auto"/>
    <w:pitch w:val="default"/>
    <w:sig w:usb0="E00022FF" w:usb1="C000205B" w:usb2="00000009" w:usb3="00000000" w:csb0="200001DF"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085937"/>
    </w:sdtPr>
    <w:sdtContent>
      <w:p>
        <w:pPr>
          <w:pStyle w:val="16"/>
          <w:ind w:firstLine="360"/>
          <w:jc w:val="center"/>
        </w:pPr>
        <w:r>
          <w:fldChar w:fldCharType="begin"/>
        </w:r>
        <w:r>
          <w:instrText xml:space="preserve"> PAGE   \* MERGEFORMAT </w:instrText>
        </w:r>
        <w:r>
          <w:fldChar w:fldCharType="separate"/>
        </w:r>
        <w:r>
          <w:rPr>
            <w:lang w:val="zh-CN"/>
          </w:rPr>
          <w:t>3</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4805" cy="438785"/>
              <wp:effectExtent l="0" t="0" r="10795" b="12065"/>
              <wp:wrapNone/>
              <wp:docPr id="7" name="文本框 7"/>
              <wp:cNvGraphicFramePr/>
              <a:graphic xmlns:a="http://schemas.openxmlformats.org/drawingml/2006/main">
                <a:graphicData uri="http://schemas.microsoft.com/office/word/2010/wordprocessingShape">
                  <wps:wsp>
                    <wps:cNvSpPr txBox="1"/>
                    <wps:spPr>
                      <a:xfrm>
                        <a:off x="0" y="0"/>
                        <a:ext cx="344805" cy="438785"/>
                      </a:xfrm>
                      <a:prstGeom prst="rect">
                        <a:avLst/>
                      </a:prstGeom>
                      <a:noFill/>
                      <a:ln w="6350">
                        <a:noFill/>
                      </a:ln>
                      <a:effectLst/>
                    </wps:spPr>
                    <wps:txbx>
                      <w:txbxContent>
                        <w:sdt>
                          <w:sdtPr>
                            <w:id w:val="-1913300481"/>
                          </w:sdtPr>
                          <w:sdtContent>
                            <w:p>
                              <w:pPr>
                                <w:pStyle w:val="16"/>
                                <w:ind w:firstLine="360"/>
                                <w:jc w:val="center"/>
                              </w:pPr>
                              <w:r>
                                <w:fldChar w:fldCharType="begin"/>
                              </w:r>
                              <w:r>
                                <w:instrText xml:space="preserve">PAGE   \* MERGEFORMAT</w:instrText>
                              </w:r>
                              <w:r>
                                <w:fldChar w:fldCharType="separate"/>
                              </w:r>
                              <w:r>
                                <w:rPr>
                                  <w:lang w:val="zh-CN"/>
                                </w:rPr>
                                <w:t>54</w:t>
                              </w:r>
                              <w:r>
                                <w:rPr>
                                  <w:lang w:val="zh-CN"/>
                                </w:rPr>
                                <w:fldChar w:fldCharType="end"/>
                              </w:r>
                            </w:p>
                          </w:sdtContent>
                        </w:sdt>
                        <w:p>
                          <w:pPr>
                            <w:pStyle w:val="3"/>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4.55pt;width:27.15pt;mso-position-horizontal:center;mso-position-horizontal-relative:margin;mso-wrap-style:none;z-index:251662336;mso-width-relative:page;mso-height-relative:page;" filled="f" stroked="f" coordsize="21600,21600" o:gfxdata="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Z29oPSAAAAAwEAAA8AAAAAAAAAAQAgAAAAIgAAAGRycy9kb3ducmV2Lnht&#10;bFBLAQIUABQAAAAIAIdO4kDYmmvCOAIAAGEEAAAOAAAAAAAAAAEAIAAAACEBAABkcnMvZTJvRG9j&#10;LnhtbFBLBQYAAAAABgAGAFkBAADLBQAAAAA=&#10;">
              <v:fill on="f" focussize="0,0"/>
              <v:stroke on="f" weight="0.5pt"/>
              <v:imagedata o:title=""/>
              <o:lock v:ext="edit" aspectratio="f"/>
              <v:textbox inset="0mm,0mm,0mm,0mm" style="mso-fit-shape-to-text:t;">
                <w:txbxContent>
                  <w:sdt>
                    <w:sdtPr>
                      <w:id w:val="-1913300481"/>
                    </w:sdtPr>
                    <w:sdtContent>
                      <w:p>
                        <w:pPr>
                          <w:pStyle w:val="16"/>
                          <w:ind w:firstLine="360"/>
                          <w:jc w:val="center"/>
                        </w:pPr>
                        <w:r>
                          <w:fldChar w:fldCharType="begin"/>
                        </w:r>
                        <w:r>
                          <w:instrText xml:space="preserve">PAGE   \* MERGEFORMAT</w:instrText>
                        </w:r>
                        <w:r>
                          <w:fldChar w:fldCharType="separate"/>
                        </w:r>
                        <w:r>
                          <w:rPr>
                            <w:lang w:val="zh-CN"/>
                          </w:rPr>
                          <w:t>54</w:t>
                        </w:r>
                        <w:r>
                          <w:rPr>
                            <w:lang w:val="zh-CN"/>
                          </w:rPr>
                          <w:fldChar w:fldCharType="end"/>
                        </w:r>
                      </w:p>
                    </w:sdtContent>
                  </w:sdt>
                  <w:p>
                    <w:pPr>
                      <w:pStyle w:val="3"/>
                      <w:ind w:firstLine="210"/>
                    </w:pPr>
                  </w:p>
                </w:txbxContent>
              </v:textbox>
            </v:shape>
          </w:pict>
        </mc:Fallback>
      </mc:AlternateContent>
    </w:r>
  </w:p>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971"/>
        <w:tab w:val="center" w:pos="4333"/>
      </w:tabs>
      <w:ind w:firstLine="360"/>
      <w:jc w:val="left"/>
    </w:pPr>
    <w:r>
      <w:tab/>
    </w:r>
    <w:r>
      <w:tab/>
    </w:r>
    <w:r>
      <w:rPr>
        <w:rFonts w:hint="eastAsia"/>
      </w:rPr>
      <w:t>公开公平公正诚信      浙江信鑭建设工程咨询有限公司       公开招标文件</w:t>
    </w:r>
  </w:p>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both"/>
    </w:pPr>
    <w:r>
      <w:rPr>
        <w:rFonts w:hint="eastAsia"/>
      </w:rPr>
      <w:t>浙江工商大学杭州商学院</w:t>
    </w:r>
    <w:r>
      <w:tab/>
    </w:r>
    <w:r>
      <w:rPr>
        <w:rFonts w:hint="eastAsia"/>
      </w:rPr>
      <w:t>金保工程社保基金监管软件运维服务</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210" w:firstLineChars="100"/>
    </w:pPr>
    <w:r>
      <w:rPr>
        <w:rFonts w:hint="eastAsia"/>
      </w:rPr>
      <w:t>公开公平公正诚信        浙江信鑭建设工程咨询有限公司         公开招标文件</w:t>
    </w:r>
  </w:p>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both"/>
    </w:pPr>
    <w:r>
      <w:rPr>
        <w:rFonts w:hint="eastAsia"/>
      </w:rPr>
      <w:t>浙江工商大学杭州商学院</w:t>
    </w:r>
    <w:r>
      <w:tab/>
    </w:r>
    <w:r>
      <w:rPr>
        <w:rFonts w:hint="eastAsia"/>
      </w:rPr>
      <w:t>金保工程社保基金监管软件运维服务</w:t>
    </w:r>
    <w:r>
      <w:tab/>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pPr>
    <w:r>
      <w:rPr>
        <w:rFonts w:hint="eastAsia"/>
      </w:rPr>
      <w:t>公开 公平 公正 诚信浙江信镧建设工程咨询有限公司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8DE80F"/>
    <w:multiLevelType w:val="singleLevel"/>
    <w:tmpl w:val="B28DE80F"/>
    <w:lvl w:ilvl="0" w:tentative="0">
      <w:start w:val="2"/>
      <w:numFmt w:val="decimal"/>
      <w:suff w:val="nothing"/>
      <w:lvlText w:val="%1、"/>
      <w:lvlJc w:val="left"/>
    </w:lvl>
  </w:abstractNum>
  <w:abstractNum w:abstractNumId="1">
    <w:nsid w:val="B4D12478"/>
    <w:multiLevelType w:val="singleLevel"/>
    <w:tmpl w:val="B4D12478"/>
    <w:lvl w:ilvl="0" w:tentative="0">
      <w:start w:val="1"/>
      <w:numFmt w:val="decimal"/>
      <w:lvlText w:val="(%1)"/>
      <w:lvlJc w:val="left"/>
      <w:pPr>
        <w:ind w:left="425" w:hanging="425"/>
      </w:pPr>
      <w:rPr>
        <w:rFonts w:hint="default"/>
      </w:rPr>
    </w:lvl>
  </w:abstractNum>
  <w:abstractNum w:abstractNumId="2">
    <w:nsid w:val="BB1ECDF5"/>
    <w:multiLevelType w:val="singleLevel"/>
    <w:tmpl w:val="BB1ECDF5"/>
    <w:lvl w:ilvl="0" w:tentative="0">
      <w:start w:val="1"/>
      <w:numFmt w:val="decimal"/>
      <w:lvlText w:val="(%1)"/>
      <w:lvlJc w:val="left"/>
      <w:pPr>
        <w:ind w:left="425" w:hanging="425"/>
      </w:pPr>
      <w:rPr>
        <w:rFonts w:hint="default"/>
      </w:rPr>
    </w:lvl>
  </w:abstractNum>
  <w:abstractNum w:abstractNumId="3">
    <w:nsid w:val="CD8D69C3"/>
    <w:multiLevelType w:val="singleLevel"/>
    <w:tmpl w:val="CD8D69C3"/>
    <w:lvl w:ilvl="0" w:tentative="0">
      <w:start w:val="4"/>
      <w:numFmt w:val="decimal"/>
      <w:suff w:val="nothing"/>
      <w:lvlText w:val="（%1）"/>
      <w:lvlJc w:val="left"/>
    </w:lvl>
  </w:abstractNum>
  <w:abstractNum w:abstractNumId="4">
    <w:nsid w:val="E931030A"/>
    <w:multiLevelType w:val="singleLevel"/>
    <w:tmpl w:val="E931030A"/>
    <w:lvl w:ilvl="0" w:tentative="0">
      <w:start w:val="1"/>
      <w:numFmt w:val="decimal"/>
      <w:lvlText w:val="(%1)"/>
      <w:lvlJc w:val="left"/>
      <w:pPr>
        <w:ind w:left="425" w:hanging="425"/>
      </w:pPr>
      <w:rPr>
        <w:rFonts w:hint="default"/>
      </w:rPr>
    </w:lvl>
  </w:abstractNum>
  <w:abstractNum w:abstractNumId="5">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7">
    <w:nsid w:val="3CDA333A"/>
    <w:multiLevelType w:val="multilevel"/>
    <w:tmpl w:val="3CDA333A"/>
    <w:lvl w:ilvl="0" w:tentative="0">
      <w:start w:val="1"/>
      <w:numFmt w:val="bullet"/>
      <w:lvlText w:val=""/>
      <w:lvlJc w:val="left"/>
      <w:pPr>
        <w:ind w:left="1380" w:hanging="48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pStyle w:val="62"/>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7"/>
  </w:num>
  <w:num w:numId="2">
    <w:abstractNumId w:val="5"/>
  </w:num>
  <w:num w:numId="3">
    <w:abstractNumId w:val="2"/>
  </w:num>
  <w:num w:numId="4">
    <w:abstractNumId w:val="4"/>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04AC1"/>
    <w:rsid w:val="00005EA3"/>
    <w:rsid w:val="0000739C"/>
    <w:rsid w:val="000125FC"/>
    <w:rsid w:val="00013955"/>
    <w:rsid w:val="000141A9"/>
    <w:rsid w:val="00023B09"/>
    <w:rsid w:val="000254DA"/>
    <w:rsid w:val="00025A82"/>
    <w:rsid w:val="00026036"/>
    <w:rsid w:val="00031B14"/>
    <w:rsid w:val="00034E8A"/>
    <w:rsid w:val="00041427"/>
    <w:rsid w:val="00042188"/>
    <w:rsid w:val="000478C2"/>
    <w:rsid w:val="00051D34"/>
    <w:rsid w:val="0005773B"/>
    <w:rsid w:val="000605EA"/>
    <w:rsid w:val="000609FE"/>
    <w:rsid w:val="0006236F"/>
    <w:rsid w:val="00063665"/>
    <w:rsid w:val="00064ECD"/>
    <w:rsid w:val="00066B37"/>
    <w:rsid w:val="00072995"/>
    <w:rsid w:val="00072BE3"/>
    <w:rsid w:val="00073255"/>
    <w:rsid w:val="000765FE"/>
    <w:rsid w:val="0007747C"/>
    <w:rsid w:val="00083D85"/>
    <w:rsid w:val="00084A79"/>
    <w:rsid w:val="00085CAD"/>
    <w:rsid w:val="00086675"/>
    <w:rsid w:val="000868D4"/>
    <w:rsid w:val="000871CB"/>
    <w:rsid w:val="00087644"/>
    <w:rsid w:val="0009192E"/>
    <w:rsid w:val="00091BB8"/>
    <w:rsid w:val="000925F5"/>
    <w:rsid w:val="00093527"/>
    <w:rsid w:val="0009466C"/>
    <w:rsid w:val="00095A71"/>
    <w:rsid w:val="00097C00"/>
    <w:rsid w:val="000A03DE"/>
    <w:rsid w:val="000A0BA0"/>
    <w:rsid w:val="000A262F"/>
    <w:rsid w:val="000A3D7D"/>
    <w:rsid w:val="000A49BA"/>
    <w:rsid w:val="000A5A2D"/>
    <w:rsid w:val="000A5C94"/>
    <w:rsid w:val="000A5D3C"/>
    <w:rsid w:val="000A6CC1"/>
    <w:rsid w:val="000A6E47"/>
    <w:rsid w:val="000B346E"/>
    <w:rsid w:val="000B4640"/>
    <w:rsid w:val="000B5C1D"/>
    <w:rsid w:val="000B6161"/>
    <w:rsid w:val="000B6F15"/>
    <w:rsid w:val="000C18E9"/>
    <w:rsid w:val="000C3390"/>
    <w:rsid w:val="000C6489"/>
    <w:rsid w:val="000C6EFF"/>
    <w:rsid w:val="000C70E0"/>
    <w:rsid w:val="000D13E3"/>
    <w:rsid w:val="000D18D3"/>
    <w:rsid w:val="000D1E0A"/>
    <w:rsid w:val="000D231B"/>
    <w:rsid w:val="000D42BF"/>
    <w:rsid w:val="000D5CDB"/>
    <w:rsid w:val="000E08A2"/>
    <w:rsid w:val="000E0AB2"/>
    <w:rsid w:val="000E367D"/>
    <w:rsid w:val="000E3923"/>
    <w:rsid w:val="000E41CC"/>
    <w:rsid w:val="000E4372"/>
    <w:rsid w:val="000E4625"/>
    <w:rsid w:val="000E66ED"/>
    <w:rsid w:val="000E7FE7"/>
    <w:rsid w:val="000F10FF"/>
    <w:rsid w:val="000F2908"/>
    <w:rsid w:val="000F2BF9"/>
    <w:rsid w:val="000F2CB1"/>
    <w:rsid w:val="000F3274"/>
    <w:rsid w:val="000F5AED"/>
    <w:rsid w:val="001011FA"/>
    <w:rsid w:val="00101563"/>
    <w:rsid w:val="00102206"/>
    <w:rsid w:val="001032DD"/>
    <w:rsid w:val="001105BA"/>
    <w:rsid w:val="00111157"/>
    <w:rsid w:val="00113109"/>
    <w:rsid w:val="001156AA"/>
    <w:rsid w:val="001158C7"/>
    <w:rsid w:val="00117036"/>
    <w:rsid w:val="00120C61"/>
    <w:rsid w:val="00124C9E"/>
    <w:rsid w:val="00125E9B"/>
    <w:rsid w:val="001268A9"/>
    <w:rsid w:val="00130369"/>
    <w:rsid w:val="00132420"/>
    <w:rsid w:val="00140484"/>
    <w:rsid w:val="001406D6"/>
    <w:rsid w:val="00140972"/>
    <w:rsid w:val="00141B96"/>
    <w:rsid w:val="00141D75"/>
    <w:rsid w:val="001427D0"/>
    <w:rsid w:val="001435C1"/>
    <w:rsid w:val="00144D67"/>
    <w:rsid w:val="001462C8"/>
    <w:rsid w:val="001500A5"/>
    <w:rsid w:val="00150947"/>
    <w:rsid w:val="001529D0"/>
    <w:rsid w:val="001536A4"/>
    <w:rsid w:val="0015517D"/>
    <w:rsid w:val="00160F8F"/>
    <w:rsid w:val="00162DEA"/>
    <w:rsid w:val="00166BE6"/>
    <w:rsid w:val="00166C45"/>
    <w:rsid w:val="00167A71"/>
    <w:rsid w:val="00167C9F"/>
    <w:rsid w:val="0017071F"/>
    <w:rsid w:val="00176A5A"/>
    <w:rsid w:val="00180BE0"/>
    <w:rsid w:val="00182218"/>
    <w:rsid w:val="001831E7"/>
    <w:rsid w:val="00183BEF"/>
    <w:rsid w:val="00185BA3"/>
    <w:rsid w:val="00191DB7"/>
    <w:rsid w:val="001929E5"/>
    <w:rsid w:val="001956EA"/>
    <w:rsid w:val="0019636C"/>
    <w:rsid w:val="0019678E"/>
    <w:rsid w:val="001A0BB0"/>
    <w:rsid w:val="001A3827"/>
    <w:rsid w:val="001A3AB4"/>
    <w:rsid w:val="001B1D06"/>
    <w:rsid w:val="001B2170"/>
    <w:rsid w:val="001B6A7C"/>
    <w:rsid w:val="001C0697"/>
    <w:rsid w:val="001C1F5E"/>
    <w:rsid w:val="001C1FA9"/>
    <w:rsid w:val="001C23DD"/>
    <w:rsid w:val="001C24D2"/>
    <w:rsid w:val="001C35CB"/>
    <w:rsid w:val="001C6F4B"/>
    <w:rsid w:val="001C7F79"/>
    <w:rsid w:val="001D3040"/>
    <w:rsid w:val="001D3820"/>
    <w:rsid w:val="001D582E"/>
    <w:rsid w:val="001D5FF9"/>
    <w:rsid w:val="001E0B08"/>
    <w:rsid w:val="001E0F1A"/>
    <w:rsid w:val="001E17AA"/>
    <w:rsid w:val="001E1F09"/>
    <w:rsid w:val="001E2BCF"/>
    <w:rsid w:val="001E3393"/>
    <w:rsid w:val="001E44F7"/>
    <w:rsid w:val="001E5B12"/>
    <w:rsid w:val="001F0BF5"/>
    <w:rsid w:val="001F2DE8"/>
    <w:rsid w:val="001F7298"/>
    <w:rsid w:val="001F7D68"/>
    <w:rsid w:val="0020133A"/>
    <w:rsid w:val="002079A1"/>
    <w:rsid w:val="00207C32"/>
    <w:rsid w:val="00211715"/>
    <w:rsid w:val="00212362"/>
    <w:rsid w:val="00212677"/>
    <w:rsid w:val="00213731"/>
    <w:rsid w:val="00213AD7"/>
    <w:rsid w:val="0021426C"/>
    <w:rsid w:val="00214E52"/>
    <w:rsid w:val="00215124"/>
    <w:rsid w:val="00215946"/>
    <w:rsid w:val="00216000"/>
    <w:rsid w:val="002161F1"/>
    <w:rsid w:val="00216FF2"/>
    <w:rsid w:val="00222604"/>
    <w:rsid w:val="00223116"/>
    <w:rsid w:val="002233E8"/>
    <w:rsid w:val="0022786E"/>
    <w:rsid w:val="00233FBA"/>
    <w:rsid w:val="00234F76"/>
    <w:rsid w:val="00235784"/>
    <w:rsid w:val="00235C9D"/>
    <w:rsid w:val="002367C6"/>
    <w:rsid w:val="00242C4F"/>
    <w:rsid w:val="00242E0B"/>
    <w:rsid w:val="00244F91"/>
    <w:rsid w:val="00245C6D"/>
    <w:rsid w:val="00250981"/>
    <w:rsid w:val="002519A1"/>
    <w:rsid w:val="0025231D"/>
    <w:rsid w:val="00253B27"/>
    <w:rsid w:val="00266315"/>
    <w:rsid w:val="00267226"/>
    <w:rsid w:val="00271941"/>
    <w:rsid w:val="00273770"/>
    <w:rsid w:val="002738D9"/>
    <w:rsid w:val="00273D61"/>
    <w:rsid w:val="00273DFE"/>
    <w:rsid w:val="0027440D"/>
    <w:rsid w:val="00274A1E"/>
    <w:rsid w:val="002761B6"/>
    <w:rsid w:val="002774CA"/>
    <w:rsid w:val="00280C79"/>
    <w:rsid w:val="00281D06"/>
    <w:rsid w:val="00284ADB"/>
    <w:rsid w:val="00285866"/>
    <w:rsid w:val="00291BFA"/>
    <w:rsid w:val="00291EDE"/>
    <w:rsid w:val="002921E2"/>
    <w:rsid w:val="00292246"/>
    <w:rsid w:val="00295965"/>
    <w:rsid w:val="00297025"/>
    <w:rsid w:val="002A1334"/>
    <w:rsid w:val="002A238C"/>
    <w:rsid w:val="002A29F5"/>
    <w:rsid w:val="002A33F2"/>
    <w:rsid w:val="002A3F4D"/>
    <w:rsid w:val="002A621F"/>
    <w:rsid w:val="002A65F0"/>
    <w:rsid w:val="002A7AA2"/>
    <w:rsid w:val="002B12D8"/>
    <w:rsid w:val="002B1CDE"/>
    <w:rsid w:val="002B3B5D"/>
    <w:rsid w:val="002B4FF2"/>
    <w:rsid w:val="002B522F"/>
    <w:rsid w:val="002C1017"/>
    <w:rsid w:val="002C18C8"/>
    <w:rsid w:val="002C2C0B"/>
    <w:rsid w:val="002C35AE"/>
    <w:rsid w:val="002C4A97"/>
    <w:rsid w:val="002C4AB9"/>
    <w:rsid w:val="002C5031"/>
    <w:rsid w:val="002C6C0B"/>
    <w:rsid w:val="002C6E39"/>
    <w:rsid w:val="002C71E4"/>
    <w:rsid w:val="002D1487"/>
    <w:rsid w:val="002D42FB"/>
    <w:rsid w:val="002D45CD"/>
    <w:rsid w:val="002D70B3"/>
    <w:rsid w:val="002D790E"/>
    <w:rsid w:val="002E1E49"/>
    <w:rsid w:val="002E393D"/>
    <w:rsid w:val="002E5BB6"/>
    <w:rsid w:val="002E6D73"/>
    <w:rsid w:val="002F1B45"/>
    <w:rsid w:val="002F2D7D"/>
    <w:rsid w:val="002F3306"/>
    <w:rsid w:val="002F7A74"/>
    <w:rsid w:val="00300A49"/>
    <w:rsid w:val="003012E9"/>
    <w:rsid w:val="003046A7"/>
    <w:rsid w:val="00305ABD"/>
    <w:rsid w:val="003065D6"/>
    <w:rsid w:val="00310D86"/>
    <w:rsid w:val="00310F05"/>
    <w:rsid w:val="00312C45"/>
    <w:rsid w:val="00314E11"/>
    <w:rsid w:val="00316249"/>
    <w:rsid w:val="003170C3"/>
    <w:rsid w:val="00321022"/>
    <w:rsid w:val="00321EF9"/>
    <w:rsid w:val="003223AE"/>
    <w:rsid w:val="00323B24"/>
    <w:rsid w:val="00324DDC"/>
    <w:rsid w:val="00326505"/>
    <w:rsid w:val="00326692"/>
    <w:rsid w:val="00326CCA"/>
    <w:rsid w:val="003276F4"/>
    <w:rsid w:val="003306FB"/>
    <w:rsid w:val="00331BD1"/>
    <w:rsid w:val="00332A4A"/>
    <w:rsid w:val="0033514C"/>
    <w:rsid w:val="00336813"/>
    <w:rsid w:val="003370A0"/>
    <w:rsid w:val="003410B5"/>
    <w:rsid w:val="00343917"/>
    <w:rsid w:val="003440CA"/>
    <w:rsid w:val="003451BC"/>
    <w:rsid w:val="003464DB"/>
    <w:rsid w:val="00346C56"/>
    <w:rsid w:val="003503FD"/>
    <w:rsid w:val="0035208F"/>
    <w:rsid w:val="00353E01"/>
    <w:rsid w:val="00355124"/>
    <w:rsid w:val="003562CA"/>
    <w:rsid w:val="003615FC"/>
    <w:rsid w:val="0036198B"/>
    <w:rsid w:val="003637DC"/>
    <w:rsid w:val="00364A6F"/>
    <w:rsid w:val="00364CD7"/>
    <w:rsid w:val="00366A3B"/>
    <w:rsid w:val="00370B5B"/>
    <w:rsid w:val="00371AB9"/>
    <w:rsid w:val="003779D0"/>
    <w:rsid w:val="00380857"/>
    <w:rsid w:val="003826E4"/>
    <w:rsid w:val="00382953"/>
    <w:rsid w:val="00384FF8"/>
    <w:rsid w:val="00385B82"/>
    <w:rsid w:val="00386DA5"/>
    <w:rsid w:val="00387A5C"/>
    <w:rsid w:val="00394439"/>
    <w:rsid w:val="00397129"/>
    <w:rsid w:val="003A3AE1"/>
    <w:rsid w:val="003B1949"/>
    <w:rsid w:val="003B27AD"/>
    <w:rsid w:val="003B3938"/>
    <w:rsid w:val="003B3EFF"/>
    <w:rsid w:val="003B4138"/>
    <w:rsid w:val="003C0B95"/>
    <w:rsid w:val="003C2ADB"/>
    <w:rsid w:val="003C4459"/>
    <w:rsid w:val="003C5C07"/>
    <w:rsid w:val="003C77BF"/>
    <w:rsid w:val="003C7F48"/>
    <w:rsid w:val="003D0FAC"/>
    <w:rsid w:val="003D2225"/>
    <w:rsid w:val="003D33A4"/>
    <w:rsid w:val="003D5F75"/>
    <w:rsid w:val="003E0F3D"/>
    <w:rsid w:val="003E45A8"/>
    <w:rsid w:val="003F063C"/>
    <w:rsid w:val="003F0CFD"/>
    <w:rsid w:val="003F3783"/>
    <w:rsid w:val="003F3D41"/>
    <w:rsid w:val="003F4C99"/>
    <w:rsid w:val="003F6085"/>
    <w:rsid w:val="003F608E"/>
    <w:rsid w:val="003F676B"/>
    <w:rsid w:val="003F6E90"/>
    <w:rsid w:val="004001AA"/>
    <w:rsid w:val="00400BD1"/>
    <w:rsid w:val="00402685"/>
    <w:rsid w:val="00406426"/>
    <w:rsid w:val="00410685"/>
    <w:rsid w:val="00412165"/>
    <w:rsid w:val="00412508"/>
    <w:rsid w:val="004127E7"/>
    <w:rsid w:val="00413824"/>
    <w:rsid w:val="004141CD"/>
    <w:rsid w:val="00415C81"/>
    <w:rsid w:val="004205E9"/>
    <w:rsid w:val="00422712"/>
    <w:rsid w:val="00424769"/>
    <w:rsid w:val="0042492A"/>
    <w:rsid w:val="00425F42"/>
    <w:rsid w:val="0042699F"/>
    <w:rsid w:val="00431715"/>
    <w:rsid w:val="004346FA"/>
    <w:rsid w:val="00434933"/>
    <w:rsid w:val="00434A68"/>
    <w:rsid w:val="004353CF"/>
    <w:rsid w:val="00436BB4"/>
    <w:rsid w:val="00440219"/>
    <w:rsid w:val="004412AD"/>
    <w:rsid w:val="004450E9"/>
    <w:rsid w:val="00445F91"/>
    <w:rsid w:val="00451C3D"/>
    <w:rsid w:val="00451C86"/>
    <w:rsid w:val="00453107"/>
    <w:rsid w:val="00453DB7"/>
    <w:rsid w:val="00455ED3"/>
    <w:rsid w:val="00455EFE"/>
    <w:rsid w:val="004571D2"/>
    <w:rsid w:val="00457C2E"/>
    <w:rsid w:val="004600DF"/>
    <w:rsid w:val="004611CB"/>
    <w:rsid w:val="00464B75"/>
    <w:rsid w:val="00464BC8"/>
    <w:rsid w:val="00467185"/>
    <w:rsid w:val="0046792C"/>
    <w:rsid w:val="00470C52"/>
    <w:rsid w:val="00473177"/>
    <w:rsid w:val="00474986"/>
    <w:rsid w:val="00482118"/>
    <w:rsid w:val="00482A74"/>
    <w:rsid w:val="004848B0"/>
    <w:rsid w:val="00484B7A"/>
    <w:rsid w:val="004853BC"/>
    <w:rsid w:val="00487CE7"/>
    <w:rsid w:val="004902F8"/>
    <w:rsid w:val="00491C25"/>
    <w:rsid w:val="00494D1D"/>
    <w:rsid w:val="00494F52"/>
    <w:rsid w:val="004A20AA"/>
    <w:rsid w:val="004A2902"/>
    <w:rsid w:val="004A4928"/>
    <w:rsid w:val="004A4D49"/>
    <w:rsid w:val="004A608D"/>
    <w:rsid w:val="004B1BCE"/>
    <w:rsid w:val="004B257E"/>
    <w:rsid w:val="004B4239"/>
    <w:rsid w:val="004B7730"/>
    <w:rsid w:val="004C024E"/>
    <w:rsid w:val="004C0D46"/>
    <w:rsid w:val="004C0FAE"/>
    <w:rsid w:val="004C244A"/>
    <w:rsid w:val="004C6FC3"/>
    <w:rsid w:val="004D2FC6"/>
    <w:rsid w:val="004D3D40"/>
    <w:rsid w:val="004D6E24"/>
    <w:rsid w:val="004E0ACD"/>
    <w:rsid w:val="004E122F"/>
    <w:rsid w:val="004E3B0A"/>
    <w:rsid w:val="004F0679"/>
    <w:rsid w:val="004F0C78"/>
    <w:rsid w:val="004F4735"/>
    <w:rsid w:val="004F489E"/>
    <w:rsid w:val="004F79C2"/>
    <w:rsid w:val="00502BA3"/>
    <w:rsid w:val="0050328D"/>
    <w:rsid w:val="00504886"/>
    <w:rsid w:val="005055BC"/>
    <w:rsid w:val="00507068"/>
    <w:rsid w:val="00510094"/>
    <w:rsid w:val="00511172"/>
    <w:rsid w:val="0051683E"/>
    <w:rsid w:val="00523334"/>
    <w:rsid w:val="00526E33"/>
    <w:rsid w:val="00533542"/>
    <w:rsid w:val="00533B35"/>
    <w:rsid w:val="0053449A"/>
    <w:rsid w:val="00534A59"/>
    <w:rsid w:val="00534BE0"/>
    <w:rsid w:val="00536DE9"/>
    <w:rsid w:val="005375D9"/>
    <w:rsid w:val="005419A6"/>
    <w:rsid w:val="00541CB7"/>
    <w:rsid w:val="005427BB"/>
    <w:rsid w:val="0054378F"/>
    <w:rsid w:val="00544264"/>
    <w:rsid w:val="00545748"/>
    <w:rsid w:val="005462EA"/>
    <w:rsid w:val="00546C30"/>
    <w:rsid w:val="00547CA3"/>
    <w:rsid w:val="00547D18"/>
    <w:rsid w:val="00552718"/>
    <w:rsid w:val="00552A0D"/>
    <w:rsid w:val="00553099"/>
    <w:rsid w:val="005536CF"/>
    <w:rsid w:val="00554271"/>
    <w:rsid w:val="00555172"/>
    <w:rsid w:val="00555581"/>
    <w:rsid w:val="005560D1"/>
    <w:rsid w:val="00560015"/>
    <w:rsid w:val="00560308"/>
    <w:rsid w:val="00560996"/>
    <w:rsid w:val="00561094"/>
    <w:rsid w:val="005619B0"/>
    <w:rsid w:val="00562CF5"/>
    <w:rsid w:val="00570DB5"/>
    <w:rsid w:val="00573456"/>
    <w:rsid w:val="00575797"/>
    <w:rsid w:val="00575A95"/>
    <w:rsid w:val="00575E01"/>
    <w:rsid w:val="005821ED"/>
    <w:rsid w:val="0058393B"/>
    <w:rsid w:val="00583BD1"/>
    <w:rsid w:val="0058632E"/>
    <w:rsid w:val="00590617"/>
    <w:rsid w:val="00590B37"/>
    <w:rsid w:val="00591FEA"/>
    <w:rsid w:val="005941C3"/>
    <w:rsid w:val="005943C3"/>
    <w:rsid w:val="005A2531"/>
    <w:rsid w:val="005A3560"/>
    <w:rsid w:val="005A5099"/>
    <w:rsid w:val="005B3EA1"/>
    <w:rsid w:val="005B418B"/>
    <w:rsid w:val="005B48CC"/>
    <w:rsid w:val="005B7471"/>
    <w:rsid w:val="005C092A"/>
    <w:rsid w:val="005C2E51"/>
    <w:rsid w:val="005C4279"/>
    <w:rsid w:val="005C721F"/>
    <w:rsid w:val="005C7446"/>
    <w:rsid w:val="005D0C15"/>
    <w:rsid w:val="005D19D1"/>
    <w:rsid w:val="005D248F"/>
    <w:rsid w:val="005D4926"/>
    <w:rsid w:val="005D5B4A"/>
    <w:rsid w:val="005E532E"/>
    <w:rsid w:val="005E53D3"/>
    <w:rsid w:val="005E6702"/>
    <w:rsid w:val="005E7395"/>
    <w:rsid w:val="005F2630"/>
    <w:rsid w:val="005F2ADA"/>
    <w:rsid w:val="005F3D94"/>
    <w:rsid w:val="005F472E"/>
    <w:rsid w:val="005F75BF"/>
    <w:rsid w:val="006014D2"/>
    <w:rsid w:val="00601505"/>
    <w:rsid w:val="006064F5"/>
    <w:rsid w:val="00606669"/>
    <w:rsid w:val="00606A43"/>
    <w:rsid w:val="0061162B"/>
    <w:rsid w:val="00611DF0"/>
    <w:rsid w:val="0061315C"/>
    <w:rsid w:val="006155AE"/>
    <w:rsid w:val="00615BC5"/>
    <w:rsid w:val="00621B86"/>
    <w:rsid w:val="00621BD9"/>
    <w:rsid w:val="00624B30"/>
    <w:rsid w:val="00626B6F"/>
    <w:rsid w:val="00626C46"/>
    <w:rsid w:val="00626E1D"/>
    <w:rsid w:val="00627543"/>
    <w:rsid w:val="006300A0"/>
    <w:rsid w:val="00633762"/>
    <w:rsid w:val="006337D7"/>
    <w:rsid w:val="00633E79"/>
    <w:rsid w:val="00634491"/>
    <w:rsid w:val="00636A24"/>
    <w:rsid w:val="00636BB5"/>
    <w:rsid w:val="006407DD"/>
    <w:rsid w:val="00641108"/>
    <w:rsid w:val="00644B05"/>
    <w:rsid w:val="00647661"/>
    <w:rsid w:val="00647A00"/>
    <w:rsid w:val="0065047B"/>
    <w:rsid w:val="0065055D"/>
    <w:rsid w:val="00650632"/>
    <w:rsid w:val="006537E1"/>
    <w:rsid w:val="00654864"/>
    <w:rsid w:val="00654DD5"/>
    <w:rsid w:val="00655A5F"/>
    <w:rsid w:val="00656D2B"/>
    <w:rsid w:val="0066133C"/>
    <w:rsid w:val="00661AD9"/>
    <w:rsid w:val="00663B40"/>
    <w:rsid w:val="00667ACA"/>
    <w:rsid w:val="00670171"/>
    <w:rsid w:val="0067256C"/>
    <w:rsid w:val="00674D7B"/>
    <w:rsid w:val="006754B8"/>
    <w:rsid w:val="0067589B"/>
    <w:rsid w:val="00675C08"/>
    <w:rsid w:val="0068082E"/>
    <w:rsid w:val="006826C8"/>
    <w:rsid w:val="0068274B"/>
    <w:rsid w:val="00683E02"/>
    <w:rsid w:val="006843B3"/>
    <w:rsid w:val="00684D6C"/>
    <w:rsid w:val="006850F7"/>
    <w:rsid w:val="006876BB"/>
    <w:rsid w:val="006907CF"/>
    <w:rsid w:val="00692A44"/>
    <w:rsid w:val="006932B0"/>
    <w:rsid w:val="006A0A40"/>
    <w:rsid w:val="006A19C2"/>
    <w:rsid w:val="006A1A85"/>
    <w:rsid w:val="006A224D"/>
    <w:rsid w:val="006A4B62"/>
    <w:rsid w:val="006A70BB"/>
    <w:rsid w:val="006A7775"/>
    <w:rsid w:val="006B25BD"/>
    <w:rsid w:val="006B5B5A"/>
    <w:rsid w:val="006B6A82"/>
    <w:rsid w:val="006C0227"/>
    <w:rsid w:val="006C207E"/>
    <w:rsid w:val="006C5140"/>
    <w:rsid w:val="006C5724"/>
    <w:rsid w:val="006C7E78"/>
    <w:rsid w:val="006D08B5"/>
    <w:rsid w:val="006D13B6"/>
    <w:rsid w:val="006D184A"/>
    <w:rsid w:val="006D1F85"/>
    <w:rsid w:val="006D54FB"/>
    <w:rsid w:val="006D5503"/>
    <w:rsid w:val="006D6E38"/>
    <w:rsid w:val="006D71A3"/>
    <w:rsid w:val="006D76D7"/>
    <w:rsid w:val="006E0E25"/>
    <w:rsid w:val="006E3A22"/>
    <w:rsid w:val="006E3F17"/>
    <w:rsid w:val="006E6032"/>
    <w:rsid w:val="006F02F9"/>
    <w:rsid w:val="006F069E"/>
    <w:rsid w:val="006F19E8"/>
    <w:rsid w:val="006F2696"/>
    <w:rsid w:val="006F3813"/>
    <w:rsid w:val="006F480D"/>
    <w:rsid w:val="006F4E73"/>
    <w:rsid w:val="00701DCE"/>
    <w:rsid w:val="00702074"/>
    <w:rsid w:val="007041A4"/>
    <w:rsid w:val="00705EA2"/>
    <w:rsid w:val="007124BF"/>
    <w:rsid w:val="00714BF4"/>
    <w:rsid w:val="00720904"/>
    <w:rsid w:val="0072094F"/>
    <w:rsid w:val="0072117C"/>
    <w:rsid w:val="007222EE"/>
    <w:rsid w:val="007235BA"/>
    <w:rsid w:val="00723B7A"/>
    <w:rsid w:val="0072463C"/>
    <w:rsid w:val="00724AB4"/>
    <w:rsid w:val="00725040"/>
    <w:rsid w:val="007267B6"/>
    <w:rsid w:val="0072732E"/>
    <w:rsid w:val="0072765A"/>
    <w:rsid w:val="00730E4E"/>
    <w:rsid w:val="00731470"/>
    <w:rsid w:val="00732778"/>
    <w:rsid w:val="0073376A"/>
    <w:rsid w:val="007416FC"/>
    <w:rsid w:val="007461E7"/>
    <w:rsid w:val="007467DD"/>
    <w:rsid w:val="00746D16"/>
    <w:rsid w:val="0074702A"/>
    <w:rsid w:val="00750E18"/>
    <w:rsid w:val="007511E9"/>
    <w:rsid w:val="00751B34"/>
    <w:rsid w:val="007542FC"/>
    <w:rsid w:val="007566B8"/>
    <w:rsid w:val="007629C6"/>
    <w:rsid w:val="00762BC0"/>
    <w:rsid w:val="0076375D"/>
    <w:rsid w:val="00764FB9"/>
    <w:rsid w:val="007654E2"/>
    <w:rsid w:val="0076597E"/>
    <w:rsid w:val="00771D71"/>
    <w:rsid w:val="007732C7"/>
    <w:rsid w:val="007775A4"/>
    <w:rsid w:val="0078368A"/>
    <w:rsid w:val="00783D35"/>
    <w:rsid w:val="0078513E"/>
    <w:rsid w:val="0079119E"/>
    <w:rsid w:val="00791917"/>
    <w:rsid w:val="00791C23"/>
    <w:rsid w:val="00792B6D"/>
    <w:rsid w:val="00793087"/>
    <w:rsid w:val="00794253"/>
    <w:rsid w:val="00797B3C"/>
    <w:rsid w:val="007A0145"/>
    <w:rsid w:val="007A0C6E"/>
    <w:rsid w:val="007A1B0F"/>
    <w:rsid w:val="007A26BD"/>
    <w:rsid w:val="007A2F9F"/>
    <w:rsid w:val="007A486C"/>
    <w:rsid w:val="007A5E27"/>
    <w:rsid w:val="007A666D"/>
    <w:rsid w:val="007A77AA"/>
    <w:rsid w:val="007B01EF"/>
    <w:rsid w:val="007B3549"/>
    <w:rsid w:val="007B3BD7"/>
    <w:rsid w:val="007B4F7F"/>
    <w:rsid w:val="007B59A2"/>
    <w:rsid w:val="007B783C"/>
    <w:rsid w:val="007B7CB9"/>
    <w:rsid w:val="007C1CFF"/>
    <w:rsid w:val="007C2534"/>
    <w:rsid w:val="007C2A2E"/>
    <w:rsid w:val="007C449F"/>
    <w:rsid w:val="007D1E72"/>
    <w:rsid w:val="007D2247"/>
    <w:rsid w:val="007D3C6E"/>
    <w:rsid w:val="007E0D44"/>
    <w:rsid w:val="007E4D05"/>
    <w:rsid w:val="007E7826"/>
    <w:rsid w:val="007F047E"/>
    <w:rsid w:val="0080195A"/>
    <w:rsid w:val="00806A8F"/>
    <w:rsid w:val="00807368"/>
    <w:rsid w:val="008100C2"/>
    <w:rsid w:val="008106B7"/>
    <w:rsid w:val="0081155F"/>
    <w:rsid w:val="00811869"/>
    <w:rsid w:val="00812C0A"/>
    <w:rsid w:val="00812DDB"/>
    <w:rsid w:val="00816B24"/>
    <w:rsid w:val="00820858"/>
    <w:rsid w:val="00821F65"/>
    <w:rsid w:val="00822527"/>
    <w:rsid w:val="00822A97"/>
    <w:rsid w:val="00825890"/>
    <w:rsid w:val="00825F15"/>
    <w:rsid w:val="00826A23"/>
    <w:rsid w:val="00831184"/>
    <w:rsid w:val="00831815"/>
    <w:rsid w:val="008344FB"/>
    <w:rsid w:val="0083547D"/>
    <w:rsid w:val="00835978"/>
    <w:rsid w:val="00836BF4"/>
    <w:rsid w:val="00837D4B"/>
    <w:rsid w:val="00845DA9"/>
    <w:rsid w:val="00846B87"/>
    <w:rsid w:val="00847DAC"/>
    <w:rsid w:val="00850E4A"/>
    <w:rsid w:val="00854E2D"/>
    <w:rsid w:val="00856AF3"/>
    <w:rsid w:val="00860FB6"/>
    <w:rsid w:val="00861668"/>
    <w:rsid w:val="00865195"/>
    <w:rsid w:val="0086586A"/>
    <w:rsid w:val="00865C34"/>
    <w:rsid w:val="00866752"/>
    <w:rsid w:val="00866CE3"/>
    <w:rsid w:val="008678AD"/>
    <w:rsid w:val="00870392"/>
    <w:rsid w:val="00870ADD"/>
    <w:rsid w:val="00875153"/>
    <w:rsid w:val="00880ACB"/>
    <w:rsid w:val="00881F0D"/>
    <w:rsid w:val="0088747C"/>
    <w:rsid w:val="008900E8"/>
    <w:rsid w:val="008915AF"/>
    <w:rsid w:val="00895478"/>
    <w:rsid w:val="00897B01"/>
    <w:rsid w:val="008A1F36"/>
    <w:rsid w:val="008A3300"/>
    <w:rsid w:val="008A3A0E"/>
    <w:rsid w:val="008A5A64"/>
    <w:rsid w:val="008A6330"/>
    <w:rsid w:val="008A6B3E"/>
    <w:rsid w:val="008B65C7"/>
    <w:rsid w:val="008B6AA3"/>
    <w:rsid w:val="008B6E2A"/>
    <w:rsid w:val="008C04BF"/>
    <w:rsid w:val="008C38EB"/>
    <w:rsid w:val="008C45E1"/>
    <w:rsid w:val="008C64C6"/>
    <w:rsid w:val="008C64D9"/>
    <w:rsid w:val="008C71EE"/>
    <w:rsid w:val="008D0790"/>
    <w:rsid w:val="008D1C70"/>
    <w:rsid w:val="008D2E05"/>
    <w:rsid w:val="008D2FED"/>
    <w:rsid w:val="008D3DE1"/>
    <w:rsid w:val="008D5A1B"/>
    <w:rsid w:val="008D5AAC"/>
    <w:rsid w:val="008D7DD7"/>
    <w:rsid w:val="008E0889"/>
    <w:rsid w:val="008E0AE1"/>
    <w:rsid w:val="008E0C6E"/>
    <w:rsid w:val="008E222B"/>
    <w:rsid w:val="008E3628"/>
    <w:rsid w:val="008E42B3"/>
    <w:rsid w:val="008E4E12"/>
    <w:rsid w:val="008E694E"/>
    <w:rsid w:val="008F54F6"/>
    <w:rsid w:val="008F7D4D"/>
    <w:rsid w:val="00900D22"/>
    <w:rsid w:val="00901162"/>
    <w:rsid w:val="0090546F"/>
    <w:rsid w:val="009073D9"/>
    <w:rsid w:val="00907B8D"/>
    <w:rsid w:val="0091077F"/>
    <w:rsid w:val="00910878"/>
    <w:rsid w:val="00911EFE"/>
    <w:rsid w:val="00914A52"/>
    <w:rsid w:val="00915EED"/>
    <w:rsid w:val="009225E3"/>
    <w:rsid w:val="009225E6"/>
    <w:rsid w:val="00924BB6"/>
    <w:rsid w:val="00927B54"/>
    <w:rsid w:val="00930EE3"/>
    <w:rsid w:val="00935479"/>
    <w:rsid w:val="009364B1"/>
    <w:rsid w:val="0094352B"/>
    <w:rsid w:val="009436E3"/>
    <w:rsid w:val="00945245"/>
    <w:rsid w:val="009466A2"/>
    <w:rsid w:val="009472DF"/>
    <w:rsid w:val="00947AEA"/>
    <w:rsid w:val="00950C68"/>
    <w:rsid w:val="00950FAC"/>
    <w:rsid w:val="0095352D"/>
    <w:rsid w:val="00955298"/>
    <w:rsid w:val="00962B4E"/>
    <w:rsid w:val="00962E78"/>
    <w:rsid w:val="00963456"/>
    <w:rsid w:val="009655B3"/>
    <w:rsid w:val="00966442"/>
    <w:rsid w:val="009672A2"/>
    <w:rsid w:val="00970E93"/>
    <w:rsid w:val="009728E4"/>
    <w:rsid w:val="0097768F"/>
    <w:rsid w:val="00982C21"/>
    <w:rsid w:val="0098391A"/>
    <w:rsid w:val="00986CC7"/>
    <w:rsid w:val="009959A5"/>
    <w:rsid w:val="00995DEF"/>
    <w:rsid w:val="00997FE1"/>
    <w:rsid w:val="009A2DF4"/>
    <w:rsid w:val="009A32A0"/>
    <w:rsid w:val="009A37EE"/>
    <w:rsid w:val="009A4C7D"/>
    <w:rsid w:val="009B320D"/>
    <w:rsid w:val="009B707B"/>
    <w:rsid w:val="009B7137"/>
    <w:rsid w:val="009C0BA2"/>
    <w:rsid w:val="009C1C92"/>
    <w:rsid w:val="009C1FE9"/>
    <w:rsid w:val="009C3E61"/>
    <w:rsid w:val="009C4426"/>
    <w:rsid w:val="009C5129"/>
    <w:rsid w:val="009C529A"/>
    <w:rsid w:val="009C5766"/>
    <w:rsid w:val="009D2623"/>
    <w:rsid w:val="009D379D"/>
    <w:rsid w:val="009D3941"/>
    <w:rsid w:val="009D4BDE"/>
    <w:rsid w:val="009E1E10"/>
    <w:rsid w:val="009E2BA6"/>
    <w:rsid w:val="009E3D09"/>
    <w:rsid w:val="009E4B26"/>
    <w:rsid w:val="009E7A05"/>
    <w:rsid w:val="009F0D94"/>
    <w:rsid w:val="009F141A"/>
    <w:rsid w:val="009F21BB"/>
    <w:rsid w:val="009F39BB"/>
    <w:rsid w:val="009F3FD0"/>
    <w:rsid w:val="009F47C6"/>
    <w:rsid w:val="009F48E0"/>
    <w:rsid w:val="009F5A70"/>
    <w:rsid w:val="009F620A"/>
    <w:rsid w:val="009F64EF"/>
    <w:rsid w:val="00A01382"/>
    <w:rsid w:val="00A0182D"/>
    <w:rsid w:val="00A0199C"/>
    <w:rsid w:val="00A043EC"/>
    <w:rsid w:val="00A0793D"/>
    <w:rsid w:val="00A07A2F"/>
    <w:rsid w:val="00A14A16"/>
    <w:rsid w:val="00A166D1"/>
    <w:rsid w:val="00A17F8B"/>
    <w:rsid w:val="00A20595"/>
    <w:rsid w:val="00A20F88"/>
    <w:rsid w:val="00A2254E"/>
    <w:rsid w:val="00A25424"/>
    <w:rsid w:val="00A264F7"/>
    <w:rsid w:val="00A26C41"/>
    <w:rsid w:val="00A304F2"/>
    <w:rsid w:val="00A341B1"/>
    <w:rsid w:val="00A42E8B"/>
    <w:rsid w:val="00A47FDE"/>
    <w:rsid w:val="00A50AED"/>
    <w:rsid w:val="00A50B6F"/>
    <w:rsid w:val="00A53F9E"/>
    <w:rsid w:val="00A568A6"/>
    <w:rsid w:val="00A570A3"/>
    <w:rsid w:val="00A61D46"/>
    <w:rsid w:val="00A6352F"/>
    <w:rsid w:val="00A638A0"/>
    <w:rsid w:val="00A66C35"/>
    <w:rsid w:val="00A7004A"/>
    <w:rsid w:val="00A73026"/>
    <w:rsid w:val="00A7562D"/>
    <w:rsid w:val="00A7577B"/>
    <w:rsid w:val="00A75E19"/>
    <w:rsid w:val="00A775DB"/>
    <w:rsid w:val="00A77CDF"/>
    <w:rsid w:val="00A8133F"/>
    <w:rsid w:val="00A813B3"/>
    <w:rsid w:val="00A814D5"/>
    <w:rsid w:val="00A84421"/>
    <w:rsid w:val="00A86531"/>
    <w:rsid w:val="00A907F6"/>
    <w:rsid w:val="00A91831"/>
    <w:rsid w:val="00A920FE"/>
    <w:rsid w:val="00A928E7"/>
    <w:rsid w:val="00A963E8"/>
    <w:rsid w:val="00A97246"/>
    <w:rsid w:val="00AA00E2"/>
    <w:rsid w:val="00AA1627"/>
    <w:rsid w:val="00AA557B"/>
    <w:rsid w:val="00AA6FC0"/>
    <w:rsid w:val="00AA755A"/>
    <w:rsid w:val="00AB02C1"/>
    <w:rsid w:val="00AB16CB"/>
    <w:rsid w:val="00AB29C0"/>
    <w:rsid w:val="00AB4FF6"/>
    <w:rsid w:val="00AB79B5"/>
    <w:rsid w:val="00AC0742"/>
    <w:rsid w:val="00AC320C"/>
    <w:rsid w:val="00AC47FA"/>
    <w:rsid w:val="00AC4B6F"/>
    <w:rsid w:val="00AC528B"/>
    <w:rsid w:val="00AC560A"/>
    <w:rsid w:val="00AC62F6"/>
    <w:rsid w:val="00AC6F0A"/>
    <w:rsid w:val="00AC730F"/>
    <w:rsid w:val="00AD082F"/>
    <w:rsid w:val="00AD1F0D"/>
    <w:rsid w:val="00AD52FE"/>
    <w:rsid w:val="00AD5C76"/>
    <w:rsid w:val="00AD5D25"/>
    <w:rsid w:val="00AD6B53"/>
    <w:rsid w:val="00AE09A3"/>
    <w:rsid w:val="00AE3875"/>
    <w:rsid w:val="00AE3BFF"/>
    <w:rsid w:val="00AE4259"/>
    <w:rsid w:val="00AE771E"/>
    <w:rsid w:val="00AE7AE4"/>
    <w:rsid w:val="00AF169F"/>
    <w:rsid w:val="00AF2D82"/>
    <w:rsid w:val="00AF2E6C"/>
    <w:rsid w:val="00AF3365"/>
    <w:rsid w:val="00AF41F3"/>
    <w:rsid w:val="00AF4585"/>
    <w:rsid w:val="00AF6F39"/>
    <w:rsid w:val="00AF7F3D"/>
    <w:rsid w:val="00B02732"/>
    <w:rsid w:val="00B031E5"/>
    <w:rsid w:val="00B03714"/>
    <w:rsid w:val="00B05F94"/>
    <w:rsid w:val="00B06AC6"/>
    <w:rsid w:val="00B111A9"/>
    <w:rsid w:val="00B13943"/>
    <w:rsid w:val="00B15EEF"/>
    <w:rsid w:val="00B1769A"/>
    <w:rsid w:val="00B17A3D"/>
    <w:rsid w:val="00B20D70"/>
    <w:rsid w:val="00B22921"/>
    <w:rsid w:val="00B24C08"/>
    <w:rsid w:val="00B24E63"/>
    <w:rsid w:val="00B259DE"/>
    <w:rsid w:val="00B25FEB"/>
    <w:rsid w:val="00B30C58"/>
    <w:rsid w:val="00B406B0"/>
    <w:rsid w:val="00B433C3"/>
    <w:rsid w:val="00B44031"/>
    <w:rsid w:val="00B44D74"/>
    <w:rsid w:val="00B455C6"/>
    <w:rsid w:val="00B464BF"/>
    <w:rsid w:val="00B47B46"/>
    <w:rsid w:val="00B53248"/>
    <w:rsid w:val="00B5415E"/>
    <w:rsid w:val="00B55EB5"/>
    <w:rsid w:val="00B601D7"/>
    <w:rsid w:val="00B6024A"/>
    <w:rsid w:val="00B61B5D"/>
    <w:rsid w:val="00B61B7F"/>
    <w:rsid w:val="00B61CF5"/>
    <w:rsid w:val="00B631DC"/>
    <w:rsid w:val="00B64719"/>
    <w:rsid w:val="00B65E8B"/>
    <w:rsid w:val="00B70252"/>
    <w:rsid w:val="00B7456F"/>
    <w:rsid w:val="00B750D3"/>
    <w:rsid w:val="00B767FD"/>
    <w:rsid w:val="00B7718C"/>
    <w:rsid w:val="00B805E3"/>
    <w:rsid w:val="00B80F69"/>
    <w:rsid w:val="00B82AC4"/>
    <w:rsid w:val="00B83DEF"/>
    <w:rsid w:val="00B84D87"/>
    <w:rsid w:val="00B863B4"/>
    <w:rsid w:val="00B87A0C"/>
    <w:rsid w:val="00B954D8"/>
    <w:rsid w:val="00BA002D"/>
    <w:rsid w:val="00BA0BD8"/>
    <w:rsid w:val="00BA1047"/>
    <w:rsid w:val="00BA133E"/>
    <w:rsid w:val="00BA2874"/>
    <w:rsid w:val="00BA484F"/>
    <w:rsid w:val="00BA647A"/>
    <w:rsid w:val="00BA6FA1"/>
    <w:rsid w:val="00BA72E1"/>
    <w:rsid w:val="00BB1383"/>
    <w:rsid w:val="00BB1C45"/>
    <w:rsid w:val="00BB2884"/>
    <w:rsid w:val="00BB41CB"/>
    <w:rsid w:val="00BB47BF"/>
    <w:rsid w:val="00BB54C8"/>
    <w:rsid w:val="00BB59E6"/>
    <w:rsid w:val="00BB786A"/>
    <w:rsid w:val="00BC1325"/>
    <w:rsid w:val="00BC1614"/>
    <w:rsid w:val="00BC2F63"/>
    <w:rsid w:val="00BC629D"/>
    <w:rsid w:val="00BC65E4"/>
    <w:rsid w:val="00BC6ED1"/>
    <w:rsid w:val="00BD60E7"/>
    <w:rsid w:val="00BE456B"/>
    <w:rsid w:val="00BE6E91"/>
    <w:rsid w:val="00C00936"/>
    <w:rsid w:val="00C0203F"/>
    <w:rsid w:val="00C04CB1"/>
    <w:rsid w:val="00C129F2"/>
    <w:rsid w:val="00C1446F"/>
    <w:rsid w:val="00C15CF4"/>
    <w:rsid w:val="00C16502"/>
    <w:rsid w:val="00C20996"/>
    <w:rsid w:val="00C24164"/>
    <w:rsid w:val="00C24231"/>
    <w:rsid w:val="00C26A30"/>
    <w:rsid w:val="00C26E6B"/>
    <w:rsid w:val="00C2733A"/>
    <w:rsid w:val="00C27392"/>
    <w:rsid w:val="00C27CD4"/>
    <w:rsid w:val="00C3050D"/>
    <w:rsid w:val="00C30EC8"/>
    <w:rsid w:val="00C3152B"/>
    <w:rsid w:val="00C34201"/>
    <w:rsid w:val="00C34FBD"/>
    <w:rsid w:val="00C35A32"/>
    <w:rsid w:val="00C36A4D"/>
    <w:rsid w:val="00C4423C"/>
    <w:rsid w:val="00C4448D"/>
    <w:rsid w:val="00C4482B"/>
    <w:rsid w:val="00C4738B"/>
    <w:rsid w:val="00C47FCB"/>
    <w:rsid w:val="00C5026E"/>
    <w:rsid w:val="00C5065B"/>
    <w:rsid w:val="00C5289A"/>
    <w:rsid w:val="00C54E7C"/>
    <w:rsid w:val="00C5643D"/>
    <w:rsid w:val="00C57561"/>
    <w:rsid w:val="00C60363"/>
    <w:rsid w:val="00C63E95"/>
    <w:rsid w:val="00C650D4"/>
    <w:rsid w:val="00C66709"/>
    <w:rsid w:val="00C672CF"/>
    <w:rsid w:val="00C71CD5"/>
    <w:rsid w:val="00C768D0"/>
    <w:rsid w:val="00C80DE1"/>
    <w:rsid w:val="00C817A1"/>
    <w:rsid w:val="00C910AC"/>
    <w:rsid w:val="00C912C9"/>
    <w:rsid w:val="00C93D7D"/>
    <w:rsid w:val="00C93F9E"/>
    <w:rsid w:val="00C943FA"/>
    <w:rsid w:val="00C96DE4"/>
    <w:rsid w:val="00C978FD"/>
    <w:rsid w:val="00CA0AB9"/>
    <w:rsid w:val="00CA1688"/>
    <w:rsid w:val="00CA1B1F"/>
    <w:rsid w:val="00CA2980"/>
    <w:rsid w:val="00CA62FF"/>
    <w:rsid w:val="00CB1E16"/>
    <w:rsid w:val="00CB3269"/>
    <w:rsid w:val="00CB3A58"/>
    <w:rsid w:val="00CB3A5D"/>
    <w:rsid w:val="00CB3B42"/>
    <w:rsid w:val="00CB56B9"/>
    <w:rsid w:val="00CB7EB1"/>
    <w:rsid w:val="00CC33A3"/>
    <w:rsid w:val="00CC36FC"/>
    <w:rsid w:val="00CC5BA2"/>
    <w:rsid w:val="00CC75DB"/>
    <w:rsid w:val="00CD1082"/>
    <w:rsid w:val="00CD36FC"/>
    <w:rsid w:val="00CD4E1B"/>
    <w:rsid w:val="00CD627A"/>
    <w:rsid w:val="00CD6E7A"/>
    <w:rsid w:val="00CD7596"/>
    <w:rsid w:val="00CE10AB"/>
    <w:rsid w:val="00CE217F"/>
    <w:rsid w:val="00CE4926"/>
    <w:rsid w:val="00CE751F"/>
    <w:rsid w:val="00CF3B9F"/>
    <w:rsid w:val="00CF552F"/>
    <w:rsid w:val="00CF5800"/>
    <w:rsid w:val="00D01377"/>
    <w:rsid w:val="00D013C2"/>
    <w:rsid w:val="00D02095"/>
    <w:rsid w:val="00D02C12"/>
    <w:rsid w:val="00D03381"/>
    <w:rsid w:val="00D06BCD"/>
    <w:rsid w:val="00D06D77"/>
    <w:rsid w:val="00D06DA9"/>
    <w:rsid w:val="00D136A1"/>
    <w:rsid w:val="00D15FCF"/>
    <w:rsid w:val="00D22004"/>
    <w:rsid w:val="00D25C36"/>
    <w:rsid w:val="00D26894"/>
    <w:rsid w:val="00D26B32"/>
    <w:rsid w:val="00D30094"/>
    <w:rsid w:val="00D3682B"/>
    <w:rsid w:val="00D37501"/>
    <w:rsid w:val="00D40494"/>
    <w:rsid w:val="00D40A17"/>
    <w:rsid w:val="00D423A6"/>
    <w:rsid w:val="00D43745"/>
    <w:rsid w:val="00D43D90"/>
    <w:rsid w:val="00D44A41"/>
    <w:rsid w:val="00D44A81"/>
    <w:rsid w:val="00D45EF7"/>
    <w:rsid w:val="00D45FDE"/>
    <w:rsid w:val="00D46852"/>
    <w:rsid w:val="00D50A90"/>
    <w:rsid w:val="00D547E0"/>
    <w:rsid w:val="00D556E6"/>
    <w:rsid w:val="00D60242"/>
    <w:rsid w:val="00D606ED"/>
    <w:rsid w:val="00D61873"/>
    <w:rsid w:val="00D61BB4"/>
    <w:rsid w:val="00D65AAD"/>
    <w:rsid w:val="00D668AB"/>
    <w:rsid w:val="00D730CE"/>
    <w:rsid w:val="00D7455D"/>
    <w:rsid w:val="00D75E6C"/>
    <w:rsid w:val="00D771D6"/>
    <w:rsid w:val="00D80006"/>
    <w:rsid w:val="00D8192E"/>
    <w:rsid w:val="00D86530"/>
    <w:rsid w:val="00D87A09"/>
    <w:rsid w:val="00D92EF8"/>
    <w:rsid w:val="00D93851"/>
    <w:rsid w:val="00D941E8"/>
    <w:rsid w:val="00D95087"/>
    <w:rsid w:val="00D9553E"/>
    <w:rsid w:val="00D975DC"/>
    <w:rsid w:val="00DA57C2"/>
    <w:rsid w:val="00DA6749"/>
    <w:rsid w:val="00DB2424"/>
    <w:rsid w:val="00DB4F86"/>
    <w:rsid w:val="00DB606D"/>
    <w:rsid w:val="00DB6B07"/>
    <w:rsid w:val="00DC1FC0"/>
    <w:rsid w:val="00DC2DFA"/>
    <w:rsid w:val="00DC40C2"/>
    <w:rsid w:val="00DC4962"/>
    <w:rsid w:val="00DC5700"/>
    <w:rsid w:val="00DC6FC9"/>
    <w:rsid w:val="00DC7693"/>
    <w:rsid w:val="00DC7A66"/>
    <w:rsid w:val="00DD0338"/>
    <w:rsid w:val="00DD1C07"/>
    <w:rsid w:val="00DD20F8"/>
    <w:rsid w:val="00DD3E9C"/>
    <w:rsid w:val="00DD4948"/>
    <w:rsid w:val="00DD4F63"/>
    <w:rsid w:val="00DD73F2"/>
    <w:rsid w:val="00DE1BF5"/>
    <w:rsid w:val="00DE2447"/>
    <w:rsid w:val="00DE3AE9"/>
    <w:rsid w:val="00DE4555"/>
    <w:rsid w:val="00DE6408"/>
    <w:rsid w:val="00DF2C68"/>
    <w:rsid w:val="00DF7D99"/>
    <w:rsid w:val="00E015D5"/>
    <w:rsid w:val="00E06047"/>
    <w:rsid w:val="00E064E9"/>
    <w:rsid w:val="00E066D5"/>
    <w:rsid w:val="00E0707F"/>
    <w:rsid w:val="00E1258C"/>
    <w:rsid w:val="00E12609"/>
    <w:rsid w:val="00E14233"/>
    <w:rsid w:val="00E143C5"/>
    <w:rsid w:val="00E14F85"/>
    <w:rsid w:val="00E161C8"/>
    <w:rsid w:val="00E16A08"/>
    <w:rsid w:val="00E17E6B"/>
    <w:rsid w:val="00E2245A"/>
    <w:rsid w:val="00E24CC2"/>
    <w:rsid w:val="00E27482"/>
    <w:rsid w:val="00E27712"/>
    <w:rsid w:val="00E3105C"/>
    <w:rsid w:val="00E334DD"/>
    <w:rsid w:val="00E34319"/>
    <w:rsid w:val="00E346AE"/>
    <w:rsid w:val="00E34863"/>
    <w:rsid w:val="00E353E7"/>
    <w:rsid w:val="00E36DE8"/>
    <w:rsid w:val="00E37F59"/>
    <w:rsid w:val="00E40030"/>
    <w:rsid w:val="00E451FF"/>
    <w:rsid w:val="00E45CFB"/>
    <w:rsid w:val="00E473BE"/>
    <w:rsid w:val="00E47481"/>
    <w:rsid w:val="00E47EBA"/>
    <w:rsid w:val="00E53353"/>
    <w:rsid w:val="00E560E8"/>
    <w:rsid w:val="00E574DC"/>
    <w:rsid w:val="00E57D59"/>
    <w:rsid w:val="00E61974"/>
    <w:rsid w:val="00E62A2B"/>
    <w:rsid w:val="00E67134"/>
    <w:rsid w:val="00E70EB9"/>
    <w:rsid w:val="00E73B2E"/>
    <w:rsid w:val="00E74F6A"/>
    <w:rsid w:val="00E7759E"/>
    <w:rsid w:val="00E80057"/>
    <w:rsid w:val="00E8015D"/>
    <w:rsid w:val="00E822BE"/>
    <w:rsid w:val="00E82396"/>
    <w:rsid w:val="00E82792"/>
    <w:rsid w:val="00E84214"/>
    <w:rsid w:val="00E9038C"/>
    <w:rsid w:val="00E9044A"/>
    <w:rsid w:val="00E92303"/>
    <w:rsid w:val="00E938D3"/>
    <w:rsid w:val="00E95004"/>
    <w:rsid w:val="00E95BD2"/>
    <w:rsid w:val="00EA0A9C"/>
    <w:rsid w:val="00EA13A1"/>
    <w:rsid w:val="00EA14EA"/>
    <w:rsid w:val="00EA1A3A"/>
    <w:rsid w:val="00EA1CB5"/>
    <w:rsid w:val="00EA2926"/>
    <w:rsid w:val="00EA3477"/>
    <w:rsid w:val="00EA3A35"/>
    <w:rsid w:val="00EA50BB"/>
    <w:rsid w:val="00EA5E82"/>
    <w:rsid w:val="00EB000E"/>
    <w:rsid w:val="00EB3D34"/>
    <w:rsid w:val="00EB77DA"/>
    <w:rsid w:val="00EC3B2F"/>
    <w:rsid w:val="00ED0A70"/>
    <w:rsid w:val="00ED22E4"/>
    <w:rsid w:val="00EE0185"/>
    <w:rsid w:val="00EE2505"/>
    <w:rsid w:val="00EE3B28"/>
    <w:rsid w:val="00EE4C54"/>
    <w:rsid w:val="00EE5C5D"/>
    <w:rsid w:val="00EF0E28"/>
    <w:rsid w:val="00EF1CA9"/>
    <w:rsid w:val="00EF6160"/>
    <w:rsid w:val="00EF6A87"/>
    <w:rsid w:val="00F00D78"/>
    <w:rsid w:val="00F03E3F"/>
    <w:rsid w:val="00F04232"/>
    <w:rsid w:val="00F05FBC"/>
    <w:rsid w:val="00F06153"/>
    <w:rsid w:val="00F10D71"/>
    <w:rsid w:val="00F1111F"/>
    <w:rsid w:val="00F11B31"/>
    <w:rsid w:val="00F13D4E"/>
    <w:rsid w:val="00F1537D"/>
    <w:rsid w:val="00F15AE5"/>
    <w:rsid w:val="00F16D62"/>
    <w:rsid w:val="00F175C4"/>
    <w:rsid w:val="00F20CEE"/>
    <w:rsid w:val="00F218D8"/>
    <w:rsid w:val="00F219C6"/>
    <w:rsid w:val="00F231A4"/>
    <w:rsid w:val="00F24537"/>
    <w:rsid w:val="00F25D34"/>
    <w:rsid w:val="00F3279A"/>
    <w:rsid w:val="00F347BF"/>
    <w:rsid w:val="00F363BD"/>
    <w:rsid w:val="00F36C0B"/>
    <w:rsid w:val="00F37F7E"/>
    <w:rsid w:val="00F405D1"/>
    <w:rsid w:val="00F41076"/>
    <w:rsid w:val="00F44231"/>
    <w:rsid w:val="00F4532D"/>
    <w:rsid w:val="00F46FEF"/>
    <w:rsid w:val="00F47B60"/>
    <w:rsid w:val="00F51D05"/>
    <w:rsid w:val="00F5459B"/>
    <w:rsid w:val="00F548C6"/>
    <w:rsid w:val="00F550D6"/>
    <w:rsid w:val="00F556D9"/>
    <w:rsid w:val="00F6049D"/>
    <w:rsid w:val="00F6091A"/>
    <w:rsid w:val="00F6129D"/>
    <w:rsid w:val="00F64633"/>
    <w:rsid w:val="00F64917"/>
    <w:rsid w:val="00F651B4"/>
    <w:rsid w:val="00F66A2B"/>
    <w:rsid w:val="00F71225"/>
    <w:rsid w:val="00F73583"/>
    <w:rsid w:val="00F749A6"/>
    <w:rsid w:val="00F766D2"/>
    <w:rsid w:val="00F80229"/>
    <w:rsid w:val="00F82B6E"/>
    <w:rsid w:val="00F85FF3"/>
    <w:rsid w:val="00F87562"/>
    <w:rsid w:val="00F90961"/>
    <w:rsid w:val="00F91156"/>
    <w:rsid w:val="00F91BBB"/>
    <w:rsid w:val="00F92DA3"/>
    <w:rsid w:val="00F930EC"/>
    <w:rsid w:val="00F95370"/>
    <w:rsid w:val="00F95ECA"/>
    <w:rsid w:val="00F96433"/>
    <w:rsid w:val="00FA4009"/>
    <w:rsid w:val="00FA407F"/>
    <w:rsid w:val="00FA62A3"/>
    <w:rsid w:val="00FB11F8"/>
    <w:rsid w:val="00FB2398"/>
    <w:rsid w:val="00FB25AE"/>
    <w:rsid w:val="00FB4B24"/>
    <w:rsid w:val="00FB4E64"/>
    <w:rsid w:val="00FB7078"/>
    <w:rsid w:val="00FC2430"/>
    <w:rsid w:val="00FC3F60"/>
    <w:rsid w:val="00FC657B"/>
    <w:rsid w:val="00FD160B"/>
    <w:rsid w:val="00FD1BD0"/>
    <w:rsid w:val="00FD2A71"/>
    <w:rsid w:val="00FD5118"/>
    <w:rsid w:val="00FD758F"/>
    <w:rsid w:val="00FD795F"/>
    <w:rsid w:val="00FD7D1B"/>
    <w:rsid w:val="00FE337A"/>
    <w:rsid w:val="00FE3C04"/>
    <w:rsid w:val="00FE6699"/>
    <w:rsid w:val="00FE6962"/>
    <w:rsid w:val="00FF1927"/>
    <w:rsid w:val="00FF4388"/>
    <w:rsid w:val="00FF43E9"/>
    <w:rsid w:val="00FF4CC5"/>
    <w:rsid w:val="00FF64FB"/>
    <w:rsid w:val="01082FF4"/>
    <w:rsid w:val="011D2631"/>
    <w:rsid w:val="013D78AE"/>
    <w:rsid w:val="015E1722"/>
    <w:rsid w:val="018C584F"/>
    <w:rsid w:val="01C704B6"/>
    <w:rsid w:val="01E30DBC"/>
    <w:rsid w:val="01EC1435"/>
    <w:rsid w:val="02187289"/>
    <w:rsid w:val="023E0C63"/>
    <w:rsid w:val="02430B62"/>
    <w:rsid w:val="025002A7"/>
    <w:rsid w:val="0254560F"/>
    <w:rsid w:val="029A22D3"/>
    <w:rsid w:val="02BF36F7"/>
    <w:rsid w:val="02C661F1"/>
    <w:rsid w:val="02DE6DAB"/>
    <w:rsid w:val="032323C8"/>
    <w:rsid w:val="033974B7"/>
    <w:rsid w:val="035B22BD"/>
    <w:rsid w:val="0364379B"/>
    <w:rsid w:val="03655B19"/>
    <w:rsid w:val="036C7375"/>
    <w:rsid w:val="037D00DC"/>
    <w:rsid w:val="038E0800"/>
    <w:rsid w:val="0395389C"/>
    <w:rsid w:val="03960876"/>
    <w:rsid w:val="03962D42"/>
    <w:rsid w:val="03BA2113"/>
    <w:rsid w:val="03D14A40"/>
    <w:rsid w:val="03DA5006"/>
    <w:rsid w:val="03EA2C0B"/>
    <w:rsid w:val="04063F2F"/>
    <w:rsid w:val="04290938"/>
    <w:rsid w:val="04305503"/>
    <w:rsid w:val="044A466A"/>
    <w:rsid w:val="045F082C"/>
    <w:rsid w:val="04906EFE"/>
    <w:rsid w:val="04937506"/>
    <w:rsid w:val="04A3639B"/>
    <w:rsid w:val="04A813D8"/>
    <w:rsid w:val="04BA3105"/>
    <w:rsid w:val="04D669EA"/>
    <w:rsid w:val="04DB4140"/>
    <w:rsid w:val="04EB0C78"/>
    <w:rsid w:val="05230998"/>
    <w:rsid w:val="05253AA9"/>
    <w:rsid w:val="055021C8"/>
    <w:rsid w:val="05732EB9"/>
    <w:rsid w:val="057C5B74"/>
    <w:rsid w:val="05D549E1"/>
    <w:rsid w:val="05F443D7"/>
    <w:rsid w:val="05F64AF0"/>
    <w:rsid w:val="060B60A7"/>
    <w:rsid w:val="0636751C"/>
    <w:rsid w:val="063820BB"/>
    <w:rsid w:val="0640151E"/>
    <w:rsid w:val="06541D9A"/>
    <w:rsid w:val="0661605C"/>
    <w:rsid w:val="066336E6"/>
    <w:rsid w:val="06663424"/>
    <w:rsid w:val="06877D29"/>
    <w:rsid w:val="06B1451E"/>
    <w:rsid w:val="06C91F77"/>
    <w:rsid w:val="07162F45"/>
    <w:rsid w:val="071771FA"/>
    <w:rsid w:val="071775DF"/>
    <w:rsid w:val="07660649"/>
    <w:rsid w:val="07961497"/>
    <w:rsid w:val="079755B5"/>
    <w:rsid w:val="07C40A8D"/>
    <w:rsid w:val="07D06260"/>
    <w:rsid w:val="08116E0B"/>
    <w:rsid w:val="08187347"/>
    <w:rsid w:val="08295F23"/>
    <w:rsid w:val="083F4B4E"/>
    <w:rsid w:val="086250B5"/>
    <w:rsid w:val="086954FC"/>
    <w:rsid w:val="0870480D"/>
    <w:rsid w:val="08972793"/>
    <w:rsid w:val="089B738F"/>
    <w:rsid w:val="08A97B31"/>
    <w:rsid w:val="08AD43C8"/>
    <w:rsid w:val="08DE03B4"/>
    <w:rsid w:val="08E673C6"/>
    <w:rsid w:val="09025D8B"/>
    <w:rsid w:val="0908433B"/>
    <w:rsid w:val="091E1035"/>
    <w:rsid w:val="092F3252"/>
    <w:rsid w:val="093919F2"/>
    <w:rsid w:val="09434E8F"/>
    <w:rsid w:val="094F3E52"/>
    <w:rsid w:val="09812678"/>
    <w:rsid w:val="09821588"/>
    <w:rsid w:val="09A9476A"/>
    <w:rsid w:val="09AF5A50"/>
    <w:rsid w:val="09EA0588"/>
    <w:rsid w:val="09EC2C7C"/>
    <w:rsid w:val="0A4C500A"/>
    <w:rsid w:val="0A5C1E18"/>
    <w:rsid w:val="0A6B1225"/>
    <w:rsid w:val="0A6D3F6D"/>
    <w:rsid w:val="0A7D05B8"/>
    <w:rsid w:val="0A853924"/>
    <w:rsid w:val="0AC82FBA"/>
    <w:rsid w:val="0ACD67C9"/>
    <w:rsid w:val="0AD510EA"/>
    <w:rsid w:val="0AED1864"/>
    <w:rsid w:val="0AED1A28"/>
    <w:rsid w:val="0AEF0648"/>
    <w:rsid w:val="0B371410"/>
    <w:rsid w:val="0B544093"/>
    <w:rsid w:val="0B5674C9"/>
    <w:rsid w:val="0BBC6DB3"/>
    <w:rsid w:val="0BF73319"/>
    <w:rsid w:val="0C017E48"/>
    <w:rsid w:val="0C296D53"/>
    <w:rsid w:val="0C31192D"/>
    <w:rsid w:val="0C54544A"/>
    <w:rsid w:val="0C551DD2"/>
    <w:rsid w:val="0C6E1355"/>
    <w:rsid w:val="0C7B0766"/>
    <w:rsid w:val="0C974433"/>
    <w:rsid w:val="0CBA2AA7"/>
    <w:rsid w:val="0CC168B3"/>
    <w:rsid w:val="0CC22189"/>
    <w:rsid w:val="0D0121A6"/>
    <w:rsid w:val="0D1E1C6A"/>
    <w:rsid w:val="0D28009D"/>
    <w:rsid w:val="0D2B774E"/>
    <w:rsid w:val="0D3F6F38"/>
    <w:rsid w:val="0D4568B0"/>
    <w:rsid w:val="0D5547FA"/>
    <w:rsid w:val="0D7D2A1C"/>
    <w:rsid w:val="0DBB47A1"/>
    <w:rsid w:val="0DEE1402"/>
    <w:rsid w:val="0DF94583"/>
    <w:rsid w:val="0E4D68EE"/>
    <w:rsid w:val="0E4F0974"/>
    <w:rsid w:val="0E5912E9"/>
    <w:rsid w:val="0E7008FE"/>
    <w:rsid w:val="0E885B22"/>
    <w:rsid w:val="0EC31DEB"/>
    <w:rsid w:val="0EC4530F"/>
    <w:rsid w:val="0ECD6BB5"/>
    <w:rsid w:val="0EEA0F80"/>
    <w:rsid w:val="0F201A76"/>
    <w:rsid w:val="0F4428F9"/>
    <w:rsid w:val="0F512CEF"/>
    <w:rsid w:val="0F5D09A9"/>
    <w:rsid w:val="0F6358F1"/>
    <w:rsid w:val="0F8D1ABF"/>
    <w:rsid w:val="0F9A7202"/>
    <w:rsid w:val="0FB90BF1"/>
    <w:rsid w:val="0FD7059C"/>
    <w:rsid w:val="0FEF16AD"/>
    <w:rsid w:val="10061476"/>
    <w:rsid w:val="10211B54"/>
    <w:rsid w:val="10246527"/>
    <w:rsid w:val="10282EF8"/>
    <w:rsid w:val="102B1FC3"/>
    <w:rsid w:val="102E56A6"/>
    <w:rsid w:val="10423248"/>
    <w:rsid w:val="10623EAE"/>
    <w:rsid w:val="106D0F93"/>
    <w:rsid w:val="107E471B"/>
    <w:rsid w:val="107E5238"/>
    <w:rsid w:val="10A0164D"/>
    <w:rsid w:val="10A268D6"/>
    <w:rsid w:val="10AD68CF"/>
    <w:rsid w:val="10B61BEC"/>
    <w:rsid w:val="10C46BB9"/>
    <w:rsid w:val="10CA10C0"/>
    <w:rsid w:val="10EE3813"/>
    <w:rsid w:val="110C0EDB"/>
    <w:rsid w:val="11150AAA"/>
    <w:rsid w:val="11347BE5"/>
    <w:rsid w:val="113C0852"/>
    <w:rsid w:val="115F4DA1"/>
    <w:rsid w:val="11842BEF"/>
    <w:rsid w:val="119D406D"/>
    <w:rsid w:val="11AD367D"/>
    <w:rsid w:val="11B42B6E"/>
    <w:rsid w:val="11BD2231"/>
    <w:rsid w:val="11D40B15"/>
    <w:rsid w:val="11FB301E"/>
    <w:rsid w:val="12090222"/>
    <w:rsid w:val="12405039"/>
    <w:rsid w:val="128F398D"/>
    <w:rsid w:val="12B64457"/>
    <w:rsid w:val="12BE741D"/>
    <w:rsid w:val="12D11492"/>
    <w:rsid w:val="12D1495C"/>
    <w:rsid w:val="1312296F"/>
    <w:rsid w:val="1313698A"/>
    <w:rsid w:val="133C11D9"/>
    <w:rsid w:val="13AC7EEE"/>
    <w:rsid w:val="13AF49BA"/>
    <w:rsid w:val="13BE248D"/>
    <w:rsid w:val="13C45E46"/>
    <w:rsid w:val="13FF0C71"/>
    <w:rsid w:val="142963CE"/>
    <w:rsid w:val="14556ACE"/>
    <w:rsid w:val="145833F7"/>
    <w:rsid w:val="14713F37"/>
    <w:rsid w:val="14772067"/>
    <w:rsid w:val="147E0161"/>
    <w:rsid w:val="14DF0417"/>
    <w:rsid w:val="14E6494A"/>
    <w:rsid w:val="15092B92"/>
    <w:rsid w:val="150E4C2F"/>
    <w:rsid w:val="15306671"/>
    <w:rsid w:val="15357F6D"/>
    <w:rsid w:val="154720A1"/>
    <w:rsid w:val="15482205"/>
    <w:rsid w:val="15775CA6"/>
    <w:rsid w:val="15B60D2C"/>
    <w:rsid w:val="15B761FB"/>
    <w:rsid w:val="15CD5A20"/>
    <w:rsid w:val="15D30B25"/>
    <w:rsid w:val="15D7434C"/>
    <w:rsid w:val="15F327AD"/>
    <w:rsid w:val="16155A36"/>
    <w:rsid w:val="161D1F05"/>
    <w:rsid w:val="165D6C3E"/>
    <w:rsid w:val="165F6DF8"/>
    <w:rsid w:val="1663028F"/>
    <w:rsid w:val="16795962"/>
    <w:rsid w:val="167E32FB"/>
    <w:rsid w:val="169448D0"/>
    <w:rsid w:val="1695469B"/>
    <w:rsid w:val="16A04ADF"/>
    <w:rsid w:val="16A9293E"/>
    <w:rsid w:val="16CB4E44"/>
    <w:rsid w:val="16DE0F21"/>
    <w:rsid w:val="16EF3C74"/>
    <w:rsid w:val="170A76B1"/>
    <w:rsid w:val="17173725"/>
    <w:rsid w:val="17232CD0"/>
    <w:rsid w:val="172B4DF9"/>
    <w:rsid w:val="17364AC8"/>
    <w:rsid w:val="17454769"/>
    <w:rsid w:val="17474F83"/>
    <w:rsid w:val="17590A02"/>
    <w:rsid w:val="17597A90"/>
    <w:rsid w:val="17645FF3"/>
    <w:rsid w:val="176F2D58"/>
    <w:rsid w:val="17847B07"/>
    <w:rsid w:val="17B415C2"/>
    <w:rsid w:val="17B67F65"/>
    <w:rsid w:val="17D91438"/>
    <w:rsid w:val="17E07E96"/>
    <w:rsid w:val="18124FF4"/>
    <w:rsid w:val="181E152F"/>
    <w:rsid w:val="184F5E33"/>
    <w:rsid w:val="188426C3"/>
    <w:rsid w:val="18A7202B"/>
    <w:rsid w:val="18A749FB"/>
    <w:rsid w:val="18CB6813"/>
    <w:rsid w:val="18F419B4"/>
    <w:rsid w:val="18FD192E"/>
    <w:rsid w:val="192F41F7"/>
    <w:rsid w:val="19423EE7"/>
    <w:rsid w:val="197375EB"/>
    <w:rsid w:val="198232AB"/>
    <w:rsid w:val="19971B0F"/>
    <w:rsid w:val="19996B13"/>
    <w:rsid w:val="19A71949"/>
    <w:rsid w:val="19A92833"/>
    <w:rsid w:val="1A0D2578"/>
    <w:rsid w:val="1A2A22DB"/>
    <w:rsid w:val="1A2C1913"/>
    <w:rsid w:val="1A2F6529"/>
    <w:rsid w:val="1A5535D0"/>
    <w:rsid w:val="1A5F6EA8"/>
    <w:rsid w:val="1A6431DD"/>
    <w:rsid w:val="1A6F0BAA"/>
    <w:rsid w:val="1AAF5AAC"/>
    <w:rsid w:val="1AC91543"/>
    <w:rsid w:val="1ADA0A8F"/>
    <w:rsid w:val="1ADF033B"/>
    <w:rsid w:val="1B112B01"/>
    <w:rsid w:val="1B2D2FDA"/>
    <w:rsid w:val="1B2E24C6"/>
    <w:rsid w:val="1B387E0A"/>
    <w:rsid w:val="1B4140DC"/>
    <w:rsid w:val="1B644304"/>
    <w:rsid w:val="1B6620A5"/>
    <w:rsid w:val="1B6E0401"/>
    <w:rsid w:val="1B9B39F9"/>
    <w:rsid w:val="1BBD2084"/>
    <w:rsid w:val="1BDA2C62"/>
    <w:rsid w:val="1C060E61"/>
    <w:rsid w:val="1C1A1E51"/>
    <w:rsid w:val="1C516251"/>
    <w:rsid w:val="1C582E19"/>
    <w:rsid w:val="1CB76E2B"/>
    <w:rsid w:val="1CBD3B5C"/>
    <w:rsid w:val="1CD01BC4"/>
    <w:rsid w:val="1CD42B72"/>
    <w:rsid w:val="1CFB4858"/>
    <w:rsid w:val="1D022C5C"/>
    <w:rsid w:val="1D4C5836"/>
    <w:rsid w:val="1D604430"/>
    <w:rsid w:val="1D6E5460"/>
    <w:rsid w:val="1D9E2625"/>
    <w:rsid w:val="1DB27FC4"/>
    <w:rsid w:val="1DDD3F28"/>
    <w:rsid w:val="1DE6382B"/>
    <w:rsid w:val="1DEB15E4"/>
    <w:rsid w:val="1E070BE4"/>
    <w:rsid w:val="1E29750B"/>
    <w:rsid w:val="1E2C476C"/>
    <w:rsid w:val="1E4B3303"/>
    <w:rsid w:val="1E5A06C8"/>
    <w:rsid w:val="1E5F2E75"/>
    <w:rsid w:val="1E6C6F1D"/>
    <w:rsid w:val="1E7237DF"/>
    <w:rsid w:val="1ED85556"/>
    <w:rsid w:val="1F1B3839"/>
    <w:rsid w:val="1F3A1EE2"/>
    <w:rsid w:val="1F3A20D4"/>
    <w:rsid w:val="1F4924CF"/>
    <w:rsid w:val="1F4D172F"/>
    <w:rsid w:val="1F4E5DE6"/>
    <w:rsid w:val="1F65445A"/>
    <w:rsid w:val="202853B0"/>
    <w:rsid w:val="20323DBE"/>
    <w:rsid w:val="20843614"/>
    <w:rsid w:val="2089675B"/>
    <w:rsid w:val="20DC221B"/>
    <w:rsid w:val="20F9745B"/>
    <w:rsid w:val="212F35B1"/>
    <w:rsid w:val="21744ACC"/>
    <w:rsid w:val="2181771F"/>
    <w:rsid w:val="21AA5562"/>
    <w:rsid w:val="21AC639B"/>
    <w:rsid w:val="21CE528B"/>
    <w:rsid w:val="21D4710C"/>
    <w:rsid w:val="21DB03E1"/>
    <w:rsid w:val="21E16EDD"/>
    <w:rsid w:val="222F0AD5"/>
    <w:rsid w:val="223C79CB"/>
    <w:rsid w:val="22470E92"/>
    <w:rsid w:val="224E4AB0"/>
    <w:rsid w:val="225B1177"/>
    <w:rsid w:val="225B5C67"/>
    <w:rsid w:val="22636B53"/>
    <w:rsid w:val="226829FB"/>
    <w:rsid w:val="22760552"/>
    <w:rsid w:val="228D294F"/>
    <w:rsid w:val="229175BE"/>
    <w:rsid w:val="22B8779A"/>
    <w:rsid w:val="22C74C0C"/>
    <w:rsid w:val="22D42A35"/>
    <w:rsid w:val="22DA56C1"/>
    <w:rsid w:val="23221B16"/>
    <w:rsid w:val="23383E6F"/>
    <w:rsid w:val="23541EA4"/>
    <w:rsid w:val="23A330A0"/>
    <w:rsid w:val="23B2751A"/>
    <w:rsid w:val="23B64A67"/>
    <w:rsid w:val="23C4221C"/>
    <w:rsid w:val="23F278D4"/>
    <w:rsid w:val="24315B04"/>
    <w:rsid w:val="245F3B78"/>
    <w:rsid w:val="24606E0D"/>
    <w:rsid w:val="24792CCE"/>
    <w:rsid w:val="24890201"/>
    <w:rsid w:val="249D5760"/>
    <w:rsid w:val="24B527C6"/>
    <w:rsid w:val="24B57FA3"/>
    <w:rsid w:val="24BF3B82"/>
    <w:rsid w:val="24C6382B"/>
    <w:rsid w:val="24E219E1"/>
    <w:rsid w:val="25060840"/>
    <w:rsid w:val="251E04D3"/>
    <w:rsid w:val="252821D5"/>
    <w:rsid w:val="25333E1F"/>
    <w:rsid w:val="253B0144"/>
    <w:rsid w:val="25661B14"/>
    <w:rsid w:val="25B015DB"/>
    <w:rsid w:val="25BF7AC9"/>
    <w:rsid w:val="25C46AEF"/>
    <w:rsid w:val="25E40B4D"/>
    <w:rsid w:val="260F534C"/>
    <w:rsid w:val="265A4DB1"/>
    <w:rsid w:val="265E24CF"/>
    <w:rsid w:val="2662556B"/>
    <w:rsid w:val="2667267D"/>
    <w:rsid w:val="26AA4254"/>
    <w:rsid w:val="26AD6122"/>
    <w:rsid w:val="26BB4BAD"/>
    <w:rsid w:val="26CE09A9"/>
    <w:rsid w:val="26D4695E"/>
    <w:rsid w:val="26F751CC"/>
    <w:rsid w:val="27240FCC"/>
    <w:rsid w:val="27424284"/>
    <w:rsid w:val="276C15FB"/>
    <w:rsid w:val="2780586B"/>
    <w:rsid w:val="27846701"/>
    <w:rsid w:val="278F6741"/>
    <w:rsid w:val="27973C2A"/>
    <w:rsid w:val="27A77BB6"/>
    <w:rsid w:val="27BD71A6"/>
    <w:rsid w:val="27CA5392"/>
    <w:rsid w:val="27FA77FC"/>
    <w:rsid w:val="281F32BE"/>
    <w:rsid w:val="28281824"/>
    <w:rsid w:val="284B48C7"/>
    <w:rsid w:val="28501C2C"/>
    <w:rsid w:val="285F6993"/>
    <w:rsid w:val="28651BDA"/>
    <w:rsid w:val="28674BD0"/>
    <w:rsid w:val="28942643"/>
    <w:rsid w:val="28B34303"/>
    <w:rsid w:val="28CB3914"/>
    <w:rsid w:val="28CF4716"/>
    <w:rsid w:val="28E31AAF"/>
    <w:rsid w:val="290B2A89"/>
    <w:rsid w:val="292B7B8D"/>
    <w:rsid w:val="29320EF5"/>
    <w:rsid w:val="29680183"/>
    <w:rsid w:val="29BB4AED"/>
    <w:rsid w:val="29CE5FF8"/>
    <w:rsid w:val="29DB21C4"/>
    <w:rsid w:val="29EF1B6B"/>
    <w:rsid w:val="29F17498"/>
    <w:rsid w:val="29F43054"/>
    <w:rsid w:val="29F7057A"/>
    <w:rsid w:val="29FE3027"/>
    <w:rsid w:val="2A174B82"/>
    <w:rsid w:val="2A183CFF"/>
    <w:rsid w:val="2A2E31C0"/>
    <w:rsid w:val="2A4D2FAA"/>
    <w:rsid w:val="2A51546D"/>
    <w:rsid w:val="2A5D462C"/>
    <w:rsid w:val="2A71020D"/>
    <w:rsid w:val="2A733460"/>
    <w:rsid w:val="2A795748"/>
    <w:rsid w:val="2A7D3007"/>
    <w:rsid w:val="2A7E2F13"/>
    <w:rsid w:val="2A8D3494"/>
    <w:rsid w:val="2ACD182D"/>
    <w:rsid w:val="2AD70595"/>
    <w:rsid w:val="2ADB5A95"/>
    <w:rsid w:val="2AFA4031"/>
    <w:rsid w:val="2AFC409E"/>
    <w:rsid w:val="2B017E8A"/>
    <w:rsid w:val="2B221AF5"/>
    <w:rsid w:val="2B247962"/>
    <w:rsid w:val="2B330FB7"/>
    <w:rsid w:val="2B3B3AA1"/>
    <w:rsid w:val="2B636BA0"/>
    <w:rsid w:val="2B7A7449"/>
    <w:rsid w:val="2BA253EC"/>
    <w:rsid w:val="2BA32F64"/>
    <w:rsid w:val="2BC0359E"/>
    <w:rsid w:val="2BC62CA6"/>
    <w:rsid w:val="2BD22343"/>
    <w:rsid w:val="2BD764AD"/>
    <w:rsid w:val="2BE8547E"/>
    <w:rsid w:val="2BEB4F38"/>
    <w:rsid w:val="2C1D1EC0"/>
    <w:rsid w:val="2C3B0BC4"/>
    <w:rsid w:val="2C647F29"/>
    <w:rsid w:val="2C6A2AAC"/>
    <w:rsid w:val="2C7646C0"/>
    <w:rsid w:val="2C890D28"/>
    <w:rsid w:val="2CA46E06"/>
    <w:rsid w:val="2CB20C46"/>
    <w:rsid w:val="2CB42F1C"/>
    <w:rsid w:val="2CBF2126"/>
    <w:rsid w:val="2CC60DD5"/>
    <w:rsid w:val="2CF06795"/>
    <w:rsid w:val="2CF24963"/>
    <w:rsid w:val="2CF467B6"/>
    <w:rsid w:val="2CFE10FB"/>
    <w:rsid w:val="2D095639"/>
    <w:rsid w:val="2D4B648F"/>
    <w:rsid w:val="2D570D41"/>
    <w:rsid w:val="2D640C36"/>
    <w:rsid w:val="2D7934C8"/>
    <w:rsid w:val="2D7B5E5D"/>
    <w:rsid w:val="2DA84BC1"/>
    <w:rsid w:val="2DD12606"/>
    <w:rsid w:val="2DE04F51"/>
    <w:rsid w:val="2DE13E64"/>
    <w:rsid w:val="2E0C3D03"/>
    <w:rsid w:val="2E7940FE"/>
    <w:rsid w:val="2EA15724"/>
    <w:rsid w:val="2EBA3098"/>
    <w:rsid w:val="2EC92BE4"/>
    <w:rsid w:val="2ED850B7"/>
    <w:rsid w:val="2EF40431"/>
    <w:rsid w:val="2F0C1A9C"/>
    <w:rsid w:val="2F0D1545"/>
    <w:rsid w:val="2F2A09C6"/>
    <w:rsid w:val="2F556505"/>
    <w:rsid w:val="2F620004"/>
    <w:rsid w:val="2FB43A3B"/>
    <w:rsid w:val="2FBC7249"/>
    <w:rsid w:val="2FD1289D"/>
    <w:rsid w:val="2FE85F07"/>
    <w:rsid w:val="2FED561D"/>
    <w:rsid w:val="2FF62838"/>
    <w:rsid w:val="30054FB4"/>
    <w:rsid w:val="30147D45"/>
    <w:rsid w:val="30153AD8"/>
    <w:rsid w:val="302419A5"/>
    <w:rsid w:val="30243A92"/>
    <w:rsid w:val="303477E9"/>
    <w:rsid w:val="305C14AF"/>
    <w:rsid w:val="308459AC"/>
    <w:rsid w:val="309B6B0A"/>
    <w:rsid w:val="30A077C2"/>
    <w:rsid w:val="30CD0072"/>
    <w:rsid w:val="30DC37DC"/>
    <w:rsid w:val="3130721D"/>
    <w:rsid w:val="313E0337"/>
    <w:rsid w:val="31443395"/>
    <w:rsid w:val="315D6BC1"/>
    <w:rsid w:val="316D3D7B"/>
    <w:rsid w:val="317802B3"/>
    <w:rsid w:val="317F7EE3"/>
    <w:rsid w:val="318C7FA5"/>
    <w:rsid w:val="31987893"/>
    <w:rsid w:val="31A36FBE"/>
    <w:rsid w:val="31A809BD"/>
    <w:rsid w:val="31CA386D"/>
    <w:rsid w:val="31D16C8F"/>
    <w:rsid w:val="31FE49FA"/>
    <w:rsid w:val="32024424"/>
    <w:rsid w:val="320977D3"/>
    <w:rsid w:val="32650125"/>
    <w:rsid w:val="327274BB"/>
    <w:rsid w:val="32977A8D"/>
    <w:rsid w:val="329C5859"/>
    <w:rsid w:val="32A16D5B"/>
    <w:rsid w:val="32A903E7"/>
    <w:rsid w:val="32AB5739"/>
    <w:rsid w:val="32B462BD"/>
    <w:rsid w:val="32F9025C"/>
    <w:rsid w:val="32FE0EFE"/>
    <w:rsid w:val="333661D7"/>
    <w:rsid w:val="335247BD"/>
    <w:rsid w:val="335D51F0"/>
    <w:rsid w:val="336A0602"/>
    <w:rsid w:val="339A71BA"/>
    <w:rsid w:val="33AA0337"/>
    <w:rsid w:val="33C90469"/>
    <w:rsid w:val="33D06B5F"/>
    <w:rsid w:val="33EA5551"/>
    <w:rsid w:val="33EA6FCB"/>
    <w:rsid w:val="342D014D"/>
    <w:rsid w:val="34712005"/>
    <w:rsid w:val="34834AA0"/>
    <w:rsid w:val="34860E65"/>
    <w:rsid w:val="348E5DE2"/>
    <w:rsid w:val="34AB4543"/>
    <w:rsid w:val="34B66338"/>
    <w:rsid w:val="34B73B73"/>
    <w:rsid w:val="34C5564C"/>
    <w:rsid w:val="34F078B2"/>
    <w:rsid w:val="35117FD7"/>
    <w:rsid w:val="35186A07"/>
    <w:rsid w:val="351C62A8"/>
    <w:rsid w:val="3538799A"/>
    <w:rsid w:val="35654B37"/>
    <w:rsid w:val="356A337B"/>
    <w:rsid w:val="3574003F"/>
    <w:rsid w:val="35787531"/>
    <w:rsid w:val="357B4A16"/>
    <w:rsid w:val="357B67A9"/>
    <w:rsid w:val="3591177D"/>
    <w:rsid w:val="359751C8"/>
    <w:rsid w:val="35AD1B50"/>
    <w:rsid w:val="35BB02FB"/>
    <w:rsid w:val="35CA353D"/>
    <w:rsid w:val="35DB4CEA"/>
    <w:rsid w:val="36056E1F"/>
    <w:rsid w:val="36171534"/>
    <w:rsid w:val="362A6075"/>
    <w:rsid w:val="36407FF6"/>
    <w:rsid w:val="365F42EF"/>
    <w:rsid w:val="36BB2FE9"/>
    <w:rsid w:val="36DA1D3A"/>
    <w:rsid w:val="36E92D46"/>
    <w:rsid w:val="36F65CA1"/>
    <w:rsid w:val="36F73B9A"/>
    <w:rsid w:val="371D28CC"/>
    <w:rsid w:val="375F65E3"/>
    <w:rsid w:val="37654AEA"/>
    <w:rsid w:val="37691B50"/>
    <w:rsid w:val="377918CF"/>
    <w:rsid w:val="378B09FD"/>
    <w:rsid w:val="378D614B"/>
    <w:rsid w:val="37A9744E"/>
    <w:rsid w:val="37B623C6"/>
    <w:rsid w:val="37C3094B"/>
    <w:rsid w:val="37C73816"/>
    <w:rsid w:val="37CC5D07"/>
    <w:rsid w:val="38320F57"/>
    <w:rsid w:val="383E468A"/>
    <w:rsid w:val="384369FE"/>
    <w:rsid w:val="38490BCB"/>
    <w:rsid w:val="38510E95"/>
    <w:rsid w:val="385F1127"/>
    <w:rsid w:val="38625165"/>
    <w:rsid w:val="387C23FA"/>
    <w:rsid w:val="38813ABD"/>
    <w:rsid w:val="388947B8"/>
    <w:rsid w:val="38AD2F93"/>
    <w:rsid w:val="38E1662F"/>
    <w:rsid w:val="38EA6482"/>
    <w:rsid w:val="38EB1FC8"/>
    <w:rsid w:val="38FF6AB5"/>
    <w:rsid w:val="39072A17"/>
    <w:rsid w:val="390909BF"/>
    <w:rsid w:val="3942578B"/>
    <w:rsid w:val="394F2844"/>
    <w:rsid w:val="39894154"/>
    <w:rsid w:val="398F5E11"/>
    <w:rsid w:val="39AB0DA3"/>
    <w:rsid w:val="39B61B85"/>
    <w:rsid w:val="39E721BA"/>
    <w:rsid w:val="39FB6E2E"/>
    <w:rsid w:val="3A053F2B"/>
    <w:rsid w:val="3A0F18AF"/>
    <w:rsid w:val="3A2A06AE"/>
    <w:rsid w:val="3A6949EF"/>
    <w:rsid w:val="3A6D7E9D"/>
    <w:rsid w:val="3A8B2044"/>
    <w:rsid w:val="3AB45EEE"/>
    <w:rsid w:val="3ABA253F"/>
    <w:rsid w:val="3AC50396"/>
    <w:rsid w:val="3AD957A7"/>
    <w:rsid w:val="3AF25F7E"/>
    <w:rsid w:val="3AFD2E84"/>
    <w:rsid w:val="3B034069"/>
    <w:rsid w:val="3B04740F"/>
    <w:rsid w:val="3B0962D0"/>
    <w:rsid w:val="3B3F3778"/>
    <w:rsid w:val="3B572A50"/>
    <w:rsid w:val="3B581AA3"/>
    <w:rsid w:val="3B5E1C4F"/>
    <w:rsid w:val="3B602640"/>
    <w:rsid w:val="3B793576"/>
    <w:rsid w:val="3B7B5EF3"/>
    <w:rsid w:val="3B945D6D"/>
    <w:rsid w:val="3BA82C66"/>
    <w:rsid w:val="3BDA743A"/>
    <w:rsid w:val="3BE21E4D"/>
    <w:rsid w:val="3BE80F5F"/>
    <w:rsid w:val="3BEC47FA"/>
    <w:rsid w:val="3BF6728D"/>
    <w:rsid w:val="3C195F32"/>
    <w:rsid w:val="3C1C1B0B"/>
    <w:rsid w:val="3C3018D0"/>
    <w:rsid w:val="3C317883"/>
    <w:rsid w:val="3C385E14"/>
    <w:rsid w:val="3C4D0069"/>
    <w:rsid w:val="3C6567D6"/>
    <w:rsid w:val="3C6E58CE"/>
    <w:rsid w:val="3C8D1652"/>
    <w:rsid w:val="3C961B4A"/>
    <w:rsid w:val="3CA5239A"/>
    <w:rsid w:val="3CAC09E0"/>
    <w:rsid w:val="3CB20FFA"/>
    <w:rsid w:val="3CBD65FF"/>
    <w:rsid w:val="3CCB4400"/>
    <w:rsid w:val="3CF36277"/>
    <w:rsid w:val="3D5036D6"/>
    <w:rsid w:val="3D5F1E59"/>
    <w:rsid w:val="3D6218FF"/>
    <w:rsid w:val="3D6A631C"/>
    <w:rsid w:val="3D807F89"/>
    <w:rsid w:val="3DCA57AA"/>
    <w:rsid w:val="3E101FAB"/>
    <w:rsid w:val="3E195AE6"/>
    <w:rsid w:val="3E1969FE"/>
    <w:rsid w:val="3E666C9C"/>
    <w:rsid w:val="3E736C5C"/>
    <w:rsid w:val="3E7A7125"/>
    <w:rsid w:val="3EEE4729"/>
    <w:rsid w:val="3EF21292"/>
    <w:rsid w:val="3F2B2730"/>
    <w:rsid w:val="3F361CDE"/>
    <w:rsid w:val="3F3F0ACE"/>
    <w:rsid w:val="3F6000B3"/>
    <w:rsid w:val="3F7D6F3B"/>
    <w:rsid w:val="3F7F597C"/>
    <w:rsid w:val="3F8D7B91"/>
    <w:rsid w:val="3FCD73A7"/>
    <w:rsid w:val="3FCE1481"/>
    <w:rsid w:val="3FD641CB"/>
    <w:rsid w:val="3FD950C4"/>
    <w:rsid w:val="3FF4199B"/>
    <w:rsid w:val="3FF7685E"/>
    <w:rsid w:val="3FFB1CD1"/>
    <w:rsid w:val="4033707D"/>
    <w:rsid w:val="40463876"/>
    <w:rsid w:val="404F68B8"/>
    <w:rsid w:val="405319D2"/>
    <w:rsid w:val="405E7390"/>
    <w:rsid w:val="40941333"/>
    <w:rsid w:val="40BD5A81"/>
    <w:rsid w:val="40CD16E3"/>
    <w:rsid w:val="40F8294C"/>
    <w:rsid w:val="41244C5D"/>
    <w:rsid w:val="41511CB8"/>
    <w:rsid w:val="416004CE"/>
    <w:rsid w:val="417C37C8"/>
    <w:rsid w:val="419D109E"/>
    <w:rsid w:val="41A75EBF"/>
    <w:rsid w:val="41B2304A"/>
    <w:rsid w:val="41C77A60"/>
    <w:rsid w:val="420450D4"/>
    <w:rsid w:val="421E525F"/>
    <w:rsid w:val="4222712F"/>
    <w:rsid w:val="42282014"/>
    <w:rsid w:val="425D2B15"/>
    <w:rsid w:val="426E0D51"/>
    <w:rsid w:val="428A0689"/>
    <w:rsid w:val="42AD19F6"/>
    <w:rsid w:val="42B717D8"/>
    <w:rsid w:val="42BC3BA1"/>
    <w:rsid w:val="42CF605E"/>
    <w:rsid w:val="42DA27FA"/>
    <w:rsid w:val="42DE7494"/>
    <w:rsid w:val="431C6203"/>
    <w:rsid w:val="431F6280"/>
    <w:rsid w:val="43560ABC"/>
    <w:rsid w:val="43956B32"/>
    <w:rsid w:val="43B25D82"/>
    <w:rsid w:val="43B66C17"/>
    <w:rsid w:val="43C51CEE"/>
    <w:rsid w:val="43C64BF6"/>
    <w:rsid w:val="43D435D4"/>
    <w:rsid w:val="43E0243C"/>
    <w:rsid w:val="43E423FE"/>
    <w:rsid w:val="43F7339D"/>
    <w:rsid w:val="441078C5"/>
    <w:rsid w:val="44715439"/>
    <w:rsid w:val="449029FA"/>
    <w:rsid w:val="449D7B52"/>
    <w:rsid w:val="44A16353"/>
    <w:rsid w:val="44CD52C4"/>
    <w:rsid w:val="45281079"/>
    <w:rsid w:val="45356D4B"/>
    <w:rsid w:val="45394F22"/>
    <w:rsid w:val="456C473F"/>
    <w:rsid w:val="459B1535"/>
    <w:rsid w:val="46100736"/>
    <w:rsid w:val="46120437"/>
    <w:rsid w:val="46232613"/>
    <w:rsid w:val="4657175E"/>
    <w:rsid w:val="46591E4B"/>
    <w:rsid w:val="46953DA7"/>
    <w:rsid w:val="46972709"/>
    <w:rsid w:val="469F0FBC"/>
    <w:rsid w:val="46B324F2"/>
    <w:rsid w:val="46BF49EC"/>
    <w:rsid w:val="46CC6CB5"/>
    <w:rsid w:val="46D02592"/>
    <w:rsid w:val="46F5684B"/>
    <w:rsid w:val="46F73288"/>
    <w:rsid w:val="47015632"/>
    <w:rsid w:val="470B5BE0"/>
    <w:rsid w:val="474C3017"/>
    <w:rsid w:val="476E1F89"/>
    <w:rsid w:val="47724957"/>
    <w:rsid w:val="47810746"/>
    <w:rsid w:val="478B26D4"/>
    <w:rsid w:val="47967C9E"/>
    <w:rsid w:val="47986F5F"/>
    <w:rsid w:val="47990F3F"/>
    <w:rsid w:val="47B03278"/>
    <w:rsid w:val="48047CF8"/>
    <w:rsid w:val="480F17A7"/>
    <w:rsid w:val="4822305F"/>
    <w:rsid w:val="48354527"/>
    <w:rsid w:val="48582C37"/>
    <w:rsid w:val="485D27A4"/>
    <w:rsid w:val="4885098D"/>
    <w:rsid w:val="48887236"/>
    <w:rsid w:val="48AB34FC"/>
    <w:rsid w:val="48AB4EEA"/>
    <w:rsid w:val="48AF4FF5"/>
    <w:rsid w:val="48B56385"/>
    <w:rsid w:val="48E61E56"/>
    <w:rsid w:val="493D2D12"/>
    <w:rsid w:val="494E0CF3"/>
    <w:rsid w:val="496F4A9A"/>
    <w:rsid w:val="49766130"/>
    <w:rsid w:val="499658FF"/>
    <w:rsid w:val="49A30151"/>
    <w:rsid w:val="49A60F84"/>
    <w:rsid w:val="49A64914"/>
    <w:rsid w:val="49B00A25"/>
    <w:rsid w:val="49C76687"/>
    <w:rsid w:val="49D85CE4"/>
    <w:rsid w:val="49E302B2"/>
    <w:rsid w:val="49F555CC"/>
    <w:rsid w:val="4A2633A3"/>
    <w:rsid w:val="4A3A15A1"/>
    <w:rsid w:val="4A3A2CF8"/>
    <w:rsid w:val="4A4033BE"/>
    <w:rsid w:val="4A452142"/>
    <w:rsid w:val="4A746984"/>
    <w:rsid w:val="4A750391"/>
    <w:rsid w:val="4A7C2102"/>
    <w:rsid w:val="4A7E24B0"/>
    <w:rsid w:val="4A7F4435"/>
    <w:rsid w:val="4A817959"/>
    <w:rsid w:val="4AB10F54"/>
    <w:rsid w:val="4AB63E81"/>
    <w:rsid w:val="4AD9760B"/>
    <w:rsid w:val="4AEE1655"/>
    <w:rsid w:val="4B1A3E51"/>
    <w:rsid w:val="4B2961C9"/>
    <w:rsid w:val="4B4B54A0"/>
    <w:rsid w:val="4B4C7A76"/>
    <w:rsid w:val="4B6D4FC0"/>
    <w:rsid w:val="4B863364"/>
    <w:rsid w:val="4B9533CF"/>
    <w:rsid w:val="4B9A7D7B"/>
    <w:rsid w:val="4C237BA1"/>
    <w:rsid w:val="4C26593C"/>
    <w:rsid w:val="4C2C0B29"/>
    <w:rsid w:val="4C2C59A8"/>
    <w:rsid w:val="4C5859DA"/>
    <w:rsid w:val="4C68234A"/>
    <w:rsid w:val="4C7B024C"/>
    <w:rsid w:val="4C963922"/>
    <w:rsid w:val="4CB32670"/>
    <w:rsid w:val="4CEF4BF5"/>
    <w:rsid w:val="4D096C6D"/>
    <w:rsid w:val="4D1A6780"/>
    <w:rsid w:val="4D4545C9"/>
    <w:rsid w:val="4D4A2B68"/>
    <w:rsid w:val="4D861D9B"/>
    <w:rsid w:val="4D90360B"/>
    <w:rsid w:val="4DAA2741"/>
    <w:rsid w:val="4DD67C46"/>
    <w:rsid w:val="4DE21075"/>
    <w:rsid w:val="4DE50ED4"/>
    <w:rsid w:val="4DE678C1"/>
    <w:rsid w:val="4DE838C6"/>
    <w:rsid w:val="4DFC0AE3"/>
    <w:rsid w:val="4E094EAE"/>
    <w:rsid w:val="4E0A38B1"/>
    <w:rsid w:val="4E0A7C94"/>
    <w:rsid w:val="4E2337B6"/>
    <w:rsid w:val="4E273E3B"/>
    <w:rsid w:val="4E6B53E2"/>
    <w:rsid w:val="4E8238FA"/>
    <w:rsid w:val="4E9649A3"/>
    <w:rsid w:val="4EAF30CC"/>
    <w:rsid w:val="4EC13229"/>
    <w:rsid w:val="4EE63DB2"/>
    <w:rsid w:val="4EF21E70"/>
    <w:rsid w:val="4EF612FF"/>
    <w:rsid w:val="4F216944"/>
    <w:rsid w:val="4F577940"/>
    <w:rsid w:val="4F6E0FE5"/>
    <w:rsid w:val="4FAB0FF1"/>
    <w:rsid w:val="4FAB6DF8"/>
    <w:rsid w:val="4FAE269D"/>
    <w:rsid w:val="4FB14C82"/>
    <w:rsid w:val="4FF87CD3"/>
    <w:rsid w:val="4FFD4946"/>
    <w:rsid w:val="4FFE6123"/>
    <w:rsid w:val="503A46C3"/>
    <w:rsid w:val="505D416C"/>
    <w:rsid w:val="508A0696"/>
    <w:rsid w:val="50966387"/>
    <w:rsid w:val="50A04711"/>
    <w:rsid w:val="50A07ECE"/>
    <w:rsid w:val="50C91DD5"/>
    <w:rsid w:val="51425058"/>
    <w:rsid w:val="5143237A"/>
    <w:rsid w:val="516F2D8A"/>
    <w:rsid w:val="51A32489"/>
    <w:rsid w:val="51A54447"/>
    <w:rsid w:val="51BA53E6"/>
    <w:rsid w:val="51CC32D4"/>
    <w:rsid w:val="51FC23A9"/>
    <w:rsid w:val="520904A3"/>
    <w:rsid w:val="520F6E79"/>
    <w:rsid w:val="524A2053"/>
    <w:rsid w:val="524F3599"/>
    <w:rsid w:val="524F639C"/>
    <w:rsid w:val="525B505F"/>
    <w:rsid w:val="528D1AAE"/>
    <w:rsid w:val="529766CF"/>
    <w:rsid w:val="530378C0"/>
    <w:rsid w:val="530A53FE"/>
    <w:rsid w:val="531C0CDD"/>
    <w:rsid w:val="53205532"/>
    <w:rsid w:val="53291E15"/>
    <w:rsid w:val="532F05BC"/>
    <w:rsid w:val="53392805"/>
    <w:rsid w:val="53451119"/>
    <w:rsid w:val="53456E20"/>
    <w:rsid w:val="53771018"/>
    <w:rsid w:val="539C64DE"/>
    <w:rsid w:val="53A81D25"/>
    <w:rsid w:val="53A84231"/>
    <w:rsid w:val="53AB485D"/>
    <w:rsid w:val="53AB5BAB"/>
    <w:rsid w:val="53BF162A"/>
    <w:rsid w:val="53D3019B"/>
    <w:rsid w:val="53E76141"/>
    <w:rsid w:val="53FA03DB"/>
    <w:rsid w:val="53FD7BC1"/>
    <w:rsid w:val="540A5590"/>
    <w:rsid w:val="540C32DA"/>
    <w:rsid w:val="540C74E6"/>
    <w:rsid w:val="543E2C80"/>
    <w:rsid w:val="54485B35"/>
    <w:rsid w:val="545126F3"/>
    <w:rsid w:val="5453390B"/>
    <w:rsid w:val="545B6DD3"/>
    <w:rsid w:val="54BA2082"/>
    <w:rsid w:val="54C349D6"/>
    <w:rsid w:val="54D061BE"/>
    <w:rsid w:val="54D634EC"/>
    <w:rsid w:val="54F844C2"/>
    <w:rsid w:val="55612B93"/>
    <w:rsid w:val="55791563"/>
    <w:rsid w:val="55914E43"/>
    <w:rsid w:val="55A10988"/>
    <w:rsid w:val="55A2519A"/>
    <w:rsid w:val="55B11282"/>
    <w:rsid w:val="55B309C6"/>
    <w:rsid w:val="55B857A8"/>
    <w:rsid w:val="55EB3C23"/>
    <w:rsid w:val="55FD42D6"/>
    <w:rsid w:val="55FF702E"/>
    <w:rsid w:val="560D1C58"/>
    <w:rsid w:val="56241757"/>
    <w:rsid w:val="562A0679"/>
    <w:rsid w:val="56475B5B"/>
    <w:rsid w:val="566153FE"/>
    <w:rsid w:val="5679531F"/>
    <w:rsid w:val="56800360"/>
    <w:rsid w:val="56C1601E"/>
    <w:rsid w:val="56D612FD"/>
    <w:rsid w:val="56E43F04"/>
    <w:rsid w:val="56F022BF"/>
    <w:rsid w:val="57042706"/>
    <w:rsid w:val="57054C16"/>
    <w:rsid w:val="57310A3B"/>
    <w:rsid w:val="57471FC2"/>
    <w:rsid w:val="575D047D"/>
    <w:rsid w:val="576A25A3"/>
    <w:rsid w:val="577C56FD"/>
    <w:rsid w:val="579522A4"/>
    <w:rsid w:val="57A978E4"/>
    <w:rsid w:val="57AC6F38"/>
    <w:rsid w:val="57D0553D"/>
    <w:rsid w:val="57DD137C"/>
    <w:rsid w:val="57F9162B"/>
    <w:rsid w:val="581845E3"/>
    <w:rsid w:val="582E0E2B"/>
    <w:rsid w:val="58375DD5"/>
    <w:rsid w:val="584C43C9"/>
    <w:rsid w:val="58563EC0"/>
    <w:rsid w:val="58606914"/>
    <w:rsid w:val="58A470D6"/>
    <w:rsid w:val="58A53BCA"/>
    <w:rsid w:val="58A74E5A"/>
    <w:rsid w:val="58E42722"/>
    <w:rsid w:val="58FF1426"/>
    <w:rsid w:val="5903643E"/>
    <w:rsid w:val="59343D61"/>
    <w:rsid w:val="59561796"/>
    <w:rsid w:val="59622DB2"/>
    <w:rsid w:val="596A61BC"/>
    <w:rsid w:val="596E05D1"/>
    <w:rsid w:val="59A24D7A"/>
    <w:rsid w:val="59A65E08"/>
    <w:rsid w:val="59CF79D4"/>
    <w:rsid w:val="59D17C7A"/>
    <w:rsid w:val="59E86981"/>
    <w:rsid w:val="5A0C5002"/>
    <w:rsid w:val="5A18258A"/>
    <w:rsid w:val="5A186A13"/>
    <w:rsid w:val="5A287027"/>
    <w:rsid w:val="5A2A3DA9"/>
    <w:rsid w:val="5A426D37"/>
    <w:rsid w:val="5A6973A6"/>
    <w:rsid w:val="5A726410"/>
    <w:rsid w:val="5A954866"/>
    <w:rsid w:val="5A994F30"/>
    <w:rsid w:val="5AA9591A"/>
    <w:rsid w:val="5AB423C2"/>
    <w:rsid w:val="5AD556BE"/>
    <w:rsid w:val="5ADB1C9D"/>
    <w:rsid w:val="5B1C28EE"/>
    <w:rsid w:val="5B325C67"/>
    <w:rsid w:val="5B381FCD"/>
    <w:rsid w:val="5B430063"/>
    <w:rsid w:val="5B450B5C"/>
    <w:rsid w:val="5B6744DD"/>
    <w:rsid w:val="5B6B673F"/>
    <w:rsid w:val="5B8D057B"/>
    <w:rsid w:val="5B984D51"/>
    <w:rsid w:val="5B9A09E3"/>
    <w:rsid w:val="5BA82C31"/>
    <w:rsid w:val="5BAD31F4"/>
    <w:rsid w:val="5BD704B5"/>
    <w:rsid w:val="5BE072DD"/>
    <w:rsid w:val="5C134C62"/>
    <w:rsid w:val="5C3E2802"/>
    <w:rsid w:val="5C5D50B0"/>
    <w:rsid w:val="5C652DEB"/>
    <w:rsid w:val="5C846A5F"/>
    <w:rsid w:val="5C950B0C"/>
    <w:rsid w:val="5C9F005F"/>
    <w:rsid w:val="5CAF220A"/>
    <w:rsid w:val="5CD54571"/>
    <w:rsid w:val="5CE51E69"/>
    <w:rsid w:val="5CFD323D"/>
    <w:rsid w:val="5D027F93"/>
    <w:rsid w:val="5D3447D7"/>
    <w:rsid w:val="5D546F15"/>
    <w:rsid w:val="5D5735C8"/>
    <w:rsid w:val="5D8422BB"/>
    <w:rsid w:val="5DA46392"/>
    <w:rsid w:val="5DBD59E8"/>
    <w:rsid w:val="5E0F6B64"/>
    <w:rsid w:val="5E3209D0"/>
    <w:rsid w:val="5E395572"/>
    <w:rsid w:val="5E41231C"/>
    <w:rsid w:val="5E77294D"/>
    <w:rsid w:val="5E7D048D"/>
    <w:rsid w:val="5EE049E2"/>
    <w:rsid w:val="5EF21EA7"/>
    <w:rsid w:val="5F0F240C"/>
    <w:rsid w:val="5F2334D0"/>
    <w:rsid w:val="5F294C8E"/>
    <w:rsid w:val="5F313F1A"/>
    <w:rsid w:val="5F381A7B"/>
    <w:rsid w:val="5F42657D"/>
    <w:rsid w:val="5F5A7E76"/>
    <w:rsid w:val="5F5F287E"/>
    <w:rsid w:val="5F686CD2"/>
    <w:rsid w:val="5F780EC5"/>
    <w:rsid w:val="5F8A73DA"/>
    <w:rsid w:val="5F8E5697"/>
    <w:rsid w:val="5F94776F"/>
    <w:rsid w:val="5FB05CAE"/>
    <w:rsid w:val="5FD721D5"/>
    <w:rsid w:val="5FF1088F"/>
    <w:rsid w:val="5FF5085D"/>
    <w:rsid w:val="60060393"/>
    <w:rsid w:val="60063507"/>
    <w:rsid w:val="602F5B81"/>
    <w:rsid w:val="603C153B"/>
    <w:rsid w:val="60503E92"/>
    <w:rsid w:val="60557C1B"/>
    <w:rsid w:val="605A069C"/>
    <w:rsid w:val="605E22A0"/>
    <w:rsid w:val="60621C4C"/>
    <w:rsid w:val="606874BD"/>
    <w:rsid w:val="607A1279"/>
    <w:rsid w:val="60814380"/>
    <w:rsid w:val="60831251"/>
    <w:rsid w:val="60863BA4"/>
    <w:rsid w:val="60894155"/>
    <w:rsid w:val="609B507C"/>
    <w:rsid w:val="60A46012"/>
    <w:rsid w:val="60BA1BAE"/>
    <w:rsid w:val="60D731A5"/>
    <w:rsid w:val="60DA124C"/>
    <w:rsid w:val="60F307DA"/>
    <w:rsid w:val="6102168E"/>
    <w:rsid w:val="61052F79"/>
    <w:rsid w:val="61204E31"/>
    <w:rsid w:val="612757DA"/>
    <w:rsid w:val="612C7A64"/>
    <w:rsid w:val="614B6787"/>
    <w:rsid w:val="617B473F"/>
    <w:rsid w:val="61946A24"/>
    <w:rsid w:val="6197732F"/>
    <w:rsid w:val="61B5066C"/>
    <w:rsid w:val="61C9479A"/>
    <w:rsid w:val="61CD41F9"/>
    <w:rsid w:val="61CF0AED"/>
    <w:rsid w:val="62035087"/>
    <w:rsid w:val="624C4721"/>
    <w:rsid w:val="624D6B4E"/>
    <w:rsid w:val="62687AED"/>
    <w:rsid w:val="62823B00"/>
    <w:rsid w:val="62C7055D"/>
    <w:rsid w:val="62E7018E"/>
    <w:rsid w:val="62F612CC"/>
    <w:rsid w:val="63343CEE"/>
    <w:rsid w:val="633E17BB"/>
    <w:rsid w:val="635D162A"/>
    <w:rsid w:val="63614C72"/>
    <w:rsid w:val="63786FEC"/>
    <w:rsid w:val="63810A87"/>
    <w:rsid w:val="639E72E8"/>
    <w:rsid w:val="639F3DF3"/>
    <w:rsid w:val="63E85469"/>
    <w:rsid w:val="63F024FC"/>
    <w:rsid w:val="63F1253A"/>
    <w:rsid w:val="640D79DB"/>
    <w:rsid w:val="641C7682"/>
    <w:rsid w:val="642961D0"/>
    <w:rsid w:val="64794840"/>
    <w:rsid w:val="647B4DFB"/>
    <w:rsid w:val="647F6B13"/>
    <w:rsid w:val="648372AE"/>
    <w:rsid w:val="64A40D14"/>
    <w:rsid w:val="64C178BA"/>
    <w:rsid w:val="65071C07"/>
    <w:rsid w:val="653D665D"/>
    <w:rsid w:val="65432264"/>
    <w:rsid w:val="655633D7"/>
    <w:rsid w:val="657372ED"/>
    <w:rsid w:val="657F059E"/>
    <w:rsid w:val="659E0490"/>
    <w:rsid w:val="659E6122"/>
    <w:rsid w:val="65B2374C"/>
    <w:rsid w:val="65F2329B"/>
    <w:rsid w:val="661506A5"/>
    <w:rsid w:val="662944C5"/>
    <w:rsid w:val="662E3ED7"/>
    <w:rsid w:val="66401765"/>
    <w:rsid w:val="664B7E49"/>
    <w:rsid w:val="664E3DED"/>
    <w:rsid w:val="665C5ADB"/>
    <w:rsid w:val="668E5B1C"/>
    <w:rsid w:val="66994753"/>
    <w:rsid w:val="669B1BE1"/>
    <w:rsid w:val="66FF7316"/>
    <w:rsid w:val="670A7175"/>
    <w:rsid w:val="672404AF"/>
    <w:rsid w:val="6725653D"/>
    <w:rsid w:val="67771322"/>
    <w:rsid w:val="67776FA2"/>
    <w:rsid w:val="678449E8"/>
    <w:rsid w:val="679B5B4F"/>
    <w:rsid w:val="67A27A05"/>
    <w:rsid w:val="67E82335"/>
    <w:rsid w:val="67E905C1"/>
    <w:rsid w:val="67EA4634"/>
    <w:rsid w:val="67FC3384"/>
    <w:rsid w:val="68081398"/>
    <w:rsid w:val="68261922"/>
    <w:rsid w:val="683E4AFA"/>
    <w:rsid w:val="68496684"/>
    <w:rsid w:val="685B64A1"/>
    <w:rsid w:val="68787DC1"/>
    <w:rsid w:val="688226A8"/>
    <w:rsid w:val="68A04919"/>
    <w:rsid w:val="68B54225"/>
    <w:rsid w:val="68B954D5"/>
    <w:rsid w:val="68DC1570"/>
    <w:rsid w:val="68F13F81"/>
    <w:rsid w:val="69003324"/>
    <w:rsid w:val="694742CB"/>
    <w:rsid w:val="697304A8"/>
    <w:rsid w:val="69732B97"/>
    <w:rsid w:val="698439B6"/>
    <w:rsid w:val="698B40CF"/>
    <w:rsid w:val="699D1E24"/>
    <w:rsid w:val="69AA3434"/>
    <w:rsid w:val="69AB5C00"/>
    <w:rsid w:val="69DA0B81"/>
    <w:rsid w:val="69E92E85"/>
    <w:rsid w:val="6A1548B9"/>
    <w:rsid w:val="6A17012D"/>
    <w:rsid w:val="6A2A26F3"/>
    <w:rsid w:val="6A3C5ED9"/>
    <w:rsid w:val="6A4577B7"/>
    <w:rsid w:val="6A486DE6"/>
    <w:rsid w:val="6A4C3DC5"/>
    <w:rsid w:val="6A4C55CF"/>
    <w:rsid w:val="6A7D3360"/>
    <w:rsid w:val="6AA60596"/>
    <w:rsid w:val="6AA64F87"/>
    <w:rsid w:val="6AB35CB3"/>
    <w:rsid w:val="6ABC32E6"/>
    <w:rsid w:val="6AD8255A"/>
    <w:rsid w:val="6ADF11B9"/>
    <w:rsid w:val="6B0656E8"/>
    <w:rsid w:val="6B0876AF"/>
    <w:rsid w:val="6B0D0B8A"/>
    <w:rsid w:val="6B122757"/>
    <w:rsid w:val="6BA411E4"/>
    <w:rsid w:val="6BC62FA4"/>
    <w:rsid w:val="6BCB1FEA"/>
    <w:rsid w:val="6BFB4C62"/>
    <w:rsid w:val="6C1C2FC4"/>
    <w:rsid w:val="6C205B6E"/>
    <w:rsid w:val="6C2463CC"/>
    <w:rsid w:val="6C272629"/>
    <w:rsid w:val="6C79143F"/>
    <w:rsid w:val="6CA51809"/>
    <w:rsid w:val="6CAC501D"/>
    <w:rsid w:val="6CD50881"/>
    <w:rsid w:val="6CF27430"/>
    <w:rsid w:val="6CF65D1C"/>
    <w:rsid w:val="6CFF5B8B"/>
    <w:rsid w:val="6D2C4CA9"/>
    <w:rsid w:val="6D610099"/>
    <w:rsid w:val="6D727EE1"/>
    <w:rsid w:val="6D8F10FF"/>
    <w:rsid w:val="6D901F24"/>
    <w:rsid w:val="6DA56444"/>
    <w:rsid w:val="6DA63093"/>
    <w:rsid w:val="6DD41FA6"/>
    <w:rsid w:val="6DEF7349"/>
    <w:rsid w:val="6DF26780"/>
    <w:rsid w:val="6DF92BDB"/>
    <w:rsid w:val="6E0C2069"/>
    <w:rsid w:val="6E17108B"/>
    <w:rsid w:val="6E341BDE"/>
    <w:rsid w:val="6E3C0C71"/>
    <w:rsid w:val="6E462656"/>
    <w:rsid w:val="6E590A35"/>
    <w:rsid w:val="6E6A68B1"/>
    <w:rsid w:val="6E720135"/>
    <w:rsid w:val="6E81153E"/>
    <w:rsid w:val="6E8623AE"/>
    <w:rsid w:val="6E9E0E6A"/>
    <w:rsid w:val="6EA66EDD"/>
    <w:rsid w:val="6EAC33BF"/>
    <w:rsid w:val="6EC034F2"/>
    <w:rsid w:val="6EE8633A"/>
    <w:rsid w:val="6EF87D63"/>
    <w:rsid w:val="6F2D127D"/>
    <w:rsid w:val="6F307579"/>
    <w:rsid w:val="6F47553D"/>
    <w:rsid w:val="6F637FDC"/>
    <w:rsid w:val="6F6B0A4A"/>
    <w:rsid w:val="6FC46A94"/>
    <w:rsid w:val="6FDE6E69"/>
    <w:rsid w:val="6FEA7371"/>
    <w:rsid w:val="701159E8"/>
    <w:rsid w:val="702A082E"/>
    <w:rsid w:val="70380074"/>
    <w:rsid w:val="70537424"/>
    <w:rsid w:val="70624389"/>
    <w:rsid w:val="7083313A"/>
    <w:rsid w:val="709826A2"/>
    <w:rsid w:val="70B31A47"/>
    <w:rsid w:val="70B664DA"/>
    <w:rsid w:val="70C774A8"/>
    <w:rsid w:val="70DA52FF"/>
    <w:rsid w:val="70F455E7"/>
    <w:rsid w:val="710E1F2F"/>
    <w:rsid w:val="712D5626"/>
    <w:rsid w:val="71434911"/>
    <w:rsid w:val="716D2AB3"/>
    <w:rsid w:val="71714B81"/>
    <w:rsid w:val="717650C8"/>
    <w:rsid w:val="71822AF7"/>
    <w:rsid w:val="719C2164"/>
    <w:rsid w:val="71B0424E"/>
    <w:rsid w:val="71B21D4D"/>
    <w:rsid w:val="71B540D8"/>
    <w:rsid w:val="71BE3CBC"/>
    <w:rsid w:val="71C51F33"/>
    <w:rsid w:val="71C82417"/>
    <w:rsid w:val="71CB1742"/>
    <w:rsid w:val="71D90BCD"/>
    <w:rsid w:val="71DC7519"/>
    <w:rsid w:val="71FF4FE1"/>
    <w:rsid w:val="72002163"/>
    <w:rsid w:val="72311C0F"/>
    <w:rsid w:val="72A838EB"/>
    <w:rsid w:val="72B558BE"/>
    <w:rsid w:val="72B64C49"/>
    <w:rsid w:val="72C66920"/>
    <w:rsid w:val="731435A4"/>
    <w:rsid w:val="73144A82"/>
    <w:rsid w:val="732B1E0A"/>
    <w:rsid w:val="7347798A"/>
    <w:rsid w:val="73534E65"/>
    <w:rsid w:val="73755939"/>
    <w:rsid w:val="73932D88"/>
    <w:rsid w:val="73A13F8B"/>
    <w:rsid w:val="73B22499"/>
    <w:rsid w:val="740C5CCC"/>
    <w:rsid w:val="7446180A"/>
    <w:rsid w:val="7464018B"/>
    <w:rsid w:val="747C1491"/>
    <w:rsid w:val="74AE766C"/>
    <w:rsid w:val="74B13D77"/>
    <w:rsid w:val="74BC2E48"/>
    <w:rsid w:val="74BF73E1"/>
    <w:rsid w:val="74D15D36"/>
    <w:rsid w:val="74DB448B"/>
    <w:rsid w:val="74DE59F6"/>
    <w:rsid w:val="74EA6B3E"/>
    <w:rsid w:val="75076007"/>
    <w:rsid w:val="75275377"/>
    <w:rsid w:val="752C52F8"/>
    <w:rsid w:val="75340598"/>
    <w:rsid w:val="75570649"/>
    <w:rsid w:val="756110C1"/>
    <w:rsid w:val="756A2AB1"/>
    <w:rsid w:val="75821B35"/>
    <w:rsid w:val="75DD2BA2"/>
    <w:rsid w:val="75E81C02"/>
    <w:rsid w:val="75EA0544"/>
    <w:rsid w:val="75EF7237"/>
    <w:rsid w:val="760218A6"/>
    <w:rsid w:val="7632725A"/>
    <w:rsid w:val="76332DA6"/>
    <w:rsid w:val="763C100C"/>
    <w:rsid w:val="76751F92"/>
    <w:rsid w:val="76D64311"/>
    <w:rsid w:val="76F016E4"/>
    <w:rsid w:val="76F96202"/>
    <w:rsid w:val="77014AFC"/>
    <w:rsid w:val="771C6750"/>
    <w:rsid w:val="7749088C"/>
    <w:rsid w:val="77630D98"/>
    <w:rsid w:val="778F188E"/>
    <w:rsid w:val="779B4312"/>
    <w:rsid w:val="77BF5DA9"/>
    <w:rsid w:val="77D53C83"/>
    <w:rsid w:val="77EF5935"/>
    <w:rsid w:val="78081B8E"/>
    <w:rsid w:val="780A05BF"/>
    <w:rsid w:val="781E231C"/>
    <w:rsid w:val="783B53FB"/>
    <w:rsid w:val="78473F72"/>
    <w:rsid w:val="785E7262"/>
    <w:rsid w:val="78763A28"/>
    <w:rsid w:val="78A66DA8"/>
    <w:rsid w:val="78AB68E6"/>
    <w:rsid w:val="78BB5BAA"/>
    <w:rsid w:val="78CF2649"/>
    <w:rsid w:val="78E17AF0"/>
    <w:rsid w:val="78ED4FD1"/>
    <w:rsid w:val="78F66512"/>
    <w:rsid w:val="791C43FD"/>
    <w:rsid w:val="792D5D53"/>
    <w:rsid w:val="794B1D9D"/>
    <w:rsid w:val="79520F53"/>
    <w:rsid w:val="795E0977"/>
    <w:rsid w:val="796D0269"/>
    <w:rsid w:val="799A2A42"/>
    <w:rsid w:val="79BC47D9"/>
    <w:rsid w:val="79BF6EA6"/>
    <w:rsid w:val="79D675A2"/>
    <w:rsid w:val="79DA1027"/>
    <w:rsid w:val="79F428AB"/>
    <w:rsid w:val="7A0B1691"/>
    <w:rsid w:val="7A10104C"/>
    <w:rsid w:val="7A11262A"/>
    <w:rsid w:val="7A526FA4"/>
    <w:rsid w:val="7A7E02F4"/>
    <w:rsid w:val="7A97617E"/>
    <w:rsid w:val="7A9871B7"/>
    <w:rsid w:val="7AA1024A"/>
    <w:rsid w:val="7AC11E45"/>
    <w:rsid w:val="7AC232B0"/>
    <w:rsid w:val="7ACB2BE2"/>
    <w:rsid w:val="7AD150AA"/>
    <w:rsid w:val="7AD569F9"/>
    <w:rsid w:val="7AF26C14"/>
    <w:rsid w:val="7B073EB9"/>
    <w:rsid w:val="7B0A3E76"/>
    <w:rsid w:val="7B4C7CC9"/>
    <w:rsid w:val="7BBA376D"/>
    <w:rsid w:val="7BC54DFC"/>
    <w:rsid w:val="7BD53D77"/>
    <w:rsid w:val="7BE05782"/>
    <w:rsid w:val="7BEC53BC"/>
    <w:rsid w:val="7BEE3D35"/>
    <w:rsid w:val="7C211E5E"/>
    <w:rsid w:val="7C245672"/>
    <w:rsid w:val="7C3F2937"/>
    <w:rsid w:val="7C6626D7"/>
    <w:rsid w:val="7C6F35FC"/>
    <w:rsid w:val="7C72225D"/>
    <w:rsid w:val="7C9C2C70"/>
    <w:rsid w:val="7CAE5794"/>
    <w:rsid w:val="7CC46057"/>
    <w:rsid w:val="7CEE72D2"/>
    <w:rsid w:val="7CFE2893"/>
    <w:rsid w:val="7D02640B"/>
    <w:rsid w:val="7D2F5B97"/>
    <w:rsid w:val="7D4A7BA0"/>
    <w:rsid w:val="7D60145E"/>
    <w:rsid w:val="7D863771"/>
    <w:rsid w:val="7D8F1CF9"/>
    <w:rsid w:val="7DB22913"/>
    <w:rsid w:val="7DCE2354"/>
    <w:rsid w:val="7DEF233F"/>
    <w:rsid w:val="7E086585"/>
    <w:rsid w:val="7E2916B3"/>
    <w:rsid w:val="7E2A5B68"/>
    <w:rsid w:val="7E306020"/>
    <w:rsid w:val="7E444A3D"/>
    <w:rsid w:val="7E6A5CA0"/>
    <w:rsid w:val="7ED75D32"/>
    <w:rsid w:val="7F196D79"/>
    <w:rsid w:val="7F1D0B5A"/>
    <w:rsid w:val="7F245D4F"/>
    <w:rsid w:val="7F5C61F5"/>
    <w:rsid w:val="7F702B0F"/>
    <w:rsid w:val="7FD51DF0"/>
    <w:rsid w:val="7FDC025D"/>
    <w:rsid w:val="7FEC49D6"/>
    <w:rsid w:val="ADFD060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0" w:semiHidden="0" w:name="Body Text" w:locked="1"/>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semiHidden="0"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9"/>
    <w:pPr>
      <w:keepNext/>
      <w:keepLines/>
      <w:jc w:val="center"/>
      <w:outlineLvl w:val="0"/>
    </w:pPr>
    <w:rPr>
      <w:rFonts w:ascii="Calibri" w:hAnsi="Calibri"/>
      <w:b/>
      <w:bCs/>
      <w:kern w:val="44"/>
      <w:sz w:val="24"/>
      <w:szCs w:val="44"/>
    </w:rPr>
  </w:style>
  <w:style w:type="paragraph" w:styleId="6">
    <w:name w:val="heading 2"/>
    <w:basedOn w:val="1"/>
    <w:next w:val="1"/>
    <w:link w:val="30"/>
    <w:qFormat/>
    <w:uiPriority w:val="99"/>
    <w:pPr>
      <w:keepNext/>
      <w:keepLines/>
      <w:ind w:firstLine="0" w:firstLineChars="0"/>
      <w:outlineLvl w:val="1"/>
    </w:pPr>
    <w:rPr>
      <w:rFonts w:ascii="Cambria" w:hAnsi="Cambria"/>
      <w:b/>
      <w:bCs/>
      <w:szCs w:val="32"/>
    </w:rPr>
  </w:style>
  <w:style w:type="paragraph" w:styleId="7">
    <w:name w:val="heading 3"/>
    <w:basedOn w:val="1"/>
    <w:next w:val="1"/>
    <w:link w:val="31"/>
    <w:qFormat/>
    <w:uiPriority w:val="99"/>
    <w:pPr>
      <w:keepNext/>
      <w:keepLines/>
      <w:ind w:firstLine="0" w:firstLineChars="0"/>
      <w:outlineLvl w:val="2"/>
    </w:pPr>
    <w:rPr>
      <w:rFonts w:ascii="Calibri" w:hAnsi="Calibri"/>
      <w:b/>
      <w:bCs/>
      <w:kern w:val="0"/>
      <w:szCs w:val="32"/>
    </w:rPr>
  </w:style>
  <w:style w:type="paragraph" w:styleId="8">
    <w:name w:val="heading 4"/>
    <w:basedOn w:val="1"/>
    <w:next w:val="1"/>
    <w:link w:val="32"/>
    <w:qFormat/>
    <w:uiPriority w:val="99"/>
    <w:pPr>
      <w:keepNext/>
      <w:keepLines/>
      <w:outlineLvl w:val="3"/>
    </w:pPr>
    <w:rPr>
      <w:rFonts w:ascii="Cambria" w:hAnsi="Cambria"/>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locked/>
    <w:uiPriority w:val="0"/>
    <w:pPr>
      <w:adjustRightInd w:val="0"/>
      <w:spacing w:line="315" w:lineRule="atLeast"/>
      <w:ind w:firstLine="0" w:firstLineChars="0"/>
      <w:jc w:val="left"/>
    </w:pPr>
    <w:rPr>
      <w:rFonts w:ascii="仿宋_GB2312" w:eastAsia="仿宋_GB2312"/>
      <w:kern w:val="0"/>
      <w:sz w:val="28"/>
      <w:szCs w:val="20"/>
    </w:rPr>
  </w:style>
  <w:style w:type="paragraph" w:styleId="3">
    <w:name w:val="Body Text First Indent"/>
    <w:basedOn w:val="2"/>
    <w:next w:val="4"/>
    <w:link w:val="55"/>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4">
    <w:name w:val="toc 6"/>
    <w:basedOn w:val="1"/>
    <w:next w:val="1"/>
    <w:qFormat/>
    <w:locked/>
    <w:uiPriority w:val="0"/>
    <w:pPr>
      <w:spacing w:line="240" w:lineRule="auto"/>
      <w:ind w:left="1050" w:firstLine="0" w:firstLineChars="0"/>
      <w:jc w:val="left"/>
    </w:pPr>
    <w:rPr>
      <w:szCs w:val="21"/>
    </w:rPr>
  </w:style>
  <w:style w:type="paragraph" w:styleId="9">
    <w:name w:val="Normal Indent"/>
    <w:basedOn w:val="1"/>
    <w:link w:val="48"/>
    <w:qFormat/>
    <w:locked/>
    <w:uiPriority w:val="0"/>
    <w:pPr>
      <w:spacing w:line="240" w:lineRule="auto"/>
      <w:ind w:firstLine="420" w:firstLineChars="0"/>
    </w:pPr>
  </w:style>
  <w:style w:type="paragraph" w:styleId="10">
    <w:name w:val="Document Map"/>
    <w:basedOn w:val="1"/>
    <w:link w:val="41"/>
    <w:semiHidden/>
    <w:qFormat/>
    <w:uiPriority w:val="99"/>
    <w:pPr>
      <w:shd w:val="clear" w:color="auto" w:fill="000080"/>
    </w:pPr>
  </w:style>
  <w:style w:type="paragraph" w:styleId="11">
    <w:name w:val="annotation text"/>
    <w:basedOn w:val="1"/>
    <w:link w:val="33"/>
    <w:qFormat/>
    <w:uiPriority w:val="0"/>
    <w:pPr>
      <w:spacing w:line="240" w:lineRule="auto"/>
      <w:ind w:firstLine="0" w:firstLineChars="0"/>
      <w:jc w:val="left"/>
    </w:pPr>
  </w:style>
  <w:style w:type="paragraph" w:styleId="12">
    <w:name w:val="Body Text Indent"/>
    <w:basedOn w:val="1"/>
    <w:link w:val="60"/>
    <w:semiHidden/>
    <w:unhideWhenUsed/>
    <w:qFormat/>
    <w:locked/>
    <w:uiPriority w:val="99"/>
    <w:pPr>
      <w:spacing w:after="120"/>
      <w:ind w:left="420" w:leftChars="200"/>
    </w:pPr>
  </w:style>
  <w:style w:type="paragraph" w:styleId="13">
    <w:name w:val="Plain Text"/>
    <w:basedOn w:val="1"/>
    <w:link w:val="34"/>
    <w:qFormat/>
    <w:uiPriority w:val="0"/>
    <w:pPr>
      <w:spacing w:line="240" w:lineRule="auto"/>
      <w:ind w:firstLine="0" w:firstLineChars="0"/>
    </w:pPr>
    <w:rPr>
      <w:rFonts w:ascii="宋体" w:hAnsi="Courier New"/>
      <w:szCs w:val="20"/>
    </w:rPr>
  </w:style>
  <w:style w:type="paragraph" w:styleId="14">
    <w:name w:val="Date"/>
    <w:basedOn w:val="1"/>
    <w:next w:val="1"/>
    <w:link w:val="59"/>
    <w:unhideWhenUsed/>
    <w:qFormat/>
    <w:locked/>
    <w:uiPriority w:val="99"/>
    <w:pPr>
      <w:ind w:left="100" w:leftChars="2500"/>
    </w:pPr>
  </w:style>
  <w:style w:type="paragraph" w:styleId="15">
    <w:name w:val="Balloon Text"/>
    <w:basedOn w:val="1"/>
    <w:link w:val="40"/>
    <w:semiHidden/>
    <w:qFormat/>
    <w:uiPriority w:val="99"/>
    <w:rPr>
      <w:sz w:val="18"/>
      <w:szCs w:val="18"/>
    </w:rPr>
  </w:style>
  <w:style w:type="paragraph" w:styleId="16">
    <w:name w:val="footer"/>
    <w:basedOn w:val="1"/>
    <w:link w:val="35"/>
    <w:qFormat/>
    <w:uiPriority w:val="99"/>
    <w:pPr>
      <w:tabs>
        <w:tab w:val="center" w:pos="4153"/>
        <w:tab w:val="right" w:pos="8306"/>
      </w:tabs>
      <w:snapToGrid w:val="0"/>
      <w:jc w:val="left"/>
    </w:pPr>
    <w:rPr>
      <w:rFonts w:ascii="Calibri" w:hAnsi="Calibri"/>
      <w:kern w:val="0"/>
      <w:sz w:val="18"/>
      <w:szCs w:val="18"/>
    </w:rPr>
  </w:style>
  <w:style w:type="paragraph" w:styleId="17">
    <w:name w:val="header"/>
    <w:basedOn w:val="1"/>
    <w:link w:val="36"/>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pPr>
      <w:tabs>
        <w:tab w:val="right" w:leader="dot" w:pos="8296"/>
      </w:tabs>
      <w:ind w:firstLine="0" w:firstLineChars="0"/>
    </w:pPr>
  </w:style>
  <w:style w:type="paragraph" w:styleId="19">
    <w:name w:val="toc 2"/>
    <w:basedOn w:val="1"/>
    <w:next w:val="1"/>
    <w:qFormat/>
    <w:uiPriority w:val="39"/>
    <w:pPr>
      <w:tabs>
        <w:tab w:val="right" w:leader="dot" w:pos="8296"/>
      </w:tabs>
      <w:ind w:left="420" w:leftChars="200" w:firstLine="0" w:firstLineChars="0"/>
    </w:pPr>
  </w:style>
  <w:style w:type="paragraph" w:styleId="20">
    <w:name w:val="HTML Preformatted"/>
    <w:basedOn w:val="1"/>
    <w:link w:val="67"/>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 w:hAnsi="??" w:eastAsia="??" w:cs="Courier New"/>
      <w:kern w:val="0"/>
      <w:sz w:val="20"/>
      <w:szCs w:val="28"/>
    </w:rPr>
  </w:style>
  <w:style w:type="paragraph" w:styleId="21">
    <w:name w:val="Normal (Web)"/>
    <w:basedOn w:val="1"/>
    <w:qFormat/>
    <w:locked/>
    <w:uiPriority w:val="0"/>
    <w:pPr>
      <w:widowControl/>
      <w:spacing w:before="100" w:beforeAutospacing="1" w:after="100" w:afterAutospacing="1" w:line="240" w:lineRule="auto"/>
      <w:ind w:firstLine="0" w:firstLineChars="0"/>
      <w:jc w:val="left"/>
    </w:pPr>
    <w:rPr>
      <w:rFonts w:ascii="??" w:hAnsi="??" w:eastAsia="??" w:cs="宋体"/>
      <w:kern w:val="0"/>
      <w:sz w:val="24"/>
    </w:rPr>
  </w:style>
  <w:style w:type="paragraph" w:styleId="22">
    <w:name w:val="annotation subject"/>
    <w:basedOn w:val="11"/>
    <w:next w:val="11"/>
    <w:link w:val="42"/>
    <w:unhideWhenUsed/>
    <w:qFormat/>
    <w:locked/>
    <w:uiPriority w:val="99"/>
    <w:pPr>
      <w:spacing w:line="360" w:lineRule="auto"/>
      <w:ind w:firstLine="200" w:firstLineChars="200"/>
    </w:pPr>
    <w:rPr>
      <w:b/>
      <w:bCs/>
    </w:rPr>
  </w:style>
  <w:style w:type="table" w:styleId="24">
    <w:name w:val="Table Grid"/>
    <w:basedOn w:val="23"/>
    <w:qFormat/>
    <w:locked/>
    <w:uiPriority w:val="0"/>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6">
    <w:name w:val="Strong"/>
    <w:basedOn w:val="25"/>
    <w:qFormat/>
    <w:uiPriority w:val="99"/>
    <w:rPr>
      <w:rFonts w:cs="Times New Roman"/>
      <w:b/>
    </w:rPr>
  </w:style>
  <w:style w:type="character" w:styleId="27">
    <w:name w:val="Hyperlink"/>
    <w:basedOn w:val="25"/>
    <w:qFormat/>
    <w:uiPriority w:val="99"/>
    <w:rPr>
      <w:rFonts w:cs="Times New Roman"/>
      <w:color w:val="0000FF"/>
      <w:u w:val="single"/>
    </w:rPr>
  </w:style>
  <w:style w:type="character" w:styleId="28">
    <w:name w:val="annotation reference"/>
    <w:basedOn w:val="25"/>
    <w:qFormat/>
    <w:uiPriority w:val="99"/>
    <w:rPr>
      <w:rFonts w:cs="Times New Roman"/>
      <w:sz w:val="21"/>
    </w:rPr>
  </w:style>
  <w:style w:type="character" w:customStyle="1" w:styleId="29">
    <w:name w:val="标题 1 Char"/>
    <w:basedOn w:val="25"/>
    <w:link w:val="5"/>
    <w:qFormat/>
    <w:locked/>
    <w:uiPriority w:val="99"/>
    <w:rPr>
      <w:rFonts w:cs="Times New Roman"/>
      <w:b/>
      <w:kern w:val="44"/>
      <w:sz w:val="44"/>
    </w:rPr>
  </w:style>
  <w:style w:type="character" w:customStyle="1" w:styleId="30">
    <w:name w:val="标题 2 Char"/>
    <w:basedOn w:val="25"/>
    <w:link w:val="6"/>
    <w:qFormat/>
    <w:locked/>
    <w:uiPriority w:val="99"/>
    <w:rPr>
      <w:rFonts w:ascii="Cambria" w:hAnsi="Cambria" w:eastAsia="宋体" w:cs="Times New Roman"/>
      <w:b/>
      <w:bCs/>
      <w:sz w:val="32"/>
      <w:szCs w:val="32"/>
    </w:rPr>
  </w:style>
  <w:style w:type="character" w:customStyle="1" w:styleId="31">
    <w:name w:val="标题 3 Char"/>
    <w:basedOn w:val="25"/>
    <w:link w:val="7"/>
    <w:qFormat/>
    <w:locked/>
    <w:uiPriority w:val="0"/>
    <w:rPr>
      <w:rFonts w:ascii="Calibri" w:hAnsi="Calibri"/>
      <w:b/>
      <w:bCs/>
      <w:sz w:val="21"/>
      <w:szCs w:val="32"/>
    </w:rPr>
  </w:style>
  <w:style w:type="character" w:customStyle="1" w:styleId="32">
    <w:name w:val="标题 4 Char"/>
    <w:basedOn w:val="25"/>
    <w:link w:val="8"/>
    <w:semiHidden/>
    <w:qFormat/>
    <w:locked/>
    <w:uiPriority w:val="99"/>
    <w:rPr>
      <w:rFonts w:ascii="Cambria" w:hAnsi="Cambria" w:eastAsia="宋体" w:cs="Times New Roman"/>
      <w:b/>
      <w:bCs/>
      <w:sz w:val="28"/>
      <w:szCs w:val="28"/>
    </w:rPr>
  </w:style>
  <w:style w:type="character" w:customStyle="1" w:styleId="33">
    <w:name w:val="批注文字 Char"/>
    <w:basedOn w:val="25"/>
    <w:link w:val="11"/>
    <w:qFormat/>
    <w:locked/>
    <w:uiPriority w:val="0"/>
    <w:rPr>
      <w:rFonts w:ascii="Times New Roman" w:hAnsi="Times New Roman" w:cs="Times New Roman"/>
      <w:sz w:val="24"/>
      <w:szCs w:val="24"/>
    </w:rPr>
  </w:style>
  <w:style w:type="character" w:customStyle="1" w:styleId="34">
    <w:name w:val="纯文本 Char"/>
    <w:basedOn w:val="25"/>
    <w:link w:val="13"/>
    <w:qFormat/>
    <w:locked/>
    <w:uiPriority w:val="0"/>
    <w:rPr>
      <w:rFonts w:ascii="宋体" w:hAnsi="Courier New" w:cs="Courier New"/>
      <w:sz w:val="21"/>
      <w:szCs w:val="21"/>
    </w:rPr>
  </w:style>
  <w:style w:type="character" w:customStyle="1" w:styleId="35">
    <w:name w:val="页脚 Char"/>
    <w:basedOn w:val="25"/>
    <w:link w:val="16"/>
    <w:qFormat/>
    <w:locked/>
    <w:uiPriority w:val="99"/>
    <w:rPr>
      <w:rFonts w:ascii="Times New Roman" w:hAnsi="Times New Roman" w:cs="Times New Roman"/>
      <w:sz w:val="18"/>
      <w:szCs w:val="18"/>
    </w:rPr>
  </w:style>
  <w:style w:type="character" w:customStyle="1" w:styleId="36">
    <w:name w:val="页眉 Char"/>
    <w:basedOn w:val="25"/>
    <w:link w:val="17"/>
    <w:qFormat/>
    <w:locked/>
    <w:uiPriority w:val="99"/>
    <w:rPr>
      <w:rFonts w:ascii="Times New Roman" w:hAnsi="Times New Roman" w:cs="Times New Roman"/>
      <w:sz w:val="18"/>
      <w:szCs w:val="18"/>
    </w:rPr>
  </w:style>
  <w:style w:type="paragraph" w:customStyle="1" w:styleId="37">
    <w:name w:val="TOC 标题1"/>
    <w:basedOn w:val="6"/>
    <w:next w:val="1"/>
    <w:qFormat/>
    <w:uiPriority w:val="99"/>
    <w:pPr>
      <w:widowControl/>
      <w:spacing w:line="240" w:lineRule="auto"/>
      <w:jc w:val="left"/>
      <w:outlineLvl w:val="9"/>
    </w:pPr>
    <w:rPr>
      <w:kern w:val="0"/>
      <w:szCs w:val="28"/>
    </w:rPr>
  </w:style>
  <w:style w:type="paragraph" w:customStyle="1" w:styleId="38">
    <w:name w:val="无间隔1"/>
    <w:link w:val="47"/>
    <w:qFormat/>
    <w:uiPriority w:val="1"/>
    <w:pPr>
      <w:widowControl w:val="0"/>
      <w:jc w:val="both"/>
    </w:pPr>
    <w:rPr>
      <w:rFonts w:ascii="Calibri" w:hAnsi="Calibri" w:eastAsia="宋体" w:cs="Calibri"/>
      <w:kern w:val="2"/>
      <w:sz w:val="21"/>
      <w:szCs w:val="22"/>
      <w:lang w:val="en-US" w:eastAsia="zh-CN" w:bidi="ar-SA"/>
    </w:rPr>
  </w:style>
  <w:style w:type="paragraph" w:customStyle="1" w:styleId="39">
    <w:name w:val="Char"/>
    <w:basedOn w:val="1"/>
    <w:qFormat/>
    <w:uiPriority w:val="99"/>
    <w:pPr>
      <w:spacing w:line="240" w:lineRule="auto"/>
      <w:ind w:firstLine="0" w:firstLineChars="0"/>
    </w:pPr>
    <w:rPr>
      <w:rFonts w:ascii="仿宋_GB2312" w:eastAsia="仿宋_GB2312"/>
      <w:b/>
      <w:sz w:val="32"/>
      <w:szCs w:val="32"/>
    </w:rPr>
  </w:style>
  <w:style w:type="character" w:customStyle="1" w:styleId="40">
    <w:name w:val="批注框文本 Char"/>
    <w:basedOn w:val="25"/>
    <w:link w:val="15"/>
    <w:semiHidden/>
    <w:qFormat/>
    <w:locked/>
    <w:uiPriority w:val="99"/>
    <w:rPr>
      <w:rFonts w:ascii="Times New Roman" w:hAnsi="Times New Roman" w:cs="Times New Roman"/>
      <w:sz w:val="2"/>
    </w:rPr>
  </w:style>
  <w:style w:type="character" w:customStyle="1" w:styleId="41">
    <w:name w:val="文档结构图 Char"/>
    <w:basedOn w:val="25"/>
    <w:link w:val="10"/>
    <w:semiHidden/>
    <w:qFormat/>
    <w:locked/>
    <w:uiPriority w:val="99"/>
    <w:rPr>
      <w:rFonts w:ascii="Times New Roman" w:hAnsi="Times New Roman" w:cs="Times New Roman"/>
      <w:sz w:val="2"/>
    </w:rPr>
  </w:style>
  <w:style w:type="character" w:customStyle="1" w:styleId="42">
    <w:name w:val="批注主题 Char"/>
    <w:basedOn w:val="33"/>
    <w:link w:val="22"/>
    <w:semiHidden/>
    <w:qFormat/>
    <w:uiPriority w:val="99"/>
    <w:rPr>
      <w:rFonts w:ascii="Times New Roman" w:hAnsi="Times New Roman" w:cs="Times New Roman"/>
      <w:b/>
      <w:bCs/>
      <w:kern w:val="2"/>
      <w:sz w:val="21"/>
      <w:szCs w:val="24"/>
    </w:rPr>
  </w:style>
  <w:style w:type="paragraph" w:customStyle="1" w:styleId="43">
    <w:name w:val="标题3"/>
    <w:basedOn w:val="7"/>
    <w:qFormat/>
    <w:uiPriority w:val="0"/>
  </w:style>
  <w:style w:type="character" w:customStyle="1" w:styleId="44">
    <w:name w:val="样式1 Char Char"/>
    <w:link w:val="45"/>
    <w:qFormat/>
    <w:locked/>
    <w:uiPriority w:val="0"/>
    <w:rPr>
      <w:rFonts w:ascii="Arial" w:hAnsi="Arial" w:cs="Arial"/>
      <w:kern w:val="2"/>
      <w:sz w:val="21"/>
      <w:szCs w:val="24"/>
    </w:rPr>
  </w:style>
  <w:style w:type="paragraph" w:customStyle="1" w:styleId="45">
    <w:name w:val="样式1"/>
    <w:basedOn w:val="1"/>
    <w:link w:val="44"/>
    <w:qFormat/>
    <w:uiPriority w:val="0"/>
    <w:pPr>
      <w:spacing w:line="360" w:lineRule="exact"/>
    </w:pPr>
    <w:rPr>
      <w:rFonts w:ascii="Arial" w:hAnsi="Arial" w:cs="Arial"/>
    </w:rPr>
  </w:style>
  <w:style w:type="character" w:customStyle="1" w:styleId="46">
    <w:name w:val="纯文本 Char1"/>
    <w:basedOn w:val="25"/>
    <w:semiHidden/>
    <w:qFormat/>
    <w:locked/>
    <w:uiPriority w:val="0"/>
    <w:rPr>
      <w:rFonts w:ascii="宋体" w:hAnsi="Courier New"/>
      <w:kern w:val="2"/>
      <w:sz w:val="21"/>
    </w:rPr>
  </w:style>
  <w:style w:type="character" w:customStyle="1" w:styleId="47">
    <w:name w:val="无间隔 Char"/>
    <w:link w:val="38"/>
    <w:qFormat/>
    <w:locked/>
    <w:uiPriority w:val="1"/>
    <w:rPr>
      <w:rFonts w:ascii="Calibri" w:hAnsi="Calibri" w:cs="Calibri"/>
      <w:kern w:val="2"/>
      <w:sz w:val="21"/>
      <w:szCs w:val="22"/>
    </w:rPr>
  </w:style>
  <w:style w:type="character" w:customStyle="1" w:styleId="48">
    <w:name w:val="正文缩进 Char"/>
    <w:link w:val="9"/>
    <w:qFormat/>
    <w:uiPriority w:val="0"/>
    <w:rPr>
      <w:rFonts w:ascii="Times New Roman" w:hAnsi="Times New Roman" w:eastAsia="宋体" w:cs="Times New Roman"/>
      <w:kern w:val="2"/>
      <w:sz w:val="21"/>
      <w:szCs w:val="24"/>
    </w:rPr>
  </w:style>
  <w:style w:type="character" w:customStyle="1" w:styleId="49">
    <w:name w:val="投标正文 Char"/>
    <w:basedOn w:val="25"/>
    <w:link w:val="50"/>
    <w:qFormat/>
    <w:locked/>
    <w:uiPriority w:val="0"/>
    <w:rPr>
      <w:rFonts w:ascii="仿宋" w:hAnsi="仿宋" w:eastAsia="仿宋"/>
      <w:sz w:val="28"/>
      <w:szCs w:val="24"/>
    </w:rPr>
  </w:style>
  <w:style w:type="paragraph" w:customStyle="1" w:styleId="50">
    <w:name w:val="投标正文"/>
    <w:basedOn w:val="1"/>
    <w:link w:val="49"/>
    <w:qFormat/>
    <w:uiPriority w:val="0"/>
    <w:pPr>
      <w:ind w:left="100" w:firstLine="480"/>
    </w:pPr>
    <w:rPr>
      <w:rFonts w:ascii="仿宋" w:hAnsi="仿宋" w:eastAsia="仿宋" w:cstheme="minorBidi"/>
      <w:kern w:val="0"/>
      <w:sz w:val="28"/>
    </w:rPr>
  </w:style>
  <w:style w:type="character" w:customStyle="1" w:styleId="51">
    <w:name w:val="apple-converted-space"/>
    <w:basedOn w:val="25"/>
    <w:qFormat/>
    <w:uiPriority w:val="0"/>
  </w:style>
  <w:style w:type="paragraph" w:customStyle="1" w:styleId="52">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列出段落1"/>
    <w:basedOn w:val="1"/>
    <w:qFormat/>
    <w:uiPriority w:val="0"/>
    <w:pPr>
      <w:spacing w:line="240" w:lineRule="auto"/>
      <w:ind w:firstLine="420"/>
    </w:pPr>
    <w:rPr>
      <w:rFonts w:ascii="Calibri" w:hAnsi="Calibri" w:eastAsia="仿宋_GB2312"/>
      <w:sz w:val="30"/>
      <w:szCs w:val="22"/>
    </w:rPr>
  </w:style>
  <w:style w:type="paragraph" w:customStyle="1" w:styleId="54">
    <w:name w:val="彩色列表 - 强调文字颜色 11"/>
    <w:basedOn w:val="1"/>
    <w:qFormat/>
    <w:uiPriority w:val="0"/>
    <w:pPr>
      <w:spacing w:line="240" w:lineRule="auto"/>
      <w:ind w:firstLine="420"/>
    </w:pPr>
    <w:rPr>
      <w:rFonts w:ascii="Calibri" w:hAnsi="Calibri"/>
    </w:rPr>
  </w:style>
  <w:style w:type="character" w:customStyle="1" w:styleId="55">
    <w:name w:val="正文首行缩进 Char"/>
    <w:link w:val="3"/>
    <w:qFormat/>
    <w:uiPriority w:val="99"/>
    <w:rPr>
      <w:rFonts w:eastAsia="仿宋_GB2312"/>
      <w:kern w:val="2"/>
      <w:sz w:val="21"/>
      <w:szCs w:val="24"/>
    </w:rPr>
  </w:style>
  <w:style w:type="paragraph" w:customStyle="1" w:styleId="56">
    <w:name w:val="A_正文_注释"/>
    <w:basedOn w:val="1"/>
    <w:qFormat/>
    <w:uiPriority w:val="0"/>
    <w:pPr>
      <w:tabs>
        <w:tab w:val="left" w:pos="1547"/>
      </w:tabs>
      <w:ind w:firstLine="600"/>
    </w:pPr>
    <w:rPr>
      <w:rFonts w:eastAsia="仿宋"/>
      <w:color w:val="0070C0"/>
    </w:rPr>
  </w:style>
  <w:style w:type="paragraph" w:customStyle="1" w:styleId="57">
    <w:name w:val="列表段落1"/>
    <w:basedOn w:val="1"/>
    <w:link w:val="58"/>
    <w:qFormat/>
    <w:uiPriority w:val="34"/>
    <w:pPr>
      <w:spacing w:line="240" w:lineRule="auto"/>
      <w:ind w:firstLine="420"/>
    </w:pPr>
    <w:rPr>
      <w:rFonts w:ascii="Calibri" w:hAnsi="Calibri"/>
      <w:szCs w:val="20"/>
    </w:rPr>
  </w:style>
  <w:style w:type="character" w:customStyle="1" w:styleId="58">
    <w:name w:val="列表段落 字符"/>
    <w:link w:val="57"/>
    <w:qFormat/>
    <w:uiPriority w:val="34"/>
    <w:rPr>
      <w:rFonts w:ascii="Calibri" w:hAnsi="Calibri"/>
      <w:kern w:val="2"/>
      <w:sz w:val="21"/>
    </w:rPr>
  </w:style>
  <w:style w:type="character" w:customStyle="1" w:styleId="59">
    <w:name w:val="日期 Char"/>
    <w:basedOn w:val="25"/>
    <w:link w:val="14"/>
    <w:semiHidden/>
    <w:qFormat/>
    <w:uiPriority w:val="99"/>
    <w:rPr>
      <w:kern w:val="2"/>
      <w:sz w:val="21"/>
      <w:szCs w:val="24"/>
    </w:rPr>
  </w:style>
  <w:style w:type="character" w:customStyle="1" w:styleId="60">
    <w:name w:val="正文文本缩进 Char"/>
    <w:basedOn w:val="25"/>
    <w:link w:val="12"/>
    <w:semiHidden/>
    <w:qFormat/>
    <w:uiPriority w:val="99"/>
    <w:rPr>
      <w:kern w:val="2"/>
      <w:sz w:val="21"/>
      <w:szCs w:val="24"/>
    </w:rPr>
  </w:style>
  <w:style w:type="character" w:customStyle="1" w:styleId="61">
    <w:name w:val="font11"/>
    <w:basedOn w:val="25"/>
    <w:qFormat/>
    <w:uiPriority w:val="0"/>
    <w:rPr>
      <w:rFonts w:hint="eastAsia" w:ascii="宋体" w:hAnsi="宋体" w:eastAsia="宋体" w:cs="宋体"/>
      <w:color w:val="FF0000"/>
      <w:sz w:val="21"/>
      <w:szCs w:val="21"/>
      <w:u w:val="none"/>
    </w:rPr>
  </w:style>
  <w:style w:type="paragraph" w:customStyle="1" w:styleId="62">
    <w:name w:val="FUNO4"/>
    <w:basedOn w:val="1"/>
    <w:link w:val="63"/>
    <w:qFormat/>
    <w:uiPriority w:val="0"/>
    <w:pPr>
      <w:widowControl/>
      <w:numPr>
        <w:ilvl w:val="3"/>
        <w:numId w:val="1"/>
      </w:numPr>
      <w:spacing w:beforeLines="50" w:afterLines="50" w:line="240" w:lineRule="auto"/>
      <w:ind w:firstLine="0" w:firstLineChars="0"/>
      <w:jc w:val="left"/>
      <w:outlineLvl w:val="3"/>
    </w:pPr>
    <w:rPr>
      <w:rFonts w:ascii="Arial Unicode MS" w:hAnsi="Arial Unicode MS"/>
      <w:b/>
      <w:sz w:val="30"/>
      <w:szCs w:val="22"/>
      <w:lang w:val="zh-CN"/>
    </w:rPr>
  </w:style>
  <w:style w:type="character" w:customStyle="1" w:styleId="63">
    <w:name w:val="FUNO4 Char"/>
    <w:link w:val="62"/>
    <w:qFormat/>
    <w:uiPriority w:val="0"/>
    <w:rPr>
      <w:rFonts w:ascii="Arial Unicode MS" w:hAnsi="Arial Unicode MS"/>
      <w:b/>
      <w:kern w:val="2"/>
      <w:sz w:val="30"/>
      <w:szCs w:val="22"/>
      <w:lang w:val="zh-CN"/>
    </w:rPr>
  </w:style>
  <w:style w:type="paragraph" w:styleId="64">
    <w:name w:val="No Spacing"/>
    <w:qFormat/>
    <w:uiPriority w:val="1"/>
    <w:pPr>
      <w:widowControl w:val="0"/>
      <w:jc w:val="both"/>
    </w:pPr>
    <w:rPr>
      <w:rFonts w:ascii="Calibri" w:hAnsi="Calibri" w:eastAsia="宋体" w:cs="Calibri"/>
      <w:kern w:val="2"/>
      <w:sz w:val="21"/>
      <w:szCs w:val="22"/>
      <w:lang w:val="en-US" w:eastAsia="zh-CN" w:bidi="ar-SA"/>
    </w:rPr>
  </w:style>
  <w:style w:type="paragraph" w:customStyle="1" w:styleId="65">
    <w:name w:val="SANGFOR_6_正文"/>
    <w:basedOn w:val="1"/>
    <w:link w:val="66"/>
    <w:qFormat/>
    <w:uiPriority w:val="0"/>
    <w:pPr>
      <w:ind w:firstLine="420"/>
      <w:jc w:val="left"/>
    </w:pPr>
    <w:rPr>
      <w:rFonts w:ascii="宋体" w:hAnsi="宋体"/>
      <w:szCs w:val="21"/>
    </w:rPr>
  </w:style>
  <w:style w:type="character" w:customStyle="1" w:styleId="66">
    <w:name w:val="SANGFOR_6_正文 Char"/>
    <w:link w:val="65"/>
    <w:qFormat/>
    <w:uiPriority w:val="0"/>
    <w:rPr>
      <w:rFonts w:ascii="宋体" w:hAnsi="宋体"/>
      <w:kern w:val="2"/>
      <w:sz w:val="21"/>
      <w:szCs w:val="21"/>
    </w:rPr>
  </w:style>
  <w:style w:type="character" w:customStyle="1" w:styleId="67">
    <w:name w:val="HTML 预设格式 Char"/>
    <w:basedOn w:val="25"/>
    <w:link w:val="20"/>
    <w:qFormat/>
    <w:uiPriority w:val="0"/>
    <w:rPr>
      <w:rFonts w:ascii="??" w:hAnsi="??" w:eastAsia="??" w:cs="Courier New"/>
      <w:szCs w:val="28"/>
    </w:rPr>
  </w:style>
  <w:style w:type="paragraph" w:customStyle="1" w:styleId="68">
    <w:name w:val="_Style 2"/>
    <w:qFormat/>
    <w:uiPriority w:val="0"/>
    <w:pPr>
      <w:widowControl w:val="0"/>
      <w:jc w:val="both"/>
    </w:pPr>
    <w:rPr>
      <w:rFonts w:ascii="Times New Roman" w:hAnsi="Times New Roman" w:eastAsia="宋体" w:cs="Calibri"/>
      <w:kern w:val="2"/>
      <w:sz w:val="21"/>
      <w:szCs w:val="22"/>
      <w:lang w:val="en-US" w:eastAsia="zh-CN" w:bidi="ar-SA"/>
    </w:rPr>
  </w:style>
  <w:style w:type="paragraph" w:styleId="69">
    <w:name w:val="List Paragraph"/>
    <w:basedOn w:val="1"/>
    <w:qFormat/>
    <w:uiPriority w:val="34"/>
    <w:pPr>
      <w:ind w:firstLine="420"/>
    </w:pPr>
  </w:style>
  <w:style w:type="paragraph" w:customStyle="1" w:styleId="70">
    <w:name w:val="p0"/>
    <w:basedOn w:val="1"/>
    <w:qFormat/>
    <w:uiPriority w:val="0"/>
    <w:pPr>
      <w:widowControl/>
      <w:spacing w:line="240" w:lineRule="auto"/>
      <w:ind w:firstLine="0" w:firstLineChars="0"/>
    </w:pPr>
    <w:rPr>
      <w:kern w:val="0"/>
      <w:szCs w:val="21"/>
    </w:rPr>
  </w:style>
  <w:style w:type="character" w:customStyle="1" w:styleId="71">
    <w:name w:val="bookmark-item"/>
    <w:basedOn w:val="25"/>
    <w:qFormat/>
    <w:uiPriority w:val="0"/>
  </w:style>
  <w:style w:type="paragraph" w:customStyle="1" w:styleId="7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73">
    <w:name w:val="网格表 3 - 着色 11"/>
    <w:basedOn w:val="23"/>
    <w:qFormat/>
    <w:uiPriority w:val="48"/>
    <w:rPr>
      <w:kern w:val="2"/>
      <w:sz w:val="21"/>
      <w:szCs w:val="22"/>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paragraph" w:customStyle="1" w:styleId="74">
    <w:name w:val="表格文字"/>
    <w:basedOn w:val="1"/>
    <w:qFormat/>
    <w:uiPriority w:val="99"/>
    <w:pPr>
      <w:spacing w:before="25" w:beforeLines="0" w:after="25" w:afterLines="0" w:line="300" w:lineRule="auto"/>
    </w:pPr>
    <w:rPr>
      <w:rFonts w:ascii="Times" w:hAnsi="Time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B11A7E-856E-46B8-AD59-B7DD08150F8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30157</Words>
  <Characters>7962</Characters>
  <Lines>66</Lines>
  <Paragraphs>76</Paragraphs>
  <TotalTime>7</TotalTime>
  <ScaleCrop>false</ScaleCrop>
  <LinksUpToDate>false</LinksUpToDate>
  <CharactersWithSpaces>38043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2020-09-09T08:41:00Z</dcterms:created>
  <dc:creator>Administrator</dc:creator>
  <cp:lastModifiedBy>Administrator</cp:lastModifiedBy>
  <cp:lastPrinted>2020-11-17T07:37:00Z</cp:lastPrinted>
  <dcterms:modified xsi:type="dcterms:W3CDTF">2020-11-19T02:15:24Z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