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绘画艺术学院版画实验室设备一批</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绘画艺术学院版画实验室设备一批</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浙财采确【2019】41915号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ZJXL-MY-201941</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九</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_Toc22815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28"/>
        </w:rPr>
        <w:t>招标公告</w:t>
      </w:r>
      <w:r>
        <w:rPr>
          <w:color w:val="auto"/>
        </w:rPr>
        <w:tab/>
      </w:r>
      <w:r>
        <w:rPr>
          <w:color w:val="auto"/>
        </w:rPr>
        <w:fldChar w:fldCharType="begin"/>
      </w:r>
      <w:r>
        <w:rPr>
          <w:color w:val="auto"/>
        </w:rPr>
        <w:instrText xml:space="preserve"> PAGEREF _Toc22815 </w:instrText>
      </w:r>
      <w:r>
        <w:rPr>
          <w:color w:val="auto"/>
        </w:rPr>
        <w:fldChar w:fldCharType="separate"/>
      </w:r>
      <w:r>
        <w:rPr>
          <w:color w:val="auto"/>
        </w:rPr>
        <w:t>1</w:t>
      </w:r>
      <w:r>
        <w:rPr>
          <w:color w:val="auto"/>
        </w:rP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_Toc3354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第一章 投标人须知</w:t>
      </w:r>
      <w:r>
        <w:rPr>
          <w:color w:val="auto"/>
        </w:rPr>
        <w:tab/>
      </w:r>
      <w:r>
        <w:rPr>
          <w:color w:val="auto"/>
        </w:rPr>
        <w:fldChar w:fldCharType="begin"/>
      </w:r>
      <w:r>
        <w:rPr>
          <w:color w:val="auto"/>
        </w:rPr>
        <w:instrText xml:space="preserve"> PAGEREF _Toc3354 </w:instrText>
      </w:r>
      <w:r>
        <w:rPr>
          <w:color w:val="auto"/>
        </w:rPr>
        <w:fldChar w:fldCharType="separate"/>
      </w:r>
      <w:r>
        <w:rPr>
          <w:color w:val="auto"/>
        </w:rPr>
        <w:t>4</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_Toc22468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投标人须知前附表</w:t>
      </w:r>
      <w:r>
        <w:rPr>
          <w:color w:val="auto"/>
        </w:rPr>
        <w:tab/>
      </w:r>
      <w:r>
        <w:rPr>
          <w:color w:val="auto"/>
        </w:rPr>
        <w:fldChar w:fldCharType="begin"/>
      </w:r>
      <w:r>
        <w:rPr>
          <w:color w:val="auto"/>
        </w:rPr>
        <w:instrText xml:space="preserve"> PAGEREF _Toc22468 </w:instrText>
      </w:r>
      <w:r>
        <w:rPr>
          <w:color w:val="auto"/>
        </w:rPr>
        <w:fldChar w:fldCharType="separate"/>
      </w:r>
      <w:r>
        <w:rPr>
          <w:color w:val="auto"/>
        </w:rPr>
        <w:t>4</w:t>
      </w:r>
      <w:r>
        <w:rPr>
          <w:color w:val="auto"/>
        </w:rP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_Toc31813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1采购说明</w:t>
      </w:r>
      <w:r>
        <w:rPr>
          <w:color w:val="auto"/>
        </w:rPr>
        <w:tab/>
      </w:r>
      <w:r>
        <w:rPr>
          <w:color w:val="auto"/>
        </w:rPr>
        <w:fldChar w:fldCharType="begin"/>
      </w:r>
      <w:r>
        <w:rPr>
          <w:color w:val="auto"/>
        </w:rPr>
        <w:instrText xml:space="preserve"> PAGEREF _Toc31813 </w:instrText>
      </w:r>
      <w:r>
        <w:rPr>
          <w:color w:val="auto"/>
        </w:rPr>
        <w:fldChar w:fldCharType="separate"/>
      </w:r>
      <w:r>
        <w:rPr>
          <w:color w:val="auto"/>
        </w:rPr>
        <w:t>9</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_Toc25718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2招标文件</w:t>
      </w:r>
      <w:r>
        <w:rPr>
          <w:color w:val="auto"/>
        </w:rPr>
        <w:tab/>
      </w:r>
      <w:r>
        <w:rPr>
          <w:color w:val="auto"/>
        </w:rPr>
        <w:fldChar w:fldCharType="begin"/>
      </w:r>
      <w:r>
        <w:rPr>
          <w:color w:val="auto"/>
        </w:rPr>
        <w:instrText xml:space="preserve"> PAGEREF _Toc25718 </w:instrText>
      </w:r>
      <w:r>
        <w:rPr>
          <w:color w:val="auto"/>
        </w:rPr>
        <w:fldChar w:fldCharType="separate"/>
      </w:r>
      <w:r>
        <w:rPr>
          <w:color w:val="auto"/>
        </w:rPr>
        <w:t>9</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_Toc16699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3投标文件</w:t>
      </w:r>
      <w:r>
        <w:rPr>
          <w:color w:val="auto"/>
        </w:rPr>
        <w:tab/>
      </w:r>
      <w:r>
        <w:rPr>
          <w:color w:val="auto"/>
        </w:rPr>
        <w:fldChar w:fldCharType="begin"/>
      </w:r>
      <w:r>
        <w:rPr>
          <w:color w:val="auto"/>
        </w:rPr>
        <w:instrText xml:space="preserve"> PAGEREF _Toc16699 </w:instrText>
      </w:r>
      <w:r>
        <w:rPr>
          <w:color w:val="auto"/>
        </w:rPr>
        <w:fldChar w:fldCharType="separate"/>
      </w:r>
      <w:r>
        <w:rPr>
          <w:color w:val="auto"/>
        </w:rPr>
        <w:t>10</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_Toc26517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4投标文件的提交</w:t>
      </w:r>
      <w:r>
        <w:rPr>
          <w:color w:val="auto"/>
        </w:rPr>
        <w:tab/>
      </w:r>
      <w:r>
        <w:rPr>
          <w:color w:val="auto"/>
        </w:rPr>
        <w:fldChar w:fldCharType="begin"/>
      </w:r>
      <w:r>
        <w:rPr>
          <w:color w:val="auto"/>
        </w:rPr>
        <w:instrText xml:space="preserve"> PAGEREF _Toc26517 </w:instrText>
      </w:r>
      <w:r>
        <w:rPr>
          <w:color w:val="auto"/>
        </w:rPr>
        <w:fldChar w:fldCharType="separate"/>
      </w:r>
      <w:r>
        <w:rPr>
          <w:color w:val="auto"/>
        </w:rPr>
        <w:t>11</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_Toc2170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5开标、评标及定标</w:t>
      </w:r>
      <w:r>
        <w:rPr>
          <w:color w:val="auto"/>
        </w:rPr>
        <w:tab/>
      </w:r>
      <w:r>
        <w:rPr>
          <w:color w:val="auto"/>
        </w:rPr>
        <w:fldChar w:fldCharType="begin"/>
      </w:r>
      <w:r>
        <w:rPr>
          <w:color w:val="auto"/>
        </w:rPr>
        <w:instrText xml:space="preserve"> PAGEREF _Toc2170 </w:instrText>
      </w:r>
      <w:r>
        <w:rPr>
          <w:color w:val="auto"/>
        </w:rPr>
        <w:fldChar w:fldCharType="separate"/>
      </w:r>
      <w:r>
        <w:rPr>
          <w:color w:val="auto"/>
        </w:rPr>
        <w:t>12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_Toc19490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6其他</w:t>
      </w:r>
      <w:r>
        <w:rPr>
          <w:color w:val="auto"/>
        </w:rPr>
        <w:tab/>
      </w:r>
      <w:r>
        <w:rPr>
          <w:color w:val="auto"/>
        </w:rPr>
        <w:fldChar w:fldCharType="begin"/>
      </w:r>
      <w:r>
        <w:rPr>
          <w:color w:val="auto"/>
        </w:rPr>
        <w:instrText xml:space="preserve"> PAGEREF _Toc19490 </w:instrText>
      </w:r>
      <w:r>
        <w:rPr>
          <w:color w:val="auto"/>
        </w:rPr>
        <w:fldChar w:fldCharType="separate"/>
      </w:r>
      <w:r>
        <w:rPr>
          <w:color w:val="auto"/>
        </w:rPr>
        <w:t>15</w:t>
      </w:r>
      <w:r>
        <w:rPr>
          <w:color w:val="auto"/>
        </w:rP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_Toc10130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第二章 采购项目技术规范和服务要求</w:t>
      </w:r>
      <w:r>
        <w:rPr>
          <w:color w:val="auto"/>
        </w:rPr>
        <w:tab/>
      </w:r>
      <w:r>
        <w:rPr>
          <w:color w:val="auto"/>
        </w:rPr>
        <w:fldChar w:fldCharType="begin"/>
      </w:r>
      <w:r>
        <w:rPr>
          <w:color w:val="auto"/>
        </w:rPr>
        <w:instrText xml:space="preserve"> PAGEREF _Toc10130 </w:instrText>
      </w:r>
      <w:r>
        <w:rPr>
          <w:color w:val="auto"/>
        </w:rPr>
        <w:fldChar w:fldCharType="separate"/>
      </w:r>
      <w:r>
        <w:rPr>
          <w:color w:val="auto"/>
        </w:rPr>
        <w:t>17</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_Toc5558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1相关法规、管理条例与技术标准、行业规范</w:t>
      </w:r>
      <w:r>
        <w:rPr>
          <w:color w:val="auto"/>
        </w:rPr>
        <w:tab/>
      </w:r>
      <w:r>
        <w:rPr>
          <w:color w:val="auto"/>
        </w:rPr>
        <w:fldChar w:fldCharType="begin"/>
      </w:r>
      <w:r>
        <w:rPr>
          <w:color w:val="auto"/>
        </w:rPr>
        <w:instrText xml:space="preserve"> PAGEREF _Toc5558 </w:instrText>
      </w:r>
      <w:r>
        <w:rPr>
          <w:color w:val="auto"/>
        </w:rPr>
        <w:fldChar w:fldCharType="separate"/>
      </w:r>
      <w:r>
        <w:rPr>
          <w:color w:val="auto"/>
        </w:rPr>
        <w:t>17</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_Toc11997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技术规范和服务要求</w:t>
      </w:r>
      <w:r>
        <w:rPr>
          <w:color w:val="auto"/>
        </w:rPr>
        <w:tab/>
      </w:r>
      <w:r>
        <w:rPr>
          <w:color w:val="auto"/>
        </w:rPr>
        <w:fldChar w:fldCharType="begin"/>
      </w:r>
      <w:r>
        <w:rPr>
          <w:color w:val="auto"/>
        </w:rPr>
        <w:instrText xml:space="preserve"> PAGEREF _Toc11997 </w:instrText>
      </w:r>
      <w:r>
        <w:rPr>
          <w:color w:val="auto"/>
        </w:rPr>
        <w:fldChar w:fldCharType="separate"/>
      </w:r>
      <w:r>
        <w:rPr>
          <w:color w:val="auto"/>
        </w:rPr>
        <w:t>17</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_Toc20959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szCs w:val="21"/>
        </w:rPr>
        <w:t>本项目核心产品</w:t>
      </w:r>
      <w:r>
        <w:rPr>
          <w:color w:val="auto"/>
        </w:rPr>
        <w:tab/>
      </w:r>
      <w:r>
        <w:rPr>
          <w:color w:val="auto"/>
        </w:rPr>
        <w:fldChar w:fldCharType="begin"/>
      </w:r>
      <w:r>
        <w:rPr>
          <w:color w:val="auto"/>
        </w:rPr>
        <w:instrText xml:space="preserve"> PAGEREF _Toc20959 </w:instrText>
      </w:r>
      <w:r>
        <w:rPr>
          <w:color w:val="auto"/>
        </w:rPr>
        <w:fldChar w:fldCharType="separate"/>
      </w:r>
      <w:r>
        <w:rPr>
          <w:color w:val="auto"/>
        </w:rPr>
        <w:t>21</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_Toc18815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szCs w:val="21"/>
        </w:rPr>
        <w:t>强制采购</w:t>
      </w:r>
      <w:r>
        <w:rPr>
          <w:color w:val="auto"/>
        </w:rPr>
        <w:tab/>
      </w:r>
      <w:r>
        <w:rPr>
          <w:color w:val="auto"/>
        </w:rPr>
        <w:fldChar w:fldCharType="begin"/>
      </w:r>
      <w:r>
        <w:rPr>
          <w:color w:val="auto"/>
        </w:rPr>
        <w:instrText xml:space="preserve"> PAGEREF _Toc18815 </w:instrText>
      </w:r>
      <w:r>
        <w:rPr>
          <w:color w:val="auto"/>
        </w:rPr>
        <w:fldChar w:fldCharType="separate"/>
      </w:r>
      <w:r>
        <w:rPr>
          <w:color w:val="auto"/>
        </w:rPr>
        <w:t>21</w:t>
      </w:r>
      <w:r>
        <w:rPr>
          <w:color w:val="auto"/>
        </w:rP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_Toc9148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第三章 采购项目商务要求</w:t>
      </w:r>
      <w:r>
        <w:rPr>
          <w:color w:val="auto"/>
        </w:rPr>
        <w:tab/>
      </w:r>
      <w:r>
        <w:rPr>
          <w:color w:val="auto"/>
        </w:rPr>
        <w:fldChar w:fldCharType="begin"/>
      </w:r>
      <w:r>
        <w:rPr>
          <w:color w:val="auto"/>
        </w:rPr>
        <w:instrText xml:space="preserve"> PAGEREF _Toc9148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_Toc16857 </w:instrText>
      </w:r>
      <w:r>
        <w:rPr>
          <w:rFonts w:hint="eastAsia" w:cs="宋体" w:asciiTheme="minorEastAsia" w:hAnsiTheme="minorEastAsia" w:eastAsiaTheme="minorEastAsia"/>
          <w:color w:val="auto"/>
        </w:rPr>
        <w:fldChar w:fldCharType="separate"/>
      </w:r>
      <w:r>
        <w:rPr>
          <w:color w:val="auto"/>
        </w:rPr>
        <w:t>1</w:t>
      </w:r>
      <w:r>
        <w:rPr>
          <w:rFonts w:hint="eastAsia" w:ascii="宋体" w:hAnsi="宋体"/>
          <w:color w:val="auto"/>
        </w:rPr>
        <w:t>供货期</w:t>
      </w:r>
      <w:r>
        <w:rPr>
          <w:color w:val="auto"/>
        </w:rPr>
        <w:tab/>
      </w:r>
      <w:r>
        <w:rPr>
          <w:color w:val="auto"/>
        </w:rPr>
        <w:fldChar w:fldCharType="begin"/>
      </w:r>
      <w:r>
        <w:rPr>
          <w:color w:val="auto"/>
        </w:rPr>
        <w:instrText xml:space="preserve"> PAGEREF _Toc16857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_Toc20596 </w:instrText>
      </w:r>
      <w:r>
        <w:rPr>
          <w:rFonts w:hint="eastAsia" w:cs="宋体" w:asciiTheme="minorEastAsia" w:hAnsiTheme="minorEastAsia" w:eastAsiaTheme="minorEastAsia"/>
          <w:color w:val="auto"/>
        </w:rPr>
        <w:fldChar w:fldCharType="separate"/>
      </w:r>
      <w:r>
        <w:rPr>
          <w:color w:val="auto"/>
        </w:rPr>
        <w:t>2</w:t>
      </w:r>
      <w:r>
        <w:rPr>
          <w:rFonts w:hint="eastAsia" w:ascii="宋体" w:hAnsi="宋体"/>
          <w:color w:val="auto"/>
        </w:rPr>
        <w:t>质保期</w:t>
      </w:r>
      <w:r>
        <w:rPr>
          <w:color w:val="auto"/>
        </w:rPr>
        <w:tab/>
      </w:r>
      <w:r>
        <w:rPr>
          <w:color w:val="auto"/>
        </w:rPr>
        <w:fldChar w:fldCharType="begin"/>
      </w:r>
      <w:r>
        <w:rPr>
          <w:color w:val="auto"/>
        </w:rPr>
        <w:instrText xml:space="preserve"> PAGEREF _Toc20596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_Toc23423 </w:instrText>
      </w:r>
      <w:r>
        <w:rPr>
          <w:rFonts w:hint="eastAsia" w:cs="宋体" w:asciiTheme="minorEastAsia" w:hAnsiTheme="minorEastAsia" w:eastAsiaTheme="minorEastAsia"/>
          <w:color w:val="auto"/>
        </w:rPr>
        <w:fldChar w:fldCharType="separate"/>
      </w:r>
      <w:r>
        <w:rPr>
          <w:color w:val="auto"/>
        </w:rPr>
        <w:t>3</w:t>
      </w:r>
      <w:r>
        <w:rPr>
          <w:rFonts w:hint="eastAsia" w:ascii="宋体" w:hAnsi="宋体"/>
          <w:color w:val="auto"/>
        </w:rPr>
        <w:t>保存和运输要求</w:t>
      </w:r>
      <w:r>
        <w:rPr>
          <w:color w:val="auto"/>
        </w:rPr>
        <w:tab/>
      </w:r>
      <w:r>
        <w:rPr>
          <w:color w:val="auto"/>
        </w:rPr>
        <w:fldChar w:fldCharType="begin"/>
      </w:r>
      <w:r>
        <w:rPr>
          <w:color w:val="auto"/>
        </w:rPr>
        <w:instrText xml:space="preserve"> PAGEREF _Toc23423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_Toc181 </w:instrText>
      </w:r>
      <w:r>
        <w:rPr>
          <w:rFonts w:hint="eastAsia" w:cs="宋体" w:asciiTheme="minorEastAsia" w:hAnsiTheme="minorEastAsia" w:eastAsiaTheme="minorEastAsia"/>
          <w:color w:val="auto"/>
        </w:rPr>
        <w:fldChar w:fldCharType="separate"/>
      </w:r>
      <w:r>
        <w:rPr>
          <w:color w:val="auto"/>
        </w:rPr>
        <w:t>4</w:t>
      </w:r>
      <w:r>
        <w:rPr>
          <w:rFonts w:hint="eastAsia" w:ascii="宋体" w:hAnsi="宋体"/>
          <w:color w:val="auto"/>
        </w:rPr>
        <w:t>验收标准</w:t>
      </w:r>
      <w:r>
        <w:rPr>
          <w:color w:val="auto"/>
        </w:rPr>
        <w:tab/>
      </w:r>
      <w:r>
        <w:rPr>
          <w:color w:val="auto"/>
        </w:rPr>
        <w:fldChar w:fldCharType="begin"/>
      </w:r>
      <w:r>
        <w:rPr>
          <w:color w:val="auto"/>
        </w:rPr>
        <w:instrText xml:space="preserve"> PAGEREF _Toc181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_Toc15681 </w:instrText>
      </w:r>
      <w:r>
        <w:rPr>
          <w:rFonts w:hint="eastAsia" w:cs="宋体" w:asciiTheme="minorEastAsia" w:hAnsiTheme="minorEastAsia" w:eastAsiaTheme="minorEastAsia"/>
          <w:color w:val="auto"/>
        </w:rPr>
        <w:fldChar w:fldCharType="separate"/>
      </w:r>
      <w:r>
        <w:rPr>
          <w:color w:val="auto"/>
        </w:rPr>
        <w:t>5</w:t>
      </w:r>
      <w:r>
        <w:rPr>
          <w:rFonts w:hint="eastAsia" w:ascii="宋体" w:hAnsi="宋体"/>
          <w:color w:val="auto"/>
        </w:rPr>
        <w:t>售后服务</w:t>
      </w:r>
      <w:r>
        <w:rPr>
          <w:color w:val="auto"/>
        </w:rPr>
        <w:tab/>
      </w:r>
      <w:r>
        <w:rPr>
          <w:color w:val="auto"/>
        </w:rPr>
        <w:fldChar w:fldCharType="begin"/>
      </w:r>
      <w:r>
        <w:rPr>
          <w:color w:val="auto"/>
        </w:rPr>
        <w:instrText xml:space="preserve"> PAGEREF _Toc15681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_Toc17796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t>6履约保证金</w:t>
      </w:r>
      <w:r>
        <w:rPr>
          <w:color w:val="auto"/>
        </w:rPr>
        <w:tab/>
      </w:r>
      <w:r>
        <w:rPr>
          <w:color w:val="auto"/>
        </w:rPr>
        <w:fldChar w:fldCharType="begin"/>
      </w:r>
      <w:r>
        <w:rPr>
          <w:color w:val="auto"/>
        </w:rPr>
        <w:instrText xml:space="preserve"> PAGEREF _Toc17796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_Toc4635 </w:instrText>
      </w:r>
      <w:r>
        <w:rPr>
          <w:rFonts w:hint="eastAsia" w:cs="宋体" w:asciiTheme="minorEastAsia" w:hAnsiTheme="minorEastAsia" w:eastAsiaTheme="minorEastAsia"/>
          <w:color w:val="auto"/>
        </w:rPr>
        <w:fldChar w:fldCharType="separate"/>
      </w:r>
      <w:r>
        <w:rPr>
          <w:color w:val="auto"/>
        </w:rPr>
        <w:t>7</w:t>
      </w:r>
      <w:r>
        <w:rPr>
          <w:rFonts w:hint="eastAsia" w:ascii="宋体" w:hAnsi="宋体"/>
          <w:color w:val="auto"/>
        </w:rPr>
        <w:t>付款方式</w:t>
      </w:r>
      <w:r>
        <w:rPr>
          <w:color w:val="auto"/>
        </w:rPr>
        <w:tab/>
      </w:r>
      <w:r>
        <w:rPr>
          <w:color w:val="auto"/>
        </w:rPr>
        <w:fldChar w:fldCharType="begin"/>
      </w:r>
      <w:r>
        <w:rPr>
          <w:color w:val="auto"/>
        </w:rPr>
        <w:instrText xml:space="preserve"> PAGEREF _Toc4635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_Toc4654 </w:instrText>
      </w:r>
      <w:r>
        <w:rPr>
          <w:rFonts w:hint="eastAsia" w:cs="宋体" w:asciiTheme="minorEastAsia" w:hAnsiTheme="minorEastAsia" w:eastAsiaTheme="minorEastAsia"/>
          <w:color w:val="auto"/>
        </w:rPr>
        <w:fldChar w:fldCharType="separate"/>
      </w:r>
      <w:r>
        <w:rPr>
          <w:color w:val="auto"/>
        </w:rPr>
        <w:t>8</w:t>
      </w:r>
      <w:r>
        <w:rPr>
          <w:rFonts w:hint="eastAsia" w:ascii="宋体" w:hAnsi="宋体"/>
          <w:color w:val="auto"/>
        </w:rPr>
        <w:t>合同履行</w:t>
      </w:r>
      <w:r>
        <w:rPr>
          <w:color w:val="auto"/>
        </w:rPr>
        <w:tab/>
      </w:r>
      <w:r>
        <w:rPr>
          <w:color w:val="auto"/>
        </w:rPr>
        <w:fldChar w:fldCharType="begin"/>
      </w:r>
      <w:r>
        <w:rPr>
          <w:color w:val="auto"/>
        </w:rPr>
        <w:instrText xml:space="preserve"> PAGEREF _Toc4654 </w:instrText>
      </w:r>
      <w:r>
        <w:rPr>
          <w:color w:val="auto"/>
        </w:rPr>
        <w:fldChar w:fldCharType="separate"/>
      </w:r>
      <w:r>
        <w:rPr>
          <w:color w:val="auto"/>
        </w:rPr>
        <w:t>22</w:t>
      </w:r>
      <w:r>
        <w:rPr>
          <w:color w:val="auto"/>
        </w:rP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_Toc15774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第四章 合同格式</w:t>
      </w:r>
      <w:r>
        <w:rPr>
          <w:color w:val="auto"/>
        </w:rPr>
        <w:tab/>
      </w:r>
      <w:r>
        <w:rPr>
          <w:color w:val="auto"/>
        </w:rPr>
        <w:fldChar w:fldCharType="begin"/>
      </w:r>
      <w:r>
        <w:rPr>
          <w:color w:val="auto"/>
        </w:rPr>
        <w:instrText xml:space="preserve"> PAGEREF _Toc15774 </w:instrText>
      </w:r>
      <w:r>
        <w:rPr>
          <w:color w:val="auto"/>
        </w:rPr>
        <w:fldChar w:fldCharType="separate"/>
      </w:r>
      <w:r>
        <w:rPr>
          <w:color w:val="auto"/>
        </w:rPr>
        <w:t>23</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_Toc26628 </w:instrText>
      </w:r>
      <w:r>
        <w:rPr>
          <w:rFonts w:hint="eastAsia" w:cs="宋体" w:asciiTheme="minorEastAsia" w:hAnsiTheme="minorEastAsia" w:eastAsiaTheme="minorEastAsia"/>
          <w:color w:val="auto"/>
        </w:rPr>
        <w:fldChar w:fldCharType="separate"/>
      </w:r>
      <w:r>
        <w:rPr>
          <w:rFonts w:hint="eastAsia"/>
          <w:color w:val="auto"/>
        </w:rPr>
        <w:t>浙江省政府采购合同指引</w:t>
      </w:r>
      <w:r>
        <w:rPr>
          <w:color w:val="auto"/>
        </w:rPr>
        <w:tab/>
      </w:r>
      <w:r>
        <w:rPr>
          <w:color w:val="auto"/>
        </w:rPr>
        <w:fldChar w:fldCharType="begin"/>
      </w:r>
      <w:r>
        <w:rPr>
          <w:color w:val="auto"/>
        </w:rPr>
        <w:instrText xml:space="preserve"> PAGEREF _Toc26628 </w:instrText>
      </w:r>
      <w:r>
        <w:rPr>
          <w:color w:val="auto"/>
        </w:rPr>
        <w:fldChar w:fldCharType="separate"/>
      </w:r>
      <w:r>
        <w:rPr>
          <w:color w:val="auto"/>
        </w:rPr>
        <w:t>23</w:t>
      </w:r>
      <w:r>
        <w:rPr>
          <w:color w:val="auto"/>
        </w:rP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_Toc5020 </w:instrText>
      </w:r>
      <w:r>
        <w:rPr>
          <w:rFonts w:hint="eastAsia" w:cs="宋体" w:asciiTheme="minorEastAsia" w:hAnsiTheme="minorEastAsia" w:eastAsiaTheme="minorEastAsia"/>
          <w:color w:val="auto"/>
        </w:rPr>
        <w:fldChar w:fldCharType="separate"/>
      </w:r>
      <w:r>
        <w:rPr>
          <w:rFonts w:hint="eastAsia" w:asciiTheme="minorEastAsia" w:hAnsiTheme="minorEastAsia" w:eastAsiaTheme="minorEastAsia"/>
          <w:color w:val="auto"/>
          <w:szCs w:val="32"/>
        </w:rPr>
        <w:t>第五章 投标文件内容及格式</w:t>
      </w:r>
      <w:r>
        <w:rPr>
          <w:color w:val="auto"/>
        </w:rPr>
        <w:tab/>
      </w:r>
      <w:r>
        <w:rPr>
          <w:color w:val="auto"/>
        </w:rPr>
        <w:fldChar w:fldCharType="begin"/>
      </w:r>
      <w:r>
        <w:rPr>
          <w:color w:val="auto"/>
        </w:rPr>
        <w:instrText xml:space="preserve"> PAGEREF _Toc5020 </w:instrText>
      </w:r>
      <w:r>
        <w:rPr>
          <w:color w:val="auto"/>
        </w:rPr>
        <w:fldChar w:fldCharType="separate"/>
      </w:r>
      <w:r>
        <w:rPr>
          <w:color w:val="auto"/>
        </w:rPr>
        <w:t>28</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_Toc15786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1投标人提交投标文件须知</w:t>
      </w:r>
      <w:r>
        <w:rPr>
          <w:color w:val="auto"/>
        </w:rPr>
        <w:tab/>
      </w:r>
      <w:r>
        <w:rPr>
          <w:color w:val="auto"/>
        </w:rPr>
        <w:fldChar w:fldCharType="begin"/>
      </w:r>
      <w:r>
        <w:rPr>
          <w:color w:val="auto"/>
        </w:rPr>
        <w:instrText xml:space="preserve"> PAGEREF _Toc15786 </w:instrText>
      </w:r>
      <w:r>
        <w:rPr>
          <w:color w:val="auto"/>
        </w:rPr>
        <w:fldChar w:fldCharType="separate"/>
      </w:r>
      <w:r>
        <w:rPr>
          <w:color w:val="auto"/>
        </w:rPr>
        <w:t>28</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_Toc29045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2投标文件组成</w:t>
      </w:r>
      <w:r>
        <w:rPr>
          <w:color w:val="auto"/>
        </w:rPr>
        <w:tab/>
      </w:r>
      <w:r>
        <w:rPr>
          <w:color w:val="auto"/>
        </w:rPr>
        <w:fldChar w:fldCharType="begin"/>
      </w:r>
      <w:r>
        <w:rPr>
          <w:color w:val="auto"/>
        </w:rPr>
        <w:instrText xml:space="preserve"> PAGEREF _Toc29045 </w:instrText>
      </w:r>
      <w:r>
        <w:rPr>
          <w:color w:val="auto"/>
        </w:rPr>
        <w:fldChar w:fldCharType="separate"/>
      </w:r>
      <w:r>
        <w:rPr>
          <w:color w:val="auto"/>
        </w:rPr>
        <w:t>28</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_Toc22242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3投标文件编制格式及规范要求</w:t>
      </w:r>
      <w:r>
        <w:rPr>
          <w:color w:val="auto"/>
        </w:rPr>
        <w:tab/>
      </w:r>
      <w:r>
        <w:rPr>
          <w:color w:val="auto"/>
        </w:rPr>
        <w:fldChar w:fldCharType="begin"/>
      </w:r>
      <w:r>
        <w:rPr>
          <w:color w:val="auto"/>
        </w:rPr>
        <w:instrText xml:space="preserve"> PAGEREF _Toc22242 </w:instrText>
      </w:r>
      <w:r>
        <w:rPr>
          <w:color w:val="auto"/>
        </w:rPr>
        <w:fldChar w:fldCharType="separate"/>
      </w:r>
      <w:r>
        <w:rPr>
          <w:color w:val="auto"/>
        </w:rPr>
        <w:t>30</w:t>
      </w:r>
      <w:r>
        <w:rPr>
          <w:color w:val="auto"/>
        </w:rP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_Toc9222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32"/>
        </w:rPr>
        <w:t>第六章 评标办法</w:t>
      </w:r>
      <w:r>
        <w:rPr>
          <w:color w:val="auto"/>
        </w:rPr>
        <w:tab/>
      </w:r>
      <w:r>
        <w:rPr>
          <w:color w:val="auto"/>
        </w:rPr>
        <w:fldChar w:fldCharType="begin"/>
      </w:r>
      <w:r>
        <w:rPr>
          <w:color w:val="auto"/>
        </w:rPr>
        <w:instrText xml:space="preserve"> PAGEREF _Toc9222 </w:instrText>
      </w:r>
      <w:r>
        <w:rPr>
          <w:color w:val="auto"/>
        </w:rPr>
        <w:fldChar w:fldCharType="separate"/>
      </w:r>
      <w:r>
        <w:rPr>
          <w:color w:val="auto"/>
        </w:rPr>
        <w:t>49</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_Toc21730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1总则</w:t>
      </w:r>
      <w:r>
        <w:rPr>
          <w:color w:val="auto"/>
        </w:rPr>
        <w:tab/>
      </w:r>
      <w:r>
        <w:rPr>
          <w:color w:val="auto"/>
        </w:rPr>
        <w:fldChar w:fldCharType="begin"/>
      </w:r>
      <w:r>
        <w:rPr>
          <w:color w:val="auto"/>
        </w:rPr>
        <w:instrText xml:space="preserve"> PAGEREF _Toc21730 </w:instrText>
      </w:r>
      <w:r>
        <w:rPr>
          <w:color w:val="auto"/>
        </w:rPr>
        <w:fldChar w:fldCharType="separate"/>
      </w:r>
      <w:r>
        <w:rPr>
          <w:color w:val="auto"/>
        </w:rPr>
        <w:t>49</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_Toc14928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2评标组织</w:t>
      </w:r>
      <w:r>
        <w:rPr>
          <w:color w:val="auto"/>
        </w:rPr>
        <w:tab/>
      </w:r>
      <w:r>
        <w:rPr>
          <w:color w:val="auto"/>
        </w:rPr>
        <w:fldChar w:fldCharType="begin"/>
      </w:r>
      <w:r>
        <w:rPr>
          <w:color w:val="auto"/>
        </w:rPr>
        <w:instrText xml:space="preserve"> PAGEREF _Toc14928 </w:instrText>
      </w:r>
      <w:r>
        <w:rPr>
          <w:color w:val="auto"/>
        </w:rPr>
        <w:fldChar w:fldCharType="separate"/>
      </w:r>
      <w:r>
        <w:rPr>
          <w:color w:val="auto"/>
        </w:rPr>
        <w:t>49</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_Toc22771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3评标程序和内容</w:t>
      </w:r>
      <w:r>
        <w:rPr>
          <w:color w:val="auto"/>
        </w:rPr>
        <w:tab/>
      </w:r>
      <w:r>
        <w:rPr>
          <w:color w:val="auto"/>
        </w:rPr>
        <w:fldChar w:fldCharType="begin"/>
      </w:r>
      <w:r>
        <w:rPr>
          <w:color w:val="auto"/>
        </w:rPr>
        <w:instrText xml:space="preserve"> PAGEREF _Toc22771 </w:instrText>
      </w:r>
      <w:r>
        <w:rPr>
          <w:color w:val="auto"/>
        </w:rPr>
        <w:fldChar w:fldCharType="separate"/>
      </w:r>
      <w:r>
        <w:rPr>
          <w:color w:val="auto"/>
        </w:rPr>
        <w:t>49</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_Toc11122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4投标文件的审查</w:t>
      </w:r>
      <w:r>
        <w:rPr>
          <w:color w:val="auto"/>
        </w:rPr>
        <w:tab/>
      </w:r>
      <w:r>
        <w:rPr>
          <w:color w:val="auto"/>
        </w:rPr>
        <w:fldChar w:fldCharType="begin"/>
      </w:r>
      <w:r>
        <w:rPr>
          <w:color w:val="auto"/>
        </w:rPr>
        <w:instrText xml:space="preserve"> PAGEREF _Toc11122 </w:instrText>
      </w:r>
      <w:r>
        <w:rPr>
          <w:color w:val="auto"/>
        </w:rPr>
        <w:fldChar w:fldCharType="separate"/>
      </w:r>
      <w:r>
        <w:rPr>
          <w:color w:val="auto"/>
        </w:rPr>
        <w:t>49</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_Toc5932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5评分细则</w:t>
      </w:r>
      <w:r>
        <w:rPr>
          <w:color w:val="auto"/>
        </w:rPr>
        <w:tab/>
      </w:r>
      <w:r>
        <w:rPr>
          <w:color w:val="auto"/>
        </w:rPr>
        <w:fldChar w:fldCharType="begin"/>
      </w:r>
      <w:r>
        <w:rPr>
          <w:color w:val="auto"/>
        </w:rPr>
        <w:instrText xml:space="preserve"> PAGEREF _Toc5932 </w:instrText>
      </w:r>
      <w:r>
        <w:rPr>
          <w:color w:val="auto"/>
        </w:rPr>
        <w:fldChar w:fldCharType="separate"/>
      </w:r>
      <w:r>
        <w:rPr>
          <w:color w:val="auto"/>
        </w:rPr>
        <w:t>51</w:t>
      </w:r>
      <w:r>
        <w:rPr>
          <w:color w:val="auto"/>
        </w:rP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rPr>
          <w:color w:val="auto"/>
        </w:rPr>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HYPERLINK \l _Toc7950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szCs w:val="21"/>
        </w:rPr>
        <w:t>6.评标报告</w:t>
      </w:r>
      <w:r>
        <w:rPr>
          <w:color w:val="auto"/>
        </w:rPr>
        <w:tab/>
      </w:r>
      <w:r>
        <w:rPr>
          <w:color w:val="auto"/>
        </w:rPr>
        <w:fldChar w:fldCharType="begin"/>
      </w:r>
      <w:r>
        <w:rPr>
          <w:color w:val="auto"/>
        </w:rPr>
        <w:instrText xml:space="preserve"> PAGEREF _Toc7950 </w:instrText>
      </w:r>
      <w:r>
        <w:rPr>
          <w:color w:val="auto"/>
        </w:rPr>
        <w:fldChar w:fldCharType="separate"/>
      </w:r>
      <w:r>
        <w:rPr>
          <w:color w:val="auto"/>
        </w:rPr>
        <w:t>54</w:t>
      </w:r>
      <w:r>
        <w:rPr>
          <w:color w:val="auto"/>
        </w:rP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中国美术学院绘画艺术学院版画实验室设备一批</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2815"/>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绘画艺术学院版画实验室设备一批</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ZJXL-MY-201941</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1"/>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绘画艺术学院版画实验室设备一批（进口）</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144.29</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144.29</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版画实验室设备采购</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为采购项目提供整体设计、规范编制或者项目管理、监理、检测等服务的投标人，不得再参加该采购项目投标。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无</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1.报名/发售时间：2019年</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16</w:t>
      </w:r>
      <w:r>
        <w:rPr>
          <w:rFonts w:hint="eastAsia" w:asciiTheme="minorEastAsia" w:hAnsiTheme="minorEastAsia" w:eastAsiaTheme="minorEastAsia"/>
          <w:color w:val="auto"/>
        </w:rPr>
        <w:t>日至2019年</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23</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6"/>
          <w:rFonts w:hint="eastAsia" w:cs="宋体" w:asciiTheme="minorEastAsia" w:hAnsiTheme="minorEastAsia" w:eastAsiaTheme="minorEastAsia"/>
          <w:color w:val="auto"/>
          <w:szCs w:val="21"/>
        </w:rPr>
        <w:t>ZJXL</w:t>
      </w:r>
      <w:r>
        <w:rPr>
          <w:rStyle w:val="26"/>
          <w:rFonts w:cs="宋体" w:asciiTheme="minorEastAsia" w:hAnsiTheme="minorEastAsia" w:eastAsiaTheme="minorEastAsia"/>
          <w:color w:val="auto"/>
          <w:szCs w:val="21"/>
        </w:rPr>
        <w:t>85024997</w:t>
      </w:r>
      <w:r>
        <w:rPr>
          <w:rStyle w:val="26"/>
          <w:rFonts w:hint="eastAsia" w:cs="宋体" w:asciiTheme="minorEastAsia" w:hAnsiTheme="minorEastAsia" w:eastAsiaTheme="minorEastAsia"/>
          <w:color w:val="auto"/>
          <w:szCs w:val="21"/>
        </w:rPr>
        <w:t>@1</w:t>
      </w:r>
      <w:r>
        <w:rPr>
          <w:rStyle w:val="26"/>
          <w:rFonts w:cs="宋体" w:asciiTheme="minorEastAsia" w:hAnsiTheme="minorEastAsia" w:eastAsiaTheme="minorEastAsia"/>
          <w:color w:val="auto"/>
          <w:szCs w:val="21"/>
        </w:rPr>
        <w:t>63</w:t>
      </w:r>
      <w:r>
        <w:rPr>
          <w:rStyle w:val="26"/>
          <w:rFonts w:hint="eastAsia" w:cs="宋体" w:asciiTheme="minorEastAsia" w:hAnsiTheme="minorEastAsia" w:eastAsiaTheme="minorEastAsia"/>
          <w:color w:val="auto"/>
          <w:szCs w:val="21"/>
        </w:rPr>
        <w:t>.com</w:t>
      </w:r>
      <w:r>
        <w:rPr>
          <w:rStyle w:val="26"/>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2019年</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bookmarkStart w:id="146" w:name="_GoBack"/>
      <w:bookmarkEnd w:id="146"/>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根据财政部和生态环境部（财库〔2019〕18号）《环境标志产品政府采购品目清单》、财政部和国家发展改革委员会（财库〔2019〕19号）《节能产品政府采购品目清单》，凡提供的产品主体有环境标志产品认证证书或节能产品认证证书的，享技术分加分，具体详见评分细则。属于《节能产品政府采购品目清单》中政府强制采购产品的，投标人必须提供符合要求的产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3</w:t>
      </w:r>
      <w:r>
        <w:rPr>
          <w:rFonts w:hint="eastAsia" w:asciiTheme="minorEastAsia" w:hAnsiTheme="minorEastAsia" w:eastAsiaTheme="minorEastAsia"/>
          <w:color w:val="auto"/>
        </w:rPr>
        <w:t>）经政府采购管理部门批准，本项目可采购进口产品，同时允许国产产品前来投标。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10659"/>
      <w:bookmarkStart w:id="15" w:name="_Toc504485732"/>
      <w:bookmarkStart w:id="16" w:name="_Toc27178"/>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（磋商文件费、发票）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color w:val="auto"/>
          <w:kern w:val="0"/>
        </w:rPr>
      </w:pPr>
      <w:r>
        <w:rPr>
          <w:rFonts w:hint="eastAsia" w:cs="宋体" w:asciiTheme="minorEastAsia" w:hAnsiTheme="minorEastAsia" w:eastAsiaTheme="minorEastAsia"/>
          <w:color w:val="auto"/>
          <w:kern w:val="0"/>
          <w:szCs w:val="21"/>
        </w:rPr>
        <w:t>2.</w:t>
      </w:r>
      <w:r>
        <w:rPr>
          <w:rFonts w:hint="eastAsia" w:ascii="宋体" w:hAnsi="宋体"/>
          <w:color w:val="auto"/>
          <w:kern w:val="0"/>
        </w:rPr>
        <w:t>采购人名称：</w:t>
      </w:r>
      <w:r>
        <w:rPr>
          <w:rFonts w:hint="eastAsia"/>
          <w:color w:val="auto"/>
        </w:rPr>
        <w:t>中国美术学院</w:t>
      </w:r>
    </w:p>
    <w:p>
      <w:pPr>
        <w:widowControl/>
        <w:ind w:firstLine="787" w:firstLineChars="375"/>
        <w:jc w:val="left"/>
        <w:rPr>
          <w:rFonts w:hint="eastAsia" w:ascii="宋体" w:hAnsi="宋体"/>
          <w:color w:val="auto"/>
          <w:kern w:val="0"/>
        </w:rPr>
      </w:pPr>
      <w:r>
        <w:rPr>
          <w:rFonts w:hint="eastAsia" w:ascii="宋体" w:hAnsi="宋体"/>
          <w:color w:val="auto"/>
          <w:kern w:val="0"/>
        </w:rPr>
        <w:t>联系人：</w:t>
      </w:r>
      <w:r>
        <w:rPr>
          <w:rFonts w:hint="eastAsia" w:ascii="宋体" w:hAnsi="宋体"/>
          <w:color w:val="auto"/>
          <w:kern w:val="0"/>
          <w:lang w:eastAsia="zh-CN"/>
        </w:rPr>
        <w:t>鲁</w:t>
      </w:r>
      <w:r>
        <w:rPr>
          <w:rFonts w:hint="eastAsia"/>
          <w:color w:val="auto"/>
        </w:rPr>
        <w:t>老师</w:t>
      </w:r>
    </w:p>
    <w:p>
      <w:pPr>
        <w:widowControl/>
        <w:ind w:firstLine="787" w:firstLineChars="375"/>
        <w:jc w:val="left"/>
        <w:rPr>
          <w:rFonts w:hint="default" w:ascii="宋体" w:hAnsi="宋体" w:eastAsia="宋体"/>
          <w:color w:val="auto"/>
          <w:kern w:val="0"/>
          <w:lang w:val="en-US" w:eastAsia="zh-CN"/>
        </w:rPr>
      </w:pPr>
      <w:r>
        <w:rPr>
          <w:rFonts w:hint="eastAsia" w:ascii="宋体" w:hAnsi="宋体"/>
          <w:color w:val="auto"/>
          <w:kern w:val="0"/>
        </w:rPr>
        <w:t>联系电话：</w:t>
      </w:r>
      <w:r>
        <w:rPr>
          <w:rFonts w:hint="eastAsia" w:ascii="宋体" w:hAnsi="宋体"/>
          <w:color w:val="auto"/>
          <w:kern w:val="0"/>
          <w:lang w:val="en-US" w:eastAsia="zh-CN"/>
        </w:rPr>
        <w:t>13735529473</w:t>
      </w:r>
    </w:p>
    <w:p>
      <w:pPr>
        <w:widowControl/>
        <w:ind w:firstLine="787" w:firstLineChars="375"/>
        <w:jc w:val="left"/>
        <w:rPr>
          <w:color w:val="auto"/>
          <w:kern w:val="0"/>
        </w:rPr>
      </w:pPr>
      <w:r>
        <w:rPr>
          <w:rFonts w:hint="eastAsia" w:ascii="宋体" w:hAnsi="宋体"/>
          <w:color w:val="auto"/>
          <w:kern w:val="0"/>
        </w:rPr>
        <w:t>地址：</w:t>
      </w:r>
      <w:r>
        <w:rPr>
          <w:color w:val="auto"/>
          <w:kern w:val="0"/>
        </w:rPr>
        <w:t xml:space="preserve"> </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3354"/>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22468"/>
      <w:r>
        <w:rPr>
          <w:rFonts w:hint="eastAsia" w:cs="宋体" w:asciiTheme="minorEastAsia" w:hAnsiTheme="minorEastAsia" w:eastAsiaTheme="minorEastAsia"/>
          <w:color w:val="auto"/>
          <w:szCs w:val="21"/>
        </w:rPr>
        <w:t>投标人须知前附表</w:t>
      </w:r>
      <w:bookmarkEnd w:id="19"/>
      <w:bookmarkEnd w:id="20"/>
    </w:p>
    <w:tbl>
      <w:tblPr>
        <w:tblStyle w:val="21"/>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keepNext w:val="0"/>
              <w:keepLines w:val="0"/>
              <w:pageBreakBefore w:val="0"/>
              <w:kinsoku/>
              <w:wordWrap/>
              <w:overflowPunct/>
              <w:topLinePunct w:val="0"/>
              <w:autoSpaceDE/>
              <w:autoSpaceDN/>
              <w:bidi w:val="0"/>
              <w:spacing w:line="360" w:lineRule="auto"/>
              <w:ind w:firstLine="42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名称：中国美术学院</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kern w:val="0"/>
                <w:szCs w:val="21"/>
              </w:rPr>
              <w:t>杭州上城区南山路218号</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鲁</w:t>
            </w:r>
            <w:r>
              <w:rPr>
                <w:rFonts w:hint="eastAsia" w:ascii="宋体" w:hAnsi="宋体" w:cs="宋体"/>
                <w:color w:val="auto"/>
                <w:szCs w:val="21"/>
              </w:rPr>
              <w:t>老师</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cs="宋体"/>
                <w:color w:val="auto"/>
                <w:szCs w:val="21"/>
              </w:rPr>
              <w:t>电话：</w:t>
            </w:r>
            <w:r>
              <w:rPr>
                <w:rFonts w:hint="eastAsia" w:ascii="宋体" w:hAnsi="宋体"/>
                <w:color w:val="auto"/>
                <w:kern w:val="0"/>
                <w:lang w:val="en-US" w:eastAsia="zh-CN"/>
              </w:rPr>
              <w:t>13735529473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keepNext w:val="0"/>
              <w:keepLines w:val="0"/>
              <w:pageBreakBefore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投标人应按本招标文件规定的格式及要求编制、签署、盖章、装订、密封投标文件，并标注页码，提供目录。</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keepNext w:val="0"/>
              <w:keepLines w:val="0"/>
              <w:pageBreakBefore w:val="0"/>
              <w:kinsoku/>
              <w:wordWrap/>
              <w:overflowPunct/>
              <w:topLinePunct w:val="0"/>
              <w:autoSpaceDE/>
              <w:autoSpaceDN/>
              <w:bidi w:val="0"/>
              <w:spacing w:line="360" w:lineRule="auto"/>
              <w:ind w:firstLine="0" w:firstLineChars="0"/>
              <w:textAlignment w:val="auto"/>
              <w:rPr>
                <w:color w:val="auto"/>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履约保证金在质量保证期届满，确认投标人无违约行为后5个工作日内无息返还。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未成功办理投标人报名手续的；</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5.</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现场踏勘</w:t>
            </w:r>
          </w:p>
        </w:tc>
        <w:tc>
          <w:tcPr>
            <w:tcW w:w="6330" w:type="dxa"/>
            <w:vAlign w:val="center"/>
          </w:tcPr>
          <w:p>
            <w:pPr>
              <w:pStyle w:val="5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keepNext w:val="0"/>
              <w:keepLines w:val="0"/>
              <w:pageBreakBefore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（1）《中小企业声明函》；</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（2）投标人“国家企业信用信息公示系统——小微企业名录”页面查询结果截图；</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（3）投标人所投主体产品制造商（如有）“国家企业信用信息公示系统——小微企业名录”页面查询结果截图；（货物类适用）</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4</w:t>
            </w:r>
            <w:r>
              <w:rPr>
                <w:rFonts w:hint="eastAsia" w:asciiTheme="minorEastAsia" w:hAnsiTheme="minorEastAsia" w:eastAsiaTheme="minorEastAsia"/>
                <w:color w:val="auto"/>
              </w:rPr>
              <w:t>）已正式加入浙江政府采购网供应商库的页面查询结果截图。</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是否进口产品</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u w:val="thick"/>
              </w:rPr>
            </w:pPr>
            <w:r>
              <w:rPr>
                <w:rFonts w:hint="eastAsia" w:cs="宋体" w:asciiTheme="minorEastAsia" w:hAnsiTheme="minorEastAsia" w:eastAsiaTheme="minorEastAsia"/>
                <w:color w:val="auto"/>
                <w:szCs w:val="21"/>
              </w:rPr>
              <w:t>进口产品，国产产品也可投标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 xml:space="preserve"> %收取。</w:t>
            </w:r>
            <w:r>
              <w:rPr>
                <w:rFonts w:hint="eastAsia" w:ascii="宋体" w:hAnsi="宋体" w:cs="宋体"/>
                <w:color w:val="auto"/>
                <w:kern w:val="0"/>
                <w:szCs w:val="21"/>
              </w:rPr>
              <w:t>不足3000元，按3000元收取。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96602420"/>
      <w:bookmarkStart w:id="23" w:name="_Toc152045529"/>
      <w:bookmarkStart w:id="24" w:name="_Toc144974497"/>
      <w:bookmarkStart w:id="25" w:name="_Toc246996918"/>
      <w:bookmarkStart w:id="26" w:name="_Toc247085689"/>
      <w:bookmarkStart w:id="27" w:name="_Toc246996175"/>
      <w:bookmarkStart w:id="28" w:name="_Toc152042305"/>
      <w:bookmarkStart w:id="29" w:name="_Toc179632546"/>
      <w:bookmarkStart w:id="30" w:name="_Toc452457414"/>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31813"/>
      <w:bookmarkStart w:id="32" w:name="_Toc450840073"/>
      <w:bookmarkStart w:id="33" w:name="_Toc82873322"/>
      <w:bookmarkStart w:id="34" w:name="_Toc82338239"/>
      <w:bookmarkStart w:id="35" w:name="_Toc247085690"/>
      <w:bookmarkStart w:id="36" w:name="_Toc152042306"/>
      <w:bookmarkStart w:id="37" w:name="_Toc179632547"/>
      <w:bookmarkStart w:id="38" w:name="_Toc246996919"/>
      <w:bookmarkStart w:id="39" w:name="_Toc152045530"/>
      <w:bookmarkStart w:id="40" w:name="_Toc144974498"/>
      <w:bookmarkStart w:id="41" w:name="_Toc246996176"/>
      <w:bookmarkStart w:id="42" w:name="_Toc296602421"/>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82338240"/>
      <w:bookmarkStart w:id="47" w:name="_Toc6227646"/>
      <w:bookmarkStart w:id="48" w:name="_Toc82873323"/>
      <w:bookmarkStart w:id="49" w:name="_Toc450840074"/>
      <w:bookmarkStart w:id="50" w:name="_Toc25718"/>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6227647"/>
      <w:bookmarkStart w:id="52" w:name="_Toc82338241"/>
      <w:bookmarkStart w:id="53" w:name="_Toc450840075"/>
      <w:bookmarkStart w:id="54" w:name="_Toc82873324"/>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16699"/>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3.3.1投标报价：</w:t>
      </w:r>
      <w:r>
        <w:rPr>
          <w:rFonts w:hint="eastAsia" w:asciiTheme="minorEastAsia" w:hAnsiTheme="minorEastAsia" w:eastAsiaTheme="minorEastAsia"/>
          <w:color w:val="auto"/>
          <w:szCs w:val="21"/>
        </w:rPr>
        <w:t>设备、软件、标准附件、备品备件、专用工具、图纸资料、技术服务，包装、仓储、装卸、运输，保险、税金，货到就位以及安装、调试，</w:t>
      </w:r>
      <w:r>
        <w:rPr>
          <w:rFonts w:hint="eastAsia" w:cs="宋体" w:asciiTheme="minorEastAsia" w:hAnsiTheme="minorEastAsia" w:eastAsiaTheme="minorEastAsia"/>
          <w:color w:val="auto"/>
          <w:szCs w:val="21"/>
        </w:rPr>
        <w:t>检验、检测，</w:t>
      </w:r>
      <w:r>
        <w:rPr>
          <w:rFonts w:hint="eastAsia" w:asciiTheme="minorEastAsia" w:hAnsiTheme="minorEastAsia" w:eastAsiaTheme="minorEastAsia"/>
          <w:color w:val="auto"/>
          <w:szCs w:val="21"/>
        </w:rPr>
        <w:t>培训、保修等</w:t>
      </w:r>
      <w:r>
        <w:rPr>
          <w:rFonts w:hint="eastAsia" w:cs="宋体" w:asciiTheme="minorEastAsia" w:hAnsiTheme="minorEastAsia" w:eastAsiaTheme="minorEastAsia"/>
          <w:color w:val="auto"/>
          <w:szCs w:val="21"/>
        </w:rPr>
        <w:t>通过验收直至交付使用单位，达到使用要求及质量标准、质保期服务所需的全部费用，以及招标代理服务费</w:t>
      </w:r>
      <w:r>
        <w:rPr>
          <w:rFonts w:hint="eastAsia" w:cs="宋体" w:asciiTheme="minorEastAsia" w:hAnsiTheme="minorEastAsia" w:eastAsiaTheme="minorEastAsia"/>
          <w:color w:val="auto"/>
          <w:szCs w:val="21"/>
          <w:lang w:eastAsia="zh-CN"/>
        </w:rPr>
        <w:t>、履约验收费用</w:t>
      </w:r>
      <w:r>
        <w:rPr>
          <w:rFonts w:hint="eastAsia" w:cs="宋体" w:asciiTheme="minorEastAsia" w:hAnsiTheme="minorEastAsia" w:eastAsiaTheme="minorEastAsia"/>
          <w:color w:val="auto"/>
          <w:szCs w:val="21"/>
        </w:rPr>
        <w:t>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投标人对所投标项的货物必须按采购数量全部进行报价。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6</w:t>
      </w:r>
      <w:r>
        <w:rPr>
          <w:rFonts w:hint="eastAsia" w:cs="宋体" w:asciiTheme="minorEastAsia" w:hAnsiTheme="minorEastAsia" w:eastAsiaTheme="minorEastAsia"/>
          <w:color w:val="auto"/>
          <w:szCs w:val="21"/>
        </w:rPr>
        <w:t>若所投产品为进口产品，该批货物可办理免税，投标报价应以免税价为投标价。中标人应积极配合采购人办理免税相关手续。</w:t>
      </w:r>
    </w:p>
    <w:p>
      <w:pPr>
        <w:pStyle w:val="6"/>
        <w:rPr>
          <w:color w:val="auto"/>
        </w:rPr>
      </w:pPr>
      <w:bookmarkStart w:id="57" w:name="_Toc82338233"/>
      <w:bookmarkStart w:id="58" w:name="_Toc82873316"/>
      <w:bookmarkStart w:id="59" w:name="_Toc450840079"/>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82873325"/>
      <w:bookmarkStart w:id="61" w:name="_Toc6227648"/>
      <w:bookmarkStart w:id="62" w:name="_Toc450840076"/>
      <w:bookmarkStart w:id="63" w:name="_Toc26517"/>
      <w:bookmarkStart w:id="64" w:name="_Toc82338242"/>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450840077"/>
      <w:bookmarkStart w:id="70" w:name="_Toc6227649"/>
      <w:bookmarkStart w:id="71" w:name="_Toc2078365"/>
      <w:bookmarkStart w:id="72" w:name="_Toc482006357"/>
      <w:bookmarkStart w:id="73" w:name="_Toc2170"/>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39316483"/>
      <w:bookmarkStart w:id="76" w:name="_Toc6227650"/>
      <w:bookmarkStart w:id="77" w:name="_Toc2078366"/>
      <w:bookmarkStart w:id="78" w:name="_Toc19490"/>
      <w:bookmarkStart w:id="79" w:name="_Toc444084291"/>
      <w:bookmarkStart w:id="80" w:name="_Toc450840078"/>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450840083"/>
      <w:bookmarkStart w:id="82" w:name="_Toc82338234"/>
      <w:bookmarkStart w:id="83" w:name="_Toc82873317"/>
      <w:bookmarkStart w:id="84" w:name="_Toc10130"/>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color w:val="auto"/>
          <w:szCs w:val="21"/>
        </w:rPr>
      </w:pPr>
      <w:bookmarkStart w:id="85" w:name="_Toc7902707"/>
      <w:bookmarkStart w:id="86" w:name="_Toc5558"/>
      <w:r>
        <w:rPr>
          <w:rFonts w:hint="eastAsia" w:cs="宋体" w:asciiTheme="minorEastAsia" w:hAnsiTheme="minorEastAsia" w:eastAsiaTheme="minorEastAsia"/>
          <w:color w:val="auto"/>
          <w:szCs w:val="21"/>
        </w:rPr>
        <w:t>1</w:t>
      </w:r>
      <w:bookmarkEnd w:id="85"/>
      <w:bookmarkStart w:id="87" w:name="_Toc450840084"/>
      <w:bookmarkStart w:id="88" w:name="_Toc82338235"/>
      <w:bookmarkStart w:id="89" w:name="_Toc82873318"/>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pageBreakBefore w:val="0"/>
        <w:widowControl w:val="0"/>
        <w:kinsoku/>
        <w:wordWrap/>
        <w:overflowPunct/>
        <w:topLinePunct w:val="0"/>
        <w:autoSpaceDE/>
        <w:autoSpaceDN/>
        <w:bidi w:val="0"/>
        <w:adjustRightInd/>
        <w:snapToGrid/>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pageBreakBefore w:val="0"/>
        <w:widowControl w:val="0"/>
        <w:kinsoku/>
        <w:wordWrap/>
        <w:overflowPunct/>
        <w:topLinePunct w:val="0"/>
        <w:autoSpaceDE/>
        <w:autoSpaceDN/>
        <w:bidi w:val="0"/>
        <w:adjustRightInd/>
        <w:snapToGrid/>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pageBreakBefore w:val="0"/>
        <w:widowControl w:val="0"/>
        <w:kinsoku/>
        <w:wordWrap/>
        <w:overflowPunct/>
        <w:topLinePunct w:val="0"/>
        <w:autoSpaceDE/>
        <w:autoSpaceDN/>
        <w:bidi w:val="0"/>
        <w:adjustRightInd/>
        <w:snapToGrid/>
        <w:spacing w:line="360" w:lineRule="auto"/>
        <w:ind w:firstLine="42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color w:val="auto"/>
          <w:szCs w:val="21"/>
        </w:rPr>
      </w:pPr>
      <w:bookmarkStart w:id="90" w:name="_Toc11997"/>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技术要求</w:t>
      </w:r>
      <w:bookmarkEnd w:id="90"/>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bCs/>
          <w:color w:val="auto"/>
        </w:rPr>
      </w:pPr>
      <w:r>
        <w:rPr>
          <w:rFonts w:hint="eastAsia" w:ascii="宋体" w:hAnsi="宋体" w:cs="宋体"/>
          <w:bCs/>
          <w:color w:val="auto"/>
          <w:lang w:val="zh-CN"/>
        </w:rPr>
        <w:t>一：</w:t>
      </w:r>
      <w:r>
        <w:rPr>
          <w:rFonts w:hint="eastAsia" w:ascii="宋体" w:hAnsi="宋体" w:cs="宋体"/>
          <w:bCs/>
          <w:color w:val="auto"/>
        </w:rPr>
        <w:t>设备采购清单及要求</w:t>
      </w:r>
    </w:p>
    <w:p>
      <w:pPr>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bCs/>
          <w:color w:val="auto"/>
        </w:rPr>
      </w:pPr>
      <w:r>
        <w:rPr>
          <w:rFonts w:hint="eastAsia" w:ascii="宋体" w:hAnsi="宋体" w:cs="宋体"/>
          <w:bCs/>
          <w:color w:val="auto"/>
        </w:rPr>
        <w:t>此次投标产品多为进口设备，此次报价接受美元免税报价，美元汇率以开标当天上午九点的汇率（中国银行折算价）为准，换算成人民币计算，因汇率涨幅产生的相关风险由报价单位承担。</w:t>
      </w:r>
      <w:bookmarkStart w:id="92" w:name="_Toc2939"/>
      <w:bookmarkStart w:id="93" w:name="_Toc11558"/>
    </w:p>
    <w:p>
      <w:pPr>
        <w:pStyle w:val="4"/>
        <w:pageBreakBefore w:val="0"/>
        <w:widowControl w:val="0"/>
        <w:kinsoku/>
        <w:wordWrap/>
        <w:overflowPunct/>
        <w:topLinePunct w:val="0"/>
        <w:autoSpaceDE/>
        <w:autoSpaceDN/>
        <w:bidi w:val="0"/>
        <w:adjustRightInd/>
        <w:snapToGrid/>
        <w:spacing w:line="360" w:lineRule="auto"/>
        <w:ind w:firstLine="420"/>
        <w:textAlignment w:val="auto"/>
        <w:rPr>
          <w:rFonts w:ascii="宋体" w:hAnsi="宋体"/>
          <w:b w:val="0"/>
          <w:color w:val="auto"/>
          <w:sz w:val="21"/>
          <w:szCs w:val="21"/>
        </w:rPr>
      </w:pPr>
      <w:bookmarkStart w:id="94" w:name="_Toc18912"/>
      <w:r>
        <w:rPr>
          <w:rFonts w:hint="eastAsia" w:ascii="宋体" w:hAnsi="宋体"/>
          <w:b w:val="0"/>
          <w:color w:val="auto"/>
          <w:sz w:val="21"/>
          <w:szCs w:val="21"/>
        </w:rPr>
        <w:t>技术参数表</w:t>
      </w:r>
      <w:bookmarkEnd w:id="92"/>
      <w:bookmarkEnd w:id="93"/>
      <w:bookmarkEnd w:id="94"/>
    </w:p>
    <w:tbl>
      <w:tblPr>
        <w:tblStyle w:val="21"/>
        <w:tblW w:w="9329" w:type="dxa"/>
        <w:tblInd w:w="0" w:type="dxa"/>
        <w:tblLayout w:type="fixed"/>
        <w:tblCellMar>
          <w:top w:w="0" w:type="dxa"/>
          <w:left w:w="0" w:type="dxa"/>
          <w:bottom w:w="0" w:type="dxa"/>
          <w:right w:w="0" w:type="dxa"/>
        </w:tblCellMar>
      </w:tblPr>
      <w:tblGrid>
        <w:gridCol w:w="795"/>
        <w:gridCol w:w="1005"/>
        <w:gridCol w:w="5806"/>
        <w:gridCol w:w="622"/>
        <w:gridCol w:w="742"/>
        <w:gridCol w:w="359"/>
      </w:tblGrid>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设备名称</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规格型号和技术要求</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飞尘机</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外形尺寸（长*宽*高）mm 《1000*600*2230；</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铜版飞尘最大放至尺寸：长*宽=800*400</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电源电压220V；</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风机功率180-200W；</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飞尘高度1600-1800mm；</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飞尘箱内照明采用LED光源照明；</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飞尘箱由机架、托轮机构、铜版托架、飞尘室、连杆机构、管道风机、锥形料斗组成；</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铜版托架材料：铝合金；</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铜版托架与连杆机构连接使托架能够推进拉出；</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飞尘室四周由密闭钢化玻璃组成，密封。</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净化器</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洁净空气量CADR：</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CADR(m³/h)颗粒物：≥600m³/h</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CADR(m³/h)甲醛：≥280m³/h；</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累积净化量CCM：</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颗粒物：P4（m颗粒物≥12000mg）</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甲醛：F4（甲醛≥1500mg）；</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适用面积㎡：42-72㎡；</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风档：1-2-3-4；</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过滤次数/小时：3.5-6次；</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功率W：15-75；</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噪音dB(A)：声压级25-56，声功率36-67除菌功能支持；</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铝合金滚轮。</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电动石版机</w:t>
            </w:r>
          </w:p>
          <w:p>
            <w:pPr>
              <w:pStyle w:val="2"/>
              <w:keepNext w:val="0"/>
              <w:keepLines w:val="0"/>
              <w:pageBreakBefore w:val="0"/>
              <w:kinsoku/>
              <w:wordWrap/>
              <w:overflowPunct/>
              <w:topLinePunct w:val="0"/>
              <w:autoSpaceDE/>
              <w:autoSpaceDN/>
              <w:bidi w:val="0"/>
              <w:adjustRightInd/>
              <w:snapToGrid/>
              <w:spacing w:line="360" w:lineRule="auto"/>
              <w:ind w:firstLine="210"/>
              <w:rPr>
                <w:rFonts w:hint="eastAsia" w:ascii="宋体" w:hAnsi="宋体" w:eastAsia="宋体" w:cs="宋体"/>
                <w:color w:val="auto"/>
                <w:sz w:val="21"/>
                <w:szCs w:val="21"/>
                <w:highlight w:val="none"/>
              </w:rPr>
            </w:pP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▲1.印床尺寸(英寸)：》122”*54”；</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2.印床高度(英寸)：》32”；</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3.配备印床限位开关；</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4.不少于一英寸直径的硬化钢销，定制机加工连杆，活塞和压力缸以及永久润滑的玻璃钢轴承；</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5.可印制从0.25英寸到4.125英寸的石版；</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6.不少于三英寸交错纹理硬岩枫木印床内核，内核上部位不少于3/4英寸钢板，钢板上为氯丁橡胶石垫，石垫上安装镀锌钢盖；</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7.印床由独立可调的精密滚珠轴承支撑，在印床和驱动鼓之间需绝对平行；</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8.电机：直流永磁电机；</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9.配备压力安全防护装置，恒定压力（距离）方式增减压力；</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10.配备自动断电系统（在系统自检处于危险状态时）；</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11.电机控制器：无极床速控制；</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12.电机控制器扭矩：0”-4.25”恒定扭矩；</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13.印床高速返回装置；</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14.含电机加速控制器；</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15.含电机动态制动器；</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16.所有控制器装在操作位一侧；</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17.电源：15A </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18.支架结构镀镍，阳极氧化，定制红色涂层。</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手动石版机</w:t>
            </w:r>
          </w:p>
          <w:p>
            <w:pPr>
              <w:pStyle w:val="2"/>
              <w:keepNext w:val="0"/>
              <w:keepLines w:val="0"/>
              <w:pageBreakBefore w:val="0"/>
              <w:kinsoku/>
              <w:wordWrap/>
              <w:overflowPunct/>
              <w:topLinePunct w:val="0"/>
              <w:autoSpaceDE/>
              <w:autoSpaceDN/>
              <w:bidi w:val="0"/>
              <w:adjustRightInd/>
              <w:snapToGrid/>
              <w:spacing w:line="360" w:lineRule="auto"/>
              <w:ind w:firstLine="210"/>
              <w:rPr>
                <w:rFonts w:hint="eastAsia" w:ascii="宋体" w:hAnsi="宋体" w:eastAsia="宋体" w:cs="宋体"/>
                <w:color w:val="auto"/>
                <w:sz w:val="21"/>
                <w:szCs w:val="21"/>
                <w:highlight w:val="none"/>
              </w:rPr>
            </w:pP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▲1.印床尺寸(英寸)：》98”*46”；</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2.印床高度（英寸）：》32”；</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3.配备印床限位开关；</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4.不少于一英寸直径的硬化钢销，定制机加工连杆，活塞和压力缸以及永久润滑的玻璃钢轴承；</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5.可印制从0.25英寸到4.125英寸的石版；</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6.不少于三英寸交错纹理硬岩枫木印床内核，内核上部位不少于3/4英寸钢板，钢板上为氯丁橡胶石垫，石垫上安装镀锌钢盖；</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7.印床由独立可调的精密滚珠轴承支撑，在印床和驱动鼓之间需绝对平行；</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8.配备压力安全防护装置，恒定压力（距离）方式增减压力；</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9.支架结构镀镍，阳极氧化，定制红色涂层。</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石版</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30781# Litho Stone - 24 x 32" Blue Grey （61x81cm）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石版</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30742# Litho Stone - 19 x 23" Grey （50 x60cm）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石版</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30711# Litho Stone - 12" x 16.9" Grey （30.48x42.92cm）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石版</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30713# Litho Stone - 12 x 16" Blue Grey （30.48x40.64cm）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速印机</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复印速度60-150张/分钟</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分辨率600dpi x 600dpi</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纸张尺寸100mm x 148mm至310mm x 432mm</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纸张容量1000-1600张</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纸张重量46g/㎡-210g/㎡</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体积（宽*深*高）1415mm x 1240mm x 1515mm</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电源AC 220V-240V ，50-60Hz&lt;1.6A&gt;</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最大功耗300W</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打印速度60-150张/分钟</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分辨率300dpi x 600dpi 至600dpi x 600dpi</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分辨率600dpi x 600dpi</w:t>
            </w:r>
          </w:p>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最大原稿尺寸297mm x 413mm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丝网机</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半自动翻盖操作</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专利蒂米高科技橡胶滚轴系统(许可下提供)</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前屏幕显示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可移动的控制面板</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人机界面显示的操作功能</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自动屏幕“剥离”(可调)</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人机界面编程刮刀速度和行程长度</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可调注册x - y与吸附距离0-40mm印刷基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开始位置和数量的剥离</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脚踏开关启动真空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油墨回收系统,</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配套选件</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全套刮刀/涂布机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气动筛框夹具</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HMI打印机控制器</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8" w:firstLine="36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可互换真空底座，打夹具印刷底板</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冰柜</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3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容积（L）216--280</w:t>
            </w:r>
          </w:p>
          <w:p>
            <w:pPr>
              <w:keepNext w:val="0"/>
              <w:keepLines w:val="0"/>
              <w:pageBreakBefore w:val="0"/>
              <w:widowControl/>
              <w:kinsoku/>
              <w:wordWrap/>
              <w:overflowPunct/>
              <w:topLinePunct w:val="0"/>
              <w:autoSpaceDE/>
              <w:autoSpaceDN/>
              <w:bidi w:val="0"/>
              <w:adjustRightInd/>
              <w:snapToGrid/>
              <w:spacing w:line="360" w:lineRule="auto"/>
              <w:ind w:firstLine="3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能效等级   1级</w:t>
            </w:r>
          </w:p>
          <w:p>
            <w:pPr>
              <w:keepNext w:val="0"/>
              <w:keepLines w:val="0"/>
              <w:pageBreakBefore w:val="0"/>
              <w:widowControl/>
              <w:kinsoku/>
              <w:wordWrap/>
              <w:overflowPunct/>
              <w:topLinePunct w:val="0"/>
              <w:autoSpaceDE/>
              <w:autoSpaceDN/>
              <w:bidi w:val="0"/>
              <w:adjustRightInd/>
              <w:snapToGrid/>
              <w:spacing w:line="360" w:lineRule="auto"/>
              <w:ind w:firstLine="3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产品尺寸（mm）》525*550*1792</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大型摄影架</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3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高度：400mm-2500mm，横杆长度：》1500mm，横杆承重：》10kg</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石版机垫板</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1401824#</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Hand Held Tympan Sheet 18" x 24" x .062" Polycarbonate（45.72 x 60.96cm）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石版机垫板</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1402436#</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Hand Held Tympan Sheet 24" x 36" x .062" Polycarbonate（60.96 x 91.44cm）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石版机垫板</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1403648#</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Hand Held Tympan Sheet 36" x 48" x .062 Polycarbonate（91.44 x 12.92cm）</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电热烤版台</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hot plate 231093 》914 mm x 914mm (36″ x 36″)</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《23.7 英寸 (对角线) 4K 显示屏 (采用 IPS 技术)；</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分辨率：》3840 x 2160 像素，支持数百万色彩；</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亮度》500cd/m2；</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色域：p3广色域；</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端口：两个雷雳 3 端口；</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内置扬声器。</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外置显卡</w:t>
            </w:r>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兼容配有雷雳 3 端口的 Mac；</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Radeon Pro 580 图形处理器，配备 8GB GDDR5 显存；</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两个雷雳 3 端口；</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四个 USB 3 端口；</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一个 HDMI 2.0 端口；</w:t>
            </w:r>
          </w:p>
          <w:p>
            <w:pPr>
              <w:keepNext w:val="0"/>
              <w:keepLines w:val="0"/>
              <w:pageBreakBefore w:val="0"/>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 电力供应。</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r>
        <w:tblPrEx>
          <w:tblLayout w:type="fixed"/>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bookmarkStart w:id="95" w:name="OLE_LINK2"/>
            <w:bookmarkStart w:id="96" w:name="OLE_LINK1"/>
            <w:r>
              <w:rPr>
                <w:rFonts w:hint="eastAsia" w:ascii="宋体" w:hAnsi="宋体" w:eastAsia="宋体" w:cs="宋体"/>
                <w:color w:val="auto"/>
                <w:sz w:val="21"/>
                <w:szCs w:val="21"/>
                <w:highlight w:val="none"/>
              </w:rPr>
              <w:t>手持扫描仪</w:t>
            </w:r>
            <w:bookmarkEnd w:id="95"/>
            <w:bookmarkEnd w:id="96"/>
          </w:p>
        </w:tc>
        <w:tc>
          <w:tcPr>
            <w:tcW w:w="58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手持式3d扫描仪；</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最小扫描体积：0.2米x 0.2米x0.2米；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最大扫描体积：2米×2米×2米；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操作范围：最小0.4米，最大3.5米；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视场角：水平：》45°，垂直：》57.5°，对角》69°；</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深度图像大小：》640像素（宽）x480像素（高）；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数据接口：usb3.0；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彩色图像大小：》1920像素（宽）x1080像素（高）。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rPr>
                <w:rFonts w:hint="eastAsia" w:ascii="宋体" w:hAnsi="宋体" w:eastAsia="宋体" w:cs="宋体"/>
                <w:color w:val="auto"/>
                <w:kern w:val="0"/>
                <w:sz w:val="21"/>
                <w:szCs w:val="21"/>
                <w:highlight w:val="none"/>
              </w:rPr>
            </w:pP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color w:val="auto"/>
                <w:sz w:val="21"/>
                <w:szCs w:val="21"/>
                <w:highlight w:val="none"/>
              </w:rPr>
            </w:pPr>
          </w:p>
        </w:tc>
      </w:tr>
    </w:tbl>
    <w:p>
      <w:pPr>
        <w:spacing w:line="500" w:lineRule="exact"/>
        <w:ind w:firstLine="420"/>
        <w:rPr>
          <w:rFonts w:ascii="宋体" w:hAnsi="宋体" w:cs="宋体"/>
          <w:bCs/>
          <w:color w:val="auto"/>
        </w:rPr>
      </w:pPr>
      <w:r>
        <w:rPr>
          <w:rFonts w:hint="eastAsia" w:ascii="宋体" w:hAnsi="宋体" w:cs="宋体"/>
          <w:bCs/>
          <w:color w:val="auto"/>
        </w:rPr>
        <w:t>备注：标注“★”的为实质性参数与要求，不可偏离；标注“▲”的为重要参数与要求。</w:t>
      </w:r>
    </w:p>
    <w:p>
      <w:pPr>
        <w:ind w:firstLine="420"/>
        <w:rPr>
          <w:rFonts w:asciiTheme="minorEastAsia" w:hAnsiTheme="minorEastAsia" w:eastAsiaTheme="minorEastAsia"/>
          <w:color w:val="auto"/>
        </w:rPr>
      </w:pPr>
    </w:p>
    <w:p>
      <w:pPr>
        <w:pStyle w:val="5"/>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color w:val="auto"/>
          <w:szCs w:val="21"/>
        </w:rPr>
      </w:pPr>
      <w:bookmarkStart w:id="97" w:name="_Toc20959"/>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本项目核心产品</w:t>
      </w:r>
      <w:bookmarkEnd w:id="97"/>
    </w:p>
    <w:p>
      <w:pPr>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asciiTheme="minorEastAsia" w:hAnsiTheme="minorEastAsia" w:eastAsiaTheme="minorEastAsia"/>
          <w:color w:val="auto"/>
        </w:rPr>
      </w:pPr>
      <w:r>
        <w:rPr>
          <w:rFonts w:hint="eastAsia" w:ascii="宋体" w:hAnsi="宋体" w:eastAsia="宋体" w:cs="宋体"/>
          <w:color w:val="auto"/>
          <w:sz w:val="21"/>
          <w:szCs w:val="21"/>
          <w:highlight w:val="none"/>
        </w:rPr>
        <w:t>电动石版机</w:t>
      </w:r>
    </w:p>
    <w:p>
      <w:pPr>
        <w:pStyle w:val="5"/>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color w:val="auto"/>
          <w:szCs w:val="21"/>
        </w:rPr>
      </w:pPr>
      <w:bookmarkStart w:id="98" w:name="_Toc18815"/>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强制采购</w:t>
      </w:r>
      <w:bookmarkEnd w:id="98"/>
    </w:p>
    <w:p>
      <w:pPr>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olor w:val="auto"/>
        </w:rPr>
      </w:pPr>
      <w:bookmarkStart w:id="99" w:name="_Hlk8684848"/>
      <w:r>
        <w:rPr>
          <w:rFonts w:hint="eastAsia" w:asciiTheme="minorEastAsia" w:hAnsiTheme="minorEastAsia" w:eastAsiaTheme="minorEastAsia"/>
          <w:color w:val="auto"/>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否则，其投标作为无效投标处理。（国家确定的认证机构出具的、处于有效期内的该节能产品认证证书复印件，盖投标人公章。）</w:t>
      </w:r>
    </w:p>
    <w:bookmarkEnd w:id="91"/>
    <w:bookmarkEnd w:id="99"/>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color w:val="auto"/>
          <w:sz w:val="32"/>
          <w:szCs w:val="32"/>
        </w:rPr>
      </w:pPr>
      <w:bookmarkStart w:id="100" w:name="_Toc450840086"/>
      <w:r>
        <w:rPr>
          <w:rFonts w:hint="eastAsia" w:asciiTheme="minorEastAsia" w:hAnsiTheme="minorEastAsia" w:eastAsiaTheme="minorEastAsia"/>
          <w:color w:val="auto"/>
        </w:rPr>
        <w:br w:type="page"/>
      </w:r>
      <w:bookmarkStart w:id="101" w:name="_Toc9148"/>
      <w:r>
        <w:rPr>
          <w:rFonts w:hint="eastAsia" w:asciiTheme="minorEastAsia" w:hAnsiTheme="minorEastAsia" w:eastAsiaTheme="minorEastAsia"/>
          <w:color w:val="auto"/>
          <w:sz w:val="32"/>
          <w:szCs w:val="32"/>
        </w:rPr>
        <w:t>第三章 采购项目商务</w:t>
      </w:r>
      <w:bookmarkEnd w:id="100"/>
      <w:r>
        <w:rPr>
          <w:rFonts w:hint="eastAsia" w:asciiTheme="minorEastAsia" w:hAnsiTheme="minorEastAsia" w:eastAsiaTheme="minorEastAsia"/>
          <w:color w:val="auto"/>
          <w:sz w:val="32"/>
          <w:szCs w:val="32"/>
        </w:rPr>
        <w:t>要求</w:t>
      </w:r>
      <w:bookmarkEnd w:id="101"/>
    </w:p>
    <w:p>
      <w:pPr>
        <w:ind w:firstLine="420"/>
        <w:rPr>
          <w:rFonts w:asciiTheme="minorEastAsia" w:hAnsiTheme="minorEastAsia" w:eastAsiaTheme="minorEastAsia"/>
          <w:color w:val="auto"/>
        </w:rPr>
      </w:pPr>
    </w:p>
    <w:p>
      <w:pPr>
        <w:pStyle w:val="5"/>
        <w:pageBreakBefore w:val="0"/>
        <w:widowControl w:val="0"/>
        <w:kinsoku/>
        <w:wordWrap/>
        <w:overflowPunct/>
        <w:topLinePunct w:val="0"/>
        <w:autoSpaceDE/>
        <w:autoSpaceDN/>
        <w:bidi w:val="0"/>
        <w:adjustRightInd/>
        <w:snapToGrid/>
        <w:spacing w:line="360" w:lineRule="auto"/>
        <w:textAlignment w:val="auto"/>
        <w:rPr>
          <w:color w:val="auto"/>
        </w:rPr>
      </w:pPr>
      <w:bookmarkStart w:id="102" w:name="_Toc16857"/>
      <w:r>
        <w:rPr>
          <w:color w:val="auto"/>
        </w:rPr>
        <w:t>1</w:t>
      </w:r>
      <w:r>
        <w:rPr>
          <w:rFonts w:hint="eastAsia" w:ascii="宋体" w:hAnsi="宋体"/>
          <w:color w:val="auto"/>
        </w:rPr>
        <w:t>供货期</w:t>
      </w:r>
      <w:bookmarkEnd w:id="102"/>
    </w:p>
    <w:p>
      <w:pPr>
        <w:pageBreakBefore w:val="0"/>
        <w:widowControl w:val="0"/>
        <w:kinsoku/>
        <w:wordWrap/>
        <w:overflowPunct/>
        <w:topLinePunct w:val="0"/>
        <w:autoSpaceDE/>
        <w:autoSpaceDN/>
        <w:bidi w:val="0"/>
        <w:adjustRightInd/>
        <w:snapToGrid/>
        <w:spacing w:line="360" w:lineRule="auto"/>
        <w:ind w:firstLine="420"/>
        <w:textAlignment w:val="auto"/>
        <w:rPr>
          <w:color w:val="auto"/>
        </w:rPr>
      </w:pPr>
      <w:r>
        <w:rPr>
          <w:rFonts w:hint="eastAsia" w:ascii="宋体" w:hAnsi="宋体"/>
          <w:color w:val="auto"/>
        </w:rPr>
        <w:t>合同签订之日起六个月内交货。</w:t>
      </w:r>
    </w:p>
    <w:p>
      <w:pPr>
        <w:pStyle w:val="5"/>
        <w:pageBreakBefore w:val="0"/>
        <w:widowControl w:val="0"/>
        <w:kinsoku/>
        <w:wordWrap/>
        <w:overflowPunct/>
        <w:topLinePunct w:val="0"/>
        <w:autoSpaceDE/>
        <w:autoSpaceDN/>
        <w:bidi w:val="0"/>
        <w:adjustRightInd/>
        <w:snapToGrid/>
        <w:spacing w:line="360" w:lineRule="auto"/>
        <w:textAlignment w:val="auto"/>
        <w:rPr>
          <w:color w:val="auto"/>
        </w:rPr>
      </w:pPr>
      <w:bookmarkStart w:id="103" w:name="_Toc20596"/>
      <w:r>
        <w:rPr>
          <w:color w:val="auto"/>
        </w:rPr>
        <w:t>2</w:t>
      </w:r>
      <w:r>
        <w:rPr>
          <w:rFonts w:hint="eastAsia" w:ascii="宋体" w:hAnsi="宋体"/>
          <w:color w:val="auto"/>
        </w:rPr>
        <w:t>质保期</w:t>
      </w:r>
      <w:bookmarkEnd w:id="103"/>
    </w:p>
    <w:p>
      <w:pPr>
        <w:pageBreakBefore w:val="0"/>
        <w:widowControl w:val="0"/>
        <w:kinsoku/>
        <w:wordWrap/>
        <w:overflowPunct/>
        <w:topLinePunct w:val="0"/>
        <w:autoSpaceDE/>
        <w:autoSpaceDN/>
        <w:bidi w:val="0"/>
        <w:adjustRightInd/>
        <w:snapToGrid/>
        <w:spacing w:line="360" w:lineRule="auto"/>
        <w:ind w:firstLine="420"/>
        <w:textAlignment w:val="auto"/>
        <w:rPr>
          <w:color w:val="auto"/>
        </w:rPr>
      </w:pPr>
      <w:r>
        <w:rPr>
          <w:rFonts w:hint="eastAsia" w:ascii="宋体" w:hAnsi="宋体"/>
          <w:color w:val="auto"/>
        </w:rPr>
        <w:t>质保期</w:t>
      </w:r>
      <w:r>
        <w:rPr>
          <w:color w:val="auto"/>
        </w:rPr>
        <w:t>1</w:t>
      </w:r>
      <w:r>
        <w:rPr>
          <w:rFonts w:hint="eastAsia" w:ascii="宋体" w:hAnsi="宋体"/>
          <w:color w:val="auto"/>
        </w:rPr>
        <w:t>年，使用期间上门免费维保。</w:t>
      </w:r>
    </w:p>
    <w:p>
      <w:pPr>
        <w:pStyle w:val="5"/>
        <w:pageBreakBefore w:val="0"/>
        <w:widowControl w:val="0"/>
        <w:kinsoku/>
        <w:wordWrap/>
        <w:overflowPunct/>
        <w:topLinePunct w:val="0"/>
        <w:autoSpaceDE/>
        <w:autoSpaceDN/>
        <w:bidi w:val="0"/>
        <w:adjustRightInd/>
        <w:snapToGrid/>
        <w:spacing w:line="360" w:lineRule="auto"/>
        <w:textAlignment w:val="auto"/>
        <w:rPr>
          <w:color w:val="auto"/>
        </w:rPr>
      </w:pPr>
      <w:bookmarkStart w:id="104" w:name="_Toc23423"/>
      <w:r>
        <w:rPr>
          <w:color w:val="auto"/>
        </w:rPr>
        <w:t>3</w:t>
      </w:r>
      <w:r>
        <w:rPr>
          <w:rFonts w:hint="eastAsia" w:ascii="宋体" w:hAnsi="宋体"/>
          <w:color w:val="auto"/>
        </w:rPr>
        <w:t>保存和运输要求</w:t>
      </w:r>
      <w:bookmarkEnd w:id="104"/>
    </w:p>
    <w:p>
      <w:pPr>
        <w:pageBreakBefore w:val="0"/>
        <w:widowControl w:val="0"/>
        <w:kinsoku/>
        <w:wordWrap/>
        <w:overflowPunct/>
        <w:topLinePunct w:val="0"/>
        <w:autoSpaceDE/>
        <w:autoSpaceDN/>
        <w:bidi w:val="0"/>
        <w:adjustRightInd/>
        <w:snapToGrid/>
        <w:spacing w:line="360" w:lineRule="auto"/>
        <w:ind w:firstLine="420"/>
        <w:textAlignment w:val="auto"/>
        <w:rPr>
          <w:color w:val="auto"/>
        </w:rPr>
      </w:pPr>
      <w:r>
        <w:rPr>
          <w:rFonts w:hint="eastAsia" w:ascii="宋体" w:hAnsi="宋体"/>
          <w:color w:val="auto"/>
        </w:rPr>
        <w:t>送货至指定地点</w:t>
      </w:r>
    </w:p>
    <w:p>
      <w:pPr>
        <w:pStyle w:val="5"/>
        <w:pageBreakBefore w:val="0"/>
        <w:widowControl w:val="0"/>
        <w:kinsoku/>
        <w:wordWrap/>
        <w:overflowPunct/>
        <w:topLinePunct w:val="0"/>
        <w:autoSpaceDE/>
        <w:autoSpaceDN/>
        <w:bidi w:val="0"/>
        <w:adjustRightInd/>
        <w:snapToGrid/>
        <w:spacing w:line="360" w:lineRule="auto"/>
        <w:textAlignment w:val="auto"/>
        <w:rPr>
          <w:color w:val="auto"/>
        </w:rPr>
      </w:pPr>
      <w:bookmarkStart w:id="105" w:name="_Toc181"/>
      <w:r>
        <w:rPr>
          <w:color w:val="auto"/>
        </w:rPr>
        <w:t>4</w:t>
      </w:r>
      <w:r>
        <w:rPr>
          <w:rFonts w:hint="eastAsia" w:ascii="宋体" w:hAnsi="宋体"/>
          <w:color w:val="auto"/>
        </w:rPr>
        <w:t>验收标准</w:t>
      </w:r>
      <w:bookmarkEnd w:id="105"/>
    </w:p>
    <w:p>
      <w:pPr>
        <w:pageBreakBefore w:val="0"/>
        <w:widowControl w:val="0"/>
        <w:kinsoku/>
        <w:wordWrap/>
        <w:overflowPunct/>
        <w:topLinePunct w:val="0"/>
        <w:autoSpaceDE/>
        <w:autoSpaceDN/>
        <w:bidi w:val="0"/>
        <w:adjustRightInd/>
        <w:snapToGrid/>
        <w:spacing w:line="360" w:lineRule="auto"/>
        <w:ind w:firstLine="420"/>
        <w:textAlignment w:val="auto"/>
        <w:rPr>
          <w:color w:val="auto"/>
        </w:rPr>
      </w:pPr>
      <w:r>
        <w:rPr>
          <w:rFonts w:hint="eastAsia" w:ascii="宋体" w:hAnsi="宋体"/>
          <w:color w:val="auto"/>
        </w:rPr>
        <w:t>中标人须按国家有关规定及标准完成本次招标货物的供货、运输、检验等。如中标，中标人及制造商对中标产品使用的质量、安全性能与检测结果的可靠性负全部责任。按中国美术学院标准验收和确认。</w:t>
      </w:r>
    </w:p>
    <w:p>
      <w:pPr>
        <w:pStyle w:val="5"/>
        <w:pageBreakBefore w:val="0"/>
        <w:widowControl w:val="0"/>
        <w:kinsoku/>
        <w:wordWrap/>
        <w:overflowPunct/>
        <w:topLinePunct w:val="0"/>
        <w:autoSpaceDE/>
        <w:autoSpaceDN/>
        <w:bidi w:val="0"/>
        <w:adjustRightInd/>
        <w:snapToGrid/>
        <w:spacing w:line="360" w:lineRule="auto"/>
        <w:textAlignment w:val="auto"/>
        <w:rPr>
          <w:color w:val="auto"/>
        </w:rPr>
      </w:pPr>
      <w:bookmarkStart w:id="106" w:name="_Toc15681"/>
      <w:r>
        <w:rPr>
          <w:color w:val="auto"/>
        </w:rPr>
        <w:t>5</w:t>
      </w:r>
      <w:r>
        <w:rPr>
          <w:rFonts w:hint="eastAsia" w:ascii="宋体" w:hAnsi="宋体"/>
          <w:color w:val="auto"/>
        </w:rPr>
        <w:t>售后服务</w:t>
      </w:r>
      <w:bookmarkEnd w:id="106"/>
      <w:r>
        <w:rPr>
          <w:color w:val="auto"/>
        </w:rPr>
        <w:t xml:space="preserve"> </w:t>
      </w:r>
    </w:p>
    <w:p>
      <w:pPr>
        <w:pageBreakBefore w:val="0"/>
        <w:widowControl w:val="0"/>
        <w:kinsoku/>
        <w:wordWrap/>
        <w:overflowPunct/>
        <w:topLinePunct w:val="0"/>
        <w:autoSpaceDE/>
        <w:autoSpaceDN/>
        <w:bidi w:val="0"/>
        <w:adjustRightInd/>
        <w:snapToGrid/>
        <w:spacing w:line="360" w:lineRule="auto"/>
        <w:ind w:firstLine="420"/>
        <w:textAlignment w:val="auto"/>
        <w:rPr>
          <w:color w:val="auto"/>
        </w:rPr>
      </w:pPr>
      <w:r>
        <w:rPr>
          <w:rFonts w:hint="eastAsia" w:ascii="宋体" w:hAnsi="宋体"/>
          <w:color w:val="auto"/>
        </w:rPr>
        <w:t>要求</w:t>
      </w:r>
      <w:r>
        <w:rPr>
          <w:color w:val="auto"/>
        </w:rPr>
        <w:t>24</w:t>
      </w:r>
      <w:r>
        <w:rPr>
          <w:rFonts w:hint="eastAsia" w:ascii="宋体" w:hAnsi="宋体"/>
          <w:color w:val="auto"/>
        </w:rPr>
        <w:t>小时内响应，每个季度提供上门咨询，听取使用意见。</w:t>
      </w:r>
    </w:p>
    <w:p>
      <w:pPr>
        <w:pStyle w:val="5"/>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color w:val="auto"/>
        </w:rPr>
      </w:pPr>
      <w:bookmarkStart w:id="107" w:name="_Toc17796"/>
      <w:r>
        <w:rPr>
          <w:rFonts w:hint="eastAsia" w:cs="宋体" w:asciiTheme="minorEastAsia" w:hAnsiTheme="minorEastAsia" w:eastAsiaTheme="minorEastAsia"/>
          <w:color w:val="auto"/>
        </w:rPr>
        <w:t>6履约保证金</w:t>
      </w:r>
      <w:bookmarkEnd w:id="107"/>
    </w:p>
    <w:p>
      <w:pPr>
        <w:pStyle w:val="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rPr>
      </w:pPr>
      <w:bookmarkStart w:id="108" w:name="_Toc27574"/>
      <w:r>
        <w:rPr>
          <w:rFonts w:hint="eastAsia" w:ascii="宋体" w:hAnsi="宋体" w:eastAsia="宋体" w:cs="宋体"/>
          <w:b w:val="0"/>
          <w:bCs w:val="0"/>
          <w:color w:val="auto"/>
        </w:rPr>
        <w:t>见供应商须知前附表</w:t>
      </w:r>
      <w:bookmarkEnd w:id="108"/>
    </w:p>
    <w:p>
      <w:pPr>
        <w:pStyle w:val="5"/>
        <w:pageBreakBefore w:val="0"/>
        <w:widowControl w:val="0"/>
        <w:kinsoku/>
        <w:wordWrap/>
        <w:overflowPunct/>
        <w:topLinePunct w:val="0"/>
        <w:autoSpaceDE/>
        <w:autoSpaceDN/>
        <w:bidi w:val="0"/>
        <w:adjustRightInd/>
        <w:snapToGrid/>
        <w:spacing w:line="360" w:lineRule="auto"/>
        <w:textAlignment w:val="auto"/>
        <w:rPr>
          <w:color w:val="auto"/>
        </w:rPr>
      </w:pPr>
      <w:bookmarkStart w:id="109" w:name="_Toc4635"/>
      <w:r>
        <w:rPr>
          <w:color w:val="auto"/>
        </w:rPr>
        <w:t>7</w:t>
      </w:r>
      <w:r>
        <w:rPr>
          <w:rFonts w:hint="eastAsia" w:ascii="宋体" w:hAnsi="宋体"/>
          <w:color w:val="auto"/>
        </w:rPr>
        <w:t>付款方式</w:t>
      </w:r>
      <w:bookmarkEnd w:id="109"/>
    </w:p>
    <w:p>
      <w:pPr>
        <w:pageBreakBefore w:val="0"/>
        <w:widowControl w:val="0"/>
        <w:kinsoku/>
        <w:wordWrap/>
        <w:overflowPunct/>
        <w:topLinePunct w:val="0"/>
        <w:autoSpaceDE/>
        <w:autoSpaceDN/>
        <w:bidi w:val="0"/>
        <w:adjustRightInd/>
        <w:snapToGrid/>
        <w:spacing w:line="360" w:lineRule="auto"/>
        <w:ind w:firstLine="420"/>
        <w:textAlignment w:val="auto"/>
        <w:rPr>
          <w:color w:val="auto"/>
        </w:rPr>
      </w:pPr>
      <w:r>
        <w:rPr>
          <w:rFonts w:hint="eastAsia" w:ascii="宋体" w:hAnsi="宋体"/>
          <w:color w:val="auto"/>
        </w:rPr>
        <w:t>合同签订后甲方支付合同总金额的30%作为预付款，所有设备到货验收合格后甲方付清合同余款。</w:t>
      </w:r>
    </w:p>
    <w:p>
      <w:pPr>
        <w:pStyle w:val="5"/>
        <w:pageBreakBefore w:val="0"/>
        <w:widowControl w:val="0"/>
        <w:kinsoku/>
        <w:wordWrap/>
        <w:overflowPunct/>
        <w:topLinePunct w:val="0"/>
        <w:autoSpaceDE/>
        <w:autoSpaceDN/>
        <w:bidi w:val="0"/>
        <w:adjustRightInd/>
        <w:snapToGrid/>
        <w:spacing w:line="360" w:lineRule="auto"/>
        <w:textAlignment w:val="auto"/>
        <w:rPr>
          <w:color w:val="auto"/>
        </w:rPr>
      </w:pPr>
      <w:bookmarkStart w:id="110" w:name="_Toc4654"/>
      <w:r>
        <w:rPr>
          <w:color w:val="auto"/>
        </w:rPr>
        <w:t>8</w:t>
      </w:r>
      <w:r>
        <w:rPr>
          <w:rFonts w:hint="eastAsia" w:ascii="宋体" w:hAnsi="宋体"/>
          <w:color w:val="auto"/>
        </w:rPr>
        <w:t>合同履行</w:t>
      </w:r>
      <w:bookmarkEnd w:id="110"/>
    </w:p>
    <w:p>
      <w:pPr>
        <w:pageBreakBefore w:val="0"/>
        <w:widowControl w:val="0"/>
        <w:kinsoku/>
        <w:wordWrap/>
        <w:overflowPunct/>
        <w:topLinePunct w:val="0"/>
        <w:autoSpaceDE/>
        <w:autoSpaceDN/>
        <w:bidi w:val="0"/>
        <w:adjustRightInd/>
        <w:snapToGrid/>
        <w:spacing w:line="360" w:lineRule="auto"/>
        <w:ind w:firstLine="420"/>
        <w:textAlignment w:val="auto"/>
        <w:rPr>
          <w:rFonts w:cs="宋体" w:asciiTheme="minorEastAsia" w:hAnsiTheme="minorEastAsia" w:eastAsiaTheme="minorEastAsia"/>
          <w:color w:val="auto"/>
        </w:rPr>
      </w:pPr>
      <w:r>
        <w:rPr>
          <w:rFonts w:hint="eastAsia" w:ascii="宋体" w:hAnsi="宋体" w:cs="宋体"/>
          <w:color w:val="auto"/>
        </w:rPr>
        <w:t>按相关规定进行合同履约</w:t>
      </w:r>
      <w:r>
        <w:rPr>
          <w:rFonts w:hint="eastAsia" w:ascii="宋体" w:hAnsi="宋体"/>
          <w:color w:val="auto"/>
        </w:rPr>
        <w:t>。</w:t>
      </w:r>
    </w:p>
    <w:p>
      <w:pPr>
        <w:pStyle w:val="2"/>
        <w:pageBreakBefore w:val="0"/>
        <w:widowControl w:val="0"/>
        <w:kinsoku/>
        <w:wordWrap/>
        <w:overflowPunct/>
        <w:topLinePunct w:val="0"/>
        <w:autoSpaceDE/>
        <w:autoSpaceDN/>
        <w:bidi w:val="0"/>
        <w:adjustRightInd/>
        <w:snapToGrid/>
        <w:spacing w:line="360" w:lineRule="auto"/>
        <w:ind w:firstLine="210"/>
        <w:textAlignment w:val="auto"/>
        <w:rPr>
          <w:rFonts w:asciiTheme="minorEastAsia" w:hAnsiTheme="minorEastAsia" w:eastAsiaTheme="minorEastAsia"/>
          <w:color w:val="auto"/>
        </w:rPr>
      </w:pPr>
    </w:p>
    <w:p>
      <w:pPr>
        <w:pageBreakBefore w:val="0"/>
        <w:widowControl w:val="0"/>
        <w:kinsoku/>
        <w:wordWrap/>
        <w:overflowPunct/>
        <w:topLinePunct w:val="0"/>
        <w:autoSpaceDE/>
        <w:autoSpaceDN/>
        <w:bidi w:val="0"/>
        <w:adjustRightInd/>
        <w:snapToGrid/>
        <w:spacing w:line="360" w:lineRule="auto"/>
        <w:ind w:firstLine="422"/>
        <w:textAlignment w:val="auto"/>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p>
    <w:p>
      <w:pPr>
        <w:pStyle w:val="4"/>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11" w:name="_Toc15774"/>
      <w:r>
        <w:rPr>
          <w:rFonts w:hint="eastAsia" w:asciiTheme="minorEastAsia" w:hAnsiTheme="minorEastAsia" w:eastAsiaTheme="minorEastAsia"/>
          <w:color w:val="auto"/>
          <w:sz w:val="32"/>
          <w:szCs w:val="32"/>
        </w:rPr>
        <w:t>第四章 合同格式</w:t>
      </w:r>
      <w:bookmarkEnd w:id="111"/>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12" w:name="_Toc1295"/>
      <w:bookmarkStart w:id="113" w:name="_Toc26628"/>
      <w:r>
        <w:rPr>
          <w:rFonts w:hint="eastAsia"/>
          <w:color w:val="auto"/>
        </w:rPr>
        <w:t>浙江省政府采购合同指引</w:t>
      </w:r>
      <w:bookmarkEnd w:id="112"/>
      <w:bookmarkEnd w:id="113"/>
    </w:p>
    <w:p>
      <w:pPr>
        <w:ind w:firstLine="420"/>
        <w:rPr>
          <w:rFonts w:hint="eastAsia"/>
          <w:color w:val="auto"/>
        </w:rPr>
      </w:pPr>
      <w:r>
        <w:rPr>
          <w:rFonts w:hint="eastAsia"/>
          <w:color w:val="auto"/>
        </w:rPr>
        <w:t xml:space="preserve">项目名称                               项目编号 </w:t>
      </w:r>
    </w:p>
    <w:p>
      <w:pPr>
        <w:ind w:firstLine="420"/>
        <w:rPr>
          <w:rFonts w:hint="eastAsia"/>
          <w:color w:val="auto"/>
        </w:rPr>
      </w:pPr>
      <w:r>
        <w:rPr>
          <w:rFonts w:hint="eastAsia"/>
          <w:color w:val="auto"/>
        </w:rPr>
        <w:t>甲方（买方）</w:t>
      </w:r>
      <w:r>
        <w:rPr>
          <w:color w:val="auto"/>
        </w:rPr>
        <w:t>：</w:t>
      </w:r>
      <w:r>
        <w:rPr>
          <w:rFonts w:hint="eastAsia"/>
          <w:color w:val="auto"/>
        </w:rPr>
        <w:t xml:space="preserve"> </w:t>
      </w:r>
    </w:p>
    <w:p>
      <w:pPr>
        <w:ind w:firstLine="420"/>
        <w:rPr>
          <w:rFonts w:hint="eastAsia"/>
          <w:color w:val="auto"/>
        </w:rPr>
      </w:pPr>
      <w:r>
        <w:rPr>
          <w:rFonts w:hint="eastAsia"/>
          <w:color w:val="auto"/>
        </w:rPr>
        <w:t>乙方（卖方）</w:t>
      </w:r>
      <w:r>
        <w:rPr>
          <w:color w:val="auto"/>
        </w:rPr>
        <w:t>：</w:t>
      </w:r>
      <w:r>
        <w:rPr>
          <w:rFonts w:hint="eastAsia"/>
          <w:color w:val="auto"/>
        </w:rPr>
        <w:t xml:space="preserve"> </w:t>
      </w:r>
    </w:p>
    <w:p>
      <w:pPr>
        <w:ind w:firstLine="514" w:firstLineChars="245"/>
        <w:rPr>
          <w:rFonts w:hint="eastAsia"/>
          <w:color w:val="auto"/>
        </w:rPr>
      </w:pPr>
      <w:r>
        <w:rPr>
          <w:color w:val="auto"/>
        </w:rPr>
        <w:t xml:space="preserve">甲、乙双方根据 </w:t>
      </w:r>
      <w:r>
        <w:rPr>
          <w:color w:val="auto"/>
          <w:u w:val="single"/>
        </w:rPr>
        <w:t xml:space="preserve">   </w:t>
      </w:r>
      <w:r>
        <w:rPr>
          <w:rFonts w:hint="eastAsia"/>
          <w:color w:val="auto"/>
          <w:u w:val="single"/>
        </w:rPr>
        <w:t xml:space="preserve">               </w:t>
      </w:r>
      <w:r>
        <w:rPr>
          <w:rFonts w:hint="eastAsia"/>
          <w:color w:val="auto"/>
        </w:rPr>
        <w:t>项目公开招标</w:t>
      </w:r>
      <w:r>
        <w:rPr>
          <w:color w:val="auto"/>
        </w:rPr>
        <w:t>的结果，签署本合同。</w:t>
      </w:r>
    </w:p>
    <w:p>
      <w:pPr>
        <w:pStyle w:val="6"/>
        <w:rPr>
          <w:rFonts w:hint="eastAsia" w:ascii="宋体" w:hAnsi="宋体" w:eastAsia="宋体"/>
          <w:color w:val="auto"/>
        </w:rPr>
      </w:pPr>
      <w:r>
        <w:rPr>
          <w:rFonts w:hint="eastAsia" w:ascii="宋体" w:hAnsi="宋体" w:eastAsia="宋体"/>
          <w:color w:val="auto"/>
        </w:rPr>
        <w:t xml:space="preserve">一、货物内容 </w:t>
      </w:r>
    </w:p>
    <w:p>
      <w:pPr>
        <w:ind w:firstLine="420"/>
        <w:rPr>
          <w:rFonts w:hint="eastAsia"/>
          <w:color w:val="auto"/>
        </w:rPr>
      </w:pPr>
      <w:r>
        <w:rPr>
          <w:rFonts w:hint="eastAsia"/>
          <w:color w:val="auto"/>
        </w:rPr>
        <w:t xml:space="preserve">1.1 货物名称： </w:t>
      </w:r>
    </w:p>
    <w:p>
      <w:pPr>
        <w:ind w:firstLine="420"/>
        <w:rPr>
          <w:rFonts w:hint="eastAsia"/>
          <w:color w:val="auto"/>
        </w:rPr>
      </w:pPr>
      <w:r>
        <w:rPr>
          <w:rFonts w:hint="eastAsia"/>
          <w:color w:val="auto"/>
        </w:rPr>
        <w:t xml:space="preserve">1.2 型号规格： </w:t>
      </w:r>
    </w:p>
    <w:p>
      <w:pPr>
        <w:ind w:firstLine="420"/>
        <w:rPr>
          <w:rFonts w:hint="eastAsia"/>
          <w:color w:val="auto"/>
        </w:rPr>
      </w:pPr>
      <w:r>
        <w:rPr>
          <w:rFonts w:hint="eastAsia"/>
          <w:color w:val="auto"/>
        </w:rPr>
        <w:t xml:space="preserve">1.3 技术参数： </w:t>
      </w:r>
    </w:p>
    <w:p>
      <w:pPr>
        <w:ind w:firstLine="420"/>
        <w:rPr>
          <w:rFonts w:hint="eastAsia"/>
          <w:color w:val="auto"/>
        </w:rPr>
      </w:pPr>
      <w:r>
        <w:rPr>
          <w:rFonts w:hint="eastAsia"/>
          <w:color w:val="auto"/>
        </w:rPr>
        <w:t xml:space="preserve">1.4 数量、单位： </w:t>
      </w:r>
    </w:p>
    <w:p>
      <w:pPr>
        <w:pStyle w:val="6"/>
        <w:rPr>
          <w:rFonts w:hint="eastAsia" w:ascii="宋体" w:hAnsi="宋体" w:eastAsia="宋体"/>
          <w:color w:val="auto"/>
        </w:rPr>
      </w:pPr>
      <w:r>
        <w:rPr>
          <w:rFonts w:hint="eastAsia" w:ascii="宋体" w:hAnsi="宋体" w:eastAsia="宋体"/>
          <w:color w:val="auto"/>
        </w:rPr>
        <w:t xml:space="preserve">二、合同金额 </w:t>
      </w:r>
    </w:p>
    <w:p>
      <w:pPr>
        <w:ind w:firstLine="420"/>
        <w:rPr>
          <w:rFonts w:hint="eastAsia"/>
          <w:color w:val="auto"/>
        </w:rPr>
      </w:pPr>
      <w:r>
        <w:rPr>
          <w:rFonts w:hint="eastAsia"/>
          <w:color w:val="auto"/>
        </w:rPr>
        <w:t>2.1</w:t>
      </w:r>
      <w:r>
        <w:rPr>
          <w:color w:val="auto"/>
        </w:rPr>
        <w:t>本合同金额为（大写）：____________________________________元（￥_______________元）人民币。</w:t>
      </w:r>
      <w:r>
        <w:rPr>
          <w:rFonts w:hint="eastAsia"/>
          <w:color w:val="auto"/>
        </w:rPr>
        <w:t xml:space="preserve"> </w:t>
      </w:r>
    </w:p>
    <w:p>
      <w:pPr>
        <w:pStyle w:val="6"/>
        <w:rPr>
          <w:rFonts w:hint="eastAsia" w:ascii="宋体" w:hAnsi="宋体" w:eastAsia="宋体"/>
          <w:color w:val="auto"/>
        </w:rPr>
      </w:pPr>
      <w:r>
        <w:rPr>
          <w:rFonts w:hint="eastAsia" w:ascii="宋体" w:hAnsi="宋体" w:eastAsia="宋体"/>
          <w:color w:val="auto"/>
        </w:rPr>
        <w:t xml:space="preserve">三、技术资料 </w:t>
      </w:r>
    </w:p>
    <w:p>
      <w:pPr>
        <w:ind w:firstLine="420"/>
        <w:rPr>
          <w:rFonts w:hint="eastAsia"/>
          <w:color w:val="auto"/>
        </w:rPr>
      </w:pPr>
      <w:r>
        <w:rPr>
          <w:rFonts w:hint="eastAsia"/>
          <w:color w:val="auto"/>
        </w:rPr>
        <w:t xml:space="preserve">3.1乙方应按采购文件规定的时间向甲方提供使用货物的有关技术资料。 </w:t>
      </w:r>
    </w:p>
    <w:p>
      <w:pPr>
        <w:ind w:firstLine="420"/>
        <w:rPr>
          <w:rFonts w:hint="eastAsia"/>
          <w:color w:val="auto"/>
        </w:rPr>
      </w:pPr>
      <w:r>
        <w:rPr>
          <w:rFonts w:hint="eastAsia"/>
          <w:color w:val="auto"/>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hint="eastAsia" w:ascii="宋体" w:hAnsi="宋体" w:eastAsia="宋体"/>
          <w:color w:val="auto"/>
        </w:rPr>
      </w:pPr>
      <w:r>
        <w:rPr>
          <w:rFonts w:hint="eastAsia" w:ascii="宋体" w:hAnsi="宋体" w:eastAsia="宋体"/>
          <w:color w:val="auto"/>
        </w:rPr>
        <w:t>四、知识产权</w:t>
      </w:r>
    </w:p>
    <w:p>
      <w:pPr>
        <w:ind w:firstLine="420"/>
        <w:rPr>
          <w:color w:val="auto"/>
        </w:rPr>
      </w:pPr>
      <w:r>
        <w:rPr>
          <w:rFonts w:hint="eastAsia"/>
          <w:color w:val="auto"/>
        </w:rPr>
        <w:t>4.1 乙方应保证所提供的货物或其任何一部分均不会侵犯任何第三方的知识产权。</w:t>
      </w:r>
    </w:p>
    <w:p>
      <w:pPr>
        <w:pStyle w:val="6"/>
        <w:rPr>
          <w:rFonts w:hint="eastAsia" w:ascii="宋体" w:hAnsi="宋体" w:eastAsia="宋体"/>
          <w:color w:val="auto"/>
        </w:rPr>
      </w:pPr>
      <w:r>
        <w:rPr>
          <w:rFonts w:hint="eastAsia" w:ascii="宋体" w:hAnsi="宋体" w:eastAsia="宋体"/>
          <w:color w:val="auto"/>
        </w:rPr>
        <w:t xml:space="preserve">五、产权担保 </w:t>
      </w:r>
    </w:p>
    <w:p>
      <w:pPr>
        <w:ind w:firstLine="420"/>
        <w:rPr>
          <w:rFonts w:hint="eastAsia"/>
          <w:color w:val="auto"/>
        </w:rPr>
      </w:pPr>
      <w:r>
        <w:rPr>
          <w:rFonts w:hint="eastAsia"/>
          <w:color w:val="auto"/>
        </w:rPr>
        <w:t xml:space="preserve">5.1 乙方保证所交付的货物的所有权完全属于乙方且无任何抵押、查封等产权瑕疵。 </w:t>
      </w:r>
    </w:p>
    <w:p>
      <w:pPr>
        <w:keepNext/>
        <w:keepLines/>
        <w:ind w:firstLine="0" w:firstLineChars="0"/>
        <w:outlineLvl w:val="2"/>
        <w:rPr>
          <w:b/>
          <w:bCs/>
          <w:color w:val="auto"/>
          <w:szCs w:val="32"/>
        </w:rPr>
      </w:pPr>
      <w:r>
        <w:rPr>
          <w:rFonts w:hint="eastAsia"/>
          <w:b/>
          <w:bCs/>
          <w:color w:val="auto"/>
          <w:szCs w:val="32"/>
        </w:rPr>
        <w:t>六、履约保证金</w:t>
      </w:r>
    </w:p>
    <w:p>
      <w:pPr>
        <w:ind w:firstLine="420"/>
        <w:rPr>
          <w:color w:val="auto"/>
        </w:rPr>
      </w:pPr>
      <w:r>
        <w:rPr>
          <w:rFonts w:hint="eastAsia"/>
          <w:color w:val="auto"/>
        </w:rPr>
        <w:t>6.1乙方在合同签订之日起</w:t>
      </w:r>
      <w:r>
        <w:rPr>
          <w:color w:val="auto"/>
        </w:rPr>
        <w:t>5</w:t>
      </w:r>
      <w:r>
        <w:rPr>
          <w:rFonts w:hint="eastAsia"/>
          <w:color w:val="auto"/>
        </w:rPr>
        <w:t>天内向甲方指定</w:t>
      </w:r>
      <w:r>
        <w:rPr>
          <w:color w:val="auto"/>
        </w:rPr>
        <w:t>的账户</w:t>
      </w:r>
      <w:r>
        <w:rPr>
          <w:rFonts w:hint="eastAsia"/>
          <w:color w:val="auto"/>
        </w:rPr>
        <w:t>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0"/>
        <w:rPr>
          <w:color w:val="auto"/>
        </w:rPr>
      </w:pPr>
      <w:r>
        <w:rPr>
          <w:rFonts w:hint="eastAsia"/>
          <w:color w:val="auto"/>
        </w:rPr>
        <w:t>6.2</w:t>
      </w:r>
      <w:r>
        <w:rPr>
          <w:rFonts w:hint="eastAsia" w:hAnsi="宋体"/>
          <w:color w:val="auto"/>
        </w:rPr>
        <w:t>履约保证金在货物质量保证期届满，确认投标人无违约行为后一周内无息返还。</w:t>
      </w:r>
    </w:p>
    <w:p>
      <w:pPr>
        <w:pStyle w:val="6"/>
        <w:rPr>
          <w:rFonts w:hint="eastAsia" w:ascii="宋体" w:hAnsi="宋体" w:eastAsia="宋体"/>
          <w:color w:val="auto"/>
        </w:rPr>
      </w:pPr>
      <w:r>
        <w:rPr>
          <w:rFonts w:hint="eastAsia" w:ascii="宋体" w:hAnsi="宋体" w:eastAsia="宋体"/>
          <w:color w:val="auto"/>
        </w:rPr>
        <w:t>七.、转包或</w:t>
      </w:r>
      <w:r>
        <w:rPr>
          <w:rStyle w:val="30"/>
          <w:rFonts w:hint="eastAsia" w:ascii="宋体" w:hAnsi="宋体" w:eastAsia="宋体"/>
          <w:b/>
          <w:bCs/>
          <w:color w:val="auto"/>
        </w:rPr>
        <w:t>分</w:t>
      </w:r>
      <w:r>
        <w:rPr>
          <w:rFonts w:hint="eastAsia" w:ascii="宋体" w:hAnsi="宋体" w:eastAsia="宋体"/>
          <w:color w:val="auto"/>
        </w:rPr>
        <w:t xml:space="preserve">包 </w:t>
      </w:r>
    </w:p>
    <w:p>
      <w:pPr>
        <w:ind w:firstLine="420"/>
        <w:rPr>
          <w:rFonts w:hint="eastAsia"/>
          <w:color w:val="auto"/>
        </w:rPr>
      </w:pPr>
      <w:r>
        <w:rPr>
          <w:rFonts w:hint="eastAsia"/>
          <w:color w:val="auto"/>
        </w:rPr>
        <w:t>7.1本合同范围的货物应由供方直接供应不得转让他人供应。</w:t>
      </w:r>
    </w:p>
    <w:p>
      <w:pPr>
        <w:ind w:firstLine="420"/>
        <w:rPr>
          <w:color w:val="auto"/>
        </w:rPr>
      </w:pPr>
      <w:r>
        <w:rPr>
          <w:rFonts w:hint="eastAsia"/>
          <w:color w:val="auto"/>
        </w:rPr>
        <w:t>7.2 除非得到需方的书面同意供方不得部分分包给他人供应。</w:t>
      </w:r>
    </w:p>
    <w:p>
      <w:pPr>
        <w:ind w:firstLine="420"/>
        <w:rPr>
          <w:rFonts w:hint="eastAsia"/>
          <w:color w:val="auto"/>
        </w:rPr>
      </w:pPr>
      <w:r>
        <w:rPr>
          <w:rFonts w:hint="eastAsia"/>
          <w:color w:val="auto"/>
        </w:rPr>
        <w:t xml:space="preserve">7.3如有转让和未经需方同意的分包行为需方有权给予终止合同。 </w:t>
      </w:r>
    </w:p>
    <w:p>
      <w:pPr>
        <w:pStyle w:val="6"/>
        <w:rPr>
          <w:rFonts w:hint="eastAsia" w:ascii="宋体" w:hAnsi="宋体" w:eastAsia="宋体"/>
          <w:color w:val="auto"/>
        </w:rPr>
      </w:pPr>
      <w:r>
        <w:rPr>
          <w:rFonts w:hint="eastAsia" w:ascii="宋体" w:hAnsi="宋体" w:eastAsia="宋体"/>
          <w:color w:val="auto"/>
        </w:rPr>
        <w:t xml:space="preserve">八、质保期 </w:t>
      </w:r>
    </w:p>
    <w:p>
      <w:pPr>
        <w:ind w:firstLine="420"/>
        <w:rPr>
          <w:rFonts w:hint="eastAsia"/>
          <w:color w:val="auto"/>
        </w:rPr>
      </w:pPr>
      <w:r>
        <w:rPr>
          <w:rFonts w:hint="eastAsia"/>
          <w:color w:val="auto"/>
        </w:rPr>
        <w:t>8.1 质保期：    年。自交货验收合格之日起计</w:t>
      </w:r>
    </w:p>
    <w:p>
      <w:pPr>
        <w:pStyle w:val="6"/>
        <w:rPr>
          <w:rFonts w:hint="eastAsia" w:ascii="宋体" w:hAnsi="宋体" w:eastAsia="宋体"/>
          <w:color w:val="auto"/>
        </w:rPr>
      </w:pPr>
      <w:r>
        <w:rPr>
          <w:rFonts w:hint="eastAsia" w:ascii="宋体" w:hAnsi="宋体" w:eastAsia="宋体"/>
          <w:color w:val="auto"/>
        </w:rPr>
        <w:t xml:space="preserve">九、交货期、交货方式及交货地点 </w:t>
      </w:r>
    </w:p>
    <w:p>
      <w:pPr>
        <w:ind w:firstLine="420"/>
        <w:rPr>
          <w:rFonts w:hint="eastAsia"/>
          <w:color w:val="auto"/>
        </w:rPr>
      </w:pPr>
      <w:r>
        <w:rPr>
          <w:rFonts w:hint="eastAsia"/>
          <w:color w:val="auto"/>
        </w:rPr>
        <w:t xml:space="preserve">9.1 交货期： </w:t>
      </w:r>
    </w:p>
    <w:p>
      <w:pPr>
        <w:ind w:firstLine="420"/>
        <w:rPr>
          <w:rFonts w:hint="eastAsia"/>
          <w:color w:val="auto"/>
        </w:rPr>
      </w:pPr>
      <w:r>
        <w:rPr>
          <w:rFonts w:hint="eastAsia"/>
          <w:color w:val="auto"/>
        </w:rPr>
        <w:t xml:space="preserve">9.2 交货方式： </w:t>
      </w:r>
    </w:p>
    <w:p>
      <w:pPr>
        <w:ind w:firstLine="420"/>
        <w:rPr>
          <w:rFonts w:hint="eastAsia"/>
          <w:color w:val="auto"/>
        </w:rPr>
      </w:pPr>
      <w:r>
        <w:rPr>
          <w:rFonts w:hint="eastAsia"/>
          <w:color w:val="auto"/>
        </w:rPr>
        <w:t>9.3 交货地点：</w:t>
      </w:r>
    </w:p>
    <w:p>
      <w:pPr>
        <w:pStyle w:val="6"/>
        <w:rPr>
          <w:rFonts w:hint="eastAsia" w:ascii="宋体" w:hAnsi="宋体" w:eastAsia="宋体"/>
          <w:color w:val="auto"/>
        </w:rPr>
      </w:pPr>
      <w:r>
        <w:rPr>
          <w:rFonts w:hint="eastAsia" w:ascii="宋体" w:hAnsi="宋体" w:eastAsia="宋体"/>
          <w:color w:val="auto"/>
        </w:rPr>
        <w:t xml:space="preserve">十、货款支付 </w:t>
      </w:r>
    </w:p>
    <w:p>
      <w:pPr>
        <w:ind w:firstLine="420"/>
        <w:rPr>
          <w:rFonts w:hint="eastAsia"/>
          <w:color w:val="auto"/>
        </w:rPr>
      </w:pPr>
      <w:r>
        <w:rPr>
          <w:rFonts w:hint="eastAsia"/>
          <w:color w:val="auto"/>
        </w:rPr>
        <w:t>10.1 付款方式：</w:t>
      </w:r>
    </w:p>
    <w:p>
      <w:pPr>
        <w:ind w:firstLine="420"/>
        <w:rPr>
          <w:rFonts w:hint="eastAsia"/>
          <w:color w:val="auto"/>
        </w:rPr>
      </w:pPr>
      <w:r>
        <w:rPr>
          <w:rFonts w:hint="eastAsia"/>
          <w:color w:val="auto"/>
        </w:rPr>
        <w:t>10.2</w:t>
      </w:r>
      <w:r>
        <w:rPr>
          <w:color w:val="auto"/>
        </w:rPr>
        <w:t xml:space="preserve"> </w:t>
      </w:r>
      <w:r>
        <w:rPr>
          <w:rFonts w:hint="eastAsia"/>
          <w:color w:val="auto"/>
        </w:rPr>
        <w:t xml:space="preserve">当采购数量与实际使用数量不一致时，供应商应根据实际使用量，供货合同的最终结算金额按实际使用量乘以成交单价进行计算。 </w:t>
      </w:r>
    </w:p>
    <w:p>
      <w:pPr>
        <w:pStyle w:val="6"/>
        <w:rPr>
          <w:rFonts w:hint="eastAsia" w:ascii="宋体" w:hAnsi="宋体" w:eastAsia="宋体"/>
          <w:color w:val="auto"/>
        </w:rPr>
      </w:pPr>
      <w:r>
        <w:rPr>
          <w:rFonts w:hint="eastAsia" w:ascii="宋体" w:hAnsi="宋体" w:eastAsia="宋体"/>
          <w:color w:val="auto"/>
        </w:rPr>
        <w:t xml:space="preserve">十一、税费 </w:t>
      </w:r>
    </w:p>
    <w:p>
      <w:pPr>
        <w:ind w:firstLine="420"/>
        <w:rPr>
          <w:rFonts w:hint="eastAsia"/>
          <w:color w:val="auto"/>
        </w:rPr>
      </w:pPr>
      <w:r>
        <w:rPr>
          <w:rFonts w:hint="eastAsia"/>
          <w:color w:val="auto"/>
        </w:rPr>
        <w:t xml:space="preserve">11.1本合同执行中相关的一切税费均由供方负担。 </w:t>
      </w:r>
    </w:p>
    <w:p>
      <w:pPr>
        <w:pStyle w:val="6"/>
        <w:rPr>
          <w:rFonts w:hint="eastAsia" w:ascii="宋体" w:hAnsi="宋体" w:eastAsia="宋体"/>
          <w:color w:val="auto"/>
        </w:rPr>
      </w:pPr>
      <w:r>
        <w:rPr>
          <w:rFonts w:hint="eastAsia" w:ascii="宋体" w:hAnsi="宋体" w:eastAsia="宋体"/>
          <w:color w:val="auto"/>
        </w:rPr>
        <w:t xml:space="preserve">十二、质量保证及售后服务 </w:t>
      </w:r>
    </w:p>
    <w:p>
      <w:pPr>
        <w:ind w:firstLine="420"/>
        <w:rPr>
          <w:rFonts w:hint="eastAsia"/>
          <w:color w:val="auto"/>
        </w:rPr>
      </w:pPr>
      <w:r>
        <w:rPr>
          <w:rFonts w:hint="eastAsia"/>
          <w:color w:val="auto"/>
        </w:rPr>
        <w:t>12.1 乙方应按采购文件规定的货物性能、技术要求、质量标准向甲方提供未经使用的全新产品。</w:t>
      </w:r>
    </w:p>
    <w:p>
      <w:pPr>
        <w:ind w:firstLine="420"/>
        <w:rPr>
          <w:rFonts w:hint="eastAsia"/>
          <w:color w:val="auto"/>
        </w:rPr>
      </w:pPr>
      <w:r>
        <w:rPr>
          <w:rFonts w:hint="eastAsia"/>
          <w:color w:val="auto"/>
        </w:rPr>
        <w:t>12.2 乙方提供的货物在质量期内因货物本身的质量问题发生故障乙方应负责免费更换。对达不到技术要求者根据实际情况经双方协商可按以下办法处理</w:t>
      </w:r>
    </w:p>
    <w:p>
      <w:pPr>
        <w:ind w:firstLine="420"/>
        <w:rPr>
          <w:rFonts w:hint="eastAsia"/>
          <w:color w:val="auto"/>
        </w:rPr>
      </w:pPr>
      <w:r>
        <w:rPr>
          <w:rFonts w:hint="eastAsia"/>
          <w:color w:val="auto"/>
        </w:rPr>
        <w:t>⑴更换。由乙方承担所发生的全部费用。</w:t>
      </w:r>
    </w:p>
    <w:p>
      <w:pPr>
        <w:ind w:firstLine="420"/>
        <w:rPr>
          <w:rFonts w:hint="eastAsia"/>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rFonts w:hint="eastAsia"/>
          <w:color w:val="auto"/>
        </w:rPr>
      </w:pPr>
      <w:r>
        <w:rPr>
          <w:rFonts w:hint="eastAsia"/>
          <w:color w:val="auto"/>
        </w:rPr>
        <w:t xml:space="preserve">12.3 如在使用过程中发生质量问题，乙方在接到甲方通知后在一小时内到达甲方现场。 </w:t>
      </w:r>
    </w:p>
    <w:p>
      <w:pPr>
        <w:ind w:firstLine="420"/>
        <w:rPr>
          <w:rFonts w:hint="eastAsia"/>
          <w:color w:val="auto"/>
        </w:rPr>
      </w:pPr>
      <w:r>
        <w:rPr>
          <w:rFonts w:hint="eastAsia"/>
          <w:color w:val="auto"/>
        </w:rPr>
        <w:t xml:space="preserve">12.4 在质保期内，乙方应对货物出现的质量及安全问题负责处理解决并承担一切费用。 </w:t>
      </w:r>
    </w:p>
    <w:p>
      <w:pPr>
        <w:ind w:firstLine="420"/>
        <w:rPr>
          <w:rFonts w:hint="eastAsia"/>
          <w:color w:val="auto"/>
        </w:rPr>
      </w:pPr>
      <w:r>
        <w:rPr>
          <w:rFonts w:hint="eastAsia"/>
          <w:color w:val="auto"/>
        </w:rPr>
        <w:t xml:space="preserve">12.5上述的货物免费保修期为  三  年因人为因素出现的故障不在免费保修范围内。超过保修期的机器设备终生维修，维修时只收部件成本费。 </w:t>
      </w:r>
    </w:p>
    <w:p>
      <w:pPr>
        <w:pStyle w:val="6"/>
        <w:rPr>
          <w:rFonts w:hint="eastAsia" w:ascii="宋体" w:hAnsi="宋体" w:eastAsia="宋体"/>
          <w:color w:val="auto"/>
        </w:rPr>
      </w:pPr>
      <w:r>
        <w:rPr>
          <w:rFonts w:hint="eastAsia" w:ascii="宋体" w:hAnsi="宋体" w:eastAsia="宋体"/>
          <w:color w:val="auto"/>
        </w:rPr>
        <w:t xml:space="preserve">十三、调试和验收 </w:t>
      </w:r>
    </w:p>
    <w:p>
      <w:pPr>
        <w:ind w:firstLine="420"/>
        <w:rPr>
          <w:rFonts w:hint="eastAsia"/>
          <w:color w:val="auto"/>
        </w:rPr>
      </w:pPr>
      <w:r>
        <w:rPr>
          <w:rFonts w:hint="eastAsia"/>
          <w:color w:val="auto"/>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ind w:firstLine="420"/>
        <w:rPr>
          <w:rFonts w:hint="eastAsia"/>
          <w:color w:val="auto"/>
        </w:rPr>
      </w:pPr>
      <w:r>
        <w:rPr>
          <w:rFonts w:hint="eastAsia"/>
          <w:color w:val="auto"/>
        </w:rPr>
        <w:t>13.2 乙方交货前应对产品作出全面检查和对验收文件进行整理并列出清单作为甲方收货验收和使用的技术条件依据，检验的结果应随货物交甲方。</w:t>
      </w:r>
    </w:p>
    <w:p>
      <w:pPr>
        <w:ind w:firstLine="420"/>
        <w:rPr>
          <w:rFonts w:hint="eastAsia"/>
          <w:color w:val="auto"/>
        </w:rPr>
      </w:pPr>
      <w:r>
        <w:rPr>
          <w:rFonts w:hint="eastAsia"/>
          <w:color w:val="auto"/>
        </w:rPr>
        <w:t>13.3 甲方对乙方提供的货物在使用前进行调试时，乙方需负责安装并培训甲方的使用操作人员并协助甲方一起调试直到符合技术要求甲方才做最终验收。</w:t>
      </w:r>
    </w:p>
    <w:p>
      <w:pPr>
        <w:ind w:firstLine="420"/>
        <w:rPr>
          <w:rFonts w:hint="eastAsia"/>
          <w:color w:val="auto"/>
        </w:rPr>
      </w:pPr>
      <w:r>
        <w:rPr>
          <w:rFonts w:hint="eastAsia"/>
          <w:color w:val="auto"/>
        </w:rPr>
        <w:t>13.4 对技术复杂的货物，甲方应请国家认可的专业检测机构参与初步验收及最终验收，并由其出具质量检测报告。</w:t>
      </w:r>
    </w:p>
    <w:p>
      <w:pPr>
        <w:ind w:firstLine="420"/>
        <w:rPr>
          <w:rFonts w:hint="eastAsia"/>
          <w:color w:val="auto"/>
        </w:rPr>
      </w:pPr>
      <w:r>
        <w:rPr>
          <w:rFonts w:hint="eastAsia"/>
          <w:color w:val="auto"/>
        </w:rPr>
        <w:t>13.5 验收时乙方必须在现场，验收完毕后作出验收结果报告，验收费用由乙方负责。</w:t>
      </w:r>
    </w:p>
    <w:p>
      <w:pPr>
        <w:pStyle w:val="6"/>
        <w:rPr>
          <w:rFonts w:hint="eastAsia" w:ascii="宋体" w:hAnsi="宋体" w:eastAsia="宋体"/>
          <w:color w:val="auto"/>
        </w:rPr>
      </w:pPr>
      <w:r>
        <w:rPr>
          <w:rFonts w:hint="eastAsia" w:ascii="宋体" w:hAnsi="宋体" w:eastAsia="宋体"/>
          <w:color w:val="auto"/>
        </w:rPr>
        <w:t xml:space="preserve">十四、货物包装、发运及运输 </w:t>
      </w:r>
    </w:p>
    <w:p>
      <w:pPr>
        <w:ind w:firstLine="420"/>
        <w:rPr>
          <w:rFonts w:hint="eastAsia"/>
          <w:color w:val="auto"/>
        </w:rPr>
      </w:pPr>
      <w:r>
        <w:rPr>
          <w:rFonts w:hint="eastAsia"/>
          <w:color w:val="auto"/>
        </w:rPr>
        <w:t>14.1 乙方应在货物发运前对其进行满足运输距离、防潮、防震、防锈和防破损装卸等要求包装以保证货物安全运达甲方指定地点。</w:t>
      </w:r>
    </w:p>
    <w:p>
      <w:pPr>
        <w:ind w:firstLine="420"/>
        <w:rPr>
          <w:rFonts w:hint="eastAsia"/>
          <w:color w:val="auto"/>
        </w:rPr>
      </w:pPr>
      <w:r>
        <w:rPr>
          <w:rFonts w:hint="eastAsia"/>
          <w:color w:val="auto"/>
        </w:rPr>
        <w:t>14.2 使用说明书、质量检验证明书、随配附件和工具以及清单一并附于货物内。</w:t>
      </w:r>
    </w:p>
    <w:p>
      <w:pPr>
        <w:ind w:firstLine="420"/>
        <w:rPr>
          <w:rFonts w:hint="eastAsia"/>
          <w:color w:val="auto"/>
        </w:rPr>
      </w:pPr>
      <w:r>
        <w:rPr>
          <w:rFonts w:hint="eastAsia"/>
          <w:color w:val="auto"/>
        </w:rPr>
        <w:t xml:space="preserve">14.3 乙方在货物发运手续办理完毕后24小时内或货到甲方48小时前通知甲方以准备接货。 </w:t>
      </w:r>
    </w:p>
    <w:p>
      <w:pPr>
        <w:ind w:firstLine="420"/>
        <w:rPr>
          <w:rFonts w:hint="eastAsia"/>
          <w:color w:val="auto"/>
        </w:rPr>
      </w:pPr>
      <w:r>
        <w:rPr>
          <w:rFonts w:hint="eastAsia"/>
          <w:color w:val="auto"/>
        </w:rPr>
        <w:t>14.3 货物在交付甲方前发生的风险均由乙方负责。</w:t>
      </w:r>
    </w:p>
    <w:p>
      <w:pPr>
        <w:ind w:firstLine="420"/>
        <w:rPr>
          <w:rFonts w:hint="eastAsia"/>
          <w:color w:val="auto"/>
        </w:rPr>
      </w:pPr>
      <w:r>
        <w:rPr>
          <w:rFonts w:hint="eastAsia"/>
          <w:color w:val="auto"/>
        </w:rPr>
        <w:t>14.5 货物在规定的交付期限内由乙方送达甲方指定的地点视为交付，乙方同时需通知甲方货物已送达。</w:t>
      </w:r>
    </w:p>
    <w:p>
      <w:pPr>
        <w:pStyle w:val="6"/>
        <w:rPr>
          <w:rFonts w:hint="eastAsia" w:ascii="宋体" w:hAnsi="宋体" w:eastAsia="宋体"/>
          <w:color w:val="auto"/>
        </w:rPr>
      </w:pPr>
      <w:r>
        <w:rPr>
          <w:rFonts w:hint="eastAsia" w:ascii="宋体" w:hAnsi="宋体" w:eastAsia="宋体"/>
          <w:color w:val="auto"/>
        </w:rPr>
        <w:t xml:space="preserve">十五、违约责任 </w:t>
      </w:r>
    </w:p>
    <w:p>
      <w:pPr>
        <w:ind w:firstLine="420"/>
        <w:rPr>
          <w:rFonts w:hint="eastAsia"/>
          <w:color w:val="auto"/>
        </w:rPr>
      </w:pPr>
      <w:r>
        <w:rPr>
          <w:rFonts w:hint="eastAsia"/>
          <w:color w:val="auto"/>
        </w:rPr>
        <w:t>15.1 甲方无正当理由拒收货物的，甲方向乙方偿付拒收货款总值的百分之五违约金。</w:t>
      </w:r>
    </w:p>
    <w:p>
      <w:pPr>
        <w:ind w:firstLine="420"/>
        <w:rPr>
          <w:color w:val="auto"/>
        </w:rPr>
      </w:pPr>
      <w:r>
        <w:rPr>
          <w:rFonts w:hint="eastAsia"/>
          <w:color w:val="auto"/>
        </w:rPr>
        <w:t>15.2 甲方无故逾期验收和办理货款支付手续的,甲方应按逾期付款总额每日万分之五向乙方支付违约金。</w:t>
      </w:r>
    </w:p>
    <w:p>
      <w:pPr>
        <w:ind w:firstLine="420"/>
        <w:rPr>
          <w:rFonts w:hint="eastAsia"/>
          <w:color w:val="auto"/>
        </w:rPr>
      </w:pPr>
      <w:r>
        <w:rPr>
          <w:rFonts w:hint="eastAsia"/>
          <w:color w:val="auto"/>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rPr>
          <w:rFonts w:hint="eastAsia"/>
          <w:color w:val="auto"/>
        </w:rPr>
      </w:pPr>
      <w:r>
        <w:rPr>
          <w:rFonts w:hint="eastAsia"/>
          <w:color w:val="auto"/>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rPr>
          <w:rFonts w:hint="eastAsia" w:ascii="宋体" w:hAnsi="宋体" w:eastAsia="宋体"/>
          <w:color w:val="auto"/>
        </w:rPr>
      </w:pPr>
      <w:r>
        <w:rPr>
          <w:rFonts w:hint="eastAsia" w:ascii="宋体" w:hAnsi="宋体" w:eastAsia="宋体"/>
          <w:color w:val="auto"/>
        </w:rPr>
        <w:t xml:space="preserve">十六、不可抗力事件处理 </w:t>
      </w:r>
    </w:p>
    <w:p>
      <w:pPr>
        <w:ind w:firstLine="420"/>
        <w:rPr>
          <w:color w:val="auto"/>
        </w:rPr>
      </w:pPr>
      <w:r>
        <w:rPr>
          <w:rFonts w:hint="eastAsia"/>
          <w:color w:val="auto"/>
        </w:rPr>
        <w:t>16.1 在合同有效期内，任何一方因不可抗力事件导致不能履行合同，则合同履行期可延长其延长期与不可抗力影响期相同。</w:t>
      </w:r>
    </w:p>
    <w:p>
      <w:pPr>
        <w:ind w:firstLine="420"/>
        <w:rPr>
          <w:rFonts w:hint="eastAsia"/>
          <w:color w:val="auto"/>
        </w:rPr>
      </w:pPr>
      <w:r>
        <w:rPr>
          <w:rFonts w:hint="eastAsia"/>
          <w:color w:val="auto"/>
        </w:rPr>
        <w:t>16.2 不可抗力事件发生后，应立即通知对方，并寄送有关权威机构出具的证明。</w:t>
      </w:r>
    </w:p>
    <w:p>
      <w:pPr>
        <w:ind w:firstLine="420"/>
        <w:rPr>
          <w:rFonts w:hint="eastAsia"/>
          <w:color w:val="auto"/>
        </w:rPr>
      </w:pPr>
      <w:r>
        <w:rPr>
          <w:rFonts w:hint="eastAsia"/>
          <w:color w:val="auto"/>
        </w:rPr>
        <w:t xml:space="preserve">16.3 不可抗力事件延续120天以上，双方应通过友好协商，确定是否继续履行合同。 </w:t>
      </w:r>
    </w:p>
    <w:p>
      <w:pPr>
        <w:pStyle w:val="6"/>
        <w:rPr>
          <w:rFonts w:hint="eastAsia" w:ascii="宋体" w:hAnsi="宋体" w:eastAsia="宋体"/>
          <w:color w:val="auto"/>
        </w:rPr>
      </w:pPr>
      <w:r>
        <w:rPr>
          <w:rFonts w:hint="eastAsia" w:ascii="宋体" w:hAnsi="宋体" w:eastAsia="宋体"/>
          <w:color w:val="auto"/>
        </w:rPr>
        <w:t xml:space="preserve">十七、诉讼 </w:t>
      </w:r>
    </w:p>
    <w:p>
      <w:pPr>
        <w:ind w:firstLine="420"/>
        <w:rPr>
          <w:rFonts w:hint="eastAsia"/>
          <w:color w:val="auto"/>
        </w:rPr>
      </w:pPr>
      <w:r>
        <w:rPr>
          <w:rFonts w:hint="eastAsia"/>
          <w:color w:val="auto"/>
        </w:rPr>
        <w:t xml:space="preserve">17.1 双方在执行合同中所发生的一切争议，应通过协商解决。如协商不成，可向合同签订地法院起诉，合同签订地在此约定为杭州市。 </w:t>
      </w:r>
    </w:p>
    <w:p>
      <w:pPr>
        <w:pStyle w:val="6"/>
        <w:rPr>
          <w:rFonts w:hint="eastAsia" w:ascii="宋体" w:hAnsi="宋体" w:eastAsia="宋体"/>
          <w:color w:val="auto"/>
        </w:rPr>
      </w:pPr>
      <w:r>
        <w:rPr>
          <w:rFonts w:hint="eastAsia" w:ascii="宋体" w:hAnsi="宋体" w:eastAsia="宋体"/>
          <w:color w:val="auto"/>
        </w:rPr>
        <w:t xml:space="preserve">十八、合同生效及其它 </w:t>
      </w:r>
    </w:p>
    <w:p>
      <w:pPr>
        <w:ind w:firstLine="420"/>
        <w:rPr>
          <w:rFonts w:hint="eastAsia"/>
          <w:color w:val="auto"/>
        </w:rPr>
      </w:pPr>
      <w:r>
        <w:rPr>
          <w:rFonts w:hint="eastAsia"/>
          <w:color w:val="auto"/>
        </w:rPr>
        <w:t xml:space="preserve">18.1 合同经双方法定代表人或授权委托代理人签字并加盖单位公章后生效。 </w:t>
      </w:r>
    </w:p>
    <w:p>
      <w:pPr>
        <w:ind w:firstLine="420"/>
        <w:rPr>
          <w:rFonts w:hint="eastAsia"/>
          <w:color w:val="auto"/>
        </w:rPr>
      </w:pPr>
      <w:r>
        <w:rPr>
          <w:rFonts w:hint="eastAsia"/>
          <w:color w:val="auto"/>
        </w:rPr>
        <w:t xml:space="preserve">18.2合同执行中涉及采购资金和采购内容修改或补充的，须经财政部门审批，并签书面补充协议报采购监督管理部门备案，方可作为主合同不可分割的一部分。 </w:t>
      </w:r>
    </w:p>
    <w:p>
      <w:pPr>
        <w:ind w:firstLine="420"/>
        <w:rPr>
          <w:rFonts w:hint="eastAsia"/>
          <w:color w:val="auto"/>
        </w:rPr>
      </w:pPr>
      <w:r>
        <w:rPr>
          <w:rFonts w:hint="eastAsia"/>
          <w:color w:val="auto"/>
        </w:rPr>
        <w:t xml:space="preserve">18.3本合同未尽事宜遵照《合同法》有关条文执行。 </w:t>
      </w:r>
    </w:p>
    <w:p>
      <w:pPr>
        <w:ind w:firstLine="420"/>
        <w:rPr>
          <w:rFonts w:hint="eastAsia"/>
          <w:color w:val="auto"/>
        </w:rPr>
      </w:pPr>
      <w:r>
        <w:rPr>
          <w:rFonts w:hint="eastAsia"/>
          <w:color w:val="auto"/>
        </w:rPr>
        <w:t xml:space="preserve">18.4 本合同正本一式两份，具有同等法律效力甲乙双方各执一份副本三份(用途)。 </w:t>
      </w: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6"/>
        <w:jc w:val="center"/>
        <w:rPr>
          <w:color w:val="auto"/>
        </w:rPr>
      </w:pPr>
      <w:r>
        <w:rPr>
          <w:rFonts w:ascii="宋体" w:hAnsi="宋体" w:eastAsia="宋体"/>
          <w:color w:val="auto"/>
        </w:rPr>
        <w:br w:type="page"/>
      </w:r>
    </w:p>
    <w:p>
      <w:pPr>
        <w:pStyle w:val="6"/>
        <w:jc w:val="center"/>
        <w:rPr>
          <w:color w:val="auto"/>
          <w:sz w:val="28"/>
          <w:szCs w:val="28"/>
        </w:rPr>
      </w:pPr>
      <w:r>
        <w:rPr>
          <w:rFonts w:hint="eastAsia"/>
          <w:color w:val="auto"/>
          <w:sz w:val="28"/>
          <w:szCs w:val="28"/>
        </w:rPr>
        <w:t>政府采购项目验收书</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14" w:name="_Toc5020"/>
      <w:bookmarkStart w:id="115" w:name="_Toc450840088"/>
      <w:r>
        <w:rPr>
          <w:rFonts w:hint="eastAsia" w:asciiTheme="minorEastAsia" w:hAnsiTheme="minorEastAsia" w:eastAsiaTheme="minorEastAsia"/>
          <w:color w:val="auto"/>
          <w:sz w:val="32"/>
          <w:szCs w:val="32"/>
        </w:rPr>
        <w:t>第五章 投标文件内容及格式</w:t>
      </w:r>
      <w:bookmarkEnd w:id="114"/>
      <w:bookmarkEnd w:id="115"/>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16" w:name="_Toc2078383"/>
      <w:bookmarkStart w:id="117" w:name="_Toc6227669"/>
      <w:bookmarkStart w:id="118" w:name="_Toc15786"/>
      <w:r>
        <w:rPr>
          <w:rFonts w:hint="eastAsia" w:cs="宋体" w:asciiTheme="minorEastAsia" w:hAnsiTheme="minorEastAsia" w:eastAsiaTheme="minorEastAsia"/>
          <w:color w:val="auto"/>
          <w:szCs w:val="21"/>
        </w:rPr>
        <w:t>1投标人提交投标文件须知</w:t>
      </w:r>
      <w:bookmarkEnd w:id="116"/>
      <w:bookmarkEnd w:id="117"/>
      <w:bookmarkEnd w:id="118"/>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19"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9"/>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20" w:name="_Toc2078384"/>
      <w:bookmarkStart w:id="121" w:name="_Toc6227670"/>
      <w:bookmarkStart w:id="122" w:name="_Toc29045"/>
      <w:r>
        <w:rPr>
          <w:rFonts w:hint="eastAsia" w:cs="宋体" w:asciiTheme="minorEastAsia" w:hAnsiTheme="minorEastAsia" w:eastAsiaTheme="minorEastAsia"/>
          <w:color w:val="auto"/>
          <w:szCs w:val="21"/>
        </w:rPr>
        <w:t>2投标文件组成</w:t>
      </w:r>
      <w:bookmarkEnd w:id="120"/>
      <w:bookmarkEnd w:id="121"/>
      <w:bookmarkEnd w:id="122"/>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hint="eastAsia" w:ascii="宋体" w:hAnsi="宋体" w:eastAsia="宋体" w:cs="宋体"/>
          <w:b w:val="0"/>
          <w:bCs w:val="0"/>
          <w:color w:val="auto"/>
          <w:sz w:val="21"/>
          <w:szCs w:val="21"/>
        </w:rPr>
      </w:pPr>
      <w:r>
        <w:rPr>
          <w:rFonts w:hint="eastAsia" w:cs="宋体" w:asciiTheme="minorEastAsia" w:hAnsiTheme="minorEastAsia" w:eastAsiaTheme="minorEastAsia"/>
          <w:b w:val="0"/>
          <w:bCs w:val="0"/>
          <w:color w:val="auto"/>
          <w:szCs w:val="21"/>
          <w:highlight w:val="none"/>
        </w:rPr>
        <w:t>（4）</w:t>
      </w:r>
      <w:r>
        <w:rPr>
          <w:rFonts w:hint="eastAsia" w:ascii="宋体" w:hAnsi="宋体" w:eastAsia="宋体" w:cs="宋体"/>
          <w:b w:val="0"/>
          <w:bCs w:val="0"/>
          <w:color w:val="auto"/>
          <w:sz w:val="21"/>
          <w:szCs w:val="21"/>
        </w:rPr>
        <w:t>投标声明书</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rPr>
        <w:t>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6</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2"/>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7</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2"/>
        <w:spacing w:line="360" w:lineRule="auto"/>
        <w:ind w:firstLine="422" w:firstLineChars="200"/>
        <w:rPr>
          <w:rFonts w:asciiTheme="minorEastAsia" w:hAnsiTheme="minorEastAsia" w:eastAsiaTheme="minorEastAsia"/>
          <w:b/>
          <w:bCs/>
          <w:color w:val="auto"/>
          <w:highlight w:val="none"/>
        </w:rPr>
      </w:pPr>
    </w:p>
    <w:p>
      <w:pPr>
        <w:pStyle w:val="12"/>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8</w:t>
      </w:r>
      <w:r>
        <w:rPr>
          <w:rFonts w:hint="eastAsia" w:asciiTheme="minorEastAsia" w:hAnsiTheme="minorEastAsia" w:eastAsiaTheme="minorEastAsia"/>
          <w:b w:val="0"/>
          <w:bCs w:val="0"/>
          <w:color w:val="auto"/>
          <w:highlight w:val="none"/>
        </w:rPr>
        <w:t>）联合投标协议书（联合体适用）；</w:t>
      </w: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asciiTheme="minorEastAsia" w:hAnsiTheme="minorEastAsia" w:eastAsiaTheme="minorEastAsia"/>
          <w:color w:val="auto"/>
        </w:rPr>
      </w:pPr>
      <w:bookmarkStart w:id="123"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已正式加入浙江政府采购网供应商库的页面查询结果截图（如有）。</w:t>
      </w:r>
    </w:p>
    <w:bookmarkEnd w:id="123"/>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szCs w:val="21"/>
        </w:rPr>
      </w:pPr>
      <w:bookmarkStart w:id="124" w:name="_Hlk8684997"/>
      <w:r>
        <w:rPr>
          <w:rFonts w:hint="eastAsia" w:cs="宋体" w:asciiTheme="minorEastAsia" w:hAnsiTheme="minorEastAsia" w:eastAsiaTheme="minorEastAsia"/>
          <w:color w:val="auto"/>
          <w:szCs w:val="21"/>
        </w:rPr>
        <w:t>（9）投标产品环境标志产品认证证书（如有）；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（10）投标产品节能产品认证证书（如有）；</w:t>
      </w:r>
    </w:p>
    <w:bookmarkEnd w:id="124"/>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（11）投标产品介绍（其中宣传册、彩页等应与标书装订在一起），投标产品有关证书及投标产品业绩；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设备名称、配置、数量；所投标的设备的完整配置方案，详细列明投标设备的所有技术指标（包括所投标设备的品牌、规格型号、详细配置、主要技术参数、随机软件等），明确表述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）针对本项目的详细实施计划，包括供货、验货、安装调试、运行维护等内容；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）消耗品购买价格清单；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）备品备件清单；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）培训计划；</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）项目验收方案，验收后的维护及售后服务方案；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rPr>
        <w:t>）包括但不限于以上技术文件或说明。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25" w:name="_Toc22242"/>
      <w:r>
        <w:rPr>
          <w:rFonts w:hint="eastAsia" w:cs="宋体" w:asciiTheme="minorEastAsia" w:hAnsiTheme="minorEastAsia" w:eastAsiaTheme="minorEastAsia"/>
          <w:color w:val="auto"/>
          <w:szCs w:val="21"/>
        </w:rPr>
        <w:t>3投标文件编制格式及规范要求</w:t>
      </w:r>
      <w:bookmarkEnd w:id="12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绘画艺术学院版画实验室设备一批</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绘画艺术学院版画实验室设备一批</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浙财采确【2019】41915号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ZJXL-MY-201941</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6"/>
        <w:rPr>
          <w:rFonts w:hint="eastAsia" w:eastAsiaTheme="minorEastAsia"/>
          <w:color w:val="auto"/>
          <w:lang w:eastAsia="zh-CN"/>
        </w:rPr>
      </w:pPr>
      <w:r>
        <w:rPr>
          <w:rFonts w:hint="eastAsia"/>
          <w:color w:val="auto"/>
        </w:rPr>
        <w:br w:type="page"/>
      </w:r>
      <w:r>
        <w:rPr>
          <w:rFonts w:hint="eastAsia"/>
          <w:color w:val="auto"/>
        </w:rPr>
        <w:t>附件二 开标一览表</w:t>
      </w:r>
    </w:p>
    <w:p>
      <w:pPr>
        <w:pStyle w:val="2"/>
        <w:ind w:firstLine="0" w:firstLineChars="0"/>
        <w:jc w:val="center"/>
        <w:rPr>
          <w:rFonts w:hint="eastAsia" w:ascii="宋体" w:hAnsi="宋体" w:eastAsia="宋体"/>
          <w:b/>
          <w:color w:val="auto"/>
          <w:sz w:val="32"/>
          <w:szCs w:val="32"/>
          <w:lang w:eastAsia="zh-CN"/>
        </w:rPr>
      </w:pPr>
    </w:p>
    <w:p>
      <w:pPr>
        <w:pStyle w:val="2"/>
        <w:ind w:firstLine="0" w:firstLineChars="0"/>
        <w:jc w:val="center"/>
        <w:rPr>
          <w:rFonts w:ascii="宋体" w:hAnsi="宋体" w:eastAsia="宋体"/>
          <w:b/>
          <w:color w:val="auto"/>
          <w:sz w:val="32"/>
          <w:szCs w:val="32"/>
        </w:rPr>
      </w:pPr>
      <w:r>
        <w:rPr>
          <w:rFonts w:hint="eastAsia" w:ascii="宋体" w:hAnsi="宋体" w:eastAsia="宋体"/>
          <w:b/>
          <w:color w:val="auto"/>
          <w:sz w:val="32"/>
          <w:szCs w:val="32"/>
          <w:lang w:eastAsia="zh-CN"/>
        </w:rPr>
        <w:t>开标</w:t>
      </w:r>
      <w:r>
        <w:rPr>
          <w:rFonts w:hint="eastAsia" w:ascii="宋体" w:hAnsi="宋体" w:eastAsia="宋体"/>
          <w:b/>
          <w:color w:val="auto"/>
          <w:sz w:val="32"/>
          <w:szCs w:val="32"/>
        </w:rPr>
        <w:t>一览表</w:t>
      </w:r>
    </w:p>
    <w:p>
      <w:pPr>
        <w:pStyle w:val="2"/>
        <w:ind w:firstLine="210"/>
        <w:rPr>
          <w:rFonts w:ascii="宋体" w:hAnsi="宋体" w:eastAsia="宋体"/>
          <w:color w:val="auto"/>
        </w:rPr>
      </w:pPr>
    </w:p>
    <w:p>
      <w:pPr>
        <w:adjustRightInd w:val="0"/>
        <w:snapToGrid w:val="0"/>
        <w:ind w:firstLine="0" w:firstLineChars="0"/>
        <w:rPr>
          <w:rFonts w:ascii="宋体" w:hAnsi="宋体" w:eastAsia="宋体" w:cs="宋体"/>
          <w:color w:val="auto"/>
          <w:szCs w:val="21"/>
        </w:rPr>
      </w:pPr>
      <w:r>
        <w:rPr>
          <w:rFonts w:hint="eastAsia" w:ascii="宋体" w:hAnsi="宋体" w:eastAsia="宋体" w:cs="宋体"/>
          <w:color w:val="auto"/>
          <w:spacing w:val="20"/>
          <w:szCs w:val="21"/>
        </w:rPr>
        <w:t xml:space="preserve">项目名称：                                 </w:t>
      </w:r>
      <w:r>
        <w:rPr>
          <w:rFonts w:hint="eastAsia" w:ascii="宋体" w:hAnsi="宋体" w:cs="宋体"/>
          <w:color w:val="auto"/>
          <w:spacing w:val="20"/>
          <w:szCs w:val="21"/>
          <w:lang w:eastAsia="zh-CN"/>
        </w:rPr>
        <w:t>招标</w:t>
      </w:r>
      <w:r>
        <w:rPr>
          <w:rFonts w:hint="eastAsia" w:ascii="宋体" w:hAnsi="宋体" w:eastAsia="宋体" w:cs="宋体"/>
          <w:color w:val="auto"/>
          <w:spacing w:val="20"/>
          <w:szCs w:val="21"/>
        </w:rPr>
        <w:t xml:space="preserve">编号：            </w:t>
      </w:r>
    </w:p>
    <w:tbl>
      <w:tblPr>
        <w:tblStyle w:val="21"/>
        <w:tblW w:w="10373" w:type="dxa"/>
        <w:jc w:val="center"/>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477"/>
        <w:gridCol w:w="1991"/>
        <w:gridCol w:w="197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23"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项目（标段号）名称</w:t>
            </w:r>
          </w:p>
        </w:tc>
        <w:tc>
          <w:tcPr>
            <w:tcW w:w="2477"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投标报价（元）</w:t>
            </w:r>
          </w:p>
        </w:tc>
        <w:tc>
          <w:tcPr>
            <w:tcW w:w="1991"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工期（交货期）</w:t>
            </w:r>
          </w:p>
        </w:tc>
        <w:tc>
          <w:tcPr>
            <w:tcW w:w="1977"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质保期</w:t>
            </w:r>
          </w:p>
        </w:tc>
        <w:tc>
          <w:tcPr>
            <w:tcW w:w="2305"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23" w:type="dxa"/>
            <w:noWrap w:val="0"/>
            <w:vAlign w:val="center"/>
          </w:tcPr>
          <w:p>
            <w:pPr>
              <w:pStyle w:val="8"/>
              <w:jc w:val="center"/>
              <w:rPr>
                <w:rFonts w:ascii="宋体" w:hAnsi="宋体" w:eastAsia="宋体"/>
                <w:color w:val="auto"/>
                <w:sz w:val="21"/>
                <w:szCs w:val="21"/>
              </w:rPr>
            </w:pPr>
          </w:p>
        </w:tc>
        <w:tc>
          <w:tcPr>
            <w:tcW w:w="2477" w:type="dxa"/>
            <w:noWrap w:val="0"/>
            <w:vAlign w:val="center"/>
          </w:tcPr>
          <w:p>
            <w:pPr>
              <w:pStyle w:val="8"/>
              <w:ind w:firstLine="0" w:firstLineChars="0"/>
              <w:rPr>
                <w:rFonts w:ascii="宋体" w:hAnsi="宋体" w:eastAsia="宋体"/>
                <w:color w:val="auto"/>
                <w:sz w:val="21"/>
                <w:szCs w:val="21"/>
              </w:rPr>
            </w:pPr>
            <w:r>
              <w:rPr>
                <w:rFonts w:hint="eastAsia" w:ascii="宋体" w:hAnsi="宋体" w:eastAsia="宋体"/>
                <w:color w:val="auto"/>
                <w:sz w:val="21"/>
                <w:szCs w:val="21"/>
              </w:rPr>
              <w:t>小写：</w:t>
            </w:r>
          </w:p>
          <w:p>
            <w:pPr>
              <w:pStyle w:val="8"/>
              <w:ind w:firstLine="0" w:firstLineChars="0"/>
              <w:rPr>
                <w:rFonts w:ascii="宋体" w:hAnsi="宋体" w:eastAsia="宋体"/>
                <w:color w:val="auto"/>
                <w:sz w:val="21"/>
                <w:szCs w:val="21"/>
              </w:rPr>
            </w:pPr>
            <w:r>
              <w:rPr>
                <w:rFonts w:hint="eastAsia" w:ascii="宋体" w:hAnsi="宋体" w:eastAsia="宋体"/>
                <w:color w:val="auto"/>
                <w:sz w:val="21"/>
                <w:szCs w:val="21"/>
              </w:rPr>
              <w:t>大写：</w:t>
            </w:r>
          </w:p>
        </w:tc>
        <w:tc>
          <w:tcPr>
            <w:tcW w:w="1991" w:type="dxa"/>
            <w:noWrap w:val="0"/>
            <w:vAlign w:val="center"/>
          </w:tcPr>
          <w:p>
            <w:pPr>
              <w:ind w:firstLine="420"/>
              <w:jc w:val="center"/>
              <w:rPr>
                <w:rFonts w:ascii="宋体" w:hAnsi="宋体" w:eastAsia="宋体"/>
                <w:color w:val="auto"/>
                <w:szCs w:val="21"/>
              </w:rPr>
            </w:pPr>
          </w:p>
        </w:tc>
        <w:tc>
          <w:tcPr>
            <w:tcW w:w="1977" w:type="dxa"/>
            <w:noWrap w:val="0"/>
            <w:vAlign w:val="center"/>
          </w:tcPr>
          <w:p>
            <w:pPr>
              <w:ind w:firstLine="420"/>
              <w:jc w:val="center"/>
              <w:rPr>
                <w:rFonts w:ascii="宋体" w:hAnsi="宋体" w:eastAsia="宋体"/>
                <w:color w:val="auto"/>
                <w:szCs w:val="21"/>
              </w:rPr>
            </w:pPr>
          </w:p>
        </w:tc>
        <w:tc>
          <w:tcPr>
            <w:tcW w:w="2305" w:type="dxa"/>
            <w:noWrap w:val="0"/>
            <w:vAlign w:val="center"/>
          </w:tcPr>
          <w:p>
            <w:pPr>
              <w:ind w:firstLine="420"/>
              <w:jc w:val="center"/>
              <w:rPr>
                <w:rFonts w:ascii="宋体" w:hAnsi="宋体" w:eastAsia="宋体"/>
                <w:color w:val="auto"/>
                <w:szCs w:val="21"/>
              </w:rPr>
            </w:pPr>
          </w:p>
        </w:tc>
      </w:tr>
    </w:tbl>
    <w:p>
      <w:pPr>
        <w:pStyle w:val="12"/>
        <w:snapToGrid w:val="0"/>
        <w:jc w:val="left"/>
        <w:rPr>
          <w:rFonts w:asciiTheme="minorEastAsia" w:hAnsiTheme="minorEastAsia" w:eastAsiaTheme="minorEastAsia"/>
          <w:color w:val="auto"/>
          <w:szCs w:val="21"/>
        </w:rPr>
      </w:pPr>
    </w:p>
    <w:p>
      <w:pPr>
        <w:pStyle w:val="12"/>
        <w:snapToGrid w:val="0"/>
        <w:ind w:firstLine="315" w:firstLineChars="15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8"/>
        <w:rPr>
          <w:rFonts w:hint="eastAsia" w:cs="宋体" w:asciiTheme="minorEastAsia" w:hAnsiTheme="minorEastAsia" w:eastAsiaTheme="minorEastAsia"/>
          <w:color w:val="auto"/>
          <w:sz w:val="21"/>
          <w:szCs w:val="21"/>
        </w:rPr>
      </w:pPr>
    </w:p>
    <w:p>
      <w:pPr>
        <w:pStyle w:val="8"/>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0" w:firstLineChars="0"/>
        <w:jc w:val="center"/>
        <w:rPr>
          <w:rFonts w:hint="eastAsia" w:asciiTheme="minorEastAsia" w:hAnsiTheme="minorEastAsia" w:eastAsiaTheme="minorEastAsia"/>
          <w:b/>
          <w:color w:val="auto"/>
          <w:sz w:val="32"/>
          <w:szCs w:val="32"/>
        </w:rPr>
      </w:pPr>
    </w:p>
    <w:p>
      <w:pPr>
        <w:adjustRightInd w:val="0"/>
        <w:snapToGrid w:val="0"/>
        <w:ind w:firstLine="420"/>
        <w:rPr>
          <w:rFonts w:hint="eastAsia" w:cs="宋体" w:asciiTheme="minorEastAsia" w:hAnsiTheme="minorEastAsia" w:eastAsiaTheme="minorEastAsia"/>
          <w:color w:val="auto"/>
          <w:szCs w:val="21"/>
        </w:rPr>
      </w:pPr>
    </w:p>
    <w:p>
      <w:pPr>
        <w:widowControl/>
        <w:ind w:firstLine="0" w:firstLineChars="0"/>
        <w:jc w:val="left"/>
        <w:rPr>
          <w:rFonts w:cs="宋体" w:asciiTheme="minorEastAsia" w:hAnsiTheme="minorEastAsia" w:eastAsiaTheme="minorEastAsia"/>
          <w:color w:val="auto"/>
          <w:szCs w:val="21"/>
        </w:rPr>
        <w:sectPr>
          <w:headerReference r:id="rId15" w:type="default"/>
          <w:footerReference r:id="rId16" w:type="default"/>
          <w:pgSz w:w="11907" w:h="16840"/>
          <w:pgMar w:top="1247" w:right="1304" w:bottom="1020" w:left="1304" w:header="720" w:footer="720" w:gutter="0"/>
          <w:cols w:space="720" w:num="1"/>
        </w:sectPr>
      </w:pPr>
    </w:p>
    <w:p>
      <w:pPr>
        <w:pStyle w:val="6"/>
        <w:rPr>
          <w:rFonts w:ascii="宋体" w:hAnsi="宋体" w:eastAsia="宋体" w:cs="宋体"/>
          <w:color w:val="auto"/>
          <w:sz w:val="21"/>
          <w:szCs w:val="21"/>
        </w:rPr>
      </w:pPr>
      <w:r>
        <w:rPr>
          <w:rFonts w:hint="eastAsia" w:ascii="宋体" w:hAnsi="宋体" w:eastAsia="宋体" w:cs="宋体"/>
          <w:color w:val="auto"/>
          <w:sz w:val="21"/>
          <w:szCs w:val="21"/>
        </w:rPr>
        <w:t xml:space="preserve">附件三 </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报价明细表</w:t>
      </w:r>
    </w:p>
    <w:tbl>
      <w:tblPr>
        <w:tblStyle w:val="22"/>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bl>
    <w:p>
      <w:pPr>
        <w:ind w:firstLine="420"/>
        <w:rPr>
          <w:rFonts w:ascii="宋体" w:hAnsi="宋体" w:eastAsia="宋体"/>
          <w:color w:val="auto"/>
        </w:rPr>
      </w:pPr>
    </w:p>
    <w:p>
      <w:pPr>
        <w:pStyle w:val="2"/>
        <w:ind w:firstLine="0" w:firstLineChars="0"/>
        <w:jc w:val="center"/>
        <w:rPr>
          <w:rFonts w:ascii="宋体" w:hAnsi="宋体" w:eastAsia="宋体"/>
          <w:b/>
          <w:color w:val="auto"/>
          <w:sz w:val="32"/>
          <w:szCs w:val="32"/>
        </w:rPr>
      </w:pPr>
      <w:r>
        <w:rPr>
          <w:rFonts w:hint="eastAsia" w:ascii="宋体" w:hAnsi="宋体" w:eastAsia="宋体" w:cs="宋体"/>
          <w:b/>
          <w:color w:val="auto"/>
          <w:sz w:val="32"/>
          <w:szCs w:val="32"/>
          <w:lang w:eastAsia="zh-CN"/>
        </w:rPr>
        <w:t>投标</w:t>
      </w:r>
      <w:r>
        <w:rPr>
          <w:rFonts w:hint="eastAsia" w:ascii="宋体" w:hAnsi="宋体" w:eastAsia="宋体" w:cs="宋体"/>
          <w:b/>
          <w:color w:val="auto"/>
          <w:sz w:val="32"/>
          <w:szCs w:val="32"/>
        </w:rPr>
        <w:t>报价明细表</w:t>
      </w:r>
    </w:p>
    <w:p>
      <w:pPr>
        <w:pStyle w:val="2"/>
        <w:ind w:firstLine="210"/>
        <w:rPr>
          <w:rFonts w:ascii="宋体" w:hAnsi="宋体" w:eastAsia="宋体"/>
          <w:color w:val="auto"/>
        </w:rPr>
      </w:pPr>
    </w:p>
    <w:p>
      <w:pPr>
        <w:adjustRightInd w:val="0"/>
        <w:snapToGrid w:val="0"/>
        <w:ind w:firstLine="735" w:firstLineChars="350"/>
        <w:rPr>
          <w:rFonts w:ascii="宋体" w:hAnsi="宋体" w:eastAsia="宋体" w:cs="宋体"/>
          <w:color w:val="auto"/>
          <w:szCs w:val="21"/>
        </w:rPr>
      </w:pPr>
      <w:r>
        <w:rPr>
          <w:rFonts w:hint="eastAsia" w:ascii="宋体" w:hAnsi="宋体" w:eastAsia="宋体" w:cs="宋体"/>
          <w:color w:val="auto"/>
          <w:szCs w:val="21"/>
        </w:rPr>
        <w:t xml:space="preserve">项目名称：                                </w:t>
      </w:r>
      <w:r>
        <w:rPr>
          <w:rFonts w:hint="eastAsia" w:ascii="宋体" w:hAnsi="宋体" w:cs="宋体"/>
          <w:color w:val="auto"/>
          <w:szCs w:val="21"/>
          <w:lang w:eastAsia="zh-CN"/>
        </w:rPr>
        <w:t>招标</w:t>
      </w:r>
      <w:r>
        <w:rPr>
          <w:rFonts w:hint="eastAsia" w:ascii="宋体" w:hAnsi="宋体" w:eastAsia="宋体" w:cs="宋体"/>
          <w:color w:val="auto"/>
          <w:szCs w:val="21"/>
        </w:rPr>
        <w:t>编号：                           （价格单位：元人民币）</w:t>
      </w:r>
    </w:p>
    <w:tbl>
      <w:tblPr>
        <w:tblStyle w:val="21"/>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25"/>
        <w:gridCol w:w="1085"/>
        <w:gridCol w:w="1066"/>
        <w:gridCol w:w="1337"/>
        <w:gridCol w:w="1331"/>
        <w:gridCol w:w="851"/>
        <w:gridCol w:w="992"/>
        <w:gridCol w:w="1276"/>
        <w:gridCol w:w="12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序号</w:t>
            </w:r>
          </w:p>
        </w:tc>
        <w:tc>
          <w:tcPr>
            <w:tcW w:w="1925"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货物名称/内容</w:t>
            </w:r>
          </w:p>
        </w:tc>
        <w:tc>
          <w:tcPr>
            <w:tcW w:w="1085" w:type="dxa"/>
            <w:tcBorders>
              <w:righ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品牌</w:t>
            </w:r>
          </w:p>
        </w:tc>
        <w:tc>
          <w:tcPr>
            <w:tcW w:w="1066" w:type="dxa"/>
            <w:tcBorders>
              <w:left w:val="single" w:color="auto" w:sz="2" w:space="0"/>
              <w:righ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型号规格</w:t>
            </w:r>
          </w:p>
        </w:tc>
        <w:tc>
          <w:tcPr>
            <w:tcW w:w="1337" w:type="dxa"/>
            <w:tcBorders>
              <w:lef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cs="宋体"/>
                <w:color w:val="auto"/>
                <w:szCs w:val="21"/>
                <w:lang w:eastAsia="zh-CN"/>
              </w:rPr>
              <w:t>原</w:t>
            </w:r>
            <w:r>
              <w:rPr>
                <w:rFonts w:hint="eastAsia" w:ascii="宋体" w:hAnsi="宋体" w:eastAsia="宋体" w:cs="宋体"/>
                <w:color w:val="auto"/>
                <w:szCs w:val="21"/>
              </w:rPr>
              <w:t>产地</w:t>
            </w:r>
          </w:p>
        </w:tc>
        <w:tc>
          <w:tcPr>
            <w:tcW w:w="1331" w:type="dxa"/>
            <w:tcBorders>
              <w:left w:val="single" w:color="auto" w:sz="4" w:space="0"/>
            </w:tcBorders>
            <w:noWrap w:val="0"/>
            <w:vAlign w:val="center"/>
          </w:tcPr>
          <w:p>
            <w:pPr>
              <w:ind w:firstLine="0" w:firstLineChars="0"/>
              <w:jc w:val="center"/>
              <w:rPr>
                <w:rFonts w:hint="eastAsia" w:ascii="宋体" w:hAnsi="宋体" w:eastAsia="宋体" w:cs="宋体"/>
                <w:color w:val="auto"/>
                <w:szCs w:val="21"/>
                <w:lang w:eastAsia="zh-CN"/>
              </w:rPr>
            </w:pPr>
            <w:r>
              <w:rPr>
                <w:rFonts w:hint="eastAsia" w:ascii="宋体" w:hAnsi="宋体" w:cs="宋体"/>
                <w:color w:val="auto"/>
                <w:szCs w:val="21"/>
                <w:lang w:eastAsia="zh-CN"/>
              </w:rPr>
              <w:t>制造商名称</w:t>
            </w:r>
          </w:p>
        </w:tc>
        <w:tc>
          <w:tcPr>
            <w:tcW w:w="851" w:type="dxa"/>
            <w:tcBorders>
              <w:lef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单位</w:t>
            </w:r>
          </w:p>
        </w:tc>
        <w:tc>
          <w:tcPr>
            <w:tcW w:w="992"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数量</w:t>
            </w:r>
          </w:p>
        </w:tc>
        <w:tc>
          <w:tcPr>
            <w:tcW w:w="12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单价</w:t>
            </w:r>
          </w:p>
        </w:tc>
        <w:tc>
          <w:tcPr>
            <w:tcW w:w="1275"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总价</w:t>
            </w:r>
          </w:p>
        </w:tc>
        <w:tc>
          <w:tcPr>
            <w:tcW w:w="1298"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一</w:t>
            </w:r>
          </w:p>
        </w:tc>
        <w:tc>
          <w:tcPr>
            <w:tcW w:w="1925" w:type="dxa"/>
            <w:noWrap w:val="0"/>
            <w:vAlign w:val="center"/>
          </w:tcPr>
          <w:p>
            <w:pPr>
              <w:ind w:firstLine="420"/>
              <w:rPr>
                <w:rFonts w:ascii="宋体" w:hAnsi="宋体" w:eastAsia="宋体" w:cs="宋体"/>
                <w:color w:val="auto"/>
                <w:szCs w:val="21"/>
              </w:rPr>
            </w:pPr>
          </w:p>
        </w:tc>
        <w:tc>
          <w:tcPr>
            <w:tcW w:w="1085" w:type="dxa"/>
            <w:tcBorders>
              <w:right w:val="single" w:color="auto" w:sz="2" w:space="0"/>
            </w:tcBorders>
            <w:noWrap w:val="0"/>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noWrap w:val="0"/>
            <w:vAlign w:val="center"/>
          </w:tcPr>
          <w:p>
            <w:pPr>
              <w:ind w:firstLine="420"/>
              <w:rPr>
                <w:rFonts w:ascii="宋体" w:hAnsi="宋体" w:eastAsia="宋体" w:cs="宋体"/>
                <w:color w:val="auto"/>
                <w:szCs w:val="21"/>
              </w:rPr>
            </w:pPr>
          </w:p>
        </w:tc>
        <w:tc>
          <w:tcPr>
            <w:tcW w:w="1337" w:type="dxa"/>
            <w:tcBorders>
              <w:left w:val="single" w:color="auto" w:sz="2" w:space="0"/>
            </w:tcBorders>
            <w:noWrap w:val="0"/>
            <w:vAlign w:val="center"/>
          </w:tcPr>
          <w:p>
            <w:pPr>
              <w:ind w:firstLine="420"/>
              <w:rPr>
                <w:rFonts w:ascii="宋体" w:hAnsi="宋体" w:eastAsia="宋体" w:cs="宋体"/>
                <w:color w:val="auto"/>
                <w:szCs w:val="21"/>
              </w:rPr>
            </w:pPr>
          </w:p>
        </w:tc>
        <w:tc>
          <w:tcPr>
            <w:tcW w:w="1331" w:type="dxa"/>
            <w:tcBorders>
              <w:left w:val="single" w:color="auto" w:sz="4" w:space="0"/>
            </w:tcBorders>
            <w:noWrap w:val="0"/>
            <w:vAlign w:val="center"/>
          </w:tcPr>
          <w:p>
            <w:pPr>
              <w:ind w:firstLine="420"/>
              <w:rPr>
                <w:rFonts w:ascii="宋体" w:hAnsi="宋体" w:eastAsia="宋体" w:cs="宋体"/>
                <w:color w:val="auto"/>
                <w:szCs w:val="21"/>
              </w:rPr>
            </w:pPr>
          </w:p>
        </w:tc>
        <w:tc>
          <w:tcPr>
            <w:tcW w:w="851" w:type="dxa"/>
            <w:tcBorders>
              <w:left w:val="single" w:color="auto" w:sz="2" w:space="0"/>
            </w:tcBorders>
            <w:noWrap w:val="0"/>
            <w:vAlign w:val="center"/>
          </w:tcPr>
          <w:p>
            <w:pPr>
              <w:ind w:firstLine="420"/>
              <w:rPr>
                <w:rFonts w:ascii="宋体" w:hAnsi="宋体" w:eastAsia="宋体" w:cs="宋体"/>
                <w:color w:val="auto"/>
                <w:szCs w:val="21"/>
              </w:rPr>
            </w:pPr>
          </w:p>
        </w:tc>
        <w:tc>
          <w:tcPr>
            <w:tcW w:w="992" w:type="dxa"/>
            <w:noWrap w:val="0"/>
            <w:vAlign w:val="center"/>
          </w:tcPr>
          <w:p>
            <w:pPr>
              <w:ind w:firstLine="420"/>
              <w:rPr>
                <w:rFonts w:ascii="宋体" w:hAnsi="宋体" w:eastAsia="宋体" w:cs="宋体"/>
                <w:color w:val="auto"/>
                <w:szCs w:val="21"/>
              </w:rPr>
            </w:pPr>
          </w:p>
        </w:tc>
        <w:tc>
          <w:tcPr>
            <w:tcW w:w="1276" w:type="dxa"/>
            <w:noWrap w:val="0"/>
            <w:vAlign w:val="center"/>
          </w:tcPr>
          <w:p>
            <w:pPr>
              <w:ind w:firstLine="420"/>
              <w:rPr>
                <w:rFonts w:ascii="宋体" w:hAnsi="宋体" w:eastAsia="宋体" w:cs="宋体"/>
                <w:color w:val="auto"/>
                <w:szCs w:val="21"/>
              </w:rPr>
            </w:pP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1</w:t>
            </w:r>
          </w:p>
        </w:tc>
        <w:tc>
          <w:tcPr>
            <w:tcW w:w="1925" w:type="dxa"/>
            <w:noWrap w:val="0"/>
            <w:vAlign w:val="center"/>
          </w:tcPr>
          <w:p>
            <w:pPr>
              <w:ind w:firstLine="420"/>
              <w:rPr>
                <w:rFonts w:ascii="宋体" w:hAnsi="宋体" w:eastAsia="宋体" w:cs="宋体"/>
                <w:color w:val="auto"/>
                <w:szCs w:val="21"/>
              </w:rPr>
            </w:pPr>
          </w:p>
        </w:tc>
        <w:tc>
          <w:tcPr>
            <w:tcW w:w="1085" w:type="dxa"/>
            <w:tcBorders>
              <w:right w:val="single" w:color="auto" w:sz="2" w:space="0"/>
            </w:tcBorders>
            <w:noWrap w:val="0"/>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noWrap w:val="0"/>
            <w:vAlign w:val="center"/>
          </w:tcPr>
          <w:p>
            <w:pPr>
              <w:ind w:firstLine="420"/>
              <w:rPr>
                <w:rFonts w:ascii="宋体" w:hAnsi="宋体" w:eastAsia="宋体" w:cs="宋体"/>
                <w:color w:val="auto"/>
                <w:szCs w:val="21"/>
              </w:rPr>
            </w:pPr>
          </w:p>
        </w:tc>
        <w:tc>
          <w:tcPr>
            <w:tcW w:w="1337" w:type="dxa"/>
            <w:tcBorders>
              <w:left w:val="single" w:color="auto" w:sz="2" w:space="0"/>
            </w:tcBorders>
            <w:noWrap w:val="0"/>
            <w:vAlign w:val="center"/>
          </w:tcPr>
          <w:p>
            <w:pPr>
              <w:ind w:firstLine="420"/>
              <w:rPr>
                <w:rFonts w:ascii="宋体" w:hAnsi="宋体" w:eastAsia="宋体" w:cs="宋体"/>
                <w:color w:val="auto"/>
                <w:szCs w:val="21"/>
              </w:rPr>
            </w:pPr>
          </w:p>
        </w:tc>
        <w:tc>
          <w:tcPr>
            <w:tcW w:w="1331" w:type="dxa"/>
            <w:tcBorders>
              <w:left w:val="single" w:color="auto" w:sz="4" w:space="0"/>
            </w:tcBorders>
            <w:noWrap w:val="0"/>
            <w:vAlign w:val="center"/>
          </w:tcPr>
          <w:p>
            <w:pPr>
              <w:ind w:firstLine="420"/>
              <w:rPr>
                <w:rFonts w:ascii="宋体" w:hAnsi="宋体" w:eastAsia="宋体" w:cs="宋体"/>
                <w:color w:val="auto"/>
                <w:szCs w:val="21"/>
              </w:rPr>
            </w:pPr>
          </w:p>
        </w:tc>
        <w:tc>
          <w:tcPr>
            <w:tcW w:w="851" w:type="dxa"/>
            <w:tcBorders>
              <w:left w:val="single" w:color="auto" w:sz="2" w:space="0"/>
            </w:tcBorders>
            <w:noWrap w:val="0"/>
            <w:vAlign w:val="center"/>
          </w:tcPr>
          <w:p>
            <w:pPr>
              <w:ind w:firstLine="420"/>
              <w:rPr>
                <w:rFonts w:ascii="宋体" w:hAnsi="宋体" w:eastAsia="宋体" w:cs="宋体"/>
                <w:color w:val="auto"/>
                <w:szCs w:val="21"/>
              </w:rPr>
            </w:pPr>
          </w:p>
        </w:tc>
        <w:tc>
          <w:tcPr>
            <w:tcW w:w="992" w:type="dxa"/>
            <w:noWrap w:val="0"/>
            <w:vAlign w:val="center"/>
          </w:tcPr>
          <w:p>
            <w:pPr>
              <w:ind w:firstLine="420"/>
              <w:rPr>
                <w:rFonts w:ascii="宋体" w:hAnsi="宋体" w:eastAsia="宋体" w:cs="宋体"/>
                <w:color w:val="auto"/>
                <w:szCs w:val="21"/>
              </w:rPr>
            </w:pPr>
          </w:p>
        </w:tc>
        <w:tc>
          <w:tcPr>
            <w:tcW w:w="1276" w:type="dxa"/>
            <w:noWrap w:val="0"/>
            <w:vAlign w:val="center"/>
          </w:tcPr>
          <w:p>
            <w:pPr>
              <w:ind w:firstLine="420"/>
              <w:rPr>
                <w:rFonts w:ascii="宋体" w:hAnsi="宋体" w:eastAsia="宋体" w:cs="宋体"/>
                <w:color w:val="auto"/>
                <w:szCs w:val="21"/>
              </w:rPr>
            </w:pP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w:t>
            </w:r>
          </w:p>
        </w:tc>
        <w:tc>
          <w:tcPr>
            <w:tcW w:w="1925" w:type="dxa"/>
            <w:noWrap w:val="0"/>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c>
          <w:tcPr>
            <w:tcW w:w="1085" w:type="dxa"/>
            <w:noWrap w:val="0"/>
            <w:vAlign w:val="center"/>
          </w:tcPr>
          <w:p>
            <w:pPr>
              <w:ind w:firstLine="420"/>
              <w:rPr>
                <w:rFonts w:ascii="宋体" w:hAnsi="宋体" w:eastAsia="宋体" w:cs="宋体"/>
                <w:color w:val="auto"/>
                <w:szCs w:val="21"/>
              </w:rPr>
            </w:pPr>
          </w:p>
        </w:tc>
        <w:tc>
          <w:tcPr>
            <w:tcW w:w="1066" w:type="dxa"/>
            <w:noWrap w:val="0"/>
            <w:vAlign w:val="center"/>
          </w:tcPr>
          <w:p>
            <w:pPr>
              <w:ind w:firstLine="420"/>
              <w:rPr>
                <w:rFonts w:ascii="宋体" w:hAnsi="宋体" w:eastAsia="宋体" w:cs="宋体"/>
                <w:color w:val="auto"/>
                <w:szCs w:val="21"/>
              </w:rPr>
            </w:pPr>
          </w:p>
        </w:tc>
        <w:tc>
          <w:tcPr>
            <w:tcW w:w="1337" w:type="dxa"/>
            <w:noWrap w:val="0"/>
            <w:vAlign w:val="center"/>
          </w:tcPr>
          <w:p>
            <w:pPr>
              <w:ind w:firstLine="420"/>
              <w:rPr>
                <w:rFonts w:ascii="宋体" w:hAnsi="宋体" w:eastAsia="宋体" w:cs="宋体"/>
                <w:color w:val="auto"/>
                <w:szCs w:val="21"/>
              </w:rPr>
            </w:pPr>
          </w:p>
        </w:tc>
        <w:tc>
          <w:tcPr>
            <w:tcW w:w="1331" w:type="dxa"/>
            <w:noWrap w:val="0"/>
            <w:vAlign w:val="center"/>
          </w:tcPr>
          <w:p>
            <w:pPr>
              <w:ind w:firstLine="420"/>
              <w:rPr>
                <w:rFonts w:ascii="宋体" w:hAnsi="宋体" w:eastAsia="宋体" w:cs="宋体"/>
                <w:color w:val="auto"/>
                <w:szCs w:val="21"/>
              </w:rPr>
            </w:pPr>
          </w:p>
        </w:tc>
        <w:tc>
          <w:tcPr>
            <w:tcW w:w="851" w:type="dxa"/>
            <w:noWrap w:val="0"/>
            <w:vAlign w:val="center"/>
          </w:tcPr>
          <w:p>
            <w:pPr>
              <w:ind w:firstLine="420"/>
              <w:rPr>
                <w:rFonts w:ascii="宋体" w:hAnsi="宋体" w:eastAsia="宋体" w:cs="宋体"/>
                <w:color w:val="auto"/>
                <w:szCs w:val="21"/>
              </w:rPr>
            </w:pPr>
          </w:p>
        </w:tc>
        <w:tc>
          <w:tcPr>
            <w:tcW w:w="992" w:type="dxa"/>
            <w:noWrap w:val="0"/>
            <w:vAlign w:val="center"/>
          </w:tcPr>
          <w:p>
            <w:pPr>
              <w:ind w:firstLine="420"/>
              <w:rPr>
                <w:rFonts w:ascii="宋体" w:hAnsi="宋体" w:eastAsia="宋体" w:cs="宋体"/>
                <w:color w:val="auto"/>
                <w:szCs w:val="21"/>
              </w:rPr>
            </w:pPr>
          </w:p>
        </w:tc>
        <w:tc>
          <w:tcPr>
            <w:tcW w:w="1276" w:type="dxa"/>
            <w:noWrap w:val="0"/>
            <w:vAlign w:val="center"/>
          </w:tcPr>
          <w:p>
            <w:pPr>
              <w:ind w:firstLine="420"/>
              <w:rPr>
                <w:rFonts w:ascii="宋体" w:hAnsi="宋体" w:eastAsia="宋体" w:cs="宋体"/>
                <w:color w:val="auto"/>
                <w:szCs w:val="21"/>
              </w:rPr>
            </w:pP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二</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小计</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三</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安装费、调试费</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四</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人工费</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五</w:t>
            </w:r>
          </w:p>
        </w:tc>
        <w:tc>
          <w:tcPr>
            <w:tcW w:w="1925" w:type="dxa"/>
            <w:noWrap w:val="0"/>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培训费</w:t>
            </w:r>
          </w:p>
        </w:tc>
        <w:tc>
          <w:tcPr>
            <w:tcW w:w="7938" w:type="dxa"/>
            <w:gridSpan w:val="7"/>
            <w:noWrap w:val="0"/>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六</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质保费用</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七</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其它费用</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76" w:type="dxa"/>
            <w:vMerge w:val="restart"/>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八</w:t>
            </w:r>
          </w:p>
        </w:tc>
        <w:tc>
          <w:tcPr>
            <w:tcW w:w="1925" w:type="dxa"/>
            <w:vMerge w:val="restart"/>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报价合计=二+三+四+五+六+七</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小写</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76" w:type="dxa"/>
            <w:vMerge w:val="continue"/>
            <w:noWrap w:val="0"/>
            <w:vAlign w:val="center"/>
          </w:tcPr>
          <w:p>
            <w:pPr>
              <w:widowControl/>
              <w:ind w:firstLine="0" w:firstLineChars="0"/>
              <w:jc w:val="center"/>
              <w:rPr>
                <w:rFonts w:ascii="宋体" w:hAnsi="宋体" w:eastAsia="宋体" w:cs="宋体"/>
                <w:color w:val="auto"/>
                <w:szCs w:val="21"/>
              </w:rPr>
            </w:pPr>
          </w:p>
        </w:tc>
        <w:tc>
          <w:tcPr>
            <w:tcW w:w="1925" w:type="dxa"/>
            <w:vMerge w:val="continue"/>
            <w:noWrap w:val="0"/>
            <w:vAlign w:val="center"/>
          </w:tcPr>
          <w:p>
            <w:pPr>
              <w:widowControl/>
              <w:ind w:firstLine="0" w:firstLineChars="0"/>
              <w:jc w:val="left"/>
              <w:rPr>
                <w:rFonts w:ascii="宋体" w:hAnsi="宋体" w:eastAsia="宋体" w:cs="宋体"/>
                <w:color w:val="auto"/>
                <w:szCs w:val="21"/>
              </w:rPr>
            </w:pPr>
          </w:p>
        </w:tc>
        <w:tc>
          <w:tcPr>
            <w:tcW w:w="10511" w:type="dxa"/>
            <w:gridSpan w:val="9"/>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大写：</w:t>
            </w:r>
          </w:p>
        </w:tc>
      </w:tr>
    </w:tbl>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注：1、本表合计金额应与“开标一览表”中投标报价相一致；</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授权委托人（签字或盖章）：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日期：</w:t>
      </w:r>
    </w:p>
    <w:p>
      <w:pPr>
        <w:pStyle w:val="6"/>
        <w:rPr>
          <w:color w:val="auto"/>
        </w:rPr>
        <w:sectPr>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绘画艺术学院版画实验室设备一批</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绘画艺术学院版画实验室设备一批</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snapToGrid w:val="0"/>
        <w:spacing w:before="50" w:after="120" w:afterLines="50" w:line="360" w:lineRule="auto"/>
        <w:ind w:left="0" w:leftChars="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附件</w:t>
      </w:r>
      <w:r>
        <w:rPr>
          <w:rFonts w:hint="eastAsia" w:ascii="宋体" w:hAnsi="宋体" w:cs="宋体"/>
          <w:b/>
          <w:color w:val="auto"/>
          <w:sz w:val="21"/>
          <w:szCs w:val="21"/>
          <w:lang w:eastAsia="zh-CN"/>
        </w:rPr>
        <w:t>六</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投标声明书格式</w:t>
      </w:r>
    </w:p>
    <w:p>
      <w:pPr>
        <w:snapToGrid w:val="0"/>
        <w:spacing w:before="120" w:beforeLines="50" w:after="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投标声明书</w:t>
      </w:r>
    </w:p>
    <w:p>
      <w:pPr>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w:t>
      </w:r>
    </w:p>
    <w:p>
      <w:pPr>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（投标人名称）系中华人民共和国合法企业，经营地址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我方愿意参加贵方组织的</w:t>
      </w:r>
      <w:r>
        <w:rPr>
          <w:rFonts w:hint="eastAsia" w:ascii="宋体" w:hAnsi="宋体" w:eastAsia="宋体" w:cs="宋体"/>
          <w:color w:val="auto"/>
          <w:sz w:val="21"/>
          <w:szCs w:val="21"/>
          <w:u w:val="none"/>
        </w:rPr>
        <w:t>____</w:t>
      </w:r>
      <w:r>
        <w:rPr>
          <w:rFonts w:hint="eastAsia" w:ascii="宋体" w:hAnsi="宋体" w:eastAsia="宋体" w:cs="宋体"/>
          <w:color w:val="auto"/>
          <w:sz w:val="21"/>
          <w:szCs w:val="21"/>
          <w:u w:val="single"/>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项目的投标，为便于贵方公正、择优地确定中标人及其投标产品和服务，我方就参加本次投标有关事项郑重声明如下：</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.我方向贵方提交的所有投标文件、资料都是准确的和真实的</w:t>
      </w:r>
      <w:r>
        <w:rPr>
          <w:rFonts w:hint="eastAsia" w:ascii="宋体" w:hAnsi="宋体" w:cs="宋体"/>
          <w:color w:val="auto"/>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.我方不是采购人的附属机构；</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我方参加本采购项目的整体设计、规范编制或者项目管理、监理、检测等服务情况：</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我方直接控股的单位、由我方管理的单位，没有同时参加本</w:t>
      </w:r>
      <w:r>
        <w:rPr>
          <w:rFonts w:hint="eastAsia" w:ascii="宋体" w:hAnsi="宋体" w:eastAsia="宋体" w:cs="宋体"/>
          <w:color w:val="auto"/>
          <w:sz w:val="21"/>
          <w:szCs w:val="21"/>
        </w:rPr>
        <w:t>合同项下</w:t>
      </w:r>
      <w:r>
        <w:rPr>
          <w:rFonts w:hint="eastAsia" w:ascii="宋体" w:hAnsi="宋体" w:eastAsia="宋体" w:cs="宋体"/>
          <w:color w:val="auto"/>
          <w:kern w:val="0"/>
          <w:sz w:val="21"/>
          <w:szCs w:val="21"/>
        </w:rPr>
        <w:t>的投标</w:t>
      </w:r>
      <w:r>
        <w:rPr>
          <w:rFonts w:hint="eastAsia" w:ascii="宋体" w:hAnsi="宋体" w:cs="宋体"/>
          <w:color w:val="auto"/>
          <w:kern w:val="0"/>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.我方</w:t>
      </w:r>
      <w:r>
        <w:rPr>
          <w:rFonts w:hint="eastAsia" w:ascii="宋体" w:hAnsi="宋体" w:eastAsia="宋体" w:cs="宋体"/>
          <w:color w:val="auto"/>
          <w:kern w:val="0"/>
          <w:sz w:val="21"/>
          <w:szCs w:val="21"/>
        </w:rPr>
        <w:t>参加本次政府采购活动前三年内，在经营活动中的重大违法记录</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.以上事项如有虚假或隐瞒，我方愿意承担一切后果，并不再寻求任何旨在减轻或免除法律责任的辩解。</w:t>
      </w: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Style w:val="2"/>
        <w:pageBreakBefore w:val="0"/>
        <w:widowControl w:val="0"/>
        <w:kinsoku/>
        <w:wordWrap/>
        <w:overflowPunct/>
        <w:topLinePunct w:val="0"/>
        <w:autoSpaceDE/>
        <w:autoSpaceDN/>
        <w:bidi w:val="0"/>
        <w:adjustRightInd/>
        <w:spacing w:line="360" w:lineRule="auto"/>
        <w:textAlignment w:val="auto"/>
        <w:rPr>
          <w:rFonts w:hint="eastAsia"/>
          <w:color w:val="auto"/>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w:t>
      </w:r>
      <w:r>
        <w:rPr>
          <w:rFonts w:hint="eastAsia" w:ascii="宋体" w:hAnsi="宋体" w:eastAsia="宋体" w:cs="宋体"/>
          <w:color w:val="auto"/>
          <w:sz w:val="21"/>
          <w:szCs w:val="21"/>
          <w:u w:val="single"/>
        </w:rPr>
        <w:t xml:space="preserve">     （签字或盖章） </w:t>
      </w:r>
    </w:p>
    <w:p>
      <w:pPr>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（盖章）        </w:t>
      </w:r>
      <w:r>
        <w:rPr>
          <w:rFonts w:hint="eastAsia" w:ascii="宋体" w:hAnsi="宋体" w:eastAsia="宋体" w:cs="宋体"/>
          <w:color w:val="auto"/>
          <w:sz w:val="21"/>
          <w:szCs w:val="21"/>
        </w:rPr>
        <w:t xml:space="preserve">                      年    月    日</w:t>
      </w:r>
    </w:p>
    <w:p>
      <w:pPr>
        <w:pStyle w:val="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ind w:firstLine="422" w:firstLineChars="200"/>
        <w:rPr>
          <w:color w:val="auto"/>
        </w:rPr>
        <w:sectPr>
          <w:pgSz w:w="11907" w:h="16840"/>
          <w:pgMar w:top="1247" w:right="1304" w:bottom="1020" w:left="1304" w:header="720" w:footer="720" w:gutter="0"/>
          <w:cols w:space="720" w:num="1"/>
          <w:docGrid w:linePitch="286" w:charSpace="0"/>
        </w:sectPr>
      </w:pPr>
      <w:r>
        <w:rPr>
          <w:rFonts w:hint="eastAsia" w:ascii="宋体" w:hAnsi="宋体" w:eastAsia="宋体" w:cs="宋体"/>
          <w:b/>
          <w:color w:val="auto"/>
          <w:sz w:val="21"/>
          <w:szCs w:val="21"/>
          <w:lang w:eastAsia="zh-CN"/>
        </w:rPr>
        <w:t>备注：第</w:t>
      </w:r>
      <w:r>
        <w:rPr>
          <w:rFonts w:hint="eastAsia" w:ascii="宋体" w:hAnsi="宋体" w:eastAsia="宋体" w:cs="宋体"/>
          <w:b/>
          <w:color w:val="auto"/>
          <w:sz w:val="21"/>
          <w:szCs w:val="21"/>
          <w:lang w:val="en-US" w:eastAsia="zh-CN"/>
        </w:rPr>
        <w:t>3条，第5条如填写“有”，资格审查不合格。</w:t>
      </w:r>
      <w:r>
        <w:rPr>
          <w:rFonts w:hint="eastAsia" w:ascii="宋体" w:hAnsi="宋体" w:eastAsia="宋体" w:cs="宋体"/>
          <w:b/>
          <w:color w:val="auto"/>
          <w:sz w:val="21"/>
          <w:szCs w:val="21"/>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1"/>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消耗品购买价格清单</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消耗品购买价格清单</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pacing w:val="20"/>
          <w:szCs w:val="21"/>
        </w:rPr>
        <w:t xml:space="preserve">                （价格单位：元人民币）</w:t>
      </w:r>
    </w:p>
    <w:tbl>
      <w:tblPr>
        <w:tblStyle w:val="21"/>
        <w:tblW w:w="13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81"/>
        <w:gridCol w:w="1843"/>
        <w:gridCol w:w="2268"/>
        <w:gridCol w:w="850"/>
        <w:gridCol w:w="1418"/>
        <w:gridCol w:w="1843"/>
        <w:gridCol w:w="14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8" w:type="dxa"/>
            <w:vAlign w:val="center"/>
          </w:tcPr>
          <w:p>
            <w:pPr>
              <w:ind w:firstLine="0" w:firstLineChars="0"/>
              <w:jc w:val="center"/>
              <w:rPr>
                <w:rFonts w:cs="宋体" w:asciiTheme="minorEastAsia" w:hAnsiTheme="minorEastAsia" w:eastAsiaTheme="minorEastAsia"/>
                <w:caps/>
                <w:color w:val="auto"/>
                <w:spacing w:val="20"/>
                <w:szCs w:val="21"/>
              </w:rPr>
            </w:pPr>
            <w:bookmarkStart w:id="126" w:name="_Hlk8685587"/>
            <w:r>
              <w:rPr>
                <w:rFonts w:hint="eastAsia" w:cs="宋体" w:asciiTheme="minorEastAsia" w:hAnsiTheme="minorEastAsia" w:eastAsiaTheme="minorEastAsia"/>
                <w:caps/>
                <w:color w:val="auto"/>
                <w:spacing w:val="20"/>
                <w:szCs w:val="21"/>
              </w:rPr>
              <w:t>序号</w:t>
            </w:r>
          </w:p>
        </w:tc>
        <w:tc>
          <w:tcPr>
            <w:tcW w:w="1881"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名称</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品牌型号规格</w:t>
            </w:r>
          </w:p>
        </w:tc>
        <w:tc>
          <w:tcPr>
            <w:tcW w:w="226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产地和制造商名称</w:t>
            </w:r>
          </w:p>
        </w:tc>
        <w:tc>
          <w:tcPr>
            <w:tcW w:w="850"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计量单位</w:t>
            </w:r>
          </w:p>
        </w:tc>
        <w:tc>
          <w:tcPr>
            <w:tcW w:w="141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折扣前单价</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折扣后单价</w:t>
            </w:r>
          </w:p>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（或折扣率）</w:t>
            </w:r>
          </w:p>
        </w:tc>
        <w:tc>
          <w:tcPr>
            <w:tcW w:w="149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对应的投标货物名称</w:t>
            </w:r>
          </w:p>
        </w:tc>
        <w:tc>
          <w:tcPr>
            <w:tcW w:w="141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bookmarkEnd w:id="126"/>
    </w:tbl>
    <w:p>
      <w:pPr>
        <w:ind w:firstLine="0" w:firstLineChars="0"/>
        <w:rPr>
          <w:rFonts w:cs="宋体" w:asciiTheme="minorEastAsia" w:hAnsiTheme="minorEastAsia" w:eastAsiaTheme="minorEastAsia"/>
          <w:color w:val="auto"/>
          <w:szCs w:val="21"/>
        </w:rPr>
      </w:pPr>
      <w:bookmarkStart w:id="127" w:name="_Hlk8685661"/>
      <w:r>
        <w:rPr>
          <w:rFonts w:hint="eastAsia" w:cs="宋体" w:asciiTheme="minorEastAsia" w:hAnsiTheme="minorEastAsia" w:eastAsiaTheme="minorEastAsia"/>
          <w:color w:val="auto"/>
          <w:szCs w:val="21"/>
        </w:rPr>
        <w:t>注：1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投标人应提供货物质保期外所需消耗品的清单供采购人参考，消耗品价格不包含在投标报价中。</w:t>
      </w: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折扣率=折扣后单价/折扣前单价</w:t>
      </w:r>
    </w:p>
    <w:bookmarkEnd w:id="127"/>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附件十二  备品备件清单</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备品备件清单</w:t>
      </w:r>
    </w:p>
    <w:p>
      <w:pPr>
        <w:ind w:firstLine="420"/>
        <w:rPr>
          <w:rFonts w:cs="宋体" w:asciiTheme="minorEastAsia" w:hAnsiTheme="minorEastAsia" w:eastAsiaTheme="minorEastAsia"/>
          <w:color w:val="auto"/>
          <w:szCs w:val="21"/>
        </w:rPr>
      </w:pP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名称</w:t>
            </w:r>
          </w:p>
        </w:tc>
        <w:tc>
          <w:tcPr>
            <w:tcW w:w="128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品牌</w:t>
            </w:r>
          </w:p>
        </w:tc>
        <w:tc>
          <w:tcPr>
            <w:tcW w:w="151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规格型号</w:t>
            </w:r>
          </w:p>
        </w:tc>
        <w:tc>
          <w:tcPr>
            <w:tcW w:w="99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数量</w:t>
            </w:r>
          </w:p>
        </w:tc>
        <w:tc>
          <w:tcPr>
            <w:tcW w:w="44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注：备品备件是指投标人为本次采购服务所准备的备品备件货物，以保证出现故障时，可以在最短的时间内使用备品备件清单中的货物排除故障。备品备件价格包含在投标报价中。</w:t>
      </w:r>
    </w:p>
    <w:p>
      <w:pPr>
        <w:ind w:firstLine="0" w:firstLineChars="0"/>
        <w:rPr>
          <w:rFonts w:cs="宋体" w:asciiTheme="minorEastAsia" w:hAnsiTheme="minorEastAsia" w:eastAsiaTheme="minorEastAsia"/>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 w:val="30"/>
          <w:szCs w:val="30"/>
        </w:rPr>
      </w:pPr>
    </w:p>
    <w:p>
      <w:pPr>
        <w:pStyle w:val="5"/>
        <w:rPr>
          <w:rFonts w:ascii="Times New Roman" w:hAnsi="Times New Roman" w:cs="Times New Roman"/>
          <w:color w:val="auto"/>
        </w:rPr>
      </w:pPr>
      <w:r>
        <w:rPr>
          <w:rFonts w:hint="eastAsia"/>
          <w:color w:val="auto"/>
        </w:rPr>
        <w:br w:type="page"/>
      </w:r>
      <w:bookmarkStart w:id="128" w:name="_Toc8224"/>
      <w:r>
        <w:rPr>
          <w:rFonts w:hint="eastAsia"/>
          <w:color w:val="auto"/>
          <w:lang w:eastAsia="zh-CN"/>
        </w:rPr>
        <w:t>附件十三</w:t>
      </w:r>
      <w:r>
        <w:rPr>
          <w:rFonts w:hint="eastAsia"/>
          <w:color w:val="auto"/>
          <w:lang w:val="en-US" w:eastAsia="zh-CN"/>
        </w:rPr>
        <w:t xml:space="preserve"> </w:t>
      </w:r>
      <w:r>
        <w:rPr>
          <w:rFonts w:ascii="宋体" w:hAnsi="宋体" w:cs="Times New Roman"/>
          <w:color w:val="auto"/>
        </w:rPr>
        <w:t>代理证明（或制造商出具的授权书）</w:t>
      </w:r>
      <w:bookmarkEnd w:id="128"/>
    </w:p>
    <w:p>
      <w:pPr>
        <w:snapToGrid w:val="0"/>
        <w:spacing w:line="300" w:lineRule="auto"/>
        <w:jc w:val="center"/>
        <w:rPr>
          <w:rFonts w:eastAsia="华文中宋"/>
          <w:b/>
          <w:bCs/>
          <w:color w:val="auto"/>
          <w:sz w:val="32"/>
          <w:szCs w:val="32"/>
        </w:rPr>
      </w:pPr>
      <w:r>
        <w:rPr>
          <w:rFonts w:ascii="华文中宋" w:hAnsi="华文中宋" w:eastAsia="华文中宋"/>
          <w:b/>
          <w:bCs/>
          <w:color w:val="auto"/>
          <w:sz w:val="32"/>
          <w:szCs w:val="32"/>
        </w:rPr>
        <w:t>代理证明（或制造商出具的授权书）</w:t>
      </w:r>
    </w:p>
    <w:p>
      <w:pPr>
        <w:spacing w:line="360" w:lineRule="auto"/>
        <w:rPr>
          <w:color w:val="auto"/>
        </w:rPr>
      </w:pPr>
      <w:r>
        <w:rPr>
          <w:color w:val="auto"/>
        </w:rPr>
        <w:t xml:space="preserve"> </w:t>
      </w:r>
    </w:p>
    <w:p>
      <w:pPr>
        <w:spacing w:line="360" w:lineRule="auto"/>
        <w:rPr>
          <w:color w:val="auto"/>
          <w:kern w:val="0"/>
        </w:rPr>
      </w:pPr>
      <w:r>
        <w:rPr>
          <w:rFonts w:ascii="宋体" w:hAnsi="宋体"/>
          <w:color w:val="auto"/>
        </w:rPr>
        <w:t>附：</w:t>
      </w:r>
      <w:r>
        <w:rPr>
          <w:rFonts w:ascii="宋体" w:hAnsi="宋体"/>
          <w:color w:val="auto"/>
          <w:kern w:val="0"/>
        </w:rPr>
        <w:t>制造商出具的授权书参考格式：</w:t>
      </w:r>
    </w:p>
    <w:p>
      <w:pPr>
        <w:spacing w:line="360" w:lineRule="auto"/>
        <w:rPr>
          <w:color w:val="auto"/>
        </w:rPr>
      </w:pPr>
      <w:r>
        <w:rPr>
          <w:color w:val="auto"/>
        </w:rPr>
        <w:t xml:space="preserve"> </w:t>
      </w:r>
    </w:p>
    <w:p>
      <w:pPr>
        <w:spacing w:line="360" w:lineRule="auto"/>
        <w:rPr>
          <w:color w:val="auto"/>
        </w:rPr>
      </w:pPr>
      <w:r>
        <w:rPr>
          <w:rFonts w:ascii="宋体" w:hAnsi="宋体"/>
          <w:color w:val="auto"/>
        </w:rPr>
        <w:t>致：</w:t>
      </w:r>
      <w:r>
        <w:rPr>
          <w:color w:val="auto"/>
        </w:rPr>
        <w:t>_</w:t>
      </w:r>
      <w:r>
        <w:rPr>
          <w:color w:val="auto"/>
          <w:u w:val="single"/>
        </w:rPr>
        <w:t>_       _</w:t>
      </w:r>
      <w:r>
        <w:rPr>
          <w:color w:val="auto"/>
        </w:rPr>
        <w:t>_</w:t>
      </w:r>
      <w:r>
        <w:rPr>
          <w:rFonts w:ascii="宋体" w:hAnsi="宋体"/>
          <w:color w:val="auto"/>
        </w:rPr>
        <w:t>（采购代理机构）：</w:t>
      </w:r>
    </w:p>
    <w:p>
      <w:pPr>
        <w:spacing w:line="360" w:lineRule="auto"/>
        <w:rPr>
          <w:color w:val="auto"/>
        </w:rPr>
      </w:pPr>
      <w:r>
        <w:rPr>
          <w:color w:val="auto"/>
        </w:rPr>
        <w:t xml:space="preserve"> </w:t>
      </w:r>
    </w:p>
    <w:p>
      <w:pPr>
        <w:spacing w:line="360" w:lineRule="auto"/>
        <w:rPr>
          <w:color w:val="auto"/>
        </w:rPr>
      </w:pPr>
      <w:r>
        <w:rPr>
          <w:color w:val="auto"/>
        </w:rPr>
        <w:t xml:space="preserve">    </w:t>
      </w:r>
      <w:r>
        <w:rPr>
          <w:rFonts w:ascii="宋体" w:hAnsi="宋体"/>
          <w:color w:val="auto"/>
        </w:rPr>
        <w:t>我们</w:t>
      </w:r>
      <w:r>
        <w:rPr>
          <w:rFonts w:ascii="宋体" w:hAnsi="宋体"/>
          <w:color w:val="auto"/>
          <w:u w:val="single"/>
        </w:rPr>
        <w:t>（</w:t>
      </w:r>
      <w:r>
        <w:rPr>
          <w:rFonts w:ascii="宋体" w:hAnsi="宋体"/>
          <w:i/>
          <w:iCs/>
          <w:color w:val="auto"/>
          <w:u w:val="single"/>
        </w:rPr>
        <w:t>制造商名称</w:t>
      </w:r>
      <w:r>
        <w:rPr>
          <w:rFonts w:ascii="宋体" w:hAnsi="宋体"/>
          <w:color w:val="auto"/>
          <w:u w:val="single"/>
        </w:rPr>
        <w:t>）</w:t>
      </w:r>
      <w:r>
        <w:rPr>
          <w:rFonts w:ascii="宋体" w:hAnsi="宋体"/>
          <w:color w:val="auto"/>
        </w:rPr>
        <w:t>是按</w:t>
      </w:r>
      <w:r>
        <w:rPr>
          <w:rFonts w:ascii="宋体" w:hAnsi="宋体"/>
          <w:color w:val="auto"/>
          <w:u w:val="single"/>
        </w:rPr>
        <w:t>（</w:t>
      </w:r>
      <w:r>
        <w:rPr>
          <w:rFonts w:ascii="宋体" w:hAnsi="宋体"/>
          <w:i/>
          <w:iCs/>
          <w:color w:val="auto"/>
          <w:u w:val="single"/>
        </w:rPr>
        <w:t>国家或地区的名称</w:t>
      </w:r>
      <w:r>
        <w:rPr>
          <w:rFonts w:ascii="宋体" w:hAnsi="宋体"/>
          <w:color w:val="auto"/>
          <w:u w:val="single"/>
        </w:rPr>
        <w:t>）</w:t>
      </w:r>
      <w:r>
        <w:rPr>
          <w:rFonts w:ascii="宋体" w:hAnsi="宋体"/>
          <w:color w:val="auto"/>
        </w:rPr>
        <w:t>法律成立的一家制造商，主要营业地点设在</w:t>
      </w:r>
      <w:r>
        <w:rPr>
          <w:rFonts w:ascii="宋体" w:hAnsi="宋体"/>
          <w:color w:val="auto"/>
          <w:u w:val="single"/>
        </w:rPr>
        <w:t>（</w:t>
      </w:r>
      <w:r>
        <w:rPr>
          <w:rFonts w:ascii="宋体" w:hAnsi="宋体"/>
          <w:i/>
          <w:iCs/>
          <w:color w:val="auto"/>
          <w:u w:val="single"/>
        </w:rPr>
        <w:t>制造商地址</w:t>
      </w:r>
      <w:r>
        <w:rPr>
          <w:rFonts w:ascii="宋体" w:hAnsi="宋体"/>
          <w:color w:val="auto"/>
          <w:u w:val="single"/>
        </w:rPr>
        <w:t>）</w:t>
      </w:r>
      <w:r>
        <w:rPr>
          <w:rFonts w:ascii="宋体" w:hAnsi="宋体"/>
          <w:color w:val="auto"/>
        </w:rPr>
        <w:t>。兹指派按</w:t>
      </w:r>
      <w:r>
        <w:rPr>
          <w:rFonts w:ascii="宋体" w:hAnsi="宋体"/>
          <w:color w:val="auto"/>
          <w:u w:val="single"/>
        </w:rPr>
        <w:t>（</w:t>
      </w:r>
      <w:r>
        <w:rPr>
          <w:rFonts w:ascii="宋体" w:hAnsi="宋体"/>
          <w:i/>
          <w:iCs/>
          <w:color w:val="auto"/>
          <w:u w:val="single"/>
        </w:rPr>
        <w:t>国家名称</w:t>
      </w:r>
      <w:r>
        <w:rPr>
          <w:rFonts w:ascii="宋体" w:hAnsi="宋体"/>
          <w:color w:val="auto"/>
          <w:u w:val="single"/>
        </w:rPr>
        <w:t>）</w:t>
      </w:r>
      <w:r>
        <w:rPr>
          <w:rFonts w:ascii="宋体" w:hAnsi="宋体"/>
          <w:color w:val="auto"/>
        </w:rPr>
        <w:t>的法律正式成立的，主要营业地点设在</w:t>
      </w:r>
      <w:r>
        <w:rPr>
          <w:rFonts w:ascii="宋体" w:hAnsi="宋体"/>
          <w:color w:val="auto"/>
          <w:u w:val="single"/>
        </w:rPr>
        <w:t>（</w:t>
      </w:r>
      <w:r>
        <w:rPr>
          <w:rFonts w:ascii="宋体" w:hAnsi="宋体"/>
          <w:i/>
          <w:iCs/>
          <w:color w:val="auto"/>
          <w:u w:val="single"/>
        </w:rPr>
        <w:t>贸易公司地址</w:t>
      </w:r>
      <w:r>
        <w:rPr>
          <w:rFonts w:ascii="宋体" w:hAnsi="宋体"/>
          <w:color w:val="auto"/>
          <w:u w:val="single"/>
        </w:rPr>
        <w:t>）</w:t>
      </w:r>
      <w:r>
        <w:rPr>
          <w:rFonts w:ascii="宋体" w:hAnsi="宋体"/>
          <w:color w:val="auto"/>
        </w:rPr>
        <w:t>的</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作为我方真正的和合法的代理人进行下列有效的活动：</w:t>
      </w:r>
    </w:p>
    <w:p>
      <w:pPr>
        <w:spacing w:line="360" w:lineRule="auto"/>
        <w:rPr>
          <w:color w:val="auto"/>
        </w:rPr>
      </w:pPr>
      <w:r>
        <w:rPr>
          <w:color w:val="auto"/>
        </w:rPr>
        <w:t xml:space="preserve">    </w:t>
      </w:r>
      <w:r>
        <w:rPr>
          <w:rFonts w:ascii="宋体" w:hAnsi="宋体"/>
          <w:color w:val="auto"/>
        </w:rPr>
        <w:t>（</w:t>
      </w:r>
      <w:r>
        <w:rPr>
          <w:color w:val="auto"/>
        </w:rPr>
        <w:t>1</w:t>
      </w:r>
      <w:r>
        <w:rPr>
          <w:rFonts w:ascii="宋体" w:hAnsi="宋体"/>
          <w:color w:val="auto"/>
        </w:rPr>
        <w:t>）代表我方在中华人民共和国办理贵方第</w:t>
      </w:r>
      <w:r>
        <w:rPr>
          <w:color w:val="auto"/>
          <w:u w:val="single"/>
        </w:rPr>
        <w:t xml:space="preserve">     </w:t>
      </w:r>
      <w:r>
        <w:rPr>
          <w:rFonts w:ascii="宋体" w:hAnsi="宋体"/>
          <w:color w:val="auto"/>
        </w:rPr>
        <w:t>号（项目编号）招标邀请要求提供的由我方制造的货物的有关事宜，并对我方具有约束力。</w:t>
      </w:r>
    </w:p>
    <w:p>
      <w:pPr>
        <w:spacing w:line="360" w:lineRule="auto"/>
        <w:rPr>
          <w:color w:val="auto"/>
        </w:rPr>
      </w:pPr>
      <w:r>
        <w:rPr>
          <w:color w:val="auto"/>
        </w:rPr>
        <w:t xml:space="preserve">    </w:t>
      </w:r>
      <w:r>
        <w:rPr>
          <w:rFonts w:ascii="宋体" w:hAnsi="宋体"/>
          <w:color w:val="auto"/>
        </w:rPr>
        <w:t>（</w:t>
      </w:r>
      <w:r>
        <w:rPr>
          <w:color w:val="auto"/>
        </w:rPr>
        <w:t>2</w:t>
      </w:r>
      <w:r>
        <w:rPr>
          <w:rFonts w:ascii="宋体" w:hAnsi="宋体"/>
          <w:color w:val="auto"/>
        </w:rPr>
        <w:t>）作为制造商，我方保证以投标合作者来约束自己，并对该投标共同和分别承担采购文件中所规定的义务。</w:t>
      </w:r>
    </w:p>
    <w:p>
      <w:pPr>
        <w:spacing w:line="360" w:lineRule="auto"/>
        <w:ind w:firstLine="480"/>
        <w:rPr>
          <w:color w:val="auto"/>
        </w:rPr>
      </w:pPr>
      <w:r>
        <w:rPr>
          <w:rFonts w:ascii="宋体" w:hAnsi="宋体"/>
          <w:color w:val="auto"/>
        </w:rPr>
        <w:t>（</w:t>
      </w:r>
      <w:r>
        <w:rPr>
          <w:color w:val="auto"/>
        </w:rPr>
        <w:t>3</w:t>
      </w:r>
      <w:r>
        <w:rPr>
          <w:rFonts w:ascii="宋体" w:hAnsi="宋体"/>
          <w:color w:val="auto"/>
        </w:rPr>
        <w:t>）我方兹授予</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全权办理和履行上述我方为完成上述各点所必须的事宜，具有替换或撤消的全权。兹确认</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或其正式授权代表依此合法地办理一切事宜。</w:t>
      </w:r>
    </w:p>
    <w:p>
      <w:pPr>
        <w:spacing w:line="360" w:lineRule="auto"/>
        <w:ind w:firstLine="480"/>
        <w:rPr>
          <w:color w:val="auto"/>
        </w:rPr>
      </w:pPr>
      <w:r>
        <w:rPr>
          <w:rFonts w:ascii="宋体" w:hAnsi="宋体"/>
          <w:color w:val="auto"/>
        </w:rPr>
        <w:t>我方于</w:t>
      </w:r>
      <w:r>
        <w:rPr>
          <w:color w:val="auto"/>
          <w:u w:val="single"/>
        </w:rPr>
        <w:t xml:space="preserve">   </w:t>
      </w:r>
      <w:r>
        <w:rPr>
          <w:rFonts w:ascii="宋体" w:hAnsi="宋体"/>
          <w:color w:val="auto"/>
        </w:rPr>
        <w:t>年</w:t>
      </w:r>
      <w:r>
        <w:rPr>
          <w:color w:val="auto"/>
          <w:u w:val="single"/>
        </w:rPr>
        <w:t xml:space="preserve">   </w:t>
      </w:r>
      <w:r>
        <w:rPr>
          <w:rFonts w:ascii="宋体" w:hAnsi="宋体"/>
          <w:color w:val="auto"/>
        </w:rPr>
        <w:t>月</w:t>
      </w:r>
      <w:r>
        <w:rPr>
          <w:color w:val="auto"/>
          <w:u w:val="single"/>
        </w:rPr>
        <w:t xml:space="preserve">  </w:t>
      </w:r>
      <w:r>
        <w:rPr>
          <w:rFonts w:ascii="宋体" w:hAnsi="宋体"/>
          <w:color w:val="auto"/>
        </w:rPr>
        <w:t>日签署本文件，</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于</w:t>
      </w:r>
      <w:r>
        <w:rPr>
          <w:color w:val="auto"/>
          <w:u w:val="single"/>
        </w:rPr>
        <w:t xml:space="preserve">  </w:t>
      </w:r>
      <w:r>
        <w:rPr>
          <w:rFonts w:ascii="宋体" w:hAnsi="宋体"/>
          <w:color w:val="auto"/>
        </w:rPr>
        <w:t>年</w:t>
      </w:r>
      <w:r>
        <w:rPr>
          <w:color w:val="auto"/>
          <w:u w:val="single"/>
        </w:rPr>
        <w:t xml:space="preserve">  </w:t>
      </w:r>
      <w:r>
        <w:rPr>
          <w:color w:val="auto"/>
        </w:rPr>
        <w:t xml:space="preserve"> </w:t>
      </w:r>
      <w:r>
        <w:rPr>
          <w:rFonts w:ascii="宋体" w:hAnsi="宋体"/>
          <w:color w:val="auto"/>
        </w:rPr>
        <w:t>月</w:t>
      </w:r>
      <w:r>
        <w:rPr>
          <w:color w:val="auto"/>
          <w:u w:val="single"/>
        </w:rPr>
        <w:t xml:space="preserve">   </w:t>
      </w:r>
      <w:r>
        <w:rPr>
          <w:rFonts w:ascii="宋体" w:hAnsi="宋体"/>
          <w:color w:val="auto"/>
        </w:rPr>
        <w:t>日接受此件，以此为证。</w:t>
      </w:r>
    </w:p>
    <w:p>
      <w:pPr>
        <w:spacing w:line="360" w:lineRule="auto"/>
        <w:rPr>
          <w:color w:val="auto"/>
        </w:rPr>
      </w:pPr>
      <w:r>
        <w:rPr>
          <w:color w:val="auto"/>
        </w:rPr>
        <w:t xml:space="preserve"> </w:t>
      </w:r>
    </w:p>
    <w:p>
      <w:pPr>
        <w:spacing w:line="360" w:lineRule="auto"/>
        <w:rPr>
          <w:color w:val="auto"/>
        </w:rPr>
      </w:pPr>
      <w:r>
        <w:rPr>
          <w:rFonts w:ascii="宋体" w:hAnsi="宋体"/>
          <w:color w:val="auto"/>
        </w:rPr>
        <w:t>贸易公司名称：</w:t>
      </w:r>
      <w:r>
        <w:rPr>
          <w:color w:val="auto"/>
          <w:u w:val="single"/>
        </w:rPr>
        <w:t xml:space="preserve">                </w:t>
      </w:r>
      <w:r>
        <w:rPr>
          <w:color w:val="auto"/>
        </w:rPr>
        <w:t xml:space="preserve">     </w:t>
      </w:r>
      <w:r>
        <w:rPr>
          <w:rFonts w:ascii="宋体" w:hAnsi="宋体"/>
          <w:color w:val="auto"/>
        </w:rPr>
        <w:t>制造商名称：</w:t>
      </w:r>
      <w:r>
        <w:rPr>
          <w:color w:val="auto"/>
          <w:u w:val="single"/>
        </w:rPr>
        <w:t xml:space="preserve">                 </w:t>
      </w:r>
    </w:p>
    <w:p>
      <w:pPr>
        <w:spacing w:line="360" w:lineRule="auto"/>
        <w:rPr>
          <w:color w:val="auto"/>
        </w:rPr>
      </w:pPr>
      <w:r>
        <w:rPr>
          <w:rFonts w:ascii="宋体" w:hAnsi="宋体"/>
          <w:color w:val="auto"/>
        </w:rPr>
        <w:t>签字人职务和部门：</w:t>
      </w:r>
      <w:r>
        <w:rPr>
          <w:color w:val="auto"/>
          <w:u w:val="single"/>
        </w:rPr>
        <w:t xml:space="preserve">            </w:t>
      </w:r>
      <w:r>
        <w:rPr>
          <w:color w:val="auto"/>
        </w:rPr>
        <w:t xml:space="preserve">     </w:t>
      </w:r>
      <w:r>
        <w:rPr>
          <w:rFonts w:ascii="宋体" w:hAnsi="宋体"/>
          <w:color w:val="auto"/>
        </w:rPr>
        <w:t>签字人职务和部门：</w:t>
      </w:r>
      <w:r>
        <w:rPr>
          <w:color w:val="auto"/>
          <w:u w:val="single"/>
        </w:rPr>
        <w:t xml:space="preserve">           </w:t>
      </w:r>
    </w:p>
    <w:p>
      <w:pPr>
        <w:spacing w:line="360" w:lineRule="auto"/>
        <w:rPr>
          <w:color w:val="auto"/>
        </w:rPr>
      </w:pPr>
      <w:r>
        <w:rPr>
          <w:rFonts w:ascii="宋体" w:hAnsi="宋体"/>
          <w:color w:val="auto"/>
        </w:rPr>
        <w:t>签字人姓名：</w:t>
      </w:r>
      <w:r>
        <w:rPr>
          <w:color w:val="auto"/>
          <w:u w:val="single"/>
        </w:rPr>
        <w:t xml:space="preserve">                  </w:t>
      </w:r>
      <w:r>
        <w:rPr>
          <w:color w:val="auto"/>
        </w:rPr>
        <w:t xml:space="preserve">     </w:t>
      </w:r>
      <w:r>
        <w:rPr>
          <w:rFonts w:ascii="宋体" w:hAnsi="宋体"/>
          <w:color w:val="auto"/>
        </w:rPr>
        <w:t>签字人姓名：</w:t>
      </w:r>
      <w:r>
        <w:rPr>
          <w:color w:val="auto"/>
          <w:u w:val="single"/>
        </w:rPr>
        <w:t xml:space="preserve">                 </w:t>
      </w:r>
    </w:p>
    <w:p>
      <w:pPr>
        <w:spacing w:line="360" w:lineRule="auto"/>
        <w:rPr>
          <w:color w:val="auto"/>
        </w:rPr>
      </w:pPr>
      <w:r>
        <w:rPr>
          <w:rFonts w:ascii="宋体" w:hAnsi="宋体"/>
          <w:color w:val="auto"/>
        </w:rPr>
        <w:t>签字人签名：</w:t>
      </w:r>
      <w:r>
        <w:rPr>
          <w:color w:val="auto"/>
          <w:u w:val="single"/>
        </w:rPr>
        <w:t xml:space="preserve">                  </w:t>
      </w:r>
      <w:r>
        <w:rPr>
          <w:color w:val="auto"/>
        </w:rPr>
        <w:t xml:space="preserve">     </w:t>
      </w:r>
      <w:r>
        <w:rPr>
          <w:rFonts w:ascii="宋体" w:hAnsi="宋体"/>
          <w:color w:val="auto"/>
        </w:rPr>
        <w:t>签字人签名：</w:t>
      </w:r>
      <w:r>
        <w:rPr>
          <w:color w:val="auto"/>
          <w:u w:val="single"/>
        </w:rPr>
        <w:t xml:space="preserve">                 </w:t>
      </w:r>
    </w:p>
    <w:p>
      <w:pPr>
        <w:spacing w:line="360" w:lineRule="auto"/>
        <w:rPr>
          <w:color w:val="auto"/>
        </w:rPr>
      </w:pPr>
      <w:r>
        <w:rPr>
          <w:rFonts w:ascii="宋体" w:hAnsi="宋体"/>
          <w:color w:val="auto"/>
        </w:rPr>
        <w:t>贸易公司盖章：</w:t>
      </w:r>
      <w:r>
        <w:rPr>
          <w:color w:val="auto"/>
          <w:u w:val="single"/>
        </w:rPr>
        <w:t xml:space="preserve">                </w:t>
      </w:r>
      <w:r>
        <w:rPr>
          <w:color w:val="auto"/>
        </w:rPr>
        <w:t xml:space="preserve">     </w:t>
      </w:r>
      <w:r>
        <w:rPr>
          <w:rFonts w:ascii="宋体" w:hAnsi="宋体"/>
          <w:color w:val="auto"/>
        </w:rPr>
        <w:t>制造商盖章：</w:t>
      </w:r>
      <w:r>
        <w:rPr>
          <w:color w:val="auto"/>
          <w:u w:val="single"/>
        </w:rPr>
        <w:t xml:space="preserve">                 </w:t>
      </w:r>
    </w:p>
    <w:p>
      <w:pPr>
        <w:spacing w:line="360" w:lineRule="auto"/>
        <w:rPr>
          <w:color w:val="auto"/>
        </w:rPr>
      </w:pPr>
      <w:r>
        <w:rPr>
          <w:color w:val="auto"/>
        </w:rPr>
        <w:t xml:space="preserve"> </w:t>
      </w:r>
    </w:p>
    <w:p>
      <w:pPr>
        <w:rPr>
          <w:rFonts w:hint="eastAsia"/>
          <w:color w:val="auto"/>
        </w:rPr>
      </w:pPr>
    </w:p>
    <w:p>
      <w:pPr>
        <w:rPr>
          <w:rFonts w:hint="eastAsia"/>
          <w:color w:val="auto"/>
        </w:rPr>
      </w:pPr>
      <w:r>
        <w:rPr>
          <w:rFonts w:hint="eastAsia"/>
          <w:color w:val="auto"/>
        </w:rPr>
        <w:br w:type="page"/>
      </w:r>
    </w:p>
    <w:p>
      <w:pPr>
        <w:pStyle w:val="6"/>
        <w:rPr>
          <w:color w:val="auto"/>
        </w:rPr>
      </w:pPr>
      <w:r>
        <w:rPr>
          <w:rFonts w:hint="eastAsia"/>
          <w:color w:val="auto"/>
        </w:rPr>
        <w:t>附件十</w:t>
      </w:r>
      <w:r>
        <w:rPr>
          <w:rFonts w:hint="eastAsia"/>
          <w:color w:val="auto"/>
          <w:lang w:eastAsia="zh-CN"/>
        </w:rPr>
        <w:t>四</w:t>
      </w:r>
      <w:r>
        <w:rPr>
          <w:rFonts w:hint="eastAsia"/>
          <w:color w:val="auto"/>
        </w:rPr>
        <w:t xml:space="preserve"> 培训计划</w:t>
      </w:r>
    </w:p>
    <w:p>
      <w:pPr>
        <w:ind w:firstLine="420"/>
        <w:rPr>
          <w:rFonts w:asciiTheme="minorEastAsia" w:hAnsiTheme="minorEastAsia" w:eastAsiaTheme="minorEastAsia"/>
          <w:color w:val="auto"/>
        </w:rPr>
      </w:pPr>
    </w:p>
    <w:p>
      <w:pPr>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培训计划</w:t>
      </w:r>
    </w:p>
    <w:p>
      <w:pPr>
        <w:ind w:firstLine="0" w:firstLineChars="0"/>
        <w:jc w:val="center"/>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（由投标人根据采购需求自行编制）</w:t>
      </w: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附表：培训日程及费用</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课程名称</w:t>
            </w:r>
          </w:p>
        </w:tc>
        <w:tc>
          <w:tcPr>
            <w:tcW w:w="12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培训资料</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持续时间</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授课教师</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培训对象</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培训地点</w:t>
            </w:r>
          </w:p>
        </w:tc>
        <w:tc>
          <w:tcPr>
            <w:tcW w:w="136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费用总计</w:t>
            </w: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bl>
    <w:p>
      <w:pPr>
        <w:ind w:firstLine="50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注：培训费用包含在投标报价中。</w:t>
      </w:r>
    </w:p>
    <w:p>
      <w:pPr>
        <w:ind w:firstLine="0" w:firstLineChars="0"/>
        <w:rPr>
          <w:rFonts w:cs="宋体" w:asciiTheme="minorEastAsia" w:hAnsiTheme="minorEastAsia" w:eastAsiaTheme="minorEastAsia"/>
          <w:b/>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附件十</w:t>
      </w:r>
      <w:r>
        <w:rPr>
          <w:rFonts w:hint="eastAsia"/>
          <w:color w:val="auto"/>
          <w:lang w:eastAsia="zh-CN"/>
        </w:rPr>
        <w:t>五</w:t>
      </w:r>
      <w:r>
        <w:rPr>
          <w:rFonts w:hint="eastAsia"/>
          <w:color w:val="auto"/>
        </w:rPr>
        <w:t xml:space="preserve">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1"/>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Cs w:val="21"/>
        </w:rPr>
      </w:pP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29" w:name="_Toc450840090"/>
      <w:bookmarkStart w:id="130" w:name="_Toc9222"/>
      <w:r>
        <w:rPr>
          <w:rFonts w:hint="eastAsia" w:cs="宋体" w:asciiTheme="minorEastAsia" w:hAnsiTheme="minorEastAsia" w:eastAsiaTheme="minorEastAsia"/>
          <w:color w:val="auto"/>
          <w:sz w:val="32"/>
          <w:szCs w:val="32"/>
        </w:rPr>
        <w:t>第六章 评标办法</w:t>
      </w:r>
      <w:bookmarkEnd w:id="129"/>
      <w:bookmarkEnd w:id="130"/>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31" w:name="_Toc2078387"/>
      <w:bookmarkStart w:id="132" w:name="_Toc21730"/>
      <w:r>
        <w:rPr>
          <w:rFonts w:hint="eastAsia" w:cs="宋体" w:asciiTheme="minorEastAsia" w:hAnsiTheme="minorEastAsia" w:eastAsiaTheme="minorEastAsia"/>
          <w:color w:val="auto"/>
          <w:szCs w:val="21"/>
        </w:rPr>
        <w:t>1总则</w:t>
      </w:r>
      <w:bookmarkEnd w:id="131"/>
      <w:bookmarkEnd w:id="132"/>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33" w:name="_Toc2078388"/>
      <w:bookmarkStart w:id="134" w:name="_Toc14928"/>
      <w:r>
        <w:rPr>
          <w:rFonts w:hint="eastAsia" w:cs="宋体" w:asciiTheme="minorEastAsia" w:hAnsiTheme="minorEastAsia" w:eastAsiaTheme="minorEastAsia"/>
          <w:color w:val="auto"/>
          <w:szCs w:val="21"/>
        </w:rPr>
        <w:t>2评标组织</w:t>
      </w:r>
      <w:bookmarkEnd w:id="133"/>
      <w:bookmarkEnd w:id="134"/>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35" w:name="_Toc2078389"/>
      <w:bookmarkStart w:id="136" w:name="_Toc22771"/>
      <w:r>
        <w:rPr>
          <w:rFonts w:hint="eastAsia" w:cs="宋体" w:asciiTheme="minorEastAsia" w:hAnsiTheme="minorEastAsia" w:eastAsiaTheme="minorEastAsia"/>
          <w:color w:val="auto"/>
          <w:szCs w:val="21"/>
        </w:rPr>
        <w:t>3评标程序和内容</w:t>
      </w:r>
      <w:bookmarkEnd w:id="135"/>
      <w:bookmarkEnd w:id="13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3"/>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37" w:name="_Toc2078390"/>
      <w:bookmarkStart w:id="138" w:name="_Toc11122"/>
      <w:r>
        <w:rPr>
          <w:rFonts w:hint="eastAsia" w:cs="宋体" w:asciiTheme="minorEastAsia" w:hAnsiTheme="minorEastAsia" w:eastAsiaTheme="minorEastAsia"/>
          <w:color w:val="auto"/>
          <w:szCs w:val="21"/>
        </w:rPr>
        <w:t>4投标文件的审查</w:t>
      </w:r>
      <w:bookmarkEnd w:id="137"/>
      <w:bookmarkEnd w:id="138"/>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（2）活页装订（是指用卡条、抽杆夹、订书机等形式装订，使标书可以拆卸或者在翻动过程中易脱落的一种装订方式）的投标文件；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39" w:name="_Hlk8685816"/>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39"/>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40"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40"/>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6</w:t>
      </w:r>
      <w:r>
        <w:rPr>
          <w:rFonts w:hint="eastAsia" w:cs="宋体" w:asciiTheme="minorEastAsia" w:hAnsiTheme="minorEastAsia" w:eastAsiaTheme="minorEastAsia"/>
          <w:b/>
          <w:color w:val="auto"/>
          <w:szCs w:val="21"/>
        </w:rPr>
        <w:t>核心产品</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4</w:t>
      </w:r>
      <w:r>
        <w:rPr>
          <w:rFonts w:cs="宋体" w:asciiTheme="minorEastAsia" w:hAnsiTheme="minorEastAsia" w:eastAsiaTheme="minorEastAsia"/>
          <w:bCs/>
          <w:color w:val="auto"/>
          <w:szCs w:val="21"/>
        </w:rPr>
        <w:t>.6.1</w:t>
      </w:r>
      <w:r>
        <w:rPr>
          <w:rFonts w:hint="eastAsia" w:cs="宋体" w:asciiTheme="minorEastAsia" w:hAnsiTheme="minorEastAsia" w:eastAsiaTheme="minorEastAsia"/>
          <w:bCs/>
          <w:color w:val="auto"/>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2"/>
        <w:spacing w:after="0" w:line="360" w:lineRule="auto"/>
        <w:ind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4.6.2</w:t>
      </w:r>
      <w:r>
        <w:rPr>
          <w:rFonts w:hint="eastAsia" w:cs="宋体" w:asciiTheme="minorEastAsia" w:hAnsiTheme="minorEastAsia" w:eastAsiaTheme="minorEastAsia"/>
          <w:color w:val="auto"/>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5"/>
        <w:rPr>
          <w:rFonts w:cs="宋体" w:asciiTheme="minorEastAsia" w:hAnsiTheme="minorEastAsia" w:eastAsiaTheme="minorEastAsia"/>
          <w:color w:val="auto"/>
          <w:szCs w:val="21"/>
        </w:rPr>
      </w:pPr>
      <w:bookmarkStart w:id="141" w:name="_Toc5932"/>
      <w:r>
        <w:rPr>
          <w:rFonts w:hint="eastAsia" w:cs="宋体" w:asciiTheme="minorEastAsia" w:hAnsiTheme="minorEastAsia" w:eastAsiaTheme="minorEastAsia"/>
          <w:color w:val="auto"/>
          <w:szCs w:val="21"/>
        </w:rPr>
        <w:t>5评分细则</w:t>
      </w:r>
      <w:bookmarkEnd w:id="141"/>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5.1投标报价分0-30分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投标报价评分将在有效投标人范围内进行，小数点后保留2位小数。满足招标文件要求且投标价格最低的投标报价为评标基准价，其投标报价分为满分30分。其他投标人的报价分按照下列公式计算：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5.2资信评分0-5分</w:t>
      </w:r>
    </w:p>
    <w:p>
      <w:pPr>
        <w:ind w:firstLine="420"/>
        <w:rPr>
          <w:rFonts w:cs="宋体" w:asciiTheme="minorEastAsia" w:hAnsiTheme="minorEastAsia" w:eastAsiaTheme="minorEastAsia"/>
          <w:color w:val="auto"/>
          <w:szCs w:val="21"/>
        </w:rPr>
      </w:pPr>
      <w:bookmarkStart w:id="142"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月以来承接过各级国家机关、事业单位或团体组织同类项目业绩，每个得1分，最高5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42"/>
    <w:p>
      <w:pPr>
        <w:pStyle w:val="6"/>
        <w:rPr>
          <w:color w:val="auto"/>
        </w:rPr>
      </w:pPr>
      <w:r>
        <w:rPr>
          <w:rFonts w:hint="eastAsia"/>
          <w:color w:val="auto"/>
        </w:rPr>
        <w:t>5.3技术评分</w:t>
      </w:r>
      <w:r>
        <w:rPr>
          <w:rFonts w:hint="eastAsia"/>
          <w:color w:val="auto"/>
          <w:lang w:val="en-US" w:eastAsia="zh-CN"/>
        </w:rPr>
        <w:t>4</w:t>
      </w:r>
      <w:r>
        <w:rPr>
          <w:rFonts w:hint="eastAsia"/>
          <w:color w:val="auto"/>
        </w:rPr>
        <w:t>-65分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p>
      <w:pPr>
        <w:ind w:firstLine="420"/>
        <w:rPr>
          <w:rFonts w:cs="宋体" w:asciiTheme="minorEastAsia" w:hAnsiTheme="minorEastAsia" w:eastAsiaTheme="minorEastAsia"/>
          <w:color w:val="auto"/>
          <w:szCs w:val="21"/>
        </w:rPr>
      </w:pPr>
    </w:p>
    <w:tbl>
      <w:tblPr>
        <w:tblStyle w:val="2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评分项目</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所投产品配置</w:t>
            </w:r>
            <w:r>
              <w:rPr>
                <w:rFonts w:hint="eastAsia" w:cs="宋体" w:asciiTheme="minorEastAsia" w:hAnsiTheme="minorEastAsia" w:eastAsiaTheme="minorEastAsia"/>
                <w:color w:val="auto"/>
                <w:szCs w:val="21"/>
                <w:lang w:eastAsia="zh-CN"/>
              </w:rPr>
              <w:t>和性能</w:t>
            </w:r>
            <w:r>
              <w:rPr>
                <w:rFonts w:hint="eastAsia" w:cs="宋体" w:asciiTheme="minorEastAsia" w:hAnsiTheme="minorEastAsia" w:eastAsiaTheme="minorEastAsia"/>
                <w:color w:val="auto"/>
                <w:szCs w:val="21"/>
              </w:rPr>
              <w:t>总体满足需求的情况：</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完全满足采购需求：</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9</w:t>
            </w:r>
            <w:r>
              <w:rPr>
                <w:rFonts w:hint="eastAsia" w:cs="宋体" w:asciiTheme="minorEastAsia" w:hAnsiTheme="minorEastAsia" w:eastAsiaTheme="minorEastAsia"/>
                <w:color w:val="auto"/>
                <w:szCs w:val="21"/>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基本满足采购需求：</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部分满足采购需求：</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9</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重要技术功能偏离：对应于招标文件中</w:t>
            </w:r>
            <w:r>
              <w:rPr>
                <w:rFonts w:hint="eastAsia" w:cs="宋体" w:asciiTheme="minorEastAsia" w:hAnsiTheme="minorEastAsia" w:eastAsiaTheme="minorEastAsia"/>
                <w:color w:val="auto"/>
                <w:szCs w:val="21"/>
              </w:rPr>
              <w:t>各仪器设备的具体要求</w:t>
            </w:r>
            <w:r>
              <w:rPr>
                <w:rFonts w:hint="eastAsia" w:cs="宋体" w:asciiTheme="minorEastAsia" w:hAnsiTheme="minorEastAsia" w:eastAsiaTheme="minorEastAsia"/>
                <w:color w:val="auto"/>
                <w:kern w:val="0"/>
                <w:szCs w:val="21"/>
              </w:rPr>
              <w:t>中</w:t>
            </w:r>
            <w:r>
              <w:rPr>
                <w:rFonts w:hint="eastAsia" w:cs="宋体" w:asciiTheme="minorEastAsia" w:hAnsiTheme="minorEastAsia" w:eastAsiaTheme="minorEastAsia"/>
                <w:color w:val="auto"/>
                <w:szCs w:val="21"/>
              </w:rPr>
              <w:t>打▲号</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偏离扣4分，扣完为止。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其它技术功能</w:t>
            </w:r>
            <w:r>
              <w:rPr>
                <w:rFonts w:hint="eastAsia" w:cs="宋体" w:asciiTheme="minorEastAsia" w:hAnsiTheme="minorEastAsia" w:eastAsiaTheme="minorEastAsia"/>
                <w:color w:val="auto"/>
                <w:kern w:val="0"/>
                <w:szCs w:val="21"/>
                <w:lang w:eastAsia="zh-CN"/>
              </w:rPr>
              <w:t>商务</w:t>
            </w:r>
            <w:r>
              <w:rPr>
                <w:rFonts w:hint="eastAsia" w:cs="宋体" w:asciiTheme="minorEastAsia" w:hAnsiTheme="minorEastAsia" w:eastAsiaTheme="minorEastAsia"/>
                <w:color w:val="auto"/>
                <w:kern w:val="0"/>
                <w:szCs w:val="21"/>
              </w:rPr>
              <w:t>偏离：对应于招标文件中</w:t>
            </w:r>
            <w:r>
              <w:rPr>
                <w:rFonts w:hint="eastAsia" w:cs="宋体" w:asciiTheme="minorEastAsia" w:hAnsiTheme="minorEastAsia" w:eastAsiaTheme="minorEastAsia"/>
                <w:color w:val="auto"/>
                <w:szCs w:val="21"/>
              </w:rPr>
              <w:t>各仪器设备的具体要求（除去打▲号的）</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w:t>
            </w:r>
            <w:r>
              <w:rPr>
                <w:rFonts w:hint="eastAsia" w:cs="宋体" w:asciiTheme="minorEastAsia" w:hAnsiTheme="minorEastAsia" w:eastAsiaTheme="minorEastAsia"/>
                <w:color w:val="auto"/>
                <w:szCs w:val="21"/>
                <w:lang w:val="en-US" w:eastAsia="zh-CN"/>
              </w:rPr>
              <w:t>0</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投入本项目的安装调试人员的</w:t>
            </w:r>
            <w:r>
              <w:rPr>
                <w:rFonts w:hint="eastAsia" w:ascii="宋体" w:hAnsi="宋体" w:eastAsia="宋体" w:cs="宋体"/>
                <w:color w:val="auto"/>
                <w:kern w:val="0"/>
                <w:sz w:val="21"/>
                <w:szCs w:val="21"/>
                <w:highlight w:val="none"/>
              </w:rPr>
              <w:t>人数、相关专业经验、学历、相应职称证书等情况满足采购要求情况综合比较与评价打分（需提供职称证以及近期不少于3个月的社保证明）。</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学历</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宋体" w:hAnsi="宋体" w:eastAsia="宋体" w:cs="宋体"/>
                <w:color w:val="auto"/>
                <w:kern w:val="0"/>
                <w:sz w:val="21"/>
                <w:szCs w:val="21"/>
                <w:highlight w:val="none"/>
              </w:rPr>
              <w:t>相关专业经验</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eastAsia="宋体" w:cs="宋体"/>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5</w:t>
            </w:r>
          </w:p>
        </w:tc>
        <w:tc>
          <w:tcPr>
            <w:tcW w:w="6663" w:type="dxa"/>
            <w:vAlign w:val="center"/>
          </w:tcPr>
          <w:p>
            <w:pPr>
              <w:pStyle w:val="58"/>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xml:space="preserve">根据投标人提供的售后服务方案、售后服务承诺、服务响应时间的可行性、完整性以及服务承诺落实的保障措施等方面综合比较与评价打分： </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售后方案全面完整，响应及时，可行性强得</w:t>
            </w:r>
            <w:r>
              <w:rPr>
                <w:rFonts w:hint="eastAsia" w:cs="宋体" w:asciiTheme="minorEastAsia" w:hAnsiTheme="minorEastAsia" w:eastAsiaTheme="minorEastAsia"/>
                <w:color w:val="auto"/>
                <w:kern w:val="0"/>
                <w:lang w:val="en-US" w:eastAsia="zh-CN"/>
              </w:rPr>
              <w:t>5</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6</w:t>
            </w:r>
            <w:r>
              <w:rPr>
                <w:rFonts w:hint="eastAsia" w:cs="宋体" w:asciiTheme="minorEastAsia" w:hAnsiTheme="minorEastAsia" w:eastAsiaTheme="minorEastAsia"/>
                <w:color w:val="auto"/>
                <w:kern w:val="0"/>
              </w:rPr>
              <w:t>分；</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售后方案基本涵盖，响应时间一般，基本可行得</w:t>
            </w:r>
            <w:r>
              <w:rPr>
                <w:rFonts w:hint="eastAsia" w:cs="宋体" w:asciiTheme="minorEastAsia" w:hAnsiTheme="minorEastAsia" w:eastAsiaTheme="minorEastAsia"/>
                <w:color w:val="auto"/>
                <w:kern w:val="0"/>
                <w:lang w:val="en-US" w:eastAsia="zh-CN"/>
              </w:rPr>
              <w:t>3</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4</w:t>
            </w:r>
            <w:r>
              <w:rPr>
                <w:rFonts w:hint="eastAsia" w:cs="宋体" w:asciiTheme="minorEastAsia" w:hAnsiTheme="minorEastAsia" w:eastAsiaTheme="minorEastAsia"/>
                <w:color w:val="auto"/>
                <w:kern w:val="0"/>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rPr>
              <w:t>售后方案简单略，响应不够及时，可行性差得</w:t>
            </w:r>
            <w:r>
              <w:rPr>
                <w:rFonts w:hint="eastAsia" w:cs="宋体" w:asciiTheme="minorEastAsia" w:hAnsiTheme="minorEastAsia" w:eastAsiaTheme="minorEastAsia"/>
                <w:color w:val="auto"/>
                <w:kern w:val="0"/>
                <w:lang w:val="en-US" w:eastAsia="zh-CN"/>
              </w:rPr>
              <w:t>1</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2</w:t>
            </w:r>
            <w:r>
              <w:rPr>
                <w:rFonts w:hint="eastAsia" w:cs="宋体" w:asciiTheme="minorEastAsia" w:hAnsiTheme="minorEastAsia" w:eastAsiaTheme="minorEastAsia"/>
                <w:color w:val="auto"/>
                <w:kern w:val="0"/>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耗材优惠措施：每优惠（下浮）10%得1分，最高3分。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7</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eastAsia="zh-CN"/>
              </w:rPr>
              <w:t>备品备件提供情况综合评价。</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8</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交付期：每提前</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月得1分，最多得2分。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9</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质保期：</w:t>
            </w:r>
            <w:r>
              <w:rPr>
                <w:rFonts w:hint="eastAsia" w:cs="宋体" w:asciiTheme="minorEastAsia" w:hAnsiTheme="minorEastAsia" w:eastAsiaTheme="minorEastAsia"/>
                <w:color w:val="auto"/>
                <w:szCs w:val="21"/>
                <w:lang w:eastAsia="zh-CN"/>
              </w:rPr>
              <w:t>所有产品</w:t>
            </w:r>
            <w:r>
              <w:rPr>
                <w:rFonts w:hint="eastAsia" w:cs="宋体" w:asciiTheme="minorEastAsia" w:hAnsiTheme="minorEastAsia" w:eastAsiaTheme="minorEastAsia"/>
                <w:color w:val="auto"/>
                <w:szCs w:val="21"/>
              </w:rPr>
              <w:t>每延长</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年得</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分，最多得</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0</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技术培训：是否为采购人免费进行技术培训的服务，包括培训内容、培训人数、培训时间、培训地点</w:t>
            </w:r>
            <w:r>
              <w:rPr>
                <w:rFonts w:hint="eastAsia" w:cs="宋体" w:asciiTheme="minorEastAsia" w:hAnsiTheme="minorEastAsia" w:eastAsiaTheme="minorEastAsia"/>
                <w:color w:val="auto"/>
                <w:kern w:val="0"/>
                <w:szCs w:val="21"/>
              </w:rPr>
              <w:t>综合比较与评价打分</w:t>
            </w:r>
            <w:r>
              <w:rPr>
                <w:rFonts w:hint="eastAsia" w:cs="宋体"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培训内容：0-</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培训次数：0-1分；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培训规模：0-1分。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1</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节能产品：</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shd w:val="clear" w:color="auto" w:fill="FFFFFF"/>
              </w:rPr>
              <w:t>提供投标产品主体</w:t>
            </w: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认证证书的（有效期内），得1分；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8"/>
                <w:szCs w:val="21"/>
                <w:shd w:val="clear" w:color="auto" w:fill="FFFFFF"/>
              </w:rPr>
              <w:t>提供投标产品主体节能产品认证证书的（有效期内），得1分。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2</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投标文件质量：内容详实、编制有序、书面整洁、装订整齐等。</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0-1分</w:t>
            </w:r>
          </w:p>
        </w:tc>
      </w:tr>
      <w:bookmarkEnd w:id="35"/>
      <w:bookmarkEnd w:id="36"/>
      <w:bookmarkEnd w:id="37"/>
      <w:bookmarkEnd w:id="38"/>
      <w:bookmarkEnd w:id="39"/>
      <w:bookmarkEnd w:id="40"/>
      <w:bookmarkEnd w:id="41"/>
      <w:bookmarkEnd w:id="42"/>
    </w:tbl>
    <w:p>
      <w:pPr>
        <w:ind w:left="0" w:leftChars="0" w:firstLine="0" w:firstLineChars="0"/>
        <w:rPr>
          <w:rFonts w:hint="eastAsia"/>
          <w:color w:val="auto"/>
        </w:rPr>
      </w:pPr>
      <w:bookmarkStart w:id="143" w:name="_Hlk8251304"/>
    </w:p>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44" w:name="_Toc7950"/>
      <w:r>
        <w:rPr>
          <w:rFonts w:hint="eastAsia" w:cs="宋体" w:asciiTheme="minorEastAsia" w:hAnsiTheme="minorEastAsia" w:eastAsiaTheme="minorEastAsia"/>
          <w:color w:val="auto"/>
          <w:szCs w:val="21"/>
        </w:rPr>
        <w:t>6.评标报告</w:t>
      </w:r>
      <w:bookmarkEnd w:id="144"/>
    </w:p>
    <w:p>
      <w:pPr>
        <w:ind w:firstLine="420"/>
        <w:rPr>
          <w:rFonts w:cs="宋体" w:asciiTheme="minorEastAsia" w:hAnsiTheme="minorEastAsia" w:eastAsiaTheme="minorEastAsia"/>
          <w:color w:val="auto"/>
          <w:szCs w:val="21"/>
        </w:rPr>
      </w:pPr>
      <w:bookmarkStart w:id="145"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43"/>
    <w:bookmarkEnd w:id="145"/>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新宋体">
    <w:panose1 w:val="02010609030101010101"/>
    <w:charset w:val="86"/>
    <w:family w:val="modern"/>
    <w:pitch w:val="default"/>
    <w:sig w:usb0="00000003" w:usb1="080E0000" w:usb2="00000000" w:usb3="00000000" w:csb0="00040001" w:csb1="00000000"/>
  </w:font>
  <w:font w:name="华文中宋">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4"/>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51D815F8"/>
    <w:multiLevelType w:val="multilevel"/>
    <w:tmpl w:val="51D815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formatting="1"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B7F54"/>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574B"/>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A7D8B"/>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0E8"/>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D7B9F"/>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6A0BF4"/>
    <w:rsid w:val="016D0976"/>
    <w:rsid w:val="018E77CF"/>
    <w:rsid w:val="01C026FC"/>
    <w:rsid w:val="022B1123"/>
    <w:rsid w:val="02517DCE"/>
    <w:rsid w:val="02635D4D"/>
    <w:rsid w:val="026A7D29"/>
    <w:rsid w:val="027746B0"/>
    <w:rsid w:val="029B3E2E"/>
    <w:rsid w:val="02AC3ED6"/>
    <w:rsid w:val="02B83C40"/>
    <w:rsid w:val="02F83C81"/>
    <w:rsid w:val="03350A91"/>
    <w:rsid w:val="033974B7"/>
    <w:rsid w:val="034E3126"/>
    <w:rsid w:val="036C7375"/>
    <w:rsid w:val="036D169E"/>
    <w:rsid w:val="037660AE"/>
    <w:rsid w:val="037D00DC"/>
    <w:rsid w:val="038E0800"/>
    <w:rsid w:val="03A03F18"/>
    <w:rsid w:val="03E16289"/>
    <w:rsid w:val="03F374EB"/>
    <w:rsid w:val="04084337"/>
    <w:rsid w:val="04223880"/>
    <w:rsid w:val="04290938"/>
    <w:rsid w:val="042D78BA"/>
    <w:rsid w:val="043B33AF"/>
    <w:rsid w:val="044754EB"/>
    <w:rsid w:val="045711FE"/>
    <w:rsid w:val="045B29C7"/>
    <w:rsid w:val="04775622"/>
    <w:rsid w:val="04985FCF"/>
    <w:rsid w:val="04A813D8"/>
    <w:rsid w:val="04CE5BE8"/>
    <w:rsid w:val="05253AA9"/>
    <w:rsid w:val="05F64A3D"/>
    <w:rsid w:val="065A41DD"/>
    <w:rsid w:val="0661605C"/>
    <w:rsid w:val="06870112"/>
    <w:rsid w:val="06CF25AA"/>
    <w:rsid w:val="06EB5ED4"/>
    <w:rsid w:val="075C6EC4"/>
    <w:rsid w:val="0789005C"/>
    <w:rsid w:val="078A5D0D"/>
    <w:rsid w:val="08445421"/>
    <w:rsid w:val="084A5D61"/>
    <w:rsid w:val="0860207F"/>
    <w:rsid w:val="086F10BE"/>
    <w:rsid w:val="08972793"/>
    <w:rsid w:val="08A871C1"/>
    <w:rsid w:val="09025D8B"/>
    <w:rsid w:val="09047450"/>
    <w:rsid w:val="092F3252"/>
    <w:rsid w:val="09432CF2"/>
    <w:rsid w:val="094A050C"/>
    <w:rsid w:val="094F3E52"/>
    <w:rsid w:val="099548E3"/>
    <w:rsid w:val="09A9476A"/>
    <w:rsid w:val="09AE4010"/>
    <w:rsid w:val="09C75B4A"/>
    <w:rsid w:val="09F63241"/>
    <w:rsid w:val="09F65EE5"/>
    <w:rsid w:val="09F73FC6"/>
    <w:rsid w:val="0A1B6A4B"/>
    <w:rsid w:val="0A4C500A"/>
    <w:rsid w:val="0A5C1E18"/>
    <w:rsid w:val="0ACE0701"/>
    <w:rsid w:val="0AEF0648"/>
    <w:rsid w:val="0AFF4EB4"/>
    <w:rsid w:val="0B1A04CC"/>
    <w:rsid w:val="0B371410"/>
    <w:rsid w:val="0B544093"/>
    <w:rsid w:val="0B665948"/>
    <w:rsid w:val="0B692D94"/>
    <w:rsid w:val="0BAC4990"/>
    <w:rsid w:val="0C241F0A"/>
    <w:rsid w:val="0C5F443A"/>
    <w:rsid w:val="0C834CDD"/>
    <w:rsid w:val="0CA337DF"/>
    <w:rsid w:val="0CA9007C"/>
    <w:rsid w:val="0D047BF7"/>
    <w:rsid w:val="0D082A62"/>
    <w:rsid w:val="0D760386"/>
    <w:rsid w:val="0D85586F"/>
    <w:rsid w:val="0D934995"/>
    <w:rsid w:val="0D9C5C54"/>
    <w:rsid w:val="0DAB104A"/>
    <w:rsid w:val="0DEE1402"/>
    <w:rsid w:val="0E4D68EE"/>
    <w:rsid w:val="0E6B4501"/>
    <w:rsid w:val="0EC4530F"/>
    <w:rsid w:val="0EE27EEA"/>
    <w:rsid w:val="0EFC6224"/>
    <w:rsid w:val="0F1F33CA"/>
    <w:rsid w:val="0F206154"/>
    <w:rsid w:val="0F216ADF"/>
    <w:rsid w:val="0F5007CF"/>
    <w:rsid w:val="0F5D09A9"/>
    <w:rsid w:val="0F6358F1"/>
    <w:rsid w:val="0F81364E"/>
    <w:rsid w:val="0FDC5AAB"/>
    <w:rsid w:val="0FED5356"/>
    <w:rsid w:val="0FEE3028"/>
    <w:rsid w:val="0FFF14AC"/>
    <w:rsid w:val="100516FD"/>
    <w:rsid w:val="10075F75"/>
    <w:rsid w:val="1015684F"/>
    <w:rsid w:val="1019745C"/>
    <w:rsid w:val="10282EF8"/>
    <w:rsid w:val="10A268D6"/>
    <w:rsid w:val="10BC14A3"/>
    <w:rsid w:val="10CF2DFA"/>
    <w:rsid w:val="110C24A0"/>
    <w:rsid w:val="11190F3E"/>
    <w:rsid w:val="111B5AA1"/>
    <w:rsid w:val="112C138F"/>
    <w:rsid w:val="11756811"/>
    <w:rsid w:val="118B5C15"/>
    <w:rsid w:val="11C10CD7"/>
    <w:rsid w:val="11DC4FE2"/>
    <w:rsid w:val="122F5A3C"/>
    <w:rsid w:val="1270372A"/>
    <w:rsid w:val="12A04654"/>
    <w:rsid w:val="12AB418A"/>
    <w:rsid w:val="12B07B12"/>
    <w:rsid w:val="131B2CF6"/>
    <w:rsid w:val="13226E62"/>
    <w:rsid w:val="13311C1C"/>
    <w:rsid w:val="1332055C"/>
    <w:rsid w:val="134A1B4D"/>
    <w:rsid w:val="142963CE"/>
    <w:rsid w:val="14772067"/>
    <w:rsid w:val="14812702"/>
    <w:rsid w:val="148E62E6"/>
    <w:rsid w:val="15092B92"/>
    <w:rsid w:val="152555A2"/>
    <w:rsid w:val="15736B2E"/>
    <w:rsid w:val="15775CA6"/>
    <w:rsid w:val="15891704"/>
    <w:rsid w:val="15976681"/>
    <w:rsid w:val="15AF6BF0"/>
    <w:rsid w:val="15BF0601"/>
    <w:rsid w:val="15F43F9E"/>
    <w:rsid w:val="160773E3"/>
    <w:rsid w:val="1627097F"/>
    <w:rsid w:val="162B2F6C"/>
    <w:rsid w:val="164B4C81"/>
    <w:rsid w:val="164E48B1"/>
    <w:rsid w:val="16606DC9"/>
    <w:rsid w:val="16795962"/>
    <w:rsid w:val="1695469B"/>
    <w:rsid w:val="17173725"/>
    <w:rsid w:val="17392CFF"/>
    <w:rsid w:val="17B415C2"/>
    <w:rsid w:val="180434E6"/>
    <w:rsid w:val="18071216"/>
    <w:rsid w:val="180C4F36"/>
    <w:rsid w:val="185A4FA0"/>
    <w:rsid w:val="185D6797"/>
    <w:rsid w:val="188426C3"/>
    <w:rsid w:val="188C52AB"/>
    <w:rsid w:val="189D1289"/>
    <w:rsid w:val="18A749FB"/>
    <w:rsid w:val="18ED5CBC"/>
    <w:rsid w:val="18F63BE1"/>
    <w:rsid w:val="18FA0117"/>
    <w:rsid w:val="192A720F"/>
    <w:rsid w:val="198E7190"/>
    <w:rsid w:val="19FF1083"/>
    <w:rsid w:val="1A2C1913"/>
    <w:rsid w:val="1A394CFA"/>
    <w:rsid w:val="1A563261"/>
    <w:rsid w:val="1A6431DD"/>
    <w:rsid w:val="1A6F0BAA"/>
    <w:rsid w:val="1A9D3255"/>
    <w:rsid w:val="1B3B4227"/>
    <w:rsid w:val="1B502AE4"/>
    <w:rsid w:val="1BAA6501"/>
    <w:rsid w:val="1BC60200"/>
    <w:rsid w:val="1C000EAA"/>
    <w:rsid w:val="1C6A364A"/>
    <w:rsid w:val="1C844706"/>
    <w:rsid w:val="1CA24372"/>
    <w:rsid w:val="1CBD3B5C"/>
    <w:rsid w:val="1CE14C16"/>
    <w:rsid w:val="1CFE1E39"/>
    <w:rsid w:val="1D3A47A0"/>
    <w:rsid w:val="1D4340AE"/>
    <w:rsid w:val="1D595AAF"/>
    <w:rsid w:val="1D9E2625"/>
    <w:rsid w:val="1DB047DC"/>
    <w:rsid w:val="1DC60F08"/>
    <w:rsid w:val="1DDD3F28"/>
    <w:rsid w:val="1DF134F8"/>
    <w:rsid w:val="1E384378"/>
    <w:rsid w:val="1E5F2E75"/>
    <w:rsid w:val="1E932A58"/>
    <w:rsid w:val="1EB6519E"/>
    <w:rsid w:val="1EF341D9"/>
    <w:rsid w:val="1F3A3754"/>
    <w:rsid w:val="1F4D172F"/>
    <w:rsid w:val="1F7F7816"/>
    <w:rsid w:val="200074E1"/>
    <w:rsid w:val="204B0943"/>
    <w:rsid w:val="20562F5C"/>
    <w:rsid w:val="20740F17"/>
    <w:rsid w:val="20A20E0E"/>
    <w:rsid w:val="20C35C55"/>
    <w:rsid w:val="212479C2"/>
    <w:rsid w:val="212F35B1"/>
    <w:rsid w:val="21472412"/>
    <w:rsid w:val="215A7C75"/>
    <w:rsid w:val="220531BD"/>
    <w:rsid w:val="22172C98"/>
    <w:rsid w:val="221C6BFE"/>
    <w:rsid w:val="221D781B"/>
    <w:rsid w:val="22670189"/>
    <w:rsid w:val="228D294F"/>
    <w:rsid w:val="22B671BE"/>
    <w:rsid w:val="22FE47FF"/>
    <w:rsid w:val="23011548"/>
    <w:rsid w:val="23207B4E"/>
    <w:rsid w:val="23492F4B"/>
    <w:rsid w:val="23636D42"/>
    <w:rsid w:val="236858EC"/>
    <w:rsid w:val="236A55CE"/>
    <w:rsid w:val="23E7194E"/>
    <w:rsid w:val="24244760"/>
    <w:rsid w:val="24315B04"/>
    <w:rsid w:val="248F7D37"/>
    <w:rsid w:val="24A00B7F"/>
    <w:rsid w:val="2524272B"/>
    <w:rsid w:val="25474791"/>
    <w:rsid w:val="25901334"/>
    <w:rsid w:val="25AF09F4"/>
    <w:rsid w:val="25B015DB"/>
    <w:rsid w:val="2605295A"/>
    <w:rsid w:val="262F33A9"/>
    <w:rsid w:val="265A4DB1"/>
    <w:rsid w:val="265A6C4D"/>
    <w:rsid w:val="26A40E01"/>
    <w:rsid w:val="27376BD1"/>
    <w:rsid w:val="2743379A"/>
    <w:rsid w:val="2749195C"/>
    <w:rsid w:val="27846701"/>
    <w:rsid w:val="27A77BB6"/>
    <w:rsid w:val="27CA5392"/>
    <w:rsid w:val="27D22672"/>
    <w:rsid w:val="281F32BE"/>
    <w:rsid w:val="283055F5"/>
    <w:rsid w:val="284B48C7"/>
    <w:rsid w:val="287C2678"/>
    <w:rsid w:val="28801F4A"/>
    <w:rsid w:val="28B86BD1"/>
    <w:rsid w:val="290B2A89"/>
    <w:rsid w:val="2976596A"/>
    <w:rsid w:val="29F63BF9"/>
    <w:rsid w:val="29FE3027"/>
    <w:rsid w:val="2A012F0E"/>
    <w:rsid w:val="2A2426F6"/>
    <w:rsid w:val="2A2711F3"/>
    <w:rsid w:val="2A2900C7"/>
    <w:rsid w:val="2A4165F2"/>
    <w:rsid w:val="2A7E2F13"/>
    <w:rsid w:val="2A933B0B"/>
    <w:rsid w:val="2ACF5B90"/>
    <w:rsid w:val="2ADB5A95"/>
    <w:rsid w:val="2B330FB7"/>
    <w:rsid w:val="2B636BA0"/>
    <w:rsid w:val="2B7A7449"/>
    <w:rsid w:val="2B9565F7"/>
    <w:rsid w:val="2BC25A46"/>
    <w:rsid w:val="2BD22343"/>
    <w:rsid w:val="2C0F1A01"/>
    <w:rsid w:val="2C1A267C"/>
    <w:rsid w:val="2C277CAF"/>
    <w:rsid w:val="2C5D2CAD"/>
    <w:rsid w:val="2C621C06"/>
    <w:rsid w:val="2C647F29"/>
    <w:rsid w:val="2C7646C0"/>
    <w:rsid w:val="2C790FA8"/>
    <w:rsid w:val="2CA46E06"/>
    <w:rsid w:val="2CB84AFB"/>
    <w:rsid w:val="2D0527DE"/>
    <w:rsid w:val="2D083A00"/>
    <w:rsid w:val="2D257478"/>
    <w:rsid w:val="2D3C262E"/>
    <w:rsid w:val="2D4E6CF7"/>
    <w:rsid w:val="2DE40514"/>
    <w:rsid w:val="2DE90352"/>
    <w:rsid w:val="2E415F0B"/>
    <w:rsid w:val="2E8A298D"/>
    <w:rsid w:val="2E8E7F33"/>
    <w:rsid w:val="2E972329"/>
    <w:rsid w:val="2EA15724"/>
    <w:rsid w:val="2EC92BE4"/>
    <w:rsid w:val="2ECF2F32"/>
    <w:rsid w:val="2ED22573"/>
    <w:rsid w:val="2EF22F19"/>
    <w:rsid w:val="2F153DD4"/>
    <w:rsid w:val="2F9539D9"/>
    <w:rsid w:val="2FB46305"/>
    <w:rsid w:val="2FE85F07"/>
    <w:rsid w:val="2FF26CCB"/>
    <w:rsid w:val="2FF7126C"/>
    <w:rsid w:val="30066DC3"/>
    <w:rsid w:val="303B65B8"/>
    <w:rsid w:val="305E6C12"/>
    <w:rsid w:val="30AE16B5"/>
    <w:rsid w:val="30DC37DC"/>
    <w:rsid w:val="31165DFB"/>
    <w:rsid w:val="313E0337"/>
    <w:rsid w:val="319665BD"/>
    <w:rsid w:val="319A2085"/>
    <w:rsid w:val="319D4620"/>
    <w:rsid w:val="31B63F22"/>
    <w:rsid w:val="32187082"/>
    <w:rsid w:val="322C582E"/>
    <w:rsid w:val="325F163F"/>
    <w:rsid w:val="32650125"/>
    <w:rsid w:val="327274BB"/>
    <w:rsid w:val="32977A8D"/>
    <w:rsid w:val="32B8669D"/>
    <w:rsid w:val="32D84E04"/>
    <w:rsid w:val="333661D7"/>
    <w:rsid w:val="335B41A5"/>
    <w:rsid w:val="335D51F0"/>
    <w:rsid w:val="33CF6325"/>
    <w:rsid w:val="33D60A82"/>
    <w:rsid w:val="33EA5551"/>
    <w:rsid w:val="342D014D"/>
    <w:rsid w:val="34314294"/>
    <w:rsid w:val="3442614F"/>
    <w:rsid w:val="345B6F1A"/>
    <w:rsid w:val="345F6F3B"/>
    <w:rsid w:val="34671C37"/>
    <w:rsid w:val="34690C69"/>
    <w:rsid w:val="34860E65"/>
    <w:rsid w:val="34CB308B"/>
    <w:rsid w:val="34D26A4C"/>
    <w:rsid w:val="351F7898"/>
    <w:rsid w:val="354B4738"/>
    <w:rsid w:val="356A337B"/>
    <w:rsid w:val="356F142B"/>
    <w:rsid w:val="35706124"/>
    <w:rsid w:val="3574003F"/>
    <w:rsid w:val="359128F3"/>
    <w:rsid w:val="35A00913"/>
    <w:rsid w:val="360C09D0"/>
    <w:rsid w:val="36102461"/>
    <w:rsid w:val="362A6075"/>
    <w:rsid w:val="36595658"/>
    <w:rsid w:val="365E3909"/>
    <w:rsid w:val="3667387F"/>
    <w:rsid w:val="36A025E8"/>
    <w:rsid w:val="36D03107"/>
    <w:rsid w:val="36D550B2"/>
    <w:rsid w:val="36DE3CA3"/>
    <w:rsid w:val="36F73B9A"/>
    <w:rsid w:val="37316729"/>
    <w:rsid w:val="376C53C7"/>
    <w:rsid w:val="376D05BA"/>
    <w:rsid w:val="37D76FA0"/>
    <w:rsid w:val="381025F2"/>
    <w:rsid w:val="384369FE"/>
    <w:rsid w:val="384848DC"/>
    <w:rsid w:val="38B63080"/>
    <w:rsid w:val="3924286C"/>
    <w:rsid w:val="39290C80"/>
    <w:rsid w:val="39315290"/>
    <w:rsid w:val="39360A4B"/>
    <w:rsid w:val="39385A34"/>
    <w:rsid w:val="3942578B"/>
    <w:rsid w:val="394B0736"/>
    <w:rsid w:val="39734B33"/>
    <w:rsid w:val="39853B75"/>
    <w:rsid w:val="39A82AB5"/>
    <w:rsid w:val="39AB0DA3"/>
    <w:rsid w:val="39AB36CF"/>
    <w:rsid w:val="3A053F2B"/>
    <w:rsid w:val="3A741E10"/>
    <w:rsid w:val="3A8961AE"/>
    <w:rsid w:val="3AAD4B07"/>
    <w:rsid w:val="3ACE62F6"/>
    <w:rsid w:val="3AD0179A"/>
    <w:rsid w:val="3AF36669"/>
    <w:rsid w:val="3AFB7AD8"/>
    <w:rsid w:val="3B2E3CCC"/>
    <w:rsid w:val="3B4D0703"/>
    <w:rsid w:val="3B5E106D"/>
    <w:rsid w:val="3B61373B"/>
    <w:rsid w:val="3B636F25"/>
    <w:rsid w:val="3B793576"/>
    <w:rsid w:val="3B892F67"/>
    <w:rsid w:val="3BD2436A"/>
    <w:rsid w:val="3BE82395"/>
    <w:rsid w:val="3BF619BF"/>
    <w:rsid w:val="3BF959A5"/>
    <w:rsid w:val="3C1C1B0B"/>
    <w:rsid w:val="3C3018D0"/>
    <w:rsid w:val="3C4D0069"/>
    <w:rsid w:val="3C5A4EEA"/>
    <w:rsid w:val="3C6E58CE"/>
    <w:rsid w:val="3CA933EF"/>
    <w:rsid w:val="3CAC09E0"/>
    <w:rsid w:val="3CE20580"/>
    <w:rsid w:val="3D81321B"/>
    <w:rsid w:val="3DB41DDE"/>
    <w:rsid w:val="3DC554B0"/>
    <w:rsid w:val="3DD133B8"/>
    <w:rsid w:val="3E1243CD"/>
    <w:rsid w:val="3F056BB2"/>
    <w:rsid w:val="3F5537B8"/>
    <w:rsid w:val="3F702BB7"/>
    <w:rsid w:val="3F7D6F3B"/>
    <w:rsid w:val="3F867F68"/>
    <w:rsid w:val="3F8C6CC0"/>
    <w:rsid w:val="3F8D7B91"/>
    <w:rsid w:val="3FF4199B"/>
    <w:rsid w:val="400643C5"/>
    <w:rsid w:val="401F3761"/>
    <w:rsid w:val="403C27B8"/>
    <w:rsid w:val="40463876"/>
    <w:rsid w:val="40785DD6"/>
    <w:rsid w:val="40813B5B"/>
    <w:rsid w:val="40BD5A81"/>
    <w:rsid w:val="40ED030A"/>
    <w:rsid w:val="40F51154"/>
    <w:rsid w:val="40F8294C"/>
    <w:rsid w:val="411A1E6D"/>
    <w:rsid w:val="41244C5D"/>
    <w:rsid w:val="4156222C"/>
    <w:rsid w:val="416076B5"/>
    <w:rsid w:val="418514D9"/>
    <w:rsid w:val="41960938"/>
    <w:rsid w:val="41C64ED9"/>
    <w:rsid w:val="41D45142"/>
    <w:rsid w:val="41DE1228"/>
    <w:rsid w:val="422F3D53"/>
    <w:rsid w:val="42342C0F"/>
    <w:rsid w:val="423B61C1"/>
    <w:rsid w:val="42470035"/>
    <w:rsid w:val="42473BEF"/>
    <w:rsid w:val="42717381"/>
    <w:rsid w:val="427E1D94"/>
    <w:rsid w:val="42A740BE"/>
    <w:rsid w:val="42D32EFF"/>
    <w:rsid w:val="42DA27FA"/>
    <w:rsid w:val="42F07B1C"/>
    <w:rsid w:val="42F95E7F"/>
    <w:rsid w:val="431C6203"/>
    <w:rsid w:val="435307D5"/>
    <w:rsid w:val="43633C37"/>
    <w:rsid w:val="437265BF"/>
    <w:rsid w:val="43B66C17"/>
    <w:rsid w:val="43E53A59"/>
    <w:rsid w:val="447939F2"/>
    <w:rsid w:val="448E07C9"/>
    <w:rsid w:val="44971DA1"/>
    <w:rsid w:val="44A16353"/>
    <w:rsid w:val="44B41FBB"/>
    <w:rsid w:val="44EC01B8"/>
    <w:rsid w:val="453E01C5"/>
    <w:rsid w:val="45766A63"/>
    <w:rsid w:val="45D02213"/>
    <w:rsid w:val="45E93CDE"/>
    <w:rsid w:val="45E93F38"/>
    <w:rsid w:val="463043F1"/>
    <w:rsid w:val="46430050"/>
    <w:rsid w:val="468D18BD"/>
    <w:rsid w:val="46953DA7"/>
    <w:rsid w:val="46CC6CB5"/>
    <w:rsid w:val="46F73288"/>
    <w:rsid w:val="47323CE2"/>
    <w:rsid w:val="47431938"/>
    <w:rsid w:val="47743044"/>
    <w:rsid w:val="477C4311"/>
    <w:rsid w:val="47986F5F"/>
    <w:rsid w:val="47990F3F"/>
    <w:rsid w:val="47BF4307"/>
    <w:rsid w:val="48047CF8"/>
    <w:rsid w:val="48354527"/>
    <w:rsid w:val="485357A3"/>
    <w:rsid w:val="488226E9"/>
    <w:rsid w:val="48887236"/>
    <w:rsid w:val="48903FA8"/>
    <w:rsid w:val="48AB34FC"/>
    <w:rsid w:val="48E259F0"/>
    <w:rsid w:val="48E810AD"/>
    <w:rsid w:val="49016C43"/>
    <w:rsid w:val="49074695"/>
    <w:rsid w:val="49093AF5"/>
    <w:rsid w:val="491D38CE"/>
    <w:rsid w:val="494A28B8"/>
    <w:rsid w:val="494E0CF3"/>
    <w:rsid w:val="496F4A9A"/>
    <w:rsid w:val="49D62635"/>
    <w:rsid w:val="49E302B2"/>
    <w:rsid w:val="49F555CC"/>
    <w:rsid w:val="4A802C31"/>
    <w:rsid w:val="4A852E26"/>
    <w:rsid w:val="4AB618EA"/>
    <w:rsid w:val="4B0E6C11"/>
    <w:rsid w:val="4B1B0A89"/>
    <w:rsid w:val="4B5052C0"/>
    <w:rsid w:val="4B5B37EE"/>
    <w:rsid w:val="4B6F4749"/>
    <w:rsid w:val="4B9A7D7B"/>
    <w:rsid w:val="4BCE5607"/>
    <w:rsid w:val="4BE32C7A"/>
    <w:rsid w:val="4BF822F6"/>
    <w:rsid w:val="4C251A00"/>
    <w:rsid w:val="4C96414F"/>
    <w:rsid w:val="4C974CB8"/>
    <w:rsid w:val="4CFD155C"/>
    <w:rsid w:val="4D90360B"/>
    <w:rsid w:val="4D95643E"/>
    <w:rsid w:val="4DAA2741"/>
    <w:rsid w:val="4DC52F17"/>
    <w:rsid w:val="4DD67C46"/>
    <w:rsid w:val="4DE678C1"/>
    <w:rsid w:val="4E0F59E6"/>
    <w:rsid w:val="4E2426C7"/>
    <w:rsid w:val="4E3D2149"/>
    <w:rsid w:val="4E6B7454"/>
    <w:rsid w:val="4E8238FA"/>
    <w:rsid w:val="4EC13229"/>
    <w:rsid w:val="4EE46199"/>
    <w:rsid w:val="4EE92B40"/>
    <w:rsid w:val="4F0E1AC8"/>
    <w:rsid w:val="4F205756"/>
    <w:rsid w:val="4F403E6D"/>
    <w:rsid w:val="4F513035"/>
    <w:rsid w:val="4F6E0FE5"/>
    <w:rsid w:val="4F8673AA"/>
    <w:rsid w:val="4F9363F8"/>
    <w:rsid w:val="4FAB6DF8"/>
    <w:rsid w:val="4FFE6123"/>
    <w:rsid w:val="503239EC"/>
    <w:rsid w:val="507B56A0"/>
    <w:rsid w:val="507E69C4"/>
    <w:rsid w:val="508321AE"/>
    <w:rsid w:val="508A0696"/>
    <w:rsid w:val="50A75500"/>
    <w:rsid w:val="50C93B54"/>
    <w:rsid w:val="50CC7A37"/>
    <w:rsid w:val="50E024C9"/>
    <w:rsid w:val="50F02329"/>
    <w:rsid w:val="514D2EA3"/>
    <w:rsid w:val="517027AF"/>
    <w:rsid w:val="51965EFC"/>
    <w:rsid w:val="51A54447"/>
    <w:rsid w:val="51BA53E6"/>
    <w:rsid w:val="51CB2893"/>
    <w:rsid w:val="52331B01"/>
    <w:rsid w:val="524F639C"/>
    <w:rsid w:val="52534234"/>
    <w:rsid w:val="525B505F"/>
    <w:rsid w:val="5267620E"/>
    <w:rsid w:val="528D1AAE"/>
    <w:rsid w:val="52B37557"/>
    <w:rsid w:val="52BD0422"/>
    <w:rsid w:val="52E43991"/>
    <w:rsid w:val="52F92C62"/>
    <w:rsid w:val="534A7580"/>
    <w:rsid w:val="53CD35DA"/>
    <w:rsid w:val="53CF244D"/>
    <w:rsid w:val="540A5590"/>
    <w:rsid w:val="540C32DA"/>
    <w:rsid w:val="542169E3"/>
    <w:rsid w:val="54332365"/>
    <w:rsid w:val="54485B35"/>
    <w:rsid w:val="5479646E"/>
    <w:rsid w:val="54824E2D"/>
    <w:rsid w:val="549626DE"/>
    <w:rsid w:val="54A26A01"/>
    <w:rsid w:val="54BA2082"/>
    <w:rsid w:val="54CC7D8C"/>
    <w:rsid w:val="555831B7"/>
    <w:rsid w:val="55FD42D6"/>
    <w:rsid w:val="5632101F"/>
    <w:rsid w:val="56415254"/>
    <w:rsid w:val="564B434A"/>
    <w:rsid w:val="567A2966"/>
    <w:rsid w:val="56BE2728"/>
    <w:rsid w:val="56F022BF"/>
    <w:rsid w:val="56FB56CE"/>
    <w:rsid w:val="57054C16"/>
    <w:rsid w:val="5749230E"/>
    <w:rsid w:val="57885B8E"/>
    <w:rsid w:val="57AC6F38"/>
    <w:rsid w:val="57D0553D"/>
    <w:rsid w:val="57DA388B"/>
    <w:rsid w:val="57E84847"/>
    <w:rsid w:val="58060650"/>
    <w:rsid w:val="582E0E2B"/>
    <w:rsid w:val="584C43C9"/>
    <w:rsid w:val="58606914"/>
    <w:rsid w:val="586D01DF"/>
    <w:rsid w:val="58C92FC5"/>
    <w:rsid w:val="58D14B9D"/>
    <w:rsid w:val="59343D61"/>
    <w:rsid w:val="593B0FAE"/>
    <w:rsid w:val="59633DAE"/>
    <w:rsid w:val="596D7A74"/>
    <w:rsid w:val="59826A1F"/>
    <w:rsid w:val="59C44EE4"/>
    <w:rsid w:val="5A3E2CEC"/>
    <w:rsid w:val="5A426D37"/>
    <w:rsid w:val="5A5653EE"/>
    <w:rsid w:val="5A726410"/>
    <w:rsid w:val="5A7F70E1"/>
    <w:rsid w:val="5AAC49ED"/>
    <w:rsid w:val="5AB73A36"/>
    <w:rsid w:val="5B24515C"/>
    <w:rsid w:val="5B4104C3"/>
    <w:rsid w:val="5B6B673F"/>
    <w:rsid w:val="5B6D086E"/>
    <w:rsid w:val="5B984D51"/>
    <w:rsid w:val="5BA1333E"/>
    <w:rsid w:val="5BA84DA7"/>
    <w:rsid w:val="5BAA6DC2"/>
    <w:rsid w:val="5C034600"/>
    <w:rsid w:val="5C2203FA"/>
    <w:rsid w:val="5C237CF4"/>
    <w:rsid w:val="5C652DEB"/>
    <w:rsid w:val="5C761CB7"/>
    <w:rsid w:val="5C9F005F"/>
    <w:rsid w:val="5CFD323D"/>
    <w:rsid w:val="5D7E599A"/>
    <w:rsid w:val="5DAF665D"/>
    <w:rsid w:val="5DC22170"/>
    <w:rsid w:val="5E77294D"/>
    <w:rsid w:val="5EF21EA7"/>
    <w:rsid w:val="5F1D2D94"/>
    <w:rsid w:val="5F294C8E"/>
    <w:rsid w:val="5F381A7B"/>
    <w:rsid w:val="5F4014B7"/>
    <w:rsid w:val="5F42657D"/>
    <w:rsid w:val="5F5F53BC"/>
    <w:rsid w:val="5F704321"/>
    <w:rsid w:val="5F8D2AB9"/>
    <w:rsid w:val="5FB05CAE"/>
    <w:rsid w:val="5FC17B57"/>
    <w:rsid w:val="5FC51FFB"/>
    <w:rsid w:val="5FE568DD"/>
    <w:rsid w:val="5FF5085D"/>
    <w:rsid w:val="60060393"/>
    <w:rsid w:val="60256E18"/>
    <w:rsid w:val="602B2C56"/>
    <w:rsid w:val="60557C1B"/>
    <w:rsid w:val="607A1279"/>
    <w:rsid w:val="60894155"/>
    <w:rsid w:val="60A800CB"/>
    <w:rsid w:val="60AD04D9"/>
    <w:rsid w:val="60E977C5"/>
    <w:rsid w:val="60ED327E"/>
    <w:rsid w:val="6102168E"/>
    <w:rsid w:val="61071104"/>
    <w:rsid w:val="61167C3A"/>
    <w:rsid w:val="611966EA"/>
    <w:rsid w:val="614228AE"/>
    <w:rsid w:val="61533A4A"/>
    <w:rsid w:val="619E07AB"/>
    <w:rsid w:val="619F593E"/>
    <w:rsid w:val="61BB7C7B"/>
    <w:rsid w:val="61BE13B4"/>
    <w:rsid w:val="61BF12DC"/>
    <w:rsid w:val="61CB49EC"/>
    <w:rsid w:val="621959E5"/>
    <w:rsid w:val="624B0E7D"/>
    <w:rsid w:val="62687AED"/>
    <w:rsid w:val="62B665B6"/>
    <w:rsid w:val="62C7055D"/>
    <w:rsid w:val="62CF416E"/>
    <w:rsid w:val="62D673CD"/>
    <w:rsid w:val="62EE3CBD"/>
    <w:rsid w:val="62F44961"/>
    <w:rsid w:val="634546F3"/>
    <w:rsid w:val="636130D9"/>
    <w:rsid w:val="63A431CB"/>
    <w:rsid w:val="63AA64B5"/>
    <w:rsid w:val="63C00F47"/>
    <w:rsid w:val="63D76001"/>
    <w:rsid w:val="63E51964"/>
    <w:rsid w:val="64154087"/>
    <w:rsid w:val="644154F0"/>
    <w:rsid w:val="65353008"/>
    <w:rsid w:val="653D665D"/>
    <w:rsid w:val="654503F2"/>
    <w:rsid w:val="65C818FB"/>
    <w:rsid w:val="65E968E4"/>
    <w:rsid w:val="660329A3"/>
    <w:rsid w:val="661506A5"/>
    <w:rsid w:val="661A13AC"/>
    <w:rsid w:val="661B0A65"/>
    <w:rsid w:val="66273583"/>
    <w:rsid w:val="665804EC"/>
    <w:rsid w:val="668C1B4C"/>
    <w:rsid w:val="668E5B1C"/>
    <w:rsid w:val="66994753"/>
    <w:rsid w:val="66A64938"/>
    <w:rsid w:val="66F56065"/>
    <w:rsid w:val="66F93EDA"/>
    <w:rsid w:val="67007B9E"/>
    <w:rsid w:val="670A7175"/>
    <w:rsid w:val="6725653D"/>
    <w:rsid w:val="672946C1"/>
    <w:rsid w:val="67297732"/>
    <w:rsid w:val="672C657E"/>
    <w:rsid w:val="676D4B89"/>
    <w:rsid w:val="67B45E55"/>
    <w:rsid w:val="67B53481"/>
    <w:rsid w:val="67DE642F"/>
    <w:rsid w:val="67F24B9B"/>
    <w:rsid w:val="67F35DF6"/>
    <w:rsid w:val="68171DEC"/>
    <w:rsid w:val="6817353E"/>
    <w:rsid w:val="681B4AB1"/>
    <w:rsid w:val="687251BC"/>
    <w:rsid w:val="68806BA4"/>
    <w:rsid w:val="689A28D5"/>
    <w:rsid w:val="68D2260E"/>
    <w:rsid w:val="68DC1570"/>
    <w:rsid w:val="690879D4"/>
    <w:rsid w:val="69156453"/>
    <w:rsid w:val="694E2B48"/>
    <w:rsid w:val="69683DCF"/>
    <w:rsid w:val="69926C8B"/>
    <w:rsid w:val="699D1E24"/>
    <w:rsid w:val="69A9667C"/>
    <w:rsid w:val="69B665A4"/>
    <w:rsid w:val="69B8252C"/>
    <w:rsid w:val="69D67AEA"/>
    <w:rsid w:val="69DA0B81"/>
    <w:rsid w:val="69EC58D4"/>
    <w:rsid w:val="6A2F33AA"/>
    <w:rsid w:val="6A621D2E"/>
    <w:rsid w:val="6A6430C8"/>
    <w:rsid w:val="6A664E33"/>
    <w:rsid w:val="6AD124DD"/>
    <w:rsid w:val="6ADA17A9"/>
    <w:rsid w:val="6AE47557"/>
    <w:rsid w:val="6AEB7F0A"/>
    <w:rsid w:val="6B122757"/>
    <w:rsid w:val="6BEB6EAD"/>
    <w:rsid w:val="6BF97200"/>
    <w:rsid w:val="6BFB4C62"/>
    <w:rsid w:val="6C25454E"/>
    <w:rsid w:val="6C58193D"/>
    <w:rsid w:val="6C5E6105"/>
    <w:rsid w:val="6C6355FB"/>
    <w:rsid w:val="6C853518"/>
    <w:rsid w:val="6CD14203"/>
    <w:rsid w:val="6CE944D1"/>
    <w:rsid w:val="6CF65D1C"/>
    <w:rsid w:val="6CFF5B8B"/>
    <w:rsid w:val="6D38056F"/>
    <w:rsid w:val="6D863A6B"/>
    <w:rsid w:val="6D8F7C98"/>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307579"/>
    <w:rsid w:val="6F595A35"/>
    <w:rsid w:val="6FC46A94"/>
    <w:rsid w:val="702622E9"/>
    <w:rsid w:val="702A082E"/>
    <w:rsid w:val="702A1568"/>
    <w:rsid w:val="705D1CD9"/>
    <w:rsid w:val="70603970"/>
    <w:rsid w:val="709A5041"/>
    <w:rsid w:val="70C20042"/>
    <w:rsid w:val="70F943FF"/>
    <w:rsid w:val="71043C71"/>
    <w:rsid w:val="71223ED3"/>
    <w:rsid w:val="71521B04"/>
    <w:rsid w:val="71587B0A"/>
    <w:rsid w:val="718B38BE"/>
    <w:rsid w:val="71B21D4D"/>
    <w:rsid w:val="71C51F33"/>
    <w:rsid w:val="71D81758"/>
    <w:rsid w:val="71F55430"/>
    <w:rsid w:val="72002163"/>
    <w:rsid w:val="722803D2"/>
    <w:rsid w:val="72311C0F"/>
    <w:rsid w:val="727D5491"/>
    <w:rsid w:val="72B558BE"/>
    <w:rsid w:val="72C66920"/>
    <w:rsid w:val="73755939"/>
    <w:rsid w:val="73777363"/>
    <w:rsid w:val="73A13F8B"/>
    <w:rsid w:val="73E45ED9"/>
    <w:rsid w:val="73EE158A"/>
    <w:rsid w:val="742A5DBE"/>
    <w:rsid w:val="743D591A"/>
    <w:rsid w:val="744050C4"/>
    <w:rsid w:val="74B13D77"/>
    <w:rsid w:val="74CE1490"/>
    <w:rsid w:val="74D72108"/>
    <w:rsid w:val="74DB448B"/>
    <w:rsid w:val="74E225F0"/>
    <w:rsid w:val="753A77D4"/>
    <w:rsid w:val="756110C1"/>
    <w:rsid w:val="75727E0D"/>
    <w:rsid w:val="75C54492"/>
    <w:rsid w:val="75DD2BA2"/>
    <w:rsid w:val="75E81C02"/>
    <w:rsid w:val="75FF463E"/>
    <w:rsid w:val="763C100C"/>
    <w:rsid w:val="76606386"/>
    <w:rsid w:val="76751F92"/>
    <w:rsid w:val="767A6971"/>
    <w:rsid w:val="76DD5F84"/>
    <w:rsid w:val="76E964E4"/>
    <w:rsid w:val="76EE388A"/>
    <w:rsid w:val="76F96202"/>
    <w:rsid w:val="775A1179"/>
    <w:rsid w:val="77D53C83"/>
    <w:rsid w:val="78077AA1"/>
    <w:rsid w:val="780A05BF"/>
    <w:rsid w:val="781B1E31"/>
    <w:rsid w:val="78435669"/>
    <w:rsid w:val="78763A28"/>
    <w:rsid w:val="78A12986"/>
    <w:rsid w:val="790F7A12"/>
    <w:rsid w:val="79197096"/>
    <w:rsid w:val="791C43FD"/>
    <w:rsid w:val="79D675A2"/>
    <w:rsid w:val="79D9626B"/>
    <w:rsid w:val="79DE652D"/>
    <w:rsid w:val="79F71156"/>
    <w:rsid w:val="7A4F2CB8"/>
    <w:rsid w:val="7A5228CC"/>
    <w:rsid w:val="7A526FA4"/>
    <w:rsid w:val="7A8E5B94"/>
    <w:rsid w:val="7A977733"/>
    <w:rsid w:val="7A9B43B9"/>
    <w:rsid w:val="7ABF429C"/>
    <w:rsid w:val="7BC1099D"/>
    <w:rsid w:val="7BFC6C3D"/>
    <w:rsid w:val="7C0F0C5A"/>
    <w:rsid w:val="7C0F7323"/>
    <w:rsid w:val="7C211E5E"/>
    <w:rsid w:val="7C5B51EA"/>
    <w:rsid w:val="7C5C4F5D"/>
    <w:rsid w:val="7C813C6F"/>
    <w:rsid w:val="7CFE2893"/>
    <w:rsid w:val="7D0F00BC"/>
    <w:rsid w:val="7D8F1CF9"/>
    <w:rsid w:val="7DD6705F"/>
    <w:rsid w:val="7E265E94"/>
    <w:rsid w:val="7E306020"/>
    <w:rsid w:val="7E6C56F0"/>
    <w:rsid w:val="7E811E93"/>
    <w:rsid w:val="7E9D4323"/>
    <w:rsid w:val="7EA31B96"/>
    <w:rsid w:val="7EAD56F7"/>
    <w:rsid w:val="7F227548"/>
    <w:rsid w:val="7F702B0F"/>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3">
    <w:name w:val="Default Paragraph Font"/>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Normal Indent"/>
    <w:basedOn w:val="1"/>
    <w:qFormat/>
    <w:locked/>
    <w:uiPriority w:val="0"/>
    <w:pPr>
      <w:ind w:firstLine="420"/>
    </w:pPr>
    <w:rPr>
      <w:sz w:val="30"/>
      <w:szCs w:val="30"/>
    </w:rPr>
  </w:style>
  <w:style w:type="paragraph" w:styleId="9">
    <w:name w:val="Document Map"/>
    <w:basedOn w:val="1"/>
    <w:link w:val="40"/>
    <w:semiHidden/>
    <w:qFormat/>
    <w:uiPriority w:val="99"/>
    <w:pPr>
      <w:shd w:val="clear" w:color="auto" w:fill="000080"/>
    </w:pPr>
  </w:style>
  <w:style w:type="paragraph" w:styleId="10">
    <w:name w:val="annotation text"/>
    <w:basedOn w:val="1"/>
    <w:link w:val="32"/>
    <w:qFormat/>
    <w:uiPriority w:val="0"/>
    <w:pPr>
      <w:spacing w:line="240" w:lineRule="auto"/>
      <w:ind w:firstLine="0" w:firstLineChars="0"/>
      <w:jc w:val="left"/>
    </w:pPr>
  </w:style>
  <w:style w:type="paragraph" w:styleId="11">
    <w:name w:val="Body Text Indent"/>
    <w:basedOn w:val="1"/>
    <w:link w:val="42"/>
    <w:unhideWhenUsed/>
    <w:qFormat/>
    <w:locked/>
    <w:uiPriority w:val="0"/>
    <w:pPr>
      <w:spacing w:after="120"/>
      <w:ind w:left="420" w:leftChars="200"/>
    </w:pPr>
  </w:style>
  <w:style w:type="paragraph" w:styleId="12">
    <w:name w:val="Plain Text"/>
    <w:basedOn w:val="1"/>
    <w:link w:val="33"/>
    <w:qFormat/>
    <w:uiPriority w:val="0"/>
    <w:pPr>
      <w:spacing w:line="240" w:lineRule="auto"/>
      <w:ind w:firstLine="0" w:firstLineChars="0"/>
    </w:pPr>
    <w:rPr>
      <w:rFonts w:ascii="宋体" w:hAnsi="Courier New"/>
      <w:szCs w:val="20"/>
    </w:rPr>
  </w:style>
  <w:style w:type="paragraph" w:styleId="13">
    <w:name w:val="Balloon Text"/>
    <w:basedOn w:val="1"/>
    <w:link w:val="39"/>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39"/>
    <w:pPr>
      <w:tabs>
        <w:tab w:val="right" w:leader="dot" w:pos="8296"/>
      </w:tabs>
      <w:ind w:firstLine="0" w:firstLineChars="0"/>
    </w:pPr>
  </w:style>
  <w:style w:type="paragraph" w:styleId="17">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8">
    <w:name w:val="toc 2"/>
    <w:basedOn w:val="1"/>
    <w:next w:val="1"/>
    <w:qFormat/>
    <w:uiPriority w:val="39"/>
    <w:pPr>
      <w:tabs>
        <w:tab w:val="right" w:leader="dot" w:pos="8296"/>
      </w:tabs>
      <w:ind w:left="420" w:leftChars="200" w:firstLine="0" w:firstLineChars="0"/>
    </w:pPr>
  </w:style>
  <w:style w:type="paragraph" w:styleId="19">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0">
    <w:name w:val="annotation subject"/>
    <w:basedOn w:val="10"/>
    <w:next w:val="10"/>
    <w:link w:val="45"/>
    <w:qFormat/>
    <w:locked/>
    <w:uiPriority w:val="0"/>
    <w:rPr>
      <w:rFonts w:asciiTheme="minorHAnsi" w:hAnsiTheme="minorHAnsi" w:eastAsiaTheme="minorEastAsia" w:cstheme="minorBidi"/>
      <w:b/>
      <w:bCs/>
    </w:rPr>
  </w:style>
  <w:style w:type="table" w:styleId="22">
    <w:name w:val="Table Grid"/>
    <w:basedOn w:val="2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qFormat/>
    <w:locked/>
    <w:uiPriority w:val="0"/>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0"/>
    <w:rPr>
      <w:rFonts w:cs="Times New Roman"/>
      <w:sz w:val="21"/>
    </w:rPr>
  </w:style>
  <w:style w:type="character" w:customStyle="1" w:styleId="28">
    <w:name w:val="标题 1 Char"/>
    <w:basedOn w:val="23"/>
    <w:link w:val="4"/>
    <w:qFormat/>
    <w:locked/>
    <w:uiPriority w:val="0"/>
    <w:rPr>
      <w:rFonts w:cs="Times New Roman"/>
      <w:b/>
      <w:kern w:val="44"/>
      <w:sz w:val="44"/>
    </w:rPr>
  </w:style>
  <w:style w:type="character" w:customStyle="1" w:styleId="29">
    <w:name w:val="标题 2 Char"/>
    <w:basedOn w:val="23"/>
    <w:link w:val="5"/>
    <w:qFormat/>
    <w:locked/>
    <w:uiPriority w:val="0"/>
    <w:rPr>
      <w:rFonts w:ascii="Cambria" w:hAnsi="Cambria" w:eastAsia="宋体" w:cs="Times New Roman"/>
      <w:b/>
      <w:bCs/>
      <w:sz w:val="32"/>
      <w:szCs w:val="32"/>
    </w:rPr>
  </w:style>
  <w:style w:type="character" w:customStyle="1" w:styleId="30">
    <w:name w:val="标题 3 Char"/>
    <w:basedOn w:val="23"/>
    <w:link w:val="6"/>
    <w:qFormat/>
    <w:locked/>
    <w:uiPriority w:val="0"/>
    <w:rPr>
      <w:rFonts w:cs="宋体" w:asciiTheme="minorEastAsia" w:hAnsiTheme="minorEastAsia" w:eastAsiaTheme="minorEastAsia"/>
      <w:b/>
      <w:sz w:val="21"/>
      <w:szCs w:val="32"/>
    </w:rPr>
  </w:style>
  <w:style w:type="character" w:customStyle="1" w:styleId="31">
    <w:name w:val="标题 4 Char"/>
    <w:basedOn w:val="23"/>
    <w:link w:val="7"/>
    <w:semiHidden/>
    <w:qFormat/>
    <w:locked/>
    <w:uiPriority w:val="99"/>
    <w:rPr>
      <w:rFonts w:ascii="Cambria" w:hAnsi="Cambria" w:eastAsia="宋体" w:cs="Times New Roman"/>
      <w:b/>
      <w:bCs/>
      <w:sz w:val="28"/>
      <w:szCs w:val="28"/>
    </w:rPr>
  </w:style>
  <w:style w:type="character" w:customStyle="1" w:styleId="32">
    <w:name w:val="批注文字 Char"/>
    <w:basedOn w:val="23"/>
    <w:link w:val="10"/>
    <w:qFormat/>
    <w:locked/>
    <w:uiPriority w:val="0"/>
    <w:rPr>
      <w:rFonts w:ascii="Times New Roman" w:hAnsi="Times New Roman" w:cs="Times New Roman"/>
      <w:sz w:val="24"/>
      <w:szCs w:val="24"/>
    </w:rPr>
  </w:style>
  <w:style w:type="character" w:customStyle="1" w:styleId="33">
    <w:name w:val="纯文本 Char"/>
    <w:basedOn w:val="23"/>
    <w:link w:val="12"/>
    <w:qFormat/>
    <w:locked/>
    <w:uiPriority w:val="0"/>
    <w:rPr>
      <w:rFonts w:ascii="宋体" w:hAnsi="Courier New" w:cs="Courier New"/>
      <w:sz w:val="21"/>
      <w:szCs w:val="21"/>
    </w:rPr>
  </w:style>
  <w:style w:type="character" w:customStyle="1" w:styleId="34">
    <w:name w:val="页脚 Char"/>
    <w:basedOn w:val="23"/>
    <w:link w:val="14"/>
    <w:qFormat/>
    <w:locked/>
    <w:uiPriority w:val="99"/>
    <w:rPr>
      <w:rFonts w:ascii="Times New Roman" w:hAnsi="Times New Roman" w:cs="Times New Roman"/>
      <w:sz w:val="18"/>
      <w:szCs w:val="18"/>
    </w:rPr>
  </w:style>
  <w:style w:type="character" w:customStyle="1" w:styleId="35">
    <w:name w:val="页眉 Char"/>
    <w:basedOn w:val="23"/>
    <w:link w:val="15"/>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3"/>
    <w:link w:val="13"/>
    <w:qFormat/>
    <w:locked/>
    <w:uiPriority w:val="0"/>
    <w:rPr>
      <w:rFonts w:ascii="Times New Roman" w:hAnsi="Times New Roman" w:cs="Times New Roman"/>
      <w:sz w:val="2"/>
    </w:rPr>
  </w:style>
  <w:style w:type="character" w:customStyle="1" w:styleId="40">
    <w:name w:val="文档结构图 Char"/>
    <w:basedOn w:val="23"/>
    <w:link w:val="9"/>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3"/>
    <w:link w:val="11"/>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7"/>
    <w:qFormat/>
    <w:uiPriority w:val="0"/>
    <w:rPr>
      <w:rFonts w:ascii="等线 Light" w:hAnsi="等线 Light" w:cs="Times New Roman"/>
      <w:b/>
      <w:bCs/>
      <w:kern w:val="28"/>
      <w:sz w:val="32"/>
      <w:szCs w:val="32"/>
    </w:rPr>
  </w:style>
  <w:style w:type="character" w:customStyle="1" w:styleId="45">
    <w:name w:val="批注主题 Char"/>
    <w:link w:val="20"/>
    <w:qFormat/>
    <w:uiPriority w:val="0"/>
    <w:rPr>
      <w:b/>
      <w:bCs/>
      <w:kern w:val="2"/>
      <w:sz w:val="21"/>
      <w:szCs w:val="24"/>
    </w:rPr>
  </w:style>
  <w:style w:type="character" w:customStyle="1" w:styleId="46">
    <w:name w:val="HTML 预设格式 Char"/>
    <w:link w:val="19"/>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3"/>
    <w:qFormat/>
    <w:uiPriority w:val="11"/>
    <w:rPr>
      <w:b/>
      <w:bCs/>
      <w:kern w:val="28"/>
      <w:sz w:val="32"/>
      <w:szCs w:val="32"/>
    </w:rPr>
  </w:style>
  <w:style w:type="character" w:customStyle="1" w:styleId="49">
    <w:name w:val="HTML 预设格式 字符1"/>
    <w:basedOn w:val="23"/>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3"/>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15</TotalTime>
  <ScaleCrop>false</ScaleCrop>
  <LinksUpToDate>false</LinksUpToDate>
  <CharactersWithSpaces>39034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2019-08-16T00:14:09Z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