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cs="宋体" w:asciiTheme="minorEastAsia" w:hAnsiTheme="minorEastAsia" w:eastAsiaTheme="minorEastAsia"/>
          <w:b/>
          <w:bCs/>
          <w:color w:val="auto"/>
          <w:sz w:val="28"/>
          <w:szCs w:val="28"/>
        </w:rPr>
      </w:pPr>
    </w:p>
    <w:p>
      <w:pPr>
        <w:pStyle w:val="2"/>
        <w:ind w:firstLine="280"/>
        <w:rPr>
          <w:rFonts w:asciiTheme="minorEastAsia" w:hAnsiTheme="minorEastAsia" w:eastAsiaTheme="minorEastAsia"/>
          <w:color w:val="auto"/>
          <w:sz w:val="28"/>
          <w:szCs w:val="28"/>
        </w:rPr>
      </w:pP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设计艺术学院《研究生教学体系及金课建设》之《东方图案研究》出版</w:t>
      </w:r>
    </w:p>
    <w:p>
      <w:pPr>
        <w:snapToGrid w:val="0"/>
        <w:ind w:firstLine="562"/>
        <w:jc w:val="center"/>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招标文件</w:t>
      </w: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设计艺术学院《研究生教学体系及金课建设》之《东方图案研究》出版</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浙财采确【2019】61963号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ZJXL-MY-201959</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代理机构：浙江信镧建设工程咨询有限公司</w:t>
      </w:r>
    </w:p>
    <w:p>
      <w:pPr>
        <w:snapToGrid w:val="0"/>
        <w:ind w:firstLine="560"/>
        <w:rPr>
          <w:rFonts w:cs="宋体" w:asciiTheme="minorEastAsia" w:hAnsiTheme="minorEastAsia" w:eastAsiaTheme="min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期：二〇一九年</w:t>
      </w:r>
      <w:r>
        <w:rPr>
          <w:rFonts w:hint="eastAsia" w:cs="宋体" w:asciiTheme="minorEastAsia" w:hAnsiTheme="minorEastAsia" w:eastAsiaTheme="minorEastAsia"/>
          <w:color w:val="auto"/>
          <w:sz w:val="28"/>
          <w:szCs w:val="28"/>
          <w:lang w:eastAsia="zh-CN"/>
        </w:rPr>
        <w:t>十一</w:t>
      </w:r>
      <w:r>
        <w:rPr>
          <w:rFonts w:hint="eastAsia" w:cs="宋体" w:asciiTheme="minorEastAsia" w:hAnsiTheme="minorEastAsia" w:eastAsiaTheme="minorEastAsia"/>
          <w:color w:val="auto"/>
          <w:sz w:val="28"/>
          <w:szCs w:val="28"/>
        </w:rPr>
        <w:t>月</w:t>
      </w:r>
    </w:p>
    <w:p>
      <w:pPr>
        <w:pStyle w:val="38"/>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 xml:space="preserve">目 </w:t>
      </w:r>
      <w:r>
        <w:rPr>
          <w:rFonts w:cs="宋体" w:asciiTheme="minorEastAsia" w:hAnsiTheme="minorEastAsia" w:eastAsiaTheme="minorEastAsia"/>
          <w:color w:val="auto"/>
          <w:lang w:val="zh-CN"/>
        </w:rPr>
        <w:t xml:space="preserve"> </w:t>
      </w:r>
      <w:r>
        <w:rPr>
          <w:rFonts w:hint="eastAsia" w:cs="宋体" w:asciiTheme="minorEastAsia" w:hAnsiTheme="minorEastAsia" w:eastAsiaTheme="minorEastAsia"/>
          <w:color w:val="auto"/>
          <w:lang w:val="zh-CN"/>
        </w:rPr>
        <w:t>录</w:t>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TOC \o "1-2" \h \z \u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_Toc20572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28"/>
        </w:rPr>
        <w:t>招标公告</w:t>
      </w:r>
      <w:r>
        <w:tab/>
      </w:r>
      <w:r>
        <w:fldChar w:fldCharType="begin"/>
      </w:r>
      <w:r>
        <w:instrText xml:space="preserve"> PAGEREF _Toc20572 </w:instrText>
      </w:r>
      <w:r>
        <w:fldChar w:fldCharType="separate"/>
      </w:r>
      <w:r>
        <w:t>1</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_Toc5775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第一章 投标人须知</w:t>
      </w:r>
      <w:r>
        <w:tab/>
      </w:r>
      <w:r>
        <w:fldChar w:fldCharType="begin"/>
      </w:r>
      <w:r>
        <w:instrText xml:space="preserve"> PAGEREF _Toc5775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_Toc1381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投标人须知前附表</w:t>
      </w:r>
      <w:r>
        <w:tab/>
      </w:r>
      <w:r>
        <w:fldChar w:fldCharType="begin"/>
      </w:r>
      <w:r>
        <w:instrText xml:space="preserve"> PAGEREF _Toc1381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ind w:firstLine="420" w:firstLineChars="200"/>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_Toc30857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1采购说明</w:t>
      </w:r>
      <w:r>
        <w:tab/>
      </w:r>
      <w:r>
        <w:fldChar w:fldCharType="begin"/>
      </w:r>
      <w:r>
        <w:instrText xml:space="preserve"> PAGEREF _Toc30857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_Toc14043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2招标文件</w:t>
      </w:r>
      <w:r>
        <w:tab/>
      </w:r>
      <w:r>
        <w:fldChar w:fldCharType="begin"/>
      </w:r>
      <w:r>
        <w:instrText xml:space="preserve"> PAGEREF _Toc14043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_Toc28825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w:t>
      </w:r>
      <w:r>
        <w:tab/>
      </w:r>
      <w:r>
        <w:fldChar w:fldCharType="begin"/>
      </w:r>
      <w:r>
        <w:instrText xml:space="preserve"> PAGEREF _Toc28825 </w:instrText>
      </w:r>
      <w:r>
        <w:fldChar w:fldCharType="separate"/>
      </w:r>
      <w:r>
        <w:t>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_Toc29038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4投标文件的提交</w:t>
      </w:r>
      <w:r>
        <w:tab/>
      </w:r>
      <w:r>
        <w:fldChar w:fldCharType="begin"/>
      </w:r>
      <w:r>
        <w:instrText xml:space="preserve"> PAGEREF _Toc29038 </w:instrText>
      </w:r>
      <w:r>
        <w:fldChar w:fldCharType="separate"/>
      </w:r>
      <w:r>
        <w:t>10</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_Toc49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5开标、评标及定标</w:t>
      </w:r>
      <w:r>
        <w:tab/>
      </w:r>
      <w:r>
        <w:fldChar w:fldCharType="begin"/>
      </w:r>
      <w:r>
        <w:instrText xml:space="preserve"> PAGEREF _Toc49 </w:instrText>
      </w:r>
      <w:r>
        <w:fldChar w:fldCharType="separate"/>
      </w:r>
      <w:r>
        <w:t>11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_Toc3544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6其他</w:t>
      </w:r>
      <w:r>
        <w:tab/>
      </w:r>
      <w:r>
        <w:fldChar w:fldCharType="begin"/>
      </w:r>
      <w:r>
        <w:instrText xml:space="preserve"> PAGEREF _Toc3544 </w:instrText>
      </w:r>
      <w:r>
        <w:fldChar w:fldCharType="separate"/>
      </w:r>
      <w:r>
        <w:t>14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_Toc11777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第二章 采购项目技术规范和要求</w:t>
      </w:r>
      <w:r>
        <w:tab/>
      </w:r>
      <w:r>
        <w:fldChar w:fldCharType="begin"/>
      </w:r>
      <w:r>
        <w:instrText xml:space="preserve"> PAGEREF _Toc11777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_Toc19806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1相关法规、管理条例与技术标准、行业规范</w:t>
      </w:r>
      <w:r>
        <w:tab/>
      </w:r>
      <w:r>
        <w:fldChar w:fldCharType="begin"/>
      </w:r>
      <w:r>
        <w:instrText xml:space="preserve"> PAGEREF _Toc19806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_Toc7723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服务要求</w:t>
      </w:r>
      <w:r>
        <w:tab/>
      </w:r>
      <w:r>
        <w:fldChar w:fldCharType="begin"/>
      </w:r>
      <w:r>
        <w:instrText xml:space="preserve"> PAGEREF _Toc7723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_Toc21446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第三章 采购项目商务要求</w:t>
      </w:r>
      <w:r>
        <w:tab/>
      </w:r>
      <w:r>
        <w:fldChar w:fldCharType="begin"/>
      </w:r>
      <w:r>
        <w:instrText xml:space="preserve"> PAGEREF _Toc21446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_Toc23781 </w:instrText>
      </w:r>
      <w:r>
        <w:rPr>
          <w:rFonts w:hint="eastAsia" w:cs="宋体" w:asciiTheme="minorEastAsia" w:hAnsiTheme="minorEastAsia" w:eastAsiaTheme="minorEastAsia"/>
        </w:rPr>
        <w:fldChar w:fldCharType="separate"/>
      </w:r>
      <w:r>
        <w:rPr>
          <w:rFonts w:hint="eastAsia"/>
          <w:szCs w:val="21"/>
        </w:rPr>
        <w:t>1付款方式</w:t>
      </w:r>
      <w:r>
        <w:tab/>
      </w:r>
      <w:r>
        <w:fldChar w:fldCharType="begin"/>
      </w:r>
      <w:r>
        <w:instrText xml:space="preserve"> PAGEREF _Toc23781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_Toc7654 </w:instrText>
      </w:r>
      <w:r>
        <w:rPr>
          <w:rFonts w:hint="eastAsia" w:cs="宋体" w:asciiTheme="minorEastAsia" w:hAnsiTheme="minorEastAsia" w:eastAsiaTheme="minorEastAsia"/>
        </w:rPr>
        <w:fldChar w:fldCharType="separate"/>
      </w:r>
      <w:r>
        <w:rPr>
          <w:rFonts w:hint="eastAsia"/>
          <w:szCs w:val="21"/>
        </w:rPr>
        <w:t>2交货期</w:t>
      </w:r>
      <w:r>
        <w:tab/>
      </w:r>
      <w:r>
        <w:fldChar w:fldCharType="begin"/>
      </w:r>
      <w:r>
        <w:instrText xml:space="preserve"> PAGEREF _Toc7654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_Toc30522 </w:instrText>
      </w:r>
      <w:r>
        <w:rPr>
          <w:rFonts w:hint="eastAsia" w:cs="宋体" w:asciiTheme="minorEastAsia" w:hAnsiTheme="minorEastAsia" w:eastAsiaTheme="minorEastAsia"/>
        </w:rPr>
        <w:fldChar w:fldCharType="separate"/>
      </w:r>
      <w:r>
        <w:rPr>
          <w:rFonts w:hint="eastAsia"/>
          <w:szCs w:val="21"/>
        </w:rPr>
        <w:t>3交货地点</w:t>
      </w:r>
      <w:r>
        <w:tab/>
      </w:r>
      <w:r>
        <w:fldChar w:fldCharType="begin"/>
      </w:r>
      <w:r>
        <w:instrText xml:space="preserve"> PAGEREF _Toc30522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_Toc16872 </w:instrText>
      </w:r>
      <w:r>
        <w:rPr>
          <w:rFonts w:hint="eastAsia" w:cs="宋体" w:asciiTheme="minorEastAsia" w:hAnsiTheme="minorEastAsia" w:eastAsiaTheme="minorEastAsia"/>
        </w:rPr>
        <w:fldChar w:fldCharType="separate"/>
      </w:r>
      <w:r>
        <w:rPr>
          <w:rFonts w:hint="eastAsia"/>
          <w:szCs w:val="21"/>
        </w:rPr>
        <w:t>4报价方式</w:t>
      </w:r>
      <w:r>
        <w:tab/>
      </w:r>
      <w:r>
        <w:fldChar w:fldCharType="begin"/>
      </w:r>
      <w:r>
        <w:instrText xml:space="preserve"> PAGEREF _Toc16872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_Toc6863 </w:instrText>
      </w:r>
      <w:r>
        <w:rPr>
          <w:rFonts w:hint="eastAsia" w:cs="宋体" w:asciiTheme="minorEastAsia" w:hAnsiTheme="minorEastAsia" w:eastAsiaTheme="minorEastAsia"/>
        </w:rPr>
        <w:fldChar w:fldCharType="separate"/>
      </w:r>
      <w:r>
        <w:rPr>
          <w:rFonts w:hint="eastAsia"/>
          <w:szCs w:val="21"/>
        </w:rPr>
        <w:t>5签订合同</w:t>
      </w:r>
      <w:r>
        <w:tab/>
      </w:r>
      <w:r>
        <w:fldChar w:fldCharType="begin"/>
      </w:r>
      <w:r>
        <w:instrText xml:space="preserve"> PAGEREF _Toc6863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_Toc28278 </w:instrText>
      </w:r>
      <w:r>
        <w:rPr>
          <w:rFonts w:hint="eastAsia" w:cs="宋体" w:asciiTheme="minorEastAsia" w:hAnsiTheme="minorEastAsia" w:eastAsiaTheme="minorEastAsia"/>
        </w:rPr>
        <w:fldChar w:fldCharType="separate"/>
      </w:r>
      <w:r>
        <w:rPr>
          <w:rFonts w:hint="eastAsia" w:ascii="宋体" w:hAnsi="宋体" w:eastAsia="宋体" w:cs="宋体"/>
          <w:lang w:val="en-US" w:eastAsia="zh-CN"/>
        </w:rPr>
        <w:t>6</w:t>
      </w:r>
      <w:r>
        <w:rPr>
          <w:rFonts w:hint="eastAsia" w:ascii="宋体" w:hAnsi="宋体" w:eastAsia="宋体" w:cs="宋体"/>
        </w:rPr>
        <w:t>履约保证金</w:t>
      </w:r>
      <w:r>
        <w:tab/>
      </w:r>
      <w:r>
        <w:fldChar w:fldCharType="begin"/>
      </w:r>
      <w:r>
        <w:instrText xml:space="preserve"> PAGEREF _Toc28278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_Toc31959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第四章 合同格式</w:t>
      </w:r>
      <w:r>
        <w:tab/>
      </w:r>
      <w:r>
        <w:fldChar w:fldCharType="begin"/>
      </w:r>
      <w:r>
        <w:instrText xml:space="preserve"> PAGEREF _Toc31959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_Toc2149 </w:instrText>
      </w:r>
      <w:r>
        <w:rPr>
          <w:rFonts w:hint="eastAsia" w:cs="宋体" w:asciiTheme="minorEastAsia" w:hAnsiTheme="minorEastAsia" w:eastAsiaTheme="minorEastAsia"/>
        </w:rPr>
        <w:fldChar w:fldCharType="separate"/>
      </w:r>
      <w:r>
        <w:rPr>
          <w:rFonts w:hint="eastAsia"/>
        </w:rPr>
        <w:t>浙江省政府采购合同指引</w:t>
      </w:r>
      <w:r>
        <w:tab/>
      </w:r>
      <w:r>
        <w:fldChar w:fldCharType="begin"/>
      </w:r>
      <w:r>
        <w:instrText xml:space="preserve"> PAGEREF _Toc2149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_Toc2456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第五章 投标文件内容及格式</w:t>
      </w:r>
      <w:r>
        <w:tab/>
      </w:r>
      <w:r>
        <w:fldChar w:fldCharType="begin"/>
      </w:r>
      <w:r>
        <w:instrText xml:space="preserve"> PAGEREF _Toc2456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_Toc667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1投标人提交投标文件须知</w:t>
      </w:r>
      <w:r>
        <w:tab/>
      </w:r>
      <w:r>
        <w:fldChar w:fldCharType="begin"/>
      </w:r>
      <w:r>
        <w:instrText xml:space="preserve"> PAGEREF _Toc667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_Toc10545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2投标文件组成</w:t>
      </w:r>
      <w:r>
        <w:tab/>
      </w:r>
      <w:r>
        <w:fldChar w:fldCharType="begin"/>
      </w:r>
      <w:r>
        <w:instrText xml:space="preserve"> PAGEREF _Toc10545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_Toc10817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3投标文件编制格式及规范要求</w:t>
      </w:r>
      <w:r>
        <w:tab/>
      </w:r>
      <w:r>
        <w:fldChar w:fldCharType="begin"/>
      </w:r>
      <w:r>
        <w:instrText xml:space="preserve"> PAGEREF _Toc10817 </w:instrText>
      </w:r>
      <w:r>
        <w:fldChar w:fldCharType="separate"/>
      </w:r>
      <w:r>
        <w:t>24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_Toc2950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32"/>
        </w:rPr>
        <w:t>第六章 评标办法</w:t>
      </w:r>
      <w:r>
        <w:tab/>
      </w:r>
      <w:r>
        <w:fldChar w:fldCharType="begin"/>
      </w:r>
      <w:r>
        <w:instrText xml:space="preserve"> PAGEREF _Toc2950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_Toc12682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1总则</w:t>
      </w:r>
      <w:r>
        <w:tab/>
      </w:r>
      <w:r>
        <w:fldChar w:fldCharType="begin"/>
      </w:r>
      <w:r>
        <w:instrText xml:space="preserve"> PAGEREF _Toc12682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_Toc15475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2评标组织</w:t>
      </w:r>
      <w:r>
        <w:tab/>
      </w:r>
      <w:r>
        <w:fldChar w:fldCharType="begin"/>
      </w:r>
      <w:r>
        <w:instrText xml:space="preserve"> PAGEREF _Toc15475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_Toc21900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3评标程序和内容</w:t>
      </w:r>
      <w:r>
        <w:tab/>
      </w:r>
      <w:r>
        <w:fldChar w:fldCharType="begin"/>
      </w:r>
      <w:r>
        <w:instrText xml:space="preserve"> PAGEREF _Toc21900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_Toc2744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4投标文件的审查</w:t>
      </w:r>
      <w:r>
        <w:tab/>
      </w:r>
      <w:r>
        <w:fldChar w:fldCharType="begin"/>
      </w:r>
      <w:r>
        <w:instrText xml:space="preserve"> PAGEREF _Toc2744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_Toc8189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5评分细则</w:t>
      </w:r>
      <w:r>
        <w:tab/>
      </w:r>
      <w:r>
        <w:fldChar w:fldCharType="begin"/>
      </w:r>
      <w:r>
        <w:instrText xml:space="preserve"> PAGEREF _Toc8189 </w:instrText>
      </w:r>
      <w:r>
        <w:fldChar w:fldCharType="separate"/>
      </w:r>
      <w:r>
        <w:t>43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_Toc24389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6.评标报告</w:t>
      </w:r>
      <w:r>
        <w:tab/>
      </w:r>
      <w:r>
        <w:fldChar w:fldCharType="begin"/>
      </w:r>
      <w:r>
        <w:instrText xml:space="preserve"> PAGEREF _Toc24389 </w:instrText>
      </w:r>
      <w:r>
        <w:fldChar w:fldCharType="separate"/>
      </w:r>
      <w:r>
        <w:t>45</w:t>
      </w:r>
      <w:r>
        <w:fldChar w:fldCharType="end"/>
      </w:r>
      <w:r>
        <w:rPr>
          <w:rFonts w:hint="eastAsia" w:cs="宋体" w:asciiTheme="minorEastAsia" w:hAnsiTheme="minorEastAsia" w:eastAsiaTheme="minorEastAsia"/>
          <w:color w:val="auto"/>
        </w:rPr>
        <w:fldChar w:fldCharType="end"/>
      </w:r>
    </w:p>
    <w:p>
      <w:pPr>
        <w:ind w:firstLine="420"/>
        <w:rPr>
          <w:rFonts w:cs="宋体" w:asciiTheme="minorEastAsia" w:hAnsiTheme="minorEastAsia" w:eastAsiaTheme="minorEastAsia"/>
          <w:b/>
          <w:bCs/>
          <w:color w:val="auto"/>
        </w:rPr>
      </w:pPr>
      <w:r>
        <w:rPr>
          <w:rFonts w:hint="eastAsia" w:cs="宋体" w:asciiTheme="minorEastAsia" w:hAnsiTheme="minorEastAsia" w:eastAsiaTheme="minorEastAsia"/>
          <w:color w:val="auto"/>
        </w:rPr>
        <w:fldChar w:fldCharType="end"/>
      </w:r>
    </w:p>
    <w:p>
      <w:pPr>
        <w:widowControl/>
        <w:shd w:val="clear" w:color="auto" w:fill="FDFAF5"/>
        <w:ind w:firstLine="0" w:firstLineChars="0"/>
        <w:jc w:val="center"/>
        <w:rPr>
          <w:rFonts w:cs="宋体" w:asciiTheme="minorEastAsia" w:hAnsiTheme="minorEastAsia" w:eastAsiaTheme="minorEastAsia"/>
          <w:b/>
          <w:bCs/>
          <w:color w:val="auto"/>
          <w:kern w:val="0"/>
          <w:sz w:val="24"/>
        </w:rPr>
        <w:sectPr>
          <w:headerReference r:id="rId10" w:type="first"/>
          <w:footerReference r:id="rId13" w:type="first"/>
          <w:headerReference r:id="rId9" w:type="default"/>
          <w:footerReference r:id="rId11" w:type="default"/>
          <w:footerReference r:id="rId12" w:type="even"/>
          <w:pgSz w:w="11907" w:h="16840"/>
          <w:pgMar w:top="1247" w:right="1304" w:bottom="1020" w:left="1304" w:header="720" w:footer="720" w:gutter="0"/>
          <w:pgNumType w:start="1"/>
          <w:cols w:space="0" w:num="1"/>
          <w:docGrid w:linePitch="286" w:charSpace="0"/>
        </w:sectPr>
      </w:pPr>
      <w:bookmarkStart w:id="0" w:name="_Toc452457411"/>
    </w:p>
    <w:p>
      <w:pPr>
        <w:widowControl/>
        <w:shd w:val="clear" w:color="auto" w:fill="FDFAF5"/>
        <w:ind w:firstLine="0" w:firstLineChars="0"/>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浙江信镧建设工程咨询有限公司关于</w:t>
      </w:r>
      <w:r>
        <w:rPr>
          <w:rFonts w:hint="eastAsia" w:cs="宋体" w:asciiTheme="minorEastAsia" w:hAnsiTheme="minorEastAsia" w:eastAsiaTheme="minorEastAsia"/>
          <w:b/>
          <w:bCs/>
          <w:color w:val="auto"/>
          <w:kern w:val="0"/>
          <w:sz w:val="24"/>
          <w:lang w:eastAsia="zh-CN"/>
        </w:rPr>
        <w:t>中国美术学院设计艺术学院《研究生教学体系及金课建设》之《东方图案研究》出版</w:t>
      </w:r>
      <w:r>
        <w:rPr>
          <w:rFonts w:hint="eastAsia" w:cs="宋体" w:asciiTheme="minorEastAsia" w:hAnsiTheme="minorEastAsia" w:eastAsiaTheme="minorEastAsia"/>
          <w:b/>
          <w:bCs/>
          <w:color w:val="auto"/>
          <w:kern w:val="0"/>
          <w:sz w:val="24"/>
        </w:rPr>
        <w:t>采购的</w:t>
      </w:r>
    </w:p>
    <w:p>
      <w:pPr>
        <w:pStyle w:val="4"/>
        <w:ind w:firstLine="0" w:firstLineChars="0"/>
        <w:rPr>
          <w:rFonts w:asciiTheme="minorEastAsia" w:hAnsiTheme="minorEastAsia" w:eastAsiaTheme="minorEastAsia"/>
          <w:color w:val="auto"/>
          <w:sz w:val="28"/>
          <w:szCs w:val="28"/>
        </w:rPr>
      </w:pPr>
      <w:bookmarkStart w:id="1" w:name="_Toc20572"/>
      <w:r>
        <w:rPr>
          <w:rFonts w:hint="eastAsia" w:asciiTheme="minorEastAsia" w:hAnsiTheme="minorEastAsia" w:eastAsiaTheme="minorEastAsia"/>
          <w:color w:val="auto"/>
          <w:sz w:val="28"/>
          <w:szCs w:val="28"/>
        </w:rPr>
        <w:t>招标公告</w:t>
      </w:r>
      <w:bookmarkEnd w:id="1"/>
    </w:p>
    <w:p>
      <w:pPr>
        <w:ind w:firstLine="420"/>
        <w:rPr>
          <w:rFonts w:cs="宋体" w:asciiTheme="minorEastAsia" w:hAnsiTheme="minorEastAsia" w:eastAsiaTheme="minorEastAsia"/>
          <w:b/>
          <w:color w:val="auto"/>
          <w:szCs w:val="21"/>
        </w:rPr>
      </w:pPr>
      <w:bookmarkStart w:id="2" w:name="B10_招标内容"/>
      <w:bookmarkEnd w:id="2"/>
      <w:r>
        <w:rPr>
          <w:rFonts w:hint="eastAsia" w:cs="宋体" w:asciiTheme="minorEastAsia" w:hAnsiTheme="minorEastAsia" w:eastAsiaTheme="minorEastAsia"/>
          <w:color w:val="auto"/>
          <w:szCs w:val="21"/>
        </w:rPr>
        <w:t>根据《中华人民共和国政府采购法》等有关法律法规的规定，经政府采购管理部门批准，浙江信镧建设工程咨询有限公司受</w:t>
      </w: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委托，就</w:t>
      </w:r>
      <w:r>
        <w:rPr>
          <w:rFonts w:hint="eastAsia" w:cs="宋体" w:asciiTheme="minorEastAsia" w:hAnsiTheme="minorEastAsia" w:eastAsiaTheme="minorEastAsia"/>
          <w:color w:val="auto"/>
          <w:szCs w:val="21"/>
          <w:lang w:eastAsia="zh-CN"/>
        </w:rPr>
        <w:t>设计艺术学院《研究生教学体系及金课建设》之《东方图案研究》出版</w:t>
      </w:r>
      <w:r>
        <w:rPr>
          <w:rFonts w:hint="eastAsia" w:cs="宋体" w:asciiTheme="minorEastAsia" w:hAnsiTheme="minorEastAsia" w:eastAsiaTheme="minorEastAsia"/>
          <w:color w:val="auto"/>
          <w:szCs w:val="21"/>
        </w:rPr>
        <w:t>进行公开招标，欢迎国内合格的投标人前来投标。</w:t>
      </w:r>
    </w:p>
    <w:p>
      <w:pPr>
        <w:ind w:firstLine="422"/>
        <w:rPr>
          <w:rFonts w:hint="eastAsia" w:asciiTheme="minorEastAsia" w:hAnsiTheme="minorEastAsia" w:eastAsiaTheme="minorEastAsia"/>
          <w:color w:val="auto"/>
          <w:lang w:eastAsia="zh-CN"/>
        </w:rPr>
      </w:pPr>
      <w:r>
        <w:rPr>
          <w:rFonts w:hint="eastAsia" w:asciiTheme="minorEastAsia" w:hAnsiTheme="minorEastAsia" w:eastAsiaTheme="minorEastAsia"/>
          <w:b/>
          <w:bCs/>
          <w:color w:val="auto"/>
        </w:rPr>
        <w:t>一.采购项目编号</w:t>
      </w:r>
      <w:bookmarkStart w:id="3" w:name="B08_项目编号"/>
      <w:r>
        <w:rPr>
          <w:rFonts w:hint="eastAsia" w:asciiTheme="minorEastAsia" w:hAnsiTheme="minorEastAsia" w:eastAsiaTheme="minorEastAsia"/>
          <w:b/>
          <w:bCs/>
          <w:color w:val="auto"/>
        </w:rPr>
        <w:t>：</w:t>
      </w:r>
      <w:bookmarkEnd w:id="3"/>
      <w:r>
        <w:rPr>
          <w:rFonts w:hint="eastAsia" w:asciiTheme="minorEastAsia" w:hAnsiTheme="minorEastAsia" w:eastAsiaTheme="minorEastAsia"/>
          <w:color w:val="auto"/>
          <w:lang w:eastAsia="zh-CN"/>
        </w:rPr>
        <w:t>ZJXL-MY-201959</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二.采购组织类型：</w:t>
      </w:r>
      <w:bookmarkStart w:id="4" w:name="B09_采购组织类型"/>
      <w:r>
        <w:rPr>
          <w:rFonts w:hint="eastAsia" w:asciiTheme="minorEastAsia" w:hAnsiTheme="minorEastAsia" w:eastAsiaTheme="minorEastAsia"/>
          <w:color w:val="auto"/>
        </w:rPr>
        <w:t>分散采购委托代理</w:t>
      </w:r>
      <w:bookmarkEnd w:id="4"/>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三.采购项目概况：</w:t>
      </w:r>
    </w:p>
    <w:tbl>
      <w:tblPr>
        <w:tblStyle w:val="26"/>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1276"/>
        <w:gridCol w:w="24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3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项目名称</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预算金额</w:t>
            </w:r>
          </w:p>
        </w:tc>
        <w:tc>
          <w:tcPr>
            <w:tcW w:w="1276" w:type="dxa"/>
            <w:vAlign w:val="center"/>
          </w:tcPr>
          <w:p>
            <w:pPr>
              <w:ind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最高限价</w:t>
            </w:r>
          </w:p>
        </w:tc>
        <w:tc>
          <w:tcPr>
            <w:tcW w:w="2445" w:type="dxa"/>
            <w:vAlign w:val="center"/>
          </w:tcPr>
          <w:p>
            <w:pPr>
              <w:ind w:firstLine="420"/>
              <w:jc w:val="center"/>
              <w:rPr>
                <w:rFonts w:asciiTheme="minorEastAsia" w:hAnsiTheme="minorEastAsia" w:eastAsiaTheme="minorEastAsia"/>
                <w:color w:val="auto"/>
              </w:rPr>
            </w:pPr>
            <w:r>
              <w:rPr>
                <w:rFonts w:hint="eastAsia" w:asciiTheme="minorEastAsia" w:hAnsiTheme="minorEastAsia" w:eastAsiaTheme="minorEastAsia"/>
                <w:color w:val="auto"/>
              </w:rPr>
              <w:t>简要技术要求描述</w:t>
            </w:r>
          </w:p>
        </w:tc>
        <w:tc>
          <w:tcPr>
            <w:tcW w:w="992"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36" w:type="dxa"/>
            <w:vAlign w:val="center"/>
          </w:tcPr>
          <w:p>
            <w:pPr>
              <w:ind w:firstLine="0" w:firstLineChars="0"/>
              <w:jc w:val="center"/>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设计艺术学院《研究生教学体系及金课建设》之《东方图案研究》出版</w:t>
            </w:r>
          </w:p>
        </w:tc>
        <w:tc>
          <w:tcPr>
            <w:tcW w:w="851"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850"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1276" w:type="dxa"/>
            <w:vAlign w:val="center"/>
          </w:tcPr>
          <w:p>
            <w:pPr>
              <w:ind w:left="0" w:leftChars="0" w:firstLine="0" w:firstLineChars="0"/>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(万元)</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(万元)</w:t>
            </w:r>
          </w:p>
        </w:tc>
        <w:tc>
          <w:tcPr>
            <w:tcW w:w="2445" w:type="dxa"/>
            <w:vAlign w:val="center"/>
          </w:tcPr>
          <w:p>
            <w:pPr>
              <w:ind w:firstLine="0" w:firstLineChars="0"/>
              <w:jc w:val="center"/>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《东方图案研究》出版</w:t>
            </w:r>
          </w:p>
        </w:tc>
        <w:tc>
          <w:tcPr>
            <w:tcW w:w="992" w:type="dxa"/>
            <w:vAlign w:val="center"/>
          </w:tcPr>
          <w:p>
            <w:pPr>
              <w:ind w:firstLine="420"/>
              <w:jc w:val="center"/>
              <w:rPr>
                <w:rFonts w:asciiTheme="minorEastAsia" w:hAnsiTheme="minorEastAsia" w:eastAsiaTheme="minorEastAsia"/>
                <w:color w:val="auto"/>
              </w:rPr>
            </w:pPr>
          </w:p>
        </w:tc>
      </w:tr>
    </w:tbl>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四.投标人资格要求：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1基本资格要求：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1.1符合《中华人民共和国政府采购法》第二十二条的规定；</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1.2未被“信用中国”（www.creditchina.gov.cn）、中国政府采购网（www.ccgp.gov.cn）列入失信被执行人、重大税收违法案件当事人名单、政府采购严重违法失信行为记录名单。</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1.3单位负责人为同一人或者存在直接控股、管理关系的不同投标人，不得参加同一合同项下的政府采购活动。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2特定资格要求：</w:t>
      </w:r>
    </w:p>
    <w:p>
      <w:pPr>
        <w:ind w:firstLine="420"/>
        <w:rPr>
          <w:rFonts w:asciiTheme="minorEastAsia" w:hAnsiTheme="minorEastAsia" w:eastAsiaTheme="minorEastAsia"/>
          <w:color w:val="auto"/>
        </w:rPr>
      </w:pPr>
      <w:r>
        <w:rPr>
          <w:rFonts w:hint="eastAsia" w:ascii="宋体" w:hAnsi="宋体" w:eastAsia="宋体" w:cs="宋体"/>
          <w:color w:val="auto"/>
        </w:rPr>
        <w:t>2.1</w:t>
      </w:r>
      <w:r>
        <w:rPr>
          <w:rFonts w:hint="eastAsia"/>
          <w:color w:val="auto"/>
        </w:rPr>
        <w:t>具有新闻出版行政主管部门颁发的出版资质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3联合体投标：不接受联合体投标</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五.报名、招标文件的发售时间、地址、方式、售价：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1.报名/发售时间：2019年</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月</w:t>
      </w:r>
      <w:r>
        <w:rPr>
          <w:rFonts w:hint="eastAsia" w:asciiTheme="minorEastAsia" w:hAnsiTheme="minorEastAsia" w:eastAsiaTheme="minorEastAsia"/>
          <w:color w:val="auto"/>
          <w:lang w:val="en-US" w:eastAsia="zh-CN"/>
        </w:rPr>
        <w:t>29</w:t>
      </w:r>
      <w:r>
        <w:rPr>
          <w:rFonts w:hint="eastAsia" w:asciiTheme="minorEastAsia" w:hAnsiTheme="minorEastAsia" w:eastAsiaTheme="minorEastAsia"/>
          <w:color w:val="auto"/>
        </w:rPr>
        <w:t>日至2019年</w:t>
      </w:r>
      <w:r>
        <w:rPr>
          <w:rFonts w:hint="eastAsia" w:asciiTheme="minorEastAsia" w:hAnsiTheme="minorEastAsia" w:eastAsiaTheme="minorEastAsia"/>
          <w:color w:val="auto"/>
          <w:lang w:val="en-US" w:eastAsia="zh-CN"/>
        </w:rPr>
        <w:t>11</w:t>
      </w:r>
      <w:r>
        <w:rPr>
          <w:rFonts w:hint="eastAsia" w:asciiTheme="minorEastAsia" w:hAnsiTheme="minorEastAsia" w:eastAsiaTheme="minorEastAsia"/>
          <w:color w:val="auto"/>
        </w:rPr>
        <w:t>月</w:t>
      </w:r>
      <w:r>
        <w:rPr>
          <w:rFonts w:hint="eastAsia" w:asciiTheme="minorEastAsia" w:hAnsiTheme="minorEastAsia" w:eastAsiaTheme="minorEastAsia"/>
          <w:color w:val="auto"/>
          <w:lang w:val="en-US" w:eastAsia="zh-CN"/>
        </w:rPr>
        <w:t>5</w:t>
      </w:r>
      <w:r>
        <w:rPr>
          <w:rFonts w:hint="eastAsia" w:asciiTheme="minorEastAsia" w:hAnsiTheme="minorEastAsia" w:eastAsiaTheme="minorEastAsia"/>
          <w:color w:val="auto"/>
        </w:rPr>
        <w:t>日（双休日及法定节假日除外）。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上午：</w:t>
      </w:r>
      <w:bookmarkStart w:id="5" w:name="B21_招标文件的发布上午时间"/>
      <w:r>
        <w:rPr>
          <w:rFonts w:hint="eastAsia" w:asciiTheme="minorEastAsia" w:hAnsiTheme="minorEastAsia" w:eastAsiaTheme="minorEastAsia"/>
          <w:color w:val="auto"/>
        </w:rPr>
        <w:t>9:00-11:30</w:t>
      </w:r>
      <w:bookmarkEnd w:id="5"/>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下午：</w:t>
      </w:r>
      <w:bookmarkStart w:id="6" w:name="B22_招标文件的发布下午时间"/>
      <w:r>
        <w:rPr>
          <w:rFonts w:hint="eastAsia" w:asciiTheme="minorEastAsia" w:hAnsiTheme="minorEastAsia" w:eastAsiaTheme="minorEastAsia"/>
          <w:color w:val="auto"/>
        </w:rPr>
        <w:t>14:00-17:00</w:t>
      </w:r>
      <w:bookmarkEnd w:id="6"/>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2.报名/发售地址：</w:t>
      </w:r>
      <w:bookmarkStart w:id="7" w:name="B23_招标文件的发布地点"/>
      <w:r>
        <w:rPr>
          <w:rFonts w:hint="eastAsia" w:asciiTheme="minorEastAsia" w:hAnsiTheme="minorEastAsia" w:eastAsiaTheme="minorEastAsia"/>
          <w:color w:val="auto"/>
        </w:rPr>
        <w:t>杭州市西湖区</w:t>
      </w:r>
      <w:bookmarkEnd w:id="7"/>
      <w:r>
        <w:rPr>
          <w:rFonts w:hint="eastAsia" w:asciiTheme="minorEastAsia" w:hAnsiTheme="minorEastAsia" w:eastAsiaTheme="minorEastAsia"/>
          <w:color w:val="auto"/>
        </w:rPr>
        <w:t>万塘路28号院内浙江信镧建设工程咨询有限公司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3.标书售价(元)：每本500（售后不退）</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4.投标人购买标书时应提交的资料：供应商报名登记表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5.获取方式：</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（1）现场报名：现场报名时携带供应商报名表，并现场交纳标书费（可现金支付）。</w:t>
      </w:r>
    </w:p>
    <w:p>
      <w:pPr>
        <w:ind w:left="420" w:leftChars="20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（2）网上报名：将供应商报名表扫描件和标书费缴费凭证发送至浙江信镧建设工程咨询有限公司邮箱（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24"/>
          <w:rFonts w:hint="eastAsia" w:cs="宋体" w:asciiTheme="minorEastAsia" w:hAnsiTheme="minorEastAsia" w:eastAsiaTheme="minorEastAsia"/>
          <w:color w:val="auto"/>
          <w:szCs w:val="21"/>
        </w:rPr>
        <w:t>ZJXL</w:t>
      </w:r>
      <w:r>
        <w:rPr>
          <w:rStyle w:val="24"/>
          <w:rFonts w:cs="宋体" w:asciiTheme="minorEastAsia" w:hAnsiTheme="minorEastAsia" w:eastAsiaTheme="minorEastAsia"/>
          <w:color w:val="auto"/>
          <w:szCs w:val="21"/>
        </w:rPr>
        <w:t>85024997</w:t>
      </w:r>
      <w:r>
        <w:rPr>
          <w:rStyle w:val="24"/>
          <w:rFonts w:hint="eastAsia" w:cs="宋体" w:asciiTheme="minorEastAsia" w:hAnsiTheme="minorEastAsia" w:eastAsiaTheme="minorEastAsia"/>
          <w:color w:val="auto"/>
          <w:szCs w:val="21"/>
        </w:rPr>
        <w:t>@1</w:t>
      </w:r>
      <w:r>
        <w:rPr>
          <w:rStyle w:val="24"/>
          <w:rFonts w:cs="宋体" w:asciiTheme="minorEastAsia" w:hAnsiTheme="minorEastAsia" w:eastAsiaTheme="minorEastAsia"/>
          <w:color w:val="auto"/>
          <w:szCs w:val="21"/>
        </w:rPr>
        <w:t>63</w:t>
      </w:r>
      <w:r>
        <w:rPr>
          <w:rStyle w:val="24"/>
          <w:rFonts w:hint="eastAsia" w:cs="宋体" w:asciiTheme="minorEastAsia" w:hAnsiTheme="minorEastAsia" w:eastAsiaTheme="minorEastAsia"/>
          <w:color w:val="auto"/>
          <w:szCs w:val="21"/>
        </w:rPr>
        <w:t>.com</w:t>
      </w:r>
      <w:r>
        <w:rPr>
          <w:rStyle w:val="24"/>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color w:val="auto"/>
        </w:rPr>
        <w:t>）。</w:t>
      </w:r>
    </w:p>
    <w:p>
      <w:pPr>
        <w:pStyle w:val="2"/>
        <w:ind w:firstLine="420" w:firstLineChars="200"/>
        <w:rPr>
          <w:rFonts w:hint="eastAsia" w:eastAsiaTheme="minorEastAsia"/>
          <w:color w:val="auto"/>
          <w:lang w:eastAsia="zh-CN"/>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lang w:eastAsia="zh-CN"/>
        </w:rPr>
        <w:t>）报名为依法获取招标文件的唯一途径，未报名的潜在供应商，对招标文件提起质疑的，不</w:t>
      </w:r>
      <w:r>
        <w:rPr>
          <w:rFonts w:hint="eastAsia" w:asciiTheme="minorEastAsia" w:hAnsiTheme="minorEastAsia" w:eastAsiaTheme="minorEastAsia"/>
          <w:color w:val="auto"/>
          <w:lang w:val="en-US" w:eastAsia="zh-CN"/>
        </w:rPr>
        <w:t xml:space="preserve">                  予</w:t>
      </w:r>
      <w:r>
        <w:rPr>
          <w:rFonts w:hint="eastAsia" w:asciiTheme="minorEastAsia" w:hAnsiTheme="minorEastAsia" w:eastAsiaTheme="minorEastAsia"/>
          <w:color w:val="auto"/>
          <w:lang w:eastAsia="zh-CN"/>
        </w:rPr>
        <w:t>受理。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6.标书费收款账号：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收款单位（户名）：浙江信镧建设工程咨询有限公司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开户银行：交通银行华浙广场支行</w:t>
      </w:r>
    </w:p>
    <w:p>
      <w:pPr>
        <w:tabs>
          <w:tab w:val="center" w:pos="4859"/>
        </w:tabs>
        <w:ind w:firstLine="420"/>
        <w:rPr>
          <w:rFonts w:asciiTheme="minorEastAsia" w:hAnsiTheme="minorEastAsia" w:eastAsiaTheme="minorEastAsia"/>
          <w:color w:val="auto"/>
        </w:rPr>
      </w:pPr>
      <w:r>
        <w:rPr>
          <w:rFonts w:hint="eastAsia" w:asciiTheme="minorEastAsia" w:hAnsiTheme="minorEastAsia" w:eastAsiaTheme="minorEastAsia"/>
          <w:color w:val="auto"/>
        </w:rPr>
        <w:t>银行账号：331066090018170036304</w:t>
      </w:r>
      <w:r>
        <w:rPr>
          <w:rFonts w:asciiTheme="minorEastAsia" w:hAnsiTheme="minorEastAsia" w:eastAsiaTheme="minorEastAsia"/>
          <w:color w:val="auto"/>
        </w:rPr>
        <w:tab/>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六.投标截止时间</w:t>
      </w:r>
      <w:bookmarkStart w:id="8" w:name="B25_投标截止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11</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19</w:t>
      </w:r>
      <w:r>
        <w:rPr>
          <w:rFonts w:hint="eastAsia" w:asciiTheme="minorEastAsia" w:hAnsiTheme="minorEastAsia" w:eastAsiaTheme="minorEastAsia"/>
          <w:color w:val="auto"/>
        </w:rPr>
        <w:t>日</w:t>
      </w:r>
      <w:bookmarkEnd w:id="8"/>
      <w:bookmarkStart w:id="9" w:name="B26_投标截止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9"/>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七.投标</w:t>
      </w:r>
      <w:bookmarkStart w:id="10" w:name="B27_投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0"/>
      <w:r>
        <w:rPr>
          <w:rFonts w:hint="eastAsia" w:asciiTheme="minorEastAsia" w:hAnsiTheme="minorEastAsia" w:eastAsiaTheme="minorEastAsia"/>
          <w:color w:val="auto"/>
        </w:rPr>
        <w:t>万塘路28号院内浙江信镧建设工程咨询有限公司</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八.开标时间</w:t>
      </w:r>
      <w:bookmarkStart w:id="11" w:name="B28_开标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11</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 xml:space="preserve">19 </w:t>
      </w:r>
      <w:r>
        <w:rPr>
          <w:rFonts w:hint="eastAsia" w:asciiTheme="minorEastAsia" w:hAnsiTheme="minorEastAsia" w:eastAsiaTheme="minorEastAsia"/>
          <w:color w:val="auto"/>
        </w:rPr>
        <w:t>日</w:t>
      </w:r>
      <w:bookmarkEnd w:id="11"/>
      <w:bookmarkStart w:id="12" w:name="B29_开标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12"/>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九.开标</w:t>
      </w:r>
      <w:bookmarkStart w:id="13" w:name="B30_开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3"/>
      <w:r>
        <w:rPr>
          <w:rFonts w:hint="eastAsia" w:asciiTheme="minorEastAsia" w:hAnsiTheme="minorEastAsia" w:eastAsiaTheme="minorEastAsia"/>
          <w:color w:val="auto"/>
        </w:rPr>
        <w:t>万塘路28号院内浙江信镧建设工程咨询有限公司开标室</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十.其他事项：</w:t>
      </w:r>
    </w:p>
    <w:p>
      <w:pPr>
        <w:ind w:firstLine="42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color w:val="auto"/>
        </w:rPr>
        <w:t>5</w:t>
      </w:r>
      <w:r>
        <w:rPr>
          <w:rFonts w:hint="eastAsia" w:asciiTheme="minorEastAsia" w:hAnsiTheme="minorEastAsia" w:eastAsiaTheme="minorEastAsia"/>
          <w:color w:val="auto"/>
        </w:rPr>
        <w:t>个工作日内向同级政府采购监督管理部门投诉。质疑函范本、投诉书范本请到浙江政府采购网下载专区下载。</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2.采购公告期限：5个工作日。</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3.采购项目需要落实的政府采购政策：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（1）对符合政府采购扶持政策的小型、微型企业（监狱企业、残疾人福利性单位视同小微企业）给予价格优惠扶持；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 招标文件发售截止时间之后，潜在投标人仍可继续报名（开标前1个工作日不再受理报名）。</w:t>
      </w:r>
    </w:p>
    <w:bookmarkEnd w:id="0"/>
    <w:p>
      <w:pPr>
        <w:pStyle w:val="5"/>
        <w:ind w:firstLine="422" w:firstLineChars="200"/>
        <w:rPr>
          <w:color w:val="auto"/>
          <w:highlight w:val="none"/>
        </w:rPr>
      </w:pPr>
      <w:bookmarkStart w:id="14" w:name="_Toc504485732"/>
      <w:bookmarkStart w:id="15" w:name="_Toc10659"/>
      <w:bookmarkStart w:id="16" w:name="_Toc6335"/>
      <w:r>
        <w:rPr>
          <w:rFonts w:hint="eastAsia"/>
          <w:color w:val="auto"/>
          <w:highlight w:val="none"/>
        </w:rPr>
        <w:t>十</w:t>
      </w:r>
      <w:r>
        <w:rPr>
          <w:rFonts w:hint="eastAsia"/>
          <w:color w:val="auto"/>
          <w:highlight w:val="none"/>
          <w:lang w:eastAsia="zh-CN"/>
        </w:rPr>
        <w:t>一</w:t>
      </w:r>
      <w:r>
        <w:rPr>
          <w:color w:val="auto"/>
          <w:highlight w:val="none"/>
        </w:rPr>
        <w:t>.</w:t>
      </w:r>
      <w:r>
        <w:rPr>
          <w:rFonts w:hint="eastAsia"/>
          <w:color w:val="auto"/>
          <w:highlight w:val="none"/>
        </w:rPr>
        <w:t>联系方式：</w:t>
      </w:r>
      <w:bookmarkEnd w:id="14"/>
      <w:bookmarkEnd w:id="15"/>
      <w:bookmarkEnd w:id="16"/>
    </w:p>
    <w:p>
      <w:pPr>
        <w:ind w:firstLine="31680"/>
        <w:rPr>
          <w:rFonts w:hint="eastAsia" w:ascii="宋体" w:hAnsi="宋体" w:eastAsia="宋体" w:cs="宋体"/>
          <w:color w:val="auto"/>
          <w:highlight w:val="none"/>
        </w:rPr>
      </w:pPr>
      <w:r>
        <w:rPr>
          <w:color w:val="auto"/>
          <w:highlight w:val="none"/>
        </w:rPr>
        <w:t>1</w:t>
      </w:r>
      <w:r>
        <w:rPr>
          <w:rFonts w:hint="eastAsia"/>
          <w:color w:val="auto"/>
          <w:highlight w:val="none"/>
        </w:rPr>
        <w:t>、</w:t>
      </w:r>
      <w:r>
        <w:rPr>
          <w:rFonts w:hint="eastAsia"/>
          <w:color w:val="auto"/>
          <w:highlight w:val="none"/>
          <w:lang w:eastAsia="zh-CN"/>
        </w:rPr>
        <w:t>招标</w:t>
      </w:r>
      <w:r>
        <w:rPr>
          <w:rFonts w:hint="eastAsia" w:ascii="宋体" w:hAnsi="宋体" w:eastAsia="宋体" w:cs="宋体"/>
          <w:color w:val="auto"/>
          <w:highlight w:val="none"/>
        </w:rPr>
        <w:t>代理机构名称：浙江信镧建设工程咨询有限公司</w:t>
      </w:r>
    </w:p>
    <w:p>
      <w:pPr>
        <w:ind w:firstLine="738" w:firstLineChars="35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eastAsia="zh-CN"/>
        </w:rPr>
        <w:t>报名、</w:t>
      </w:r>
      <w:r>
        <w:rPr>
          <w:rFonts w:hint="eastAsia" w:ascii="宋体" w:hAnsi="宋体" w:cs="宋体"/>
          <w:b/>
          <w:bCs/>
          <w:color w:val="auto"/>
          <w:highlight w:val="none"/>
          <w:lang w:eastAsia="zh-CN"/>
        </w:rPr>
        <w:t>招标</w:t>
      </w:r>
      <w:r>
        <w:rPr>
          <w:rFonts w:hint="eastAsia" w:ascii="宋体" w:hAnsi="宋体" w:eastAsia="宋体" w:cs="宋体"/>
          <w:b/>
          <w:bCs/>
          <w:color w:val="auto"/>
          <w:highlight w:val="none"/>
          <w:lang w:eastAsia="zh-CN"/>
        </w:rPr>
        <w:t>文件</w:t>
      </w:r>
      <w:r>
        <w:rPr>
          <w:rFonts w:hint="eastAsia" w:ascii="宋体" w:hAnsi="宋体" w:eastAsia="宋体" w:cs="宋体"/>
          <w:b/>
          <w:bCs/>
          <w:color w:val="auto"/>
          <w:highlight w:val="none"/>
        </w:rPr>
        <w:t>咨询联系人：</w:t>
      </w:r>
      <w:r>
        <w:rPr>
          <w:rFonts w:hint="eastAsia" w:ascii="宋体" w:hAnsi="宋体" w:eastAsia="宋体" w:cs="宋体"/>
          <w:color w:val="auto"/>
          <w:highlight w:val="none"/>
        </w:rPr>
        <w:t xml:space="preserve">陈宏卿 </w:t>
      </w:r>
      <w:r>
        <w:rPr>
          <w:rFonts w:hint="eastAsia" w:ascii="宋体" w:hAnsi="宋体" w:eastAsia="宋体" w:cs="宋体"/>
          <w:color w:val="auto"/>
          <w:highlight w:val="none"/>
          <w:lang w:val="en-US" w:eastAsia="zh-CN"/>
        </w:rPr>
        <w:t xml:space="preserve"> </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开评标、中标通知书、合同签订联系人：</w:t>
      </w:r>
      <w:r>
        <w:rPr>
          <w:rFonts w:hint="eastAsia" w:ascii="宋体" w:hAnsi="宋体" w:eastAsia="宋体" w:cs="宋体"/>
          <w:color w:val="auto"/>
          <w:highlight w:val="none"/>
          <w:lang w:val="en-US" w:eastAsia="zh-CN"/>
        </w:rPr>
        <w:t xml:space="preserve">胡校芳 </w:t>
      </w:r>
      <w:r>
        <w:rPr>
          <w:rFonts w:hint="eastAsia" w:ascii="宋体" w:hAnsi="宋体" w:eastAsia="宋体" w:cs="宋体"/>
          <w:color w:val="auto"/>
          <w:highlight w:val="none"/>
        </w:rPr>
        <w:t>葛长英</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传真：0571-85024997</w:t>
      </w:r>
    </w:p>
    <w:p>
      <w:pPr>
        <w:ind w:firstLine="738" w:firstLineChars="350"/>
        <w:rPr>
          <w:b/>
          <w:bCs/>
          <w:color w:val="auto"/>
          <w:highlight w:val="none"/>
        </w:rPr>
      </w:pPr>
      <w:r>
        <w:rPr>
          <w:rFonts w:hint="eastAsia"/>
          <w:b/>
          <w:bCs/>
          <w:color w:val="auto"/>
          <w:highlight w:val="none"/>
        </w:rPr>
        <w:t>财务咨询</w:t>
      </w:r>
      <w:r>
        <w:rPr>
          <w:rFonts w:hint="eastAsia"/>
          <w:b/>
          <w:bCs/>
          <w:color w:val="auto"/>
          <w:highlight w:val="none"/>
          <w:lang w:eastAsia="zh-CN"/>
        </w:rPr>
        <w:t>（招标文件费、发票）</w:t>
      </w:r>
      <w:r>
        <w:rPr>
          <w:rFonts w:hint="eastAsia"/>
          <w:b/>
          <w:bCs/>
          <w:color w:val="auto"/>
          <w:highlight w:val="none"/>
        </w:rPr>
        <w:t>联系人：张会计</w:t>
      </w:r>
    </w:p>
    <w:p>
      <w:pPr>
        <w:ind w:firstLine="735" w:firstLineChars="350"/>
        <w:rPr>
          <w:color w:val="auto"/>
          <w:highlight w:val="none"/>
        </w:rPr>
      </w:pPr>
      <w:r>
        <w:rPr>
          <w:rFonts w:hint="eastAsia"/>
          <w:color w:val="auto"/>
          <w:highlight w:val="none"/>
        </w:rPr>
        <w:t>联系电话：</w:t>
      </w:r>
      <w:r>
        <w:rPr>
          <w:color w:val="auto"/>
          <w:highlight w:val="none"/>
        </w:rPr>
        <w:t>18905813512</w:t>
      </w:r>
    </w:p>
    <w:p>
      <w:pPr>
        <w:ind w:firstLine="735" w:firstLineChars="350"/>
        <w:rPr>
          <w:color w:val="auto"/>
          <w:highlight w:val="none"/>
        </w:rPr>
      </w:pPr>
      <w:r>
        <w:rPr>
          <w:rFonts w:hint="eastAsia"/>
          <w:color w:val="auto"/>
          <w:highlight w:val="none"/>
        </w:rPr>
        <w:t>地址：</w:t>
      </w:r>
      <w:r>
        <w:rPr>
          <w:rFonts w:hint="eastAsia" w:ascii="宋体" w:hAnsi="宋体" w:eastAsia="宋体" w:cs="宋体"/>
          <w:b w:val="0"/>
          <w:bCs/>
          <w:color w:val="auto"/>
          <w:highlight w:val="none"/>
          <w:lang w:eastAsia="zh-CN"/>
        </w:rPr>
        <w:t>杭州市</w:t>
      </w:r>
      <w:r>
        <w:rPr>
          <w:rFonts w:hint="eastAsia"/>
          <w:color w:val="auto"/>
          <w:highlight w:val="none"/>
        </w:rPr>
        <w:t>西湖区万塘路</w:t>
      </w:r>
      <w:r>
        <w:rPr>
          <w:color w:val="auto"/>
          <w:highlight w:val="none"/>
        </w:rPr>
        <w:t>28号</w:t>
      </w:r>
    </w:p>
    <w:p>
      <w:pPr>
        <w:widowControl/>
        <w:ind w:firstLine="472" w:firstLineChars="225"/>
        <w:jc w:val="left"/>
        <w:rPr>
          <w:rFonts w:hint="eastAsia" w:ascii="宋体" w:hAnsi="宋体" w:eastAsia="宋体"/>
          <w:color w:val="auto"/>
          <w:kern w:val="0"/>
          <w:highlight w:val="none"/>
          <w:lang w:eastAsia="zh-CN"/>
        </w:rPr>
      </w:pPr>
      <w:r>
        <w:rPr>
          <w:rFonts w:hint="eastAsia" w:ascii="宋体" w:hAnsi="宋体"/>
          <w:color w:val="auto"/>
          <w:kern w:val="0"/>
          <w:highlight w:val="none"/>
        </w:rPr>
        <w:t>2、采购人名称：</w:t>
      </w:r>
      <w:r>
        <w:rPr>
          <w:rFonts w:hint="eastAsia"/>
          <w:color w:val="auto"/>
          <w:highlight w:val="none"/>
          <w:lang w:eastAsia="zh-CN"/>
        </w:rPr>
        <w:t>中国美术学院</w:t>
      </w:r>
    </w:p>
    <w:p>
      <w:pPr>
        <w:widowControl/>
        <w:ind w:firstLine="787" w:firstLineChars="375"/>
        <w:jc w:val="left"/>
        <w:rPr>
          <w:rFonts w:hint="eastAsia" w:ascii="宋体" w:hAnsi="宋体"/>
          <w:color w:val="auto"/>
          <w:kern w:val="0"/>
          <w:highlight w:val="none"/>
        </w:rPr>
      </w:pPr>
      <w:r>
        <w:rPr>
          <w:rFonts w:hint="eastAsia" w:ascii="宋体" w:hAnsi="宋体"/>
          <w:color w:val="auto"/>
          <w:kern w:val="0"/>
          <w:highlight w:val="none"/>
        </w:rPr>
        <w:t>联系人：</w:t>
      </w:r>
      <w:r>
        <w:rPr>
          <w:rFonts w:hint="eastAsia" w:ascii="宋体" w:hAnsi="宋体"/>
          <w:color w:val="auto"/>
          <w:kern w:val="0"/>
          <w:highlight w:val="none"/>
          <w:lang w:eastAsia="zh-CN"/>
        </w:rPr>
        <w:t>田</w:t>
      </w:r>
      <w:r>
        <w:rPr>
          <w:rFonts w:hint="eastAsia"/>
          <w:color w:val="auto"/>
          <w:highlight w:val="none"/>
        </w:rPr>
        <w:t>老师</w:t>
      </w:r>
    </w:p>
    <w:p>
      <w:pPr>
        <w:widowControl/>
        <w:ind w:firstLine="787" w:firstLineChars="375"/>
        <w:jc w:val="left"/>
        <w:rPr>
          <w:rFonts w:hint="default" w:ascii="宋体" w:hAnsi="宋体" w:eastAsia="宋体"/>
          <w:color w:val="FF0000"/>
          <w:kern w:val="0"/>
          <w:highlight w:val="none"/>
          <w:lang w:val="en-US" w:eastAsia="zh-CN"/>
        </w:rPr>
      </w:pPr>
      <w:r>
        <w:rPr>
          <w:rFonts w:hint="eastAsia" w:ascii="宋体" w:hAnsi="宋体"/>
          <w:color w:val="auto"/>
          <w:kern w:val="0"/>
          <w:highlight w:val="none"/>
        </w:rPr>
        <w:t>联系电话：</w:t>
      </w:r>
      <w:r>
        <w:rPr>
          <w:rFonts w:hint="eastAsia" w:ascii="宋体" w:hAnsi="宋体"/>
          <w:kern w:val="0"/>
          <w:lang w:val="en-US" w:eastAsia="zh-CN"/>
        </w:rPr>
        <w:t>13575497265</w:t>
      </w:r>
    </w:p>
    <w:p>
      <w:pPr>
        <w:widowControl/>
        <w:ind w:firstLine="787" w:firstLineChars="375"/>
        <w:jc w:val="left"/>
        <w:rPr>
          <w:color w:val="auto"/>
          <w:kern w:val="0"/>
          <w:highlight w:val="none"/>
        </w:rPr>
      </w:pPr>
      <w:r>
        <w:rPr>
          <w:rFonts w:hint="eastAsia" w:ascii="宋体" w:hAnsi="宋体"/>
          <w:color w:val="auto"/>
          <w:kern w:val="0"/>
          <w:highlight w:val="none"/>
        </w:rPr>
        <w:t>地址：</w:t>
      </w:r>
      <w:r>
        <w:rPr>
          <w:rFonts w:hint="eastAsia" w:ascii="宋体" w:hAnsi="宋体"/>
          <w:color w:val="auto"/>
          <w:kern w:val="0"/>
          <w:szCs w:val="21"/>
        </w:rPr>
        <w:t>杭州上城区南山路218号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r>
        <w:rPr>
          <w:rFonts w:hint="eastAsia" w:cs="宋体" w:asciiTheme="minorEastAsia" w:hAnsiTheme="minorEastAsia" w:eastAsiaTheme="minorEastAsia"/>
          <w:color w:val="auto"/>
          <w:szCs w:val="21"/>
        </w:rPr>
        <w:t>同级政府采购监督管理部门名称：浙江省财政厅政府采购监管处</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w:t>
      </w:r>
      <w:r>
        <w:rPr>
          <w:rFonts w:hint="eastAsia" w:cs="宋体" w:asciiTheme="minorEastAsia" w:hAnsiTheme="minorEastAsia" w:eastAsiaTheme="minorEastAsia"/>
          <w:color w:val="auto"/>
          <w:szCs w:val="21"/>
        </w:rPr>
        <w:t>倪老师</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p>
      <w:pPr>
        <w:ind w:firstLine="42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7" w:name="_Toc6227644"/>
      <w:bookmarkStart w:id="18" w:name="_Toc5775"/>
      <w:r>
        <w:rPr>
          <w:rFonts w:hint="eastAsia" w:asciiTheme="minorEastAsia" w:hAnsiTheme="minorEastAsia" w:eastAsiaTheme="minorEastAsia"/>
          <w:color w:val="auto"/>
          <w:sz w:val="32"/>
          <w:szCs w:val="32"/>
        </w:rPr>
        <w:t>第一章 投标人须知</w:t>
      </w:r>
      <w:bookmarkEnd w:id="17"/>
      <w:bookmarkEnd w:id="18"/>
    </w:p>
    <w:p>
      <w:pPr>
        <w:pStyle w:val="5"/>
        <w:rPr>
          <w:rFonts w:cs="宋体" w:asciiTheme="minorEastAsia" w:hAnsiTheme="minorEastAsia" w:eastAsiaTheme="minorEastAsia"/>
          <w:color w:val="auto"/>
          <w:szCs w:val="21"/>
        </w:rPr>
      </w:pPr>
      <w:bookmarkStart w:id="19" w:name="_Toc452457413"/>
      <w:bookmarkStart w:id="20" w:name="_Toc1381"/>
      <w:r>
        <w:rPr>
          <w:rFonts w:hint="eastAsia" w:cs="宋体" w:asciiTheme="minorEastAsia" w:hAnsiTheme="minorEastAsia" w:eastAsiaTheme="minorEastAsia"/>
          <w:color w:val="auto"/>
          <w:szCs w:val="21"/>
        </w:rPr>
        <w:t>投标人须知前附表</w:t>
      </w:r>
      <w:bookmarkEnd w:id="19"/>
      <w:bookmarkEnd w:id="20"/>
    </w:p>
    <w:tbl>
      <w:tblPr>
        <w:tblStyle w:val="26"/>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outlineLvl w:val="9"/>
              <w:rPr>
                <w:rFonts w:cs="宋体" w:asciiTheme="minorEastAsia" w:hAnsiTheme="minorEastAsia" w:eastAsiaTheme="minorEastAsia"/>
                <w:color w:val="auto"/>
                <w:szCs w:val="21"/>
              </w:rPr>
            </w:pPr>
            <w:bookmarkStart w:id="169" w:name="_GoBack"/>
            <w:bookmarkStart w:id="21" w:name="_Hlk8238969"/>
            <w:r>
              <w:rPr>
                <w:rFonts w:hint="eastAsia" w:cs="宋体" w:asciiTheme="minorEastAsia" w:hAnsiTheme="minorEastAsia" w:eastAsiaTheme="minorEastAsia"/>
                <w:color w:val="auto"/>
                <w:szCs w:val="21"/>
              </w:rPr>
              <w:t>条款号</w:t>
            </w: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条款名称</w:t>
            </w:r>
          </w:p>
        </w:tc>
        <w:tc>
          <w:tcPr>
            <w:tcW w:w="6330" w:type="dxa"/>
            <w:vAlign w:val="center"/>
          </w:tcPr>
          <w:p>
            <w:pPr>
              <w:keepNext w:val="0"/>
              <w:keepLines w:val="0"/>
              <w:pageBreakBefore w:val="0"/>
              <w:kinsoku/>
              <w:wordWrap/>
              <w:overflowPunct/>
              <w:topLinePunct w:val="0"/>
              <w:autoSpaceDE/>
              <w:autoSpaceDN/>
              <w:bidi w:val="0"/>
              <w:spacing w:line="360" w:lineRule="auto"/>
              <w:ind w:firstLine="420"/>
              <w:jc w:val="center"/>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outlineLvl w:val="9"/>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名称：</w:t>
            </w:r>
            <w:r>
              <w:rPr>
                <w:rFonts w:hint="eastAsia" w:cs="宋体" w:asciiTheme="minorEastAsia" w:hAnsiTheme="minorEastAsia" w:eastAsiaTheme="minorEastAsia"/>
                <w:color w:val="auto"/>
                <w:szCs w:val="21"/>
                <w:lang w:eastAsia="zh-CN"/>
              </w:rPr>
              <w:t>中国美术学院</w:t>
            </w:r>
          </w:p>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w:t>
            </w:r>
            <w:r>
              <w:rPr>
                <w:rFonts w:hint="eastAsia" w:ascii="宋体" w:hAnsi="宋体"/>
                <w:color w:val="auto"/>
                <w:kern w:val="0"/>
                <w:szCs w:val="21"/>
              </w:rPr>
              <w:t>杭州上城区南山路218号</w:t>
            </w:r>
          </w:p>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田</w:t>
            </w:r>
            <w:r>
              <w:rPr>
                <w:rFonts w:hint="eastAsia" w:cs="宋体" w:asciiTheme="minorEastAsia" w:hAnsiTheme="minorEastAsia" w:eastAsiaTheme="minorEastAsia"/>
                <w:color w:val="auto"/>
                <w:szCs w:val="21"/>
              </w:rPr>
              <w:t>老师</w:t>
            </w:r>
          </w:p>
          <w:p>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outlineLvl w:val="9"/>
              <w:rPr>
                <w:rFonts w:hint="eastAsia" w:eastAsia="宋体" w:cs="宋体" w:asciiTheme="minorEastAsia" w:hAnsiTheme="minorEastAsia"/>
                <w:color w:val="auto"/>
                <w:szCs w:val="21"/>
                <w:lang w:val="en-US" w:eastAsia="zh-CN"/>
              </w:rPr>
            </w:pPr>
            <w:r>
              <w:rPr>
                <w:rFonts w:hint="eastAsia" w:cs="宋体" w:asciiTheme="minorEastAsia" w:hAnsiTheme="minorEastAsia" w:eastAsiaTheme="minorEastAsia"/>
                <w:color w:val="auto"/>
                <w:szCs w:val="21"/>
              </w:rPr>
              <w:t>电话：</w:t>
            </w:r>
            <w:r>
              <w:rPr>
                <w:rFonts w:hint="eastAsia" w:ascii="宋体" w:hAnsi="宋体"/>
                <w:kern w:val="0"/>
                <w:lang w:val="en-US" w:eastAsia="zh-CN"/>
              </w:rPr>
              <w:t>13575497265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采购代理机构</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名称：浙江信镧建设工程咨询有限公司</w:t>
            </w:r>
          </w:p>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地址：浙江杭州市西湖区万塘路28号</w:t>
            </w:r>
          </w:p>
          <w:p>
            <w:pPr>
              <w:keepNext w:val="0"/>
              <w:keepLines w:val="0"/>
              <w:pageBreakBefore w:val="0"/>
              <w:kinsoku/>
              <w:wordWrap/>
              <w:overflowPunct/>
              <w:topLinePunct w:val="0"/>
              <w:autoSpaceDE/>
              <w:autoSpaceDN/>
              <w:bidi w:val="0"/>
              <w:spacing w:line="360" w:lineRule="auto"/>
              <w:ind w:firstLine="0" w:firstLineChars="0"/>
              <w:textAlignment w:val="auto"/>
              <w:outlineLvl w:val="9"/>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陈宏卿</w:t>
            </w:r>
          </w:p>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采购方式</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投标人资格条件</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分包或转包</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ascii="宋体" w:hAnsi="宋体" w:eastAsia="宋体" w:cs="宋体"/>
                <w:color w:val="auto"/>
                <w:szCs w:val="21"/>
                <w:lang w:eastAsia="zh-CN"/>
              </w:rPr>
              <w:t>本项目不得</w:t>
            </w:r>
            <w:r>
              <w:rPr>
                <w:rFonts w:hint="eastAsia" w:ascii="宋体" w:hAnsi="宋体" w:eastAsia="宋体" w:cs="宋体"/>
                <w:color w:val="auto"/>
                <w:szCs w:val="21"/>
              </w:rPr>
              <w:t>分包。</w:t>
            </w:r>
          </w:p>
          <w:p>
            <w:pPr>
              <w:keepNext w:val="0"/>
              <w:keepLines w:val="0"/>
              <w:pageBreakBefore w:val="0"/>
              <w:kinsoku/>
              <w:wordWrap/>
              <w:overflowPunct/>
              <w:topLinePunct w:val="0"/>
              <w:autoSpaceDE/>
              <w:autoSpaceDN/>
              <w:bidi w:val="0"/>
              <w:spacing w:beforeLines="10" w:line="360" w:lineRule="auto"/>
              <w:ind w:firstLine="0" w:firstLineChars="0"/>
              <w:jc w:val="left"/>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投标有效期</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投标文件编制、装订及密封要求</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投标人应按本招标文件规定的格式及要求编制、签署、盖章、密封投标文件，并标注页码，提供目录。</w:t>
            </w:r>
          </w:p>
          <w:p>
            <w:pPr>
              <w:keepNext w:val="0"/>
              <w:keepLines w:val="0"/>
              <w:pageBreakBefore w:val="0"/>
              <w:kinsoku/>
              <w:wordWrap/>
              <w:overflowPunct/>
              <w:topLinePunct w:val="0"/>
              <w:autoSpaceDE/>
              <w:autoSpaceDN/>
              <w:bidi w:val="0"/>
              <w:spacing w:line="360" w:lineRule="auto"/>
              <w:ind w:firstLine="0" w:firstLineChars="0"/>
              <w:jc w:val="left"/>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将资格证明文件、报价文件、商务技术文件三份文件分别装订、分别密封，并在外包装封皮上注明：采购单位名称、项目名称、采购编号、投标人名称。投标文件均应胶装。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投标文件份数</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1.纸质版：资格证明文件、报价文件、商务技术文件正本各一份，副本各</w:t>
            </w:r>
            <w:r>
              <w:rPr>
                <w:rFonts w:hint="eastAsia" w:cs="宋体" w:asciiTheme="minorEastAsia" w:hAnsiTheme="minorEastAsia" w:eastAsiaTheme="minorEastAsia"/>
                <w:color w:val="auto"/>
                <w:szCs w:val="21"/>
                <w:lang w:eastAsia="zh-CN"/>
              </w:rPr>
              <w:t>四</w:t>
            </w:r>
            <w:r>
              <w:rPr>
                <w:rFonts w:hint="eastAsia" w:cs="宋体" w:asciiTheme="minorEastAsia" w:hAnsiTheme="minorEastAsia" w:eastAsiaTheme="minorEastAsia"/>
                <w:color w:val="auto"/>
                <w:szCs w:val="21"/>
              </w:rPr>
              <w:t>份</w:t>
            </w:r>
          </w:p>
          <w:p>
            <w:pPr>
              <w:keepNext w:val="0"/>
              <w:keepLines w:val="0"/>
              <w:pageBreakBefore w:val="0"/>
              <w:kinsoku/>
              <w:wordWrap/>
              <w:overflowPunct/>
              <w:topLinePunct w:val="0"/>
              <w:autoSpaceDE/>
              <w:autoSpaceDN/>
              <w:bidi w:val="0"/>
              <w:spacing w:line="360" w:lineRule="auto"/>
              <w:ind w:firstLine="0" w:firstLineChars="0"/>
              <w:jc w:val="left"/>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2.电子投标文件：</w:t>
            </w:r>
            <w:r>
              <w:rPr>
                <w:rFonts w:hint="eastAsia" w:cs="宋体" w:asciiTheme="minorEastAsia" w:hAnsiTheme="minorEastAsia" w:eastAsiaTheme="minorEastAsia"/>
                <w:color w:val="auto"/>
                <w:szCs w:val="21"/>
                <w:u w:val="single"/>
              </w:rPr>
              <w:t xml:space="preserve"> 1 </w:t>
            </w:r>
            <w:r>
              <w:rPr>
                <w:rFonts w:hint="eastAsia" w:cs="宋体" w:asciiTheme="minorEastAsia" w:hAnsiTheme="minorEastAsia" w:eastAsiaTheme="minorEastAsia"/>
                <w:color w:val="auto"/>
                <w:szCs w:val="21"/>
              </w:rPr>
              <w:t>份，内容与纸质投标文件正本（已盖章签字）一致，PDF格式，U盘存储。不一致的，以纸质投标文件正本为准。（U盘随报价文件一并密封）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投标保证金</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outlineLvl w:val="9"/>
              <w:rPr>
                <w:rFonts w:cs="宋体" w:asciiTheme="minorEastAsia" w:hAnsiTheme="minorEastAsia" w:eastAsiaTheme="minorEastAsia"/>
                <w:color w:val="auto"/>
                <w:kern w:val="0"/>
                <w:szCs w:val="21"/>
              </w:rPr>
            </w:pPr>
          </w:p>
          <w:p>
            <w:pPr>
              <w:keepNext w:val="0"/>
              <w:keepLines w:val="0"/>
              <w:pageBreakBefore w:val="0"/>
              <w:kinsoku/>
              <w:wordWrap/>
              <w:overflowPunct/>
              <w:topLinePunct w:val="0"/>
              <w:autoSpaceDE/>
              <w:autoSpaceDN/>
              <w:bidi w:val="0"/>
              <w:spacing w:beforeLines="10" w:line="360" w:lineRule="auto"/>
              <w:ind w:firstLine="0" w:firstLineChars="0"/>
              <w:jc w:val="left"/>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履约保证金</w:t>
            </w:r>
          </w:p>
          <w:p>
            <w:pPr>
              <w:keepNext w:val="0"/>
              <w:keepLines w:val="0"/>
              <w:pageBreakBefore w:val="0"/>
              <w:kinsoku/>
              <w:wordWrap/>
              <w:overflowPunct/>
              <w:topLinePunct w:val="0"/>
              <w:autoSpaceDE/>
              <w:autoSpaceDN/>
              <w:bidi w:val="0"/>
              <w:spacing w:beforeLines="10" w:line="360" w:lineRule="auto"/>
              <w:ind w:firstLine="0" w:firstLineChars="0"/>
              <w:jc w:val="left"/>
              <w:textAlignment w:val="auto"/>
              <w:outlineLvl w:val="9"/>
              <w:rPr>
                <w:rFonts w:cs="宋体" w:asciiTheme="minorEastAsia" w:hAnsiTheme="minorEastAsia" w:eastAsiaTheme="minorEastAsia"/>
                <w:color w:val="auto"/>
                <w:szCs w:val="21"/>
              </w:rPr>
            </w:pP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jc w:val="left"/>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中标人在合同签订之日起5个工作日内向采购人指定账户交纳合同总价</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%的履约保证金。履约保证金的交付方式：以支票、汇票、本票或者金融机构、担保机构出具的保函等非现金形式提交。</w:t>
            </w:r>
          </w:p>
          <w:p>
            <w:pPr>
              <w:pStyle w:val="2"/>
              <w:keepNext w:val="0"/>
              <w:keepLines w:val="0"/>
              <w:pageBreakBefore w:val="0"/>
              <w:kinsoku/>
              <w:wordWrap/>
              <w:overflowPunct/>
              <w:topLinePunct w:val="0"/>
              <w:autoSpaceDE/>
              <w:autoSpaceDN/>
              <w:bidi w:val="0"/>
              <w:spacing w:line="360" w:lineRule="auto"/>
              <w:ind w:firstLine="0" w:firstLineChars="0"/>
              <w:textAlignment w:val="auto"/>
              <w:outlineLvl w:val="9"/>
              <w:rPr>
                <w:color w:val="auto"/>
              </w:rPr>
            </w:pPr>
            <w:r>
              <w:rPr>
                <w:rFonts w:hint="eastAsia" w:cs="宋体" w:asciiTheme="minorEastAsia" w:hAnsiTheme="minorEastAsia" w:eastAsiaTheme="minorEastAsia"/>
                <w:color w:val="auto"/>
                <w:szCs w:val="21"/>
              </w:rPr>
              <w:t>2.履约保证金在合同约定的服务期届满，确认投标人无违约行为后5个工作日内无息返还。</w:t>
            </w:r>
            <w:r>
              <w:rPr>
                <w:rFonts w:hint="eastAsia" w:ascii="宋体" w:hAnsi="宋体" w:eastAsia="宋体" w:cs="宋体"/>
                <w:color w:val="auto"/>
                <w:lang w:eastAsia="zh-CN"/>
              </w:rPr>
              <w:t>逾期支付银行同档利息。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投标文件的接收</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jc w:val="left"/>
              <w:textAlignment w:val="auto"/>
              <w:outlineLvl w:val="9"/>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投标人递交投标文件时，如出现下列情况之一的，投标文件将被拒收：</w:t>
            </w:r>
          </w:p>
          <w:p>
            <w:pPr>
              <w:keepNext w:val="0"/>
              <w:keepLines w:val="0"/>
              <w:pageBreakBefore w:val="0"/>
              <w:kinsoku/>
              <w:wordWrap/>
              <w:overflowPunct/>
              <w:topLinePunct w:val="0"/>
              <w:autoSpaceDE/>
              <w:autoSpaceDN/>
              <w:bidi w:val="0"/>
              <w:spacing w:line="360" w:lineRule="auto"/>
              <w:ind w:firstLine="0" w:firstLineChars="0"/>
              <w:jc w:val="left"/>
              <w:textAlignment w:val="auto"/>
              <w:outlineLvl w:val="9"/>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未密封的投标文件；</w:t>
            </w:r>
          </w:p>
          <w:p>
            <w:pPr>
              <w:keepNext w:val="0"/>
              <w:keepLines w:val="0"/>
              <w:pageBreakBefore w:val="0"/>
              <w:kinsoku/>
              <w:wordWrap/>
              <w:overflowPunct/>
              <w:topLinePunct w:val="0"/>
              <w:autoSpaceDE/>
              <w:autoSpaceDN/>
              <w:bidi w:val="0"/>
              <w:spacing w:line="360" w:lineRule="auto"/>
              <w:ind w:firstLine="0" w:firstLineChars="0"/>
              <w:jc w:val="left"/>
              <w:textAlignment w:val="auto"/>
              <w:outlineLvl w:val="9"/>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由于包装不妥，在送交途中严重破损或失散的投标文件；</w:t>
            </w:r>
          </w:p>
          <w:p>
            <w:pPr>
              <w:keepNext w:val="0"/>
              <w:keepLines w:val="0"/>
              <w:pageBreakBefore w:val="0"/>
              <w:kinsoku/>
              <w:wordWrap/>
              <w:overflowPunct/>
              <w:topLinePunct w:val="0"/>
              <w:autoSpaceDE/>
              <w:autoSpaceDN/>
              <w:bidi w:val="0"/>
              <w:spacing w:line="360" w:lineRule="auto"/>
              <w:ind w:firstLine="0" w:firstLineChars="0"/>
              <w:jc w:val="left"/>
              <w:textAlignment w:val="auto"/>
              <w:outlineLvl w:val="9"/>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仅以非纸制文本形式的投标文件；</w:t>
            </w:r>
          </w:p>
          <w:p>
            <w:pPr>
              <w:keepNext w:val="0"/>
              <w:keepLines w:val="0"/>
              <w:pageBreakBefore w:val="0"/>
              <w:kinsoku/>
              <w:wordWrap/>
              <w:overflowPunct/>
              <w:topLinePunct w:val="0"/>
              <w:autoSpaceDE/>
              <w:autoSpaceDN/>
              <w:bidi w:val="0"/>
              <w:spacing w:line="360" w:lineRule="auto"/>
              <w:ind w:firstLine="0" w:firstLineChars="0"/>
              <w:jc w:val="left"/>
              <w:textAlignment w:val="auto"/>
              <w:outlineLvl w:val="9"/>
              <w:rPr>
                <w:rFonts w:cs="宋体" w:asciiTheme="minorEastAsia" w:hAnsiTheme="minorEastAsia" w:eastAsiaTheme="minorEastAsia"/>
                <w:color w:val="auto"/>
                <w:szCs w:val="21"/>
              </w:rPr>
            </w:pPr>
            <w:r>
              <w:rPr>
                <w:rFonts w:cs="宋体" w:asciiTheme="minorEastAsia" w:hAnsiTheme="minorEastAsia" w:eastAsiaTheme="minorEastAsia"/>
                <w:bCs/>
                <w:color w:val="auto"/>
                <w:szCs w:val="21"/>
              </w:rPr>
              <w:t>4.</w:t>
            </w:r>
            <w:r>
              <w:rPr>
                <w:rFonts w:hint="eastAsia" w:cs="宋体" w:asciiTheme="minorEastAsia" w:hAnsiTheme="minorEastAsia" w:eastAsiaTheme="minorEastAsia"/>
                <w:bCs/>
                <w:color w:val="auto"/>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中标通知书</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outlineLvl w:val="9"/>
              <w:rPr>
                <w:rFonts w:asciiTheme="minorEastAsia" w:hAnsiTheme="minorEastAsia" w:eastAsiaTheme="minorEastAsia"/>
                <w:color w:val="auto"/>
                <w:szCs w:val="21"/>
              </w:rPr>
            </w:pPr>
            <w:r>
              <w:rPr>
                <w:rFonts w:hint="eastAsia" w:asciiTheme="minorEastAsia" w:hAnsiTheme="minorEastAsia" w:eastAsiaTheme="minorEastAsia"/>
                <w:color w:val="auto"/>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样品或演示</w:t>
            </w:r>
          </w:p>
        </w:tc>
        <w:tc>
          <w:tcPr>
            <w:tcW w:w="6330" w:type="dxa"/>
            <w:vAlign w:val="center"/>
          </w:tcPr>
          <w:p>
            <w:pPr>
              <w:pStyle w:val="2"/>
              <w:keepNext w:val="0"/>
              <w:keepLines w:val="0"/>
              <w:pageBreakBefore w:val="0"/>
              <w:kinsoku/>
              <w:wordWrap/>
              <w:overflowPunct/>
              <w:topLinePunct w:val="0"/>
              <w:autoSpaceDE/>
              <w:autoSpaceDN/>
              <w:bidi w:val="0"/>
              <w:spacing w:line="360" w:lineRule="auto"/>
              <w:ind w:firstLine="0" w:firstLineChars="0"/>
              <w:textAlignment w:val="auto"/>
              <w:outlineLvl w:val="9"/>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信用记录</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根据财库〔2016〕125号《关于在政府采购活动中查询及使用信用记录有关问题的通知》要求，采购代理机构将对投标人信用记录进行查询并甄别。</w:t>
            </w:r>
          </w:p>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信用信息查询的截止时点：投标截止日；</w:t>
            </w:r>
          </w:p>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查询渠道：“信用中国”（www.creditchina.gov.cn）、“中国政府采购网”（www.ccgp.gov.cn）；</w:t>
            </w:r>
          </w:p>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信用信息查询记录和证据留存具体方式：采购代理机构将查询网页打印并保存；</w:t>
            </w:r>
          </w:p>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行政处罚较大数额罚款标准认定：按照处罚机关所在地较大金额罚款标准进行认定。</w:t>
            </w:r>
          </w:p>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小微企业有关政策</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outlineLvl w:val="9"/>
              <w:rPr>
                <w:rFonts w:asciiTheme="minorEastAsia" w:hAnsiTheme="minorEastAsia" w:eastAsiaTheme="minorEastAsia"/>
                <w:color w:val="auto"/>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根据财库〔2011〕181号的相关规定，在评标时对小型和微型企业的投标报价给予6%的扣除，以扣除后的报价计算报价分。属于小型和微型企业的，投标文件中投标人必须提供《中小企业声明函》；</w:t>
            </w:r>
          </w:p>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color w:val="auto"/>
              </w:rPr>
              <w:t>（见附件）</w:t>
            </w:r>
            <w:r>
              <w:rPr>
                <w:rFonts w:hint="eastAsia" w:cs="宋体" w:asciiTheme="minorEastAsia" w:hAnsiTheme="minorEastAsia" w:eastAsiaTheme="minorEastAsia"/>
                <w:color w:val="auto"/>
                <w:szCs w:val="21"/>
              </w:rPr>
              <w:t>。</w:t>
            </w:r>
          </w:p>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投标人注册</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color w:val="auto"/>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招标代理服务费</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本项目的招标（采购）代理服务费为：按国家计委计</w:t>
            </w:r>
            <w:r>
              <w:rPr>
                <w:rFonts w:hint="eastAsia" w:cs="宋体" w:asciiTheme="minorEastAsia" w:hAnsiTheme="minorEastAsia" w:eastAsiaTheme="minorEastAsia"/>
                <w:color w:val="auto"/>
                <w:szCs w:val="21"/>
              </w:rPr>
              <w:t>价格〔20</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1980</w:t>
            </w:r>
            <w:r>
              <w:rPr>
                <w:rFonts w:hint="eastAsia" w:cs="宋体" w:asciiTheme="minorEastAsia" w:hAnsiTheme="minorEastAsia" w:eastAsiaTheme="minorEastAsia"/>
                <w:color w:val="auto"/>
                <w:szCs w:val="21"/>
              </w:rPr>
              <w:t>号文件规定</w:t>
            </w:r>
            <w:r>
              <w:rPr>
                <w:rFonts w:hint="eastAsia" w:cs="宋体" w:asciiTheme="minorEastAsia" w:hAnsiTheme="minorEastAsia" w:eastAsiaTheme="minorEastAsia"/>
                <w:color w:val="auto"/>
                <w:kern w:val="0"/>
                <w:szCs w:val="21"/>
              </w:rPr>
              <w:t>标准的</w:t>
            </w:r>
            <w:r>
              <w:rPr>
                <w:rFonts w:hint="eastAsia" w:cs="宋体" w:asciiTheme="minorEastAsia" w:hAnsiTheme="minorEastAsia" w:eastAsiaTheme="minorEastAsia"/>
                <w:color w:val="auto"/>
                <w:kern w:val="0"/>
                <w:szCs w:val="21"/>
                <w:lang w:val="en-US" w:eastAsia="zh-CN"/>
              </w:rPr>
              <w:t>80</w:t>
            </w:r>
            <w:r>
              <w:rPr>
                <w:rFonts w:hint="eastAsia" w:cs="宋体" w:asciiTheme="minorEastAsia" w:hAnsiTheme="minorEastAsia" w:eastAsiaTheme="minorEastAsia"/>
                <w:color w:val="auto"/>
                <w:kern w:val="0"/>
                <w:szCs w:val="21"/>
              </w:rPr>
              <w:t>%收取。</w:t>
            </w:r>
            <w:r>
              <w:rPr>
                <w:rFonts w:hint="eastAsia" w:ascii="宋体" w:hAnsi="宋体"/>
                <w:color w:val="auto"/>
                <w:kern w:val="0"/>
                <w:highlight w:val="none"/>
              </w:rPr>
              <w:t>不足</w:t>
            </w:r>
            <w:r>
              <w:rPr>
                <w:rFonts w:ascii="宋体" w:hAnsi="宋体"/>
                <w:color w:val="auto"/>
                <w:kern w:val="0"/>
                <w:highlight w:val="none"/>
              </w:rPr>
              <w:t>3000</w:t>
            </w:r>
            <w:r>
              <w:rPr>
                <w:rFonts w:hint="eastAsia" w:ascii="宋体" w:hAnsi="宋体"/>
                <w:color w:val="auto"/>
                <w:kern w:val="0"/>
                <w:highlight w:val="none"/>
              </w:rPr>
              <w:t>元，按</w:t>
            </w:r>
            <w:r>
              <w:rPr>
                <w:rFonts w:ascii="宋体" w:hAnsi="宋体"/>
                <w:color w:val="auto"/>
                <w:kern w:val="0"/>
                <w:highlight w:val="none"/>
              </w:rPr>
              <w:t>3000</w:t>
            </w:r>
            <w:r>
              <w:rPr>
                <w:rFonts w:hint="eastAsia" w:ascii="宋体" w:hAnsi="宋体"/>
                <w:color w:val="auto"/>
                <w:kern w:val="0"/>
                <w:highlight w:val="none"/>
              </w:rPr>
              <w:t>元收取。</w:t>
            </w:r>
            <w:r>
              <w:rPr>
                <w:rFonts w:hint="eastAsia" w:cs="宋体" w:asciiTheme="minorEastAsia" w:hAnsiTheme="minorEastAsia" w:eastAsiaTheme="minorEastAsia"/>
                <w:color w:val="auto"/>
                <w:kern w:val="0"/>
                <w:szCs w:val="21"/>
              </w:rPr>
              <w:t>由中标人在领取中标通知书时一次性向采购代理机构付清。支付账号同标书费支付账号。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招标文件询疑</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w:t>
            </w:r>
            <w:r>
              <w:rPr>
                <w:rFonts w:hint="eastAsia" w:ascii="宋体" w:hAnsi="宋体" w:eastAsia="宋体" w:cs="宋体"/>
                <w:color w:val="auto"/>
                <w:kern w:val="0"/>
                <w:szCs w:val="21"/>
              </w:rPr>
              <w:t>如对</w:t>
            </w:r>
            <w:r>
              <w:rPr>
                <w:rFonts w:hint="eastAsia" w:ascii="宋体" w:hAnsi="宋体" w:cs="宋体"/>
                <w:color w:val="auto"/>
                <w:kern w:val="0"/>
                <w:szCs w:val="21"/>
                <w:lang w:eastAsia="zh-CN"/>
              </w:rPr>
              <w:t>招标</w:t>
            </w:r>
            <w:r>
              <w:rPr>
                <w:rFonts w:hint="eastAsia" w:ascii="宋体" w:hAnsi="宋体" w:eastAsia="宋体" w:cs="宋体"/>
                <w:color w:val="auto"/>
                <w:kern w:val="0"/>
                <w:szCs w:val="21"/>
              </w:rPr>
              <w:t>文件有异议，应当于公告发布之日起至公告期限满第7个工作日内，以书面形式</w:t>
            </w:r>
            <w:r>
              <w:rPr>
                <w:rFonts w:hint="eastAsia" w:ascii="宋体" w:hAnsi="宋体" w:eastAsia="宋体" w:cs="宋体"/>
                <w:color w:val="auto"/>
                <w:kern w:val="0"/>
                <w:szCs w:val="21"/>
                <w:lang w:eastAsia="zh-CN"/>
              </w:rPr>
              <w:t>一次性</w:t>
            </w:r>
            <w:r>
              <w:rPr>
                <w:rFonts w:hint="eastAsia" w:ascii="宋体" w:hAnsi="宋体" w:eastAsia="宋体" w:cs="宋体"/>
                <w:color w:val="auto"/>
                <w:kern w:val="0"/>
                <w:szCs w:val="21"/>
              </w:rPr>
              <w:t>向</w:t>
            </w:r>
            <w:r>
              <w:rPr>
                <w:rFonts w:hint="eastAsia" w:ascii="宋体" w:hAnsi="宋体" w:eastAsia="宋体" w:cs="宋体"/>
                <w:color w:val="auto"/>
                <w:kern w:val="0"/>
                <w:szCs w:val="21"/>
                <w:lang w:eastAsia="zh-CN"/>
              </w:rPr>
              <w:t>代理机构</w:t>
            </w:r>
            <w:r>
              <w:rPr>
                <w:rFonts w:hint="eastAsia" w:ascii="宋体" w:hAnsi="宋体" w:eastAsia="宋体" w:cs="宋体"/>
                <w:color w:val="auto"/>
                <w:kern w:val="0"/>
                <w:szCs w:val="21"/>
              </w:rPr>
              <w:t>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w:t>
            </w:r>
          </w:p>
        </w:tc>
        <w:tc>
          <w:tcPr>
            <w:tcW w:w="6330" w:type="dxa"/>
            <w:vAlign w:val="center"/>
          </w:tcPr>
          <w:p>
            <w:pPr>
              <w:keepNext w:val="0"/>
              <w:keepLines w:val="0"/>
              <w:pageBreakBefore w:val="0"/>
              <w:widowControl/>
              <w:kinsoku/>
              <w:wordWrap/>
              <w:overflowPunct/>
              <w:topLinePunct w:val="0"/>
              <w:autoSpaceDE/>
              <w:autoSpaceDN/>
              <w:bidi w:val="0"/>
              <w:spacing w:line="360" w:lineRule="auto"/>
              <w:ind w:firstLine="0" w:firstLineChars="0"/>
              <w:jc w:val="left"/>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outlineLvl w:val="9"/>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投标人应当在法定质疑期内一次性提出针对同一采购程序环节的质疑。</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质疑起算日期：</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outlineLvl w:val="9"/>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对采购公告信息（含投标人资格条件）提出质疑的，质疑期限自采购公告发布之日起计算。</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outlineLvl w:val="9"/>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w:t>
            </w:r>
            <w:r>
              <w:rPr>
                <w:rFonts w:hint="eastAsia" w:cs="宋体" w:asciiTheme="minorEastAsia" w:hAnsiTheme="minorEastAsia" w:eastAsiaTheme="minorEastAsia"/>
                <w:color w:val="auto"/>
                <w:kern w:val="0"/>
                <w:szCs w:val="21"/>
              </w:rPr>
              <w:t>对招标文件提出质疑的，质疑期限自投标人获得招标文件之日起计算。（发售截止日之后报名的投标人，质疑起算日期以发售截止日起计算）</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outlineLvl w:val="9"/>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3.</w:t>
            </w:r>
            <w:r>
              <w:rPr>
                <w:rFonts w:hint="eastAsia" w:cs="宋体" w:asciiTheme="minorEastAsia" w:hAnsiTheme="minorEastAsia" w:eastAsiaTheme="minorEastAsia"/>
                <w:color w:val="auto"/>
                <w:kern w:val="0"/>
                <w:szCs w:val="21"/>
              </w:rPr>
              <w:t>对采购过程提出质疑的，为各采购程序环节结束之日。</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outlineLvl w:val="9"/>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对采购结果提出质疑的，质疑期限自采购结果公告（包括公示、预公告、结果变更公告等）之日起计算。否则，不予接受。</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szCs w:val="21"/>
              </w:rPr>
            </w:pPr>
          </w:p>
        </w:tc>
        <w:tc>
          <w:tcPr>
            <w:tcW w:w="1997" w:type="dxa"/>
            <w:vAlign w:val="center"/>
          </w:tcPr>
          <w:p>
            <w:pPr>
              <w:keepNext w:val="0"/>
              <w:keepLines w:val="0"/>
              <w:pageBreakBefore w:val="0"/>
              <w:widowControl/>
              <w:kinsoku/>
              <w:wordWrap/>
              <w:overflowPunct/>
              <w:topLinePunct w:val="0"/>
              <w:autoSpaceDE/>
              <w:autoSpaceDN/>
              <w:bidi w:val="0"/>
              <w:spacing w:line="360" w:lineRule="auto"/>
              <w:ind w:firstLine="0" w:firstLineChars="0"/>
              <w:jc w:val="left"/>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质疑受理联系方式</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受理单位：浙江信镧建设工程咨询有限公司</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rPr>
              <w:t>受理人：姚</w:t>
            </w:r>
            <w:r>
              <w:rPr>
                <w:rFonts w:hint="eastAsia" w:cs="宋体" w:asciiTheme="minorEastAsia" w:hAnsiTheme="minorEastAsia" w:eastAsiaTheme="minorEastAsia"/>
                <w:color w:val="auto"/>
                <w:kern w:val="0"/>
                <w:szCs w:val="21"/>
                <w:lang w:eastAsia="zh-CN"/>
              </w:rPr>
              <w:t>工</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电话：0571-87967630</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传真：0571-85024997</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szCs w:val="21"/>
              </w:rPr>
            </w:pPr>
          </w:p>
        </w:tc>
        <w:tc>
          <w:tcPr>
            <w:tcW w:w="1997" w:type="dxa"/>
            <w:vAlign w:val="center"/>
          </w:tcPr>
          <w:p>
            <w:pPr>
              <w:keepNext w:val="0"/>
              <w:keepLines w:val="0"/>
              <w:pageBreakBefore w:val="0"/>
              <w:widowControl/>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投诉</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投诉受理联系方式</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浙江省财政厅政府采购监管处</w:t>
            </w:r>
          </w:p>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联系人：倪老师</w:t>
            </w:r>
          </w:p>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hint="eastAsia" w:asciiTheme="minorEastAsia" w:hAnsiTheme="minorEastAsia" w:eastAsiaTheme="minorEastAsia"/>
                <w:color w:val="auto"/>
              </w:rPr>
              <w:t>其他事项</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outlineLvl w:val="9"/>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szCs w:val="21"/>
              </w:rPr>
            </w:pPr>
            <w:r>
              <w:rPr>
                <w:rFonts w:hint="eastAsia" w:asciiTheme="minorEastAsia" w:hAnsiTheme="minorEastAsia" w:eastAsiaTheme="minorEastAsia"/>
                <w:color w:val="auto"/>
              </w:rPr>
              <w:t>解释顺序</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outlineLvl w:val="9"/>
              <w:rPr>
                <w:rFonts w:cs="宋体" w:asciiTheme="minorEastAsia" w:hAnsiTheme="minorEastAsia" w:eastAsiaTheme="minorEastAsia"/>
                <w:color w:val="auto"/>
                <w:kern w:val="0"/>
                <w:szCs w:val="21"/>
              </w:rPr>
            </w:pPr>
            <w:r>
              <w:rPr>
                <w:rFonts w:hint="eastAsia" w:asciiTheme="minorEastAsia" w:hAnsiTheme="minorEastAsia" w:eastAsiaTheme="minorEastAsia"/>
                <w:color w:val="auto"/>
                <w:kern w:val="0"/>
              </w:rPr>
              <w:t>招标文件内容与投标人须知前附表不符之处，以投标人须知前附表为准，浙江信镧建设工程咨询有限公司拥有最终解释权。</w:t>
            </w:r>
          </w:p>
        </w:tc>
      </w:tr>
      <w:bookmarkEnd w:id="169"/>
      <w:bookmarkEnd w:id="21"/>
    </w:tbl>
    <w:p>
      <w:pPr>
        <w:pStyle w:val="4"/>
        <w:ind w:firstLine="0" w:firstLineChars="0"/>
        <w:rPr>
          <w:rFonts w:cs="宋体" w:asciiTheme="minorEastAsia" w:hAnsiTheme="minorEastAsia" w:eastAsiaTheme="minorEastAsia"/>
          <w:color w:val="auto"/>
          <w:szCs w:val="21"/>
        </w:rPr>
      </w:pPr>
      <w:bookmarkStart w:id="22" w:name="_Toc246996918"/>
      <w:bookmarkStart w:id="23" w:name="_Toc179632546"/>
      <w:bookmarkStart w:id="24" w:name="_Toc247085689"/>
      <w:bookmarkStart w:id="25" w:name="_Toc246996175"/>
      <w:bookmarkStart w:id="26" w:name="_Toc452457414"/>
      <w:bookmarkStart w:id="27" w:name="_Toc152042305"/>
      <w:bookmarkStart w:id="28" w:name="_Toc152045529"/>
      <w:bookmarkStart w:id="29" w:name="_Toc144974497"/>
      <w:bookmarkStart w:id="30" w:name="_Toc296602420"/>
      <w:r>
        <w:rPr>
          <w:rFonts w:hint="eastAsia" w:asciiTheme="minorEastAsia" w:hAnsiTheme="minorEastAsia" w:eastAsiaTheme="minorEastAsia"/>
          <w:color w:val="auto"/>
        </w:rPr>
        <w:br w:type="page"/>
      </w:r>
      <w:bookmarkEnd w:id="22"/>
      <w:bookmarkEnd w:id="23"/>
      <w:bookmarkEnd w:id="24"/>
      <w:bookmarkEnd w:id="25"/>
      <w:bookmarkEnd w:id="26"/>
      <w:bookmarkEnd w:id="27"/>
      <w:bookmarkEnd w:id="28"/>
      <w:bookmarkEnd w:id="29"/>
      <w:bookmarkEnd w:id="30"/>
      <w:bookmarkStart w:id="31" w:name="_Toc30857"/>
      <w:bookmarkStart w:id="32" w:name="_Toc82873322"/>
      <w:bookmarkStart w:id="33" w:name="_Toc450840073"/>
      <w:bookmarkStart w:id="34" w:name="_Toc82338239"/>
      <w:bookmarkStart w:id="35" w:name="_Toc246996176"/>
      <w:bookmarkStart w:id="36" w:name="_Toc152045530"/>
      <w:bookmarkStart w:id="37" w:name="_Toc296602421"/>
      <w:bookmarkStart w:id="38" w:name="_Toc179632547"/>
      <w:bookmarkStart w:id="39" w:name="_Toc144974498"/>
      <w:bookmarkStart w:id="40" w:name="_Toc246996919"/>
      <w:bookmarkStart w:id="41" w:name="_Toc247085690"/>
      <w:bookmarkStart w:id="42" w:name="_Toc152042306"/>
      <w:r>
        <w:rPr>
          <w:rFonts w:hint="eastAsia" w:cs="宋体" w:asciiTheme="minorEastAsia" w:hAnsiTheme="minorEastAsia" w:eastAsiaTheme="minorEastAsia"/>
          <w:color w:val="auto"/>
          <w:szCs w:val="21"/>
        </w:rPr>
        <w:t>1采购说明</w:t>
      </w:r>
      <w:bookmarkEnd w:id="31"/>
      <w:bookmarkEnd w:id="32"/>
      <w:bookmarkEnd w:id="33"/>
      <w:bookmarkEnd w:id="34"/>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1.1采购法律依据</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定义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（一）“采购代理机构”系指浙江信镧建设工程咨询有限公司。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（二）“投标人”、“供应商”系指</w:t>
      </w:r>
      <w:r>
        <w:rPr>
          <w:rFonts w:hint="eastAsia" w:cs="宋体" w:asciiTheme="minorEastAsia" w:hAnsiTheme="minorEastAsia" w:eastAsiaTheme="minorEastAsia"/>
          <w:color w:val="auto"/>
          <w:kern w:val="0"/>
          <w:szCs w:val="21"/>
        </w:rPr>
        <w:t>向采购人提交投标文件的法人、其他组织或者自然人</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（四）“服务”系指按招标文件规定投标人须承担的劳务以及其他类似的义务。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（五）“采购人”系指“见投标人须知前附表”。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（六）“★”指应当实质性响应的内容或条款</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”为重要条款</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color w:val="auto"/>
          <w:szCs w:val="21"/>
        </w:rPr>
      </w:pPr>
      <w:bookmarkStart w:id="43" w:name="_Hlk8572289"/>
      <w:r>
        <w:rPr>
          <w:rFonts w:hint="eastAsia" w:cs="宋体" w:asciiTheme="minorEastAsia" w:hAnsiTheme="minorEastAsia" w:eastAsiaTheme="minorEastAsia"/>
          <w:color w:val="auto"/>
          <w:szCs w:val="21"/>
        </w:rPr>
        <w:t>（九）</w:t>
      </w:r>
      <w:bookmarkStart w:id="44" w:name="_Hlk8572236"/>
      <w:r>
        <w:rPr>
          <w:rFonts w:hint="eastAsia" w:cs="宋体" w:asciiTheme="minorEastAsia" w:hAnsiTheme="minorEastAsia" w:eastAsiaTheme="minorEastAsia"/>
          <w:color w:val="auto"/>
          <w:szCs w:val="21"/>
        </w:rPr>
        <w:t>“公章”</w:t>
      </w:r>
      <w:bookmarkEnd w:id="44"/>
      <w:r>
        <w:rPr>
          <w:rFonts w:hint="eastAsia" w:cs="宋体" w:asciiTheme="minorEastAsia" w:hAnsiTheme="minorEastAsia" w:eastAsiaTheme="minorEastAsia"/>
          <w:color w:val="auto"/>
          <w:szCs w:val="21"/>
        </w:rPr>
        <w:t>指投标人的行政章，采购人、采购代理机构不接受加盖其他印鉴的投标文件（如合同章、投标专用章、有序号的章等印鉴）。</w:t>
      </w:r>
    </w:p>
    <w:bookmarkEnd w:id="43"/>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1.2合格的投标人资格要求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详见招标公告</w:t>
      </w:r>
    </w:p>
    <w:p>
      <w:pPr>
        <w:pStyle w:val="7"/>
        <w:ind w:firstLine="0" w:firstLineChars="0"/>
        <w:rPr>
          <w:rFonts w:cs="宋体" w:asciiTheme="minorEastAsia" w:hAnsiTheme="minorEastAsia" w:eastAsiaTheme="minorEastAsia"/>
          <w:color w:val="auto"/>
          <w:szCs w:val="21"/>
        </w:rPr>
      </w:pPr>
      <w:bookmarkStart w:id="45" w:name="_Hlk8239466"/>
      <w:r>
        <w:rPr>
          <w:rFonts w:hint="eastAsia" w:cs="宋体" w:asciiTheme="minorEastAsia" w:hAnsiTheme="minorEastAsia" w:eastAsiaTheme="minorEastAsia"/>
          <w:color w:val="auto"/>
          <w:szCs w:val="21"/>
        </w:rPr>
        <w:t>1.3对投标人的限制及委托有关说明</w:t>
      </w:r>
    </w:p>
    <w:bookmarkEnd w:id="45"/>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1.4投标费用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color w:val="auto"/>
          <w:szCs w:val="21"/>
        </w:rPr>
      </w:pPr>
      <w:bookmarkStart w:id="46" w:name="_Toc450840074"/>
      <w:bookmarkStart w:id="47" w:name="_Toc6227646"/>
      <w:bookmarkStart w:id="48" w:name="_Toc82873323"/>
      <w:bookmarkStart w:id="49" w:name="_Toc82338240"/>
      <w:bookmarkStart w:id="50" w:name="_Toc14043"/>
      <w:r>
        <w:rPr>
          <w:rFonts w:hint="eastAsia" w:cs="宋体" w:asciiTheme="minorEastAsia" w:hAnsiTheme="minorEastAsia" w:eastAsiaTheme="minorEastAsia"/>
          <w:color w:val="auto"/>
          <w:szCs w:val="21"/>
        </w:rPr>
        <w:t>2招标文件</w:t>
      </w:r>
      <w:bookmarkEnd w:id="46"/>
      <w:bookmarkEnd w:id="47"/>
      <w:bookmarkEnd w:id="48"/>
      <w:bookmarkEnd w:id="49"/>
      <w:bookmarkEnd w:id="50"/>
    </w:p>
    <w:p>
      <w:pPr>
        <w:pStyle w:val="6"/>
        <w:rPr>
          <w:color w:val="auto"/>
        </w:rPr>
      </w:pPr>
      <w:r>
        <w:rPr>
          <w:rFonts w:hint="eastAsia"/>
          <w:color w:val="auto"/>
        </w:rPr>
        <w:t>2.1招标文件的组成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招标文件由招标文件目录所列内容及招标补充文件（如有）等组成。</w:t>
      </w:r>
    </w:p>
    <w:p>
      <w:pPr>
        <w:pStyle w:val="6"/>
        <w:rPr>
          <w:color w:val="auto"/>
        </w:rPr>
      </w:pPr>
      <w:r>
        <w:rPr>
          <w:rFonts w:hint="eastAsia"/>
          <w:color w:val="auto"/>
        </w:rPr>
        <w:t>2.2招标文件的澄清与修改</w:t>
      </w:r>
    </w:p>
    <w:p>
      <w:pPr>
        <w:ind w:firstLine="420"/>
        <w:rPr>
          <w:rFonts w:cs="宋体" w:asciiTheme="minorEastAsia" w:hAnsiTheme="minorEastAsia" w:eastAsiaTheme="minorEastAsia"/>
          <w:color w:val="auto"/>
          <w:szCs w:val="21"/>
        </w:rPr>
      </w:pPr>
      <w:bookmarkStart w:id="51" w:name="_Toc82338241"/>
      <w:bookmarkStart w:id="52" w:name="_Toc6227647"/>
      <w:bookmarkStart w:id="53" w:name="_Toc82873324"/>
      <w:bookmarkStart w:id="54" w:name="_Toc450840075"/>
      <w:r>
        <w:rPr>
          <w:rFonts w:hint="eastAsia" w:cs="宋体" w:asciiTheme="minorEastAsia" w:hAnsiTheme="minorEastAsia" w:eastAsiaTheme="minorEastAsia"/>
          <w:color w:val="auto"/>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2.2.5当招标文件与补充文件就同一内容的表述不一致时，以最后发出的书面文件为准。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2.2.6任何口头答复均不属于招标文件的组成部分。</w:t>
      </w:r>
    </w:p>
    <w:p>
      <w:pPr>
        <w:pStyle w:val="5"/>
        <w:rPr>
          <w:rFonts w:cs="宋体" w:asciiTheme="minorEastAsia" w:hAnsiTheme="minorEastAsia" w:eastAsiaTheme="minorEastAsia"/>
          <w:color w:val="auto"/>
          <w:szCs w:val="21"/>
        </w:rPr>
      </w:pPr>
      <w:bookmarkStart w:id="55" w:name="_Toc28825"/>
      <w:r>
        <w:rPr>
          <w:rFonts w:hint="eastAsia" w:cs="宋体" w:asciiTheme="minorEastAsia" w:hAnsiTheme="minorEastAsia" w:eastAsiaTheme="minorEastAsia"/>
          <w:color w:val="auto"/>
          <w:szCs w:val="21"/>
        </w:rPr>
        <w:t>3投标文件</w:t>
      </w:r>
      <w:bookmarkEnd w:id="51"/>
      <w:bookmarkEnd w:id="52"/>
      <w:bookmarkEnd w:id="53"/>
      <w:bookmarkEnd w:id="54"/>
      <w:bookmarkEnd w:id="55"/>
    </w:p>
    <w:p>
      <w:pPr>
        <w:pStyle w:val="6"/>
        <w:rPr>
          <w:color w:val="auto"/>
        </w:rPr>
      </w:pPr>
      <w:bookmarkStart w:id="56" w:name="_Hlk8239818"/>
      <w:r>
        <w:rPr>
          <w:rFonts w:hint="eastAsia"/>
          <w:color w:val="auto"/>
        </w:rPr>
        <w:t>3.1投标文件的组成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投标文件由资格证明文件、报价文件、商务技术文件三部分组成。投标文件的组成和格式见本招标文件第五章。</w:t>
      </w:r>
    </w:p>
    <w:p>
      <w:pPr>
        <w:pStyle w:val="6"/>
        <w:rPr>
          <w:color w:val="auto"/>
        </w:rPr>
      </w:pPr>
      <w:r>
        <w:rPr>
          <w:rFonts w:hint="eastAsia"/>
          <w:color w:val="auto"/>
        </w:rPr>
        <w:t>3.2投标文件的编制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color w:val="auto"/>
          <w:szCs w:val="21"/>
        </w:rPr>
        <w:t>否则可能导致不利于对其投标的评定</w:t>
      </w:r>
      <w:r>
        <w:rPr>
          <w:rFonts w:hint="eastAsia" w:cs="宋体" w:asciiTheme="minorEastAsia" w:hAnsiTheme="minorEastAsia" w:eastAsiaTheme="minorEastAsia"/>
          <w:color w:val="auto"/>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3.2.2投标人应按照上述第3.</w:t>
      </w:r>
      <w:r>
        <w:rPr>
          <w:rFonts w:cs="宋体" w:asciiTheme="minorEastAsia" w:hAnsiTheme="minorEastAsia" w:eastAsiaTheme="minorEastAsia"/>
          <w:color w:val="auto"/>
          <w:szCs w:val="21"/>
        </w:rPr>
        <w:t>2.1</w:t>
      </w:r>
      <w:r>
        <w:rPr>
          <w:rFonts w:hint="eastAsia" w:cs="宋体" w:asciiTheme="minorEastAsia" w:hAnsiTheme="minorEastAsia" w:eastAsiaTheme="minorEastAsia"/>
          <w:color w:val="auto"/>
          <w:szCs w:val="21"/>
        </w:rPr>
        <w:t>条及投标人须知前附表中所提出的要求编写。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3.2.3投标文件应当对招标文件规定的实质性内容应当作出明确响应。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3.2.5投标文件由投标人的法定代表人或其委托代理人签字（或盖章）、盖单位公章。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3.2.6投标文件份数要求详见“投标人须知前附表”。</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3.2.7投标文件编制、签署、盖章、装订及密封要求详见“投标人须知前附表”。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rPr>
        <w:t>3.2.8</w:t>
      </w:r>
      <w:r>
        <w:rPr>
          <w:rFonts w:hint="eastAsia" w:cs="宋体" w:asciiTheme="minorEastAsia" w:hAnsiTheme="minorEastAsia" w:eastAsiaTheme="minorEastAsia"/>
          <w:color w:val="auto"/>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3.2.9投标文件因字迹潦草或表达不清楚所引起的后果由投标人负责。</w:t>
      </w:r>
    </w:p>
    <w:bookmarkEnd w:id="56"/>
    <w:p>
      <w:pPr>
        <w:pStyle w:val="6"/>
        <w:rPr>
          <w:color w:val="auto"/>
        </w:rPr>
      </w:pPr>
      <w:r>
        <w:rPr>
          <w:rFonts w:hint="eastAsia"/>
          <w:color w:val="auto"/>
        </w:rPr>
        <w:t>3.3报价要求</w:t>
      </w:r>
    </w:p>
    <w:p>
      <w:pPr>
        <w:ind w:firstLine="420"/>
        <w:rPr>
          <w:rFonts w:hint="eastAsia" w:ascii="宋体" w:hAnsi="宋体" w:eastAsia="宋体" w:cs="宋体"/>
          <w:color w:val="auto"/>
        </w:rPr>
      </w:pPr>
      <w:r>
        <w:rPr>
          <w:rFonts w:hint="eastAsia" w:cs="宋体" w:asciiTheme="minorEastAsia" w:hAnsiTheme="minorEastAsia" w:eastAsiaTheme="minorEastAsia"/>
          <w:color w:val="auto"/>
          <w:szCs w:val="21"/>
        </w:rPr>
        <w:t>3.3.1投标报价：</w:t>
      </w:r>
      <w:r>
        <w:rPr>
          <w:rFonts w:hint="eastAsia" w:ascii="宋体" w:hAnsi="宋体" w:eastAsia="宋体" w:cs="宋体"/>
          <w:color w:val="auto"/>
        </w:rPr>
        <w:t>将人工费、材料费、</w:t>
      </w:r>
      <w:r>
        <w:rPr>
          <w:rFonts w:hint="eastAsia" w:ascii="宋体" w:hAnsi="宋体" w:eastAsia="宋体" w:cs="宋体"/>
          <w:color w:val="auto"/>
          <w:lang w:eastAsia="zh-CN"/>
        </w:rPr>
        <w:t>运</w:t>
      </w:r>
      <w:r>
        <w:rPr>
          <w:rFonts w:hint="eastAsia" w:ascii="宋体" w:hAnsi="宋体" w:eastAsia="宋体" w:cs="宋体"/>
          <w:color w:val="auto"/>
        </w:rPr>
        <w:t>费、</w:t>
      </w:r>
      <w:r>
        <w:rPr>
          <w:rFonts w:hint="eastAsia" w:ascii="宋体" w:hAnsi="宋体" w:eastAsia="宋体" w:cs="宋体"/>
          <w:color w:val="auto"/>
          <w:lang w:eastAsia="zh-CN"/>
        </w:rPr>
        <w:t>稿费、翻译费、</w:t>
      </w:r>
      <w:r>
        <w:rPr>
          <w:rFonts w:hint="eastAsia" w:ascii="宋体" w:hAnsi="宋体" w:eastAsia="宋体" w:cs="宋体"/>
          <w:color w:val="auto"/>
        </w:rPr>
        <w:t>管理费、税金、利润等完成所投标项规定的服务内容所产生的全部费用及采购代理服务费均包含在总价之中。</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投标人对所投标项的</w:t>
      </w:r>
      <w:r>
        <w:rPr>
          <w:rFonts w:hint="eastAsia" w:cs="宋体" w:asciiTheme="minorEastAsia" w:hAnsiTheme="minorEastAsia" w:eastAsiaTheme="minorEastAsia"/>
          <w:bCs/>
          <w:color w:val="auto"/>
          <w:szCs w:val="21"/>
          <w:lang w:val="en-US" w:eastAsia="zh-CN"/>
        </w:rPr>
        <w:t>服务</w:t>
      </w:r>
      <w:r>
        <w:rPr>
          <w:rFonts w:hint="eastAsia" w:cs="宋体" w:asciiTheme="minorEastAsia" w:hAnsiTheme="minorEastAsia" w:eastAsiaTheme="minorEastAsia"/>
          <w:bCs/>
          <w:color w:val="auto"/>
          <w:szCs w:val="21"/>
        </w:rPr>
        <w:t>必须按采购数量全部进行报价。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每标项只允许有一个报价，不接受有选择报价的投标文件。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投标报价明细表应按不同费用类别分类填写，详见投标文件附件格式。</w:t>
      </w:r>
    </w:p>
    <w:p>
      <w:pPr>
        <w:pStyle w:val="6"/>
        <w:rPr>
          <w:color w:val="auto"/>
        </w:rPr>
      </w:pPr>
      <w:bookmarkStart w:id="57" w:name="_Toc82873316"/>
      <w:bookmarkStart w:id="58" w:name="_Toc450840079"/>
      <w:bookmarkStart w:id="59" w:name="_Toc82338233"/>
      <w:r>
        <w:rPr>
          <w:rFonts w:hint="eastAsia"/>
          <w:color w:val="auto"/>
        </w:rPr>
        <w:t>3.4投标有效期</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3.4.1投标有效期见投标人须知前附表。投标有效期内，投标文件应保持有效。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3.4.3投标人可拒绝接受延期。</w:t>
      </w:r>
    </w:p>
    <w:p>
      <w:pPr>
        <w:pStyle w:val="5"/>
        <w:rPr>
          <w:rFonts w:cs="宋体" w:asciiTheme="minorEastAsia" w:hAnsiTheme="minorEastAsia" w:eastAsiaTheme="minorEastAsia"/>
          <w:color w:val="auto"/>
          <w:szCs w:val="21"/>
        </w:rPr>
      </w:pPr>
      <w:bookmarkStart w:id="60" w:name="_Toc82338242"/>
      <w:bookmarkStart w:id="61" w:name="_Toc82873325"/>
      <w:bookmarkStart w:id="62" w:name="_Toc450840076"/>
      <w:bookmarkStart w:id="63" w:name="_Toc29038"/>
      <w:bookmarkStart w:id="64" w:name="_Toc6227648"/>
      <w:r>
        <w:rPr>
          <w:rFonts w:hint="eastAsia" w:cs="宋体" w:asciiTheme="minorEastAsia" w:hAnsiTheme="minorEastAsia" w:eastAsiaTheme="minorEastAsia"/>
          <w:color w:val="auto"/>
          <w:szCs w:val="21"/>
        </w:rPr>
        <w:t>4投标文件的提交</w:t>
      </w:r>
      <w:bookmarkEnd w:id="60"/>
      <w:bookmarkEnd w:id="61"/>
      <w:bookmarkEnd w:id="62"/>
      <w:bookmarkEnd w:id="63"/>
      <w:bookmarkEnd w:id="64"/>
    </w:p>
    <w:p>
      <w:pPr>
        <w:pStyle w:val="6"/>
        <w:rPr>
          <w:color w:val="auto"/>
        </w:rPr>
      </w:pPr>
      <w:r>
        <w:rPr>
          <w:rFonts w:hint="eastAsia"/>
          <w:color w:val="auto"/>
        </w:rPr>
        <w:t>4.1投标文件的标记、装订及密封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4.1.1见投标人须知前附表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4.1.2如果投标人未按上述要求密封及加写标记，采购人对投标文件的误投和提前启封不负责任。</w:t>
      </w:r>
    </w:p>
    <w:p>
      <w:pPr>
        <w:pStyle w:val="6"/>
        <w:rPr>
          <w:color w:val="auto"/>
        </w:rPr>
      </w:pPr>
      <w:bookmarkStart w:id="65" w:name="_Hlk8240030"/>
      <w:r>
        <w:rPr>
          <w:rFonts w:hint="eastAsia"/>
          <w:color w:val="auto"/>
        </w:rPr>
        <w:t>4.2投标截止时间及截止时间的变更</w:t>
      </w:r>
    </w:p>
    <w:p>
      <w:pPr>
        <w:ind w:firstLine="420"/>
        <w:rPr>
          <w:rFonts w:asciiTheme="minorEastAsia" w:hAnsiTheme="minorEastAsia" w:eastAsiaTheme="minorEastAsia"/>
          <w:bCs/>
          <w:color w:val="auto"/>
        </w:rPr>
      </w:pPr>
      <w:r>
        <w:rPr>
          <w:rFonts w:hint="eastAsia" w:asciiTheme="minorEastAsia" w:hAnsiTheme="minorEastAsia" w:eastAsiaTheme="minorEastAsia"/>
          <w:bCs/>
          <w:color w:val="auto"/>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4.2.2采购人如因故推迟投标截止时间，将在投标截止时间前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5"/>
    <w:p>
      <w:pPr>
        <w:pStyle w:val="6"/>
        <w:rPr>
          <w:color w:val="auto"/>
        </w:rPr>
      </w:pPr>
      <w:r>
        <w:rPr>
          <w:rFonts w:hint="eastAsia"/>
          <w:color w:val="auto"/>
        </w:rPr>
        <w:t>4.3投标文件的修改和撤回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4.3.4</w:t>
      </w:r>
      <w:bookmarkStart w:id="66" w:name="_Hlk8240140"/>
      <w:r>
        <w:rPr>
          <w:rFonts w:hint="eastAsia" w:cs="宋体" w:asciiTheme="minorEastAsia" w:hAnsiTheme="minorEastAsia" w:eastAsiaTheme="minorEastAsia"/>
          <w:color w:val="auto"/>
          <w:szCs w:val="21"/>
        </w:rPr>
        <w:t>投标截止时间之前，</w:t>
      </w:r>
      <w:bookmarkEnd w:id="66"/>
      <w:r>
        <w:rPr>
          <w:rFonts w:hint="eastAsia" w:cs="宋体" w:asciiTheme="minorEastAsia" w:hAnsiTheme="minorEastAsia" w:eastAsiaTheme="minorEastAsia"/>
          <w:color w:val="auto"/>
          <w:szCs w:val="21"/>
        </w:rPr>
        <w:t>投标人以传真形式通知采购人撤回投标时，必须随后补充有法定代表人或法定代表人授权委托人签署的正式文件。</w:t>
      </w:r>
    </w:p>
    <w:p>
      <w:pPr>
        <w:pStyle w:val="6"/>
        <w:rPr>
          <w:color w:val="auto"/>
        </w:rPr>
      </w:pPr>
      <w:r>
        <w:rPr>
          <w:rFonts w:hint="eastAsia"/>
          <w:color w:val="auto"/>
        </w:rPr>
        <w:t>4.4投标文件的澄清与修正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4.4.2投标文件报价出现前后不一致的，除招标文件另有规定外，按照下列规定修正：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（二）大写金额和小写金额不一致的，以大写金额为准；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（三）单价金额小数点或者百分比有明显错位的，以开标一览表的总价为准，并修改单价；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（四）总价金额与按单价汇总金额不一致的，以单价金额计算结果为准。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color w:val="auto"/>
          <w:szCs w:val="21"/>
        </w:rPr>
      </w:pPr>
      <w:bookmarkStart w:id="67" w:name="_Toc82338243"/>
      <w:bookmarkStart w:id="68" w:name="_Toc82873326"/>
      <w:bookmarkStart w:id="69" w:name="_Toc450840077"/>
      <w:bookmarkStart w:id="70" w:name="_Toc482006357"/>
      <w:bookmarkStart w:id="71" w:name="_Toc6227649"/>
      <w:bookmarkStart w:id="72" w:name="_Toc2078365"/>
      <w:bookmarkStart w:id="73" w:name="_Toc49"/>
      <w:r>
        <w:rPr>
          <w:rFonts w:hint="eastAsia" w:cs="宋体" w:asciiTheme="minorEastAsia" w:hAnsiTheme="minorEastAsia" w:eastAsiaTheme="minorEastAsia"/>
          <w:color w:val="auto"/>
          <w:szCs w:val="21"/>
        </w:rPr>
        <w:t>5开标、评</w:t>
      </w:r>
      <w:bookmarkEnd w:id="67"/>
      <w:bookmarkEnd w:id="68"/>
      <w:r>
        <w:rPr>
          <w:rFonts w:hint="eastAsia" w:cs="宋体" w:asciiTheme="minorEastAsia" w:hAnsiTheme="minorEastAsia" w:eastAsiaTheme="minorEastAsia"/>
          <w:color w:val="auto"/>
          <w:szCs w:val="21"/>
        </w:rPr>
        <w:t>标及</w:t>
      </w:r>
      <w:bookmarkEnd w:id="69"/>
      <w:bookmarkEnd w:id="70"/>
      <w:bookmarkEnd w:id="71"/>
      <w:bookmarkEnd w:id="72"/>
      <w:r>
        <w:rPr>
          <w:rFonts w:hint="eastAsia" w:cs="宋体" w:asciiTheme="minorEastAsia" w:hAnsiTheme="minorEastAsia" w:eastAsiaTheme="minorEastAsia"/>
          <w:color w:val="auto"/>
          <w:szCs w:val="21"/>
        </w:rPr>
        <w:t>定标</w:t>
      </w:r>
      <w:bookmarkEnd w:id="73"/>
    </w:p>
    <w:p>
      <w:pPr>
        <w:pStyle w:val="6"/>
        <w:rPr>
          <w:color w:val="auto"/>
        </w:rPr>
      </w:pPr>
      <w:r>
        <w:rPr>
          <w:rFonts w:hint="eastAsia"/>
          <w:color w:val="auto"/>
        </w:rPr>
        <w:t>5.1开标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（1）采购代理机构工作人员开启开标场地的录音录像采集设备，并确保其正常运行。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（10）评标结束后，主持人公布投标人的资信和技术及报价的评审总得分与排序。</w:t>
      </w:r>
    </w:p>
    <w:p>
      <w:pPr>
        <w:pStyle w:val="6"/>
        <w:rPr>
          <w:color w:val="auto"/>
        </w:rPr>
      </w:pPr>
      <w:r>
        <w:rPr>
          <w:rFonts w:hint="eastAsia"/>
          <w:color w:val="auto"/>
        </w:rPr>
        <w:t>5.2投标人不足三家情况处理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（1）将本标项作废标处理，重新组织采购；</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（2）根据财政部门的审批意见采用其他采购方式组织采购。</w:t>
      </w:r>
    </w:p>
    <w:p>
      <w:pPr>
        <w:pStyle w:val="6"/>
        <w:rPr>
          <w:color w:val="auto"/>
        </w:rPr>
      </w:pPr>
      <w:r>
        <w:rPr>
          <w:rFonts w:hint="eastAsia"/>
          <w:color w:val="auto"/>
        </w:rPr>
        <w:t>5.3审查内容</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5.3.1投标文件资格性审查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5.3.2投标文件符合性审查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rPr>
          <w:color w:val="auto"/>
        </w:rPr>
      </w:pPr>
      <w:r>
        <w:rPr>
          <w:rFonts w:hint="eastAsia"/>
          <w:color w:val="auto"/>
        </w:rPr>
        <w:t>5.4评标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5.4.1评标原则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5.4.2评标组织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5.4.2.1评标工作由采购人或采购代理机构组建的评标委员会负责。评标委员会由采购人代表和评审专家组成，成员人数应当为5人以上单数，其中评审专家不得少于成员总数的三分之二。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5.4.3评标纪律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5.4.3.2评标委员会应遵循公平、公正、科学、择优的原则，</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color w:val="auto"/>
          <w:szCs w:val="21"/>
        </w:rPr>
        <w:t>招标文件及其评标办法没有规定的方法、评审因素、标准和程序，不得作为评标依据。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5.4.3.3评标委员会对投标文件的判定，只依据投标文件内容本身，不依靠开标后的任何外来证明。</w:t>
      </w:r>
    </w:p>
    <w:p>
      <w:pPr>
        <w:pStyle w:val="6"/>
        <w:rPr>
          <w:color w:val="auto"/>
        </w:rPr>
      </w:pPr>
      <w:r>
        <w:rPr>
          <w:rFonts w:hint="eastAsia"/>
          <w:color w:val="auto"/>
        </w:rPr>
        <w:t>5.5评标流程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对通过资格审查的投标文件，由评标委员会进行评标，流程是：</w:t>
      </w:r>
    </w:p>
    <w:p>
      <w:pPr>
        <w:ind w:firstLine="420"/>
        <w:rPr>
          <w:rFonts w:cs="宋体" w:asciiTheme="minorEastAsia" w:hAnsiTheme="minorEastAsia" w:eastAsiaTheme="minorEastAsia"/>
          <w:color w:val="auto"/>
          <w:szCs w:val="21"/>
        </w:rPr>
      </w:pPr>
      <w:bookmarkStart w:id="74" w:name="_Hlk7904078"/>
      <w:r>
        <w:rPr>
          <w:rFonts w:hint="eastAsia" w:cs="宋体" w:asciiTheme="minorEastAsia" w:hAnsiTheme="minorEastAsia" w:eastAsiaTheme="minorEastAsia"/>
          <w:color w:val="auto"/>
          <w:szCs w:val="21"/>
        </w:rPr>
        <w:t>评标委员会推荐组长—符合性审查—资信部分评审打分—商务、技术部分评审打分—公布资信、技术总得分—公开唱投标报价—报价文件审查、计算报价得分—编写评标报告，并签署—宣布评标结果。</w:t>
      </w:r>
      <w:bookmarkEnd w:id="74"/>
    </w:p>
    <w:p>
      <w:pPr>
        <w:pStyle w:val="6"/>
        <w:rPr>
          <w:color w:val="auto"/>
        </w:rPr>
      </w:pPr>
      <w:r>
        <w:rPr>
          <w:rFonts w:hint="eastAsia"/>
          <w:color w:val="auto"/>
        </w:rPr>
        <w:t>5.6评标报告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评标结束后，评标委员会应当向采购人提交评标报告。</w:t>
      </w:r>
    </w:p>
    <w:p>
      <w:pPr>
        <w:pStyle w:val="6"/>
        <w:rPr>
          <w:color w:val="auto"/>
        </w:rPr>
      </w:pPr>
      <w:r>
        <w:rPr>
          <w:rFonts w:hint="eastAsia"/>
          <w:color w:val="auto"/>
        </w:rPr>
        <w:t>5.7开标评标过程的监控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开标评标过程实行全程录音录像。</w:t>
      </w:r>
    </w:p>
    <w:p>
      <w:pPr>
        <w:pStyle w:val="6"/>
        <w:rPr>
          <w:color w:val="auto"/>
        </w:rPr>
      </w:pPr>
      <w:r>
        <w:rPr>
          <w:rFonts w:hint="eastAsia"/>
          <w:color w:val="auto"/>
        </w:rPr>
        <w:t>5.8评标过程保密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5.8.2在评标期间，投标人企图影响采购人、采购代理机构、评标委员会及其成员的任何违法违规活动，将导致投标被拒绝，并承担相应的法律责任。</w:t>
      </w:r>
    </w:p>
    <w:p>
      <w:pPr>
        <w:pStyle w:val="6"/>
        <w:rPr>
          <w:color w:val="auto"/>
        </w:rPr>
      </w:pPr>
      <w:r>
        <w:rPr>
          <w:rFonts w:hint="eastAsia"/>
          <w:color w:val="auto"/>
        </w:rPr>
        <w:t>5.9中标条件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5.9.1通过资格审查的。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5.9.2投标文件完全响应招标文件中的实质性要求。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5.9.3有良好的合同执行能力和售后服务承诺。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5.9.4采购人将把中标通知书授予经评标委员会评审综合评分第一的中标候选人</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最低报价并不是中标的保证。</w:t>
      </w:r>
    </w:p>
    <w:p>
      <w:pPr>
        <w:pStyle w:val="6"/>
        <w:rPr>
          <w:color w:val="auto"/>
        </w:rPr>
      </w:pPr>
      <w:r>
        <w:rPr>
          <w:rFonts w:hint="eastAsia"/>
          <w:color w:val="auto"/>
        </w:rPr>
        <w:t>5.10定标办法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（1）排名第一的候选投标人，因自身原因放弃中标成交或因不可抗力不能履行合同的；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5.10.2采购人在确定第二中标候选人为中标人的，应当在确定前向财政部门报告说明。</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不得通过对样品进行检测、对投标人进行考察等方式改变评标结果。</w:t>
      </w:r>
    </w:p>
    <w:p>
      <w:pPr>
        <w:pStyle w:val="6"/>
        <w:rPr>
          <w:color w:val="auto"/>
        </w:rPr>
      </w:pPr>
      <w:r>
        <w:rPr>
          <w:rFonts w:hint="eastAsia"/>
          <w:color w:val="auto"/>
        </w:rPr>
        <w:t>5.11落标解释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采购人、采购代理机构及评标委员会对未成交的投标人不作落标原因解释。</w:t>
      </w:r>
    </w:p>
    <w:p>
      <w:pPr>
        <w:pStyle w:val="6"/>
        <w:rPr>
          <w:color w:val="auto"/>
        </w:rPr>
      </w:pPr>
      <w:r>
        <w:rPr>
          <w:rFonts w:hint="eastAsia"/>
          <w:color w:val="auto"/>
        </w:rPr>
        <w:t>5.12中标公告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5.12.1</w:t>
      </w:r>
      <w:r>
        <w:rPr>
          <w:rFonts w:hint="eastAsia" w:asciiTheme="minorEastAsia" w:hAnsiTheme="minorEastAsia" w:eastAsiaTheme="minorEastAsia"/>
          <w:color w:val="auto"/>
          <w:szCs w:val="21"/>
        </w:rPr>
        <w:t>定标后</w:t>
      </w:r>
      <w:r>
        <w:rPr>
          <w:rFonts w:hint="eastAsia" w:cs="宋体" w:asciiTheme="minorEastAsia" w:hAnsiTheme="minorEastAsia" w:eastAsiaTheme="minorEastAsia"/>
          <w:color w:val="auto"/>
          <w:szCs w:val="21"/>
        </w:rPr>
        <w:t>，由采购代理机构在浙江政府采购网公布中标结果，同日，由采购代理机构发出中标通知书。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5.12.2公告期限为1个工作日。</w:t>
      </w:r>
    </w:p>
    <w:p>
      <w:pPr>
        <w:pStyle w:val="6"/>
        <w:rPr>
          <w:color w:val="auto"/>
        </w:rPr>
      </w:pPr>
      <w:r>
        <w:rPr>
          <w:rFonts w:hint="eastAsia"/>
          <w:color w:val="auto"/>
        </w:rPr>
        <w:t>5.13签订合同</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5.13.1中标人应在接到中标通知书后按中标通知书规定的时间内（不超过30日）与采购人签订合同</w:t>
      </w:r>
      <w:r>
        <w:rPr>
          <w:rFonts w:hint="eastAsia" w:cs="宋体" w:asciiTheme="minorEastAsia" w:hAnsiTheme="minorEastAsia" w:eastAsiaTheme="minorEastAsia"/>
          <w:bCs/>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5.13.3拒签合同的责任：除不可抗力等因素外，中标人无正当理由拒不与采购人签订政府采购合同的，应当承担相应的法律责任。</w:t>
      </w:r>
    </w:p>
    <w:p>
      <w:pPr>
        <w:pStyle w:val="6"/>
        <w:rPr>
          <w:color w:val="auto"/>
        </w:rPr>
      </w:pPr>
      <w:r>
        <w:rPr>
          <w:rFonts w:hint="eastAsia"/>
          <w:color w:val="auto"/>
        </w:rPr>
        <w:t>5.14关于要求原厂商授权的说明</w:t>
      </w:r>
    </w:p>
    <w:p>
      <w:pPr>
        <w:pStyle w:val="2"/>
        <w:spacing w:after="0" w:line="360" w:lineRule="auto"/>
        <w:ind w:firstLineChars="200"/>
        <w:rPr>
          <w:rFonts w:asciiTheme="minorEastAsia" w:hAnsiTheme="minorEastAsia" w:eastAsiaTheme="minorEastAsia"/>
          <w:color w:val="auto"/>
        </w:rPr>
      </w:pPr>
      <w:r>
        <w:rPr>
          <w:rFonts w:hint="eastAsia" w:cs="宋体" w:asciiTheme="minorEastAsia" w:hAnsiTheme="minorEastAsia" w:eastAsiaTheme="minorEastAsia"/>
          <w:color w:val="auto"/>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color w:val="auto"/>
          <w:szCs w:val="21"/>
        </w:rPr>
      </w:pPr>
      <w:bookmarkStart w:id="75" w:name="_Toc3544"/>
      <w:bookmarkStart w:id="76" w:name="_Toc439316483"/>
      <w:bookmarkStart w:id="77" w:name="_Toc6227650"/>
      <w:bookmarkStart w:id="78" w:name="_Toc2078366"/>
      <w:bookmarkStart w:id="79" w:name="_Toc450840078"/>
      <w:bookmarkStart w:id="80" w:name="_Toc444084291"/>
      <w:r>
        <w:rPr>
          <w:rFonts w:hint="eastAsia" w:cs="宋体" w:asciiTheme="minorEastAsia" w:hAnsiTheme="minorEastAsia" w:eastAsiaTheme="minorEastAsia"/>
          <w:color w:val="auto"/>
          <w:szCs w:val="21"/>
        </w:rPr>
        <w:t>6其他</w:t>
      </w:r>
      <w:bookmarkEnd w:id="75"/>
      <w:bookmarkEnd w:id="76"/>
      <w:bookmarkEnd w:id="77"/>
      <w:bookmarkEnd w:id="78"/>
      <w:bookmarkEnd w:id="79"/>
      <w:bookmarkEnd w:id="80"/>
    </w:p>
    <w:p>
      <w:pPr>
        <w:pStyle w:val="6"/>
        <w:rPr>
          <w:color w:val="auto"/>
        </w:rPr>
      </w:pPr>
      <w:r>
        <w:rPr>
          <w:rFonts w:hint="eastAsia"/>
          <w:color w:val="auto"/>
        </w:rPr>
        <w:t>6.1合同履约考核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rPr>
          <w:color w:val="auto"/>
        </w:rPr>
      </w:pPr>
      <w:r>
        <w:rPr>
          <w:rFonts w:hint="eastAsia"/>
          <w:color w:val="auto"/>
        </w:rPr>
        <w:t>6.2质疑</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6.2.1</w:t>
      </w:r>
      <w:r>
        <w:rPr>
          <w:rFonts w:hint="eastAsia" w:cs="宋体" w:asciiTheme="minorEastAsia" w:hAnsiTheme="minorEastAsia" w:eastAsiaTheme="minorEastAsia"/>
          <w:color w:val="auto"/>
          <w:kern w:val="0"/>
          <w:szCs w:val="21"/>
        </w:rPr>
        <w:t>根据《政府采购质疑和投诉办法》（财政部令第94号）的规定，</w:t>
      </w:r>
      <w:r>
        <w:rPr>
          <w:rFonts w:hint="eastAsia" w:cs="宋体" w:asciiTheme="minorEastAsia" w:hAnsiTheme="minorEastAsia" w:eastAsiaTheme="minorEastAsia"/>
          <w:color w:val="auto"/>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（1）对可以质疑的招标文件提出质疑的，为收到招标文件之日或者招标文件公告期限届满之日；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（2）对采购过程提出质疑的，为各采购程序环节结束之日；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（3）对中标或者成交结果提出质疑的，为中标或者成交结果公告期限届满之日。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6.2.2提出质疑的投标人（以下简称质疑投标人）应当是参与所质疑项目采购活动的投标人。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以联合体形式参加政府采购活动的，其投诉应当由组成联合体的所有投标人共同提出。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6.2.4投标人提交的质疑书需一式三份，质疑书至少应包括下列主要内容：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（一）投标人的姓名或者名称、地址、邮编、联系人及联系电话；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（二）质疑项目的名称、编号；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（三）具体、明确的质疑事项和与质疑事项相关的请求；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（四）事实依据；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（五）必要的法律依据；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（六）提出质疑的日期。</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rPr>
        <w:t>6.2.5</w:t>
      </w:r>
      <w:r>
        <w:rPr>
          <w:rFonts w:hint="eastAsia" w:cs="宋体" w:asciiTheme="minorEastAsia" w:hAnsiTheme="minorEastAsia" w:eastAsiaTheme="minorEastAsia"/>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rPr>
          <w:color w:val="auto"/>
        </w:rPr>
      </w:pPr>
      <w:r>
        <w:rPr>
          <w:rFonts w:hint="eastAsia"/>
          <w:color w:val="auto"/>
        </w:rPr>
        <w:t>6.3投诉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color w:val="auto"/>
          <w:kern w:val="0"/>
          <w:szCs w:val="21"/>
        </w:rPr>
        <w:t>财政部令第94号</w:t>
      </w:r>
      <w:r>
        <w:rPr>
          <w:rFonts w:hint="eastAsia" w:cs="宋体" w:asciiTheme="minorEastAsia" w:hAnsiTheme="minorEastAsia" w:eastAsiaTheme="minorEastAsia"/>
          <w:color w:val="auto"/>
          <w:szCs w:val="21"/>
          <w:shd w:val="clear" w:color="auto" w:fill="FFFFFF"/>
        </w:rPr>
        <w:t>）第六条规定的财政部门提起投诉。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6.3.3投诉人提起投诉应当符合下列条件：</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（一）提起投诉前已依法进行质疑；</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（二）投诉书内容符合本办法的规定；</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（三）在投诉有效期限内提起投诉；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（四）同一投诉事项未经财政部门投诉处理；</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（五）财政部规定的其他条件。</w:t>
      </w:r>
    </w:p>
    <w:p>
      <w:pPr>
        <w:ind w:firstLine="422"/>
        <w:rPr>
          <w:rFonts w:cs="宋体" w:asciiTheme="minorEastAsia" w:hAnsiTheme="minorEastAsia" w:eastAsiaTheme="minorEastAsia"/>
          <w:b/>
          <w:color w:val="auto"/>
          <w:szCs w:val="21"/>
          <w:shd w:val="clear" w:color="auto" w:fill="FFFFFF"/>
        </w:rPr>
      </w:pPr>
      <w:r>
        <w:rPr>
          <w:rFonts w:hint="eastAsia" w:cs="宋体" w:asciiTheme="minorEastAsia" w:hAnsiTheme="minorEastAsia" w:eastAsiaTheme="minorEastAsia"/>
          <w:b/>
          <w:color w:val="auto"/>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（一）捏造事实；</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（二）提供虚假材料；</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color w:val="auto"/>
          <w:szCs w:val="21"/>
          <w:shd w:val="clear" w:color="auto" w:fill="FFFFFF"/>
        </w:rPr>
        <w:sectPr>
          <w:footerReference r:id="rId14" w:type="default"/>
          <w:pgSz w:w="11907" w:h="16840"/>
          <w:pgMar w:top="1247" w:right="1304" w:bottom="1020" w:left="1304" w:header="720" w:footer="720" w:gutter="0"/>
          <w:pgNumType w:start="1"/>
          <w:cols w:space="0" w:num="1"/>
          <w:docGrid w:linePitch="286" w:charSpace="0"/>
        </w:sectPr>
      </w:pPr>
    </w:p>
    <w:bookmarkEnd w:id="57"/>
    <w:bookmarkEnd w:id="58"/>
    <w:bookmarkEnd w:id="59"/>
    <w:p>
      <w:pPr>
        <w:pStyle w:val="4"/>
        <w:ind w:firstLine="0" w:firstLineChars="0"/>
        <w:rPr>
          <w:rFonts w:asciiTheme="minorEastAsia" w:hAnsiTheme="minorEastAsia" w:eastAsiaTheme="minorEastAsia"/>
          <w:color w:val="auto"/>
          <w:sz w:val="32"/>
          <w:szCs w:val="32"/>
        </w:rPr>
      </w:pPr>
      <w:bookmarkStart w:id="81" w:name="_Toc82338234"/>
      <w:bookmarkStart w:id="82" w:name="_Toc82873317"/>
      <w:bookmarkStart w:id="83" w:name="_Toc11777"/>
      <w:bookmarkStart w:id="84" w:name="_Toc450840083"/>
      <w:r>
        <w:rPr>
          <w:rFonts w:hint="eastAsia" w:asciiTheme="minorEastAsia" w:hAnsiTheme="minorEastAsia" w:eastAsiaTheme="minorEastAsia"/>
          <w:color w:val="auto"/>
          <w:sz w:val="32"/>
          <w:szCs w:val="32"/>
        </w:rPr>
        <w:t>第二章 采购项目技术规范和要求</w:t>
      </w:r>
      <w:bookmarkEnd w:id="81"/>
      <w:bookmarkEnd w:id="82"/>
      <w:bookmarkEnd w:id="83"/>
      <w:bookmarkEnd w:id="84"/>
    </w:p>
    <w:p>
      <w:pPr>
        <w:pStyle w:val="5"/>
        <w:rPr>
          <w:rFonts w:cs="宋体" w:asciiTheme="minorEastAsia" w:hAnsiTheme="minorEastAsia" w:eastAsiaTheme="minorEastAsia"/>
          <w:color w:val="auto"/>
          <w:szCs w:val="21"/>
        </w:rPr>
      </w:pPr>
      <w:bookmarkStart w:id="85" w:name="_Toc7902707"/>
      <w:bookmarkStart w:id="86" w:name="_Toc19806"/>
      <w:r>
        <w:rPr>
          <w:rFonts w:hint="eastAsia" w:cs="宋体" w:asciiTheme="minorEastAsia" w:hAnsiTheme="minorEastAsia" w:eastAsiaTheme="minorEastAsia"/>
          <w:color w:val="auto"/>
          <w:szCs w:val="21"/>
        </w:rPr>
        <w:t>1</w:t>
      </w:r>
      <w:bookmarkEnd w:id="85"/>
      <w:bookmarkStart w:id="87" w:name="_Toc82873318"/>
      <w:bookmarkStart w:id="88" w:name="_Toc450840084"/>
      <w:bookmarkStart w:id="89" w:name="_Toc82338235"/>
      <w:r>
        <w:rPr>
          <w:rFonts w:hint="eastAsia" w:cs="宋体" w:asciiTheme="minorEastAsia" w:hAnsiTheme="minorEastAsia" w:eastAsiaTheme="minorEastAsia"/>
          <w:color w:val="auto"/>
          <w:szCs w:val="21"/>
        </w:rPr>
        <w:t>相关法规、管理条例与技术标准、行业规范</w:t>
      </w:r>
      <w:bookmarkEnd w:id="86"/>
      <w:bookmarkEnd w:id="87"/>
      <w:bookmarkEnd w:id="88"/>
      <w:bookmarkEnd w:id="8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 国家规定的标准和规范，有新标准按新标准执行；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1.2行业标准及规范，有新标准按新标准执行；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1.3其他相关标准。</w:t>
      </w:r>
    </w:p>
    <w:p>
      <w:pPr>
        <w:pStyle w:val="5"/>
        <w:rPr>
          <w:rFonts w:cs="宋体" w:asciiTheme="minorEastAsia" w:hAnsiTheme="minorEastAsia" w:eastAsiaTheme="minorEastAsia"/>
          <w:color w:val="auto"/>
          <w:szCs w:val="21"/>
        </w:rPr>
      </w:pPr>
      <w:bookmarkStart w:id="90" w:name="_Toc7723"/>
      <w:bookmarkStart w:id="91" w:name="_Toc450840085"/>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服务要求</w:t>
      </w:r>
      <w:bookmarkEnd w:id="90"/>
    </w:p>
    <w:bookmarkEnd w:id="91"/>
    <w:p>
      <w:pPr>
        <w:autoSpaceDE w:val="0"/>
        <w:autoSpaceDN w:val="0"/>
        <w:adjustRightInd w:val="0"/>
        <w:snapToGrid w:val="0"/>
        <w:spacing w:beforeLines="10" w:line="400" w:lineRule="exact"/>
        <w:ind w:firstLine="411" w:firstLineChars="196"/>
        <w:textAlignment w:val="bottom"/>
        <w:rPr>
          <w:rFonts w:hint="eastAsia" w:ascii="宋体" w:hAnsi="宋体" w:eastAsia="宋体" w:cs="宋体"/>
          <w:sz w:val="21"/>
          <w:szCs w:val="21"/>
        </w:rPr>
      </w:pPr>
      <w:bookmarkStart w:id="92" w:name="_Toc450840086"/>
      <w:bookmarkStart w:id="93" w:name="_Toc21446"/>
      <w:r>
        <w:rPr>
          <w:rFonts w:hint="eastAsia" w:ascii="宋体" w:hAnsi="宋体" w:eastAsia="宋体" w:cs="宋体"/>
          <w:sz w:val="21"/>
          <w:szCs w:val="21"/>
        </w:rPr>
        <w:t xml:space="preserve">品 名： </w:t>
      </w:r>
      <w:r>
        <w:rPr>
          <w:rFonts w:hint="eastAsia" w:cs="宋体" w:asciiTheme="minorEastAsia" w:hAnsiTheme="minorEastAsia" w:eastAsiaTheme="minorEastAsia"/>
          <w:color w:val="auto"/>
          <w:szCs w:val="21"/>
          <w:lang w:eastAsia="zh-CN"/>
        </w:rPr>
        <w:t>《东方图案研究》</w:t>
      </w:r>
    </w:p>
    <w:tbl>
      <w:tblPr>
        <w:tblStyle w:val="26"/>
        <w:tblW w:w="8865" w:type="dxa"/>
        <w:tblInd w:w="415" w:type="dxa"/>
        <w:tblLayout w:type="fixed"/>
        <w:tblCellMar>
          <w:top w:w="0" w:type="dxa"/>
          <w:left w:w="108" w:type="dxa"/>
          <w:bottom w:w="0" w:type="dxa"/>
          <w:right w:w="108" w:type="dxa"/>
        </w:tblCellMar>
      </w:tblPr>
      <w:tblGrid>
        <w:gridCol w:w="1290"/>
        <w:gridCol w:w="2490"/>
        <w:gridCol w:w="5085"/>
      </w:tblGrid>
      <w:tr>
        <w:tblPrEx>
          <w:tblLayout w:type="fixed"/>
          <w:tblCellMar>
            <w:top w:w="0" w:type="dxa"/>
            <w:left w:w="108" w:type="dxa"/>
            <w:bottom w:w="0" w:type="dxa"/>
            <w:right w:w="108" w:type="dxa"/>
          </w:tblCellMar>
        </w:tblPrEx>
        <w:trPr>
          <w:trHeight w:val="454" w:hRule="atLeast"/>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249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内容</w:t>
            </w:r>
          </w:p>
        </w:tc>
        <w:tc>
          <w:tcPr>
            <w:tcW w:w="50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highlight w:val="none"/>
              </w:rPr>
              <w:t>要求</w:t>
            </w:r>
          </w:p>
        </w:tc>
      </w:tr>
      <w:tr>
        <w:tblPrEx>
          <w:tblLayout w:type="fixed"/>
          <w:tblCellMar>
            <w:top w:w="0" w:type="dxa"/>
            <w:left w:w="108" w:type="dxa"/>
            <w:bottom w:w="0" w:type="dxa"/>
            <w:right w:w="108" w:type="dxa"/>
          </w:tblCellMar>
        </w:tblPrEx>
        <w:trPr>
          <w:trHeight w:val="454" w:hRule="atLeast"/>
        </w:trPr>
        <w:tc>
          <w:tcPr>
            <w:tcW w:w="129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4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书名</w:t>
            </w:r>
          </w:p>
        </w:tc>
        <w:tc>
          <w:tcPr>
            <w:tcW w:w="508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《核心课程》之&lt; 东方图案研究&gt;</w:t>
            </w:r>
          </w:p>
        </w:tc>
      </w:tr>
      <w:tr>
        <w:tblPrEx>
          <w:tblLayout w:type="fixed"/>
          <w:tblCellMar>
            <w:top w:w="0" w:type="dxa"/>
            <w:left w:w="108" w:type="dxa"/>
            <w:bottom w:w="0" w:type="dxa"/>
            <w:right w:w="108" w:type="dxa"/>
          </w:tblCellMar>
        </w:tblPrEx>
        <w:trPr>
          <w:trHeight w:val="454" w:hRule="atLeast"/>
        </w:trPr>
        <w:tc>
          <w:tcPr>
            <w:tcW w:w="129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4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出版服务费</w:t>
            </w:r>
          </w:p>
        </w:tc>
        <w:tc>
          <w:tcPr>
            <w:tcW w:w="508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1本，1个书号</w:t>
            </w:r>
          </w:p>
        </w:tc>
      </w:tr>
      <w:tr>
        <w:tblPrEx>
          <w:tblLayout w:type="fixed"/>
          <w:tblCellMar>
            <w:top w:w="0" w:type="dxa"/>
            <w:left w:w="108" w:type="dxa"/>
            <w:bottom w:w="0" w:type="dxa"/>
            <w:right w:w="108" w:type="dxa"/>
          </w:tblCellMar>
        </w:tblPrEx>
        <w:trPr>
          <w:trHeight w:val="454" w:hRule="atLeast"/>
        </w:trPr>
        <w:tc>
          <w:tcPr>
            <w:tcW w:w="129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4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开本</w:t>
            </w:r>
          </w:p>
        </w:tc>
        <w:tc>
          <w:tcPr>
            <w:tcW w:w="508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16开</w:t>
            </w:r>
          </w:p>
        </w:tc>
      </w:tr>
      <w:tr>
        <w:tblPrEx>
          <w:tblLayout w:type="fixed"/>
          <w:tblCellMar>
            <w:top w:w="0" w:type="dxa"/>
            <w:left w:w="108" w:type="dxa"/>
            <w:bottom w:w="0" w:type="dxa"/>
            <w:right w:w="108" w:type="dxa"/>
          </w:tblCellMar>
        </w:tblPrEx>
        <w:trPr>
          <w:trHeight w:val="454" w:hRule="atLeast"/>
        </w:trPr>
        <w:tc>
          <w:tcPr>
            <w:tcW w:w="129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4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册数</w:t>
            </w:r>
          </w:p>
        </w:tc>
        <w:tc>
          <w:tcPr>
            <w:tcW w:w="508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1册</w:t>
            </w:r>
          </w:p>
        </w:tc>
      </w:tr>
      <w:tr>
        <w:tblPrEx>
          <w:tblLayout w:type="fixed"/>
        </w:tblPrEx>
        <w:trPr>
          <w:trHeight w:val="454" w:hRule="atLeast"/>
        </w:trPr>
        <w:tc>
          <w:tcPr>
            <w:tcW w:w="129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24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页数</w:t>
            </w:r>
          </w:p>
        </w:tc>
        <w:tc>
          <w:tcPr>
            <w:tcW w:w="508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每本225页15个印张</w:t>
            </w:r>
          </w:p>
        </w:tc>
      </w:tr>
      <w:tr>
        <w:tblPrEx>
          <w:tblLayout w:type="fixed"/>
          <w:tblCellMar>
            <w:top w:w="0" w:type="dxa"/>
            <w:left w:w="108" w:type="dxa"/>
            <w:bottom w:w="0" w:type="dxa"/>
            <w:right w:w="108" w:type="dxa"/>
          </w:tblCellMar>
        </w:tblPrEx>
        <w:trPr>
          <w:trHeight w:val="454" w:hRule="atLeast"/>
        </w:trPr>
        <w:tc>
          <w:tcPr>
            <w:tcW w:w="129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4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字数</w:t>
            </w:r>
          </w:p>
        </w:tc>
        <w:tc>
          <w:tcPr>
            <w:tcW w:w="508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单册80千字， </w:t>
            </w:r>
          </w:p>
        </w:tc>
      </w:tr>
      <w:tr>
        <w:tblPrEx>
          <w:tblLayout w:type="fixed"/>
          <w:tblCellMar>
            <w:top w:w="0" w:type="dxa"/>
            <w:left w:w="108" w:type="dxa"/>
            <w:bottom w:w="0" w:type="dxa"/>
            <w:right w:w="108" w:type="dxa"/>
          </w:tblCellMar>
        </w:tblPrEx>
        <w:trPr>
          <w:trHeight w:val="454" w:hRule="atLeast"/>
        </w:trPr>
        <w:tc>
          <w:tcPr>
            <w:tcW w:w="129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24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图数</w:t>
            </w:r>
          </w:p>
        </w:tc>
        <w:tc>
          <w:tcPr>
            <w:tcW w:w="508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单册200幅图</w:t>
            </w:r>
          </w:p>
        </w:tc>
      </w:tr>
      <w:tr>
        <w:tblPrEx>
          <w:tblLayout w:type="fixed"/>
          <w:tblCellMar>
            <w:top w:w="0" w:type="dxa"/>
            <w:left w:w="108" w:type="dxa"/>
            <w:bottom w:w="0" w:type="dxa"/>
            <w:right w:w="108" w:type="dxa"/>
          </w:tblCellMar>
        </w:tblPrEx>
        <w:trPr>
          <w:trHeight w:val="454" w:hRule="atLeast"/>
        </w:trPr>
        <w:tc>
          <w:tcPr>
            <w:tcW w:w="129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24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印数</w:t>
            </w:r>
          </w:p>
        </w:tc>
        <w:tc>
          <w:tcPr>
            <w:tcW w:w="508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每本1000册</w:t>
            </w:r>
          </w:p>
        </w:tc>
      </w:tr>
      <w:tr>
        <w:tblPrEx>
          <w:tblLayout w:type="fixed"/>
          <w:tblCellMar>
            <w:top w:w="0" w:type="dxa"/>
            <w:left w:w="108" w:type="dxa"/>
            <w:bottom w:w="0" w:type="dxa"/>
            <w:right w:w="108" w:type="dxa"/>
          </w:tblCellMar>
        </w:tblPrEx>
        <w:trPr>
          <w:trHeight w:val="454" w:hRule="atLeast"/>
        </w:trPr>
        <w:tc>
          <w:tcPr>
            <w:tcW w:w="129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24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制版</w:t>
            </w:r>
          </w:p>
        </w:tc>
        <w:tc>
          <w:tcPr>
            <w:tcW w:w="508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四色</w:t>
            </w:r>
          </w:p>
        </w:tc>
      </w:tr>
      <w:tr>
        <w:tblPrEx>
          <w:tblLayout w:type="fixed"/>
          <w:tblCellMar>
            <w:top w:w="0" w:type="dxa"/>
            <w:left w:w="108" w:type="dxa"/>
            <w:bottom w:w="0" w:type="dxa"/>
            <w:right w:w="108" w:type="dxa"/>
          </w:tblCellMar>
        </w:tblPrEx>
        <w:trPr>
          <w:trHeight w:val="454" w:hRule="atLeast"/>
        </w:trPr>
        <w:tc>
          <w:tcPr>
            <w:tcW w:w="129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24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印刷</w:t>
            </w:r>
          </w:p>
        </w:tc>
        <w:tc>
          <w:tcPr>
            <w:tcW w:w="508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五色套印,450版</w:t>
            </w:r>
          </w:p>
        </w:tc>
      </w:tr>
      <w:tr>
        <w:tblPrEx>
          <w:tblLayout w:type="fixed"/>
        </w:tblPrEx>
        <w:trPr>
          <w:trHeight w:val="454" w:hRule="atLeast"/>
        </w:trPr>
        <w:tc>
          <w:tcPr>
            <w:tcW w:w="129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24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装订</w:t>
            </w:r>
          </w:p>
        </w:tc>
        <w:tc>
          <w:tcPr>
            <w:tcW w:w="508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锁线胶装/平装/ 单册塑封</w:t>
            </w:r>
          </w:p>
        </w:tc>
      </w:tr>
      <w:tr>
        <w:tblPrEx>
          <w:tblLayout w:type="fixed"/>
          <w:tblCellMar>
            <w:top w:w="0" w:type="dxa"/>
            <w:left w:w="108" w:type="dxa"/>
            <w:bottom w:w="0" w:type="dxa"/>
            <w:right w:w="108" w:type="dxa"/>
          </w:tblCellMar>
        </w:tblPrEx>
        <w:trPr>
          <w:trHeight w:val="454" w:hRule="atLeast"/>
        </w:trPr>
        <w:tc>
          <w:tcPr>
            <w:tcW w:w="129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24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工艺</w:t>
            </w:r>
          </w:p>
        </w:tc>
        <w:tc>
          <w:tcPr>
            <w:tcW w:w="508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局部刀版+击凸+4+1色印刷+烫黑+烫银</w:t>
            </w:r>
          </w:p>
        </w:tc>
      </w:tr>
      <w:tr>
        <w:tblPrEx>
          <w:tblLayout w:type="fixed"/>
          <w:tblCellMar>
            <w:top w:w="0" w:type="dxa"/>
            <w:left w:w="108" w:type="dxa"/>
            <w:bottom w:w="0" w:type="dxa"/>
            <w:right w:w="108" w:type="dxa"/>
          </w:tblCellMar>
        </w:tblPrEx>
        <w:trPr>
          <w:trHeight w:val="454" w:hRule="atLeast"/>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封面用纸</w:t>
            </w:r>
          </w:p>
        </w:tc>
        <w:tc>
          <w:tcPr>
            <w:tcW w:w="50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300g特种纸（四个颜色四个封面线装）</w:t>
            </w:r>
          </w:p>
        </w:tc>
      </w:tr>
      <w:tr>
        <w:tblPrEx>
          <w:tblLayout w:type="fixed"/>
          <w:tblCellMar>
            <w:top w:w="0" w:type="dxa"/>
            <w:left w:w="108" w:type="dxa"/>
            <w:bottom w:w="0" w:type="dxa"/>
            <w:right w:w="108" w:type="dxa"/>
          </w:tblCellMar>
        </w:tblPrEx>
        <w:trPr>
          <w:trHeight w:val="454" w:hRule="atLeast"/>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249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内文用纸</w:t>
            </w:r>
          </w:p>
        </w:tc>
        <w:tc>
          <w:tcPr>
            <w:tcW w:w="50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115G嵩宣纸纸</w:t>
            </w:r>
          </w:p>
        </w:tc>
      </w:tr>
      <w:tr>
        <w:tblPrEx>
          <w:tblLayout w:type="fixed"/>
          <w:tblCellMar>
            <w:top w:w="0" w:type="dxa"/>
            <w:left w:w="108" w:type="dxa"/>
            <w:bottom w:w="0" w:type="dxa"/>
            <w:right w:w="108" w:type="dxa"/>
          </w:tblCellMar>
        </w:tblPrEx>
        <w:trPr>
          <w:trHeight w:val="454" w:hRule="atLeast"/>
        </w:trPr>
        <w:tc>
          <w:tcPr>
            <w:tcW w:w="129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4</w:t>
            </w:r>
          </w:p>
        </w:tc>
        <w:tc>
          <w:tcPr>
            <w:tcW w:w="249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出版说明</w:t>
            </w:r>
          </w:p>
        </w:tc>
        <w:tc>
          <w:tcPr>
            <w:tcW w:w="50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1、本书将作为展览研讨会配套用书，因此印制质量要求制作精美。</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2、出版方负责上述所有作品集的拍片、封面设计、装帧设计、编辑校对、文字排版、彩页制版、印刷装订、代办出版手续等并在出版后送货到指定地点。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3、书稿由编著单位直接提供给出版社，书稿达到“齐、清、定”的出版要求。</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4、出版社负责对出版物的内容把关，需请相关专家把关审读，请编委审定，并负担相关费用。</w:t>
            </w:r>
          </w:p>
        </w:tc>
      </w:tr>
      <w:tr>
        <w:tblPrEx>
          <w:tblLayout w:type="fixed"/>
          <w:tblCellMar>
            <w:top w:w="0" w:type="dxa"/>
            <w:left w:w="108" w:type="dxa"/>
            <w:bottom w:w="0" w:type="dxa"/>
            <w:right w:w="108" w:type="dxa"/>
          </w:tblCellMar>
        </w:tblPrEx>
        <w:trPr>
          <w:trHeight w:val="454" w:hRule="atLeast"/>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15</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交货</w:t>
            </w:r>
          </w:p>
        </w:tc>
        <w:tc>
          <w:tcPr>
            <w:tcW w:w="50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2019年</w:t>
            </w:r>
            <w:r>
              <w:rPr>
                <w:rFonts w:hint="eastAsia" w:ascii="宋体" w:hAnsi="宋体" w:cs="宋体"/>
                <w:color w:val="000000"/>
                <w:kern w:val="0"/>
                <w:sz w:val="21"/>
                <w:szCs w:val="21"/>
                <w:lang w:val="en-US" w:eastAsia="zh-CN"/>
              </w:rPr>
              <w:t>12</w:t>
            </w:r>
            <w:r>
              <w:rPr>
                <w:rFonts w:hint="eastAsia" w:ascii="宋体" w:hAnsi="宋体" w:eastAsia="宋体" w:cs="宋体"/>
                <w:color w:val="000000"/>
                <w:kern w:val="0"/>
                <w:sz w:val="21"/>
                <w:szCs w:val="21"/>
                <w:lang w:val="en-US" w:eastAsia="zh-CN"/>
              </w:rPr>
              <w:t>月</w:t>
            </w:r>
            <w:r>
              <w:rPr>
                <w:rFonts w:hint="eastAsia" w:ascii="宋体" w:hAnsi="宋体" w:cs="宋体"/>
                <w:color w:val="000000"/>
                <w:kern w:val="0"/>
                <w:sz w:val="21"/>
                <w:szCs w:val="21"/>
                <w:lang w:val="en-US" w:eastAsia="zh-CN"/>
              </w:rPr>
              <w:t>15日前</w:t>
            </w:r>
          </w:p>
        </w:tc>
      </w:tr>
    </w:tbl>
    <w:p>
      <w:pPr>
        <w:rPr>
          <w:rFonts w:hint="eastAsia" w:ascii="宋体" w:hAnsi="宋体" w:eastAsia="宋体" w:cs="宋体"/>
          <w:sz w:val="21"/>
          <w:szCs w:val="21"/>
        </w:rPr>
      </w:pPr>
    </w:p>
    <w:tbl>
      <w:tblPr>
        <w:tblStyle w:val="27"/>
        <w:tblpPr w:leftFromText="180" w:rightFromText="180" w:vertAnchor="text" w:tblpX="10711" w:tblpY="-4165"/>
        <w:tblOverlap w:val="never"/>
        <w:tblW w:w="1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1573" w:type="dxa"/>
          </w:tcPr>
          <w:p>
            <w:pPr>
              <w:rPr>
                <w:rFonts w:hint="eastAsia" w:ascii="宋体" w:hAnsi="宋体" w:eastAsia="宋体" w:cs="宋体"/>
                <w:sz w:val="21"/>
                <w:szCs w:val="21"/>
                <w:vertAlign w:val="baseline"/>
              </w:rPr>
            </w:pPr>
          </w:p>
        </w:tc>
      </w:tr>
    </w:tbl>
    <w:p>
      <w:pPr>
        <w:ind w:firstLine="420"/>
        <w:rPr>
          <w:rFonts w:hint="eastAsia" w:ascii="宋体" w:hAnsi="宋体" w:eastAsia="宋体" w:cs="宋体"/>
          <w:sz w:val="21"/>
          <w:szCs w:val="21"/>
        </w:rPr>
      </w:pPr>
      <w:r>
        <w:rPr>
          <w:rFonts w:hint="eastAsia" w:ascii="宋体" w:hAnsi="宋体" w:eastAsia="宋体" w:cs="宋体"/>
          <w:sz w:val="21"/>
          <w:szCs w:val="21"/>
        </w:rPr>
        <w:t xml:space="preserve"> </w:t>
      </w:r>
    </w:p>
    <w:p>
      <w:pPr>
        <w:ind w:firstLine="420"/>
        <w:rPr>
          <w:rFonts w:hint="eastAsia" w:ascii="宋体" w:hAnsi="宋体" w:eastAsia="宋体" w:cs="宋体"/>
          <w:sz w:val="21"/>
          <w:szCs w:val="21"/>
        </w:rPr>
      </w:pPr>
    </w:p>
    <w:p>
      <w:pPr>
        <w:pStyle w:val="4"/>
        <w:ind w:firstLine="0" w:firstLineChars="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br w:type="page"/>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第三章 采购项目商务</w:t>
      </w:r>
      <w:bookmarkEnd w:id="92"/>
      <w:r>
        <w:rPr>
          <w:rFonts w:hint="eastAsia" w:asciiTheme="minorEastAsia" w:hAnsiTheme="minorEastAsia" w:eastAsiaTheme="minorEastAsia"/>
          <w:color w:val="auto"/>
          <w:sz w:val="32"/>
          <w:szCs w:val="32"/>
        </w:rPr>
        <w:t>要求</w:t>
      </w:r>
      <w:bookmarkEnd w:id="93"/>
    </w:p>
    <w:p>
      <w:pPr>
        <w:ind w:firstLine="420"/>
        <w:rPr>
          <w:rFonts w:asciiTheme="minorEastAsia" w:hAnsiTheme="minorEastAsia" w:eastAsiaTheme="minorEastAsia"/>
          <w:color w:val="auto"/>
        </w:rPr>
      </w:pPr>
    </w:p>
    <w:p>
      <w:pPr>
        <w:pStyle w:val="5"/>
        <w:rPr>
          <w:color w:val="auto"/>
          <w:szCs w:val="21"/>
        </w:rPr>
      </w:pPr>
      <w:bookmarkStart w:id="94" w:name="_Toc517547297"/>
      <w:bookmarkStart w:id="95" w:name="_Toc497673541"/>
      <w:bookmarkStart w:id="96" w:name="_Toc5959"/>
      <w:bookmarkStart w:id="97" w:name="_Toc30004"/>
      <w:bookmarkStart w:id="98" w:name="_Toc23781"/>
      <w:bookmarkStart w:id="99" w:name="_Toc1909"/>
      <w:bookmarkStart w:id="100" w:name="_Toc30817"/>
      <w:r>
        <w:rPr>
          <w:rFonts w:hint="eastAsia"/>
          <w:color w:val="auto"/>
          <w:szCs w:val="21"/>
        </w:rPr>
        <w:t>1付款方式</w:t>
      </w:r>
      <w:bookmarkEnd w:id="94"/>
      <w:bookmarkEnd w:id="95"/>
      <w:bookmarkEnd w:id="96"/>
      <w:bookmarkEnd w:id="97"/>
      <w:bookmarkEnd w:id="98"/>
      <w:bookmarkEnd w:id="99"/>
      <w:bookmarkEnd w:id="100"/>
    </w:p>
    <w:p>
      <w:pPr>
        <w:ind w:firstLine="420"/>
        <w:rPr>
          <w:color w:val="auto"/>
          <w:szCs w:val="21"/>
        </w:rPr>
      </w:pPr>
      <w:r>
        <w:rPr>
          <w:rFonts w:hint="eastAsia"/>
          <w:color w:val="auto"/>
          <w:szCs w:val="21"/>
        </w:rPr>
        <w:t>合同签订后预付50%，货到验收合格后再支付余下的50%</w:t>
      </w:r>
    </w:p>
    <w:p>
      <w:pPr>
        <w:pStyle w:val="5"/>
        <w:rPr>
          <w:color w:val="auto"/>
          <w:szCs w:val="21"/>
        </w:rPr>
      </w:pPr>
      <w:bookmarkStart w:id="101" w:name="_Toc497673542"/>
      <w:bookmarkStart w:id="102" w:name="_Toc7654"/>
      <w:bookmarkStart w:id="103" w:name="_Toc30556"/>
      <w:bookmarkStart w:id="104" w:name="_Toc19478"/>
      <w:bookmarkStart w:id="105" w:name="_Toc12328"/>
      <w:bookmarkStart w:id="106" w:name="_Toc6285"/>
      <w:bookmarkStart w:id="107" w:name="_Toc517547298"/>
      <w:r>
        <w:rPr>
          <w:rFonts w:hint="eastAsia"/>
          <w:color w:val="auto"/>
          <w:szCs w:val="21"/>
        </w:rPr>
        <w:t>2交货期</w:t>
      </w:r>
      <w:bookmarkEnd w:id="101"/>
      <w:bookmarkEnd w:id="102"/>
      <w:bookmarkEnd w:id="103"/>
      <w:bookmarkEnd w:id="104"/>
      <w:bookmarkEnd w:id="105"/>
      <w:bookmarkEnd w:id="106"/>
      <w:bookmarkEnd w:id="107"/>
    </w:p>
    <w:tbl>
      <w:tblPr>
        <w:tblStyle w:val="26"/>
        <w:tblW w:w="7767" w:type="dxa"/>
        <w:jc w:val="center"/>
        <w:tblInd w:w="0" w:type="dxa"/>
        <w:tblLayout w:type="fixed"/>
        <w:tblCellMar>
          <w:top w:w="0" w:type="dxa"/>
          <w:left w:w="0" w:type="dxa"/>
          <w:bottom w:w="0" w:type="dxa"/>
          <w:right w:w="0" w:type="dxa"/>
        </w:tblCellMar>
      </w:tblPr>
      <w:tblGrid>
        <w:gridCol w:w="1002"/>
        <w:gridCol w:w="3565"/>
        <w:gridCol w:w="3200"/>
      </w:tblGrid>
      <w:tr>
        <w:tblPrEx>
          <w:tblLayout w:type="fixed"/>
          <w:tblCellMar>
            <w:top w:w="0" w:type="dxa"/>
            <w:left w:w="0" w:type="dxa"/>
            <w:bottom w:w="0" w:type="dxa"/>
            <w:right w:w="0" w:type="dxa"/>
          </w:tblCellMar>
        </w:tblPrEx>
        <w:trPr>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标项内容</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交付期</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eastAsia"/>
                <w:color w:val="auto"/>
                <w:szCs w:val="21"/>
              </w:rPr>
            </w:pPr>
            <w:r>
              <w:rPr>
                <w:rFonts w:hint="eastAsia"/>
                <w:color w:val="auto"/>
                <w:szCs w:val="21"/>
              </w:rPr>
              <w:t>1</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utoSpaceDE w:val="0"/>
              <w:autoSpaceDN w:val="0"/>
              <w:adjustRightInd w:val="0"/>
              <w:snapToGrid w:val="0"/>
              <w:spacing w:beforeLines="10" w:line="400" w:lineRule="exact"/>
              <w:ind w:firstLine="411" w:firstLineChars="196"/>
              <w:textAlignment w:val="bottom"/>
              <w:rPr>
                <w:rFonts w:hint="eastAsia" w:ascii="宋体" w:hAnsi="宋体" w:eastAsia="宋体" w:cs="宋体"/>
                <w:color w:val="auto"/>
                <w:kern w:val="0"/>
                <w:szCs w:val="21"/>
                <w:lang w:eastAsia="zh-CN"/>
              </w:rPr>
            </w:pPr>
            <w:r>
              <w:rPr>
                <w:rFonts w:hint="eastAsia" w:cs="宋体" w:asciiTheme="minorEastAsia" w:hAnsiTheme="minorEastAsia" w:eastAsiaTheme="minorEastAsia"/>
                <w:color w:val="auto"/>
                <w:szCs w:val="21"/>
                <w:lang w:eastAsia="zh-CN"/>
              </w:rPr>
              <w:t>《东方图案研究》</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default" w:eastAsia="宋体"/>
                <w:color w:val="auto"/>
                <w:kern w:val="0"/>
                <w:lang w:val="en-US" w:eastAsia="zh-CN"/>
              </w:rPr>
            </w:pPr>
            <w:r>
              <w:rPr>
                <w:rFonts w:hint="eastAsia"/>
                <w:color w:val="auto"/>
                <w:kern w:val="0"/>
                <w:szCs w:val="21"/>
              </w:rPr>
              <w:t>2019年</w:t>
            </w:r>
            <w:r>
              <w:rPr>
                <w:rFonts w:hint="eastAsia"/>
                <w:color w:val="auto"/>
                <w:kern w:val="0"/>
                <w:szCs w:val="21"/>
                <w:lang w:val="en-US" w:eastAsia="zh-CN"/>
              </w:rPr>
              <w:t>12</w:t>
            </w:r>
            <w:r>
              <w:rPr>
                <w:rFonts w:hint="eastAsia"/>
                <w:color w:val="auto"/>
                <w:kern w:val="0"/>
                <w:szCs w:val="21"/>
              </w:rPr>
              <w:t>月</w:t>
            </w:r>
            <w:r>
              <w:rPr>
                <w:rFonts w:hint="eastAsia"/>
                <w:color w:val="auto"/>
                <w:kern w:val="0"/>
                <w:szCs w:val="21"/>
                <w:lang w:val="en-US" w:eastAsia="zh-CN"/>
              </w:rPr>
              <w:t>15日前</w:t>
            </w:r>
          </w:p>
        </w:tc>
      </w:tr>
    </w:tbl>
    <w:p>
      <w:pPr>
        <w:pStyle w:val="5"/>
        <w:rPr>
          <w:color w:val="auto"/>
          <w:szCs w:val="21"/>
        </w:rPr>
      </w:pPr>
      <w:bookmarkStart w:id="108" w:name="_Toc478547525"/>
      <w:bookmarkEnd w:id="108"/>
      <w:bookmarkStart w:id="109" w:name="_Toc469493355"/>
      <w:bookmarkEnd w:id="109"/>
      <w:bookmarkStart w:id="110" w:name="_Toc24708"/>
      <w:bookmarkStart w:id="111" w:name="_Toc1422"/>
      <w:bookmarkStart w:id="112" w:name="_Toc13312"/>
      <w:bookmarkStart w:id="113" w:name="_Toc517547299"/>
      <w:bookmarkStart w:id="114" w:name="_Toc17658"/>
      <w:bookmarkStart w:id="115" w:name="_Toc497673543"/>
      <w:bookmarkStart w:id="116" w:name="_Toc30522"/>
      <w:r>
        <w:rPr>
          <w:rFonts w:hint="eastAsia"/>
          <w:color w:val="auto"/>
          <w:szCs w:val="21"/>
        </w:rPr>
        <w:t>3交货地点</w:t>
      </w:r>
      <w:bookmarkEnd w:id="110"/>
      <w:bookmarkEnd w:id="111"/>
      <w:bookmarkEnd w:id="112"/>
      <w:bookmarkEnd w:id="113"/>
      <w:bookmarkEnd w:id="114"/>
      <w:bookmarkEnd w:id="115"/>
      <w:bookmarkEnd w:id="116"/>
    </w:p>
    <w:p>
      <w:pPr>
        <w:ind w:firstLine="420"/>
        <w:rPr>
          <w:color w:val="auto"/>
          <w:szCs w:val="21"/>
        </w:rPr>
      </w:pPr>
      <w:r>
        <w:rPr>
          <w:rFonts w:hint="eastAsia"/>
          <w:color w:val="auto"/>
          <w:szCs w:val="21"/>
        </w:rPr>
        <w:t>中国美术学院指定地点</w:t>
      </w:r>
    </w:p>
    <w:p>
      <w:pPr>
        <w:pStyle w:val="5"/>
        <w:rPr>
          <w:color w:val="auto"/>
          <w:szCs w:val="21"/>
        </w:rPr>
      </w:pPr>
      <w:bookmarkStart w:id="117" w:name="_Toc469493356"/>
      <w:bookmarkEnd w:id="117"/>
      <w:bookmarkStart w:id="118" w:name="_Toc478547526"/>
      <w:bookmarkEnd w:id="118"/>
      <w:bookmarkStart w:id="119" w:name="_Toc18665"/>
      <w:bookmarkStart w:id="120" w:name="_Toc517547300"/>
      <w:bookmarkStart w:id="121" w:name="_Toc27441"/>
      <w:bookmarkStart w:id="122" w:name="_Toc12789"/>
      <w:bookmarkStart w:id="123" w:name="_Toc497673544"/>
      <w:bookmarkStart w:id="124" w:name="_Toc1818"/>
      <w:bookmarkStart w:id="125" w:name="_Toc16872"/>
      <w:r>
        <w:rPr>
          <w:rFonts w:hint="eastAsia"/>
          <w:color w:val="auto"/>
          <w:szCs w:val="21"/>
        </w:rPr>
        <w:t>4报价方式</w:t>
      </w:r>
      <w:bookmarkEnd w:id="119"/>
      <w:bookmarkEnd w:id="120"/>
      <w:bookmarkEnd w:id="121"/>
      <w:bookmarkEnd w:id="122"/>
      <w:bookmarkEnd w:id="123"/>
      <w:bookmarkEnd w:id="124"/>
      <w:bookmarkEnd w:id="125"/>
    </w:p>
    <w:p>
      <w:pPr>
        <w:ind w:firstLine="420"/>
        <w:rPr>
          <w:rFonts w:ascii="宋体" w:hAnsi="宋体" w:cs="宋体"/>
          <w:color w:val="auto"/>
          <w:kern w:val="0"/>
        </w:rPr>
      </w:pPr>
      <w:r>
        <w:rPr>
          <w:rFonts w:hint="eastAsia"/>
          <w:color w:val="auto"/>
        </w:rPr>
        <w:t>报价货币采用人民币，报价需包含出版所需的一切成本费用。</w:t>
      </w:r>
    </w:p>
    <w:p>
      <w:pPr>
        <w:pStyle w:val="5"/>
        <w:rPr>
          <w:color w:val="auto"/>
          <w:szCs w:val="21"/>
        </w:rPr>
      </w:pPr>
      <w:bookmarkStart w:id="126" w:name="_Toc478547527"/>
      <w:bookmarkEnd w:id="126"/>
      <w:bookmarkStart w:id="127" w:name="_Toc469493357"/>
      <w:bookmarkEnd w:id="127"/>
      <w:bookmarkStart w:id="128" w:name="_Toc6863"/>
      <w:bookmarkStart w:id="129" w:name="_Toc517547301"/>
      <w:bookmarkStart w:id="130" w:name="_Toc21425"/>
      <w:bookmarkStart w:id="131" w:name="_Toc12386"/>
      <w:bookmarkStart w:id="132" w:name="_Toc13512"/>
      <w:bookmarkStart w:id="133" w:name="_Toc497673545"/>
      <w:bookmarkStart w:id="134" w:name="_Toc31642"/>
      <w:r>
        <w:rPr>
          <w:rFonts w:hint="eastAsia"/>
          <w:color w:val="auto"/>
          <w:szCs w:val="21"/>
        </w:rPr>
        <w:t>5签订合同</w:t>
      </w:r>
      <w:bookmarkEnd w:id="128"/>
      <w:bookmarkEnd w:id="129"/>
      <w:bookmarkEnd w:id="130"/>
      <w:bookmarkEnd w:id="131"/>
      <w:bookmarkEnd w:id="132"/>
      <w:bookmarkEnd w:id="133"/>
      <w:bookmarkEnd w:id="134"/>
    </w:p>
    <w:p>
      <w:pPr>
        <w:ind w:firstLine="420"/>
        <w:rPr>
          <w:color w:val="auto"/>
          <w:lang w:val="zh-CN"/>
        </w:rPr>
      </w:pPr>
      <w:r>
        <w:rPr>
          <w:rFonts w:hint="eastAsia"/>
          <w:color w:val="auto"/>
          <w:szCs w:val="21"/>
        </w:rPr>
        <w:t>本次采购合同由成交人与中国美术学院签订。</w:t>
      </w:r>
    </w:p>
    <w:p>
      <w:pPr>
        <w:pStyle w:val="5"/>
        <w:rPr>
          <w:rFonts w:ascii="宋体" w:hAnsi="宋体" w:eastAsia="宋体" w:cs="宋体"/>
          <w:color w:val="auto"/>
        </w:rPr>
      </w:pPr>
      <w:bookmarkStart w:id="135" w:name="_Toc28278"/>
      <w:bookmarkStart w:id="136" w:name="_Toc10034"/>
      <w:bookmarkStart w:id="137" w:name="_Toc24915"/>
      <w:r>
        <w:rPr>
          <w:rFonts w:hint="eastAsia" w:ascii="宋体" w:hAnsi="宋体" w:eastAsia="宋体" w:cs="宋体"/>
          <w:color w:val="auto"/>
          <w:lang w:val="en-US" w:eastAsia="zh-CN"/>
        </w:rPr>
        <w:t>6</w:t>
      </w:r>
      <w:r>
        <w:rPr>
          <w:rFonts w:hint="eastAsia" w:ascii="宋体" w:hAnsi="宋体" w:eastAsia="宋体" w:cs="宋体"/>
          <w:color w:val="auto"/>
        </w:rPr>
        <w:t>履约保证金</w:t>
      </w:r>
      <w:bookmarkEnd w:id="135"/>
      <w:bookmarkEnd w:id="136"/>
      <w:bookmarkEnd w:id="137"/>
    </w:p>
    <w:p>
      <w:pPr>
        <w:ind w:firstLine="420"/>
        <w:rPr>
          <w:rFonts w:ascii="宋体" w:hAnsi="宋体" w:eastAsia="宋体" w:cs="宋体"/>
          <w:color w:val="auto"/>
        </w:rPr>
      </w:pPr>
      <w:r>
        <w:rPr>
          <w:rFonts w:hint="eastAsia" w:ascii="宋体" w:hAnsi="宋体" w:eastAsia="宋体" w:cs="宋体"/>
          <w:color w:val="auto"/>
        </w:rPr>
        <w:t>见供应商须知前附表</w:t>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38" w:name="_Toc31959"/>
      <w:r>
        <w:rPr>
          <w:rFonts w:hint="eastAsia" w:asciiTheme="minorEastAsia" w:hAnsiTheme="minorEastAsia" w:eastAsiaTheme="minorEastAsia"/>
          <w:color w:val="auto"/>
          <w:sz w:val="32"/>
          <w:szCs w:val="32"/>
        </w:rPr>
        <w:t>第四章 合同格式</w:t>
      </w:r>
      <w:bookmarkEnd w:id="138"/>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rPr>
        <w:t xml:space="preserve"> </w:t>
      </w:r>
      <w:r>
        <w:rPr>
          <w:rFonts w:hint="eastAsia"/>
          <w:color w:val="auto"/>
        </w:rPr>
        <w:t>中标人的投标文件正本；投标人在评标答疑时的书面澄清或说明；中标通知书等文件是构成合同不可分割的部分。</w:t>
      </w:r>
    </w:p>
    <w:p>
      <w:pPr>
        <w:ind w:firstLine="420"/>
        <w:rPr>
          <w:rFonts w:cs="宋体" w:asciiTheme="minorEastAsia" w:hAnsiTheme="minorEastAsia" w:eastAsiaTheme="minorEastAsia"/>
          <w:color w:val="auto"/>
          <w:szCs w:val="21"/>
        </w:rPr>
      </w:pPr>
    </w:p>
    <w:p>
      <w:pPr>
        <w:pStyle w:val="5"/>
        <w:rPr>
          <w:color w:val="auto"/>
        </w:rPr>
      </w:pPr>
      <w:bookmarkStart w:id="139" w:name="_Toc1808"/>
      <w:bookmarkStart w:id="140" w:name="_Toc2149"/>
      <w:r>
        <w:rPr>
          <w:rFonts w:hint="eastAsia"/>
          <w:color w:val="auto"/>
        </w:rPr>
        <w:t>浙江省政府采购合同指引</w:t>
      </w:r>
      <w:bookmarkEnd w:id="139"/>
      <w:bookmarkEnd w:id="140"/>
    </w:p>
    <w:p>
      <w:pPr>
        <w:ind w:firstLine="420"/>
        <w:rPr>
          <w:color w:val="auto"/>
        </w:rPr>
      </w:pPr>
      <w:r>
        <w:rPr>
          <w:color w:val="auto"/>
        </w:rPr>
        <w:t>项目名称：                                     项目编号：</w:t>
      </w:r>
    </w:p>
    <w:p>
      <w:pPr>
        <w:ind w:firstLine="420"/>
        <w:rPr>
          <w:color w:val="auto"/>
        </w:rPr>
      </w:pPr>
      <w:r>
        <w:rPr>
          <w:color w:val="auto"/>
        </w:rPr>
        <w:t>甲方：（买方）</w:t>
      </w:r>
    </w:p>
    <w:p>
      <w:pPr>
        <w:ind w:firstLine="420"/>
        <w:rPr>
          <w:color w:val="auto"/>
        </w:rPr>
      </w:pPr>
      <w:r>
        <w:rPr>
          <w:color w:val="auto"/>
        </w:rPr>
        <w:t>乙方：（卖方）</w:t>
      </w:r>
    </w:p>
    <w:p>
      <w:pPr>
        <w:ind w:firstLine="420"/>
        <w:rPr>
          <w:b/>
          <w:color w:val="auto"/>
        </w:rPr>
      </w:pPr>
      <w:r>
        <w:rPr>
          <w:color w:val="auto"/>
        </w:rPr>
        <w:t xml:space="preserve">甲、乙双方根据 </w:t>
      </w:r>
      <w:r>
        <w:rPr>
          <w:color w:val="auto"/>
          <w:u w:val="single"/>
        </w:rPr>
        <w:t xml:space="preserve">   </w:t>
      </w:r>
      <w:r>
        <w:rPr>
          <w:rFonts w:hint="eastAsia"/>
          <w:color w:val="auto"/>
          <w:u w:val="single"/>
        </w:rPr>
        <w:t xml:space="preserve">          项目公开招标</w:t>
      </w:r>
      <w:r>
        <w:rPr>
          <w:color w:val="auto"/>
        </w:rPr>
        <w:t>的结果，签署本合同。</w:t>
      </w:r>
    </w:p>
    <w:p>
      <w:pPr>
        <w:pStyle w:val="6"/>
        <w:rPr>
          <w:rFonts w:ascii="宋体" w:hAnsi="宋体" w:eastAsia="宋体"/>
          <w:color w:val="auto"/>
        </w:rPr>
      </w:pPr>
      <w:r>
        <w:rPr>
          <w:rFonts w:ascii="宋体" w:hAnsi="宋体" w:eastAsia="宋体"/>
          <w:color w:val="auto"/>
        </w:rPr>
        <w:t>一、服务内容</w:t>
      </w:r>
    </w:p>
    <w:p>
      <w:pPr>
        <w:pStyle w:val="6"/>
        <w:rPr>
          <w:rFonts w:ascii="宋体" w:hAnsi="宋体" w:eastAsia="宋体"/>
          <w:color w:val="auto"/>
        </w:rPr>
      </w:pPr>
      <w:r>
        <w:rPr>
          <w:rFonts w:ascii="宋体" w:hAnsi="宋体" w:eastAsia="宋体"/>
          <w:color w:val="auto"/>
        </w:rPr>
        <w:t>二、合同金额</w:t>
      </w:r>
    </w:p>
    <w:p>
      <w:pPr>
        <w:ind w:firstLine="420"/>
        <w:rPr>
          <w:color w:val="auto"/>
        </w:rPr>
      </w:pPr>
      <w:r>
        <w:rPr>
          <w:rFonts w:hint="eastAsia"/>
          <w:color w:val="auto"/>
        </w:rPr>
        <w:t xml:space="preserve">2.1 </w:t>
      </w:r>
      <w:r>
        <w:rPr>
          <w:color w:val="auto"/>
        </w:rPr>
        <w:t>本合同金额为（大写）：____________________________________元（￥_______________元）人民币。</w:t>
      </w:r>
    </w:p>
    <w:p>
      <w:pPr>
        <w:pStyle w:val="6"/>
        <w:rPr>
          <w:rFonts w:ascii="宋体" w:hAnsi="宋体" w:eastAsia="宋体"/>
          <w:color w:val="auto"/>
        </w:rPr>
      </w:pPr>
      <w:r>
        <w:rPr>
          <w:rFonts w:ascii="宋体" w:hAnsi="宋体" w:eastAsia="宋体"/>
          <w:color w:val="auto"/>
        </w:rPr>
        <w:t>三、技术资料</w:t>
      </w:r>
    </w:p>
    <w:p>
      <w:pPr>
        <w:ind w:firstLine="420"/>
        <w:rPr>
          <w:color w:val="auto"/>
        </w:rPr>
      </w:pPr>
      <w:r>
        <w:rPr>
          <w:color w:val="auto"/>
        </w:rPr>
        <w:t>3.1乙方应按采购文件规定的时间向甲方提供有关技术资料。</w:t>
      </w:r>
    </w:p>
    <w:p>
      <w:pPr>
        <w:ind w:firstLine="420"/>
        <w:rPr>
          <w:color w:val="auto"/>
        </w:rPr>
      </w:pPr>
      <w:r>
        <w:rPr>
          <w:color w:val="auto"/>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ascii="宋体" w:hAnsi="宋体" w:eastAsia="宋体"/>
          <w:color w:val="auto"/>
        </w:rPr>
      </w:pPr>
      <w:r>
        <w:rPr>
          <w:rFonts w:ascii="宋体" w:hAnsi="宋体" w:eastAsia="宋体"/>
          <w:color w:val="auto"/>
        </w:rPr>
        <w:t>四、知识产权</w:t>
      </w:r>
    </w:p>
    <w:p>
      <w:pPr>
        <w:ind w:firstLine="420"/>
        <w:rPr>
          <w:b/>
          <w:bCs/>
          <w:color w:val="auto"/>
        </w:rPr>
      </w:pPr>
      <w:r>
        <w:rPr>
          <w:rFonts w:hint="eastAsia"/>
          <w:color w:val="auto"/>
        </w:rPr>
        <w:t>4.1</w:t>
      </w:r>
      <w:r>
        <w:rPr>
          <w:color w:val="auto"/>
        </w:rPr>
        <w:t>乙方应保证提供服务过程中不会侵犯任何第三方的知识产权</w:t>
      </w:r>
      <w:r>
        <w:rPr>
          <w:bCs/>
          <w:color w:val="auto"/>
        </w:rPr>
        <w:t>。</w:t>
      </w:r>
    </w:p>
    <w:p>
      <w:pPr>
        <w:pStyle w:val="6"/>
        <w:rPr>
          <w:rFonts w:ascii="宋体" w:hAnsi="宋体" w:eastAsia="宋体"/>
          <w:color w:val="auto"/>
        </w:rPr>
      </w:pPr>
      <w:r>
        <w:rPr>
          <w:rFonts w:hint="eastAsia" w:ascii="宋体" w:hAnsi="宋体" w:eastAsia="宋体"/>
          <w:color w:val="auto"/>
        </w:rPr>
        <w:t>五</w:t>
      </w:r>
      <w:r>
        <w:rPr>
          <w:rFonts w:ascii="宋体" w:hAnsi="宋体" w:eastAsia="宋体"/>
          <w:color w:val="auto"/>
        </w:rPr>
        <w:t>、履约保证金</w:t>
      </w:r>
    </w:p>
    <w:p>
      <w:pPr>
        <w:ind w:firstLine="422"/>
        <w:rPr>
          <w:rFonts w:hint="eastAsia"/>
          <w:color w:val="auto"/>
        </w:rPr>
      </w:pPr>
      <w:r>
        <w:rPr>
          <w:b/>
          <w:bCs/>
          <w:color w:val="auto"/>
        </w:rPr>
        <w:t>5</w:t>
      </w:r>
      <w:r>
        <w:rPr>
          <w:rFonts w:hint="eastAsia"/>
          <w:color w:val="auto"/>
        </w:rPr>
        <w:t>.1乙方在合同签订之日起5天内向甲方指定</w:t>
      </w:r>
      <w:r>
        <w:rPr>
          <w:color w:val="auto"/>
        </w:rPr>
        <w:t>的账户</w:t>
      </w:r>
      <w:r>
        <w:rPr>
          <w:rFonts w:hint="eastAsia"/>
          <w:color w:val="auto"/>
        </w:rPr>
        <w:t>缴纳合同总价5%的履约保证金。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2"/>
        <w:rPr>
          <w:b/>
          <w:bCs/>
          <w:color w:val="auto"/>
        </w:rPr>
      </w:pPr>
      <w:r>
        <w:rPr>
          <w:b/>
          <w:bCs/>
          <w:color w:val="auto"/>
        </w:rPr>
        <w:t>5</w:t>
      </w:r>
      <w:r>
        <w:rPr>
          <w:rFonts w:hint="eastAsia"/>
          <w:color w:val="auto"/>
        </w:rPr>
        <w:t>.2履约保证金在服务期满，确认乙方无违约行为后一周内无息返还。</w:t>
      </w:r>
    </w:p>
    <w:p>
      <w:pPr>
        <w:pStyle w:val="6"/>
        <w:rPr>
          <w:rFonts w:ascii="宋体" w:hAnsi="宋体" w:eastAsia="宋体"/>
          <w:color w:val="auto"/>
        </w:rPr>
      </w:pPr>
      <w:r>
        <w:rPr>
          <w:rFonts w:hint="eastAsia" w:ascii="宋体" w:hAnsi="宋体" w:eastAsia="宋体"/>
          <w:color w:val="auto"/>
        </w:rPr>
        <w:t>六、转包或分包</w:t>
      </w:r>
    </w:p>
    <w:p>
      <w:pPr>
        <w:ind w:firstLine="420"/>
        <w:rPr>
          <w:color w:val="auto"/>
        </w:rPr>
      </w:pPr>
      <w:r>
        <w:rPr>
          <w:color w:val="auto"/>
        </w:rPr>
        <w:t>6.1</w:t>
      </w:r>
      <w:r>
        <w:rPr>
          <w:rFonts w:hint="eastAsia"/>
          <w:color w:val="auto"/>
        </w:rPr>
        <w:t>本合同范围的服务，应由</w:t>
      </w:r>
      <w:r>
        <w:rPr>
          <w:color w:val="auto"/>
        </w:rPr>
        <w:t>乙</w:t>
      </w:r>
      <w:r>
        <w:rPr>
          <w:rFonts w:hint="eastAsia"/>
          <w:color w:val="auto"/>
        </w:rPr>
        <w:t>方直接供应，不得转让他人供应；</w:t>
      </w:r>
    </w:p>
    <w:p>
      <w:pPr>
        <w:ind w:firstLine="420"/>
        <w:rPr>
          <w:rFonts w:hint="eastAsia"/>
          <w:color w:val="auto"/>
        </w:rPr>
      </w:pPr>
      <w:r>
        <w:rPr>
          <w:color w:val="auto"/>
        </w:rPr>
        <w:t>6.2</w:t>
      </w:r>
      <w:r>
        <w:rPr>
          <w:rFonts w:hint="eastAsia"/>
          <w:color w:val="auto"/>
        </w:rPr>
        <w:t>除非得到甲方的书面同意，</w:t>
      </w:r>
      <w:r>
        <w:rPr>
          <w:color w:val="auto"/>
        </w:rPr>
        <w:t>乙</w:t>
      </w:r>
      <w:r>
        <w:rPr>
          <w:rFonts w:hint="eastAsia"/>
          <w:color w:val="auto"/>
        </w:rPr>
        <w:t>方不得将本合同范围的服务全部或部分分包给他人供应；</w:t>
      </w:r>
    </w:p>
    <w:p>
      <w:pPr>
        <w:ind w:firstLine="420"/>
        <w:rPr>
          <w:color w:val="auto"/>
        </w:rPr>
      </w:pPr>
      <w:r>
        <w:rPr>
          <w:color w:val="auto"/>
        </w:rPr>
        <w:t>6.3</w:t>
      </w:r>
      <w:r>
        <w:rPr>
          <w:rFonts w:hint="eastAsia"/>
          <w:color w:val="auto"/>
        </w:rPr>
        <w:t>如有转让和未经甲方同意的分包行为，甲方有权解除合同，没收履约保证金并追究乙方的违约责任。</w:t>
      </w:r>
    </w:p>
    <w:p>
      <w:pPr>
        <w:pStyle w:val="6"/>
        <w:rPr>
          <w:rFonts w:ascii="宋体" w:hAnsi="宋体" w:eastAsia="宋体"/>
          <w:color w:val="auto"/>
        </w:rPr>
      </w:pPr>
      <w:r>
        <w:rPr>
          <w:rFonts w:hint="eastAsia" w:ascii="宋体" w:hAnsi="宋体" w:eastAsia="宋体"/>
          <w:color w:val="auto"/>
        </w:rPr>
        <w:t>七</w:t>
      </w:r>
      <w:r>
        <w:rPr>
          <w:rFonts w:ascii="宋体" w:hAnsi="宋体" w:eastAsia="宋体"/>
          <w:color w:val="auto"/>
        </w:rPr>
        <w:t>、服务质量保证期(</w:t>
      </w:r>
      <w:r>
        <w:rPr>
          <w:rFonts w:hint="eastAsia" w:ascii="宋体" w:hAnsi="宋体" w:eastAsia="宋体"/>
          <w:color w:val="auto"/>
        </w:rPr>
        <w:t>选用</w:t>
      </w:r>
      <w:r>
        <w:rPr>
          <w:rFonts w:ascii="宋体" w:hAnsi="宋体" w:eastAsia="宋体"/>
          <w:color w:val="auto"/>
        </w:rPr>
        <w:t>)</w:t>
      </w:r>
    </w:p>
    <w:p>
      <w:pPr>
        <w:ind w:firstLine="420"/>
        <w:rPr>
          <w:color w:val="auto"/>
        </w:rPr>
      </w:pPr>
      <w:r>
        <w:rPr>
          <w:color w:val="auto"/>
        </w:rPr>
        <w:t>7.1服务质量保证期</w:t>
      </w:r>
      <w:r>
        <w:rPr>
          <w:color w:val="auto"/>
          <w:u w:val="single"/>
        </w:rPr>
        <w:t xml:space="preserve">      </w:t>
      </w:r>
      <w:r>
        <w:rPr>
          <w:color w:val="auto"/>
        </w:rPr>
        <w:t>年。（自验收合格之日起计）</w:t>
      </w:r>
    </w:p>
    <w:p>
      <w:pPr>
        <w:pStyle w:val="6"/>
        <w:rPr>
          <w:rFonts w:ascii="宋体" w:hAnsi="宋体" w:eastAsia="宋体"/>
          <w:color w:val="auto"/>
        </w:rPr>
      </w:pPr>
      <w:r>
        <w:rPr>
          <w:rFonts w:hint="eastAsia" w:ascii="宋体" w:hAnsi="宋体" w:eastAsia="宋体"/>
          <w:color w:val="auto"/>
        </w:rPr>
        <w:t>八</w:t>
      </w:r>
      <w:r>
        <w:rPr>
          <w:rFonts w:ascii="宋体" w:hAnsi="宋体" w:eastAsia="宋体"/>
          <w:color w:val="auto"/>
        </w:rPr>
        <w:t>、合同履行时间、履行方式及履行地点</w:t>
      </w:r>
    </w:p>
    <w:p>
      <w:pPr>
        <w:ind w:firstLine="420"/>
        <w:rPr>
          <w:bCs/>
          <w:color w:val="auto"/>
        </w:rPr>
      </w:pPr>
      <w:r>
        <w:rPr>
          <w:bCs/>
          <w:color w:val="auto"/>
        </w:rPr>
        <w:t>8.1</w:t>
      </w:r>
      <w:r>
        <w:rPr>
          <w:color w:val="auto"/>
        </w:rPr>
        <w:t>履行时间</w:t>
      </w:r>
      <w:r>
        <w:rPr>
          <w:bCs/>
          <w:color w:val="auto"/>
        </w:rPr>
        <w:t>：</w:t>
      </w:r>
    </w:p>
    <w:p>
      <w:pPr>
        <w:ind w:firstLine="420"/>
        <w:rPr>
          <w:bCs/>
          <w:color w:val="auto"/>
        </w:rPr>
      </w:pPr>
      <w:r>
        <w:rPr>
          <w:bCs/>
          <w:color w:val="auto"/>
        </w:rPr>
        <w:t>8.2</w:t>
      </w:r>
      <w:r>
        <w:rPr>
          <w:color w:val="auto"/>
        </w:rPr>
        <w:t>履行方式</w:t>
      </w:r>
      <w:r>
        <w:rPr>
          <w:bCs/>
          <w:color w:val="auto"/>
        </w:rPr>
        <w:t>：</w:t>
      </w:r>
    </w:p>
    <w:p>
      <w:pPr>
        <w:ind w:firstLine="420"/>
        <w:rPr>
          <w:color w:val="auto"/>
        </w:rPr>
      </w:pPr>
      <w:r>
        <w:rPr>
          <w:bCs/>
          <w:color w:val="auto"/>
        </w:rPr>
        <w:t>8.3</w:t>
      </w:r>
      <w:r>
        <w:rPr>
          <w:color w:val="auto"/>
        </w:rPr>
        <w:t>履行地点</w:t>
      </w:r>
      <w:r>
        <w:rPr>
          <w:bCs/>
          <w:color w:val="auto"/>
        </w:rPr>
        <w:t>：</w:t>
      </w:r>
    </w:p>
    <w:p>
      <w:pPr>
        <w:pStyle w:val="6"/>
        <w:rPr>
          <w:rFonts w:ascii="宋体" w:hAnsi="宋体" w:eastAsia="宋体"/>
          <w:color w:val="auto"/>
        </w:rPr>
      </w:pPr>
      <w:r>
        <w:rPr>
          <w:rFonts w:hint="eastAsia" w:ascii="宋体" w:hAnsi="宋体" w:eastAsia="宋体"/>
          <w:color w:val="auto"/>
        </w:rPr>
        <w:t>九</w:t>
      </w:r>
      <w:r>
        <w:rPr>
          <w:rFonts w:ascii="宋体" w:hAnsi="宋体" w:eastAsia="宋体"/>
          <w:color w:val="auto"/>
        </w:rPr>
        <w:t>、款项支付</w:t>
      </w:r>
    </w:p>
    <w:p>
      <w:pPr>
        <w:ind w:firstLine="420"/>
        <w:rPr>
          <w:bCs/>
          <w:color w:val="auto"/>
        </w:rPr>
      </w:pPr>
      <w:r>
        <w:rPr>
          <w:bCs/>
          <w:color w:val="auto"/>
        </w:rPr>
        <w:t>9.1付款方式：</w:t>
      </w:r>
    </w:p>
    <w:p>
      <w:pPr>
        <w:pStyle w:val="6"/>
        <w:rPr>
          <w:rFonts w:ascii="宋体" w:hAnsi="宋体" w:eastAsia="宋体"/>
          <w:color w:val="auto"/>
        </w:rPr>
      </w:pPr>
      <w:r>
        <w:rPr>
          <w:rFonts w:hint="eastAsia" w:ascii="宋体" w:hAnsi="宋体" w:eastAsia="宋体"/>
          <w:color w:val="auto"/>
        </w:rPr>
        <w:t>十、税费</w:t>
      </w:r>
    </w:p>
    <w:p>
      <w:pPr>
        <w:ind w:firstLine="420"/>
        <w:rPr>
          <w:color w:val="auto"/>
        </w:rPr>
      </w:pPr>
      <w:r>
        <w:rPr>
          <w:rFonts w:hint="eastAsia"/>
          <w:color w:val="auto"/>
        </w:rPr>
        <w:t>10.1本合同执行中相关的一切税费均由</w:t>
      </w:r>
      <w:r>
        <w:rPr>
          <w:color w:val="auto"/>
        </w:rPr>
        <w:t>乙</w:t>
      </w:r>
      <w:r>
        <w:rPr>
          <w:rFonts w:hint="eastAsia"/>
          <w:color w:val="auto"/>
        </w:rPr>
        <w:t>方负担。</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一</w:t>
      </w:r>
      <w:r>
        <w:rPr>
          <w:rFonts w:ascii="宋体" w:hAnsi="宋体" w:eastAsia="宋体"/>
          <w:color w:val="auto"/>
        </w:rPr>
        <w:t>、质量保证及后续服务</w:t>
      </w:r>
    </w:p>
    <w:p>
      <w:pPr>
        <w:ind w:firstLine="420"/>
        <w:rPr>
          <w:color w:val="auto"/>
        </w:rPr>
      </w:pPr>
      <w:r>
        <w:rPr>
          <w:color w:val="auto"/>
        </w:rPr>
        <w:t>11.1乙方应按采购文件规定向甲方提供服务。</w:t>
      </w:r>
    </w:p>
    <w:p>
      <w:pPr>
        <w:ind w:firstLine="420"/>
        <w:rPr>
          <w:color w:val="auto"/>
        </w:rPr>
      </w:pPr>
      <w:r>
        <w:rPr>
          <w:color w:val="auto"/>
        </w:rPr>
        <w:t>11.2乙方提供的服务成果在服务质量保证期内发生故障，乙方应负责免费提供后续服务。对达不到要求者，根据实际情况，经双方协商，可按以下办法处理：</w:t>
      </w:r>
    </w:p>
    <w:p>
      <w:pPr>
        <w:ind w:firstLine="420"/>
        <w:rPr>
          <w:color w:val="auto"/>
        </w:rPr>
      </w:pPr>
      <w:r>
        <w:rPr>
          <w:rFonts w:hint="eastAsia" w:ascii="宋体" w:hAnsi="宋体" w:cs="宋体"/>
          <w:color w:val="auto"/>
        </w:rPr>
        <w:t>⑴</w:t>
      </w:r>
      <w:r>
        <w:rPr>
          <w:color w:val="auto"/>
        </w:rPr>
        <w:t>重做：由乙方承担所发生的全部费用。</w:t>
      </w:r>
    </w:p>
    <w:p>
      <w:pPr>
        <w:ind w:firstLine="420"/>
        <w:rPr>
          <w:color w:val="auto"/>
        </w:rPr>
      </w:pPr>
      <w:r>
        <w:rPr>
          <w:rFonts w:hint="eastAsia" w:ascii="宋体" w:hAnsi="宋体" w:cs="宋体"/>
          <w:color w:val="auto"/>
        </w:rPr>
        <w:t>⑵</w:t>
      </w:r>
      <w:r>
        <w:rPr>
          <w:color w:val="auto"/>
        </w:rPr>
        <w:t>贬值处理：由甲乙双方合议定价。</w:t>
      </w:r>
    </w:p>
    <w:p>
      <w:pPr>
        <w:ind w:firstLine="420"/>
        <w:rPr>
          <w:color w:val="auto"/>
        </w:rPr>
      </w:pPr>
      <w:r>
        <w:rPr>
          <w:rFonts w:hint="eastAsia" w:ascii="宋体" w:hAnsi="宋体" w:cs="宋体"/>
          <w:color w:val="auto"/>
        </w:rPr>
        <w:t>⑶</w:t>
      </w:r>
      <w:r>
        <w:rPr>
          <w:color w:val="auto"/>
        </w:rPr>
        <w:t>解除合同。</w:t>
      </w:r>
    </w:p>
    <w:p>
      <w:pPr>
        <w:ind w:firstLine="420"/>
        <w:rPr>
          <w:color w:val="auto"/>
        </w:rPr>
      </w:pPr>
      <w:r>
        <w:rPr>
          <w:color w:val="auto"/>
        </w:rPr>
        <w:t>11.3如在使用过程中发生问题，乙方在接到甲方通知后在</w:t>
      </w:r>
      <w:r>
        <w:rPr>
          <w:rFonts w:ascii="Cambria Math" w:hAnsi="Cambria Math" w:cs="Cambria Math"/>
          <w:color w:val="auto"/>
        </w:rPr>
        <w:t>△</w:t>
      </w:r>
      <w:r>
        <w:rPr>
          <w:color w:val="auto"/>
        </w:rPr>
        <w:t>小时内到达甲方现场。</w:t>
      </w:r>
    </w:p>
    <w:p>
      <w:pPr>
        <w:ind w:firstLine="420"/>
        <w:rPr>
          <w:rFonts w:hint="eastAsia"/>
          <w:color w:val="auto"/>
        </w:rPr>
      </w:pPr>
      <w:r>
        <w:rPr>
          <w:color w:val="auto"/>
        </w:rPr>
        <w:t>11.4在服务质量保证期内，乙方应对出现的质量及安全问题负责处理解决并承担</w:t>
      </w:r>
    </w:p>
    <w:p>
      <w:pPr>
        <w:ind w:firstLine="420"/>
        <w:rPr>
          <w:color w:val="auto"/>
        </w:rPr>
      </w:pPr>
      <w:r>
        <w:rPr>
          <w:color w:val="auto"/>
        </w:rPr>
        <w:t>一切费用。</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二</w:t>
      </w:r>
      <w:r>
        <w:rPr>
          <w:rFonts w:ascii="宋体" w:hAnsi="宋体" w:eastAsia="宋体"/>
          <w:color w:val="auto"/>
        </w:rPr>
        <w:t>、违约责任</w:t>
      </w:r>
    </w:p>
    <w:p>
      <w:pPr>
        <w:ind w:firstLine="420"/>
        <w:rPr>
          <w:color w:val="auto"/>
        </w:rPr>
      </w:pPr>
      <w:r>
        <w:rPr>
          <w:color w:val="auto"/>
        </w:rPr>
        <w:t>12.1甲方无正当理由拒收接受服务的，甲方向乙方偿付合同款项百分之五作为违约金。</w:t>
      </w:r>
    </w:p>
    <w:p>
      <w:pPr>
        <w:ind w:firstLine="420"/>
        <w:rPr>
          <w:color w:val="auto"/>
        </w:rPr>
      </w:pPr>
      <w:r>
        <w:rPr>
          <w:color w:val="auto"/>
        </w:rPr>
        <w:t>12.2甲方无故逾期验收和办理款项支付手续的,甲方应按逾期付款总额每日万分之五向乙方支付违约金。</w:t>
      </w:r>
    </w:p>
    <w:p>
      <w:pPr>
        <w:ind w:firstLine="420"/>
        <w:rPr>
          <w:color w:val="auto"/>
        </w:rPr>
      </w:pPr>
      <w:r>
        <w:rPr>
          <w:color w:val="auto"/>
        </w:rPr>
        <w:t>12.3乙方</w:t>
      </w:r>
      <w:r>
        <w:rPr>
          <w:rFonts w:hint="eastAsia"/>
          <w:color w:val="auto"/>
        </w:rPr>
        <w:t>未能如</w:t>
      </w:r>
      <w:r>
        <w:rPr>
          <w:color w:val="auto"/>
        </w:rPr>
        <w:t>期提供服务的，每日向甲方支付</w:t>
      </w:r>
      <w:r>
        <w:rPr>
          <w:rFonts w:hint="eastAsia"/>
          <w:color w:val="auto"/>
        </w:rPr>
        <w:t>合同款项的</w:t>
      </w:r>
      <w:r>
        <w:rPr>
          <w:color w:val="auto"/>
        </w:rPr>
        <w:t>千分之六</w:t>
      </w:r>
      <w:r>
        <w:rPr>
          <w:rFonts w:hint="eastAsia"/>
          <w:color w:val="auto"/>
        </w:rPr>
        <w:t>作为</w:t>
      </w:r>
      <w:r>
        <w:rPr>
          <w:color w:val="auto"/>
        </w:rPr>
        <w:t>违约金。乙方超过约定日期10个工作日</w:t>
      </w:r>
      <w:r>
        <w:rPr>
          <w:rFonts w:hint="eastAsia"/>
          <w:color w:val="auto"/>
        </w:rPr>
        <w:t>仍</w:t>
      </w:r>
      <w:r>
        <w:rPr>
          <w:color w:val="auto"/>
        </w:rPr>
        <w:t>不能</w:t>
      </w:r>
      <w:r>
        <w:rPr>
          <w:rFonts w:hint="eastAsia"/>
          <w:color w:val="auto"/>
        </w:rPr>
        <w:t>提供服务</w:t>
      </w:r>
      <w:r>
        <w:rPr>
          <w:color w:val="auto"/>
        </w:rPr>
        <w:t>的，甲方可解除本合同。乙方因</w:t>
      </w:r>
      <w:r>
        <w:rPr>
          <w:rFonts w:hint="eastAsia"/>
          <w:color w:val="auto"/>
        </w:rPr>
        <w:t>未能如</w:t>
      </w:r>
      <w:r>
        <w:rPr>
          <w:color w:val="auto"/>
        </w:rPr>
        <w:t xml:space="preserve">期提供服务或因其他违约行为导致甲方解除合同的，乙方应向甲方支付合同总值5%的违约金，如造成甲方损失超过违约金的，超出部分由乙方继续承担赔偿责任。 </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三</w:t>
      </w:r>
      <w:r>
        <w:rPr>
          <w:rFonts w:ascii="宋体" w:hAnsi="宋体" w:eastAsia="宋体"/>
          <w:color w:val="auto"/>
        </w:rPr>
        <w:t>、不可抗力事件处理</w:t>
      </w:r>
    </w:p>
    <w:p>
      <w:pPr>
        <w:ind w:firstLine="420"/>
        <w:rPr>
          <w:color w:val="auto"/>
        </w:rPr>
      </w:pPr>
      <w:r>
        <w:rPr>
          <w:color w:val="auto"/>
        </w:rPr>
        <w:t>13.1在合同有效期内，任何一方因不可抗力事件导致不能履行合同，则合同履行期可延长，其延长期与不可抗力影响期相同。</w:t>
      </w:r>
    </w:p>
    <w:p>
      <w:pPr>
        <w:ind w:firstLine="420"/>
        <w:rPr>
          <w:color w:val="auto"/>
        </w:rPr>
      </w:pPr>
      <w:r>
        <w:rPr>
          <w:color w:val="auto"/>
        </w:rPr>
        <w:t>13.2不可抗力事件发生后，应立即通知对方，并寄送有关权威机构出具的证明。</w:t>
      </w:r>
    </w:p>
    <w:p>
      <w:pPr>
        <w:ind w:firstLine="420"/>
        <w:rPr>
          <w:color w:val="auto"/>
        </w:rPr>
      </w:pPr>
      <w:r>
        <w:rPr>
          <w:color w:val="auto"/>
        </w:rPr>
        <w:t>13.3不可抗力事件延续120天以上，双方应通过友好协商，确定是否继续履行合同。</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四</w:t>
      </w:r>
      <w:r>
        <w:rPr>
          <w:rFonts w:ascii="宋体" w:hAnsi="宋体" w:eastAsia="宋体"/>
          <w:color w:val="auto"/>
        </w:rPr>
        <w:t>、诉讼</w:t>
      </w:r>
    </w:p>
    <w:p>
      <w:pPr>
        <w:ind w:firstLine="420"/>
        <w:rPr>
          <w:color w:val="auto"/>
        </w:rPr>
      </w:pPr>
      <w:r>
        <w:rPr>
          <w:color w:val="auto"/>
        </w:rPr>
        <w:t>14.1双方在执行合同中所发生的一切争议，应通过协商解决。如协商不成，可向</w:t>
      </w:r>
      <w:r>
        <w:rPr>
          <w:rFonts w:hint="eastAsia"/>
          <w:color w:val="auto"/>
        </w:rPr>
        <w:t>甲方所在</w:t>
      </w:r>
      <w:r>
        <w:rPr>
          <w:color w:val="auto"/>
        </w:rPr>
        <w:t>地法院起诉。</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五</w:t>
      </w:r>
      <w:r>
        <w:rPr>
          <w:rFonts w:ascii="宋体" w:hAnsi="宋体" w:eastAsia="宋体"/>
          <w:color w:val="auto"/>
        </w:rPr>
        <w:t>、合同生效及其它</w:t>
      </w:r>
    </w:p>
    <w:p>
      <w:pPr>
        <w:ind w:firstLine="420"/>
        <w:rPr>
          <w:color w:val="auto"/>
        </w:rPr>
      </w:pPr>
      <w:r>
        <w:rPr>
          <w:color w:val="auto"/>
        </w:rPr>
        <w:t>15.1合同经双方法定代表人或授权代表签字并加盖单位公章后生效。</w:t>
      </w:r>
    </w:p>
    <w:p>
      <w:pPr>
        <w:ind w:firstLine="420"/>
        <w:rPr>
          <w:color w:val="auto"/>
        </w:rPr>
      </w:pPr>
      <w:r>
        <w:rPr>
          <w:color w:val="auto"/>
        </w:rPr>
        <w:t>15.2合同执行中涉及采购资金和采购内容修改或补充的，须经财政部门审批，并签书面补充协议报政府采购监督管理部门备案，方可作为主合同不可分割的一部分。</w:t>
      </w:r>
    </w:p>
    <w:p>
      <w:pPr>
        <w:ind w:firstLine="420"/>
        <w:rPr>
          <w:color w:val="auto"/>
        </w:rPr>
      </w:pPr>
      <w:r>
        <w:rPr>
          <w:color w:val="auto"/>
        </w:rPr>
        <w:t>3</w:t>
      </w:r>
      <w:r>
        <w:rPr>
          <w:rFonts w:hint="eastAsia"/>
          <w:color w:val="auto"/>
        </w:rPr>
        <w:t>．</w:t>
      </w:r>
      <w:r>
        <w:rPr>
          <w:color w:val="auto"/>
        </w:rPr>
        <w:t>本合同未尽事宜，遵照《合同法》有关条文执行。</w:t>
      </w:r>
    </w:p>
    <w:p>
      <w:pPr>
        <w:ind w:firstLine="420"/>
        <w:rPr>
          <w:color w:val="auto"/>
        </w:rPr>
      </w:pPr>
      <w:r>
        <w:rPr>
          <w:color w:val="auto"/>
        </w:rPr>
        <w:t>4</w:t>
      </w:r>
      <w:r>
        <w:rPr>
          <w:rFonts w:hint="eastAsia"/>
          <w:color w:val="auto"/>
        </w:rPr>
        <w:t>．</w:t>
      </w:r>
      <w:r>
        <w:rPr>
          <w:color w:val="auto"/>
        </w:rPr>
        <w:t>本合同正本一式</w:t>
      </w:r>
      <w:r>
        <w:rPr>
          <w:rFonts w:hint="eastAsia"/>
          <w:color w:val="auto"/>
        </w:rPr>
        <w:t xml:space="preserve">    </w:t>
      </w:r>
      <w:r>
        <w:rPr>
          <w:color w:val="auto"/>
        </w:rPr>
        <w:t>份，具有同等法律效力，甲乙双方各执</w:t>
      </w:r>
      <w:r>
        <w:rPr>
          <w:rFonts w:hint="eastAsia"/>
          <w:color w:val="auto"/>
        </w:rPr>
        <w:t xml:space="preserve">   </w:t>
      </w:r>
      <w:r>
        <w:rPr>
          <w:color w:val="auto"/>
        </w:rPr>
        <w:t>份；副本</w:t>
      </w:r>
      <w:r>
        <w:rPr>
          <w:rFonts w:hint="eastAsia"/>
          <w:b/>
          <w:color w:val="auto"/>
        </w:rPr>
        <w:t xml:space="preserve">   </w:t>
      </w:r>
      <w:r>
        <w:rPr>
          <w:color w:val="auto"/>
        </w:rPr>
        <w:t>份，(用途)。</w:t>
      </w:r>
    </w:p>
    <w:p>
      <w:pPr>
        <w:ind w:firstLine="420"/>
        <w:rPr>
          <w:color w:val="auto"/>
        </w:rPr>
      </w:pPr>
    </w:p>
    <w:p>
      <w:pPr>
        <w:ind w:firstLine="420"/>
        <w:rPr>
          <w:rFonts w:hint="eastAsia"/>
          <w:color w:val="auto"/>
        </w:rPr>
      </w:pPr>
      <w:r>
        <w:rPr>
          <w:rFonts w:hint="eastAsia"/>
          <w:color w:val="auto"/>
        </w:rPr>
        <w:t>甲方（</w:t>
      </w:r>
      <w:r>
        <w:rPr>
          <w:color w:val="auto"/>
        </w:rPr>
        <w:t>盖章）</w:t>
      </w:r>
      <w:r>
        <w:rPr>
          <w:rFonts w:hint="eastAsia"/>
          <w:color w:val="auto"/>
        </w:rPr>
        <w:t xml:space="preserve">：      </w:t>
      </w:r>
      <w:r>
        <w:rPr>
          <w:color w:val="auto"/>
        </w:rPr>
        <w:t xml:space="preserve"> </w:t>
      </w:r>
      <w:r>
        <w:rPr>
          <w:rFonts w:hint="eastAsia"/>
          <w:color w:val="auto"/>
        </w:rPr>
        <w:t xml:space="preserve">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rFonts w:hint="eastAsia"/>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rFonts w:hint="eastAsia"/>
          <w:color w:val="auto"/>
        </w:rPr>
      </w:pPr>
    </w:p>
    <w:p>
      <w:pPr>
        <w:ind w:firstLine="420"/>
        <w:rPr>
          <w:rFonts w:hint="eastAsia"/>
          <w:color w:val="auto"/>
        </w:rPr>
      </w:pPr>
    </w:p>
    <w:p>
      <w:pPr>
        <w:ind w:firstLine="420"/>
        <w:rPr>
          <w:rFonts w:hint="eastAsia"/>
          <w:color w:val="auto"/>
        </w:rPr>
      </w:pPr>
      <w:r>
        <w:rPr>
          <w:rFonts w:hint="eastAsia"/>
          <w:color w:val="auto"/>
        </w:rPr>
        <w:t>鉴证方（</w:t>
      </w:r>
      <w:r>
        <w:rPr>
          <w:color w:val="auto"/>
        </w:rPr>
        <w:t>盖章）</w:t>
      </w:r>
      <w:r>
        <w:rPr>
          <w:rFonts w:hint="eastAsia"/>
          <w:color w:val="auto"/>
        </w:rPr>
        <w:t>：浙江信镧建设工程咨询有限公司</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rPr>
          <w:color w:val="auto"/>
        </w:rPr>
      </w:pPr>
      <w:r>
        <w:rPr>
          <w:rFonts w:hint="eastAsia"/>
          <w:color w:val="auto"/>
        </w:rPr>
        <w:t xml:space="preserve">地址：                      </w:t>
      </w:r>
    </w:p>
    <w:p>
      <w:pPr>
        <w:ind w:firstLine="420"/>
        <w:rPr>
          <w:color w:val="auto"/>
        </w:rPr>
      </w:pPr>
      <w:r>
        <w:rPr>
          <w:rFonts w:hint="eastAsia"/>
          <w:color w:val="auto"/>
        </w:rPr>
        <w:t>联系人</w:t>
      </w:r>
      <w:r>
        <w:rPr>
          <w:color w:val="auto"/>
        </w:rPr>
        <w:t>：</w:t>
      </w:r>
    </w:p>
    <w:p>
      <w:pPr>
        <w:ind w:firstLine="420"/>
        <w:rPr>
          <w:color w:val="auto"/>
        </w:rPr>
      </w:pPr>
      <w:r>
        <w:rPr>
          <w:rFonts w:hint="eastAsia"/>
          <w:color w:val="auto"/>
        </w:rPr>
        <w:t>联系</w:t>
      </w:r>
      <w:r>
        <w:rPr>
          <w:color w:val="auto"/>
        </w:rPr>
        <w:t>电话：</w:t>
      </w:r>
    </w:p>
    <w:p>
      <w:pPr>
        <w:ind w:firstLine="420"/>
        <w:rPr>
          <w:rFonts w:hint="eastAsia"/>
          <w:color w:val="auto"/>
        </w:rPr>
      </w:pPr>
      <w:r>
        <w:rPr>
          <w:rFonts w:hint="eastAsia"/>
          <w:color w:val="auto"/>
        </w:rPr>
        <w:t>传真</w:t>
      </w:r>
      <w:r>
        <w:rPr>
          <w:color w:val="auto"/>
        </w:rPr>
        <w:t>：</w:t>
      </w:r>
    </w:p>
    <w:p>
      <w:pPr>
        <w:ind w:firstLine="420"/>
        <w:rPr>
          <w:color w:val="auto"/>
        </w:rPr>
      </w:pPr>
      <w:r>
        <w:rPr>
          <w:rFonts w:hint="eastAsia"/>
          <w:color w:val="auto"/>
        </w:rPr>
        <w:t>鉴证日期：</w:t>
      </w:r>
    </w:p>
    <w:p>
      <w:pPr>
        <w:pStyle w:val="5"/>
        <w:rPr>
          <w:color w:val="auto"/>
        </w:rPr>
        <w:sectPr>
          <w:headerReference r:id="rId15" w:type="default"/>
          <w:footerReference r:id="rId17" w:type="default"/>
          <w:headerReference r:id="rId16" w:type="even"/>
          <w:footerReference r:id="rId18" w:type="even"/>
          <w:pgSz w:w="11907" w:h="16840"/>
          <w:pgMar w:top="1021" w:right="1304" w:bottom="1247" w:left="1304" w:header="720" w:footer="720" w:gutter="0"/>
          <w:cols w:space="0" w:num="1"/>
          <w:docGrid w:linePitch="286" w:charSpace="0"/>
        </w:sectPr>
      </w:pPr>
    </w:p>
    <w:p>
      <w:pPr>
        <w:pStyle w:val="6"/>
        <w:jc w:val="center"/>
        <w:rPr>
          <w:color w:val="auto"/>
          <w:sz w:val="28"/>
          <w:szCs w:val="28"/>
        </w:rPr>
      </w:pPr>
      <w:r>
        <w:rPr>
          <w:rFonts w:hint="eastAsia"/>
          <w:color w:val="auto"/>
          <w:sz w:val="28"/>
          <w:szCs w:val="28"/>
        </w:rPr>
        <w:t>政府采购项目验收书</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4358" w:type="dxa"/>
            <w:gridSpan w:val="2"/>
            <w:vAlign w:val="center"/>
          </w:tcPr>
          <w:p>
            <w:pPr>
              <w:snapToGrid w:val="0"/>
              <w:spacing w:beforeLines="50" w:afterLines="50"/>
              <w:ind w:firstLine="0" w:firstLineChars="0"/>
              <w:jc w:val="center"/>
              <w:rPr>
                <w:rFonts w:ascii="宋体"/>
                <w:color w:val="auto"/>
                <w:szCs w:val="21"/>
              </w:rPr>
            </w:pPr>
          </w:p>
        </w:tc>
        <w:tc>
          <w:tcPr>
            <w:tcW w:w="131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color w:val="auto"/>
        </w:rPr>
      </w:pPr>
      <w:r>
        <w:rPr>
          <w:color w:val="auto"/>
        </w:rPr>
        <w:br w:type="page"/>
      </w:r>
    </w:p>
    <w:p>
      <w:pPr>
        <w:pStyle w:val="4"/>
        <w:ind w:firstLine="0" w:firstLineChars="0"/>
        <w:rPr>
          <w:rFonts w:asciiTheme="minorEastAsia" w:hAnsiTheme="minorEastAsia" w:eastAsiaTheme="minorEastAsia"/>
          <w:color w:val="auto"/>
          <w:sz w:val="32"/>
          <w:szCs w:val="32"/>
        </w:rPr>
      </w:pPr>
      <w:bookmarkStart w:id="141" w:name="_Toc2456"/>
      <w:bookmarkStart w:id="142" w:name="_Toc450840088"/>
      <w:r>
        <w:rPr>
          <w:rFonts w:hint="eastAsia" w:asciiTheme="minorEastAsia" w:hAnsiTheme="minorEastAsia" w:eastAsiaTheme="minorEastAsia"/>
          <w:color w:val="auto"/>
          <w:sz w:val="32"/>
          <w:szCs w:val="32"/>
        </w:rPr>
        <w:t>第五章 投标文件内容及格式</w:t>
      </w:r>
      <w:bookmarkEnd w:id="141"/>
      <w:bookmarkEnd w:id="142"/>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szCs w:val="21"/>
        </w:rPr>
      </w:pPr>
      <w:bookmarkStart w:id="143" w:name="_Toc667"/>
      <w:bookmarkStart w:id="144" w:name="_Toc2078383"/>
      <w:bookmarkStart w:id="145" w:name="_Toc6227669"/>
      <w:r>
        <w:rPr>
          <w:rFonts w:hint="eastAsia" w:cs="宋体" w:asciiTheme="minorEastAsia" w:hAnsiTheme="minorEastAsia" w:eastAsiaTheme="minorEastAsia"/>
          <w:color w:val="auto"/>
          <w:szCs w:val="21"/>
        </w:rPr>
        <w:t>1投标人提交投标文件须知</w:t>
      </w:r>
      <w:bookmarkEnd w:id="143"/>
      <w:bookmarkEnd w:id="144"/>
      <w:bookmarkEnd w:id="14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1.2所附表格中要求回答的全部问题或信息都必须正面回答。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1.3声明书的签字人应保证全部声明和问题的回答是真实的和准确的。</w:t>
      </w:r>
    </w:p>
    <w:p>
      <w:pPr>
        <w:ind w:firstLine="420"/>
        <w:rPr>
          <w:rFonts w:cs="宋体" w:asciiTheme="minorEastAsia" w:hAnsiTheme="minorEastAsia" w:eastAsiaTheme="minorEastAsia"/>
          <w:strike/>
          <w:color w:val="auto"/>
          <w:szCs w:val="21"/>
        </w:rPr>
      </w:pPr>
      <w:bookmarkStart w:id="146" w:name="_Hlk8682741"/>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46"/>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1.5投标人提交的材料将按规定被保密保存。</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1.6全部文件应按投标人须知中规定的语言和份数提交。</w:t>
      </w:r>
    </w:p>
    <w:p>
      <w:pPr>
        <w:pStyle w:val="5"/>
        <w:rPr>
          <w:rFonts w:cs="宋体" w:asciiTheme="minorEastAsia" w:hAnsiTheme="minorEastAsia" w:eastAsiaTheme="minorEastAsia"/>
          <w:color w:val="auto"/>
          <w:szCs w:val="21"/>
        </w:rPr>
      </w:pPr>
      <w:bookmarkStart w:id="147" w:name="_Toc2078384"/>
      <w:bookmarkStart w:id="148" w:name="_Toc6227670"/>
      <w:bookmarkStart w:id="149" w:name="_Toc10545"/>
      <w:r>
        <w:rPr>
          <w:rFonts w:hint="eastAsia" w:cs="宋体" w:asciiTheme="minorEastAsia" w:hAnsiTheme="minorEastAsia" w:eastAsiaTheme="minorEastAsia"/>
          <w:color w:val="auto"/>
          <w:szCs w:val="21"/>
        </w:rPr>
        <w:t>2投标文件组成</w:t>
      </w:r>
      <w:bookmarkEnd w:id="147"/>
      <w:bookmarkEnd w:id="148"/>
      <w:bookmarkEnd w:id="14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w:t>
      </w:r>
    </w:p>
    <w:p>
      <w:pPr>
        <w:pStyle w:val="6"/>
        <w:rPr>
          <w:color w:val="auto"/>
        </w:rPr>
      </w:pPr>
      <w:r>
        <w:rPr>
          <w:rFonts w:hint="eastAsia"/>
          <w:color w:val="auto"/>
        </w:rPr>
        <w:t>2.1资格证明文件</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（3）提供有效的最近一个月依法缴纳社会保障资金证明（缴纳凭证或人社部门出具的证明）；</w:t>
      </w:r>
    </w:p>
    <w:p>
      <w:pPr>
        <w:snapToGrid w:val="0"/>
        <w:spacing w:before="120" w:beforeLines="50" w:after="50" w:line="360" w:lineRule="auto"/>
        <w:jc w:val="both"/>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4）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5</w:t>
      </w:r>
      <w:r>
        <w:rPr>
          <w:rFonts w:hint="eastAsia" w:cs="宋体" w:asciiTheme="minorEastAsia" w:hAnsiTheme="minorEastAsia" w:eastAsiaTheme="minorEastAsia"/>
          <w:b w:val="0"/>
          <w:bCs w:val="0"/>
          <w:color w:val="auto"/>
          <w:szCs w:val="21"/>
          <w:highlight w:val="none"/>
        </w:rPr>
        <w:t>）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13"/>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6</w:t>
      </w:r>
      <w:r>
        <w:rPr>
          <w:rFonts w:hint="eastAsia" w:asciiTheme="minorEastAsia" w:hAnsiTheme="minorEastAsia" w:eastAsiaTheme="minorEastAsia"/>
          <w:b w:val="0"/>
          <w:bCs w:val="0"/>
          <w:color w:val="auto"/>
          <w:highlight w:val="none"/>
        </w:rPr>
        <w:t>）提供招标公告中符合投标人特定条件要求的有效的其他资质复印件并加盖公司公章及需要说明的资料；</w:t>
      </w:r>
    </w:p>
    <w:p>
      <w:pPr>
        <w:pStyle w:val="13"/>
        <w:spacing w:line="360" w:lineRule="auto"/>
        <w:ind w:firstLine="422" w:firstLineChars="200"/>
        <w:rPr>
          <w:rFonts w:asciiTheme="minorEastAsia" w:hAnsiTheme="minorEastAsia" w:eastAsiaTheme="minorEastAsia"/>
          <w:b/>
          <w:bCs/>
          <w:color w:val="auto"/>
          <w:highlight w:val="none"/>
        </w:rPr>
      </w:pPr>
    </w:p>
    <w:p>
      <w:pPr>
        <w:pStyle w:val="6"/>
        <w:rPr>
          <w:color w:val="auto"/>
        </w:rPr>
      </w:pPr>
      <w:r>
        <w:rPr>
          <w:rFonts w:hint="eastAsia"/>
          <w:color w:val="auto"/>
        </w:rPr>
        <w:t>2.2报价文件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投标人的报价文件包括以下内容（均需加盖公章）：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（1）投标函；</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（2）开标一览表；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（3）投标报价明细表；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（4）包括但不限于以上文件资料。</w:t>
      </w:r>
    </w:p>
    <w:p>
      <w:pPr>
        <w:pStyle w:val="6"/>
        <w:rPr>
          <w:color w:val="auto"/>
        </w:rPr>
      </w:pPr>
      <w:r>
        <w:rPr>
          <w:rFonts w:hint="eastAsia"/>
          <w:color w:val="auto"/>
        </w:rPr>
        <w:t>2.3商务技术文件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投标人的商务文件包括以下内容（均需加盖公章）：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）政府采购诚信承诺书；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）投标人简介；</w:t>
      </w:r>
    </w:p>
    <w:p>
      <w:pPr>
        <w:pStyle w:val="2"/>
        <w:spacing w:after="0" w:line="360" w:lineRule="auto"/>
        <w:ind w:firstLineChars="200"/>
        <w:rPr>
          <w:rFonts w:hint="eastAsia" w:asciiTheme="minorEastAsia" w:hAnsiTheme="minorEastAsia" w:eastAsiaTheme="minorEastAsia"/>
          <w:color w:val="auto"/>
          <w:lang w:eastAsia="zh-CN"/>
        </w:rPr>
      </w:pPr>
      <w:bookmarkStart w:id="150" w:name="_Hlk8682768"/>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）中小企业声明函</w:t>
      </w:r>
      <w:r>
        <w:rPr>
          <w:rFonts w:hint="eastAsia" w:asciiTheme="minorEastAsia" w:hAnsiTheme="minorEastAsia" w:eastAsiaTheme="minorEastAsia"/>
          <w:color w:val="auto"/>
        </w:rPr>
        <w:t>（如有）</w:t>
      </w:r>
      <w:r>
        <w:rPr>
          <w:rFonts w:hint="eastAsia" w:asciiTheme="minorEastAsia" w:hAnsiTheme="minorEastAsia" w:eastAsiaTheme="minorEastAsia"/>
          <w:color w:val="auto"/>
          <w:lang w:eastAsia="zh-CN"/>
        </w:rPr>
        <w:t>；</w:t>
      </w:r>
    </w:p>
    <w:bookmarkEnd w:id="150"/>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）监狱企业、残疾人福利企业声明函（如有）；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（5）技术条款偏离表（针对招标文件第二章内容逐条填写）；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（6）商务条款偏离表（针对招标文件第三章内容逐条填写）；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（7）投标人业绩情况一览表及业绩证明材料（按第六章评分办法要求提供）；</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（8）招标文件第六章评分细则中涉及的相关内容描述；</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（9）提供详细的服务方案，包括但不限于工作流程、程序、服务期间所需配备的各种设备、设施、工具等；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（10）项目实施计划（可包含且不限于具体组织实施方案、时间进度计划安排等）；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（11）拟派项目负责人及项目团队人员组成；</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（12）投标人针对该项目的售后服务计划（可包含且不限于响应时间、处理、售后人员、突发事件服务承诺情况等）；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3</w:t>
      </w:r>
      <w:r>
        <w:rPr>
          <w:rFonts w:hint="eastAsia" w:cs="宋体" w:asciiTheme="minorEastAsia" w:hAnsiTheme="minorEastAsia" w:eastAsiaTheme="minorEastAsia"/>
          <w:color w:val="auto"/>
        </w:rPr>
        <w:t>）优惠条件及特殊承诺；</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）包括但不限于以上服务文件或说明。</w:t>
      </w:r>
    </w:p>
    <w:p>
      <w:pPr>
        <w:pStyle w:val="2"/>
        <w:ind w:firstLine="210"/>
        <w:rPr>
          <w:color w:val="auto"/>
        </w:rPr>
      </w:pP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以上所需的各种证书、证件、证明、证照均应有效，若系复印件，须在复印件上加盖供应商公章。</w:t>
      </w:r>
    </w:p>
    <w:p>
      <w:pPr>
        <w:pStyle w:val="5"/>
        <w:rPr>
          <w:rFonts w:cs="宋体" w:asciiTheme="minorEastAsia" w:hAnsiTheme="minorEastAsia" w:eastAsiaTheme="minorEastAsia"/>
          <w:color w:val="auto"/>
          <w:szCs w:val="21"/>
        </w:rPr>
      </w:pPr>
      <w:bookmarkStart w:id="151" w:name="_Toc10817"/>
      <w:r>
        <w:rPr>
          <w:rFonts w:hint="eastAsia" w:cs="宋体" w:asciiTheme="minorEastAsia" w:hAnsiTheme="minorEastAsia" w:eastAsiaTheme="minorEastAsia"/>
          <w:color w:val="auto"/>
          <w:szCs w:val="21"/>
        </w:rPr>
        <w:t>3投标文件编制格式及规范要求</w:t>
      </w:r>
      <w:bookmarkEnd w:id="15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见后附投标文件编制格式及规范要求。</w:t>
      </w:r>
      <w:r>
        <w:rPr>
          <w:rFonts w:hint="eastAsia" w:cs="宋体" w:asciiTheme="minorEastAsia" w:hAnsiTheme="minorEastAsia" w:eastAsiaTheme="minorEastAsia"/>
          <w:color w:val="auto"/>
          <w:szCs w:val="21"/>
        </w:rPr>
        <w:br w:type="page"/>
      </w:r>
    </w:p>
    <w:p>
      <w:pPr>
        <w:ind w:firstLine="0" w:firstLineChars="0"/>
        <w:jc w:val="left"/>
        <w:rPr>
          <w:rFonts w:cs="宋体" w:asciiTheme="minorEastAsia" w:hAnsiTheme="minorEastAsia" w:eastAsiaTheme="minorEastAsia"/>
          <w:b/>
          <w:bCs/>
          <w:color w:val="auto"/>
          <w:sz w:val="48"/>
          <w:szCs w:val="48"/>
        </w:rPr>
      </w:pPr>
      <w:r>
        <w:rPr>
          <w:rFonts w:cs="宋体" w:asciiTheme="minorEastAsia" w:hAnsiTheme="minorEastAsia" w:eastAsiaTheme="minorEastAsia"/>
          <w:color w:val="auto"/>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设计艺术学院《研究生教学体系及金课建设》之《东方图案研究》出版</w:t>
      </w:r>
    </w:p>
    <w:p>
      <w:pPr>
        <w:pStyle w:val="2"/>
        <w:ind w:firstLine="210"/>
        <w:rPr>
          <w:rFonts w:asciiTheme="minorEastAsia" w:hAnsiTheme="minorEastAsia" w:eastAsiaTheme="minorEastAsia"/>
          <w:color w:val="auto"/>
        </w:rPr>
      </w:pPr>
    </w:p>
    <w:p>
      <w:pPr>
        <w:ind w:firstLine="964"/>
        <w:jc w:val="center"/>
        <w:rPr>
          <w:rFonts w:cs="宋体" w:asciiTheme="minorEastAsia" w:hAnsiTheme="minorEastAsia" w:eastAsiaTheme="minorEastAsia"/>
          <w:b/>
          <w:bCs/>
          <w:color w:val="auto"/>
          <w:sz w:val="48"/>
          <w:szCs w:val="4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投标文件</w:t>
      </w:r>
    </w:p>
    <w:p>
      <w:pPr>
        <w:snapToGrid w:val="0"/>
        <w:ind w:firstLine="0" w:firstLineChars="0"/>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（资格证明文件/报价文件/商务技术文件）</w:t>
      </w:r>
    </w:p>
    <w:p>
      <w:pPr>
        <w:snapToGrid w:val="0"/>
        <w:ind w:firstLine="0" w:firstLineChars="0"/>
        <w:rPr>
          <w:rFonts w:cs="宋体" w:asciiTheme="minorEastAsia" w:hAnsiTheme="minorEastAsia" w:eastAsiaTheme="minorEastAsia"/>
          <w:b/>
          <w:color w:val="auto"/>
          <w:sz w:val="36"/>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设计艺术学院《研究生教学体系及金课建设》之《东方图案研究》出版</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浙财采确【2019】61963号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ZJXL-MY-201959</w:t>
      </w:r>
      <w:r>
        <w:rPr>
          <w:rFonts w:hint="eastAsia" w:cs="宋体" w:asciiTheme="minorEastAsia" w:hAnsiTheme="minorEastAsia" w:eastAsiaTheme="minorEastAsia"/>
          <w:color w:val="auto"/>
          <w:sz w:val="28"/>
          <w:szCs w:val="28"/>
        </w:rPr>
        <w:t xml:space="preserve">  </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 标 人：</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 xml:space="preserve">期：     年  月 </w:t>
      </w:r>
      <w:r>
        <w:rPr>
          <w:rFonts w:hint="eastAsia" w:cs="宋体" w:asciiTheme="minorEastAsia" w:hAnsiTheme="minorEastAsia" w:eastAsiaTheme="minorEastAsia"/>
          <w:color w:val="auto"/>
          <w:sz w:val="28"/>
          <w:szCs w:val="28"/>
        </w:rPr>
        <w:br w:type="page"/>
      </w:r>
    </w:p>
    <w:p>
      <w:pPr>
        <w:pStyle w:val="6"/>
        <w:rPr>
          <w:color w:val="auto"/>
        </w:rPr>
      </w:pPr>
      <w:r>
        <w:rPr>
          <w:rFonts w:hint="eastAsia"/>
          <w:color w:val="auto"/>
        </w:rPr>
        <w:t>附件一 投标函</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投标函</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（职务、职称）为授权委托人，参加贵方组织的</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（项目名称）采购编号：（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）采购的有关活动，并对此项目进行投标。为此：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元（RMB：</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元）的投标总报价参与本项目的竞标。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4、编制和提交招标文件规定的全部投标文件，包括投标文件正本1份，副本  份。具体内容为：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4.1资格证明文件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5、我方承诺在确认中标后5日内支付招标代理服务费。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6、我方完全理解贵方不一定要接受最低价的投标。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9.1提供虚假材料谋取中标、成交的；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9.2采取不正当手段诋毁、排挤其他投标人的；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9.3与采购人、其它投标人或者采购代理机构恶意串通的；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9.4向采购人、采购代理机构行贿或者提供其他不正当利益的；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9.5在招标采购过程中与采购人进行协商谈判的；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9.6拒绝有关部门监督检查或提供虚假情况的。</w:t>
      </w:r>
    </w:p>
    <w:p>
      <w:pPr>
        <w:ind w:firstLine="409" w:firstLineChars="195"/>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投标人有前款第9.1至9.5项情形之一的,中标、成交无效。</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法人代表签字或盖章：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联系人：               联系电话：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联系地址：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邮政编码：             传真号码：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注：未按照本投标函要求填报的将被视为非实质性响应投标，从而可能导致该投标被拒绝。</w:t>
      </w:r>
    </w:p>
    <w:p>
      <w:pPr>
        <w:pStyle w:val="2"/>
        <w:ind w:firstLine="0" w:firstLineChars="0"/>
        <w:jc w:val="both"/>
        <w:rPr>
          <w:rFonts w:hint="eastAsia" w:ascii="宋体" w:hAnsi="宋体" w:eastAsia="宋体" w:cs="宋体"/>
          <w:b/>
          <w:bCs/>
          <w:color w:val="auto"/>
          <w:sz w:val="21"/>
          <w:szCs w:val="21"/>
          <w:lang w:eastAsia="zh-CN"/>
        </w:rPr>
      </w:pPr>
      <w:r>
        <w:rPr>
          <w:rFonts w:hint="eastAsia"/>
          <w:color w:val="auto"/>
        </w:rPr>
        <w:br w:type="page"/>
      </w:r>
      <w:r>
        <w:rPr>
          <w:rFonts w:hint="eastAsia" w:ascii="宋体" w:hAnsi="宋体" w:eastAsia="宋体" w:cs="宋体"/>
          <w:b/>
          <w:bCs/>
          <w:color w:val="auto"/>
          <w:sz w:val="21"/>
          <w:szCs w:val="21"/>
        </w:rPr>
        <w:t>附件二 开标一览表</w:t>
      </w:r>
    </w:p>
    <w:p>
      <w:pPr>
        <w:pStyle w:val="2"/>
        <w:ind w:firstLine="0" w:firstLineChars="0"/>
        <w:jc w:val="both"/>
        <w:rPr>
          <w:rFonts w:hint="eastAsia"/>
          <w:color w:val="auto"/>
          <w:lang w:eastAsia="zh-CN"/>
        </w:rPr>
      </w:pPr>
    </w:p>
    <w:p>
      <w:pPr>
        <w:pStyle w:val="2"/>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开标一览表</w:t>
      </w:r>
    </w:p>
    <w:p>
      <w:pPr>
        <w:pStyle w:val="2"/>
        <w:ind w:firstLine="210"/>
        <w:rPr>
          <w:rFonts w:hint="eastAsia"/>
          <w:color w:val="auto"/>
        </w:rPr>
      </w:pPr>
    </w:p>
    <w:p>
      <w:pPr>
        <w:pStyle w:val="2"/>
        <w:ind w:firstLine="210"/>
        <w:rPr>
          <w:rFonts w:hint="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832"/>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项目（标段号）名称</w:t>
            </w: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投标报价（元）</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服务期</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color w:val="auto"/>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小写：</w:t>
            </w:r>
          </w:p>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大写：</w:t>
            </w: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r>
    </w:tbl>
    <w:p>
      <w:pPr>
        <w:pStyle w:val="13"/>
        <w:snapToGrid w:val="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hint="eastAsia" w:asciiTheme="minorEastAsia" w:hAnsiTheme="minorEastAsia" w:eastAsiaTheme="minorEastAsia"/>
          <w:color w:val="auto"/>
          <w:szCs w:val="21"/>
        </w:rPr>
      </w:pP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1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法定代表人或授权委托人（签字或盖章）：</w:t>
      </w: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ind w:firstLine="0" w:firstLineChars="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sectPr>
      </w:pPr>
    </w:p>
    <w:tbl>
      <w:tblPr>
        <w:tblStyle w:val="27"/>
        <w:tblpPr w:leftFromText="180" w:rightFromText="180" w:vertAnchor="text" w:tblpX="10711" w:tblpY="96"/>
        <w:tblOverlap w:val="never"/>
        <w:tblW w:w="2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714" w:type="dxa"/>
          </w:tcPr>
          <w:p>
            <w:pPr>
              <w:pStyle w:val="6"/>
              <w:rPr>
                <w:rFonts w:hint="eastAsia"/>
                <w:color w:val="auto"/>
                <w:vertAlign w:val="baseline"/>
              </w:rPr>
            </w:pPr>
          </w:p>
        </w:tc>
      </w:tr>
    </w:tbl>
    <w:p>
      <w:pPr>
        <w:pStyle w:val="6"/>
        <w:rPr>
          <w:color w:val="auto"/>
        </w:rPr>
      </w:pPr>
      <w:r>
        <w:rPr>
          <w:rFonts w:hint="eastAsia"/>
          <w:color w:val="auto"/>
        </w:rPr>
        <w:t>附件三</w:t>
      </w:r>
      <w:r>
        <w:rPr>
          <w:color w:val="auto"/>
        </w:rPr>
        <w:t xml:space="preserve"> </w:t>
      </w:r>
      <w:r>
        <w:rPr>
          <w:rFonts w:hint="eastAsia"/>
          <w:color w:val="auto"/>
        </w:rPr>
        <w:t>投标报价明细表</w:t>
      </w:r>
    </w:p>
    <w:p>
      <w:pPr>
        <w:adjustRightInd w:val="0"/>
        <w:snapToGrid w:val="0"/>
        <w:spacing w:line="460" w:lineRule="atLeast"/>
        <w:rPr>
          <w:rFonts w:ascii="宋体" w:hAnsi="宋体"/>
          <w:color w:val="auto"/>
        </w:rPr>
      </w:pPr>
      <w:r>
        <w:rPr>
          <w:rFonts w:hint="eastAsia" w:ascii="宋体" w:hAnsi="宋体"/>
          <w:color w:val="auto"/>
          <w:szCs w:val="20"/>
        </w:rPr>
        <w:t>招标项目名称：</w:t>
      </w:r>
      <w:r>
        <w:rPr>
          <w:rFonts w:ascii="宋体" w:hAnsi="宋体"/>
          <w:color w:val="auto"/>
          <w:szCs w:val="20"/>
          <w:u w:val="single"/>
        </w:rPr>
        <w:t xml:space="preserve">                 </w:t>
      </w:r>
      <w:r>
        <w:rPr>
          <w:rFonts w:ascii="宋体" w:hAnsi="宋体"/>
          <w:color w:val="auto"/>
          <w:szCs w:val="20"/>
        </w:rPr>
        <w:t xml:space="preserve"> </w:t>
      </w:r>
      <w:r>
        <w:rPr>
          <w:rFonts w:hint="eastAsia" w:ascii="宋体" w:hAnsi="宋体"/>
          <w:color w:val="auto"/>
          <w:szCs w:val="20"/>
        </w:rPr>
        <w:t>项目编号：</w:t>
      </w:r>
      <w:r>
        <w:rPr>
          <w:rFonts w:ascii="宋体" w:hAnsi="宋体"/>
          <w:color w:val="auto"/>
          <w:szCs w:val="20"/>
          <w:u w:val="single"/>
        </w:rPr>
        <w:t xml:space="preserve">             </w:t>
      </w:r>
      <w:r>
        <w:rPr>
          <w:rFonts w:hint="eastAsia" w:ascii="宋体" w:hAnsi="宋体"/>
          <w:color w:val="auto"/>
          <w:szCs w:val="20"/>
        </w:rPr>
        <w:t>（价格单位：人民币(万元)）</w:t>
      </w:r>
    </w:p>
    <w:tbl>
      <w:tblPr>
        <w:tblStyle w:val="26"/>
        <w:tblW w:w="920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lang w:eastAsia="zh-CN"/>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3</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lang w:eastAsia="zh-CN"/>
              </w:rPr>
            </w:pPr>
            <w:r>
              <w:rPr>
                <w:rFonts w:hint="eastAsia"/>
                <w:color w:val="auto"/>
                <w:lang w:eastAsia="zh-CN"/>
              </w:rPr>
              <w:t>设计费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eastAsia="zh-CN"/>
              </w:rPr>
            </w:pPr>
            <w:r>
              <w:rPr>
                <w:rFonts w:hint="eastAsia"/>
                <w:color w:val="auto"/>
                <w:sz w:val="20"/>
                <w:szCs w:val="20"/>
                <w:lang w:eastAsia="zh-CN"/>
              </w:rPr>
              <w:t>稿费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eastAsia="zh-CN"/>
              </w:rPr>
            </w:pPr>
            <w:r>
              <w:rPr>
                <w:rFonts w:hint="eastAsia"/>
                <w:color w:val="auto"/>
                <w:sz w:val="20"/>
                <w:szCs w:val="20"/>
                <w:lang w:eastAsia="zh-CN"/>
              </w:rPr>
              <w:t>翻译费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val="en-US" w:eastAsia="zh-CN"/>
              </w:rPr>
            </w:pPr>
            <w:r>
              <w:rPr>
                <w:rFonts w:hint="eastAsia"/>
                <w:color w:val="auto"/>
                <w:sz w:val="20"/>
                <w:szCs w:val="20"/>
                <w:lang w:val="en-US" w:eastAsia="zh-CN"/>
              </w:rPr>
              <w:t>4</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val="en-US" w:eastAsia="zh-CN"/>
              </w:rPr>
            </w:pPr>
            <w:r>
              <w:rPr>
                <w:rFonts w:hint="eastAsia"/>
                <w:color w:val="auto"/>
                <w:sz w:val="20"/>
                <w:szCs w:val="20"/>
                <w:lang w:val="en-US" w:eastAsia="zh-CN"/>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r>
              <w:rPr>
                <w:rFonts w:hint="eastAsia"/>
                <w:color w:val="auto"/>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37"/>
              <w:rPr>
                <w:rFonts w:hAnsi="宋体" w:cs="宋体"/>
                <w:color w:val="auto"/>
                <w:spacing w:val="20"/>
              </w:rPr>
            </w:pPr>
            <w:r>
              <w:rPr>
                <w:rFonts w:hint="eastAsia" w:hAnsi="宋体" w:cs="宋体"/>
                <w:color w:val="auto"/>
                <w:spacing w:val="20"/>
              </w:rPr>
              <w:t>大写：</w:t>
            </w:r>
          </w:p>
          <w:p>
            <w:pPr>
              <w:pStyle w:val="37"/>
              <w:rPr>
                <w:color w:val="auto"/>
              </w:rPr>
            </w:pPr>
            <w:r>
              <w:rPr>
                <w:rFonts w:hint="eastAsia" w:hAnsi="宋体" w:cs="宋体"/>
                <w:color w:val="auto"/>
                <w:spacing w:val="20"/>
              </w:rPr>
              <w:t>小写：</w:t>
            </w:r>
          </w:p>
        </w:tc>
      </w:tr>
    </w:tbl>
    <w:p>
      <w:pPr>
        <w:spacing w:line="240" w:lineRule="auto"/>
        <w:ind w:firstLine="420"/>
        <w:rPr>
          <w:rFonts w:ascii="宋体" w:hAnsi="宋体"/>
          <w:color w:val="auto"/>
        </w:rPr>
      </w:pPr>
      <w:r>
        <w:rPr>
          <w:rFonts w:hint="eastAsia" w:ascii="宋体" w:hAnsi="宋体"/>
          <w:color w:val="auto"/>
        </w:rPr>
        <w:t>注：1、此表合计金额应与 “开标一览表”中投标报价相一致；</w:t>
      </w:r>
    </w:p>
    <w:p>
      <w:pPr>
        <w:spacing w:line="240" w:lineRule="auto"/>
        <w:ind w:firstLine="420"/>
        <w:rPr>
          <w:rFonts w:ascii="宋体" w:hAnsi="宋体"/>
          <w:color w:val="auto"/>
        </w:rPr>
      </w:pPr>
      <w:r>
        <w:rPr>
          <w:rFonts w:hint="eastAsia" w:ascii="宋体" w:hAnsi="宋体"/>
          <w:color w:val="auto"/>
        </w:rPr>
        <w:t xml:space="preserve">    2、此表可进一步细分，栏目可另加，应包括为完成本项目可能发生的全部费用。</w:t>
      </w:r>
    </w:p>
    <w:p>
      <w:pPr>
        <w:adjustRightInd w:val="0"/>
        <w:snapToGrid w:val="0"/>
        <w:spacing w:line="460" w:lineRule="atLeast"/>
        <w:ind w:firstLine="0" w:firstLineChars="0"/>
        <w:rPr>
          <w:rFonts w:ascii="宋体"/>
          <w:color w:val="auto"/>
        </w:rPr>
      </w:pPr>
      <w:r>
        <w:rPr>
          <w:rFonts w:ascii="宋体" w:hAnsi="宋体"/>
          <w:color w:val="auto"/>
        </w:rPr>
        <w:t xml:space="preserve">   </w:t>
      </w:r>
    </w:p>
    <w:p>
      <w:pPr>
        <w:spacing w:line="240" w:lineRule="auto"/>
        <w:ind w:firstLine="0" w:firstLineChars="0"/>
        <w:rPr>
          <w:rFonts w:ascii="宋体"/>
          <w:color w:val="auto"/>
        </w:rPr>
      </w:pPr>
    </w:p>
    <w:p>
      <w:pPr>
        <w:adjustRightInd w:val="0"/>
        <w:snapToGrid w:val="0"/>
        <w:spacing w:line="460" w:lineRule="atLeast"/>
        <w:ind w:firstLine="0" w:firstLineChars="0"/>
        <w:rPr>
          <w:rFonts w:ascii="宋体"/>
          <w:color w:val="auto"/>
        </w:rPr>
      </w:pPr>
    </w:p>
    <w:p>
      <w:pPr>
        <w:spacing w:line="240" w:lineRule="auto"/>
        <w:ind w:firstLine="420"/>
        <w:rPr>
          <w:rFonts w:ascii="宋体"/>
          <w:color w:val="auto"/>
        </w:rPr>
      </w:pPr>
      <w:r>
        <w:rPr>
          <w:rFonts w:hint="eastAsia" w:ascii="宋体" w:hAnsi="宋体"/>
          <w:color w:val="auto"/>
        </w:rPr>
        <w:t>投标人（盖章）：</w:t>
      </w:r>
      <w:r>
        <w:rPr>
          <w:rFonts w:ascii="宋体" w:hAnsi="宋体"/>
          <w:color w:val="auto"/>
        </w:rPr>
        <w:t xml:space="preserve">                   </w:t>
      </w:r>
    </w:p>
    <w:p>
      <w:pPr>
        <w:spacing w:line="240" w:lineRule="auto"/>
        <w:ind w:firstLine="420"/>
        <w:rPr>
          <w:rFonts w:hint="eastAsia" w:ascii="宋体"/>
          <w:color w:val="auto"/>
        </w:rPr>
      </w:pPr>
    </w:p>
    <w:p>
      <w:pPr>
        <w:spacing w:line="240" w:lineRule="auto"/>
        <w:ind w:firstLine="420"/>
        <w:rPr>
          <w:rFonts w:ascii="宋体"/>
          <w:color w:val="auto"/>
        </w:rPr>
      </w:pPr>
      <w:r>
        <w:rPr>
          <w:rFonts w:hint="eastAsia" w:ascii="宋体"/>
          <w:color w:val="auto"/>
        </w:rPr>
        <w:t>授权委托人（签字</w:t>
      </w:r>
      <w:r>
        <w:rPr>
          <w:rFonts w:hint="eastAsia"/>
          <w:color w:val="auto"/>
        </w:rPr>
        <w:t>或盖章</w:t>
      </w:r>
      <w:r>
        <w:rPr>
          <w:rFonts w:hint="eastAsia" w:ascii="宋体"/>
          <w:color w:val="auto"/>
        </w:rPr>
        <w:t>）：</w:t>
      </w:r>
      <w:r>
        <w:rPr>
          <w:rFonts w:ascii="宋体"/>
          <w:color w:val="auto"/>
        </w:rPr>
        <w:t xml:space="preserve">                           </w:t>
      </w:r>
    </w:p>
    <w:p>
      <w:pPr>
        <w:spacing w:line="240" w:lineRule="auto"/>
        <w:ind w:firstLine="420"/>
        <w:rPr>
          <w:rFonts w:hint="eastAsia"/>
          <w:color w:val="auto"/>
        </w:rPr>
      </w:pPr>
    </w:p>
    <w:p>
      <w:pPr>
        <w:spacing w:line="240" w:lineRule="auto"/>
        <w:ind w:firstLine="420"/>
        <w:rPr>
          <w:color w:val="auto"/>
        </w:rPr>
      </w:pPr>
      <w:r>
        <w:rPr>
          <w:rFonts w:hint="eastAsia"/>
          <w:color w:val="auto"/>
        </w:rPr>
        <w:t>日期：</w:t>
      </w:r>
      <w:r>
        <w:rPr>
          <w:color w:val="auto"/>
        </w:rPr>
        <w:t xml:space="preserve"> </w:t>
      </w:r>
    </w:p>
    <w:p>
      <w:pPr>
        <w:spacing w:line="240" w:lineRule="auto"/>
        <w:ind w:firstLine="0" w:firstLineChars="0"/>
        <w:rPr>
          <w:rFonts w:ascii="宋体"/>
          <w:b/>
          <w:color w:val="auto"/>
          <w:spacing w:val="20"/>
          <w:sz w:val="24"/>
        </w:rPr>
      </w:pPr>
    </w:p>
    <w:p>
      <w:pPr>
        <w:ind w:firstLine="420"/>
        <w:rPr>
          <w:color w:val="auto"/>
        </w:rPr>
      </w:pPr>
    </w:p>
    <w:p>
      <w:pPr>
        <w:pStyle w:val="6"/>
        <w:rPr>
          <w:color w:val="auto"/>
        </w:rPr>
      </w:pPr>
      <w:r>
        <w:rPr>
          <w:rFonts w:hint="eastAsia"/>
          <w:color w:val="auto"/>
          <w:highlight w:val="none"/>
        </w:rPr>
        <w:br w:type="page"/>
      </w:r>
      <w:r>
        <w:rPr>
          <w:rFonts w:hint="eastAsia"/>
          <w:color w:val="auto"/>
        </w:rPr>
        <w:t>附件四 法定代表人证明书、法定代表人授权书</w:t>
      </w:r>
    </w:p>
    <w:p>
      <w:pPr>
        <w:ind w:firstLine="0" w:firstLineChars="0"/>
        <w:rPr>
          <w:rFonts w:cs="宋体" w:asciiTheme="minorEastAsia" w:hAnsiTheme="minorEastAsia" w:eastAsiaTheme="minorEastAsia"/>
          <w:b/>
          <w:bCs/>
          <w:color w:val="auto"/>
          <w:szCs w:val="20"/>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法定代表人证明书</w:t>
      </w:r>
    </w:p>
    <w:p>
      <w:pPr>
        <w:ind w:firstLine="0" w:firstLineChars="0"/>
        <w:rPr>
          <w:rFonts w:cs="宋体" w:asciiTheme="minorEastAsia" w:hAnsiTheme="minorEastAsia" w:eastAsiaTheme="minorEastAsia"/>
          <w:b/>
          <w:bCs/>
          <w:color w:val="auto"/>
          <w:szCs w:val="21"/>
        </w:rPr>
      </w:pP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同志，身份证号码：</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，现任我单位</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职务，为我单位法定代表人，特此证明。</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42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zCs w:val="21"/>
        </w:rPr>
        <w:br w:type="page"/>
      </w:r>
      <w:r>
        <w:rPr>
          <w:rFonts w:hint="eastAsia" w:cs="宋体" w:asciiTheme="minorEastAsia" w:hAnsiTheme="minorEastAsia" w:eastAsiaTheme="minorEastAsia"/>
          <w:b/>
          <w:color w:val="auto"/>
          <w:sz w:val="32"/>
          <w:szCs w:val="32"/>
        </w:rPr>
        <w:t>法定代表人授权书</w:t>
      </w:r>
    </w:p>
    <w:p>
      <w:pPr>
        <w:ind w:firstLine="0" w:firstLineChars="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我以</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（投标人全称）法定代表人的身份授权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（授权委托人姓名）、身份证号</w:t>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 xml:space="preserve"> ，为我单位的授权委托人，参加贵处组织的</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bCs/>
          <w:color w:val="auto"/>
          <w:szCs w:val="21"/>
          <w:u w:val="single"/>
          <w:lang w:eastAsia="zh-CN"/>
        </w:rPr>
        <w:t>设计艺术学院《研究生教学体系及金课建设》之《东方图案研究》出版</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color w:val="auto"/>
          <w:szCs w:val="21"/>
        </w:rPr>
        <w:t>（采购编号：             ）的采购，全权处理采购活动中的一切事宜，我单位均予承认。</w:t>
      </w:r>
    </w:p>
    <w:p>
      <w:pPr>
        <w:ind w:firstLine="42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adjustRightInd w:val="0"/>
        <w:snapToGrid w:val="0"/>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附件五 政府采购诚信承诺书</w:t>
      </w:r>
    </w:p>
    <w:p>
      <w:pPr>
        <w:ind w:firstLine="0" w:firstLineChars="0"/>
        <w:rPr>
          <w:rFonts w:cs="宋体" w:asciiTheme="minorEastAsia" w:hAnsiTheme="minorEastAsia" w:eastAsiaTheme="minorEastAsia"/>
          <w:color w:val="auto"/>
          <w:sz w:val="24"/>
        </w:rPr>
      </w:pPr>
    </w:p>
    <w:p>
      <w:pPr>
        <w:pStyle w:val="41"/>
        <w:jc w:val="center"/>
        <w:rPr>
          <w:color w:val="auto"/>
        </w:rPr>
      </w:pPr>
      <w:r>
        <w:rPr>
          <w:rFonts w:hint="eastAsia"/>
          <w:color w:val="auto"/>
        </w:rPr>
        <w:t>政府采购诚信承诺书</w:t>
      </w:r>
    </w:p>
    <w:p>
      <w:pPr>
        <w:pStyle w:val="52"/>
        <w:ind w:firstLine="420"/>
        <w:rPr>
          <w:rFonts w:asciiTheme="minorEastAsia" w:hAnsiTheme="minorEastAsia" w:eastAsiaTheme="minorEastAsia"/>
          <w:color w:val="auto"/>
          <w:sz w:val="21"/>
          <w:szCs w:val="21"/>
        </w:rPr>
      </w:pPr>
    </w:p>
    <w:p>
      <w:pPr>
        <w:ind w:firstLine="0" w:firstLineChars="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（采购人）、</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（采购代理机构）：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我公司</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（投标人名称）已详细阅读了</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lang w:eastAsia="zh-CN"/>
        </w:rPr>
        <w:t>设计艺术学院《研究生教学体系及金课建设》之《东方图案研究》出版</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）的招标文件，自愿参加该项目的采购活动，现就有关事项做出郑重承诺如下：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2.1不向项目有关人员及部门赠送礼金礼物、有价证券、回扣以及中介费、介绍费、咨询费等好处费；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2.2不为项目有关人员及部门报销应由你方单位或个人支付的费用；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2.3不向项目有关人员及部门提供有可能影响公正的宴请和健身娱乐等活动；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2.4不为项目有关人员及部门出国（境）、旅游等提供方便；</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2.5不为项目有关人员个人装修住房、婚丧嫁娶、配偶子女工作安排等提供好处；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color w:val="auto"/>
        </w:rPr>
      </w:pPr>
    </w:p>
    <w:p>
      <w:pPr>
        <w:pStyle w:val="2"/>
        <w:ind w:firstLine="210"/>
        <w:rPr>
          <w:rFonts w:asciiTheme="minorEastAsia" w:hAnsiTheme="minorEastAsia" w:eastAsiaTheme="minorEastAsia"/>
          <w:color w:val="auto"/>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法定代表人（签字或印章）：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topLinePunct/>
        <w:ind w:firstLine="420"/>
        <w:rPr>
          <w:rFonts w:cs="宋体" w:asciiTheme="minorEastAsia" w:hAnsiTheme="minorEastAsia" w:eastAsiaTheme="minorEastAsia"/>
          <w:color w:val="auto"/>
          <w:szCs w:val="21"/>
        </w:rPr>
      </w:pPr>
    </w:p>
    <w:p>
      <w:pPr>
        <w:topLinePunct/>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备注：若以联合体形式参与采购活动的，联合体各成员应分别填写。</w:t>
      </w:r>
    </w:p>
    <w:p>
      <w:pPr>
        <w:pStyle w:val="2"/>
        <w:ind w:firstLine="210"/>
        <w:rPr>
          <w:rFonts w:asciiTheme="minorEastAsia" w:hAnsiTheme="minorEastAsia" w:eastAsiaTheme="minorEastAsia"/>
          <w:color w:val="auto"/>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附件七 中小企业声明函（如有）</w:t>
      </w:r>
    </w:p>
    <w:p>
      <w:pPr>
        <w:ind w:firstLine="420"/>
        <w:rPr>
          <w:rFonts w:cs="宋体" w:asciiTheme="minorEastAsia" w:hAnsiTheme="minorEastAsia" w:eastAsiaTheme="minorEastAsia"/>
          <w:color w:val="auto"/>
        </w:rPr>
      </w:pPr>
    </w:p>
    <w:p>
      <w:pPr>
        <w:ind w:firstLine="0" w:firstLineChars="0"/>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中小企业声明函</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本公司对上述声明的真实性负责。如有虚假，将依法承担相应责任。</w:t>
      </w:r>
    </w:p>
    <w:p>
      <w:pPr>
        <w:ind w:firstLine="420"/>
        <w:jc w:val="right"/>
        <w:rPr>
          <w:rFonts w:cs="宋体" w:asciiTheme="minorEastAsia" w:hAnsiTheme="minorEastAsia" w:eastAsiaTheme="minorEastAsia"/>
          <w:color w:val="auto"/>
          <w:szCs w:val="21"/>
        </w:rPr>
      </w:pPr>
    </w:p>
    <w:p>
      <w:pPr>
        <w:ind w:firstLine="420"/>
        <w:jc w:val="right"/>
        <w:rPr>
          <w:rFonts w:cs="宋体" w:asciiTheme="minorEastAsia" w:hAnsiTheme="minorEastAsia" w:eastAsiaTheme="minorEastAsia"/>
          <w:color w:val="auto"/>
          <w:szCs w:val="21"/>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ind w:right="630" w:firstLine="42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color w:val="auto"/>
          <w:szCs w:val="21"/>
        </w:rPr>
        <w:t>日期：</w:t>
      </w:r>
    </w:p>
    <w:p>
      <w:pPr>
        <w:pStyle w:val="6"/>
        <w:rPr>
          <w:color w:val="auto"/>
        </w:rPr>
      </w:pPr>
      <w:r>
        <w:rPr>
          <w:rFonts w:hint="eastAsia"/>
          <w:color w:val="auto"/>
        </w:rPr>
        <w:t>附件八 残疾人福利性单位声明函（如有）</w:t>
      </w:r>
    </w:p>
    <w:p>
      <w:pPr>
        <w:ind w:firstLine="420"/>
        <w:rPr>
          <w:color w:val="auto"/>
        </w:rPr>
      </w:pPr>
    </w:p>
    <w:p>
      <w:pPr>
        <w:pStyle w:val="2"/>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 xml:space="preserve">               单位名称（盖章）：</w:t>
      </w:r>
    </w:p>
    <w:p>
      <w:pPr>
        <w:ind w:firstLine="420"/>
        <w:jc w:val="right"/>
        <w:rPr>
          <w:color w:val="auto"/>
          <w:szCs w:val="21"/>
        </w:rPr>
      </w:pPr>
      <w:r>
        <w:rPr>
          <w:rFonts w:hint="eastAsia"/>
          <w:color w:val="auto"/>
          <w:szCs w:val="21"/>
        </w:rPr>
        <w:t xml:space="preserve">       日  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pStyle w:val="6"/>
        <w:rPr>
          <w:color w:val="auto"/>
        </w:rPr>
      </w:pPr>
      <w:r>
        <w:rPr>
          <w:rFonts w:hint="eastAsia"/>
          <w:color w:val="auto"/>
        </w:rPr>
        <w:t>附件九 技术条款偏离表</w:t>
      </w:r>
    </w:p>
    <w:p>
      <w:pPr>
        <w:ind w:firstLine="555" w:firstLineChars="0"/>
        <w:rPr>
          <w:rFonts w:cs="宋体" w:asciiTheme="minorEastAsia" w:hAnsiTheme="minorEastAsia" w:eastAsiaTheme="minorEastAsia"/>
          <w:b/>
          <w:bCs/>
          <w:iCs/>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技术（服务）条款偏离表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投标文件响应（逐条逐项列示投标产品的具体</w:t>
            </w:r>
            <w:r>
              <w:rPr>
                <w:rFonts w:hint="eastAsia" w:asciiTheme="minorEastAsia" w:hAnsiTheme="minorEastAsia" w:eastAsiaTheme="minorEastAsia"/>
                <w:color w:val="auto"/>
                <w:szCs w:val="21"/>
              </w:rPr>
              <w:t>技术性能指标和参数等响应内容</w:t>
            </w:r>
            <w:r>
              <w:rPr>
                <w:rFonts w:hint="eastAsia" w:cs="宋体" w:asciiTheme="minorEastAsia" w:hAnsiTheme="minorEastAsia" w:eastAsiaTheme="minorEastAsia"/>
                <w:color w:val="auto"/>
                <w:spacing w:val="20"/>
                <w:szCs w:val="21"/>
              </w:rPr>
              <w:t>）</w:t>
            </w:r>
          </w:p>
        </w:tc>
        <w:tc>
          <w:tcPr>
            <w:tcW w:w="231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169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日期：   </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spacing w:val="20"/>
        </w:rPr>
      </w:pPr>
      <w:r>
        <w:rPr>
          <w:rFonts w:hint="eastAsia"/>
          <w:color w:val="auto"/>
        </w:rPr>
        <w:t>附件十 商务条款偏离表</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商务条款偏离表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项名称目：                          采购编号：                  </w:t>
      </w:r>
    </w:p>
    <w:tbl>
      <w:tblPr>
        <w:tblStyle w:val="26"/>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81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21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                        日期：</w:t>
      </w:r>
    </w:p>
    <w:p>
      <w:pPr>
        <w:ind w:firstLine="502"/>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rPr>
      </w:pPr>
      <w:r>
        <w:rPr>
          <w:rFonts w:hint="eastAsia"/>
          <w:color w:val="auto"/>
        </w:rPr>
        <w:t>附件十一 项目负责人情况表</w:t>
      </w:r>
    </w:p>
    <w:p>
      <w:pPr>
        <w:ind w:firstLine="0" w:firstLineChars="0"/>
        <w:rPr>
          <w:rFonts w:cs="宋体" w:asciiTheme="minorEastAsia" w:hAnsiTheme="minorEastAsia" w:eastAsiaTheme="minorEastAsia"/>
          <w:color w:val="auto"/>
        </w:rPr>
      </w:pPr>
    </w:p>
    <w:p>
      <w:pPr>
        <w:pStyle w:val="2"/>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b/>
          <w:bCs/>
          <w:color w:val="auto"/>
          <w:sz w:val="32"/>
          <w:szCs w:val="32"/>
        </w:rPr>
        <w:t>项目负责人情况表</w:t>
      </w:r>
    </w:p>
    <w:p>
      <w:pPr>
        <w:pStyle w:val="2"/>
        <w:ind w:firstLine="210"/>
        <w:rPr>
          <w:rFonts w:cs="宋体" w:asciiTheme="minorEastAsia" w:hAnsiTheme="minorEastAsia" w:eastAsiaTheme="minorEastAsia"/>
          <w:color w:val="auto"/>
        </w:rPr>
      </w:pPr>
    </w:p>
    <w:tbl>
      <w:tblPr>
        <w:tblStyle w:val="26"/>
        <w:tblW w:w="9240" w:type="dxa"/>
        <w:jc w:val="center"/>
        <w:tblInd w:w="0" w:type="dxa"/>
        <w:tblLayout w:type="fixed"/>
        <w:tblCellMar>
          <w:top w:w="0" w:type="dxa"/>
          <w:left w:w="108" w:type="dxa"/>
          <w:bottom w:w="0" w:type="dxa"/>
          <w:right w:w="108" w:type="dxa"/>
        </w:tblCellMar>
      </w:tblPr>
      <w:tblGrid>
        <w:gridCol w:w="1412"/>
        <w:gridCol w:w="2126"/>
        <w:gridCol w:w="5702"/>
      </w:tblGrid>
      <w:tr>
        <w:tblPrEx>
          <w:tblLayout w:type="fixed"/>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p>
        </w:tc>
        <w:tc>
          <w:tcPr>
            <w:tcW w:w="5702" w:type="dxa"/>
            <w:tcBorders>
              <w:top w:val="single" w:color="auto" w:sz="4" w:space="0"/>
              <w:left w:val="single" w:color="auto" w:sz="6" w:space="0"/>
              <w:bottom w:val="single" w:color="auto" w:sz="6" w:space="0"/>
              <w:right w:val="single" w:color="auto" w:sz="4"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业绩及承担的主要工作情况</w:t>
            </w: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0" w:firstLineChars="0"/>
        <w:outlineLvl w:val="2"/>
        <w:rPr>
          <w:rFonts w:cs="宋体" w:asciiTheme="minorEastAsia" w:hAnsiTheme="minorEastAsia" w:eastAsiaTheme="minorEastAsia"/>
          <w:b/>
          <w:bCs/>
          <w:color w:val="auto"/>
          <w:szCs w:val="32"/>
        </w:rPr>
      </w:pPr>
      <w:r>
        <w:rPr>
          <w:rFonts w:hint="eastAsia" w:cs="宋体" w:asciiTheme="minorEastAsia" w:hAnsiTheme="minorEastAsia" w:eastAsiaTheme="minorEastAsia"/>
          <w:b/>
          <w:bCs/>
          <w:color w:val="auto"/>
          <w:szCs w:val="32"/>
        </w:rPr>
        <w:br w:type="page"/>
      </w:r>
      <w:r>
        <w:rPr>
          <w:rFonts w:hint="eastAsia" w:cs="宋体" w:asciiTheme="minorEastAsia" w:hAnsiTheme="minorEastAsia" w:eastAsiaTheme="minorEastAsia"/>
          <w:b/>
          <w:bCs/>
          <w:color w:val="auto"/>
          <w:szCs w:val="32"/>
        </w:rPr>
        <w:t>附件十二 项目团队人员情况表</w:t>
      </w:r>
    </w:p>
    <w:p>
      <w:pPr>
        <w:ind w:firstLine="422"/>
        <w:rPr>
          <w:rFonts w:cs="宋体" w:asciiTheme="minorEastAsia" w:hAnsiTheme="minorEastAsia" w:eastAsiaTheme="minorEastAsia"/>
          <w:b/>
          <w:bCs/>
          <w:color w:val="auto"/>
          <w:szCs w:val="32"/>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项目团队人员情况表</w:t>
      </w:r>
    </w:p>
    <w:p>
      <w:pPr>
        <w:pStyle w:val="2"/>
        <w:ind w:firstLine="210"/>
        <w:rPr>
          <w:rFonts w:asciiTheme="minorEastAsia" w:hAnsiTheme="minorEastAsia" w:eastAsiaTheme="minorEastAsia"/>
          <w:color w:val="auto"/>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序号</w:t>
            </w:r>
          </w:p>
        </w:tc>
        <w:tc>
          <w:tcPr>
            <w:tcW w:w="787"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788"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专业</w:t>
            </w:r>
          </w:p>
        </w:tc>
        <w:tc>
          <w:tcPr>
            <w:tcW w:w="945"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106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本项目中的职责</w:t>
            </w:r>
          </w:p>
        </w:tc>
        <w:tc>
          <w:tcPr>
            <w:tcW w:w="1134"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项目经历</w:t>
            </w:r>
          </w:p>
        </w:tc>
        <w:tc>
          <w:tcPr>
            <w:tcW w:w="127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pStyle w:val="2"/>
        <w:spacing w:line="360" w:lineRule="auto"/>
        <w:ind w:firstLineChars="200"/>
        <w:rPr>
          <w:rFonts w:cs="宋体"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w:t>
      </w:r>
      <w:r>
        <w:rPr>
          <w:rFonts w:hint="eastAsia" w:cs="宋体" w:asciiTheme="minorEastAsia" w:hAnsiTheme="minorEastAsia" w:eastAsiaTheme="minorEastAsia"/>
          <w:color w:val="auto"/>
        </w:rPr>
        <w:t>或盖章</w:t>
      </w:r>
      <w:r>
        <w:rPr>
          <w:rFonts w:hint="eastAsia" w:cs="宋体" w:asciiTheme="minorEastAsia" w:hAnsiTheme="minorEastAsia" w:eastAsiaTheme="minorEastAsia"/>
          <w:color w:val="auto"/>
          <w:szCs w:val="21"/>
        </w:rPr>
        <w:t xml:space="preserve">）：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422"/>
        <w:outlineLvl w:val="2"/>
        <w:rPr>
          <w:rFonts w:cs="宋体" w:asciiTheme="minorEastAsia" w:hAnsiTheme="minorEastAsia" w:eastAsiaTheme="minorEastAsia"/>
          <w:b/>
          <w:bCs/>
          <w:color w:val="auto"/>
          <w:szCs w:val="32"/>
        </w:rPr>
        <w:sectPr>
          <w:pgSz w:w="11907" w:h="16840"/>
          <w:pgMar w:top="1247" w:right="1304" w:bottom="1021" w:left="1304" w:header="720" w:footer="720" w:gutter="0"/>
          <w:cols w:space="720" w:num="1"/>
        </w:sectPr>
      </w:pPr>
    </w:p>
    <w:p>
      <w:pPr>
        <w:keepNext/>
        <w:keepLines/>
        <w:ind w:firstLine="0" w:firstLineChars="0"/>
        <w:outlineLvl w:val="2"/>
        <w:rPr>
          <w:rFonts w:hint="eastAsia"/>
          <w:b/>
          <w:bCs/>
          <w:color w:val="auto"/>
          <w:szCs w:val="32"/>
          <w:highlight w:val="none"/>
        </w:rPr>
      </w:pPr>
      <w:r>
        <w:rPr>
          <w:rFonts w:hint="eastAsia"/>
          <w:b/>
          <w:bCs/>
          <w:color w:val="auto"/>
          <w:szCs w:val="32"/>
          <w:highlight w:val="none"/>
        </w:rPr>
        <w:t>附件十</w:t>
      </w:r>
      <w:r>
        <w:rPr>
          <w:rFonts w:hint="eastAsia"/>
          <w:b/>
          <w:bCs/>
          <w:color w:val="auto"/>
          <w:szCs w:val="32"/>
          <w:highlight w:val="none"/>
          <w:lang w:eastAsia="zh-CN"/>
        </w:rPr>
        <w:t>三</w:t>
      </w:r>
      <w:r>
        <w:rPr>
          <w:rFonts w:hint="eastAsia"/>
          <w:b/>
          <w:bCs/>
          <w:color w:val="auto"/>
          <w:szCs w:val="32"/>
          <w:highlight w:val="none"/>
        </w:rPr>
        <w:t xml:space="preserve"> </w:t>
      </w:r>
      <w:r>
        <w:rPr>
          <w:b/>
          <w:bCs/>
          <w:color w:val="auto"/>
          <w:szCs w:val="32"/>
          <w:highlight w:val="none"/>
        </w:rPr>
        <w:t>服务期间所需配备的各种设备、设施、工具列表</w:t>
      </w:r>
    </w:p>
    <w:p>
      <w:pPr>
        <w:ind w:firstLine="420"/>
        <w:rPr>
          <w:color w:val="auto"/>
          <w:highlight w:val="none"/>
        </w:rPr>
      </w:pPr>
    </w:p>
    <w:tbl>
      <w:tblPr>
        <w:tblStyle w:val="26"/>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名称</w:t>
            </w:r>
          </w:p>
        </w:tc>
        <w:tc>
          <w:tcPr>
            <w:tcW w:w="1388" w:type="dxa"/>
            <w:vAlign w:val="center"/>
          </w:tcPr>
          <w:p>
            <w:pPr>
              <w:adjustRightInd w:val="0"/>
              <w:snapToGrid w:val="0"/>
              <w:spacing w:line="400" w:lineRule="atLeast"/>
              <w:ind w:firstLine="0" w:firstLineChars="0"/>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品牌、型号</w:t>
            </w:r>
          </w:p>
        </w:tc>
        <w:tc>
          <w:tcPr>
            <w:tcW w:w="1163"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数量</w:t>
            </w:r>
          </w:p>
        </w:tc>
        <w:tc>
          <w:tcPr>
            <w:tcW w:w="1704"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产地</w:t>
            </w:r>
          </w:p>
        </w:tc>
        <w:tc>
          <w:tcPr>
            <w:tcW w:w="2199" w:type="dxa"/>
            <w:vAlign w:val="top"/>
          </w:tcPr>
          <w:p>
            <w:pPr>
              <w:adjustRightInd w:val="0"/>
              <w:snapToGrid w:val="0"/>
              <w:spacing w:line="400" w:lineRule="atLeast"/>
              <w:ind w:firstLine="0" w:firstLineChars="0"/>
              <w:jc w:val="center"/>
              <w:rPr>
                <w:rFonts w:hint="eastAsia" w:ascii="Arial" w:hAnsi="Arial" w:cs="Arial"/>
                <w:color w:val="auto"/>
                <w:szCs w:val="21"/>
                <w:highlight w:val="none"/>
              </w:rPr>
            </w:pPr>
            <w:r>
              <w:rPr>
                <w:rFonts w:hint="eastAsia" w:ascii="Arial" w:hAnsi="Arial" w:cs="Arial"/>
                <w:color w:val="auto"/>
                <w:szCs w:val="21"/>
                <w:highlight w:val="none"/>
              </w:rPr>
              <w:t>出厂</w:t>
            </w:r>
            <w:r>
              <w:rPr>
                <w:rFonts w:ascii="Arial" w:hAnsi="Arial" w:cs="Arial"/>
                <w:color w:val="auto"/>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20"/>
              <w:jc w:val="center"/>
              <w:rPr>
                <w:rFonts w:ascii="Arial" w:hAnsi="Arial" w:cs="Arial"/>
                <w:color w:val="auto"/>
                <w:szCs w:val="21"/>
                <w:highlight w:val="none"/>
              </w:rPr>
            </w:pPr>
          </w:p>
        </w:tc>
        <w:tc>
          <w:tcPr>
            <w:tcW w:w="1388" w:type="dxa"/>
            <w:vAlign w:val="top"/>
          </w:tcPr>
          <w:p>
            <w:pPr>
              <w:adjustRightInd w:val="0"/>
              <w:snapToGrid w:val="0"/>
              <w:spacing w:line="400" w:lineRule="atLeast"/>
              <w:ind w:firstLine="420"/>
              <w:jc w:val="center"/>
              <w:rPr>
                <w:rFonts w:ascii="Arial" w:hAnsi="Arial" w:cs="Arial"/>
                <w:color w:val="auto"/>
                <w:szCs w:val="21"/>
                <w:highlight w:val="none"/>
              </w:rPr>
            </w:pPr>
          </w:p>
        </w:tc>
        <w:tc>
          <w:tcPr>
            <w:tcW w:w="1163" w:type="dxa"/>
            <w:vAlign w:val="top"/>
          </w:tcPr>
          <w:p>
            <w:pPr>
              <w:adjustRightInd w:val="0"/>
              <w:snapToGrid w:val="0"/>
              <w:spacing w:line="400" w:lineRule="atLeast"/>
              <w:ind w:firstLine="420"/>
              <w:jc w:val="center"/>
              <w:rPr>
                <w:rFonts w:ascii="Arial" w:hAnsi="Arial" w:cs="Arial"/>
                <w:color w:val="auto"/>
                <w:szCs w:val="21"/>
                <w:highlight w:val="none"/>
              </w:rPr>
            </w:pPr>
          </w:p>
        </w:tc>
        <w:tc>
          <w:tcPr>
            <w:tcW w:w="1704" w:type="dxa"/>
            <w:vAlign w:val="top"/>
          </w:tcPr>
          <w:p>
            <w:pPr>
              <w:adjustRightInd w:val="0"/>
              <w:snapToGrid w:val="0"/>
              <w:spacing w:line="400" w:lineRule="atLeast"/>
              <w:ind w:firstLine="420"/>
              <w:jc w:val="center"/>
              <w:rPr>
                <w:rFonts w:ascii="Arial" w:hAnsi="Arial" w:cs="Arial"/>
                <w:color w:val="auto"/>
                <w:szCs w:val="21"/>
                <w:highlight w:val="none"/>
              </w:rPr>
            </w:pPr>
          </w:p>
        </w:tc>
        <w:tc>
          <w:tcPr>
            <w:tcW w:w="2199" w:type="dxa"/>
            <w:vAlign w:val="top"/>
          </w:tcPr>
          <w:p>
            <w:pPr>
              <w:adjustRightInd w:val="0"/>
              <w:snapToGrid w:val="0"/>
              <w:spacing w:line="400" w:lineRule="atLeast"/>
              <w:ind w:firstLine="42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bl>
    <w:p>
      <w:pPr>
        <w:ind w:firstLine="420"/>
        <w:rPr>
          <w:rFonts w:hint="eastAsia"/>
          <w:color w:val="auto"/>
          <w:highlight w:val="none"/>
        </w:rPr>
      </w:pPr>
      <w:r>
        <w:rPr>
          <w:rFonts w:hint="eastAsia"/>
          <w:color w:val="auto"/>
          <w:highlight w:val="none"/>
          <w:lang w:eastAsia="zh-CN"/>
        </w:rPr>
        <w:t>投标人</w:t>
      </w:r>
      <w:r>
        <w:rPr>
          <w:rFonts w:hint="eastAsia"/>
          <w:color w:val="auto"/>
          <w:highlight w:val="none"/>
        </w:rPr>
        <w:t>（公章）：</w:t>
      </w:r>
    </w:p>
    <w:p>
      <w:pPr>
        <w:ind w:firstLine="420"/>
        <w:rPr>
          <w:rFonts w:hint="eastAsia"/>
          <w:color w:val="auto"/>
          <w:highlight w:val="none"/>
        </w:rPr>
      </w:pPr>
      <w:r>
        <w:rPr>
          <w:rFonts w:hint="eastAsia"/>
          <w:color w:val="auto"/>
          <w:highlight w:val="none"/>
        </w:rPr>
        <w:t>法定代表人或授权委托人（签字）：</w:t>
      </w:r>
    </w:p>
    <w:p>
      <w:pPr>
        <w:ind w:firstLine="420"/>
        <w:rPr>
          <w:rFonts w:hint="eastAsia"/>
          <w:color w:val="auto"/>
          <w:highlight w:val="none"/>
        </w:rPr>
      </w:pPr>
      <w:r>
        <w:rPr>
          <w:rFonts w:hint="eastAsia"/>
          <w:color w:val="auto"/>
          <w:highlight w:val="none"/>
        </w:rPr>
        <w:t>日 期：</w:t>
      </w:r>
      <w:r>
        <w:rPr>
          <w:rFonts w:hint="eastAsia"/>
          <w:color w:val="auto"/>
          <w:highlight w:val="none"/>
          <w:lang w:eastAsia="zh-CN"/>
        </w:rPr>
        <w:t>201</w:t>
      </w:r>
      <w:r>
        <w:rPr>
          <w:rFonts w:hint="eastAsia"/>
          <w:color w:val="auto"/>
          <w:highlight w:val="none"/>
          <w:lang w:val="en-US" w:eastAsia="zh-CN"/>
        </w:rPr>
        <w:t>9</w:t>
      </w:r>
      <w:r>
        <w:rPr>
          <w:rFonts w:hint="eastAsia"/>
          <w:color w:val="auto"/>
          <w:highlight w:val="none"/>
        </w:rPr>
        <w:t>年   月   日</w:t>
      </w:r>
    </w:p>
    <w:p>
      <w:pPr>
        <w:pStyle w:val="6"/>
        <w:rPr>
          <w:color w:val="auto"/>
        </w:rPr>
      </w:pPr>
      <w:r>
        <w:rPr>
          <w:b/>
          <w:bCs/>
          <w:color w:val="auto"/>
          <w:szCs w:val="32"/>
          <w:highlight w:val="none"/>
        </w:rPr>
        <w:br w:type="page"/>
      </w:r>
      <w:r>
        <w:rPr>
          <w:rFonts w:hint="eastAsia"/>
          <w:color w:val="auto"/>
        </w:rPr>
        <w:t>附件十四 售后服务方案</w:t>
      </w:r>
    </w:p>
    <w:p>
      <w:pPr>
        <w:ind w:firstLine="0" w:firstLineChars="0"/>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（由投标人根据采购需求及招标文件要求编写）</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b/>
          <w:color w:val="auto"/>
          <w:spacing w:val="20"/>
          <w:szCs w:val="21"/>
        </w:rPr>
        <w:t>附件十五表A：售后服务机构情况表</w:t>
      </w:r>
      <w:r>
        <w:rPr>
          <w:rFonts w:hint="eastAsia" w:cs="宋体" w:asciiTheme="minorEastAsia" w:hAnsiTheme="minorEastAsia" w:eastAsiaTheme="minorEastAsia"/>
          <w:color w:val="auto"/>
          <w:spacing w:val="20"/>
          <w:szCs w:val="21"/>
        </w:rPr>
        <w:t>（按此格式自制）</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1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机构名称</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机构性质</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注册地址</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服务技术</w:t>
            </w: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人员数量</w:t>
            </w:r>
          </w:p>
        </w:tc>
        <w:tc>
          <w:tcPr>
            <w:tcW w:w="167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b/>
          <w:color w:val="auto"/>
          <w:spacing w:val="20"/>
          <w:szCs w:val="21"/>
        </w:rPr>
      </w:pPr>
      <w:r>
        <w:rPr>
          <w:rFonts w:hint="eastAsia" w:cs="宋体" w:asciiTheme="minorEastAsia" w:hAnsiTheme="minorEastAsia" w:eastAsiaTheme="minorEastAsia"/>
          <w:b/>
          <w:color w:val="auto"/>
          <w:spacing w:val="20"/>
          <w:szCs w:val="21"/>
        </w:rPr>
        <w:t>附件十五表B：售后服务人员情况表</w:t>
      </w:r>
      <w:r>
        <w:rPr>
          <w:rFonts w:hint="eastAsia" w:cs="宋体" w:asciiTheme="minorEastAsia" w:hAnsiTheme="minorEastAsia" w:eastAsiaTheme="minorEastAsia"/>
          <w:color w:val="auto"/>
          <w:spacing w:val="20"/>
          <w:szCs w:val="21"/>
        </w:rPr>
        <w:t>（按此格式自制）</w:t>
      </w:r>
    </w:p>
    <w:tbl>
      <w:tblPr>
        <w:tblStyle w:val="26"/>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姓名</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性别</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年龄</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学历</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专业</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职称</w:t>
            </w:r>
          </w:p>
        </w:tc>
        <w:tc>
          <w:tcPr>
            <w:tcW w:w="11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响应时间</w:t>
            </w:r>
          </w:p>
        </w:tc>
        <w:tc>
          <w:tcPr>
            <w:tcW w:w="862"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jc w:val="right"/>
        <w:rPr>
          <w:rFonts w:cs="宋体" w:asciiTheme="minorEastAsia" w:hAnsiTheme="minorEastAsia" w:eastAsiaTheme="minorEastAsia"/>
          <w:color w:val="auto"/>
          <w:spacing w:val="20"/>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b/>
          <w:color w:val="auto"/>
          <w:spacing w:val="20"/>
          <w:szCs w:val="21"/>
        </w:rPr>
      </w:pPr>
      <w:r>
        <w:rPr>
          <w:rFonts w:hint="eastAsia" w:cs="宋体" w:asciiTheme="minorEastAsia" w:hAnsiTheme="minorEastAsia" w:eastAsiaTheme="minorEastAsia"/>
          <w:color w:val="auto"/>
          <w:szCs w:val="21"/>
        </w:rPr>
        <w:t>日期：</w:t>
      </w:r>
    </w:p>
    <w:p>
      <w:pP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br w:type="page"/>
      </w:r>
    </w:p>
    <w:p>
      <w:pPr>
        <w:pStyle w:val="4"/>
        <w:ind w:firstLine="0" w:firstLineChars="0"/>
        <w:rPr>
          <w:rFonts w:cs="宋体" w:asciiTheme="minorEastAsia" w:hAnsiTheme="minorEastAsia" w:eastAsiaTheme="minorEastAsia"/>
          <w:color w:val="auto"/>
          <w:sz w:val="32"/>
          <w:szCs w:val="32"/>
        </w:rPr>
      </w:pPr>
      <w:bookmarkStart w:id="152" w:name="_Toc450840090"/>
      <w:bookmarkStart w:id="153" w:name="_Toc2950"/>
      <w:r>
        <w:rPr>
          <w:rFonts w:hint="eastAsia" w:cs="宋体" w:asciiTheme="minorEastAsia" w:hAnsiTheme="minorEastAsia" w:eastAsiaTheme="minorEastAsia"/>
          <w:color w:val="auto"/>
          <w:sz w:val="32"/>
          <w:szCs w:val="32"/>
        </w:rPr>
        <w:t>第六章 评标办法</w:t>
      </w:r>
      <w:bookmarkEnd w:id="152"/>
      <w:bookmarkEnd w:id="153"/>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本评标办法遵照《政府采购货物和服务招标投标管理办法》（财政部令第8</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号）的有关规定，结合本项目的具体情况制定。</w:t>
      </w:r>
    </w:p>
    <w:p>
      <w:pPr>
        <w:pStyle w:val="5"/>
        <w:rPr>
          <w:rFonts w:cs="宋体" w:asciiTheme="minorEastAsia" w:hAnsiTheme="minorEastAsia" w:eastAsiaTheme="minorEastAsia"/>
          <w:color w:val="auto"/>
          <w:szCs w:val="21"/>
        </w:rPr>
      </w:pPr>
      <w:bookmarkStart w:id="154" w:name="_Toc12682"/>
      <w:bookmarkStart w:id="155" w:name="_Toc2078387"/>
      <w:r>
        <w:rPr>
          <w:rFonts w:hint="eastAsia" w:cs="宋体" w:asciiTheme="minorEastAsia" w:hAnsiTheme="minorEastAsia" w:eastAsiaTheme="minorEastAsia"/>
          <w:color w:val="auto"/>
          <w:szCs w:val="21"/>
        </w:rPr>
        <w:t>1总则</w:t>
      </w:r>
      <w:bookmarkEnd w:id="154"/>
      <w:bookmarkEnd w:id="15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采购工作遵循公开、公正、公平、择优和诚实信用的原则，评审人员</w:t>
      </w:r>
      <w:r>
        <w:rPr>
          <w:rFonts w:asciiTheme="minorEastAsia" w:hAnsiTheme="minorEastAsia" w:eastAsiaTheme="minorEastAsia"/>
          <w:color w:val="auto"/>
          <w:spacing w:val="6"/>
          <w:szCs w:val="21"/>
        </w:rPr>
        <w:t>依据采购文件规定的办法、标准和要求，客观</w:t>
      </w:r>
      <w:r>
        <w:rPr>
          <w:rFonts w:hint="eastAsia" w:asciiTheme="minorEastAsia" w:hAnsiTheme="minorEastAsia" w:eastAsiaTheme="minorEastAsia"/>
          <w:color w:val="auto"/>
          <w:spacing w:val="6"/>
          <w:szCs w:val="21"/>
        </w:rPr>
        <w:t>、</w:t>
      </w:r>
      <w:r>
        <w:rPr>
          <w:rFonts w:asciiTheme="minorEastAsia" w:hAnsiTheme="minorEastAsia" w:eastAsiaTheme="minorEastAsia"/>
          <w:color w:val="auto"/>
          <w:spacing w:val="6"/>
          <w:szCs w:val="21"/>
        </w:rPr>
        <w:t>独立</w:t>
      </w:r>
      <w:r>
        <w:rPr>
          <w:rFonts w:hint="eastAsia" w:asciiTheme="minorEastAsia" w:hAnsiTheme="minorEastAsia" w:eastAsiaTheme="minorEastAsia"/>
          <w:color w:val="auto"/>
          <w:spacing w:val="6"/>
          <w:szCs w:val="21"/>
        </w:rPr>
        <w:t>、审慎</w:t>
      </w:r>
      <w:r>
        <w:rPr>
          <w:rFonts w:asciiTheme="minorEastAsia" w:hAnsiTheme="minorEastAsia" w:eastAsiaTheme="minorEastAsia"/>
          <w:color w:val="auto"/>
          <w:spacing w:val="6"/>
          <w:szCs w:val="21"/>
        </w:rPr>
        <w:t>地开展评审工作</w:t>
      </w:r>
      <w:r>
        <w:rPr>
          <w:rFonts w:hint="eastAsia" w:cs="宋体" w:asciiTheme="minorEastAsia" w:hAnsiTheme="minorEastAsia" w:eastAsiaTheme="minorEastAsia"/>
          <w:color w:val="auto"/>
          <w:szCs w:val="21"/>
        </w:rPr>
        <w:t>，择优推荐中标候选人。在评标期间，评标委员会及相关工作人员必须严格遵守保密规定，不得泄露评标的有关情况。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对落标人，评标委员会不作任何落标解释。</w:t>
      </w:r>
    </w:p>
    <w:p>
      <w:pPr>
        <w:pStyle w:val="5"/>
        <w:rPr>
          <w:rFonts w:cs="宋体" w:asciiTheme="minorEastAsia" w:hAnsiTheme="minorEastAsia" w:eastAsiaTheme="minorEastAsia"/>
          <w:color w:val="auto"/>
          <w:szCs w:val="21"/>
        </w:rPr>
      </w:pPr>
      <w:bookmarkStart w:id="156" w:name="_Toc15475"/>
      <w:bookmarkStart w:id="157" w:name="_Toc2078388"/>
      <w:r>
        <w:rPr>
          <w:rFonts w:hint="eastAsia" w:cs="宋体" w:asciiTheme="minorEastAsia" w:hAnsiTheme="minorEastAsia" w:eastAsiaTheme="minorEastAsia"/>
          <w:color w:val="auto"/>
          <w:szCs w:val="21"/>
        </w:rPr>
        <w:t>2评标组织</w:t>
      </w:r>
      <w:bookmarkEnd w:id="156"/>
      <w:bookmarkEnd w:id="157"/>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评标工作由采购人或采购代理机构依法组建的评标委员会负责。评标委员会负责审标、询标、评标等工作，并向采购人提出评标意见和评标报告。</w:t>
      </w:r>
    </w:p>
    <w:p>
      <w:pPr>
        <w:pStyle w:val="5"/>
        <w:rPr>
          <w:rFonts w:cs="宋体" w:asciiTheme="minorEastAsia" w:hAnsiTheme="minorEastAsia" w:eastAsiaTheme="minorEastAsia"/>
          <w:color w:val="auto"/>
          <w:szCs w:val="21"/>
        </w:rPr>
      </w:pPr>
      <w:bookmarkStart w:id="158" w:name="_Toc2078389"/>
      <w:bookmarkStart w:id="159" w:name="_Toc21900"/>
      <w:r>
        <w:rPr>
          <w:rFonts w:hint="eastAsia" w:cs="宋体" w:asciiTheme="minorEastAsia" w:hAnsiTheme="minorEastAsia" w:eastAsiaTheme="minorEastAsia"/>
          <w:color w:val="auto"/>
          <w:szCs w:val="21"/>
        </w:rPr>
        <w:t>3评标程序和内容</w:t>
      </w:r>
      <w:bookmarkEnd w:id="158"/>
      <w:bookmarkEnd w:id="15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评标的一般程序为：</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投标文件的资格审查（先进行资格审查，通过之后进入符合性审查及后续程序）；</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熟悉招标文件和评标办法；</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投标文件的符合性审查；</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询标澄清投标文件的疑问；</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投标文件的商务技术文件评标；</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根据评标办法对商务技术文件进行评分；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报价文件评标及评分；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完成评标报告，推荐中标候选人。</w:t>
      </w:r>
    </w:p>
    <w:p>
      <w:pPr>
        <w:pStyle w:val="5"/>
        <w:rPr>
          <w:rFonts w:cs="宋体" w:asciiTheme="minorEastAsia" w:hAnsiTheme="minorEastAsia" w:eastAsiaTheme="minorEastAsia"/>
          <w:color w:val="auto"/>
          <w:szCs w:val="21"/>
        </w:rPr>
      </w:pPr>
      <w:bookmarkStart w:id="160" w:name="_Toc2078390"/>
      <w:bookmarkStart w:id="161" w:name="_Toc2744"/>
      <w:r>
        <w:rPr>
          <w:rFonts w:hint="eastAsia" w:cs="宋体" w:asciiTheme="minorEastAsia" w:hAnsiTheme="minorEastAsia" w:eastAsiaTheme="minorEastAsia"/>
          <w:color w:val="auto"/>
          <w:szCs w:val="21"/>
        </w:rPr>
        <w:t>4投标文件的审查</w:t>
      </w:r>
      <w:bookmarkEnd w:id="160"/>
      <w:bookmarkEnd w:id="16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无效投标</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.1投标文件属下列情况之一的，应当在资格性检查时按照无效投标处理：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资格证明文件不全的，或者不符合招标文件标明的资格要求的。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.2投标文件属下列情况之一的，应当在符合性检查时按照无效投标处理：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（1）未按照招标文件规定要求签署、盖章、密封的；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（2）投标有效期短于投标人须知前附表规定期限的投标文件；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）不响应招标文件实质性要求（招标文件中带“★”条款要求）；</w:t>
      </w:r>
    </w:p>
    <w:p>
      <w:pPr>
        <w:ind w:firstLine="420"/>
        <w:rPr>
          <w:rFonts w:cs="宋体" w:asciiTheme="minorEastAsia" w:hAnsiTheme="minorEastAsia" w:eastAsiaTheme="minorEastAsia"/>
          <w:color w:val="auto"/>
          <w:szCs w:val="21"/>
        </w:rPr>
      </w:pPr>
      <w:bookmarkStart w:id="162" w:name="_Hlk8685816"/>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rPr>
        <w:t>招标文件要求的产品有属于《节能产品政府采购品目清单》中政府强制采购产品的，</w:t>
      </w:r>
      <w:r>
        <w:rPr>
          <w:rFonts w:hint="eastAsia" w:cs="宋体" w:asciiTheme="minorEastAsia" w:hAnsiTheme="minorEastAsia" w:eastAsiaTheme="minorEastAsia"/>
          <w:color w:val="auto"/>
          <w:szCs w:val="21"/>
        </w:rPr>
        <w:t>投标文件未提供的，或者未同时提供该产品节能产品认证证书的；</w:t>
      </w:r>
    </w:p>
    <w:bookmarkEnd w:id="162"/>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）投标人存在串通行为或虚假投标的；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）投标文件含有采购人不能接受的附加条件的；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）法律、法规和招标文件规定的其他无效情形的。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.3在报价评标时，如发现下列情形之一的，报价文件将被视为无效，不再进入报价评标环节：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（1）报价超出最高限价，或者超出采购预算金额，采购人不能支付的；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（2）投标报价具有选择性；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（3）不符合招标文件规定要求进行报价的</w:t>
      </w:r>
      <w:r>
        <w:rPr>
          <w:rFonts w:hint="eastAsia" w:cs="宋体" w:asciiTheme="minorEastAsia" w:hAnsiTheme="minorEastAsia" w:eastAsiaTheme="minorEastAsia"/>
          <w:color w:val="auto"/>
          <w:szCs w:val="21"/>
          <w:lang w:eastAsia="zh-CN"/>
        </w:rPr>
        <w:t>（格式和顺序除外）</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after="0" w:line="360" w:lineRule="auto"/>
        <w:ind w:firstLine="422" w:firstLineChars="200"/>
        <w:rPr>
          <w:rFonts w:cs="宋体" w:asciiTheme="minorEastAsia" w:hAnsiTheme="minorEastAsia" w:eastAsiaTheme="minorEastAsia"/>
          <w:b/>
          <w:bCs/>
          <w:color w:val="auto"/>
          <w:szCs w:val="21"/>
        </w:rPr>
      </w:pPr>
      <w:bookmarkStart w:id="163" w:name="_Hlk8250502"/>
      <w:r>
        <w:rPr>
          <w:rFonts w:hint="eastAsia" w:cs="宋体" w:asciiTheme="minorEastAsia" w:hAnsiTheme="minorEastAsia" w:eastAsiaTheme="minorEastAsia"/>
          <w:b/>
          <w:bCs/>
          <w:color w:val="auto"/>
          <w:szCs w:val="21"/>
        </w:rPr>
        <w:t>4.</w:t>
      </w:r>
      <w:r>
        <w:rPr>
          <w:rFonts w:cs="宋体" w:asciiTheme="minorEastAsia" w:hAnsiTheme="minorEastAsia" w:eastAsiaTheme="minorEastAsia"/>
          <w:b/>
          <w:bCs/>
          <w:color w:val="auto"/>
          <w:szCs w:val="21"/>
        </w:rPr>
        <w:t>4</w:t>
      </w:r>
      <w:r>
        <w:rPr>
          <w:rFonts w:hint="eastAsia" w:cs="宋体" w:asciiTheme="minorEastAsia" w:hAnsiTheme="minorEastAsia" w:eastAsiaTheme="minorEastAsia"/>
          <w:b/>
          <w:bCs/>
          <w:color w:val="auto"/>
          <w:szCs w:val="21"/>
        </w:rPr>
        <w:t>串通投标情形认定</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4</w:t>
      </w:r>
      <w:r>
        <w:rPr>
          <w:rFonts w:hint="eastAsia" w:cs="宋体" w:asciiTheme="minorEastAsia" w:hAnsiTheme="minorEastAsia" w:eastAsiaTheme="minorEastAsia"/>
          <w:b/>
          <w:color w:val="auto"/>
          <w:szCs w:val="21"/>
        </w:rPr>
        <w:t>.1投标人有下列情形之一的，视为投标人串通投标，其投标无效：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（1）不同投标人的投标文件由同一单位或者个人编制；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（2）不同投标人委托同一单位或者个人办理投标事宜；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（3）不同投标人的投标文件载明的项目管理成员或者联系人员为同一人；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（4）不同投标人的投标文件异常一致或者投标报价呈规律性差异；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（5）不同投标人的投标文件相互混装；</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（6）不同投标人的投标保证金从同一单位或者个人的账户转出。</w:t>
      </w:r>
    </w:p>
    <w:p>
      <w:pPr>
        <w:ind w:firstLine="422"/>
        <w:rPr>
          <w:rFonts w:asciiTheme="minorEastAsia" w:hAnsiTheme="minorEastAsia" w:eastAsiaTheme="minorEastAsia"/>
          <w:b/>
          <w:color w:val="auto"/>
        </w:rPr>
      </w:pPr>
      <w:r>
        <w:rPr>
          <w:rFonts w:hint="eastAsia" w:asciiTheme="minorEastAsia" w:hAnsiTheme="minorEastAsia" w:eastAsiaTheme="minorEastAsia"/>
          <w:b/>
          <w:color w:val="auto"/>
        </w:rPr>
        <w:t>4.</w:t>
      </w:r>
      <w:r>
        <w:rPr>
          <w:rFonts w:asciiTheme="minorEastAsia" w:hAnsiTheme="minorEastAsia" w:eastAsiaTheme="minorEastAsia"/>
          <w:b/>
          <w:color w:val="auto"/>
        </w:rPr>
        <w:t>4</w:t>
      </w:r>
      <w:r>
        <w:rPr>
          <w:rFonts w:hint="eastAsia" w:asciiTheme="minorEastAsia" w:hAnsiTheme="minorEastAsia" w:eastAsiaTheme="minorEastAsia"/>
          <w:b/>
          <w:color w:val="auto"/>
        </w:rPr>
        <w:t>.2投标人有下列情形之一的，属于恶意串通，其投标无效：</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（1）投标人直接或者间接从采购人或者采购代理机构处获得其他投标人的相关情况并修改其投标文件或者响应文件；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（2）投标人按照采购人或者采购代理机构的授意撤换、修改投标文件或者响应文件；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（3）投标人之间协商报价、技术方案等投标文件或者响应文件的实质性内容；</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（4）属于同一集团、协会、商会等组织成员的投标人按照该组织要求协同参加政府采购活动；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（5）投标人之间事先约定由某一特定投标人中标、成交；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（6）投标人之间商定部分投标人放弃参加政府采购活动或者放弃中标、成交；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（7）投标人与采购人或者采购代理机构之间、投标人相互之间，为谋求特定投标人中标、成交或者排斥其他投标人的其他串通行为。</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经查实有上述4</w:t>
      </w:r>
      <w:r>
        <w:rPr>
          <w:rFonts w:asciiTheme="minorEastAsia" w:hAnsiTheme="minorEastAsia" w:eastAsiaTheme="minorEastAsia"/>
          <w:color w:val="auto"/>
        </w:rPr>
        <w:t>.4.1</w:t>
      </w:r>
      <w:r>
        <w:rPr>
          <w:rFonts w:hint="eastAsia" w:asciiTheme="minorEastAsia" w:hAnsiTheme="minorEastAsia" w:eastAsiaTheme="minorEastAsia"/>
          <w:color w:val="auto"/>
        </w:rPr>
        <w:t>和4</w:t>
      </w:r>
      <w:r>
        <w:rPr>
          <w:rFonts w:asciiTheme="minorEastAsia" w:hAnsiTheme="minorEastAsia" w:eastAsiaTheme="minorEastAsia"/>
          <w:color w:val="auto"/>
        </w:rPr>
        <w:t>.4.2</w:t>
      </w:r>
      <w:r>
        <w:rPr>
          <w:rFonts w:hint="eastAsia" w:asciiTheme="minorEastAsia" w:hAnsiTheme="minorEastAsia" w:eastAsiaTheme="minorEastAsia"/>
          <w:color w:val="auto"/>
        </w:rPr>
        <w:t>行为的，采购人或采购代理机构将依法向政府采购监管部门报告，由监管部门依法处理。</w:t>
      </w:r>
    </w:p>
    <w:bookmarkEnd w:id="163"/>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5</w:t>
      </w:r>
      <w:r>
        <w:rPr>
          <w:rFonts w:hint="eastAsia" w:cs="宋体" w:asciiTheme="minorEastAsia" w:hAnsiTheme="minorEastAsia" w:eastAsiaTheme="minorEastAsia"/>
          <w:b/>
          <w:color w:val="auto"/>
          <w:szCs w:val="21"/>
        </w:rPr>
        <w:t>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根据《中华人民共和国政府采购法》第三十六条之规定，在采购中，出现下列情况之一的，应予以废标：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（1）符合专业条件的投标人或者对招标文件作实质响应的投标人不足3家的；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（2）出现影响采购公正的违法、违规行为的；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（3）投标人的报价均超过了采购预算，采购人不能支付的；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（4）因重大变故，采购任务取消的。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废标后，采购代理机构应当将废标理由通知所有投标人。</w:t>
      </w:r>
    </w:p>
    <w:p>
      <w:pPr>
        <w:pStyle w:val="5"/>
        <w:rPr>
          <w:rFonts w:cs="宋体" w:asciiTheme="minorEastAsia" w:hAnsiTheme="minorEastAsia" w:eastAsiaTheme="minorEastAsia"/>
          <w:color w:val="auto"/>
          <w:szCs w:val="21"/>
        </w:rPr>
      </w:pPr>
      <w:bookmarkStart w:id="164" w:name="_Toc8189"/>
      <w:r>
        <w:rPr>
          <w:rFonts w:hint="eastAsia" w:cs="宋体" w:asciiTheme="minorEastAsia" w:hAnsiTheme="minorEastAsia" w:eastAsiaTheme="minorEastAsia"/>
          <w:color w:val="auto"/>
          <w:szCs w:val="21"/>
        </w:rPr>
        <w:t>5评分细则</w:t>
      </w:r>
      <w:bookmarkEnd w:id="164"/>
    </w:p>
    <w:p>
      <w:pPr>
        <w:ind w:firstLine="415" w:firstLineChars="198"/>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本次评标采用综合评分法，评标委员会</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每个投标人最终得分=投标报价分+资信分+技术分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color w:val="auto"/>
          <w:kern w:val="0"/>
          <w:szCs w:val="21"/>
        </w:rPr>
        <w:t>采取随机抽取方式确定</w:t>
      </w:r>
      <w:r>
        <w:rPr>
          <w:rFonts w:hint="eastAsia" w:asciiTheme="minorEastAsia" w:hAnsiTheme="minorEastAsia" w:eastAsiaTheme="minorEastAsia"/>
          <w:color w:val="auto"/>
        </w:rPr>
        <w:t>。</w:t>
      </w:r>
    </w:p>
    <w:p>
      <w:pPr>
        <w:pStyle w:val="6"/>
        <w:rPr>
          <w:color w:val="auto"/>
        </w:rPr>
      </w:pPr>
      <w:r>
        <w:rPr>
          <w:rFonts w:hint="eastAsia"/>
          <w:color w:val="auto"/>
        </w:rPr>
        <w:t>5.1投标报价分0-</w:t>
      </w:r>
      <w:r>
        <w:rPr>
          <w:rFonts w:hint="eastAsia"/>
          <w:color w:val="auto"/>
          <w:lang w:val="en-US" w:eastAsia="zh-CN"/>
        </w:rPr>
        <w:t>2</w:t>
      </w:r>
      <w:r>
        <w:rPr>
          <w:rFonts w:hint="eastAsia"/>
          <w:color w:val="auto"/>
        </w:rPr>
        <w:t>0分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投标报价评分将在有效投标人范围内进行，小数点后保留2位小数。满足招标文件要求且投标价格最低的投标报价为评标基准价，其投标报价分为满分</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0分。其他投标人的报价分按照下列公式计算：</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投标报价分=(评标基准价／投标报价)×</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投标报价得分=(评标基准价／(投标报价*94%))×</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p>
      <w:pPr>
        <w:pStyle w:val="6"/>
        <w:rPr>
          <w:color w:val="auto"/>
        </w:rPr>
      </w:pPr>
      <w:r>
        <w:rPr>
          <w:rFonts w:hint="eastAsia"/>
          <w:color w:val="auto"/>
        </w:rPr>
        <w:t>5.2资信评分0-</w:t>
      </w:r>
      <w:r>
        <w:rPr>
          <w:rFonts w:hint="eastAsia"/>
          <w:color w:val="auto"/>
          <w:lang w:val="en-US" w:eastAsia="zh-CN"/>
        </w:rPr>
        <w:t>5</w:t>
      </w:r>
      <w:r>
        <w:rPr>
          <w:rFonts w:hint="eastAsia"/>
          <w:color w:val="auto"/>
        </w:rPr>
        <w:t>分</w:t>
      </w:r>
    </w:p>
    <w:p>
      <w:pPr>
        <w:ind w:firstLine="420"/>
        <w:rPr>
          <w:rFonts w:cs="宋体" w:asciiTheme="minorEastAsia" w:hAnsiTheme="minorEastAsia" w:eastAsiaTheme="minorEastAsia"/>
          <w:color w:val="auto"/>
          <w:szCs w:val="21"/>
        </w:rPr>
      </w:pPr>
      <w:bookmarkStart w:id="165" w:name="_Hlk8686002"/>
      <w:r>
        <w:rPr>
          <w:rFonts w:hint="eastAsia" w:cs="宋体" w:asciiTheme="minorEastAsia" w:hAnsiTheme="minorEastAsia" w:eastAsiaTheme="minorEastAsia"/>
          <w:color w:val="auto"/>
          <w:szCs w:val="21"/>
        </w:rPr>
        <w:t>投标人自2016年</w:t>
      </w:r>
      <w:r>
        <w:rPr>
          <w:rFonts w:hint="eastAsia" w:cs="宋体" w:asciiTheme="minorEastAsia" w:hAnsiTheme="minorEastAsia" w:eastAsiaTheme="minorEastAsia"/>
          <w:color w:val="auto"/>
          <w:szCs w:val="21"/>
          <w:lang w:val="en-US" w:eastAsia="zh-CN"/>
        </w:rPr>
        <w:t>11</w:t>
      </w:r>
      <w:r>
        <w:rPr>
          <w:rFonts w:hint="eastAsia" w:cs="宋体" w:asciiTheme="minorEastAsia" w:hAnsiTheme="minorEastAsia" w:eastAsiaTheme="minorEastAsia"/>
          <w:color w:val="auto"/>
          <w:szCs w:val="21"/>
        </w:rPr>
        <w:t>月以来承接过各级国家机关、事业单位或团体组织同类项目业绩，每个得1分，最高</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分。业绩必须提供相应的证明文件（合同复印件），时间以合同签订时间为准。原则上以投标文件中的复印件为准，若复印件不明确，评标委员将以核查的原件为准，开标时请携带原件备查。此项由评标委员会集体核实后统一打分。</w:t>
      </w:r>
    </w:p>
    <w:bookmarkEnd w:id="165"/>
    <w:p>
      <w:pPr>
        <w:pStyle w:val="6"/>
        <w:rPr>
          <w:color w:val="auto"/>
        </w:rPr>
      </w:pPr>
      <w:r>
        <w:rPr>
          <w:rFonts w:hint="eastAsia"/>
          <w:color w:val="auto"/>
        </w:rPr>
        <w:t>5.3技术评分</w:t>
      </w:r>
      <w:r>
        <w:rPr>
          <w:rFonts w:hint="eastAsia"/>
          <w:color w:val="auto"/>
          <w:lang w:val="en-US" w:eastAsia="zh-CN"/>
        </w:rPr>
        <w:t>16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75</w:t>
      </w:r>
      <w:r>
        <w:rPr>
          <w:rFonts w:hint="eastAsia"/>
          <w:color w:val="auto"/>
        </w:rPr>
        <w:t>分</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bookmarkEnd w:id="35"/>
    <w:bookmarkEnd w:id="36"/>
    <w:bookmarkEnd w:id="37"/>
    <w:bookmarkEnd w:id="38"/>
    <w:bookmarkEnd w:id="39"/>
    <w:bookmarkEnd w:id="40"/>
    <w:bookmarkEnd w:id="41"/>
    <w:bookmarkEnd w:id="42"/>
    <w:tbl>
      <w:tblPr>
        <w:tblStyle w:val="2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top"/>
          </w:tcPr>
          <w:p>
            <w:pPr>
              <w:adjustRightInd w:val="0"/>
              <w:snapToGrid w:val="0"/>
              <w:ind w:firstLine="0" w:firstLineChars="0"/>
              <w:jc w:val="center"/>
              <w:rPr>
                <w:rFonts w:hint="eastAsia" w:ascii="宋体" w:hAnsi="宋体" w:eastAsia="宋体" w:cs="宋体"/>
                <w:color w:val="auto"/>
                <w:sz w:val="21"/>
                <w:szCs w:val="21"/>
              </w:rPr>
            </w:pPr>
            <w:bookmarkStart w:id="166" w:name="_Hlk8251304"/>
            <w:r>
              <w:rPr>
                <w:rFonts w:hint="eastAsia" w:ascii="宋体" w:hAnsi="宋体" w:eastAsia="宋体" w:cs="宋体"/>
                <w:color w:val="auto"/>
                <w:sz w:val="21"/>
                <w:szCs w:val="21"/>
              </w:rPr>
              <w:t>序号</w:t>
            </w:r>
          </w:p>
        </w:tc>
        <w:tc>
          <w:tcPr>
            <w:tcW w:w="6663"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评分项目</w:t>
            </w:r>
          </w:p>
        </w:tc>
        <w:tc>
          <w:tcPr>
            <w:tcW w:w="1134"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cs="宋体" w:asciiTheme="minorEastAsia" w:hAnsiTheme="minorEastAsia" w:eastAsiaTheme="minorEastAsia"/>
                <w:color w:val="auto"/>
                <w:szCs w:val="21"/>
                <w:lang w:eastAsia="zh-CN"/>
              </w:rPr>
              <w:t>《东方图案研究》</w:t>
            </w:r>
            <w:r>
              <w:rPr>
                <w:rFonts w:hint="eastAsia" w:ascii="宋体" w:hAnsi="宋体" w:eastAsia="宋体" w:cs="宋体"/>
                <w:color w:val="auto"/>
                <w:sz w:val="21"/>
                <w:szCs w:val="21"/>
              </w:rPr>
              <w:t>出版设计方案</w:t>
            </w:r>
            <w:r>
              <w:rPr>
                <w:rFonts w:hint="eastAsia" w:ascii="宋体" w:hAnsi="宋体" w:eastAsia="宋体" w:cs="宋体"/>
                <w:color w:val="auto"/>
                <w:sz w:val="21"/>
                <w:szCs w:val="21"/>
                <w:lang w:eastAsia="zh-CN"/>
              </w:rPr>
              <w:t>：</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所用材料材质满足需求程度：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投入本项目设备（提供彩图、发票）、印刷场地（提供照片</w:t>
            </w:r>
            <w:r>
              <w:rPr>
                <w:rFonts w:hint="eastAsia" w:ascii="宋体" w:hAnsi="宋体" w:cs="宋体"/>
                <w:color w:val="auto"/>
                <w:sz w:val="21"/>
                <w:szCs w:val="21"/>
                <w:lang w:eastAsia="zh-CN"/>
              </w:rPr>
              <w:t>、房产证、租赁协议</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印刷设备：</w:t>
            </w:r>
            <w:r>
              <w:rPr>
                <w:rFonts w:hint="eastAsia" w:ascii="宋体" w:hAnsi="宋体" w:eastAsia="宋体" w:cs="宋体"/>
                <w:color w:val="auto"/>
                <w:sz w:val="21"/>
                <w:szCs w:val="21"/>
                <w:lang w:val="en-US" w:eastAsia="zh-CN"/>
              </w:rPr>
              <w:t>0-4分；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装订设备：</w:t>
            </w:r>
            <w:r>
              <w:rPr>
                <w:rFonts w:hint="eastAsia" w:ascii="宋体" w:hAnsi="宋体" w:eastAsia="宋体" w:cs="宋体"/>
                <w:color w:val="auto"/>
                <w:sz w:val="21"/>
                <w:szCs w:val="21"/>
                <w:lang w:val="en-US" w:eastAsia="zh-CN"/>
              </w:rPr>
              <w:t>0-3分；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印刷场地：</w:t>
            </w:r>
            <w:r>
              <w:rPr>
                <w:rFonts w:hint="eastAsia" w:ascii="宋体" w:hAnsi="宋体" w:eastAsia="宋体" w:cs="宋体"/>
                <w:color w:val="auto"/>
                <w:sz w:val="21"/>
                <w:szCs w:val="21"/>
                <w:lang w:val="en-US" w:eastAsia="zh-CN"/>
              </w:rPr>
              <w:t>0-5分。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（未提供设备</w:t>
            </w:r>
            <w:r>
              <w:rPr>
                <w:rFonts w:hint="eastAsia" w:ascii="宋体" w:hAnsi="宋体" w:eastAsia="宋体" w:cs="宋体"/>
                <w:color w:val="auto"/>
                <w:sz w:val="21"/>
                <w:szCs w:val="21"/>
              </w:rPr>
              <w:t>发票</w:t>
            </w:r>
            <w:r>
              <w:rPr>
                <w:rFonts w:hint="eastAsia" w:ascii="宋体" w:hAnsi="宋体" w:eastAsia="宋体" w:cs="宋体"/>
                <w:color w:val="auto"/>
                <w:sz w:val="21"/>
                <w:szCs w:val="21"/>
                <w:lang w:eastAsia="zh-CN"/>
              </w:rPr>
              <w:t>、房产证、租赁协议的，相关项目不得分</w:t>
            </w:r>
            <w:r>
              <w:rPr>
                <w:rFonts w:hint="eastAsia" w:ascii="宋体" w:hAnsi="宋体" w:eastAsia="宋体" w:cs="宋体"/>
                <w:color w:val="auto"/>
                <w:sz w:val="21"/>
                <w:szCs w:val="21"/>
                <w:lang w:val="en-US"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rPr>
              <w:t>质量保证措施以及承诺</w:t>
            </w:r>
            <w:r>
              <w:rPr>
                <w:rFonts w:hint="eastAsia" w:ascii="宋体" w:hAnsi="宋体" w:eastAsia="宋体" w:cs="宋体"/>
                <w:color w:val="auto"/>
                <w:sz w:val="21"/>
                <w:szCs w:val="21"/>
                <w:lang w:eastAsia="zh-CN"/>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w:t>
            </w:r>
            <w:r>
              <w:rPr>
                <w:rFonts w:hint="eastAsia" w:ascii="宋体" w:hAnsi="宋体" w:eastAsia="宋体" w:cs="宋体"/>
                <w:color w:val="auto"/>
                <w:sz w:val="21"/>
                <w:szCs w:val="21"/>
                <w:lang w:eastAsia="zh-CN"/>
              </w:rPr>
              <w:t>承诺：</w:t>
            </w:r>
            <w:r>
              <w:rPr>
                <w:rFonts w:hint="eastAsia" w:ascii="宋体" w:hAnsi="宋体" w:eastAsia="宋体" w:cs="宋体"/>
                <w:color w:val="auto"/>
                <w:sz w:val="21"/>
                <w:szCs w:val="21"/>
                <w:lang w:val="en-US" w:eastAsia="zh-CN"/>
              </w:rPr>
              <w:t>1-4分。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及时交货保证措施</w:t>
            </w:r>
            <w:r>
              <w:rPr>
                <w:rFonts w:hint="eastAsia" w:ascii="宋体" w:hAnsi="宋体" w:eastAsia="宋体" w:cs="宋体"/>
                <w:color w:val="auto"/>
                <w:sz w:val="21"/>
                <w:szCs w:val="21"/>
                <w:lang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6663" w:type="dxa"/>
            <w:vAlign w:val="center"/>
          </w:tcPr>
          <w:p>
            <w:pPr>
              <w:pStyle w:val="5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w:t>
            </w:r>
            <w:r>
              <w:rPr>
                <w:rFonts w:hint="eastAsia" w:ascii="宋体" w:hAnsi="宋体" w:cs="宋体"/>
                <w:color w:val="auto"/>
                <w:kern w:val="0"/>
                <w:sz w:val="21"/>
                <w:szCs w:val="21"/>
                <w:lang w:eastAsia="zh-CN"/>
              </w:rPr>
              <w:t>投标人</w:t>
            </w:r>
            <w:r>
              <w:rPr>
                <w:rFonts w:hint="eastAsia" w:ascii="宋体" w:hAnsi="宋体" w:eastAsia="宋体" w:cs="宋体"/>
                <w:color w:val="auto"/>
                <w:kern w:val="0"/>
                <w:sz w:val="21"/>
                <w:szCs w:val="21"/>
              </w:rPr>
              <w:t xml:space="preserve">提供的售后服务方案、售后服务承诺、服务响应时间的可行性、完整性以及服务承诺落实的保障措施等方面： </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售后方案全面完整，响应及时，可行性强得5-6分；</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售后方案基本涵盖，响应时间一般，基本可行得3-4分；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kern w:val="0"/>
                <w:sz w:val="21"/>
                <w:szCs w:val="21"/>
              </w:rPr>
              <w:t>售后方案简单略，响应不够及时，可行性差得1-2分。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-6分</w:t>
            </w:r>
          </w:p>
        </w:tc>
      </w:tr>
    </w:tbl>
    <w:p>
      <w:pPr>
        <w:pStyle w:val="5"/>
        <w:rPr>
          <w:rFonts w:hint="eastAsia" w:cs="宋体" w:asciiTheme="minorEastAsia" w:hAnsiTheme="minorEastAsia" w:eastAsiaTheme="minorEastAsia"/>
          <w:color w:val="auto"/>
          <w:szCs w:val="21"/>
        </w:rPr>
      </w:pPr>
    </w:p>
    <w:p>
      <w:pPr>
        <w:pStyle w:val="5"/>
        <w:rPr>
          <w:rFonts w:cs="宋体" w:asciiTheme="minorEastAsia" w:hAnsiTheme="minorEastAsia" w:eastAsiaTheme="minorEastAsia"/>
          <w:color w:val="auto"/>
          <w:szCs w:val="21"/>
        </w:rPr>
      </w:pPr>
      <w:bookmarkStart w:id="167" w:name="_Toc24389"/>
      <w:r>
        <w:rPr>
          <w:rFonts w:hint="eastAsia" w:cs="宋体" w:asciiTheme="minorEastAsia" w:hAnsiTheme="minorEastAsia" w:eastAsiaTheme="minorEastAsia"/>
          <w:color w:val="auto"/>
          <w:szCs w:val="21"/>
        </w:rPr>
        <w:t>6.评标报告</w:t>
      </w:r>
      <w:bookmarkEnd w:id="167"/>
    </w:p>
    <w:p>
      <w:pPr>
        <w:ind w:firstLine="420"/>
        <w:rPr>
          <w:rFonts w:cs="宋体" w:asciiTheme="minorEastAsia" w:hAnsiTheme="minorEastAsia" w:eastAsiaTheme="minorEastAsia"/>
          <w:color w:val="auto"/>
          <w:szCs w:val="21"/>
        </w:rPr>
      </w:pPr>
      <w:bookmarkStart w:id="168" w:name="_Hlk8573416"/>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评标委员会成员应当独立、客观、公正、审慎地提出评审意见，不得带有倾向性，不得影响其他人员评审，评标委员会成员对需要共同认定的事项存在争议的，应当按照少数服从多数的原则作出结论。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评标委员会向采购人提交采购项目评标报告，评标报告是采购人确定中标人的合法依据。</w:t>
      </w:r>
    </w:p>
    <w:bookmarkEnd w:id="166"/>
    <w:bookmarkEnd w:id="168"/>
    <w:p>
      <w:pPr>
        <w:ind w:firstLine="420"/>
        <w:rPr>
          <w:rFonts w:cs="宋体" w:asciiTheme="minorEastAsia" w:hAnsiTheme="minorEastAsia" w:eastAsiaTheme="minorEastAsia"/>
          <w:strike/>
          <w:color w:val="auto"/>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Cambria Math">
    <w:altName w:val="Palatino Linotype"/>
    <w:panose1 w:val="02040503050406030204"/>
    <w:charset w:val="00"/>
    <w:family w:val="roman"/>
    <w:pitch w:val="default"/>
    <w:sig w:usb0="00000000" w:usb1="00000000" w:usb2="00000000" w:usb3="00000000" w:csb0="2000009F" w:csb1="00000000"/>
  </w:font>
  <w:font w:name="新宋体">
    <w:panose1 w:val="02010609030101010101"/>
    <w:charset w:val="86"/>
    <w:family w:val="modern"/>
    <w:pitch w:val="default"/>
    <w:sig w:usb0="00000003" w:usb1="080E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pPr>
          <w:pStyle w:val="15"/>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v:textbox>
            </v:shape>
          </w:pict>
        </mc:Fallback>
      </mc:AlternateContent>
    </w:r>
  </w:p>
  <w:p>
    <w:pPr>
      <w:pStyle w:val="1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right"/>
    </w:pPr>
    <w:r>
      <w:rPr>
        <w:rFonts w:hint="eastAsia"/>
      </w:rPr>
      <w:t>招标文件</w:t>
    </w: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10C82"/>
    <w:rsid w:val="00014FAC"/>
    <w:rsid w:val="000336F0"/>
    <w:rsid w:val="00050D50"/>
    <w:rsid w:val="00051654"/>
    <w:rsid w:val="00055428"/>
    <w:rsid w:val="00077064"/>
    <w:rsid w:val="00081676"/>
    <w:rsid w:val="0008322F"/>
    <w:rsid w:val="00086E3D"/>
    <w:rsid w:val="0009571C"/>
    <w:rsid w:val="000A003D"/>
    <w:rsid w:val="000B484F"/>
    <w:rsid w:val="000B73A5"/>
    <w:rsid w:val="000D147A"/>
    <w:rsid w:val="000D5B81"/>
    <w:rsid w:val="000E41C1"/>
    <w:rsid w:val="000F2DC7"/>
    <w:rsid w:val="000F516D"/>
    <w:rsid w:val="000F5AED"/>
    <w:rsid w:val="00107193"/>
    <w:rsid w:val="00107394"/>
    <w:rsid w:val="001169C6"/>
    <w:rsid w:val="00121E2B"/>
    <w:rsid w:val="001235C0"/>
    <w:rsid w:val="0013377D"/>
    <w:rsid w:val="001349B6"/>
    <w:rsid w:val="00136745"/>
    <w:rsid w:val="001407A8"/>
    <w:rsid w:val="0017082D"/>
    <w:rsid w:val="001743F0"/>
    <w:rsid w:val="00182264"/>
    <w:rsid w:val="0018259C"/>
    <w:rsid w:val="00191032"/>
    <w:rsid w:val="0019415C"/>
    <w:rsid w:val="001A3EDD"/>
    <w:rsid w:val="001A4262"/>
    <w:rsid w:val="001B767D"/>
    <w:rsid w:val="001C530A"/>
    <w:rsid w:val="001C7186"/>
    <w:rsid w:val="001F247B"/>
    <w:rsid w:val="001F69D3"/>
    <w:rsid w:val="002027C5"/>
    <w:rsid w:val="00226432"/>
    <w:rsid w:val="00227502"/>
    <w:rsid w:val="00240F49"/>
    <w:rsid w:val="00250981"/>
    <w:rsid w:val="00255A35"/>
    <w:rsid w:val="00257160"/>
    <w:rsid w:val="00263858"/>
    <w:rsid w:val="00263899"/>
    <w:rsid w:val="00264F02"/>
    <w:rsid w:val="00271941"/>
    <w:rsid w:val="00285866"/>
    <w:rsid w:val="00297C3C"/>
    <w:rsid w:val="002A3FB5"/>
    <w:rsid w:val="002A57DC"/>
    <w:rsid w:val="002B58C5"/>
    <w:rsid w:val="002C6E4E"/>
    <w:rsid w:val="002D42FB"/>
    <w:rsid w:val="002D7FC8"/>
    <w:rsid w:val="002E4A4E"/>
    <w:rsid w:val="002E5AE4"/>
    <w:rsid w:val="002F5736"/>
    <w:rsid w:val="002F5D35"/>
    <w:rsid w:val="00301609"/>
    <w:rsid w:val="003016F7"/>
    <w:rsid w:val="00304BCE"/>
    <w:rsid w:val="00321309"/>
    <w:rsid w:val="00323FC6"/>
    <w:rsid w:val="00324BF0"/>
    <w:rsid w:val="003257DA"/>
    <w:rsid w:val="00335018"/>
    <w:rsid w:val="003408B7"/>
    <w:rsid w:val="0035270A"/>
    <w:rsid w:val="00382B1E"/>
    <w:rsid w:val="00385AD4"/>
    <w:rsid w:val="003A6A1F"/>
    <w:rsid w:val="003B0734"/>
    <w:rsid w:val="003B3EB6"/>
    <w:rsid w:val="003B7301"/>
    <w:rsid w:val="003C0B95"/>
    <w:rsid w:val="003C7DB8"/>
    <w:rsid w:val="003D05FE"/>
    <w:rsid w:val="003D5739"/>
    <w:rsid w:val="003E7D3D"/>
    <w:rsid w:val="003F23EE"/>
    <w:rsid w:val="00400B4D"/>
    <w:rsid w:val="00412E0C"/>
    <w:rsid w:val="00421A07"/>
    <w:rsid w:val="00435E1D"/>
    <w:rsid w:val="00457A98"/>
    <w:rsid w:val="004605F4"/>
    <w:rsid w:val="004731D2"/>
    <w:rsid w:val="004733DF"/>
    <w:rsid w:val="00475C95"/>
    <w:rsid w:val="00484996"/>
    <w:rsid w:val="004910A4"/>
    <w:rsid w:val="004916C1"/>
    <w:rsid w:val="004A3362"/>
    <w:rsid w:val="004B5063"/>
    <w:rsid w:val="004B52EE"/>
    <w:rsid w:val="004B564C"/>
    <w:rsid w:val="004C6FC3"/>
    <w:rsid w:val="004D2D84"/>
    <w:rsid w:val="004F79C2"/>
    <w:rsid w:val="00502F68"/>
    <w:rsid w:val="00505FB5"/>
    <w:rsid w:val="00513DB4"/>
    <w:rsid w:val="0051628E"/>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E4235"/>
    <w:rsid w:val="005E5167"/>
    <w:rsid w:val="005F101C"/>
    <w:rsid w:val="005F23A6"/>
    <w:rsid w:val="005F2EB3"/>
    <w:rsid w:val="0060036A"/>
    <w:rsid w:val="00600F79"/>
    <w:rsid w:val="006126FF"/>
    <w:rsid w:val="00614BBF"/>
    <w:rsid w:val="006407DD"/>
    <w:rsid w:val="00641E7F"/>
    <w:rsid w:val="006504C6"/>
    <w:rsid w:val="00651A7A"/>
    <w:rsid w:val="00656482"/>
    <w:rsid w:val="00670171"/>
    <w:rsid w:val="00670E95"/>
    <w:rsid w:val="00671D5E"/>
    <w:rsid w:val="006779A0"/>
    <w:rsid w:val="00684E9B"/>
    <w:rsid w:val="00687F93"/>
    <w:rsid w:val="006907CF"/>
    <w:rsid w:val="00694E19"/>
    <w:rsid w:val="006B474F"/>
    <w:rsid w:val="006E259D"/>
    <w:rsid w:val="006F480D"/>
    <w:rsid w:val="006F597E"/>
    <w:rsid w:val="007026E7"/>
    <w:rsid w:val="00711E70"/>
    <w:rsid w:val="0071427F"/>
    <w:rsid w:val="00736C48"/>
    <w:rsid w:val="00736F55"/>
    <w:rsid w:val="00752B09"/>
    <w:rsid w:val="007539CF"/>
    <w:rsid w:val="00754878"/>
    <w:rsid w:val="00754B2F"/>
    <w:rsid w:val="00757C58"/>
    <w:rsid w:val="00773776"/>
    <w:rsid w:val="00774170"/>
    <w:rsid w:val="007B2CF6"/>
    <w:rsid w:val="007B4269"/>
    <w:rsid w:val="007B533A"/>
    <w:rsid w:val="007C1E77"/>
    <w:rsid w:val="007D0A77"/>
    <w:rsid w:val="00805519"/>
    <w:rsid w:val="00810E41"/>
    <w:rsid w:val="008326E3"/>
    <w:rsid w:val="00834B43"/>
    <w:rsid w:val="008411B5"/>
    <w:rsid w:val="008530D6"/>
    <w:rsid w:val="00854E2D"/>
    <w:rsid w:val="00861340"/>
    <w:rsid w:val="00866752"/>
    <w:rsid w:val="00867413"/>
    <w:rsid w:val="008823C7"/>
    <w:rsid w:val="00892CD9"/>
    <w:rsid w:val="008B1BDC"/>
    <w:rsid w:val="008C7DE0"/>
    <w:rsid w:val="008E66CE"/>
    <w:rsid w:val="008F4F0A"/>
    <w:rsid w:val="00933266"/>
    <w:rsid w:val="00933E3E"/>
    <w:rsid w:val="009352E5"/>
    <w:rsid w:val="009376D7"/>
    <w:rsid w:val="00937B8C"/>
    <w:rsid w:val="00953940"/>
    <w:rsid w:val="00962EBD"/>
    <w:rsid w:val="00967F72"/>
    <w:rsid w:val="009725F3"/>
    <w:rsid w:val="00972C2E"/>
    <w:rsid w:val="009809DE"/>
    <w:rsid w:val="00986EEA"/>
    <w:rsid w:val="009A61C0"/>
    <w:rsid w:val="009C1FE9"/>
    <w:rsid w:val="009C3518"/>
    <w:rsid w:val="009C470D"/>
    <w:rsid w:val="009D4623"/>
    <w:rsid w:val="009E308C"/>
    <w:rsid w:val="009E3AA1"/>
    <w:rsid w:val="009F0D94"/>
    <w:rsid w:val="009F3495"/>
    <w:rsid w:val="00A0176D"/>
    <w:rsid w:val="00A02354"/>
    <w:rsid w:val="00A05222"/>
    <w:rsid w:val="00A06198"/>
    <w:rsid w:val="00A10B91"/>
    <w:rsid w:val="00A22B8A"/>
    <w:rsid w:val="00A23B88"/>
    <w:rsid w:val="00A3455A"/>
    <w:rsid w:val="00A51925"/>
    <w:rsid w:val="00A53BEC"/>
    <w:rsid w:val="00A570A3"/>
    <w:rsid w:val="00A70419"/>
    <w:rsid w:val="00A71B2D"/>
    <w:rsid w:val="00A84421"/>
    <w:rsid w:val="00A9311F"/>
    <w:rsid w:val="00AA1D1F"/>
    <w:rsid w:val="00AA1DDB"/>
    <w:rsid w:val="00AA57F4"/>
    <w:rsid w:val="00AC47B0"/>
    <w:rsid w:val="00AE3875"/>
    <w:rsid w:val="00AE4DE9"/>
    <w:rsid w:val="00AE554D"/>
    <w:rsid w:val="00AF10F3"/>
    <w:rsid w:val="00AF5C32"/>
    <w:rsid w:val="00B01A19"/>
    <w:rsid w:val="00B01D3D"/>
    <w:rsid w:val="00B12F11"/>
    <w:rsid w:val="00B17260"/>
    <w:rsid w:val="00B24C08"/>
    <w:rsid w:val="00B3278F"/>
    <w:rsid w:val="00B40151"/>
    <w:rsid w:val="00B532D8"/>
    <w:rsid w:val="00B544C1"/>
    <w:rsid w:val="00B66C03"/>
    <w:rsid w:val="00B94BCD"/>
    <w:rsid w:val="00B9537B"/>
    <w:rsid w:val="00B972E6"/>
    <w:rsid w:val="00BA002D"/>
    <w:rsid w:val="00BB4D20"/>
    <w:rsid w:val="00BC1D01"/>
    <w:rsid w:val="00BC2BD1"/>
    <w:rsid w:val="00BC425C"/>
    <w:rsid w:val="00BC7819"/>
    <w:rsid w:val="00BD184A"/>
    <w:rsid w:val="00C00D95"/>
    <w:rsid w:val="00C11EC8"/>
    <w:rsid w:val="00C1774C"/>
    <w:rsid w:val="00C27CD4"/>
    <w:rsid w:val="00C305A7"/>
    <w:rsid w:val="00C30E55"/>
    <w:rsid w:val="00C34CF0"/>
    <w:rsid w:val="00C40810"/>
    <w:rsid w:val="00C440F9"/>
    <w:rsid w:val="00C57A66"/>
    <w:rsid w:val="00C60363"/>
    <w:rsid w:val="00C65BF3"/>
    <w:rsid w:val="00C676F1"/>
    <w:rsid w:val="00C71910"/>
    <w:rsid w:val="00C719FA"/>
    <w:rsid w:val="00C7245B"/>
    <w:rsid w:val="00C804AB"/>
    <w:rsid w:val="00C8256D"/>
    <w:rsid w:val="00C92FD5"/>
    <w:rsid w:val="00C93D7D"/>
    <w:rsid w:val="00C93FD7"/>
    <w:rsid w:val="00C9449C"/>
    <w:rsid w:val="00C97C32"/>
    <w:rsid w:val="00CA2B18"/>
    <w:rsid w:val="00CA4554"/>
    <w:rsid w:val="00CA50BF"/>
    <w:rsid w:val="00CB1E16"/>
    <w:rsid w:val="00CB2F4D"/>
    <w:rsid w:val="00CD45A6"/>
    <w:rsid w:val="00CE069E"/>
    <w:rsid w:val="00CE2486"/>
    <w:rsid w:val="00CE252F"/>
    <w:rsid w:val="00CE5CED"/>
    <w:rsid w:val="00D02095"/>
    <w:rsid w:val="00D235E1"/>
    <w:rsid w:val="00D319B1"/>
    <w:rsid w:val="00D50768"/>
    <w:rsid w:val="00D60328"/>
    <w:rsid w:val="00D62ABB"/>
    <w:rsid w:val="00D707A6"/>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52889"/>
    <w:rsid w:val="00E55903"/>
    <w:rsid w:val="00E56CF8"/>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A65AE"/>
    <w:rsid w:val="00FB3B73"/>
    <w:rsid w:val="00FB562A"/>
    <w:rsid w:val="00FC3495"/>
    <w:rsid w:val="00FD2DC3"/>
    <w:rsid w:val="00FE5D54"/>
    <w:rsid w:val="00FF11B0"/>
    <w:rsid w:val="00FF33D7"/>
    <w:rsid w:val="00FF3FFB"/>
    <w:rsid w:val="00FF4388"/>
    <w:rsid w:val="01067D8A"/>
    <w:rsid w:val="01090E8D"/>
    <w:rsid w:val="012C3CE9"/>
    <w:rsid w:val="016A0BF4"/>
    <w:rsid w:val="016D0976"/>
    <w:rsid w:val="01C026FC"/>
    <w:rsid w:val="01E66267"/>
    <w:rsid w:val="021B2520"/>
    <w:rsid w:val="022B1123"/>
    <w:rsid w:val="02635D4D"/>
    <w:rsid w:val="026A7D29"/>
    <w:rsid w:val="027746B0"/>
    <w:rsid w:val="027A1092"/>
    <w:rsid w:val="029B3E2E"/>
    <w:rsid w:val="02AC3ED6"/>
    <w:rsid w:val="02F83C81"/>
    <w:rsid w:val="033974B7"/>
    <w:rsid w:val="034E3126"/>
    <w:rsid w:val="036C7375"/>
    <w:rsid w:val="037660AE"/>
    <w:rsid w:val="037D00DC"/>
    <w:rsid w:val="038E0800"/>
    <w:rsid w:val="03E16289"/>
    <w:rsid w:val="03F374EB"/>
    <w:rsid w:val="04290938"/>
    <w:rsid w:val="045B29C7"/>
    <w:rsid w:val="04985FCF"/>
    <w:rsid w:val="04A20091"/>
    <w:rsid w:val="04A813D8"/>
    <w:rsid w:val="04AB3B17"/>
    <w:rsid w:val="04C47BBA"/>
    <w:rsid w:val="04CE5BE8"/>
    <w:rsid w:val="04E03175"/>
    <w:rsid w:val="05253AA9"/>
    <w:rsid w:val="05405F60"/>
    <w:rsid w:val="059332EE"/>
    <w:rsid w:val="0596038E"/>
    <w:rsid w:val="05F64A3D"/>
    <w:rsid w:val="063520EA"/>
    <w:rsid w:val="065A41DD"/>
    <w:rsid w:val="06605EFB"/>
    <w:rsid w:val="0661605C"/>
    <w:rsid w:val="06870112"/>
    <w:rsid w:val="068E3B3F"/>
    <w:rsid w:val="06C457AF"/>
    <w:rsid w:val="06CF25AA"/>
    <w:rsid w:val="06EB5ED4"/>
    <w:rsid w:val="06F83B9D"/>
    <w:rsid w:val="075C6EC4"/>
    <w:rsid w:val="078A5D0D"/>
    <w:rsid w:val="07A52855"/>
    <w:rsid w:val="07A8511F"/>
    <w:rsid w:val="07F55392"/>
    <w:rsid w:val="080E7646"/>
    <w:rsid w:val="08445421"/>
    <w:rsid w:val="084A5D61"/>
    <w:rsid w:val="0860207F"/>
    <w:rsid w:val="08972793"/>
    <w:rsid w:val="08DA7AE3"/>
    <w:rsid w:val="08DB5634"/>
    <w:rsid w:val="08FF2A64"/>
    <w:rsid w:val="09025D8B"/>
    <w:rsid w:val="090F1B9E"/>
    <w:rsid w:val="092F3252"/>
    <w:rsid w:val="09392CF7"/>
    <w:rsid w:val="093B19DB"/>
    <w:rsid w:val="094F3E52"/>
    <w:rsid w:val="097A41FA"/>
    <w:rsid w:val="099548E3"/>
    <w:rsid w:val="09A9476A"/>
    <w:rsid w:val="09AE4010"/>
    <w:rsid w:val="09E7087E"/>
    <w:rsid w:val="09F65EE5"/>
    <w:rsid w:val="0A1B6A4B"/>
    <w:rsid w:val="0A4C500A"/>
    <w:rsid w:val="0A5C1E18"/>
    <w:rsid w:val="0A9F72E8"/>
    <w:rsid w:val="0ACE0701"/>
    <w:rsid w:val="0AEF0648"/>
    <w:rsid w:val="0AFF4EB4"/>
    <w:rsid w:val="0B1A04CC"/>
    <w:rsid w:val="0B371410"/>
    <w:rsid w:val="0B544093"/>
    <w:rsid w:val="0B665948"/>
    <w:rsid w:val="0B692D94"/>
    <w:rsid w:val="0B92030B"/>
    <w:rsid w:val="0BF25526"/>
    <w:rsid w:val="0C5F443A"/>
    <w:rsid w:val="0C834CDD"/>
    <w:rsid w:val="0C8475DE"/>
    <w:rsid w:val="0CA9007C"/>
    <w:rsid w:val="0D047BF7"/>
    <w:rsid w:val="0D082A62"/>
    <w:rsid w:val="0D760386"/>
    <w:rsid w:val="0D934995"/>
    <w:rsid w:val="0DDA232F"/>
    <w:rsid w:val="0DEE1402"/>
    <w:rsid w:val="0DF61D18"/>
    <w:rsid w:val="0E256344"/>
    <w:rsid w:val="0E4D68EE"/>
    <w:rsid w:val="0E594EDC"/>
    <w:rsid w:val="0E622DE6"/>
    <w:rsid w:val="0E6B4501"/>
    <w:rsid w:val="0E9D2C28"/>
    <w:rsid w:val="0EC4530F"/>
    <w:rsid w:val="0EE27EEA"/>
    <w:rsid w:val="0EFC6224"/>
    <w:rsid w:val="0F1E69A2"/>
    <w:rsid w:val="0F1F33CA"/>
    <w:rsid w:val="0F206154"/>
    <w:rsid w:val="0F216ADF"/>
    <w:rsid w:val="0F5D09A9"/>
    <w:rsid w:val="0F6358F1"/>
    <w:rsid w:val="0FDC5AAB"/>
    <w:rsid w:val="0FED5356"/>
    <w:rsid w:val="0FFF14AC"/>
    <w:rsid w:val="100516FD"/>
    <w:rsid w:val="1015684F"/>
    <w:rsid w:val="10260816"/>
    <w:rsid w:val="10282EF8"/>
    <w:rsid w:val="10685D1D"/>
    <w:rsid w:val="10972E1C"/>
    <w:rsid w:val="109F6A07"/>
    <w:rsid w:val="10A268D6"/>
    <w:rsid w:val="10BC14A3"/>
    <w:rsid w:val="10CF2DFA"/>
    <w:rsid w:val="11140E95"/>
    <w:rsid w:val="11190F3E"/>
    <w:rsid w:val="111B5AA1"/>
    <w:rsid w:val="112A3A0D"/>
    <w:rsid w:val="11756811"/>
    <w:rsid w:val="118B5C15"/>
    <w:rsid w:val="11C10CD7"/>
    <w:rsid w:val="122F5A3C"/>
    <w:rsid w:val="12494B69"/>
    <w:rsid w:val="12A04654"/>
    <w:rsid w:val="12AB418A"/>
    <w:rsid w:val="12B07B12"/>
    <w:rsid w:val="12B20A1E"/>
    <w:rsid w:val="12C578AF"/>
    <w:rsid w:val="12EF70F8"/>
    <w:rsid w:val="1332055C"/>
    <w:rsid w:val="134A1B4D"/>
    <w:rsid w:val="134D5D29"/>
    <w:rsid w:val="13CE1BE7"/>
    <w:rsid w:val="142963CE"/>
    <w:rsid w:val="14716A9D"/>
    <w:rsid w:val="14772067"/>
    <w:rsid w:val="14812702"/>
    <w:rsid w:val="148E62E6"/>
    <w:rsid w:val="15092B92"/>
    <w:rsid w:val="151B162C"/>
    <w:rsid w:val="152555A2"/>
    <w:rsid w:val="152D35ED"/>
    <w:rsid w:val="15436718"/>
    <w:rsid w:val="15736B2E"/>
    <w:rsid w:val="15775CA6"/>
    <w:rsid w:val="157B721C"/>
    <w:rsid w:val="15976681"/>
    <w:rsid w:val="15AF6BF0"/>
    <w:rsid w:val="15BF0601"/>
    <w:rsid w:val="15F43F9E"/>
    <w:rsid w:val="16007006"/>
    <w:rsid w:val="160773E3"/>
    <w:rsid w:val="1627097F"/>
    <w:rsid w:val="162B2F6C"/>
    <w:rsid w:val="16606DC9"/>
    <w:rsid w:val="167858DE"/>
    <w:rsid w:val="16795962"/>
    <w:rsid w:val="1695469B"/>
    <w:rsid w:val="16AA25AB"/>
    <w:rsid w:val="16B77F0C"/>
    <w:rsid w:val="16C005E7"/>
    <w:rsid w:val="17050A04"/>
    <w:rsid w:val="171119B6"/>
    <w:rsid w:val="17173725"/>
    <w:rsid w:val="17392CFF"/>
    <w:rsid w:val="17973D25"/>
    <w:rsid w:val="17B415C2"/>
    <w:rsid w:val="180434E6"/>
    <w:rsid w:val="18071216"/>
    <w:rsid w:val="180C4F36"/>
    <w:rsid w:val="185A4FA0"/>
    <w:rsid w:val="185D6797"/>
    <w:rsid w:val="188426C3"/>
    <w:rsid w:val="188C52AB"/>
    <w:rsid w:val="189D1289"/>
    <w:rsid w:val="18A51579"/>
    <w:rsid w:val="18A749FB"/>
    <w:rsid w:val="18D15FE1"/>
    <w:rsid w:val="18FA0117"/>
    <w:rsid w:val="19057818"/>
    <w:rsid w:val="192A720F"/>
    <w:rsid w:val="198E7190"/>
    <w:rsid w:val="19AB3E38"/>
    <w:rsid w:val="19D14743"/>
    <w:rsid w:val="19FF1083"/>
    <w:rsid w:val="1A2C1913"/>
    <w:rsid w:val="1A394CFA"/>
    <w:rsid w:val="1A6431DD"/>
    <w:rsid w:val="1A6F0BAA"/>
    <w:rsid w:val="1AC87A2D"/>
    <w:rsid w:val="1B043CB2"/>
    <w:rsid w:val="1B502AE4"/>
    <w:rsid w:val="1B9A3439"/>
    <w:rsid w:val="1BC01E7E"/>
    <w:rsid w:val="1BC60200"/>
    <w:rsid w:val="1BD2495D"/>
    <w:rsid w:val="1C6A364A"/>
    <w:rsid w:val="1C724E85"/>
    <w:rsid w:val="1C7923E7"/>
    <w:rsid w:val="1C844706"/>
    <w:rsid w:val="1CA24372"/>
    <w:rsid w:val="1CBD3B5C"/>
    <w:rsid w:val="1CE14C16"/>
    <w:rsid w:val="1CE75E52"/>
    <w:rsid w:val="1D0C419E"/>
    <w:rsid w:val="1D164F33"/>
    <w:rsid w:val="1D210EC4"/>
    <w:rsid w:val="1D3A47A0"/>
    <w:rsid w:val="1D5310F6"/>
    <w:rsid w:val="1D595AAF"/>
    <w:rsid w:val="1D9E2625"/>
    <w:rsid w:val="1DB047DC"/>
    <w:rsid w:val="1DC60F08"/>
    <w:rsid w:val="1DDD3F28"/>
    <w:rsid w:val="1DEB6D52"/>
    <w:rsid w:val="1DF134F8"/>
    <w:rsid w:val="1E1A1400"/>
    <w:rsid w:val="1E384378"/>
    <w:rsid w:val="1E4052B9"/>
    <w:rsid w:val="1E516F9A"/>
    <w:rsid w:val="1E5F2E75"/>
    <w:rsid w:val="1E6949C9"/>
    <w:rsid w:val="1E932A58"/>
    <w:rsid w:val="1EAE1A85"/>
    <w:rsid w:val="1EB6519E"/>
    <w:rsid w:val="1F3A3754"/>
    <w:rsid w:val="1F4D172F"/>
    <w:rsid w:val="1F7F7816"/>
    <w:rsid w:val="1F9B59B0"/>
    <w:rsid w:val="200074E1"/>
    <w:rsid w:val="20456D30"/>
    <w:rsid w:val="20740F17"/>
    <w:rsid w:val="20A20E0E"/>
    <w:rsid w:val="20C35C55"/>
    <w:rsid w:val="212479C2"/>
    <w:rsid w:val="212F35B1"/>
    <w:rsid w:val="21472412"/>
    <w:rsid w:val="215A7C75"/>
    <w:rsid w:val="219612F9"/>
    <w:rsid w:val="220531BD"/>
    <w:rsid w:val="22172C98"/>
    <w:rsid w:val="221D781B"/>
    <w:rsid w:val="225A284D"/>
    <w:rsid w:val="2262153E"/>
    <w:rsid w:val="22670189"/>
    <w:rsid w:val="22712349"/>
    <w:rsid w:val="228D294F"/>
    <w:rsid w:val="229F7205"/>
    <w:rsid w:val="22B671BE"/>
    <w:rsid w:val="22FE47FF"/>
    <w:rsid w:val="231E3943"/>
    <w:rsid w:val="23207B4E"/>
    <w:rsid w:val="23492F4B"/>
    <w:rsid w:val="23636D42"/>
    <w:rsid w:val="23661CBB"/>
    <w:rsid w:val="236858EC"/>
    <w:rsid w:val="236A55CE"/>
    <w:rsid w:val="236B59D3"/>
    <w:rsid w:val="237D48B8"/>
    <w:rsid w:val="23C677BC"/>
    <w:rsid w:val="23E7194E"/>
    <w:rsid w:val="24034937"/>
    <w:rsid w:val="240F5684"/>
    <w:rsid w:val="24315B04"/>
    <w:rsid w:val="248F7D37"/>
    <w:rsid w:val="24B02570"/>
    <w:rsid w:val="2524272B"/>
    <w:rsid w:val="255B4D49"/>
    <w:rsid w:val="25715A50"/>
    <w:rsid w:val="25901334"/>
    <w:rsid w:val="25AF09F4"/>
    <w:rsid w:val="25B015DB"/>
    <w:rsid w:val="25BC73E8"/>
    <w:rsid w:val="25E32B34"/>
    <w:rsid w:val="25EA0948"/>
    <w:rsid w:val="2605295A"/>
    <w:rsid w:val="262F33A9"/>
    <w:rsid w:val="264152E6"/>
    <w:rsid w:val="265A4DB1"/>
    <w:rsid w:val="265A6C4D"/>
    <w:rsid w:val="26A40E01"/>
    <w:rsid w:val="26C532F2"/>
    <w:rsid w:val="26CE7AF0"/>
    <w:rsid w:val="27376BD1"/>
    <w:rsid w:val="2743379A"/>
    <w:rsid w:val="2749195C"/>
    <w:rsid w:val="27607DE2"/>
    <w:rsid w:val="27846701"/>
    <w:rsid w:val="27872430"/>
    <w:rsid w:val="27A77BB6"/>
    <w:rsid w:val="27CA5392"/>
    <w:rsid w:val="27E30F94"/>
    <w:rsid w:val="27ED6302"/>
    <w:rsid w:val="27EF2528"/>
    <w:rsid w:val="2812694A"/>
    <w:rsid w:val="281F32BE"/>
    <w:rsid w:val="283055F5"/>
    <w:rsid w:val="284B48C7"/>
    <w:rsid w:val="28A003A1"/>
    <w:rsid w:val="28B86BD1"/>
    <w:rsid w:val="290B2A89"/>
    <w:rsid w:val="294158B1"/>
    <w:rsid w:val="29464877"/>
    <w:rsid w:val="2975380A"/>
    <w:rsid w:val="29F63BF9"/>
    <w:rsid w:val="29FE3027"/>
    <w:rsid w:val="2A2426F6"/>
    <w:rsid w:val="2A2711F3"/>
    <w:rsid w:val="2A4165F2"/>
    <w:rsid w:val="2A7E2F13"/>
    <w:rsid w:val="2A933B0B"/>
    <w:rsid w:val="2AA53BF0"/>
    <w:rsid w:val="2ACF5B90"/>
    <w:rsid w:val="2ADB5A95"/>
    <w:rsid w:val="2AE809AD"/>
    <w:rsid w:val="2B133A46"/>
    <w:rsid w:val="2B330FB7"/>
    <w:rsid w:val="2B462A56"/>
    <w:rsid w:val="2B636BA0"/>
    <w:rsid w:val="2B7A7449"/>
    <w:rsid w:val="2B9565F7"/>
    <w:rsid w:val="2B9E2EF2"/>
    <w:rsid w:val="2BC25A46"/>
    <w:rsid w:val="2BD22343"/>
    <w:rsid w:val="2BD4552C"/>
    <w:rsid w:val="2C0F1A01"/>
    <w:rsid w:val="2C1A267C"/>
    <w:rsid w:val="2C261E0D"/>
    <w:rsid w:val="2C277CAF"/>
    <w:rsid w:val="2C5D2CAD"/>
    <w:rsid w:val="2C647F29"/>
    <w:rsid w:val="2C6E30CE"/>
    <w:rsid w:val="2C7646C0"/>
    <w:rsid w:val="2C790FA8"/>
    <w:rsid w:val="2CA46E06"/>
    <w:rsid w:val="2CB84AFB"/>
    <w:rsid w:val="2CCD397B"/>
    <w:rsid w:val="2CE93C29"/>
    <w:rsid w:val="2D0527DE"/>
    <w:rsid w:val="2D083A00"/>
    <w:rsid w:val="2D257478"/>
    <w:rsid w:val="2D3C262E"/>
    <w:rsid w:val="2D4E6CF7"/>
    <w:rsid w:val="2DE40514"/>
    <w:rsid w:val="2DE90352"/>
    <w:rsid w:val="2E371E0E"/>
    <w:rsid w:val="2E415F0B"/>
    <w:rsid w:val="2E8A298D"/>
    <w:rsid w:val="2E972329"/>
    <w:rsid w:val="2EA15724"/>
    <w:rsid w:val="2EA238AE"/>
    <w:rsid w:val="2EC92BE4"/>
    <w:rsid w:val="2ECF2F32"/>
    <w:rsid w:val="2ED22573"/>
    <w:rsid w:val="2EF22F19"/>
    <w:rsid w:val="2F990E31"/>
    <w:rsid w:val="2FE85F07"/>
    <w:rsid w:val="2FF26CCB"/>
    <w:rsid w:val="2FF7126C"/>
    <w:rsid w:val="30066DC3"/>
    <w:rsid w:val="30227ACB"/>
    <w:rsid w:val="303B65B8"/>
    <w:rsid w:val="30AE16B5"/>
    <w:rsid w:val="30DC37DC"/>
    <w:rsid w:val="30F8729D"/>
    <w:rsid w:val="31165DFB"/>
    <w:rsid w:val="313E0337"/>
    <w:rsid w:val="317A7186"/>
    <w:rsid w:val="319665BD"/>
    <w:rsid w:val="319A2085"/>
    <w:rsid w:val="319D4620"/>
    <w:rsid w:val="31B63F22"/>
    <w:rsid w:val="31E5712F"/>
    <w:rsid w:val="321B691E"/>
    <w:rsid w:val="322463DC"/>
    <w:rsid w:val="322C582E"/>
    <w:rsid w:val="325F163F"/>
    <w:rsid w:val="32650125"/>
    <w:rsid w:val="32694D46"/>
    <w:rsid w:val="327274BB"/>
    <w:rsid w:val="32977A8D"/>
    <w:rsid w:val="32D84E04"/>
    <w:rsid w:val="330A2679"/>
    <w:rsid w:val="33303515"/>
    <w:rsid w:val="333661D7"/>
    <w:rsid w:val="335B41A5"/>
    <w:rsid w:val="335D51F0"/>
    <w:rsid w:val="3381789B"/>
    <w:rsid w:val="33891C2E"/>
    <w:rsid w:val="33CF6325"/>
    <w:rsid w:val="33EA5551"/>
    <w:rsid w:val="3417379A"/>
    <w:rsid w:val="34295CDE"/>
    <w:rsid w:val="342B3619"/>
    <w:rsid w:val="342D014D"/>
    <w:rsid w:val="34314294"/>
    <w:rsid w:val="3442614F"/>
    <w:rsid w:val="345B6F1A"/>
    <w:rsid w:val="345F4ADF"/>
    <w:rsid w:val="345F6F3B"/>
    <w:rsid w:val="34671C37"/>
    <w:rsid w:val="34690C69"/>
    <w:rsid w:val="34860E65"/>
    <w:rsid w:val="34A3714E"/>
    <w:rsid w:val="34A73389"/>
    <w:rsid w:val="34CB308B"/>
    <w:rsid w:val="34D26A4C"/>
    <w:rsid w:val="353D5492"/>
    <w:rsid w:val="354D29BE"/>
    <w:rsid w:val="356A337B"/>
    <w:rsid w:val="356F142B"/>
    <w:rsid w:val="35706124"/>
    <w:rsid w:val="3574003F"/>
    <w:rsid w:val="35740A3D"/>
    <w:rsid w:val="359128F3"/>
    <w:rsid w:val="35A00913"/>
    <w:rsid w:val="36173EF9"/>
    <w:rsid w:val="36243FF8"/>
    <w:rsid w:val="362A6075"/>
    <w:rsid w:val="362B0129"/>
    <w:rsid w:val="363A68BE"/>
    <w:rsid w:val="36595658"/>
    <w:rsid w:val="365E3909"/>
    <w:rsid w:val="3667387F"/>
    <w:rsid w:val="368942C2"/>
    <w:rsid w:val="36A025E8"/>
    <w:rsid w:val="36D550B2"/>
    <w:rsid w:val="36DE3CA3"/>
    <w:rsid w:val="36F73B9A"/>
    <w:rsid w:val="37316729"/>
    <w:rsid w:val="375B2A71"/>
    <w:rsid w:val="376D05BA"/>
    <w:rsid w:val="37812D13"/>
    <w:rsid w:val="37937263"/>
    <w:rsid w:val="37B34F2E"/>
    <w:rsid w:val="37CA1E8A"/>
    <w:rsid w:val="37D76FA0"/>
    <w:rsid w:val="380C5F76"/>
    <w:rsid w:val="381025F2"/>
    <w:rsid w:val="38136E5D"/>
    <w:rsid w:val="38303F8B"/>
    <w:rsid w:val="384369FE"/>
    <w:rsid w:val="384848DC"/>
    <w:rsid w:val="388801E8"/>
    <w:rsid w:val="38B63080"/>
    <w:rsid w:val="3924286C"/>
    <w:rsid w:val="39315290"/>
    <w:rsid w:val="39360A4B"/>
    <w:rsid w:val="39385A34"/>
    <w:rsid w:val="3942578B"/>
    <w:rsid w:val="39734B33"/>
    <w:rsid w:val="39853B75"/>
    <w:rsid w:val="39A630E3"/>
    <w:rsid w:val="39A82AB5"/>
    <w:rsid w:val="39AB0DA3"/>
    <w:rsid w:val="39AB36CF"/>
    <w:rsid w:val="39C21B35"/>
    <w:rsid w:val="39FA5150"/>
    <w:rsid w:val="3A053F2B"/>
    <w:rsid w:val="3A4D78F7"/>
    <w:rsid w:val="3A741E10"/>
    <w:rsid w:val="3AAD4B07"/>
    <w:rsid w:val="3ACE62F6"/>
    <w:rsid w:val="3AD0179A"/>
    <w:rsid w:val="3AF36669"/>
    <w:rsid w:val="3AFB7AD8"/>
    <w:rsid w:val="3B0F3693"/>
    <w:rsid w:val="3B4D0703"/>
    <w:rsid w:val="3B5E106D"/>
    <w:rsid w:val="3B61373B"/>
    <w:rsid w:val="3B636F25"/>
    <w:rsid w:val="3B672733"/>
    <w:rsid w:val="3B793576"/>
    <w:rsid w:val="3BD2436A"/>
    <w:rsid w:val="3BD455AA"/>
    <w:rsid w:val="3BF619BF"/>
    <w:rsid w:val="3BF959A5"/>
    <w:rsid w:val="3C1C1B0B"/>
    <w:rsid w:val="3C237591"/>
    <w:rsid w:val="3C3018D0"/>
    <w:rsid w:val="3C4D0069"/>
    <w:rsid w:val="3C5A4EEA"/>
    <w:rsid w:val="3C6E58CE"/>
    <w:rsid w:val="3CA933EF"/>
    <w:rsid w:val="3CAC09E0"/>
    <w:rsid w:val="3CC77B7E"/>
    <w:rsid w:val="3CE20580"/>
    <w:rsid w:val="3D81321B"/>
    <w:rsid w:val="3DB41DDE"/>
    <w:rsid w:val="3DC554B0"/>
    <w:rsid w:val="3DD133B8"/>
    <w:rsid w:val="3DDA2279"/>
    <w:rsid w:val="3E1243CD"/>
    <w:rsid w:val="3ED03E17"/>
    <w:rsid w:val="3ED745FD"/>
    <w:rsid w:val="3EFD2C43"/>
    <w:rsid w:val="3F056BB2"/>
    <w:rsid w:val="3F330735"/>
    <w:rsid w:val="3F3D1608"/>
    <w:rsid w:val="3F5537B8"/>
    <w:rsid w:val="3F687C94"/>
    <w:rsid w:val="3F7D6F3B"/>
    <w:rsid w:val="3F867F68"/>
    <w:rsid w:val="3F8C6CC0"/>
    <w:rsid w:val="3F8D7B91"/>
    <w:rsid w:val="3FEB37DB"/>
    <w:rsid w:val="3FF4199B"/>
    <w:rsid w:val="400643C5"/>
    <w:rsid w:val="40064A71"/>
    <w:rsid w:val="40305722"/>
    <w:rsid w:val="404039B5"/>
    <w:rsid w:val="40463876"/>
    <w:rsid w:val="40652AD7"/>
    <w:rsid w:val="40785DD6"/>
    <w:rsid w:val="40813B5B"/>
    <w:rsid w:val="40880807"/>
    <w:rsid w:val="409855DF"/>
    <w:rsid w:val="40BD5A81"/>
    <w:rsid w:val="40D93DEC"/>
    <w:rsid w:val="40ED030A"/>
    <w:rsid w:val="40F51154"/>
    <w:rsid w:val="40F8294C"/>
    <w:rsid w:val="411A1E6D"/>
    <w:rsid w:val="41244C5D"/>
    <w:rsid w:val="4142043A"/>
    <w:rsid w:val="416916A7"/>
    <w:rsid w:val="418514D9"/>
    <w:rsid w:val="41960938"/>
    <w:rsid w:val="41C64ED9"/>
    <w:rsid w:val="41D45142"/>
    <w:rsid w:val="41DE1228"/>
    <w:rsid w:val="422F3D53"/>
    <w:rsid w:val="423B61C1"/>
    <w:rsid w:val="42470035"/>
    <w:rsid w:val="42473BEF"/>
    <w:rsid w:val="42536761"/>
    <w:rsid w:val="42717381"/>
    <w:rsid w:val="427E1D94"/>
    <w:rsid w:val="42A740BE"/>
    <w:rsid w:val="42BA3560"/>
    <w:rsid w:val="42BE5E41"/>
    <w:rsid w:val="42D32EFF"/>
    <w:rsid w:val="42DA27FA"/>
    <w:rsid w:val="42F07B1C"/>
    <w:rsid w:val="42F95E7F"/>
    <w:rsid w:val="42FA7826"/>
    <w:rsid w:val="431C6203"/>
    <w:rsid w:val="437265BF"/>
    <w:rsid w:val="439A429F"/>
    <w:rsid w:val="43B66C17"/>
    <w:rsid w:val="43E53A59"/>
    <w:rsid w:val="43F737EB"/>
    <w:rsid w:val="448E07C9"/>
    <w:rsid w:val="44971DA1"/>
    <w:rsid w:val="44A16353"/>
    <w:rsid w:val="44EC01B8"/>
    <w:rsid w:val="450523FA"/>
    <w:rsid w:val="45415AFD"/>
    <w:rsid w:val="45766A63"/>
    <w:rsid w:val="45C30F67"/>
    <w:rsid w:val="45D02213"/>
    <w:rsid w:val="45E00942"/>
    <w:rsid w:val="45E93CDE"/>
    <w:rsid w:val="45E93F38"/>
    <w:rsid w:val="45F33521"/>
    <w:rsid w:val="462A17F0"/>
    <w:rsid w:val="463043F1"/>
    <w:rsid w:val="46430050"/>
    <w:rsid w:val="466A2A77"/>
    <w:rsid w:val="468D18BD"/>
    <w:rsid w:val="46953DA7"/>
    <w:rsid w:val="46CC6CB5"/>
    <w:rsid w:val="46DA79D2"/>
    <w:rsid w:val="46F73288"/>
    <w:rsid w:val="47323CE2"/>
    <w:rsid w:val="47431938"/>
    <w:rsid w:val="47631408"/>
    <w:rsid w:val="476D0993"/>
    <w:rsid w:val="47743044"/>
    <w:rsid w:val="477A6D8E"/>
    <w:rsid w:val="477C4311"/>
    <w:rsid w:val="47986F5F"/>
    <w:rsid w:val="47990F3F"/>
    <w:rsid w:val="47BF4307"/>
    <w:rsid w:val="47D973B7"/>
    <w:rsid w:val="47DA1D98"/>
    <w:rsid w:val="47FE0B0C"/>
    <w:rsid w:val="48047CF8"/>
    <w:rsid w:val="482E6524"/>
    <w:rsid w:val="48354527"/>
    <w:rsid w:val="48533D30"/>
    <w:rsid w:val="485357A3"/>
    <w:rsid w:val="4870795B"/>
    <w:rsid w:val="48785C32"/>
    <w:rsid w:val="48887236"/>
    <w:rsid w:val="48903FA8"/>
    <w:rsid w:val="48AB34FC"/>
    <w:rsid w:val="48D827BF"/>
    <w:rsid w:val="48E259F0"/>
    <w:rsid w:val="48E810AD"/>
    <w:rsid w:val="48EE0CD4"/>
    <w:rsid w:val="49016C43"/>
    <w:rsid w:val="49074695"/>
    <w:rsid w:val="49093AF5"/>
    <w:rsid w:val="494219A8"/>
    <w:rsid w:val="494A28B8"/>
    <w:rsid w:val="494E0CF3"/>
    <w:rsid w:val="49680DE7"/>
    <w:rsid w:val="496F4A9A"/>
    <w:rsid w:val="49870062"/>
    <w:rsid w:val="49D62635"/>
    <w:rsid w:val="49E302B2"/>
    <w:rsid w:val="49F555CC"/>
    <w:rsid w:val="4A802C31"/>
    <w:rsid w:val="4A852E26"/>
    <w:rsid w:val="4AB618EA"/>
    <w:rsid w:val="4AEA131B"/>
    <w:rsid w:val="4AED530A"/>
    <w:rsid w:val="4AFC7904"/>
    <w:rsid w:val="4B1B0A89"/>
    <w:rsid w:val="4B403A29"/>
    <w:rsid w:val="4B5052C0"/>
    <w:rsid w:val="4B5B37EE"/>
    <w:rsid w:val="4B6F4749"/>
    <w:rsid w:val="4B9A7D7B"/>
    <w:rsid w:val="4BCE5607"/>
    <w:rsid w:val="4BE32C7A"/>
    <w:rsid w:val="4C232C38"/>
    <w:rsid w:val="4C251A00"/>
    <w:rsid w:val="4C3D4FC4"/>
    <w:rsid w:val="4C735DCF"/>
    <w:rsid w:val="4C96414F"/>
    <w:rsid w:val="4C974CB8"/>
    <w:rsid w:val="4CDF64EE"/>
    <w:rsid w:val="4CFD155C"/>
    <w:rsid w:val="4D376A6A"/>
    <w:rsid w:val="4D8B621A"/>
    <w:rsid w:val="4D90360B"/>
    <w:rsid w:val="4D95643E"/>
    <w:rsid w:val="4DAA2741"/>
    <w:rsid w:val="4DD67C46"/>
    <w:rsid w:val="4DDE28B1"/>
    <w:rsid w:val="4DE678C1"/>
    <w:rsid w:val="4E0F59E6"/>
    <w:rsid w:val="4E2426C7"/>
    <w:rsid w:val="4E2456B9"/>
    <w:rsid w:val="4E3D2149"/>
    <w:rsid w:val="4E640BF0"/>
    <w:rsid w:val="4E6B7454"/>
    <w:rsid w:val="4E8238FA"/>
    <w:rsid w:val="4EB93D2F"/>
    <w:rsid w:val="4EC13229"/>
    <w:rsid w:val="4EE46199"/>
    <w:rsid w:val="4F205756"/>
    <w:rsid w:val="4F3D7035"/>
    <w:rsid w:val="4F403E6D"/>
    <w:rsid w:val="4F513035"/>
    <w:rsid w:val="4F6E0FE5"/>
    <w:rsid w:val="4F9363F8"/>
    <w:rsid w:val="4F9B67F1"/>
    <w:rsid w:val="4FAB6DF8"/>
    <w:rsid w:val="4FFE6123"/>
    <w:rsid w:val="5013250F"/>
    <w:rsid w:val="503239EC"/>
    <w:rsid w:val="505D013E"/>
    <w:rsid w:val="507B56A0"/>
    <w:rsid w:val="508321AE"/>
    <w:rsid w:val="508A0696"/>
    <w:rsid w:val="50A75500"/>
    <w:rsid w:val="50C93B54"/>
    <w:rsid w:val="50E024C9"/>
    <w:rsid w:val="50F02329"/>
    <w:rsid w:val="512541D5"/>
    <w:rsid w:val="514D2EA3"/>
    <w:rsid w:val="51A54447"/>
    <w:rsid w:val="51A82F68"/>
    <w:rsid w:val="51BA53E6"/>
    <w:rsid w:val="51CB2893"/>
    <w:rsid w:val="52331B01"/>
    <w:rsid w:val="524F639C"/>
    <w:rsid w:val="524F7458"/>
    <w:rsid w:val="52534234"/>
    <w:rsid w:val="525B505F"/>
    <w:rsid w:val="525C525B"/>
    <w:rsid w:val="5267620E"/>
    <w:rsid w:val="528D1AAE"/>
    <w:rsid w:val="52B37557"/>
    <w:rsid w:val="52BD0422"/>
    <w:rsid w:val="52D17482"/>
    <w:rsid w:val="52E43991"/>
    <w:rsid w:val="52F92C62"/>
    <w:rsid w:val="530A0518"/>
    <w:rsid w:val="532929B0"/>
    <w:rsid w:val="53A05451"/>
    <w:rsid w:val="53C05FA4"/>
    <w:rsid w:val="53CF244D"/>
    <w:rsid w:val="540A5590"/>
    <w:rsid w:val="540C32DA"/>
    <w:rsid w:val="542169E3"/>
    <w:rsid w:val="54241F91"/>
    <w:rsid w:val="542C4345"/>
    <w:rsid w:val="54332365"/>
    <w:rsid w:val="54485B35"/>
    <w:rsid w:val="5479646E"/>
    <w:rsid w:val="54824E2D"/>
    <w:rsid w:val="54A26A01"/>
    <w:rsid w:val="54BA2082"/>
    <w:rsid w:val="54CC7D8C"/>
    <w:rsid w:val="54EA2A5B"/>
    <w:rsid w:val="554672C5"/>
    <w:rsid w:val="55FD42D6"/>
    <w:rsid w:val="560478C9"/>
    <w:rsid w:val="56184A5C"/>
    <w:rsid w:val="56415254"/>
    <w:rsid w:val="5662532D"/>
    <w:rsid w:val="567A2966"/>
    <w:rsid w:val="56D51CB8"/>
    <w:rsid w:val="56F022BF"/>
    <w:rsid w:val="56F57F0C"/>
    <w:rsid w:val="56FB56CE"/>
    <w:rsid w:val="56FD6023"/>
    <w:rsid w:val="57054C16"/>
    <w:rsid w:val="5749230E"/>
    <w:rsid w:val="5784682E"/>
    <w:rsid w:val="57AC6F38"/>
    <w:rsid w:val="57D0553D"/>
    <w:rsid w:val="57D9450B"/>
    <w:rsid w:val="57DA388B"/>
    <w:rsid w:val="57E277F7"/>
    <w:rsid w:val="57E84847"/>
    <w:rsid w:val="57F27AD5"/>
    <w:rsid w:val="582E0E2B"/>
    <w:rsid w:val="584C43C9"/>
    <w:rsid w:val="585E2370"/>
    <w:rsid w:val="58606914"/>
    <w:rsid w:val="586D01DF"/>
    <w:rsid w:val="58C8078F"/>
    <w:rsid w:val="58C92FC5"/>
    <w:rsid w:val="58D14B9D"/>
    <w:rsid w:val="5931287A"/>
    <w:rsid w:val="59343D61"/>
    <w:rsid w:val="593B0FAE"/>
    <w:rsid w:val="59633DAE"/>
    <w:rsid w:val="596D7A74"/>
    <w:rsid w:val="59826A1F"/>
    <w:rsid w:val="59AF7071"/>
    <w:rsid w:val="59C44EE4"/>
    <w:rsid w:val="5A3E2CEC"/>
    <w:rsid w:val="5A426D37"/>
    <w:rsid w:val="5A5653EE"/>
    <w:rsid w:val="5A726410"/>
    <w:rsid w:val="5A7F70E1"/>
    <w:rsid w:val="5AAC49ED"/>
    <w:rsid w:val="5AB73A36"/>
    <w:rsid w:val="5B24515C"/>
    <w:rsid w:val="5B4104C3"/>
    <w:rsid w:val="5B506403"/>
    <w:rsid w:val="5B6B673F"/>
    <w:rsid w:val="5B6D086E"/>
    <w:rsid w:val="5B984D51"/>
    <w:rsid w:val="5BA84DA7"/>
    <w:rsid w:val="5BAA6DC2"/>
    <w:rsid w:val="5BCF20DB"/>
    <w:rsid w:val="5BDA1AFE"/>
    <w:rsid w:val="5BF86BBE"/>
    <w:rsid w:val="5C034600"/>
    <w:rsid w:val="5C055F20"/>
    <w:rsid w:val="5C111212"/>
    <w:rsid w:val="5C1444F0"/>
    <w:rsid w:val="5C237CF4"/>
    <w:rsid w:val="5C652DEB"/>
    <w:rsid w:val="5C7346D2"/>
    <w:rsid w:val="5C761CB7"/>
    <w:rsid w:val="5C9F005F"/>
    <w:rsid w:val="5CCB3490"/>
    <w:rsid w:val="5CD66C73"/>
    <w:rsid w:val="5CED04DE"/>
    <w:rsid w:val="5CF25100"/>
    <w:rsid w:val="5CFD323D"/>
    <w:rsid w:val="5D7E599A"/>
    <w:rsid w:val="5DAF665D"/>
    <w:rsid w:val="5DC22170"/>
    <w:rsid w:val="5E77294D"/>
    <w:rsid w:val="5E8A3E7E"/>
    <w:rsid w:val="5EC42DFD"/>
    <w:rsid w:val="5EF21EA7"/>
    <w:rsid w:val="5F10541D"/>
    <w:rsid w:val="5F294C8E"/>
    <w:rsid w:val="5F381A7B"/>
    <w:rsid w:val="5F4014B7"/>
    <w:rsid w:val="5F42657D"/>
    <w:rsid w:val="5F5E1273"/>
    <w:rsid w:val="5F5F53BC"/>
    <w:rsid w:val="5FB05CAE"/>
    <w:rsid w:val="5FC17B57"/>
    <w:rsid w:val="5FE568DD"/>
    <w:rsid w:val="5FF5085D"/>
    <w:rsid w:val="60060393"/>
    <w:rsid w:val="60256E18"/>
    <w:rsid w:val="602B2C56"/>
    <w:rsid w:val="60557C1B"/>
    <w:rsid w:val="607A1279"/>
    <w:rsid w:val="607E7FEC"/>
    <w:rsid w:val="60894155"/>
    <w:rsid w:val="608D2745"/>
    <w:rsid w:val="609F5D47"/>
    <w:rsid w:val="60A800CB"/>
    <w:rsid w:val="60AD04D9"/>
    <w:rsid w:val="60D33CFA"/>
    <w:rsid w:val="60E977C5"/>
    <w:rsid w:val="60EA0F5F"/>
    <w:rsid w:val="60ED327E"/>
    <w:rsid w:val="6102168E"/>
    <w:rsid w:val="61071104"/>
    <w:rsid w:val="611966EA"/>
    <w:rsid w:val="614228AE"/>
    <w:rsid w:val="61533A4A"/>
    <w:rsid w:val="619E07AB"/>
    <w:rsid w:val="619F593E"/>
    <w:rsid w:val="61BE13B4"/>
    <w:rsid w:val="61C9166A"/>
    <w:rsid w:val="61CB49EC"/>
    <w:rsid w:val="62050A73"/>
    <w:rsid w:val="621959E5"/>
    <w:rsid w:val="62464378"/>
    <w:rsid w:val="62687AED"/>
    <w:rsid w:val="629C10FE"/>
    <w:rsid w:val="62A65A20"/>
    <w:rsid w:val="62B665B6"/>
    <w:rsid w:val="62C7055D"/>
    <w:rsid w:val="62CF416E"/>
    <w:rsid w:val="62D673CD"/>
    <w:rsid w:val="62EE3CBD"/>
    <w:rsid w:val="62F44961"/>
    <w:rsid w:val="636130D9"/>
    <w:rsid w:val="63A431CB"/>
    <w:rsid w:val="63AA64B5"/>
    <w:rsid w:val="63AB1792"/>
    <w:rsid w:val="63B70EB4"/>
    <w:rsid w:val="63D76001"/>
    <w:rsid w:val="63E51964"/>
    <w:rsid w:val="640D5730"/>
    <w:rsid w:val="64154087"/>
    <w:rsid w:val="643A3FAF"/>
    <w:rsid w:val="643D29F0"/>
    <w:rsid w:val="644154F0"/>
    <w:rsid w:val="649A08B0"/>
    <w:rsid w:val="64A26277"/>
    <w:rsid w:val="64E11B75"/>
    <w:rsid w:val="64F00197"/>
    <w:rsid w:val="650D3F6B"/>
    <w:rsid w:val="65353008"/>
    <w:rsid w:val="65374B92"/>
    <w:rsid w:val="653D665D"/>
    <w:rsid w:val="654503F2"/>
    <w:rsid w:val="655168C0"/>
    <w:rsid w:val="65633877"/>
    <w:rsid w:val="65894293"/>
    <w:rsid w:val="65A11520"/>
    <w:rsid w:val="65C818FB"/>
    <w:rsid w:val="65E968E4"/>
    <w:rsid w:val="660329A3"/>
    <w:rsid w:val="661506A5"/>
    <w:rsid w:val="661A13AC"/>
    <w:rsid w:val="661B0A65"/>
    <w:rsid w:val="662053EF"/>
    <w:rsid w:val="66273583"/>
    <w:rsid w:val="662E4254"/>
    <w:rsid w:val="664A41D3"/>
    <w:rsid w:val="665804EC"/>
    <w:rsid w:val="668C1B4C"/>
    <w:rsid w:val="668E5B1C"/>
    <w:rsid w:val="66994753"/>
    <w:rsid w:val="66A64938"/>
    <w:rsid w:val="66F56065"/>
    <w:rsid w:val="66F93EDA"/>
    <w:rsid w:val="67007B9E"/>
    <w:rsid w:val="67024444"/>
    <w:rsid w:val="670A7175"/>
    <w:rsid w:val="6725653D"/>
    <w:rsid w:val="672946C1"/>
    <w:rsid w:val="67297732"/>
    <w:rsid w:val="6749683D"/>
    <w:rsid w:val="67532EF8"/>
    <w:rsid w:val="676D4B89"/>
    <w:rsid w:val="67AA46C6"/>
    <w:rsid w:val="67B53481"/>
    <w:rsid w:val="67DE642F"/>
    <w:rsid w:val="67F35DF6"/>
    <w:rsid w:val="67FC4842"/>
    <w:rsid w:val="68073E92"/>
    <w:rsid w:val="68171DEC"/>
    <w:rsid w:val="687D794A"/>
    <w:rsid w:val="68806BA4"/>
    <w:rsid w:val="689A28D5"/>
    <w:rsid w:val="68D2260E"/>
    <w:rsid w:val="68DC1570"/>
    <w:rsid w:val="690879D4"/>
    <w:rsid w:val="69156453"/>
    <w:rsid w:val="694E2B48"/>
    <w:rsid w:val="69683DCF"/>
    <w:rsid w:val="699D1E24"/>
    <w:rsid w:val="69A9667C"/>
    <w:rsid w:val="69B665A4"/>
    <w:rsid w:val="69B8252C"/>
    <w:rsid w:val="69D67AEA"/>
    <w:rsid w:val="69DA0B81"/>
    <w:rsid w:val="69EB2C2E"/>
    <w:rsid w:val="69EC58D4"/>
    <w:rsid w:val="6A166A7D"/>
    <w:rsid w:val="6A2F33AA"/>
    <w:rsid w:val="6A6430C8"/>
    <w:rsid w:val="6A664E33"/>
    <w:rsid w:val="6AD124DD"/>
    <w:rsid w:val="6AD66C68"/>
    <w:rsid w:val="6ADA17A9"/>
    <w:rsid w:val="6AEB7F0A"/>
    <w:rsid w:val="6AFC3C67"/>
    <w:rsid w:val="6B122757"/>
    <w:rsid w:val="6B1612E9"/>
    <w:rsid w:val="6B5D046D"/>
    <w:rsid w:val="6B8F707D"/>
    <w:rsid w:val="6BEB6EAD"/>
    <w:rsid w:val="6BF97200"/>
    <w:rsid w:val="6BFB4C62"/>
    <w:rsid w:val="6C25454E"/>
    <w:rsid w:val="6C31321C"/>
    <w:rsid w:val="6C6355FB"/>
    <w:rsid w:val="6C853518"/>
    <w:rsid w:val="6C877F84"/>
    <w:rsid w:val="6CEE3045"/>
    <w:rsid w:val="6CF65D1C"/>
    <w:rsid w:val="6CFF5B8B"/>
    <w:rsid w:val="6D1A6425"/>
    <w:rsid w:val="6D38056F"/>
    <w:rsid w:val="6D863A6B"/>
    <w:rsid w:val="6D8A347F"/>
    <w:rsid w:val="6D8F7C98"/>
    <w:rsid w:val="6DF00AF1"/>
    <w:rsid w:val="6DF26780"/>
    <w:rsid w:val="6DF568E4"/>
    <w:rsid w:val="6DFD0952"/>
    <w:rsid w:val="6E372795"/>
    <w:rsid w:val="6E590A35"/>
    <w:rsid w:val="6E5F5AD2"/>
    <w:rsid w:val="6E6005BE"/>
    <w:rsid w:val="6E720135"/>
    <w:rsid w:val="6E8B7486"/>
    <w:rsid w:val="6EA1011B"/>
    <w:rsid w:val="6EA90946"/>
    <w:rsid w:val="6EB61EBC"/>
    <w:rsid w:val="6EDB3AC5"/>
    <w:rsid w:val="6EE8633A"/>
    <w:rsid w:val="6F031A36"/>
    <w:rsid w:val="6F290FF2"/>
    <w:rsid w:val="6F307579"/>
    <w:rsid w:val="6F595A35"/>
    <w:rsid w:val="6FC46A94"/>
    <w:rsid w:val="6FCD41E6"/>
    <w:rsid w:val="70063A6A"/>
    <w:rsid w:val="702622E9"/>
    <w:rsid w:val="702A082E"/>
    <w:rsid w:val="702A1568"/>
    <w:rsid w:val="702C47D6"/>
    <w:rsid w:val="705D1CD9"/>
    <w:rsid w:val="70603970"/>
    <w:rsid w:val="70636DF3"/>
    <w:rsid w:val="709A5041"/>
    <w:rsid w:val="70BA35D8"/>
    <w:rsid w:val="70C20042"/>
    <w:rsid w:val="70DE78D3"/>
    <w:rsid w:val="70E93536"/>
    <w:rsid w:val="71043C71"/>
    <w:rsid w:val="71223ED3"/>
    <w:rsid w:val="71521B04"/>
    <w:rsid w:val="71527E79"/>
    <w:rsid w:val="71587B0A"/>
    <w:rsid w:val="718A25A5"/>
    <w:rsid w:val="718B38BE"/>
    <w:rsid w:val="71A5081D"/>
    <w:rsid w:val="71B21D4D"/>
    <w:rsid w:val="71C51F33"/>
    <w:rsid w:val="71D81758"/>
    <w:rsid w:val="71F55430"/>
    <w:rsid w:val="71F749DD"/>
    <w:rsid w:val="72002163"/>
    <w:rsid w:val="722803D2"/>
    <w:rsid w:val="722E4E23"/>
    <w:rsid w:val="72311C0F"/>
    <w:rsid w:val="723A34E7"/>
    <w:rsid w:val="727D5491"/>
    <w:rsid w:val="72A126CC"/>
    <w:rsid w:val="72A35D04"/>
    <w:rsid w:val="72B40BCE"/>
    <w:rsid w:val="72B558BE"/>
    <w:rsid w:val="72C66920"/>
    <w:rsid w:val="72F4352E"/>
    <w:rsid w:val="730939C7"/>
    <w:rsid w:val="73755939"/>
    <w:rsid w:val="73777363"/>
    <w:rsid w:val="73A13F8B"/>
    <w:rsid w:val="73AE04C3"/>
    <w:rsid w:val="73E45ED9"/>
    <w:rsid w:val="73EE158A"/>
    <w:rsid w:val="740F4924"/>
    <w:rsid w:val="74176B25"/>
    <w:rsid w:val="74222135"/>
    <w:rsid w:val="743D591A"/>
    <w:rsid w:val="744050C4"/>
    <w:rsid w:val="74B13D77"/>
    <w:rsid w:val="74CE1490"/>
    <w:rsid w:val="74DB448B"/>
    <w:rsid w:val="74E225F0"/>
    <w:rsid w:val="74FE3124"/>
    <w:rsid w:val="7525294A"/>
    <w:rsid w:val="753A77D4"/>
    <w:rsid w:val="756110C1"/>
    <w:rsid w:val="75727E0D"/>
    <w:rsid w:val="75C54492"/>
    <w:rsid w:val="75C80E29"/>
    <w:rsid w:val="75CE0E8F"/>
    <w:rsid w:val="75DD2BA2"/>
    <w:rsid w:val="75E81C02"/>
    <w:rsid w:val="75FF463E"/>
    <w:rsid w:val="763C100C"/>
    <w:rsid w:val="76606386"/>
    <w:rsid w:val="76751F92"/>
    <w:rsid w:val="767A6971"/>
    <w:rsid w:val="76B07BC9"/>
    <w:rsid w:val="76DD5F84"/>
    <w:rsid w:val="76E964E4"/>
    <w:rsid w:val="76EE388A"/>
    <w:rsid w:val="76F96202"/>
    <w:rsid w:val="775955F9"/>
    <w:rsid w:val="775A1179"/>
    <w:rsid w:val="77D53C83"/>
    <w:rsid w:val="77DA5F2A"/>
    <w:rsid w:val="78077AA1"/>
    <w:rsid w:val="780A05BF"/>
    <w:rsid w:val="781B1E31"/>
    <w:rsid w:val="78317FCA"/>
    <w:rsid w:val="78435669"/>
    <w:rsid w:val="78763A28"/>
    <w:rsid w:val="78A12986"/>
    <w:rsid w:val="78E822D2"/>
    <w:rsid w:val="790723BF"/>
    <w:rsid w:val="790F7A12"/>
    <w:rsid w:val="79197096"/>
    <w:rsid w:val="791C43FD"/>
    <w:rsid w:val="79546E7B"/>
    <w:rsid w:val="79574125"/>
    <w:rsid w:val="796D029C"/>
    <w:rsid w:val="79C51CDB"/>
    <w:rsid w:val="79D675A2"/>
    <w:rsid w:val="79D9626B"/>
    <w:rsid w:val="79DE652D"/>
    <w:rsid w:val="79F71156"/>
    <w:rsid w:val="7A16750B"/>
    <w:rsid w:val="7A4F2CB8"/>
    <w:rsid w:val="7A5228CC"/>
    <w:rsid w:val="7A526FA4"/>
    <w:rsid w:val="7A6F7DCB"/>
    <w:rsid w:val="7A8E5B94"/>
    <w:rsid w:val="7A977733"/>
    <w:rsid w:val="7A9B43B9"/>
    <w:rsid w:val="7AA441C7"/>
    <w:rsid w:val="7ABF429C"/>
    <w:rsid w:val="7AD9336F"/>
    <w:rsid w:val="7B065858"/>
    <w:rsid w:val="7B851C84"/>
    <w:rsid w:val="7BC1099D"/>
    <w:rsid w:val="7BD80E6D"/>
    <w:rsid w:val="7BFC6C3D"/>
    <w:rsid w:val="7C0F0C5A"/>
    <w:rsid w:val="7C0F7323"/>
    <w:rsid w:val="7C211E5E"/>
    <w:rsid w:val="7C2C531A"/>
    <w:rsid w:val="7C5B51EA"/>
    <w:rsid w:val="7C5C4F5D"/>
    <w:rsid w:val="7CFE2893"/>
    <w:rsid w:val="7D0F00BC"/>
    <w:rsid w:val="7D23762A"/>
    <w:rsid w:val="7D341A79"/>
    <w:rsid w:val="7D692A8E"/>
    <w:rsid w:val="7D832E9A"/>
    <w:rsid w:val="7D8F1CF9"/>
    <w:rsid w:val="7DAC16B0"/>
    <w:rsid w:val="7DD6705F"/>
    <w:rsid w:val="7DEF3012"/>
    <w:rsid w:val="7E306020"/>
    <w:rsid w:val="7E6C56F0"/>
    <w:rsid w:val="7E811E93"/>
    <w:rsid w:val="7E97570C"/>
    <w:rsid w:val="7EAD56F7"/>
    <w:rsid w:val="7EE228B6"/>
    <w:rsid w:val="7EE72AAB"/>
    <w:rsid w:val="7EFD61DC"/>
    <w:rsid w:val="7F227548"/>
    <w:rsid w:val="7F431663"/>
    <w:rsid w:val="7F702B0F"/>
    <w:rsid w:val="7FDE44A6"/>
    <w:rsid w:val="7FEC49D6"/>
    <w:rsid w:val="7FED0EF1"/>
    <w:rsid w:val="7FFB17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ascii="Calibri" w:hAnsi="Calibri"/>
      <w:b/>
      <w:bCs/>
      <w:kern w:val="44"/>
      <w:sz w:val="24"/>
      <w:szCs w:val="44"/>
    </w:rPr>
  </w:style>
  <w:style w:type="paragraph" w:styleId="5">
    <w:name w:val="heading 2"/>
    <w:basedOn w:val="1"/>
    <w:next w:val="1"/>
    <w:link w:val="29"/>
    <w:qFormat/>
    <w:uiPriority w:val="0"/>
    <w:pPr>
      <w:keepNext/>
      <w:keepLines/>
      <w:ind w:firstLine="0" w:firstLineChars="0"/>
      <w:outlineLvl w:val="1"/>
    </w:pPr>
    <w:rPr>
      <w:rFonts w:ascii="Cambria" w:hAnsi="Cambria"/>
      <w:b/>
      <w:bCs/>
      <w:szCs w:val="32"/>
    </w:rPr>
  </w:style>
  <w:style w:type="paragraph" w:styleId="6">
    <w:name w:val="heading 3"/>
    <w:basedOn w:val="1"/>
    <w:next w:val="1"/>
    <w:link w:val="30"/>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1"/>
    <w:qFormat/>
    <w:uiPriority w:val="99"/>
    <w:pPr>
      <w:keepNext/>
      <w:keepLines/>
      <w:outlineLvl w:val="3"/>
    </w:pPr>
    <w:rPr>
      <w:rFonts w:ascii="Cambria" w:hAnsi="Cambria"/>
      <w:b/>
      <w:bCs/>
      <w:szCs w:val="28"/>
    </w:rPr>
  </w:style>
  <w:style w:type="character" w:default="1" w:styleId="21">
    <w:name w:val="Default Paragraph Font"/>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6"/>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annotation subject"/>
    <w:basedOn w:val="9"/>
    <w:next w:val="9"/>
    <w:link w:val="45"/>
    <w:qFormat/>
    <w:locked/>
    <w:uiPriority w:val="0"/>
    <w:rPr>
      <w:rFonts w:asciiTheme="minorHAnsi" w:hAnsiTheme="minorHAnsi" w:eastAsiaTheme="minorEastAsia" w:cstheme="minorBidi"/>
      <w:b/>
      <w:bCs/>
    </w:rPr>
  </w:style>
  <w:style w:type="paragraph" w:styleId="9">
    <w:name w:val="annotation text"/>
    <w:basedOn w:val="1"/>
    <w:link w:val="32"/>
    <w:qFormat/>
    <w:uiPriority w:val="0"/>
    <w:pPr>
      <w:spacing w:line="240" w:lineRule="auto"/>
      <w:ind w:firstLine="0" w:firstLineChars="0"/>
      <w:jc w:val="left"/>
    </w:pPr>
  </w:style>
  <w:style w:type="paragraph" w:styleId="10">
    <w:name w:val="Normal Indent"/>
    <w:basedOn w:val="1"/>
    <w:qFormat/>
    <w:locked/>
    <w:uiPriority w:val="0"/>
    <w:pPr>
      <w:ind w:firstLine="420"/>
    </w:pPr>
    <w:rPr>
      <w:sz w:val="30"/>
      <w:szCs w:val="30"/>
    </w:rPr>
  </w:style>
  <w:style w:type="paragraph" w:styleId="11">
    <w:name w:val="Document Map"/>
    <w:basedOn w:val="1"/>
    <w:link w:val="40"/>
    <w:semiHidden/>
    <w:qFormat/>
    <w:uiPriority w:val="99"/>
    <w:pPr>
      <w:shd w:val="clear" w:color="auto" w:fill="000080"/>
    </w:pPr>
  </w:style>
  <w:style w:type="paragraph" w:styleId="12">
    <w:name w:val="Body Text Indent"/>
    <w:basedOn w:val="1"/>
    <w:link w:val="42"/>
    <w:unhideWhenUsed/>
    <w:qFormat/>
    <w:locked/>
    <w:uiPriority w:val="0"/>
    <w:pPr>
      <w:spacing w:after="120"/>
      <w:ind w:left="420" w:leftChars="200"/>
    </w:pPr>
  </w:style>
  <w:style w:type="paragraph" w:styleId="13">
    <w:name w:val="Plain Text"/>
    <w:basedOn w:val="1"/>
    <w:link w:val="33"/>
    <w:qFormat/>
    <w:uiPriority w:val="0"/>
    <w:pPr>
      <w:spacing w:line="240" w:lineRule="auto"/>
      <w:ind w:firstLine="0" w:firstLineChars="0"/>
    </w:pPr>
    <w:rPr>
      <w:rFonts w:ascii="宋体" w:hAnsi="Courier New"/>
      <w:szCs w:val="20"/>
    </w:rPr>
  </w:style>
  <w:style w:type="paragraph" w:styleId="14">
    <w:name w:val="Balloon Text"/>
    <w:basedOn w:val="1"/>
    <w:link w:val="39"/>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pPr>
      <w:tabs>
        <w:tab w:val="right" w:leader="dot" w:pos="8296"/>
      </w:tabs>
      <w:ind w:firstLine="0" w:firstLineChars="0"/>
    </w:pPr>
  </w:style>
  <w:style w:type="paragraph" w:styleId="18">
    <w:name w:val="Subtitle"/>
    <w:basedOn w:val="1"/>
    <w:next w:val="1"/>
    <w:link w:val="44"/>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9">
    <w:name w:val="toc 2"/>
    <w:basedOn w:val="1"/>
    <w:next w:val="1"/>
    <w:qFormat/>
    <w:uiPriority w:val="39"/>
    <w:pPr>
      <w:tabs>
        <w:tab w:val="right" w:leader="dot" w:pos="8296"/>
      </w:tabs>
      <w:ind w:left="420" w:leftChars="200" w:firstLine="0" w:firstLineChars="0"/>
    </w:pPr>
  </w:style>
  <w:style w:type="paragraph" w:styleId="20">
    <w:name w:val="HTML Preformatted"/>
    <w:basedOn w:val="1"/>
    <w:link w:val="46"/>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character" w:styleId="22">
    <w:name w:val="Strong"/>
    <w:basedOn w:val="21"/>
    <w:qFormat/>
    <w:uiPriority w:val="99"/>
    <w:rPr>
      <w:rFonts w:cs="Times New Roman"/>
      <w:b/>
    </w:rPr>
  </w:style>
  <w:style w:type="character" w:styleId="23">
    <w:name w:val="page number"/>
    <w:qFormat/>
    <w:locked/>
    <w:uiPriority w:val="0"/>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0"/>
    <w:rPr>
      <w:rFonts w:cs="Times New Roman"/>
      <w:sz w:val="21"/>
    </w:rPr>
  </w:style>
  <w:style w:type="table" w:styleId="27">
    <w:name w:val="Table Grid"/>
    <w:basedOn w:val="2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21"/>
    <w:link w:val="4"/>
    <w:qFormat/>
    <w:locked/>
    <w:uiPriority w:val="0"/>
    <w:rPr>
      <w:rFonts w:cs="Times New Roman"/>
      <w:b/>
      <w:kern w:val="44"/>
      <w:sz w:val="44"/>
    </w:rPr>
  </w:style>
  <w:style w:type="character" w:customStyle="1" w:styleId="29">
    <w:name w:val="标题 2 Char"/>
    <w:basedOn w:val="21"/>
    <w:link w:val="5"/>
    <w:qFormat/>
    <w:locked/>
    <w:uiPriority w:val="0"/>
    <w:rPr>
      <w:rFonts w:ascii="Cambria" w:hAnsi="Cambria" w:eastAsia="宋体" w:cs="Times New Roman"/>
      <w:b/>
      <w:bCs/>
      <w:sz w:val="32"/>
      <w:szCs w:val="32"/>
    </w:rPr>
  </w:style>
  <w:style w:type="character" w:customStyle="1" w:styleId="30">
    <w:name w:val="标题 3 Char"/>
    <w:basedOn w:val="21"/>
    <w:link w:val="6"/>
    <w:qFormat/>
    <w:locked/>
    <w:uiPriority w:val="0"/>
    <w:rPr>
      <w:rFonts w:cs="宋体" w:asciiTheme="minorEastAsia" w:hAnsiTheme="minorEastAsia" w:eastAsiaTheme="minorEastAsia"/>
      <w:b/>
      <w:sz w:val="21"/>
      <w:szCs w:val="32"/>
    </w:rPr>
  </w:style>
  <w:style w:type="character" w:customStyle="1" w:styleId="31">
    <w:name w:val="标题 4 Char"/>
    <w:basedOn w:val="21"/>
    <w:link w:val="7"/>
    <w:semiHidden/>
    <w:qFormat/>
    <w:locked/>
    <w:uiPriority w:val="99"/>
    <w:rPr>
      <w:rFonts w:ascii="Cambria" w:hAnsi="Cambria" w:eastAsia="宋体" w:cs="Times New Roman"/>
      <w:b/>
      <w:bCs/>
      <w:sz w:val="28"/>
      <w:szCs w:val="28"/>
    </w:rPr>
  </w:style>
  <w:style w:type="character" w:customStyle="1" w:styleId="32">
    <w:name w:val="批注文字 Char"/>
    <w:basedOn w:val="21"/>
    <w:link w:val="9"/>
    <w:qFormat/>
    <w:locked/>
    <w:uiPriority w:val="0"/>
    <w:rPr>
      <w:rFonts w:ascii="Times New Roman" w:hAnsi="Times New Roman" w:cs="Times New Roman"/>
      <w:sz w:val="24"/>
      <w:szCs w:val="24"/>
    </w:rPr>
  </w:style>
  <w:style w:type="character" w:customStyle="1" w:styleId="33">
    <w:name w:val="纯文本 Char"/>
    <w:basedOn w:val="21"/>
    <w:link w:val="13"/>
    <w:qFormat/>
    <w:locked/>
    <w:uiPriority w:val="0"/>
    <w:rPr>
      <w:rFonts w:ascii="宋体" w:hAnsi="Courier New" w:cs="Courier New"/>
      <w:sz w:val="21"/>
      <w:szCs w:val="21"/>
    </w:rPr>
  </w:style>
  <w:style w:type="character" w:customStyle="1" w:styleId="34">
    <w:name w:val="页脚 Char"/>
    <w:basedOn w:val="21"/>
    <w:link w:val="15"/>
    <w:qFormat/>
    <w:locked/>
    <w:uiPriority w:val="99"/>
    <w:rPr>
      <w:rFonts w:ascii="Times New Roman" w:hAnsi="Times New Roman" w:cs="Times New Roman"/>
      <w:sz w:val="18"/>
      <w:szCs w:val="18"/>
    </w:rPr>
  </w:style>
  <w:style w:type="character" w:customStyle="1" w:styleId="35">
    <w:name w:val="页眉 Char"/>
    <w:basedOn w:val="21"/>
    <w:link w:val="16"/>
    <w:qFormat/>
    <w:locked/>
    <w:uiPriority w:val="99"/>
    <w:rPr>
      <w:rFonts w:ascii="Times New Roman" w:hAnsi="Times New Roman" w:cs="Times New Roman"/>
      <w:sz w:val="18"/>
      <w:szCs w:val="18"/>
    </w:rPr>
  </w:style>
  <w:style w:type="paragraph" w:customStyle="1" w:styleId="36">
    <w:name w:val="TOC 标题1"/>
    <w:basedOn w:val="5"/>
    <w:next w:val="1"/>
    <w:qFormat/>
    <w:uiPriority w:val="99"/>
    <w:pPr>
      <w:widowControl/>
      <w:spacing w:line="240" w:lineRule="auto"/>
      <w:jc w:val="left"/>
      <w:outlineLvl w:val="9"/>
    </w:pPr>
    <w:rPr>
      <w:kern w:val="0"/>
      <w:szCs w:val="28"/>
    </w:rPr>
  </w:style>
  <w:style w:type="paragraph" w:styleId="37">
    <w:name w:val="No Spacing"/>
    <w:link w:val="57"/>
    <w:qFormat/>
    <w:uiPriority w:val="1"/>
    <w:pPr>
      <w:widowControl w:val="0"/>
      <w:jc w:val="both"/>
    </w:pPr>
    <w:rPr>
      <w:rFonts w:ascii="Calibri" w:hAnsi="Calibri" w:eastAsia="宋体" w:cs="Calibri"/>
      <w:kern w:val="2"/>
      <w:sz w:val="21"/>
      <w:szCs w:val="22"/>
      <w:lang w:val="en-US" w:eastAsia="zh-CN" w:bidi="ar-SA"/>
    </w:rPr>
  </w:style>
  <w:style w:type="paragraph" w:customStyle="1" w:styleId="38">
    <w:name w:val="Char"/>
    <w:basedOn w:val="1"/>
    <w:qFormat/>
    <w:uiPriority w:val="99"/>
    <w:pPr>
      <w:spacing w:line="240" w:lineRule="auto"/>
      <w:ind w:firstLine="0" w:firstLineChars="0"/>
    </w:pPr>
    <w:rPr>
      <w:rFonts w:ascii="仿宋_GB2312" w:eastAsia="仿宋_GB2312"/>
      <w:b/>
      <w:sz w:val="32"/>
      <w:szCs w:val="32"/>
    </w:rPr>
  </w:style>
  <w:style w:type="character" w:customStyle="1" w:styleId="39">
    <w:name w:val="批注框文本 Char"/>
    <w:basedOn w:val="21"/>
    <w:link w:val="14"/>
    <w:qFormat/>
    <w:locked/>
    <w:uiPriority w:val="0"/>
    <w:rPr>
      <w:rFonts w:ascii="Times New Roman" w:hAnsi="Times New Roman" w:cs="Times New Roman"/>
      <w:sz w:val="2"/>
    </w:rPr>
  </w:style>
  <w:style w:type="character" w:customStyle="1" w:styleId="40">
    <w:name w:val="文档结构图 Char"/>
    <w:basedOn w:val="21"/>
    <w:link w:val="11"/>
    <w:semiHidden/>
    <w:qFormat/>
    <w:locked/>
    <w:uiPriority w:val="99"/>
    <w:rPr>
      <w:rFonts w:ascii="Times New Roman" w:hAnsi="Times New Roman" w:cs="Times New Roman"/>
      <w:sz w:val="2"/>
    </w:rPr>
  </w:style>
  <w:style w:type="paragraph" w:customStyle="1" w:styleId="41">
    <w:name w:val="标题3"/>
    <w:basedOn w:val="6"/>
    <w:qFormat/>
    <w:uiPriority w:val="0"/>
  </w:style>
  <w:style w:type="character" w:customStyle="1" w:styleId="42">
    <w:name w:val="正文文本缩进 Char"/>
    <w:basedOn w:val="21"/>
    <w:link w:val="12"/>
    <w:qFormat/>
    <w:uiPriority w:val="0"/>
    <w:rPr>
      <w:rFonts w:ascii="Times New Roman" w:hAnsi="Times New Roman" w:eastAsia="宋体" w:cs="Times New Roman"/>
      <w:kern w:val="2"/>
      <w:sz w:val="21"/>
      <w:szCs w:val="24"/>
    </w:rPr>
  </w:style>
  <w:style w:type="paragraph" w:customStyle="1" w:styleId="43">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4">
    <w:name w:val="副标题 Char"/>
    <w:link w:val="18"/>
    <w:qFormat/>
    <w:uiPriority w:val="0"/>
    <w:rPr>
      <w:rFonts w:ascii="等线 Light" w:hAnsi="等线 Light" w:cs="Times New Roman"/>
      <w:b/>
      <w:bCs/>
      <w:kern w:val="28"/>
      <w:sz w:val="32"/>
      <w:szCs w:val="32"/>
    </w:rPr>
  </w:style>
  <w:style w:type="character" w:customStyle="1" w:styleId="45">
    <w:name w:val="批注主题 Char"/>
    <w:link w:val="8"/>
    <w:qFormat/>
    <w:uiPriority w:val="0"/>
    <w:rPr>
      <w:b/>
      <w:bCs/>
      <w:kern w:val="2"/>
      <w:sz w:val="21"/>
      <w:szCs w:val="24"/>
    </w:rPr>
  </w:style>
  <w:style w:type="character" w:customStyle="1" w:styleId="46">
    <w:name w:val="HTML 预设格式 Char"/>
    <w:link w:val="20"/>
    <w:qFormat/>
    <w:uiPriority w:val="0"/>
    <w:rPr>
      <w:rFonts w:ascii="宋体" w:hAnsi="宋体" w:cs="宋体"/>
      <w:sz w:val="24"/>
      <w:szCs w:val="24"/>
    </w:rPr>
  </w:style>
  <w:style w:type="character" w:customStyle="1" w:styleId="47">
    <w:name w:val="批注主题 字符1"/>
    <w:basedOn w:val="32"/>
    <w:semiHidden/>
    <w:qFormat/>
    <w:uiPriority w:val="99"/>
    <w:rPr>
      <w:rFonts w:ascii="Times New Roman" w:hAnsi="Times New Roman" w:eastAsia="宋体" w:cs="Times New Roman"/>
      <w:b/>
      <w:bCs/>
      <w:kern w:val="2"/>
      <w:sz w:val="21"/>
      <w:szCs w:val="24"/>
    </w:rPr>
  </w:style>
  <w:style w:type="character" w:customStyle="1" w:styleId="48">
    <w:name w:val="副标题 字符1"/>
    <w:basedOn w:val="21"/>
    <w:qFormat/>
    <w:uiPriority w:val="11"/>
    <w:rPr>
      <w:b/>
      <w:bCs/>
      <w:kern w:val="28"/>
      <w:sz w:val="32"/>
      <w:szCs w:val="32"/>
    </w:rPr>
  </w:style>
  <w:style w:type="character" w:customStyle="1" w:styleId="49">
    <w:name w:val="HTML 预设格式 字符1"/>
    <w:basedOn w:val="21"/>
    <w:semiHidden/>
    <w:qFormat/>
    <w:uiPriority w:val="99"/>
    <w:rPr>
      <w:rFonts w:ascii="Courier New" w:hAnsi="Courier New" w:eastAsia="宋体" w:cs="Courier New"/>
      <w:kern w:val="2"/>
    </w:rPr>
  </w:style>
  <w:style w:type="paragraph" w:styleId="50">
    <w:name w:val="List Paragraph"/>
    <w:basedOn w:val="1"/>
    <w:qFormat/>
    <w:uiPriority w:val="99"/>
    <w:pPr>
      <w:spacing w:line="240" w:lineRule="auto"/>
      <w:ind w:firstLine="420"/>
    </w:pPr>
  </w:style>
  <w:style w:type="paragraph" w:customStyle="1" w:styleId="51">
    <w:name w:val="Char2 Char Char"/>
    <w:basedOn w:val="1"/>
    <w:qFormat/>
    <w:uiPriority w:val="0"/>
    <w:pPr>
      <w:spacing w:line="240" w:lineRule="auto"/>
      <w:ind w:firstLine="0" w:firstLineChars="0"/>
    </w:pPr>
    <w:rPr>
      <w:rFonts w:ascii="Tahoma" w:hAnsi="Tahoma"/>
      <w:sz w:val="24"/>
      <w:szCs w:val="20"/>
    </w:rPr>
  </w:style>
  <w:style w:type="paragraph" w:customStyle="1" w:styleId="52">
    <w:name w:val="正文2"/>
    <w:basedOn w:val="1"/>
    <w:qFormat/>
    <w:uiPriority w:val="0"/>
    <w:pPr>
      <w:spacing w:before="156"/>
      <w:ind w:firstLine="510"/>
    </w:pPr>
    <w:rPr>
      <w:sz w:val="24"/>
      <w:szCs w:val="20"/>
    </w:rPr>
  </w:style>
  <w:style w:type="paragraph" w:customStyle="1" w:styleId="53">
    <w:name w:val="Char1"/>
    <w:basedOn w:val="1"/>
    <w:qFormat/>
    <w:uiPriority w:val="0"/>
    <w:pPr>
      <w:spacing w:line="240" w:lineRule="auto"/>
      <w:ind w:firstLine="0" w:firstLineChars="0"/>
    </w:pPr>
    <w:rPr>
      <w:rFonts w:ascii="仿宋_GB2312" w:eastAsia="仿宋_GB2312"/>
      <w:b/>
      <w:sz w:val="32"/>
      <w:szCs w:val="32"/>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DAS正文"/>
    <w:basedOn w:val="1"/>
    <w:qFormat/>
    <w:uiPriority w:val="0"/>
    <w:pPr>
      <w:ind w:right="181" w:firstLine="480"/>
    </w:pPr>
    <w:rPr>
      <w:rFonts w:ascii="Verdana" w:hAnsi="Verdana"/>
      <w:sz w:val="24"/>
    </w:rPr>
  </w:style>
  <w:style w:type="character" w:customStyle="1" w:styleId="56">
    <w:name w:val="正文首行缩进 Char"/>
    <w:basedOn w:val="21"/>
    <w:link w:val="2"/>
    <w:qFormat/>
    <w:uiPriority w:val="99"/>
    <w:rPr>
      <w:rFonts w:eastAsia="仿宋_GB2312"/>
      <w:kern w:val="2"/>
      <w:sz w:val="21"/>
      <w:szCs w:val="24"/>
    </w:rPr>
  </w:style>
  <w:style w:type="character" w:customStyle="1" w:styleId="57">
    <w:name w:val="无间隔 Char"/>
    <w:link w:val="37"/>
    <w:qFormat/>
    <w:locked/>
    <w:uiPriority w:val="1"/>
    <w:rPr>
      <w:rFonts w:ascii="Calibri" w:hAnsi="Calibri" w:cs="Calibri"/>
      <w:kern w:val="2"/>
      <w:sz w:val="21"/>
      <w:szCs w:val="22"/>
    </w:rPr>
  </w:style>
  <w:style w:type="paragraph" w:customStyle="1" w:styleId="58">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A4F65-9DA1-4C0A-9F71-B9D990F696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5837</Words>
  <Characters>33275</Characters>
  <Lines>277</Lines>
  <Paragraphs>78</Paragraphs>
  <TotalTime>9</TotalTime>
  <ScaleCrop>false</ScaleCrop>
  <LinksUpToDate>false</LinksUpToDate>
  <CharactersWithSpaces>39034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2019-05-12T15:09:00Z</dcterms:created>
  <dc:creator>Administrator</dc:creator>
  <cp:lastModifiedBy>Administrator</cp:lastModifiedBy>
  <cp:lastPrinted>2019-05-08T03:08:00Z</cp:lastPrinted>
  <dcterms:modified xsi:type="dcterms:W3CDTF">2019-10-29T06:06:46Z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