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ascii="宋体" w:hAnsi="宋体" w:cs="宋体"/>
          <w:color w:val="auto"/>
          <w:highlight w:val="none"/>
          <w:lang w:val="zh-CN"/>
        </w:rPr>
      </w:pPr>
      <w:bookmarkStart w:id="0" w:name="_Toc303756353"/>
      <w:bookmarkStart w:id="1" w:name="_Toc301187513"/>
      <w:bookmarkStart w:id="2" w:name="_Toc499904867"/>
    </w:p>
    <w:p>
      <w:pPr>
        <w:rPr>
          <w:color w:val="auto"/>
          <w:highlight w:val="none"/>
          <w:lang w:val="zh-CN"/>
        </w:rPr>
      </w:pPr>
    </w:p>
    <w:p>
      <w:pPr>
        <w:jc w:val="center"/>
        <w:rPr>
          <w:rFonts w:ascii="宋体" w:hAnsi="宋体" w:cs="宋体"/>
          <w:b/>
          <w:bCs/>
          <w:color w:val="auto"/>
          <w:spacing w:val="20"/>
          <w:sz w:val="96"/>
          <w:szCs w:val="96"/>
          <w:highlight w:val="none"/>
          <w:lang w:val="zh-CN"/>
        </w:rPr>
      </w:pPr>
    </w:p>
    <w:p>
      <w:pPr>
        <w:pStyle w:val="15"/>
        <w:rPr>
          <w:rFonts w:ascii="宋体" w:hAnsi="宋体" w:cs="宋体"/>
          <w:color w:val="auto"/>
          <w:highlight w:val="none"/>
          <w:lang w:val="zh-CN"/>
        </w:rPr>
      </w:pPr>
    </w:p>
    <w:p>
      <w:pPr>
        <w:pStyle w:val="15"/>
        <w:rPr>
          <w:rFonts w:ascii="宋体" w:hAnsi="宋体" w:cs="宋体"/>
          <w:color w:val="auto"/>
          <w:highlight w:val="none"/>
          <w:lang w:val="zh-CN"/>
        </w:rPr>
      </w:pPr>
    </w:p>
    <w:p>
      <w:pPr>
        <w:jc w:val="center"/>
        <w:rPr>
          <w:rFonts w:ascii="宋体" w:hAnsi="宋体" w:cs="宋体"/>
          <w:b/>
          <w:bCs/>
          <w:color w:val="auto"/>
          <w:spacing w:val="20"/>
          <w:sz w:val="96"/>
          <w:szCs w:val="96"/>
          <w:highlight w:val="none"/>
          <w:lang w:val="zh-CN"/>
        </w:rPr>
      </w:pPr>
      <w:r>
        <w:rPr>
          <w:rFonts w:hint="eastAsia" w:ascii="宋体" w:hAnsi="宋体" w:cs="宋体"/>
          <w:b/>
          <w:bCs/>
          <w:color w:val="auto"/>
          <w:spacing w:val="20"/>
          <w:sz w:val="72"/>
          <w:szCs w:val="72"/>
          <w:highlight w:val="none"/>
          <w:lang w:val="zh-CN"/>
        </w:rPr>
        <w:t>竞争性磋商文件</w:t>
      </w:r>
    </w:p>
    <w:p>
      <w:pPr>
        <w:spacing w:line="160" w:lineRule="exact"/>
        <w:rPr>
          <w:rFonts w:ascii="宋体" w:hAnsi="宋体" w:cs="宋体"/>
          <w:b/>
          <w:bCs/>
          <w:color w:val="auto"/>
          <w:sz w:val="48"/>
          <w:highlight w:val="none"/>
        </w:rPr>
      </w:pPr>
    </w:p>
    <w:p>
      <w:pPr>
        <w:adjustRightInd w:val="0"/>
        <w:snapToGrid w:val="0"/>
        <w:spacing w:line="600" w:lineRule="exact"/>
        <w:ind w:firstLine="422" w:firstLineChars="150"/>
        <w:jc w:val="center"/>
        <w:rPr>
          <w:rFonts w:ascii="宋体" w:hAnsi="宋体" w:cs="宋体"/>
          <w:b/>
          <w:snapToGrid w:val="0"/>
          <w:color w:val="auto"/>
          <w:sz w:val="28"/>
          <w:szCs w:val="28"/>
          <w:highlight w:val="none"/>
        </w:rPr>
      </w:pPr>
    </w:p>
    <w:p>
      <w:pPr>
        <w:pStyle w:val="15"/>
        <w:rPr>
          <w:rFonts w:ascii="宋体" w:hAnsi="宋体" w:cs="宋体"/>
          <w:b/>
          <w:snapToGrid w:val="0"/>
          <w:color w:val="auto"/>
          <w:sz w:val="32"/>
          <w:szCs w:val="32"/>
          <w:highlight w:val="none"/>
        </w:rPr>
      </w:pPr>
    </w:p>
    <w:p>
      <w:pPr>
        <w:rPr>
          <w:color w:val="auto"/>
          <w:highlight w:val="none"/>
        </w:rPr>
      </w:pPr>
    </w:p>
    <w:p>
      <w:pPr>
        <w:rPr>
          <w:color w:val="auto"/>
          <w:highlight w:val="none"/>
        </w:rPr>
      </w:pPr>
    </w:p>
    <w:p>
      <w:pPr>
        <w:rPr>
          <w:rFonts w:ascii="宋体" w:hAnsi="宋体" w:cs="宋体"/>
          <w:color w:val="auto"/>
          <w:highlight w:val="none"/>
        </w:rPr>
      </w:pPr>
    </w:p>
    <w:tbl>
      <w:tblPr>
        <w:tblStyle w:val="42"/>
        <w:tblW w:w="0" w:type="auto"/>
        <w:jc w:val="center"/>
        <w:tblLayout w:type="autofit"/>
        <w:tblCellMar>
          <w:top w:w="0" w:type="dxa"/>
          <w:left w:w="108" w:type="dxa"/>
          <w:bottom w:w="0" w:type="dxa"/>
          <w:right w:w="108" w:type="dxa"/>
        </w:tblCellMar>
      </w:tblPr>
      <w:tblGrid>
        <w:gridCol w:w="2311"/>
        <w:gridCol w:w="5431"/>
      </w:tblGrid>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bookmarkStart w:id="3" w:name="_Toc493956012"/>
            <w:bookmarkStart w:id="4" w:name="_Toc493928402"/>
            <w:r>
              <w:rPr>
                <w:rFonts w:hint="eastAsia" w:ascii="宋体" w:hAnsi="宋体" w:cs="宋体"/>
                <w:color w:val="auto"/>
                <w:sz w:val="32"/>
                <w:szCs w:val="32"/>
                <w:highlight w:val="none"/>
              </w:rPr>
              <w:t>项目编号：</w:t>
            </w:r>
            <w:bookmarkEnd w:id="3"/>
            <w:bookmarkEnd w:id="4"/>
          </w:p>
        </w:tc>
        <w:tc>
          <w:tcPr>
            <w:tcW w:w="5431" w:type="dxa"/>
            <w:noWrap/>
            <w:vAlign w:val="center"/>
          </w:tcPr>
          <w:p>
            <w:pPr>
              <w:ind w:left="-103" w:leftChars="-49"/>
              <w:jc w:val="left"/>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 xml:space="preserve">JY分散磋商2024-21  </w:t>
            </w: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bookmarkStart w:id="5" w:name="_Toc493928404"/>
            <w:bookmarkStart w:id="6" w:name="_Toc493956014"/>
            <w:r>
              <w:rPr>
                <w:rFonts w:hint="eastAsia" w:ascii="宋体" w:hAnsi="宋体" w:cs="宋体"/>
                <w:color w:val="auto"/>
                <w:sz w:val="32"/>
                <w:szCs w:val="32"/>
                <w:highlight w:val="none"/>
              </w:rPr>
              <w:t>项目名称：</w:t>
            </w:r>
            <w:bookmarkEnd w:id="5"/>
            <w:bookmarkEnd w:id="6"/>
          </w:p>
        </w:tc>
        <w:tc>
          <w:tcPr>
            <w:tcW w:w="5431" w:type="dxa"/>
            <w:noWrap/>
            <w:vAlign w:val="center"/>
          </w:tcPr>
          <w:p>
            <w:pPr>
              <w:ind w:left="-103" w:leftChars="-49"/>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缙云县公安局执法全过程音视频工作平台建设政府采购项目</w:t>
            </w: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bookmarkStart w:id="7" w:name="_Toc493928406"/>
            <w:bookmarkStart w:id="8" w:name="_Toc493956016"/>
            <w:r>
              <w:rPr>
                <w:rFonts w:hint="eastAsia" w:ascii="宋体" w:hAnsi="宋体" w:cs="宋体"/>
                <w:color w:val="auto"/>
                <w:sz w:val="32"/>
                <w:szCs w:val="32"/>
                <w:highlight w:val="none"/>
              </w:rPr>
              <w:t>采 购 人：</w:t>
            </w:r>
            <w:bookmarkEnd w:id="7"/>
            <w:bookmarkEnd w:id="8"/>
          </w:p>
        </w:tc>
        <w:tc>
          <w:tcPr>
            <w:tcW w:w="5431" w:type="dxa"/>
            <w:noWrap/>
            <w:vAlign w:val="center"/>
          </w:tcPr>
          <w:p>
            <w:pPr>
              <w:ind w:left="-103" w:leftChars="-49"/>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缙云县公安局</w:t>
            </w: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p>
        </w:tc>
        <w:tc>
          <w:tcPr>
            <w:tcW w:w="5431" w:type="dxa"/>
            <w:noWrap/>
            <w:vAlign w:val="center"/>
          </w:tcPr>
          <w:p>
            <w:pPr>
              <w:ind w:left="-103" w:leftChars="-49"/>
              <w:jc w:val="left"/>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32"/>
                <w:szCs w:val="32"/>
                <w:highlight w:val="none"/>
              </w:rPr>
              <w:t>采购代理机构：</w:t>
            </w:r>
          </w:p>
        </w:tc>
        <w:tc>
          <w:tcPr>
            <w:tcW w:w="5431" w:type="dxa"/>
            <w:noWrap/>
            <w:vAlign w:val="center"/>
          </w:tcPr>
          <w:p>
            <w:pPr>
              <w:ind w:left="-103" w:leftChars="-49"/>
              <w:jc w:val="left"/>
              <w:rPr>
                <w:rFonts w:ascii="宋体" w:hAnsi="宋体" w:cs="宋体"/>
                <w:color w:val="auto"/>
                <w:sz w:val="32"/>
                <w:szCs w:val="32"/>
                <w:highlight w:val="none"/>
              </w:rPr>
            </w:pPr>
            <w:r>
              <w:rPr>
                <w:rFonts w:hint="eastAsia" w:ascii="宋体" w:hAnsi="宋体" w:cs="宋体"/>
                <w:color w:val="auto"/>
                <w:sz w:val="32"/>
                <w:szCs w:val="32"/>
                <w:highlight w:val="none"/>
              </w:rPr>
              <w:t>浙江鼎峰工程咨询有限公司</w:t>
            </w: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32"/>
                <w:szCs w:val="32"/>
                <w:highlight w:val="none"/>
              </w:rPr>
              <w:t>地        址：</w:t>
            </w:r>
          </w:p>
        </w:tc>
        <w:tc>
          <w:tcPr>
            <w:tcW w:w="5431" w:type="dxa"/>
            <w:noWrap/>
            <w:vAlign w:val="center"/>
          </w:tcPr>
          <w:p>
            <w:pPr>
              <w:ind w:left="-103" w:leftChars="-49"/>
              <w:jc w:val="left"/>
              <w:rPr>
                <w:rFonts w:ascii="宋体" w:hAnsi="宋体" w:cs="宋体"/>
                <w:color w:val="auto"/>
                <w:sz w:val="32"/>
                <w:szCs w:val="32"/>
                <w:highlight w:val="none"/>
              </w:rPr>
            </w:pPr>
            <w:r>
              <w:rPr>
                <w:rFonts w:hint="eastAsia" w:ascii="宋体" w:hAnsi="宋体" w:cs="宋体"/>
                <w:color w:val="auto"/>
                <w:sz w:val="32"/>
                <w:szCs w:val="32"/>
                <w:highlight w:val="none"/>
              </w:rPr>
              <w:t>缙云县县城新区江滨巷17号301室</w:t>
            </w: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84" w:rightChars="-40"/>
              <w:rPr>
                <w:rFonts w:ascii="宋体" w:hAnsi="宋体" w:cs="宋体"/>
                <w:color w:val="auto"/>
                <w:sz w:val="32"/>
                <w:szCs w:val="32"/>
                <w:highlight w:val="none"/>
              </w:rPr>
            </w:pPr>
          </w:p>
        </w:tc>
        <w:tc>
          <w:tcPr>
            <w:tcW w:w="5431" w:type="dxa"/>
            <w:noWrap/>
            <w:vAlign w:val="center"/>
          </w:tcPr>
          <w:p>
            <w:pPr>
              <w:ind w:left="-103" w:leftChars="-49"/>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7742" w:type="dxa"/>
            <w:gridSpan w:val="2"/>
            <w:noWrap/>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202</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rPr>
              <w:t>月</w:t>
            </w:r>
            <w:bookmarkStart w:id="618" w:name="_GoBack"/>
            <w:bookmarkEnd w:id="618"/>
          </w:p>
        </w:tc>
      </w:tr>
      <w:tr>
        <w:tblPrEx>
          <w:tblCellMar>
            <w:top w:w="0" w:type="dxa"/>
            <w:left w:w="108" w:type="dxa"/>
            <w:bottom w:w="0" w:type="dxa"/>
            <w:right w:w="108" w:type="dxa"/>
          </w:tblCellMar>
        </w:tblPrEx>
        <w:trPr>
          <w:trHeight w:val="737" w:hRule="atLeast"/>
          <w:jc w:val="center"/>
        </w:trPr>
        <w:tc>
          <w:tcPr>
            <w:tcW w:w="7742" w:type="dxa"/>
            <w:gridSpan w:val="2"/>
            <w:noWrap/>
            <w:vAlign w:val="center"/>
          </w:tcPr>
          <w:p>
            <w:pPr>
              <w:jc w:val="center"/>
              <w:rPr>
                <w:color w:val="auto"/>
                <w:highlight w:val="none"/>
              </w:rPr>
            </w:pPr>
          </w:p>
          <w:p>
            <w:pPr>
              <w:pStyle w:val="16"/>
              <w:rPr>
                <w:color w:val="auto"/>
                <w:highlight w:val="none"/>
              </w:rPr>
            </w:pPr>
          </w:p>
        </w:tc>
      </w:tr>
      <w:bookmarkEnd w:id="0"/>
      <w:bookmarkEnd w:id="1"/>
      <w:bookmarkEnd w:id="2"/>
    </w:tbl>
    <w:sdt>
      <w:sdtPr>
        <w:rPr>
          <w:rFonts w:ascii="宋体" w:hAnsi="宋体" w:eastAsia="宋体" w:cs="Times New Roman"/>
          <w:color w:val="auto"/>
          <w:kern w:val="2"/>
          <w:sz w:val="21"/>
          <w:szCs w:val="24"/>
          <w:highlight w:val="none"/>
          <w:lang w:val="en-US" w:eastAsia="zh-CN" w:bidi="ar-SA"/>
        </w:rPr>
        <w:id w:val="147482946"/>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pPr>
        </w:p>
        <w:p>
          <w:pPr>
            <w:rPr>
              <w:rFonts w:ascii="宋体" w:hAnsi="宋体" w:eastAsia="宋体" w:cs="Times New Roman"/>
              <w:color w:val="auto"/>
              <w:kern w:val="2"/>
              <w:sz w:val="21"/>
              <w:szCs w:val="24"/>
              <w:highlight w:val="none"/>
              <w:lang w:val="en-US" w:eastAsia="zh-CN" w:bidi="ar-SA"/>
            </w:rPr>
          </w:pPr>
          <w:r>
            <w:rPr>
              <w:rFonts w:ascii="宋体" w:hAnsi="宋体" w:eastAsia="宋体" w:cs="Times New Roman"/>
              <w:color w:val="auto"/>
              <w:kern w:val="2"/>
              <w:sz w:val="21"/>
              <w:szCs w:val="24"/>
              <w:highlight w:val="none"/>
              <w:lang w:val="en-US" w:eastAsia="zh-CN" w:bidi="ar-SA"/>
            </w:rPr>
            <w:br w:type="page"/>
          </w:r>
        </w:p>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_Toc15285 </w:instrText>
          </w:r>
          <w:r>
            <w:rPr>
              <w:color w:val="auto"/>
              <w:highlight w:val="none"/>
            </w:rPr>
            <w:fldChar w:fldCharType="separate"/>
          </w:r>
          <w:r>
            <w:rPr>
              <w:rFonts w:hint="eastAsia" w:ascii="宋体" w:hAnsi="宋体" w:cs="宋体"/>
              <w:bCs/>
              <w:color w:val="auto"/>
              <w:szCs w:val="32"/>
              <w:highlight w:val="none"/>
            </w:rPr>
            <w:t xml:space="preserve">第一章 </w:t>
          </w:r>
          <w:r>
            <w:rPr>
              <w:rFonts w:hint="eastAsia" w:ascii="宋体" w:hAnsi="宋体" w:cs="宋体"/>
              <w:color w:val="auto"/>
              <w:szCs w:val="32"/>
              <w:highlight w:val="none"/>
            </w:rPr>
            <w:t>竞争性磋商</w:t>
          </w:r>
          <w:r>
            <w:rPr>
              <w:rFonts w:hint="eastAsia" w:ascii="宋体" w:hAnsi="宋体" w:cs="宋体"/>
              <w:bCs/>
              <w:color w:val="auto"/>
              <w:szCs w:val="32"/>
              <w:highlight w:val="none"/>
            </w:rPr>
            <w:t>公告</w:t>
          </w:r>
          <w:r>
            <w:rPr>
              <w:color w:val="auto"/>
              <w:highlight w:val="none"/>
            </w:rPr>
            <w:tab/>
          </w:r>
          <w:r>
            <w:rPr>
              <w:color w:val="auto"/>
              <w:highlight w:val="none"/>
            </w:rPr>
            <w:fldChar w:fldCharType="begin"/>
          </w:r>
          <w:r>
            <w:rPr>
              <w:color w:val="auto"/>
              <w:highlight w:val="none"/>
            </w:rPr>
            <w:instrText xml:space="preserve"> PAGEREF _Toc15285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_Toc18372 </w:instrText>
          </w:r>
          <w:r>
            <w:rPr>
              <w:color w:val="auto"/>
              <w:highlight w:val="none"/>
            </w:rPr>
            <w:fldChar w:fldCharType="separate"/>
          </w:r>
          <w:r>
            <w:rPr>
              <w:rFonts w:hint="eastAsia" w:ascii="宋体" w:hAnsi="宋体" w:cs="宋体"/>
              <w:color w:val="auto"/>
              <w:szCs w:val="32"/>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_Toc18372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_Toc18915 </w:instrText>
          </w:r>
          <w:r>
            <w:rPr>
              <w:color w:val="auto"/>
              <w:highlight w:val="none"/>
            </w:rPr>
            <w:fldChar w:fldCharType="separate"/>
          </w:r>
          <w:r>
            <w:rPr>
              <w:rFonts w:hint="eastAsia" w:ascii="宋体" w:hAnsi="宋体" w:cs="宋体"/>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_Toc18915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_Toc12181 </w:instrText>
          </w:r>
          <w:r>
            <w:rPr>
              <w:color w:val="auto"/>
              <w:highlight w:val="none"/>
            </w:rPr>
            <w:fldChar w:fldCharType="separate"/>
          </w:r>
          <w:r>
            <w:rPr>
              <w:rFonts w:hint="eastAsia" w:ascii="宋体" w:hAnsi="宋体" w:cs="宋体"/>
              <w:bCs/>
              <w:color w:val="auto"/>
              <w:szCs w:val="36"/>
              <w:highlight w:val="none"/>
            </w:rPr>
            <w:t>第四章  合同格式</w:t>
          </w:r>
          <w:r>
            <w:rPr>
              <w:color w:val="auto"/>
              <w:highlight w:val="none"/>
            </w:rPr>
            <w:tab/>
          </w:r>
          <w:r>
            <w:rPr>
              <w:color w:val="auto"/>
              <w:highlight w:val="none"/>
            </w:rPr>
            <w:fldChar w:fldCharType="begin"/>
          </w:r>
          <w:r>
            <w:rPr>
              <w:color w:val="auto"/>
              <w:highlight w:val="none"/>
            </w:rPr>
            <w:instrText xml:space="preserve"> PAGEREF _Toc12181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_Toc23936 </w:instrText>
          </w:r>
          <w:r>
            <w:rPr>
              <w:color w:val="auto"/>
              <w:highlight w:val="none"/>
            </w:rPr>
            <w:fldChar w:fldCharType="separate"/>
          </w:r>
          <w:r>
            <w:rPr>
              <w:rFonts w:hint="eastAsia" w:ascii="宋体" w:hAnsi="宋体" w:cs="宋体"/>
              <w:color w:val="auto"/>
              <w:szCs w:val="36"/>
              <w:highlight w:val="none"/>
            </w:rPr>
            <w:t xml:space="preserve">第五章 </w:t>
          </w:r>
          <w:r>
            <w:rPr>
              <w:rFonts w:hint="eastAsia" w:ascii="宋体" w:hAnsi="宋体" w:eastAsia="宋体" w:cs="宋体"/>
              <w:bCs/>
              <w:color w:val="auto"/>
              <w:kern w:val="2"/>
              <w:szCs w:val="36"/>
              <w:highlight w:val="none"/>
              <w:lang w:val="en-US" w:eastAsia="zh-CN" w:bidi="ar-SA"/>
            </w:rPr>
            <w:t>投标响应文件格式</w:t>
          </w:r>
          <w:r>
            <w:rPr>
              <w:color w:val="auto"/>
              <w:highlight w:val="none"/>
            </w:rPr>
            <w:tab/>
          </w:r>
          <w:r>
            <w:rPr>
              <w:color w:val="auto"/>
              <w:highlight w:val="none"/>
            </w:rPr>
            <w:fldChar w:fldCharType="begin"/>
          </w:r>
          <w:r>
            <w:rPr>
              <w:color w:val="auto"/>
              <w:highlight w:val="none"/>
            </w:rPr>
            <w:instrText xml:space="preserve"> PAGEREF _Toc23936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_Toc3368 </w:instrText>
          </w:r>
          <w:r>
            <w:rPr>
              <w:color w:val="auto"/>
              <w:highlight w:val="none"/>
            </w:rPr>
            <w:fldChar w:fldCharType="separate"/>
          </w:r>
          <w:r>
            <w:rPr>
              <w:rFonts w:hint="eastAsia" w:ascii="宋体" w:hAnsi="宋体" w:cs="宋体"/>
              <w:color w:val="auto"/>
              <w:szCs w:val="32"/>
              <w:highlight w:val="none"/>
            </w:rPr>
            <w:t>第六章  评标办法和细则</w:t>
          </w:r>
          <w:r>
            <w:rPr>
              <w:color w:val="auto"/>
              <w:highlight w:val="none"/>
            </w:rPr>
            <w:tab/>
          </w:r>
          <w:r>
            <w:rPr>
              <w:color w:val="auto"/>
              <w:highlight w:val="none"/>
            </w:rPr>
            <w:fldChar w:fldCharType="begin"/>
          </w:r>
          <w:r>
            <w:rPr>
              <w:color w:val="auto"/>
              <w:highlight w:val="none"/>
            </w:rPr>
            <w:instrText xml:space="preserve"> PAGEREF _Toc3368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sdtContent>
    </w:sdt>
    <w:p>
      <w:pPr>
        <w:pStyle w:val="2"/>
        <w:keepNext w:val="0"/>
        <w:keepLines w:val="0"/>
        <w:snapToGrid w:val="0"/>
        <w:spacing w:before="0" w:line="348" w:lineRule="auto"/>
        <w:rPr>
          <w:rStyle w:val="60"/>
          <w:rFonts w:ascii="宋体" w:hAnsi="宋体" w:cs="宋体"/>
          <w:b/>
          <w:bCs/>
          <w:color w:val="auto"/>
          <w:highlight w:val="none"/>
        </w:rPr>
      </w:pPr>
      <w:r>
        <w:rPr>
          <w:rFonts w:hint="eastAsia" w:ascii="宋体" w:hAnsi="宋体" w:cs="宋体"/>
          <w:bCs w:val="0"/>
          <w:color w:val="auto"/>
          <w:kern w:val="2"/>
          <w:szCs w:val="24"/>
          <w:highlight w:val="none"/>
        </w:rPr>
        <w:br w:type="page"/>
      </w:r>
      <w:bookmarkStart w:id="9" w:name="_Toc8018"/>
      <w:bookmarkStart w:id="10" w:name="_Toc14287"/>
      <w:bookmarkStart w:id="11" w:name="_Toc18252"/>
      <w:bookmarkStart w:id="12" w:name="_Toc15285"/>
      <w:r>
        <w:rPr>
          <w:rStyle w:val="60"/>
          <w:rFonts w:hint="eastAsia" w:ascii="宋体" w:hAnsi="宋体" w:cs="宋体"/>
          <w:b/>
          <w:bCs/>
          <w:color w:val="auto"/>
          <w:szCs w:val="32"/>
          <w:highlight w:val="none"/>
        </w:rPr>
        <w:t xml:space="preserve">第一章 </w:t>
      </w:r>
      <w:r>
        <w:rPr>
          <w:rFonts w:hint="eastAsia" w:ascii="宋体" w:hAnsi="宋体" w:cs="宋体"/>
          <w:color w:val="auto"/>
          <w:szCs w:val="32"/>
          <w:highlight w:val="none"/>
        </w:rPr>
        <w:t>竞争性磋商</w:t>
      </w:r>
      <w:r>
        <w:rPr>
          <w:rStyle w:val="60"/>
          <w:rFonts w:hint="eastAsia" w:ascii="宋体" w:hAnsi="宋体" w:cs="宋体"/>
          <w:b/>
          <w:bCs/>
          <w:color w:val="auto"/>
          <w:szCs w:val="32"/>
          <w:highlight w:val="none"/>
        </w:rPr>
        <w:t>公告</w:t>
      </w:r>
      <w:bookmarkEnd w:id="9"/>
      <w:bookmarkEnd w:id="10"/>
      <w:bookmarkEnd w:id="11"/>
      <w:bookmarkEnd w:id="12"/>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288" w:type="dxa"/>
          </w:tcPr>
          <w:p>
            <w:pPr>
              <w:pStyle w:val="37"/>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项目概况:</w:t>
            </w:r>
          </w:p>
          <w:p>
            <w:pPr>
              <w:pStyle w:val="37"/>
              <w:spacing w:before="0" w:beforeAutospacing="0" w:after="0" w:afterAutospacing="0" w:line="400" w:lineRule="exact"/>
              <w:rPr>
                <w:color w:val="auto"/>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lang w:eastAsia="zh-CN"/>
              </w:rPr>
              <w:t>缙云县公安局执法全过程音视频工作平台建设政府采购项目</w:t>
            </w:r>
            <w:r>
              <w:rPr>
                <w:rFonts w:hint="eastAsia"/>
                <w:color w:val="auto"/>
                <w:kern w:val="2"/>
                <w:sz w:val="21"/>
                <w:szCs w:val="21"/>
                <w:highlight w:val="none"/>
              </w:rPr>
              <w:t>的潜在供应商应在浙江政府采购https://www.zcygov.cn/ 、丽水市公共资源交易网</w:t>
            </w:r>
            <w:r>
              <w:rPr>
                <w:rFonts w:hint="eastAsia"/>
                <w:color w:val="auto"/>
                <w:sz w:val="21"/>
                <w:szCs w:val="21"/>
                <w:highlight w:val="none"/>
              </w:rPr>
              <w:t>（</w:t>
            </w:r>
            <w:r>
              <w:rPr>
                <w:color w:val="auto"/>
                <w:highlight w:val="none"/>
              </w:rPr>
              <w:fldChar w:fldCharType="begin"/>
            </w:r>
            <w:r>
              <w:rPr>
                <w:color w:val="auto"/>
                <w:highlight w:val="none"/>
              </w:rPr>
              <w:instrText xml:space="preserve"> HYPERLINK "http://www.lssggzy.com" </w:instrText>
            </w:r>
            <w:r>
              <w:rPr>
                <w:color w:val="auto"/>
                <w:highlight w:val="none"/>
              </w:rPr>
              <w:fldChar w:fldCharType="separate"/>
            </w:r>
            <w:r>
              <w:rPr>
                <w:rFonts w:hint="eastAsia"/>
                <w:color w:val="auto"/>
                <w:sz w:val="21"/>
                <w:szCs w:val="21"/>
                <w:highlight w:val="none"/>
              </w:rPr>
              <w:t>http://lssggzy.lishui.gov.cn/lsweb/</w:t>
            </w:r>
            <w:r>
              <w:rPr>
                <w:rFonts w:hint="eastAsia"/>
                <w:color w:val="auto"/>
                <w:sz w:val="21"/>
                <w:szCs w:val="21"/>
                <w:highlight w:val="none"/>
              </w:rPr>
              <w:fldChar w:fldCharType="end"/>
            </w:r>
            <w:r>
              <w:rPr>
                <w:rFonts w:hint="eastAsia"/>
                <w:color w:val="auto"/>
                <w:sz w:val="21"/>
                <w:szCs w:val="21"/>
                <w:highlight w:val="none"/>
              </w:rPr>
              <w:t>）</w:t>
            </w:r>
            <w:r>
              <w:rPr>
                <w:rFonts w:hint="eastAsia"/>
                <w:color w:val="auto"/>
                <w:kern w:val="2"/>
                <w:sz w:val="21"/>
                <w:szCs w:val="21"/>
                <w:highlight w:val="none"/>
              </w:rPr>
              <w:t>在线获取获取（下载）采购文件，并于</w:t>
            </w:r>
            <w:r>
              <w:rPr>
                <w:rFonts w:hint="eastAsia"/>
                <w:b/>
                <w:bCs/>
                <w:color w:val="auto"/>
                <w:kern w:val="2"/>
                <w:sz w:val="21"/>
                <w:szCs w:val="21"/>
                <w:highlight w:val="none"/>
                <w:lang w:eastAsia="zh-CN"/>
              </w:rPr>
              <w:t>2024</w:t>
            </w:r>
            <w:r>
              <w:rPr>
                <w:rFonts w:hint="eastAsia"/>
                <w:b/>
                <w:bCs/>
                <w:color w:val="auto"/>
                <w:kern w:val="2"/>
                <w:sz w:val="21"/>
                <w:szCs w:val="21"/>
                <w:highlight w:val="none"/>
              </w:rPr>
              <w:t>年</w:t>
            </w:r>
            <w:r>
              <w:rPr>
                <w:rFonts w:hint="eastAsia"/>
                <w:b/>
                <w:bCs/>
                <w:color w:val="auto"/>
                <w:kern w:val="2"/>
                <w:sz w:val="21"/>
                <w:szCs w:val="21"/>
                <w:highlight w:val="none"/>
                <w:lang w:val="en-US" w:eastAsia="zh-CN"/>
              </w:rPr>
              <w:t>4</w:t>
            </w:r>
            <w:r>
              <w:rPr>
                <w:rFonts w:hint="eastAsia"/>
                <w:b/>
                <w:bCs/>
                <w:color w:val="auto"/>
                <w:kern w:val="2"/>
                <w:sz w:val="21"/>
                <w:szCs w:val="21"/>
                <w:highlight w:val="none"/>
              </w:rPr>
              <w:t>月</w:t>
            </w:r>
            <w:r>
              <w:rPr>
                <w:rFonts w:hint="eastAsia"/>
                <w:b/>
                <w:bCs/>
                <w:color w:val="auto"/>
                <w:kern w:val="2"/>
                <w:sz w:val="21"/>
                <w:szCs w:val="21"/>
                <w:highlight w:val="none"/>
                <w:lang w:val="en-US" w:eastAsia="zh-CN"/>
              </w:rPr>
              <w:t>29</w:t>
            </w:r>
            <w:r>
              <w:rPr>
                <w:rFonts w:hint="eastAsia"/>
                <w:b/>
                <w:bCs/>
                <w:color w:val="auto"/>
                <w:kern w:val="2"/>
                <w:sz w:val="21"/>
                <w:szCs w:val="21"/>
                <w:highlight w:val="none"/>
              </w:rPr>
              <w:t>日</w:t>
            </w:r>
            <w:r>
              <w:rPr>
                <w:rFonts w:hint="eastAsia"/>
                <w:b/>
                <w:bCs/>
                <w:color w:val="auto"/>
                <w:kern w:val="2"/>
                <w:sz w:val="21"/>
                <w:szCs w:val="21"/>
                <w:highlight w:val="none"/>
                <w:lang w:val="en-US" w:eastAsia="zh-CN"/>
              </w:rPr>
              <w:t>10</w:t>
            </w:r>
            <w:r>
              <w:rPr>
                <w:rFonts w:hint="eastAsia"/>
                <w:b/>
                <w:bCs/>
                <w:color w:val="auto"/>
                <w:kern w:val="2"/>
                <w:sz w:val="21"/>
                <w:szCs w:val="21"/>
                <w:highlight w:val="none"/>
              </w:rPr>
              <w:t>:</w:t>
            </w:r>
            <w:r>
              <w:rPr>
                <w:rFonts w:hint="eastAsia"/>
                <w:b/>
                <w:bCs/>
                <w:color w:val="auto"/>
                <w:kern w:val="2"/>
                <w:sz w:val="21"/>
                <w:szCs w:val="21"/>
                <w:highlight w:val="none"/>
                <w:lang w:val="en-US" w:eastAsia="zh-CN"/>
              </w:rPr>
              <w:t>0</w:t>
            </w:r>
            <w:r>
              <w:rPr>
                <w:rFonts w:hint="eastAsia"/>
                <w:b/>
                <w:bCs/>
                <w:color w:val="auto"/>
                <w:kern w:val="2"/>
                <w:sz w:val="21"/>
                <w:szCs w:val="21"/>
                <w:highlight w:val="none"/>
              </w:rPr>
              <w:t>0（北京时间）</w:t>
            </w:r>
            <w:r>
              <w:rPr>
                <w:rFonts w:hint="eastAsia"/>
                <w:color w:val="auto"/>
                <w:kern w:val="2"/>
                <w:sz w:val="21"/>
                <w:szCs w:val="21"/>
                <w:highlight w:val="none"/>
              </w:rPr>
              <w:t>前提交（上传）响应文件。 </w:t>
            </w:r>
          </w:p>
        </w:tc>
      </w:tr>
    </w:tbl>
    <w:p>
      <w:pPr>
        <w:pStyle w:val="37"/>
        <w:spacing w:before="0" w:beforeAutospacing="0" w:after="0" w:afterAutospacing="0" w:line="400" w:lineRule="exact"/>
        <w:outlineLvl w:val="1"/>
        <w:rPr>
          <w:b/>
          <w:bCs/>
          <w:color w:val="auto"/>
          <w:kern w:val="2"/>
          <w:sz w:val="21"/>
          <w:szCs w:val="21"/>
          <w:highlight w:val="none"/>
        </w:rPr>
      </w:pPr>
      <w:r>
        <w:rPr>
          <w:rFonts w:hint="eastAsia"/>
          <w:b/>
          <w:bCs/>
          <w:color w:val="auto"/>
          <w:kern w:val="2"/>
          <w:sz w:val="21"/>
          <w:szCs w:val="21"/>
          <w:highlight w:val="none"/>
        </w:rPr>
        <w:t>一、项目基本情况</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项目编号：</w:t>
      </w:r>
      <w:r>
        <w:rPr>
          <w:rFonts w:hint="eastAsia"/>
          <w:color w:val="auto"/>
          <w:kern w:val="2"/>
          <w:sz w:val="21"/>
          <w:szCs w:val="21"/>
          <w:highlight w:val="none"/>
          <w:lang w:eastAsia="zh-CN"/>
        </w:rPr>
        <w:t>JY分散磋商2024-</w:t>
      </w:r>
      <w:r>
        <w:rPr>
          <w:rFonts w:hint="eastAsia"/>
          <w:color w:val="auto"/>
          <w:kern w:val="2"/>
          <w:sz w:val="21"/>
          <w:szCs w:val="21"/>
          <w:highlight w:val="none"/>
          <w:lang w:val="en-US" w:eastAsia="zh-CN"/>
        </w:rPr>
        <w:t xml:space="preserve">21       </w:t>
      </w:r>
      <w:r>
        <w:rPr>
          <w:rFonts w:hint="eastAsia"/>
          <w:color w:val="auto"/>
          <w:kern w:val="2"/>
          <w:sz w:val="21"/>
          <w:szCs w:val="21"/>
          <w:highlight w:val="none"/>
        </w:rPr>
        <w:t xml:space="preserve">            </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采购方式：竞争性磋商 </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标项名称：</w:t>
      </w:r>
      <w:r>
        <w:rPr>
          <w:rFonts w:hint="eastAsia"/>
          <w:color w:val="auto"/>
          <w:kern w:val="2"/>
          <w:sz w:val="21"/>
          <w:szCs w:val="21"/>
          <w:highlight w:val="none"/>
          <w:lang w:eastAsia="zh-CN"/>
        </w:rPr>
        <w:t>缙云县公安局执法全过程音视频工作平台建设政府采购项目</w:t>
      </w:r>
      <w:r>
        <w:rPr>
          <w:rFonts w:hint="eastAsia"/>
          <w:color w:val="auto"/>
          <w:kern w:val="2"/>
          <w:sz w:val="21"/>
          <w:szCs w:val="21"/>
          <w:highlight w:val="none"/>
        </w:rPr>
        <w:t>  </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数量：1 </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单位：项 </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预算金额（元）：</w:t>
      </w:r>
      <w:r>
        <w:rPr>
          <w:rFonts w:hint="eastAsia"/>
          <w:color w:val="auto"/>
          <w:kern w:val="2"/>
          <w:sz w:val="21"/>
          <w:szCs w:val="21"/>
          <w:highlight w:val="none"/>
          <w:lang w:val="en-US" w:eastAsia="zh-CN"/>
        </w:rPr>
        <w:t xml:space="preserve">770200 </w:t>
      </w:r>
    </w:p>
    <w:p>
      <w:pPr>
        <w:pStyle w:val="37"/>
        <w:spacing w:before="0" w:beforeAutospacing="0" w:after="0" w:afterAutospacing="0" w:line="400" w:lineRule="exact"/>
        <w:ind w:firstLine="420" w:firstLineChars="200"/>
        <w:rPr>
          <w:rFonts w:hint="eastAsia"/>
          <w:color w:val="auto"/>
          <w:kern w:val="2"/>
          <w:sz w:val="21"/>
          <w:szCs w:val="21"/>
          <w:highlight w:val="none"/>
          <w:lang w:val="en-US" w:eastAsia="zh-CN"/>
        </w:rPr>
      </w:pPr>
      <w:r>
        <w:rPr>
          <w:rFonts w:hint="eastAsia"/>
          <w:color w:val="auto"/>
          <w:kern w:val="2"/>
          <w:sz w:val="21"/>
          <w:szCs w:val="21"/>
          <w:highlight w:val="none"/>
        </w:rPr>
        <w:t>最高限价（元）：</w:t>
      </w:r>
      <w:r>
        <w:rPr>
          <w:rFonts w:hint="eastAsia"/>
          <w:color w:val="auto"/>
          <w:kern w:val="2"/>
          <w:sz w:val="21"/>
          <w:szCs w:val="21"/>
          <w:highlight w:val="none"/>
          <w:lang w:val="en-US" w:eastAsia="zh-CN"/>
        </w:rPr>
        <w:t xml:space="preserve">770200 </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简要规格描述：本项目采用以服务租赁的形式进行采购，平台所有软硬件由中标方投资建设，并由中标人为采购方提供设备运营与维护服务。项目建成验收合格后，采购人</w:t>
      </w:r>
      <w:r>
        <w:rPr>
          <w:rFonts w:hint="eastAsia"/>
          <w:color w:val="auto"/>
          <w:kern w:val="2"/>
          <w:sz w:val="21"/>
          <w:szCs w:val="21"/>
          <w:highlight w:val="none"/>
          <w:lang w:val="en-US" w:eastAsia="zh-CN"/>
        </w:rPr>
        <w:t>支付预付款后其余</w:t>
      </w:r>
      <w:r>
        <w:rPr>
          <w:rFonts w:hint="eastAsia"/>
          <w:color w:val="auto"/>
          <w:kern w:val="2"/>
          <w:sz w:val="21"/>
          <w:szCs w:val="21"/>
          <w:highlight w:val="none"/>
        </w:rPr>
        <w:t>以实际服务需求按月向中标方付租费。平台租赁服务</w:t>
      </w:r>
      <w:r>
        <w:rPr>
          <w:rFonts w:hint="eastAsia"/>
          <w:color w:val="auto"/>
          <w:kern w:val="2"/>
          <w:sz w:val="21"/>
          <w:szCs w:val="21"/>
          <w:highlight w:val="none"/>
          <w:lang w:val="en-US" w:eastAsia="zh-CN"/>
        </w:rPr>
        <w:t>二</w:t>
      </w:r>
      <w:r>
        <w:rPr>
          <w:rFonts w:hint="eastAsia"/>
          <w:color w:val="auto"/>
          <w:kern w:val="2"/>
          <w:sz w:val="21"/>
          <w:szCs w:val="21"/>
          <w:highlight w:val="none"/>
        </w:rPr>
        <w:t>年期满双方解除服务合同后，本建设项目所有权归采购方所有。</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合同履约期限：详见磋商文件</w:t>
      </w:r>
    </w:p>
    <w:p>
      <w:pPr>
        <w:pStyle w:val="37"/>
        <w:spacing w:before="0" w:beforeAutospacing="0" w:after="0" w:afterAutospacing="0" w:line="400" w:lineRule="exact"/>
        <w:outlineLvl w:val="1"/>
        <w:rPr>
          <w:b/>
          <w:bCs/>
          <w:color w:val="auto"/>
          <w:kern w:val="2"/>
          <w:sz w:val="21"/>
          <w:szCs w:val="21"/>
          <w:highlight w:val="none"/>
        </w:rPr>
      </w:pPr>
      <w:r>
        <w:rPr>
          <w:rFonts w:hint="eastAsia"/>
          <w:b/>
          <w:bCs/>
          <w:color w:val="auto"/>
          <w:kern w:val="2"/>
          <w:sz w:val="21"/>
          <w:szCs w:val="21"/>
          <w:highlight w:val="none"/>
        </w:rPr>
        <w:t>二、申请人的资格要求</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1.满足《中华人民共和国政府采购法》第二十二条规定；未被“信用中国”</w:t>
      </w:r>
    </w:p>
    <w:p>
      <w:pPr>
        <w:pStyle w:val="37"/>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（www.creditchina.gov.cn)、中国政府采购网（www.ccgp.gov.cn）列入失信被执行人、</w:t>
      </w:r>
    </w:p>
    <w:p>
      <w:pPr>
        <w:pStyle w:val="37"/>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重大税收违法案件当事人名单、政府采购严重违法失信行为记录名单。</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2.落实政府采购政策需满足的资格要求：</w:t>
      </w:r>
      <w:r>
        <w:rPr>
          <w:rFonts w:hint="eastAsia"/>
          <w:b/>
          <w:bCs/>
          <w:color w:val="auto"/>
          <w:kern w:val="2"/>
          <w:sz w:val="21"/>
          <w:szCs w:val="21"/>
          <w:highlight w:val="none"/>
        </w:rPr>
        <w:t>供应商为中小企业/小微企业。</w:t>
      </w:r>
      <w:r>
        <w:rPr>
          <w:rFonts w:hint="eastAsia"/>
          <w:color w:val="auto"/>
          <w:kern w:val="2"/>
          <w:sz w:val="21"/>
          <w:szCs w:val="21"/>
          <w:highlight w:val="none"/>
        </w:rPr>
        <w:t> </w:t>
      </w:r>
    </w:p>
    <w:p>
      <w:pPr>
        <w:pStyle w:val="37"/>
        <w:spacing w:before="0" w:beforeAutospacing="0" w:after="0" w:afterAutospacing="0" w:line="400" w:lineRule="exact"/>
        <w:ind w:firstLine="420" w:firstLineChars="200"/>
        <w:rPr>
          <w:rFonts w:ascii="宋体" w:hAnsi="宋体" w:cs="宋体"/>
          <w:color w:val="auto"/>
          <w:szCs w:val="21"/>
          <w:highlight w:val="none"/>
        </w:rPr>
      </w:pPr>
      <w:r>
        <w:rPr>
          <w:rFonts w:hint="eastAsia"/>
          <w:color w:val="auto"/>
          <w:kern w:val="2"/>
          <w:sz w:val="21"/>
          <w:szCs w:val="21"/>
          <w:highlight w:val="none"/>
        </w:rPr>
        <w:t>3.本项目的特定资格要求：无 </w:t>
      </w:r>
    </w:p>
    <w:p>
      <w:pPr>
        <w:pStyle w:val="37"/>
        <w:spacing w:before="0" w:beforeAutospacing="0" w:after="0" w:afterAutospacing="0" w:line="400" w:lineRule="exact"/>
        <w:outlineLvl w:val="1"/>
        <w:rPr>
          <w:b/>
          <w:bCs/>
          <w:color w:val="auto"/>
          <w:kern w:val="2"/>
          <w:sz w:val="21"/>
          <w:szCs w:val="21"/>
          <w:highlight w:val="none"/>
        </w:rPr>
      </w:pPr>
      <w:r>
        <w:rPr>
          <w:rFonts w:hint="eastAsia"/>
          <w:b/>
          <w:bCs/>
          <w:color w:val="auto"/>
          <w:kern w:val="2"/>
          <w:sz w:val="21"/>
          <w:szCs w:val="21"/>
          <w:highlight w:val="none"/>
        </w:rPr>
        <w:t>三、获取（下载）采购文件</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时间：至</w:t>
      </w:r>
      <w:r>
        <w:rPr>
          <w:rFonts w:hint="eastAsia"/>
          <w:color w:val="auto"/>
          <w:sz w:val="21"/>
          <w:szCs w:val="21"/>
          <w:highlight w:val="none"/>
          <w:lang w:eastAsia="zh-CN"/>
        </w:rPr>
        <w:t>2024</w:t>
      </w:r>
      <w:r>
        <w:rPr>
          <w:rFonts w:hint="eastAsia"/>
          <w:color w:val="auto"/>
          <w:sz w:val="21"/>
          <w:szCs w:val="21"/>
          <w:highlight w:val="none"/>
        </w:rPr>
        <w:t>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29</w:t>
      </w:r>
      <w:r>
        <w:rPr>
          <w:rFonts w:hint="eastAsia"/>
          <w:color w:val="auto"/>
          <w:sz w:val="21"/>
          <w:szCs w:val="21"/>
          <w:highlight w:val="none"/>
        </w:rPr>
        <w:t>日，每天上午00:00至12:00，下午12:00至23:59</w:t>
      </w:r>
    </w:p>
    <w:p>
      <w:pPr>
        <w:pStyle w:val="37"/>
        <w:spacing w:before="0" w:beforeAutospacing="0" w:after="0" w:afterAutospacing="0" w:line="400" w:lineRule="exact"/>
        <w:rPr>
          <w:color w:val="auto"/>
          <w:sz w:val="21"/>
          <w:szCs w:val="21"/>
          <w:highlight w:val="none"/>
        </w:rPr>
      </w:pPr>
      <w:r>
        <w:rPr>
          <w:rFonts w:hint="eastAsia"/>
          <w:color w:val="auto"/>
          <w:sz w:val="21"/>
          <w:szCs w:val="21"/>
          <w:highlight w:val="none"/>
        </w:rPr>
        <w:t>（北京时间，线上获取法定节假日均可，线下获取文件法定节假日除外）</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地点（网址）：政采云平台https://www.zcygov.cn/在线获取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方式：供应商登录政采云平台https://www.zcygov.cn/在线申请获取采购文件</w:t>
      </w:r>
    </w:p>
    <w:p>
      <w:pPr>
        <w:pStyle w:val="37"/>
        <w:spacing w:before="0" w:beforeAutospacing="0" w:after="0" w:afterAutospacing="0" w:line="400" w:lineRule="exact"/>
        <w:rPr>
          <w:color w:val="auto"/>
          <w:sz w:val="21"/>
          <w:szCs w:val="21"/>
          <w:highlight w:val="none"/>
        </w:rPr>
      </w:pPr>
      <w:r>
        <w:rPr>
          <w:rFonts w:hint="eastAsia"/>
          <w:color w:val="auto"/>
          <w:sz w:val="21"/>
          <w:szCs w:val="21"/>
          <w:highlight w:val="none"/>
        </w:rPr>
        <w:t>（进入“项目采购”应用，在获取采购文件菜单中选择项目，申请获取采购文件）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 </w:t>
      </w:r>
    </w:p>
    <w:p>
      <w:pPr>
        <w:pStyle w:val="37"/>
        <w:spacing w:before="0" w:beforeAutospacing="0" w:after="0" w:afterAutospacing="0" w:line="400" w:lineRule="exact"/>
        <w:outlineLvl w:val="1"/>
        <w:rPr>
          <w:b/>
          <w:bCs/>
          <w:color w:val="auto"/>
          <w:kern w:val="2"/>
          <w:sz w:val="21"/>
          <w:szCs w:val="21"/>
          <w:highlight w:val="none"/>
        </w:rPr>
      </w:pPr>
      <w:r>
        <w:rPr>
          <w:rFonts w:hint="eastAsia"/>
          <w:b/>
          <w:bCs/>
          <w:color w:val="auto"/>
          <w:kern w:val="2"/>
          <w:sz w:val="21"/>
          <w:szCs w:val="21"/>
          <w:highlight w:val="none"/>
        </w:rPr>
        <w:t>四、响应文件提交（上传）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截止时间：</w:t>
      </w:r>
      <w:r>
        <w:rPr>
          <w:rFonts w:hint="eastAsia"/>
          <w:color w:val="auto"/>
          <w:sz w:val="21"/>
          <w:szCs w:val="21"/>
          <w:highlight w:val="none"/>
          <w:lang w:eastAsia="zh-CN"/>
        </w:rPr>
        <w:t>2024</w:t>
      </w:r>
      <w:r>
        <w:rPr>
          <w:rFonts w:hint="eastAsia"/>
          <w:color w:val="auto"/>
          <w:sz w:val="21"/>
          <w:szCs w:val="21"/>
          <w:highlight w:val="none"/>
        </w:rPr>
        <w:t>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29</w:t>
      </w:r>
      <w:r>
        <w:rPr>
          <w:rFonts w:hint="eastAsia"/>
          <w:color w:val="auto"/>
          <w:sz w:val="21"/>
          <w:szCs w:val="21"/>
          <w:highlight w:val="none"/>
        </w:rPr>
        <w:t>日</w:t>
      </w:r>
      <w:r>
        <w:rPr>
          <w:rFonts w:hint="eastAsia"/>
          <w:color w:val="auto"/>
          <w:sz w:val="21"/>
          <w:szCs w:val="21"/>
          <w:highlight w:val="none"/>
          <w:lang w:val="en-US" w:eastAsia="zh-CN"/>
        </w:rPr>
        <w:t>10</w:t>
      </w:r>
      <w:r>
        <w:rPr>
          <w:rFonts w:hint="eastAsia"/>
          <w:color w:val="auto"/>
          <w:sz w:val="21"/>
          <w:szCs w:val="21"/>
          <w:highlight w:val="none"/>
        </w:rPr>
        <w:t>:</w:t>
      </w:r>
      <w:r>
        <w:rPr>
          <w:rFonts w:hint="eastAsia"/>
          <w:color w:val="auto"/>
          <w:sz w:val="21"/>
          <w:szCs w:val="21"/>
          <w:highlight w:val="none"/>
          <w:lang w:val="en-US" w:eastAsia="zh-CN"/>
        </w:rPr>
        <w:t>0</w:t>
      </w:r>
      <w:r>
        <w:rPr>
          <w:rFonts w:hint="eastAsia"/>
          <w:color w:val="auto"/>
          <w:sz w:val="21"/>
          <w:szCs w:val="21"/>
          <w:highlight w:val="none"/>
        </w:rPr>
        <w:t>0（北京时间）</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地点（网址）：政采云平台https://www.zcygov.cn/。本项目实行电子招投标，</w:t>
      </w:r>
    </w:p>
    <w:p>
      <w:pPr>
        <w:pStyle w:val="37"/>
        <w:spacing w:before="0" w:beforeAutospacing="0" w:after="0" w:afterAutospacing="0" w:line="400" w:lineRule="exact"/>
        <w:rPr>
          <w:color w:val="auto"/>
          <w:sz w:val="21"/>
          <w:szCs w:val="21"/>
          <w:highlight w:val="none"/>
        </w:rPr>
      </w:pPr>
      <w:r>
        <w:rPr>
          <w:rFonts w:hint="eastAsia"/>
          <w:color w:val="auto"/>
          <w:sz w:val="21"/>
          <w:szCs w:val="21"/>
          <w:highlight w:val="none"/>
        </w:rPr>
        <w:t>供应商须在响应文件截止时间前，前往政采云平台上传电子投标文件，无需到达现场提</w:t>
      </w:r>
    </w:p>
    <w:p>
      <w:pPr>
        <w:pStyle w:val="37"/>
        <w:spacing w:before="0" w:beforeAutospacing="0" w:after="0" w:afterAutospacing="0" w:line="400" w:lineRule="exact"/>
        <w:rPr>
          <w:color w:val="auto"/>
          <w:sz w:val="21"/>
          <w:szCs w:val="21"/>
          <w:highlight w:val="none"/>
        </w:rPr>
      </w:pPr>
      <w:r>
        <w:rPr>
          <w:rFonts w:hint="eastAsia"/>
          <w:color w:val="auto"/>
          <w:sz w:val="21"/>
          <w:szCs w:val="21"/>
          <w:highlight w:val="none"/>
        </w:rPr>
        <w:t>交响应文件。</w:t>
      </w:r>
    </w:p>
    <w:p>
      <w:pPr>
        <w:pStyle w:val="37"/>
        <w:spacing w:before="0" w:beforeAutospacing="0" w:after="0" w:afterAutospacing="0" w:line="400" w:lineRule="exact"/>
        <w:outlineLvl w:val="1"/>
        <w:rPr>
          <w:color w:val="auto"/>
          <w:kern w:val="2"/>
          <w:sz w:val="21"/>
          <w:szCs w:val="21"/>
          <w:highlight w:val="none"/>
        </w:rPr>
      </w:pPr>
      <w:r>
        <w:rPr>
          <w:rFonts w:hint="eastAsia"/>
          <w:b/>
          <w:bCs/>
          <w:color w:val="auto"/>
          <w:kern w:val="2"/>
          <w:sz w:val="21"/>
          <w:szCs w:val="21"/>
          <w:highlight w:val="none"/>
        </w:rPr>
        <w:t>五、响应文件开启</w:t>
      </w:r>
      <w:r>
        <w:rPr>
          <w:rFonts w:hint="eastAsia"/>
          <w:color w:val="auto"/>
          <w:kern w:val="2"/>
          <w:sz w:val="21"/>
          <w:szCs w:val="21"/>
          <w:highlight w:val="none"/>
        </w:rPr>
        <w:t>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开启时间：</w:t>
      </w:r>
      <w:r>
        <w:rPr>
          <w:rFonts w:hint="eastAsia"/>
          <w:color w:val="auto"/>
          <w:sz w:val="21"/>
          <w:szCs w:val="21"/>
          <w:highlight w:val="none"/>
          <w:lang w:eastAsia="zh-CN"/>
        </w:rPr>
        <w:t>2024</w:t>
      </w:r>
      <w:r>
        <w:rPr>
          <w:rFonts w:hint="eastAsia"/>
          <w:color w:val="auto"/>
          <w:sz w:val="21"/>
          <w:szCs w:val="21"/>
          <w:highlight w:val="none"/>
        </w:rPr>
        <w:t>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29</w:t>
      </w:r>
      <w:r>
        <w:rPr>
          <w:rFonts w:hint="eastAsia"/>
          <w:color w:val="auto"/>
          <w:sz w:val="21"/>
          <w:szCs w:val="21"/>
          <w:highlight w:val="none"/>
        </w:rPr>
        <w:t>日</w:t>
      </w:r>
      <w:r>
        <w:rPr>
          <w:rFonts w:hint="eastAsia"/>
          <w:color w:val="auto"/>
          <w:sz w:val="21"/>
          <w:szCs w:val="21"/>
          <w:highlight w:val="none"/>
          <w:lang w:val="en-US" w:eastAsia="zh-CN"/>
        </w:rPr>
        <w:t>10</w:t>
      </w:r>
      <w:r>
        <w:rPr>
          <w:rFonts w:hint="eastAsia"/>
          <w:color w:val="auto"/>
          <w:sz w:val="21"/>
          <w:szCs w:val="21"/>
          <w:highlight w:val="none"/>
        </w:rPr>
        <w:t>:</w:t>
      </w:r>
      <w:r>
        <w:rPr>
          <w:rFonts w:hint="eastAsia"/>
          <w:color w:val="auto"/>
          <w:sz w:val="21"/>
          <w:szCs w:val="21"/>
          <w:highlight w:val="none"/>
          <w:lang w:val="en-US" w:eastAsia="zh-CN"/>
        </w:rPr>
        <w:t>0</w:t>
      </w:r>
      <w:r>
        <w:rPr>
          <w:rFonts w:hint="eastAsia"/>
          <w:color w:val="auto"/>
          <w:sz w:val="21"/>
          <w:szCs w:val="21"/>
          <w:highlight w:val="none"/>
        </w:rPr>
        <w:t>0（北京时间）</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sz w:val="21"/>
          <w:szCs w:val="21"/>
          <w:highlight w:val="none"/>
        </w:rPr>
        <w:t>地点（网址）：缙云县公共资源交易中心</w:t>
      </w:r>
      <w:r>
        <w:rPr>
          <w:rFonts w:hint="eastAsia"/>
          <w:color w:val="auto"/>
          <w:sz w:val="21"/>
          <w:szCs w:val="21"/>
          <w:highlight w:val="none"/>
          <w:lang w:eastAsia="zh-CN"/>
        </w:rPr>
        <w:t>（缙云县五云街道新区黄龙路广电大楼六楼）</w:t>
      </w:r>
    </w:p>
    <w:p>
      <w:pPr>
        <w:pStyle w:val="37"/>
        <w:spacing w:before="0" w:beforeAutospacing="0" w:after="0" w:afterAutospacing="0" w:line="400" w:lineRule="exact"/>
        <w:outlineLvl w:val="1"/>
        <w:rPr>
          <w:b/>
          <w:bCs/>
          <w:color w:val="auto"/>
          <w:kern w:val="2"/>
          <w:sz w:val="21"/>
          <w:szCs w:val="21"/>
          <w:highlight w:val="none"/>
        </w:rPr>
      </w:pPr>
      <w:r>
        <w:rPr>
          <w:rFonts w:hint="eastAsia"/>
          <w:b/>
          <w:bCs/>
          <w:color w:val="auto"/>
          <w:kern w:val="2"/>
          <w:sz w:val="21"/>
          <w:szCs w:val="21"/>
          <w:highlight w:val="none"/>
        </w:rPr>
        <w:t>六、公告期限</w:t>
      </w:r>
    </w:p>
    <w:p>
      <w:pPr>
        <w:pStyle w:val="37"/>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   自本公告发布之日起</w:t>
      </w:r>
      <w:r>
        <w:rPr>
          <w:rFonts w:hint="eastAsia"/>
          <w:color w:val="auto"/>
          <w:kern w:val="2"/>
          <w:sz w:val="21"/>
          <w:szCs w:val="21"/>
          <w:highlight w:val="none"/>
          <w:lang w:val="en-US" w:eastAsia="zh-CN"/>
        </w:rPr>
        <w:t>3</w:t>
      </w:r>
      <w:r>
        <w:rPr>
          <w:rFonts w:hint="eastAsia"/>
          <w:color w:val="auto"/>
          <w:kern w:val="2"/>
          <w:sz w:val="21"/>
          <w:szCs w:val="21"/>
          <w:highlight w:val="none"/>
        </w:rPr>
        <w:t>个工作日。</w:t>
      </w:r>
    </w:p>
    <w:p>
      <w:pPr>
        <w:pStyle w:val="37"/>
        <w:spacing w:before="0" w:beforeAutospacing="0" w:after="0" w:afterAutospacing="0" w:line="400" w:lineRule="exact"/>
        <w:outlineLvl w:val="1"/>
        <w:rPr>
          <w:color w:val="auto"/>
          <w:kern w:val="2"/>
          <w:sz w:val="21"/>
          <w:szCs w:val="21"/>
          <w:highlight w:val="none"/>
        </w:rPr>
      </w:pPr>
      <w:r>
        <w:rPr>
          <w:rFonts w:hint="eastAsia"/>
          <w:b/>
          <w:bCs/>
          <w:color w:val="auto"/>
          <w:kern w:val="2"/>
          <w:sz w:val="21"/>
          <w:szCs w:val="21"/>
          <w:highlight w:val="none"/>
        </w:rPr>
        <w:t>七、其他补充事宜</w:t>
      </w:r>
      <w:r>
        <w:rPr>
          <w:rFonts w:hint="eastAsia"/>
          <w:color w:val="auto"/>
          <w:kern w:val="2"/>
          <w:sz w:val="21"/>
          <w:szCs w:val="21"/>
          <w:highlight w:val="none"/>
        </w:rPr>
        <w:t>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1.《浙江省财政厅关于进一步发挥政府采购政策功能全力推动经济稳进提质的通知》 （浙财采监（</w:t>
      </w:r>
      <w:r>
        <w:rPr>
          <w:rFonts w:hint="eastAsia"/>
          <w:color w:val="auto"/>
          <w:sz w:val="21"/>
          <w:szCs w:val="21"/>
          <w:highlight w:val="none"/>
          <w:lang w:eastAsia="zh-CN"/>
        </w:rPr>
        <w:t>202</w:t>
      </w:r>
      <w:r>
        <w:rPr>
          <w:rFonts w:hint="eastAsia"/>
          <w:color w:val="auto"/>
          <w:sz w:val="21"/>
          <w:szCs w:val="21"/>
          <w:highlight w:val="none"/>
          <w:lang w:val="en-US" w:eastAsia="zh-CN"/>
        </w:rPr>
        <w:t>2</w:t>
      </w:r>
      <w:r>
        <w:rPr>
          <w:rFonts w:hint="eastAsia"/>
          <w:color w:val="auto"/>
          <w:sz w:val="21"/>
          <w:szCs w:val="21"/>
          <w:highlight w:val="none"/>
        </w:rPr>
        <w:t>）3号）、《浙江省财政厅关于进一步促进政府采购公平竞争打造最优营商环境的通知》（浙财采监（2021）22号）已分别于</w:t>
      </w:r>
      <w:r>
        <w:rPr>
          <w:rFonts w:hint="eastAsia"/>
          <w:color w:val="auto"/>
          <w:sz w:val="21"/>
          <w:szCs w:val="21"/>
          <w:highlight w:val="none"/>
          <w:lang w:eastAsia="zh-CN"/>
        </w:rPr>
        <w:t>202</w:t>
      </w:r>
      <w:r>
        <w:rPr>
          <w:rFonts w:hint="eastAsia"/>
          <w:color w:val="auto"/>
          <w:sz w:val="21"/>
          <w:szCs w:val="21"/>
          <w:highlight w:val="none"/>
          <w:lang w:val="en-US" w:eastAsia="zh-CN"/>
        </w:rPr>
        <w:t>2</w:t>
      </w:r>
      <w:r>
        <w:rPr>
          <w:rFonts w:hint="eastAsia"/>
          <w:color w:val="auto"/>
          <w:sz w:val="21"/>
          <w:szCs w:val="21"/>
          <w:highlight w:val="none"/>
        </w:rPr>
        <w:t>年1月29日和</w:t>
      </w:r>
      <w:r>
        <w:rPr>
          <w:rFonts w:hint="eastAsia"/>
          <w:color w:val="auto"/>
          <w:sz w:val="21"/>
          <w:szCs w:val="21"/>
          <w:highlight w:val="none"/>
          <w:lang w:eastAsia="zh-CN"/>
        </w:rPr>
        <w:t>202</w:t>
      </w:r>
      <w:r>
        <w:rPr>
          <w:rFonts w:hint="eastAsia"/>
          <w:color w:val="auto"/>
          <w:sz w:val="21"/>
          <w:szCs w:val="21"/>
          <w:highlight w:val="none"/>
          <w:lang w:val="en-US" w:eastAsia="zh-CN"/>
        </w:rPr>
        <w:t>2</w:t>
      </w:r>
      <w:r>
        <w:rPr>
          <w:rFonts w:hint="eastAsia"/>
          <w:color w:val="auto"/>
          <w:sz w:val="21"/>
          <w:szCs w:val="21"/>
          <w:highlight w:val="none"/>
        </w:rPr>
        <w:t xml:space="preserve">年2月1日开始实施，此前有关规定与上述文件内容不一致的，按上述文件要求执行。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4.其他事项：/</w:t>
      </w:r>
    </w:p>
    <w:p>
      <w:pPr>
        <w:pStyle w:val="37"/>
        <w:spacing w:before="0" w:beforeAutospacing="0" w:after="0" w:afterAutospacing="0" w:line="400" w:lineRule="exact"/>
        <w:outlineLvl w:val="1"/>
        <w:rPr>
          <w:color w:val="auto"/>
          <w:kern w:val="2"/>
          <w:sz w:val="21"/>
          <w:szCs w:val="21"/>
          <w:highlight w:val="none"/>
        </w:rPr>
      </w:pPr>
      <w:bookmarkStart w:id="13" w:name="_Toc14035"/>
      <w:bookmarkStart w:id="14" w:name="_Toc1281"/>
      <w:bookmarkStart w:id="15" w:name="_Toc9010"/>
      <w:r>
        <w:rPr>
          <w:rFonts w:hint="eastAsia"/>
          <w:b/>
          <w:bCs/>
          <w:color w:val="auto"/>
          <w:kern w:val="2"/>
          <w:sz w:val="21"/>
          <w:szCs w:val="21"/>
          <w:highlight w:val="none"/>
        </w:rPr>
        <w:t>八、凡对本次招标提出询问，请按以下方式联系</w:t>
      </w:r>
    </w:p>
    <w:p>
      <w:pPr>
        <w:pStyle w:val="37"/>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1、采购人信息</w:t>
      </w:r>
    </w:p>
    <w:p>
      <w:pPr>
        <w:pStyle w:val="37"/>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名    称：</w:t>
      </w:r>
      <w:r>
        <w:rPr>
          <w:rFonts w:hint="eastAsia"/>
          <w:color w:val="auto"/>
          <w:sz w:val="21"/>
          <w:szCs w:val="21"/>
          <w:highlight w:val="none"/>
          <w:lang w:eastAsia="zh-CN"/>
        </w:rPr>
        <w:t>缙云县公安局</w:t>
      </w:r>
    </w:p>
    <w:p>
      <w:pPr>
        <w:pStyle w:val="37"/>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地    址：</w:t>
      </w:r>
      <w:r>
        <w:rPr>
          <w:rFonts w:hint="eastAsia"/>
          <w:color w:val="auto"/>
          <w:sz w:val="21"/>
          <w:szCs w:val="21"/>
          <w:highlight w:val="none"/>
          <w:lang w:eastAsia="zh-CN"/>
        </w:rPr>
        <w:t>缙云县五云街道蓬莱路1号</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w:t>
      </w:r>
      <w:r>
        <w:rPr>
          <w:rFonts w:hint="eastAsia"/>
          <w:color w:val="auto"/>
          <w:sz w:val="21"/>
          <w:szCs w:val="21"/>
          <w:highlight w:val="none"/>
          <w:lang w:eastAsia="zh-CN"/>
        </w:rPr>
        <w:t>胡蓓</w:t>
      </w:r>
      <w:r>
        <w:rPr>
          <w:rFonts w:hint="eastAsia"/>
          <w:color w:val="auto"/>
          <w:sz w:val="21"/>
          <w:szCs w:val="21"/>
          <w:highlight w:val="none"/>
        </w:rPr>
        <w:t> </w:t>
      </w:r>
    </w:p>
    <w:p>
      <w:pPr>
        <w:pStyle w:val="37"/>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rPr>
        <w:t>项目联系方式（</w:t>
      </w:r>
      <w:r>
        <w:rPr>
          <w:rFonts w:hint="eastAsia"/>
          <w:color w:val="auto"/>
          <w:sz w:val="21"/>
          <w:szCs w:val="21"/>
          <w:highlight w:val="none"/>
          <w:lang w:eastAsia="zh-CN"/>
        </w:rPr>
        <w:t>询问）：13625780693</w:t>
      </w:r>
    </w:p>
    <w:p>
      <w:pPr>
        <w:pStyle w:val="37"/>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lang w:eastAsia="zh-CN"/>
        </w:rPr>
        <w:t>质疑联系人：胡蓓 </w:t>
      </w:r>
    </w:p>
    <w:p>
      <w:pPr>
        <w:pStyle w:val="37"/>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lang w:eastAsia="zh-CN"/>
        </w:rPr>
        <w:t>质疑联系方式：13625780693 </w:t>
      </w:r>
    </w:p>
    <w:p>
      <w:pPr>
        <w:pStyle w:val="37"/>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2、采购代理机构信息</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sz w:val="21"/>
          <w:szCs w:val="21"/>
          <w:highlight w:val="none"/>
        </w:rPr>
        <w:t>名    称：</w:t>
      </w:r>
      <w:r>
        <w:rPr>
          <w:rFonts w:hint="eastAsia"/>
          <w:color w:val="auto"/>
          <w:kern w:val="2"/>
          <w:sz w:val="21"/>
          <w:szCs w:val="21"/>
          <w:highlight w:val="none"/>
        </w:rPr>
        <w:t xml:space="preserve">浙江鼎峰工程咨询有限公司 </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sz w:val="21"/>
          <w:szCs w:val="21"/>
          <w:highlight w:val="none"/>
        </w:rPr>
        <w:t>地    址：</w:t>
      </w:r>
      <w:r>
        <w:rPr>
          <w:rFonts w:hint="eastAsia"/>
          <w:color w:val="auto"/>
          <w:kern w:val="2"/>
          <w:sz w:val="21"/>
          <w:szCs w:val="21"/>
          <w:highlight w:val="none"/>
        </w:rPr>
        <w:t>缙云县城新区江滨巷17号301室</w:t>
      </w:r>
    </w:p>
    <w:p>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传    真：</w:t>
      </w:r>
      <w:r>
        <w:rPr>
          <w:rFonts w:hint="eastAsia" w:ascii="宋体" w:hAnsi="宋体" w:cs="宋体"/>
          <w:color w:val="auto"/>
          <w:szCs w:val="21"/>
          <w:highlight w:val="none"/>
        </w:rPr>
        <w:t>0578-3311234</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sz w:val="21"/>
          <w:szCs w:val="21"/>
          <w:highlight w:val="none"/>
        </w:rPr>
        <w:t>项目联系人（询问）</w:t>
      </w:r>
      <w:r>
        <w:rPr>
          <w:rFonts w:hint="eastAsia"/>
          <w:color w:val="auto"/>
          <w:kern w:val="2"/>
          <w:sz w:val="21"/>
          <w:szCs w:val="21"/>
          <w:highlight w:val="none"/>
        </w:rPr>
        <w:t>：陈力兵</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sz w:val="21"/>
          <w:szCs w:val="21"/>
          <w:highlight w:val="none"/>
        </w:rPr>
        <w:t>项目联系方式（询问）</w:t>
      </w:r>
      <w:r>
        <w:rPr>
          <w:rFonts w:hint="eastAsia"/>
          <w:color w:val="auto"/>
          <w:kern w:val="2"/>
          <w:sz w:val="21"/>
          <w:szCs w:val="21"/>
          <w:highlight w:val="none"/>
        </w:rPr>
        <w:t>：0578-3311234</w:t>
      </w:r>
    </w:p>
    <w:p>
      <w:pPr>
        <w:pStyle w:val="37"/>
        <w:spacing w:before="0" w:beforeAutospacing="0" w:after="0" w:afterAutospacing="0" w:line="400" w:lineRule="exact"/>
        <w:ind w:firstLine="420" w:firstLineChars="200"/>
        <w:rPr>
          <w:rFonts w:hint="eastAsia" w:eastAsia="宋体"/>
          <w:color w:val="auto"/>
          <w:kern w:val="2"/>
          <w:sz w:val="21"/>
          <w:szCs w:val="21"/>
          <w:highlight w:val="none"/>
          <w:lang w:eastAsia="zh-CN"/>
        </w:rPr>
      </w:pPr>
      <w:r>
        <w:rPr>
          <w:rFonts w:hint="eastAsia"/>
          <w:color w:val="auto"/>
          <w:sz w:val="21"/>
          <w:szCs w:val="21"/>
          <w:highlight w:val="none"/>
        </w:rPr>
        <w:t>质疑联系人</w:t>
      </w:r>
      <w:r>
        <w:rPr>
          <w:rFonts w:hint="eastAsia"/>
          <w:color w:val="auto"/>
          <w:kern w:val="2"/>
          <w:sz w:val="21"/>
          <w:szCs w:val="21"/>
          <w:highlight w:val="none"/>
        </w:rPr>
        <w:t>：</w:t>
      </w:r>
      <w:r>
        <w:rPr>
          <w:rFonts w:hint="eastAsia"/>
          <w:color w:val="auto"/>
          <w:kern w:val="2"/>
          <w:sz w:val="21"/>
          <w:szCs w:val="21"/>
          <w:highlight w:val="none"/>
          <w:lang w:eastAsia="zh-CN"/>
        </w:rPr>
        <w:t>徐如锐</w:t>
      </w:r>
    </w:p>
    <w:p>
      <w:pPr>
        <w:pStyle w:val="37"/>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质疑联系方式：0578-3311234</w:t>
      </w:r>
    </w:p>
    <w:p>
      <w:pPr>
        <w:pStyle w:val="37"/>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3、同级政府采购监督管理部门</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    称：缙云县财政局政府采购监管科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    址：缙云县财政大楼7楼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     真：0578-3318985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联系人 ：朱航 </w:t>
      </w:r>
    </w:p>
    <w:p>
      <w:pPr>
        <w:pStyle w:val="37"/>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监督投诉电话：0578-3318985</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政采云热线人工客服咨询电话：95763（工作时间：工作日08:00~20：00）。</w:t>
      </w:r>
    </w:p>
    <w:p>
      <w:pPr>
        <w:pStyle w:val="37"/>
        <w:spacing w:before="0" w:beforeAutospacing="0" w:after="0" w:afterAutospacing="0" w:line="400" w:lineRule="exact"/>
        <w:ind w:firstLine="210" w:firstLineChars="100"/>
        <w:jc w:val="right"/>
        <w:rPr>
          <w:rFonts w:hint="eastAsia" w:eastAsia="宋体"/>
          <w:color w:val="auto"/>
          <w:sz w:val="21"/>
          <w:szCs w:val="21"/>
          <w:highlight w:val="none"/>
          <w:lang w:eastAsia="zh-CN"/>
        </w:rPr>
      </w:pPr>
      <w:bookmarkStart w:id="16" w:name="_Toc17046"/>
      <w:r>
        <w:rPr>
          <w:rFonts w:hint="eastAsia"/>
          <w:color w:val="auto"/>
          <w:sz w:val="21"/>
          <w:szCs w:val="21"/>
          <w:highlight w:val="none"/>
        </w:rPr>
        <w:t>采购人：</w:t>
      </w:r>
      <w:bookmarkEnd w:id="16"/>
      <w:r>
        <w:rPr>
          <w:rFonts w:hint="eastAsia"/>
          <w:color w:val="auto"/>
          <w:sz w:val="21"/>
          <w:szCs w:val="21"/>
          <w:highlight w:val="none"/>
          <w:lang w:eastAsia="zh-CN"/>
        </w:rPr>
        <w:t>缙云县公安局</w:t>
      </w:r>
    </w:p>
    <w:p>
      <w:pPr>
        <w:pStyle w:val="37"/>
        <w:spacing w:before="0" w:beforeAutospacing="0" w:after="0" w:afterAutospacing="0" w:line="400" w:lineRule="exact"/>
        <w:ind w:firstLine="210" w:firstLineChars="100"/>
        <w:jc w:val="right"/>
        <w:rPr>
          <w:color w:val="auto"/>
          <w:sz w:val="21"/>
          <w:szCs w:val="21"/>
          <w:highlight w:val="none"/>
        </w:rPr>
      </w:pPr>
      <w:r>
        <w:rPr>
          <w:rFonts w:hint="eastAsia"/>
          <w:color w:val="auto"/>
          <w:sz w:val="21"/>
          <w:szCs w:val="21"/>
          <w:highlight w:val="none"/>
        </w:rPr>
        <w:t xml:space="preserve">                             采购代理机构：</w:t>
      </w:r>
      <w:r>
        <w:rPr>
          <w:rFonts w:hint="eastAsia"/>
          <w:color w:val="auto"/>
          <w:kern w:val="2"/>
          <w:sz w:val="21"/>
          <w:szCs w:val="21"/>
          <w:highlight w:val="none"/>
        </w:rPr>
        <w:t>浙江鼎峰工程咨询有限公司</w:t>
      </w:r>
    </w:p>
    <w:p>
      <w:pPr>
        <w:rPr>
          <w:rFonts w:ascii="宋体" w:hAnsi="宋体" w:cs="宋体"/>
          <w:color w:val="auto"/>
          <w:highlight w:val="none"/>
        </w:rPr>
      </w:pPr>
    </w:p>
    <w:p>
      <w:pPr>
        <w:rPr>
          <w:rStyle w:val="60"/>
          <w:rFonts w:ascii="宋体" w:hAnsi="宋体" w:cs="宋体"/>
          <w:color w:val="auto"/>
          <w:sz w:val="44"/>
          <w:szCs w:val="44"/>
          <w:highlight w:val="none"/>
        </w:rPr>
      </w:pPr>
      <w:r>
        <w:rPr>
          <w:rStyle w:val="60"/>
          <w:rFonts w:hint="eastAsia" w:ascii="宋体" w:hAnsi="宋体" w:cs="宋体"/>
          <w:color w:val="auto"/>
          <w:sz w:val="44"/>
          <w:szCs w:val="44"/>
          <w:highlight w:val="none"/>
        </w:rPr>
        <w:br w:type="page"/>
      </w:r>
    </w:p>
    <w:p>
      <w:pPr>
        <w:pStyle w:val="194"/>
        <w:widowControl w:val="0"/>
        <w:spacing w:afterLines="0" w:line="360" w:lineRule="auto"/>
        <w:ind w:firstLine="0" w:firstLineChars="0"/>
        <w:jc w:val="center"/>
        <w:outlineLvl w:val="0"/>
        <w:rPr>
          <w:rStyle w:val="60"/>
          <w:rFonts w:ascii="宋体" w:hAnsi="宋体" w:cs="宋体"/>
          <w:color w:val="auto"/>
          <w:szCs w:val="32"/>
          <w:highlight w:val="none"/>
        </w:rPr>
      </w:pPr>
      <w:bookmarkStart w:id="17" w:name="_Toc18372"/>
      <w:r>
        <w:rPr>
          <w:rStyle w:val="60"/>
          <w:rFonts w:hint="eastAsia" w:ascii="宋体" w:hAnsi="宋体" w:cs="宋体"/>
          <w:color w:val="auto"/>
          <w:szCs w:val="32"/>
          <w:highlight w:val="none"/>
        </w:rPr>
        <w:t>第二章</w:t>
      </w:r>
      <w:r>
        <w:rPr>
          <w:rStyle w:val="60"/>
          <w:rFonts w:hint="eastAsia" w:ascii="宋体" w:hAnsi="宋体" w:cs="宋体"/>
          <w:color w:val="auto"/>
          <w:szCs w:val="32"/>
          <w:highlight w:val="none"/>
          <w:lang w:val="en-US"/>
        </w:rPr>
        <w:t xml:space="preserve"> </w:t>
      </w:r>
      <w:r>
        <w:rPr>
          <w:rStyle w:val="60"/>
          <w:rFonts w:hint="eastAsia" w:ascii="宋体" w:hAnsi="宋体" w:cs="宋体"/>
          <w:color w:val="auto"/>
          <w:szCs w:val="32"/>
          <w:highlight w:val="none"/>
        </w:rPr>
        <w:t>采购需求</w:t>
      </w:r>
      <w:bookmarkEnd w:id="13"/>
      <w:bookmarkEnd w:id="14"/>
      <w:bookmarkEnd w:id="15"/>
      <w:bookmarkEnd w:id="17"/>
      <w:bookmarkStart w:id="18" w:name="_Toc5430"/>
      <w:bookmarkStart w:id="19" w:name="_Toc5833"/>
      <w:bookmarkStart w:id="20" w:name="_Toc10593"/>
      <w:bookmarkStart w:id="21" w:name="_Toc359934557"/>
      <w:bookmarkStart w:id="22" w:name="_Toc301187521"/>
      <w:bookmarkStart w:id="23" w:name="_Toc5219"/>
      <w:bookmarkStart w:id="24" w:name="_Toc303756362"/>
    </w:p>
    <w:bookmarkEnd w:id="18"/>
    <w:p>
      <w:pPr>
        <w:pStyle w:val="3"/>
        <w:rPr>
          <w:color w:val="auto"/>
          <w:highlight w:val="none"/>
        </w:rPr>
      </w:pPr>
      <w:bookmarkStart w:id="25" w:name="_Toc2519"/>
      <w:bookmarkStart w:id="26" w:name="_Toc28573"/>
      <w:r>
        <w:rPr>
          <w:rFonts w:hint="eastAsia"/>
          <w:color w:val="auto"/>
          <w:sz w:val="28"/>
          <w:szCs w:val="44"/>
          <w:highlight w:val="none"/>
        </w:rPr>
        <w:t>一、建设项目概况</w:t>
      </w:r>
    </w:p>
    <w:p>
      <w:pPr>
        <w:pStyle w:val="25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缙云县公安局及下属各单位的执法办案区有300路视频监控，原建设一套督察平台视频云存储系统，因不能满足上级公安机关对监控录像存储时间六个月以上的要求，需要对现有督察平台视频云存储系统进行能力扩容，</w:t>
      </w:r>
      <w:r>
        <w:rPr>
          <w:rFonts w:hint="eastAsia" w:ascii="宋体" w:hAnsi="宋体" w:eastAsia="宋体" w:cs="宋体"/>
          <w:color w:val="auto"/>
          <w:kern w:val="0"/>
          <w:sz w:val="21"/>
          <w:szCs w:val="21"/>
          <w:highlight w:val="none"/>
        </w:rPr>
        <w:t>建设后的视频云存储系统能够满足现有视频点位的存储时间需求。同时</w:t>
      </w:r>
      <w:r>
        <w:rPr>
          <w:rFonts w:hint="eastAsia" w:ascii="宋体" w:hAnsi="宋体" w:eastAsia="宋体" w:cs="宋体"/>
          <w:color w:val="auto"/>
          <w:sz w:val="21"/>
          <w:szCs w:val="21"/>
          <w:highlight w:val="none"/>
        </w:rPr>
        <w:t>根据丽水市公安局《关于推广执法全过程音视频工作平台的通知》，需要对缙云县公安局情指、法制视音频现有管理系统进行架构重构，响应全市涉案音视频“统一平台、统一存储、共建共享”规划，采购执法音视频存储服务、采集站改造服务满足缙云公安执法音视频存储需求。</w:t>
      </w:r>
    </w:p>
    <w:p>
      <w:pPr>
        <w:spacing w:line="360" w:lineRule="auto"/>
        <w:ind w:firstLine="420" w:firstLineChars="200"/>
        <w:rPr>
          <w:color w:val="auto"/>
          <w:highlight w:val="none"/>
        </w:rPr>
      </w:pPr>
      <w:r>
        <w:rPr>
          <w:rFonts w:hint="eastAsia" w:ascii="宋体" w:hAnsi="宋体" w:eastAsia="宋体" w:cs="宋体"/>
          <w:color w:val="auto"/>
          <w:sz w:val="21"/>
          <w:szCs w:val="21"/>
          <w:highlight w:val="none"/>
        </w:rPr>
        <w:t>本项目采用以服务租赁的形式进行采购，平台所有软硬件由中标方投资建设，并由中标人为采购方提供设备运营与维护服务。项目建成验收合格后，采购人以实际服务需求按月向中标方付租费。平台租赁服务</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年期满双方解除服务合同后，本建设项目所有权归采购方所有。</w:t>
      </w:r>
    </w:p>
    <w:p>
      <w:pPr>
        <w:pStyle w:val="3"/>
        <w:rPr>
          <w:rFonts w:ascii="仿宋_GB2312" w:hAnsi="仿宋_GB2312" w:eastAsia="仿宋_GB2312" w:cs="仿宋_GB2312"/>
          <w:color w:val="auto"/>
          <w:sz w:val="24"/>
          <w:szCs w:val="24"/>
          <w:highlight w:val="none"/>
        </w:rPr>
      </w:pPr>
      <w:r>
        <w:rPr>
          <w:rFonts w:hint="eastAsia"/>
          <w:color w:val="auto"/>
          <w:sz w:val="28"/>
          <w:szCs w:val="44"/>
          <w:highlight w:val="none"/>
        </w:rPr>
        <w:t>二、建设项目整体框架服务需求</w:t>
      </w:r>
    </w:p>
    <w:p>
      <w:pPr>
        <w:pStyle w:val="253"/>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（1）办案区视频存储服务</w:t>
      </w:r>
    </w:p>
    <w:p>
      <w:pPr>
        <w:pStyle w:val="253"/>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项目建设平台能提供基于云存储服务并满足执法办案区300路督察视频监控存储时限6个月及以上的服务需求。</w:t>
      </w:r>
    </w:p>
    <w:p>
      <w:pPr>
        <w:pStyle w:val="253"/>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（2）音视频采集站改造服务</w:t>
      </w:r>
    </w:p>
    <w:p>
      <w:pPr>
        <w:pStyle w:val="253"/>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rPr>
        <w:t>采购方</w:t>
      </w:r>
      <w:r>
        <w:rPr>
          <w:rFonts w:hint="eastAsia" w:ascii="宋体" w:hAnsi="宋体" w:eastAsia="宋体" w:cs="宋体"/>
          <w:color w:val="auto"/>
          <w:sz w:val="21"/>
          <w:szCs w:val="21"/>
          <w:highlight w:val="none"/>
          <w:lang w:val="zh-CN"/>
        </w:rPr>
        <w:t>现有17台采集站进行改造，</w:t>
      </w:r>
      <w:r>
        <w:rPr>
          <w:rFonts w:hint="eastAsia" w:ascii="宋体" w:hAnsi="宋体" w:eastAsia="宋体" w:cs="宋体"/>
          <w:color w:val="auto"/>
          <w:sz w:val="21"/>
          <w:szCs w:val="21"/>
          <w:highlight w:val="none"/>
        </w:rPr>
        <w:t>能</w:t>
      </w:r>
      <w:r>
        <w:rPr>
          <w:rFonts w:hint="eastAsia" w:ascii="宋体" w:hAnsi="宋体" w:eastAsia="宋体" w:cs="宋体"/>
          <w:color w:val="auto"/>
          <w:sz w:val="21"/>
          <w:szCs w:val="21"/>
          <w:highlight w:val="none"/>
          <w:lang w:val="zh-CN"/>
        </w:rPr>
        <w:t>实现执法记录仪插入采集站即可自动上传音视频文件至视仓平台</w:t>
      </w:r>
      <w:r>
        <w:rPr>
          <w:rFonts w:hint="eastAsia" w:ascii="宋体" w:hAnsi="宋体" w:eastAsia="宋体" w:cs="宋体"/>
          <w:color w:val="auto"/>
          <w:sz w:val="21"/>
          <w:szCs w:val="21"/>
          <w:highlight w:val="none"/>
        </w:rPr>
        <w:t>的服务</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 xml:space="preserve"> </w:t>
      </w:r>
    </w:p>
    <w:p>
      <w:pPr>
        <w:pStyle w:val="253"/>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（3）执法音视频存储服务</w:t>
      </w:r>
    </w:p>
    <w:p>
      <w:pPr>
        <w:pStyle w:val="253"/>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采购现场</w:t>
      </w:r>
      <w:r>
        <w:rPr>
          <w:rFonts w:hint="eastAsia" w:ascii="宋体" w:hAnsi="宋体" w:eastAsia="宋体" w:cs="宋体"/>
          <w:color w:val="auto"/>
          <w:sz w:val="21"/>
          <w:szCs w:val="21"/>
          <w:highlight w:val="none"/>
          <w:lang w:val="zh-CN"/>
        </w:rPr>
        <w:t>执法音视频云存储设备纳入</w:t>
      </w:r>
      <w:r>
        <w:rPr>
          <w:rFonts w:hint="eastAsia" w:ascii="宋体" w:hAnsi="宋体" w:eastAsia="宋体" w:cs="宋体"/>
          <w:color w:val="auto"/>
          <w:sz w:val="21"/>
          <w:szCs w:val="21"/>
          <w:highlight w:val="none"/>
        </w:rPr>
        <w:t>视仓多跨应用平台</w:t>
      </w:r>
      <w:r>
        <w:rPr>
          <w:rFonts w:hint="eastAsia" w:ascii="宋体" w:hAnsi="宋体" w:eastAsia="宋体" w:cs="宋体"/>
          <w:color w:val="auto"/>
          <w:sz w:val="21"/>
          <w:szCs w:val="21"/>
          <w:highlight w:val="none"/>
          <w:lang w:val="zh-CN"/>
        </w:rPr>
        <w:t>中心存储做统一管理，用于存储现场执法音视频。</w:t>
      </w:r>
    </w:p>
    <w:p>
      <w:pPr>
        <w:pStyle w:val="3"/>
        <w:rPr>
          <w:color w:val="auto"/>
          <w:sz w:val="28"/>
          <w:szCs w:val="44"/>
          <w:highlight w:val="none"/>
        </w:rPr>
      </w:pPr>
      <w:r>
        <w:rPr>
          <w:rFonts w:hint="eastAsia"/>
          <w:color w:val="auto"/>
          <w:sz w:val="28"/>
          <w:szCs w:val="44"/>
          <w:highlight w:val="none"/>
        </w:rPr>
        <w:t>三、建设项目平台整体服务性能需求</w:t>
      </w:r>
    </w:p>
    <w:p>
      <w:pPr>
        <w:pStyle w:val="253"/>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基于本项目需满足全市涉案音视频“统一平台、统一存储、共建共享”规划要求和储存性能要求，特对硬件要求、软件服务及其他服务内容做出如下要求：</w:t>
      </w:r>
    </w:p>
    <w:p>
      <w:pPr>
        <w:pStyle w:val="253"/>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3.1硬件</w:t>
      </w:r>
      <w:r>
        <w:rPr>
          <w:rFonts w:hint="eastAsia" w:ascii="宋体" w:hAnsi="宋体" w:eastAsia="宋体" w:cs="宋体"/>
          <w:b/>
          <w:bCs/>
          <w:color w:val="auto"/>
          <w:sz w:val="21"/>
          <w:szCs w:val="21"/>
          <w:highlight w:val="none"/>
        </w:rPr>
        <w:t>要求</w:t>
      </w:r>
    </w:p>
    <w:p>
      <w:pPr>
        <w:pStyle w:val="253"/>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（1）督察视频</w:t>
      </w:r>
      <w:r>
        <w:rPr>
          <w:rFonts w:hint="eastAsia" w:ascii="宋体" w:hAnsi="宋体" w:eastAsia="宋体" w:cs="宋体"/>
          <w:color w:val="auto"/>
          <w:sz w:val="21"/>
          <w:szCs w:val="21"/>
          <w:highlight w:val="none"/>
        </w:rPr>
        <w:t>硬件配置不得低于三个云存储节点，具备</w:t>
      </w:r>
      <w:r>
        <w:rPr>
          <w:rFonts w:hint="eastAsia" w:ascii="宋体" w:hAnsi="宋体" w:eastAsia="宋体" w:cs="宋体"/>
          <w:color w:val="auto"/>
          <w:sz w:val="21"/>
          <w:szCs w:val="21"/>
          <w:highlight w:val="none"/>
          <w:lang w:val="zh-CN"/>
        </w:rPr>
        <w:t>144块10TB硬盘，</w:t>
      </w:r>
      <w:r>
        <w:rPr>
          <w:rFonts w:hint="eastAsia" w:ascii="宋体" w:hAnsi="宋体" w:eastAsia="宋体" w:cs="宋体"/>
          <w:color w:val="auto"/>
          <w:sz w:val="21"/>
          <w:szCs w:val="21"/>
          <w:highlight w:val="none"/>
        </w:rPr>
        <w:t>来满足300路视频监控6个月的</w:t>
      </w:r>
      <w:r>
        <w:rPr>
          <w:rFonts w:hint="eastAsia" w:ascii="宋体" w:hAnsi="宋体" w:eastAsia="宋体" w:cs="宋体"/>
          <w:color w:val="auto"/>
          <w:sz w:val="21"/>
          <w:szCs w:val="21"/>
          <w:highlight w:val="none"/>
          <w:lang w:val="zh-CN"/>
        </w:rPr>
        <w:t>存储</w:t>
      </w:r>
      <w:r>
        <w:rPr>
          <w:rFonts w:hint="eastAsia" w:ascii="宋体" w:hAnsi="宋体" w:eastAsia="宋体" w:cs="宋体"/>
          <w:color w:val="auto"/>
          <w:sz w:val="21"/>
          <w:szCs w:val="21"/>
          <w:highlight w:val="none"/>
        </w:rPr>
        <w:t>时限</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（具体参数见下表）</w:t>
      </w:r>
    </w:p>
    <w:p>
      <w:pPr>
        <w:pStyle w:val="253"/>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（2）执法音视频</w:t>
      </w:r>
      <w:r>
        <w:rPr>
          <w:rFonts w:hint="eastAsia" w:ascii="宋体" w:hAnsi="宋体" w:eastAsia="宋体" w:cs="宋体"/>
          <w:color w:val="auto"/>
          <w:sz w:val="21"/>
          <w:szCs w:val="21"/>
          <w:highlight w:val="none"/>
        </w:rPr>
        <w:t>硬件配置不得低于1个云存储节点</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zh-CN"/>
        </w:rPr>
        <w:t>48块8TB硬盘，</w:t>
      </w:r>
      <w:r>
        <w:rPr>
          <w:rFonts w:hint="eastAsia" w:ascii="宋体" w:hAnsi="宋体" w:eastAsia="宋体" w:cs="宋体"/>
          <w:color w:val="auto"/>
          <w:sz w:val="21"/>
          <w:szCs w:val="21"/>
          <w:highlight w:val="none"/>
        </w:rPr>
        <w:t>来</w:t>
      </w:r>
      <w:r>
        <w:rPr>
          <w:rFonts w:hint="eastAsia" w:ascii="宋体" w:hAnsi="宋体" w:eastAsia="宋体" w:cs="宋体"/>
          <w:color w:val="auto"/>
          <w:sz w:val="21"/>
          <w:szCs w:val="21"/>
          <w:highlight w:val="none"/>
          <w:lang w:val="zh-CN"/>
        </w:rPr>
        <w:t>满足缙云公安执法音视频存储需求。</w:t>
      </w:r>
      <w:r>
        <w:rPr>
          <w:rFonts w:hint="eastAsia" w:ascii="宋体" w:hAnsi="宋体" w:eastAsia="宋体" w:cs="宋体"/>
          <w:color w:val="auto"/>
          <w:sz w:val="21"/>
          <w:szCs w:val="21"/>
          <w:highlight w:val="none"/>
        </w:rPr>
        <w:t>（具体参数见下表）</w:t>
      </w:r>
    </w:p>
    <w:p>
      <w:pPr>
        <w:pStyle w:val="253"/>
        <w:spacing w:line="360" w:lineRule="auto"/>
        <w:ind w:firstLine="480"/>
        <w:rPr>
          <w:rFonts w:ascii="仿宋_GB2312" w:hAnsi="仿宋_GB2312" w:eastAsia="仿宋_GB2312" w:cs="仿宋_GB2312"/>
          <w:color w:val="auto"/>
          <w:sz w:val="24"/>
          <w:szCs w:val="24"/>
          <w:highlight w:val="none"/>
        </w:rPr>
      </w:pPr>
      <w:r>
        <w:rPr>
          <w:rFonts w:hint="eastAsia" w:ascii="宋体" w:hAnsi="宋体" w:eastAsia="宋体" w:cs="宋体"/>
          <w:color w:val="auto"/>
          <w:sz w:val="21"/>
          <w:szCs w:val="21"/>
          <w:highlight w:val="none"/>
        </w:rPr>
        <w:t>硬件技术参数如下：</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6095"/>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6A6A6"/>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s="宋体"/>
                <w:b/>
                <w:bCs/>
                <w:color w:val="auto"/>
                <w:kern w:val="0"/>
                <w:szCs w:val="21"/>
                <w:highlight w:val="none"/>
              </w:rPr>
              <w:t>序号</w:t>
            </w:r>
          </w:p>
        </w:tc>
        <w:tc>
          <w:tcPr>
            <w:tcW w:w="1418" w:type="dxa"/>
            <w:shd w:val="clear" w:color="auto" w:fill="A6A6A6"/>
            <w:vAlign w:val="center"/>
          </w:tcPr>
          <w:p>
            <w:pPr>
              <w:pStyle w:val="5"/>
              <w:spacing w:before="156" w:beforeLines="50" w:after="156" w:afterLines="50"/>
              <w:ind w:firstLine="0"/>
              <w:jc w:val="center"/>
              <w:rPr>
                <w:rFonts w:ascii="宋体" w:hAnsi="宋体"/>
                <w:color w:val="auto"/>
                <w:szCs w:val="21"/>
                <w:highlight w:val="none"/>
              </w:rPr>
            </w:pPr>
            <w:r>
              <w:rPr>
                <w:rFonts w:hint="eastAsia" w:ascii="宋体" w:hAnsi="宋体" w:cs="宋体"/>
                <w:b/>
                <w:bCs/>
                <w:color w:val="auto"/>
                <w:kern w:val="0"/>
                <w:szCs w:val="21"/>
                <w:highlight w:val="none"/>
              </w:rPr>
              <w:t>产品名称</w:t>
            </w:r>
          </w:p>
        </w:tc>
        <w:tc>
          <w:tcPr>
            <w:tcW w:w="6095" w:type="dxa"/>
            <w:shd w:val="clear" w:color="auto" w:fill="A6A6A6"/>
            <w:vAlign w:val="center"/>
          </w:tcPr>
          <w:p>
            <w:pPr>
              <w:pStyle w:val="5"/>
              <w:spacing w:before="156" w:beforeLines="50" w:after="156" w:afterLines="50"/>
              <w:ind w:firstLine="0"/>
              <w:jc w:val="center"/>
              <w:rPr>
                <w:rFonts w:ascii="宋体" w:hAnsi="宋体"/>
                <w:color w:val="auto"/>
                <w:szCs w:val="21"/>
                <w:highlight w:val="none"/>
              </w:rPr>
            </w:pPr>
            <w:r>
              <w:rPr>
                <w:rFonts w:hint="eastAsia" w:ascii="宋体" w:hAnsi="宋体" w:cs="宋体"/>
                <w:b/>
                <w:bCs/>
                <w:color w:val="auto"/>
                <w:kern w:val="0"/>
                <w:szCs w:val="21"/>
                <w:highlight w:val="none"/>
              </w:rPr>
              <w:t>主要技术指标</w:t>
            </w:r>
          </w:p>
        </w:tc>
        <w:tc>
          <w:tcPr>
            <w:tcW w:w="709" w:type="dxa"/>
            <w:shd w:val="clear" w:color="auto" w:fill="A6A6A6"/>
            <w:vAlign w:val="center"/>
          </w:tcPr>
          <w:p>
            <w:pPr>
              <w:pStyle w:val="5"/>
              <w:spacing w:before="156" w:beforeLines="50" w:after="156" w:afterLines="50"/>
              <w:ind w:firstLine="0"/>
              <w:jc w:val="center"/>
              <w:rPr>
                <w:rFonts w:ascii="宋体" w:hAnsi="宋体"/>
                <w:color w:val="auto"/>
                <w:szCs w:val="21"/>
                <w:highlight w:val="none"/>
              </w:rPr>
            </w:pPr>
            <w:r>
              <w:rPr>
                <w:rFonts w:hint="eastAsia" w:ascii="宋体" w:hAnsi="宋体" w:cs="宋体"/>
                <w:b/>
                <w:bCs/>
                <w:color w:val="auto"/>
                <w:kern w:val="0"/>
                <w:szCs w:val="21"/>
                <w:highlight w:val="none"/>
              </w:rPr>
              <w:t>数量</w:t>
            </w:r>
          </w:p>
        </w:tc>
        <w:tc>
          <w:tcPr>
            <w:tcW w:w="708" w:type="dxa"/>
            <w:shd w:val="clear" w:color="auto" w:fill="A6A6A6"/>
            <w:vAlign w:val="center"/>
          </w:tcPr>
          <w:p>
            <w:pPr>
              <w:pStyle w:val="5"/>
              <w:spacing w:before="156" w:beforeLines="50" w:after="156" w:afterLines="50"/>
              <w:ind w:firstLine="0"/>
              <w:jc w:val="center"/>
              <w:rPr>
                <w:rFonts w:ascii="宋体" w:hAnsi="宋体"/>
                <w:color w:val="auto"/>
                <w:szCs w:val="21"/>
                <w:highlight w:val="none"/>
              </w:rPr>
            </w:pPr>
            <w:r>
              <w:rPr>
                <w:rFonts w:hint="eastAsia" w:ascii="宋体" w:hAnsi="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1418" w:type="dxa"/>
            <w:vAlign w:val="center"/>
          </w:tcPr>
          <w:p>
            <w:pPr>
              <w:rPr>
                <w:color w:val="auto"/>
                <w:highlight w:val="none"/>
              </w:rPr>
            </w:pPr>
            <w:r>
              <w:rPr>
                <w:rFonts w:hint="eastAsia"/>
                <w:b w:val="0"/>
                <w:bCs/>
                <w:color w:val="auto"/>
                <w:highlight w:val="none"/>
              </w:rPr>
              <w:t>办案区督察视频存储核心—</w:t>
            </w:r>
            <w:r>
              <w:rPr>
                <w:rFonts w:hint="eastAsia" w:ascii="宋体" w:hAnsi="宋体"/>
                <w:b w:val="0"/>
                <w:bCs/>
                <w:color w:val="auto"/>
                <w:szCs w:val="21"/>
                <w:highlight w:val="none"/>
              </w:rPr>
              <w:t>云存储设备</w:t>
            </w:r>
          </w:p>
        </w:tc>
        <w:tc>
          <w:tcPr>
            <w:tcW w:w="6095" w:type="dxa"/>
            <w:vAlign w:val="center"/>
          </w:tcPr>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8U机架式48盘位视频云存储节点</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2、数据网口：≥</w:t>
            </w:r>
            <w:r>
              <w:rPr>
                <w:rFonts w:ascii="宋体" w:hAnsi="宋体"/>
                <w:color w:val="auto"/>
                <w:szCs w:val="21"/>
                <w:highlight w:val="none"/>
              </w:rPr>
              <w:t>6个千兆网口；管理接口：≥1个千兆以太网口、≥1个IPMI接口；≥1 个 12GSAS扩展口；≥2个USB3.0；</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3、服务器配置：≥</w:t>
            </w:r>
            <w:r>
              <w:rPr>
                <w:rFonts w:ascii="宋体" w:hAnsi="宋体"/>
                <w:color w:val="auto"/>
                <w:szCs w:val="21"/>
                <w:highlight w:val="none"/>
              </w:rPr>
              <w:t>1颗64位多核处理器，≥4GB内存，内存支持扩展到≥256GB，内置SSD固态硬盘（可以扩展到4个SSD作为缓存盘），配置≥6个风扇，支持风扇热插拔冗余温控调速风扇。</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4、支持热插拔</w:t>
            </w:r>
            <w:r>
              <w:rPr>
                <w:rFonts w:ascii="宋体" w:hAnsi="宋体"/>
                <w:color w:val="auto"/>
                <w:szCs w:val="21"/>
                <w:highlight w:val="none"/>
              </w:rPr>
              <w:t>1+1AC220V 或 1+1 直流冗余金牌电源供电，机箱具备防尘滤网，采用双立柱防震设计</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、可接入</w:t>
            </w:r>
            <w:r>
              <w:rPr>
                <w:rFonts w:ascii="宋体" w:hAnsi="宋体"/>
                <w:color w:val="auto"/>
                <w:szCs w:val="21"/>
                <w:highlight w:val="none"/>
              </w:rPr>
              <w:t>2T/3T/4T/6T/8T/10T/12T/14T/16T/18T/20T SATA/SAS硬盘；支持NL-SAS 硬盘、HDD硬盘、SSD硬盘、氦气硬盘、空气硬盘；支持 CMR或SMR硬盘；支持硬盘交错/分时启动，节省功耗。</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6、具有</w:t>
            </w:r>
            <w:r>
              <w:rPr>
                <w:rFonts w:ascii="宋体" w:hAnsi="宋体"/>
                <w:color w:val="auto"/>
                <w:szCs w:val="21"/>
                <w:highlight w:val="none"/>
              </w:rPr>
              <w:t>48块硬盘热插拔插槽；支持硬盘热插拔设备在读写数据时，热插拔设备内的任意块硬盘，设备正常运行不宕机，硬盘不损坏，数据不丢失，业务不中断。</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7、云存储对外提供登陆、认证接口，保证系统安全性。云平台须配置云存储的用户名和密码之后才能接入到云存储系统，接入云存储的设备和用户，都需要进行必要的接入认证，以保证接入的安全性；支持创建不同权限的用户，且不同的用户对云存储系统分配不同的读写权限；支持多用户</w:t>
            </w:r>
            <w:r>
              <w:rPr>
                <w:rFonts w:ascii="宋体" w:hAnsi="宋体"/>
                <w:color w:val="auto"/>
                <w:szCs w:val="21"/>
                <w:highlight w:val="none"/>
              </w:rPr>
              <w:t>ACL访问权限控制，支持只读，或者可读可写；支持对云存储系统内交互过程中的所有信令做摘要验证</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8、支持对云系统运行中压力进行统计分析，包括：异常情况、告警情况、容量使用情况；支持对云系统运行中状态进行统计分析，包括：服务器状态、磁盘运行状态、存储使用空间、</w:t>
            </w:r>
            <w:r>
              <w:rPr>
                <w:rFonts w:ascii="宋体" w:hAnsi="宋体"/>
                <w:color w:val="auto"/>
                <w:szCs w:val="21"/>
                <w:highlight w:val="none"/>
              </w:rPr>
              <w:t>RAID组运行状态、监控点在线/离线数量和在线/离线比例等</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9、支持按照存储节点、存储卷的可用剩余容量进行业务均衡；支持云内所有节点根据负载情况自动负载均衡，系统定期进行均衡负载，自动进行系统资源分配；支持双层负载均衡，支持存储节点级和硬盘级均按照负载和容量进行均衡。</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、支持硬盘在节点间的漫游，将正常或异常状态的存储节点上的正常磁盘插入其他数据节点中，数据仍可继续使用.</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、支持底层数据块</w:t>
            </w:r>
            <w:r>
              <w:rPr>
                <w:rFonts w:ascii="宋体" w:hAnsi="宋体"/>
                <w:color w:val="auto"/>
                <w:szCs w:val="21"/>
                <w:highlight w:val="none"/>
              </w:rPr>
              <w:t>Erasure Code技术容错，数据恢复以数据块为单位，无需全硬盘恢复；具备数据自愈功能。当硬盘损坏后，系统自动进行数据恢复，保证数据不丢失，业务不中断</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、支持一个文件有多种</w:t>
            </w:r>
            <w:r>
              <w:rPr>
                <w:rFonts w:ascii="宋体" w:hAnsi="宋体"/>
                <w:color w:val="auto"/>
                <w:szCs w:val="21"/>
                <w:highlight w:val="none"/>
              </w:rPr>
              <w:t xml:space="preserve">N+M:K容错机制，能自适应调整N+M:K，系统根据当前节点情况自动配置使用哪种容错算法以达到最可靠的容错，以实现最大化节点容错能力； </w:t>
            </w:r>
          </w:p>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、按需弹性扩容，仅需添加新增存储节点</w:t>
            </w:r>
            <w:r>
              <w:rPr>
                <w:rFonts w:ascii="宋体" w:hAnsi="宋体"/>
                <w:color w:val="auto"/>
                <w:szCs w:val="21"/>
                <w:highlight w:val="none"/>
              </w:rPr>
              <w:t>IP地址，无需配置RAID，扩容过程无需RAID，LVM等配置，一分钟之内完成，节点扩容后，无须任何配置，新写入数据便可自动被分配到新节点上，节点扩容，无需数据迁移，容量变可用，系统支持横向扩展，可提供EB级容量空间</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5</w:t>
            </w:r>
            <w:r>
              <w:rPr>
                <w:rFonts w:hint="eastAsia" w:ascii="宋体" w:hAnsi="宋体"/>
                <w:color w:val="auto"/>
                <w:szCs w:val="21"/>
                <w:highlight w:val="none"/>
              </w:rPr>
              <w:t>、云存储集群节点之间高可靠负载均衡</w:t>
            </w:r>
            <w:r>
              <w:rPr>
                <w:rFonts w:ascii="宋体" w:hAnsi="宋体"/>
                <w:color w:val="auto"/>
                <w:szCs w:val="21"/>
                <w:highlight w:val="none"/>
              </w:rPr>
              <w:t>(节点容量 TB 级及以上)，各个节点之间的容量波动差距比例在千分之一以内。容量波动差距=（最大剩余容量-最小剩余容量）/最小容量</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6</w:t>
            </w:r>
            <w:r>
              <w:rPr>
                <w:rFonts w:hint="eastAsia" w:ascii="宋体" w:hAnsi="宋体"/>
                <w:color w:val="auto"/>
                <w:szCs w:val="21"/>
                <w:highlight w:val="none"/>
              </w:rPr>
              <w:t>、◆单集群支持多</w:t>
            </w:r>
            <w:r>
              <w:rPr>
                <w:rFonts w:ascii="宋体" w:hAnsi="宋体"/>
                <w:color w:val="auto"/>
                <w:szCs w:val="21"/>
                <w:highlight w:val="none"/>
              </w:rPr>
              <w:t>CPU架构存储设备混合组网、部署，可同时支持麒麟操作系统、OpenEuler操作系统、自研存储操作系统的混合部署、扩容、调度；支持将不同CPU架构的存储资源虚拟化成统一存储资源池，读写业务在多CPU架构存储节点间动态负载均衡</w:t>
            </w:r>
            <w:r>
              <w:rPr>
                <w:rFonts w:ascii="宋体" w:hAnsi="宋体"/>
                <w:b/>
                <w:color w:val="auto"/>
                <w:szCs w:val="21"/>
                <w:highlight w:val="none"/>
              </w:rPr>
              <w:t>（需提供第三方检测机构出具的检测报告）</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7</w:t>
            </w:r>
            <w:r>
              <w:rPr>
                <w:rFonts w:hint="eastAsia" w:ascii="宋体" w:hAnsi="宋体"/>
                <w:color w:val="auto"/>
                <w:szCs w:val="21"/>
                <w:highlight w:val="none"/>
              </w:rPr>
              <w:t>、◆系统支持手动、自动对智能事件关联的多个录像片段设置录像标签。支持标签与其关联的录像片段同生命周期管理；支持通过按标签内容查询、回放、下载录像片段数据；支持对标签关联的录像片段进行锁定、备份</w:t>
            </w:r>
            <w:r>
              <w:rPr>
                <w:rFonts w:hint="eastAsia" w:ascii="宋体" w:hAnsi="宋体"/>
                <w:b/>
                <w:color w:val="auto"/>
                <w:szCs w:val="21"/>
                <w:highlight w:val="none"/>
              </w:rPr>
              <w:t>（需提供第三方检测机构出具的检测报告）</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8</w:t>
            </w:r>
            <w:r>
              <w:rPr>
                <w:rFonts w:hint="eastAsia" w:ascii="宋体" w:hAnsi="宋体"/>
                <w:color w:val="auto"/>
                <w:szCs w:val="21"/>
                <w:highlight w:val="none"/>
              </w:rPr>
              <w:t>、支持指定本地视频和图片数据备份到公有云，用户可在图形化页面直接配置公有云地址，数据可按对象方式自动复制到公有云，且支持配置本地删除操作不同步到公有云，无须单独配置备份软件。</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9</w:t>
            </w:r>
            <w:r>
              <w:rPr>
                <w:rFonts w:hint="eastAsia" w:ascii="宋体" w:hAnsi="宋体"/>
                <w:color w:val="auto"/>
                <w:szCs w:val="21"/>
                <w:highlight w:val="none"/>
              </w:rPr>
              <w:t>、支持图形化页面对指定桶内存储的文件进行分类</w:t>
            </w:r>
            <w:r>
              <w:rPr>
                <w:rFonts w:ascii="宋体" w:hAnsi="宋体"/>
                <w:color w:val="auto"/>
                <w:szCs w:val="21"/>
                <w:highlight w:val="none"/>
              </w:rPr>
              <w:t>(视频、音频、图片、文档、其他)展示；支持用户通过图形化页面对指定文件进行URL分享，可设置分享文件的URL过期时间；支持图形化页面对上传文件进行标签管理，用户可以对指定的对象进行标签的设定、查询、删除操作</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r>
              <w:rPr>
                <w:rFonts w:hint="eastAsia" w:ascii="宋体" w:hAnsi="宋体"/>
                <w:color w:val="auto"/>
                <w:szCs w:val="21"/>
                <w:highlight w:val="none"/>
              </w:rPr>
              <w:t>、系统以流直存模式进行录像、图片数据存储。系统中的实时视频流、抓拍图片无需经过任何转发服务器</w:t>
            </w:r>
            <w:r>
              <w:rPr>
                <w:rFonts w:ascii="宋体" w:hAnsi="宋体"/>
                <w:color w:val="auto"/>
                <w:szCs w:val="21"/>
                <w:highlight w:val="none"/>
              </w:rPr>
              <w:t>/虚拟机即可实现数据流直存，视频与图片数据直存后可即存即取</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、◆系统同时提供多副本、</w:t>
            </w:r>
            <w:r>
              <w:rPr>
                <w:rFonts w:ascii="宋体" w:hAnsi="宋体"/>
                <w:color w:val="auto"/>
                <w:szCs w:val="21"/>
                <w:highlight w:val="none"/>
              </w:rPr>
              <w:t>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r>
              <w:rPr>
                <w:rFonts w:ascii="宋体" w:hAnsi="宋体"/>
                <w:b/>
                <w:color w:val="auto"/>
                <w:szCs w:val="21"/>
                <w:highlight w:val="none"/>
              </w:rPr>
              <w:t>（需提供第三方检测机构出具的检测报告）</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并对硬盘健康状态进行分级分类，包括健康（良好、正常）、亚健康（警告、即将损坏）、故障（错误、损坏）等；可对系统中的磁盘进行周期性体检、对有风险的磁盘做深度体检，并给出处理意见，对有损坏风险的磁盘，可使用</w:t>
            </w:r>
            <w:r>
              <w:rPr>
                <w:rFonts w:ascii="宋体" w:hAnsi="宋体"/>
                <w:color w:val="auto"/>
                <w:szCs w:val="21"/>
                <w:highlight w:val="none"/>
              </w:rPr>
              <w:t>RAID技术进行数据处理； 支持磁盘故障预测，通过对硬盘SMART信息进行周期性检测，监测会导致硬盘故障的</w:t>
            </w:r>
            <w:r>
              <w:rPr>
                <w:rFonts w:hint="eastAsia" w:ascii="宋体" w:hAnsi="宋体"/>
                <w:color w:val="auto"/>
                <w:szCs w:val="21"/>
                <w:highlight w:val="none"/>
              </w:rPr>
              <w:t>关键指标，通过分析关键指标的变化趋势实现硬盘故障预测。</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3</w:t>
            </w:r>
            <w:r>
              <w:rPr>
                <w:rFonts w:hint="eastAsia" w:ascii="宋体" w:hAnsi="宋体"/>
                <w:color w:val="auto"/>
                <w:szCs w:val="21"/>
                <w:highlight w:val="none"/>
              </w:rPr>
              <w:t>、支持慢盘检测，通过硬盘</w:t>
            </w:r>
            <w:r>
              <w:rPr>
                <w:rFonts w:ascii="宋体" w:hAnsi="宋体"/>
                <w:color w:val="auto"/>
                <w:szCs w:val="21"/>
                <w:highlight w:val="none"/>
              </w:rPr>
              <w:t>IO检测机制检测慢IO识别慢盘，并自动隔离慢盘</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设备可对硬盘进行加密解密；支持录像加密功能，当前端相机不支持加密功能时，支持在数据落盘前进行加密；支持从存储出去的数据均为加密后的数据，下载的录像无法通过普通播放器播放，且使用专用播放器播放时，也必须经过授权才可正常解码播放。</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r>
              <w:rPr>
                <w:rFonts w:hint="eastAsia" w:ascii="宋体" w:hAnsi="宋体"/>
                <w:color w:val="auto"/>
                <w:szCs w:val="21"/>
                <w:highlight w:val="none"/>
              </w:rPr>
              <w:t>、存储节点具有防偶发死机的措施（如硬件或软件</w:t>
            </w:r>
            <w:r>
              <w:rPr>
                <w:rFonts w:ascii="宋体" w:hAnsi="宋体"/>
                <w:color w:val="auto"/>
                <w:szCs w:val="21"/>
                <w:highlight w:val="none"/>
              </w:rPr>
              <w:t>SNMP、或定时自动起启动等），死机后的自愈恢复时间应≤3min</w:t>
            </w:r>
            <w:r>
              <w:rPr>
                <w:rFonts w:hint="eastAsia" w:ascii="宋体" w:hAnsi="宋体"/>
                <w:color w:val="auto"/>
                <w:szCs w:val="21"/>
                <w:highlight w:val="none"/>
              </w:rPr>
              <w:t>。</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、支持集群管理功能，包括集群单元弹性扩容、负载均衡、故障迁移等；支持集群节点生命周期管理，支持集群节点服务启动</w:t>
            </w:r>
            <w:r>
              <w:rPr>
                <w:rFonts w:ascii="宋体" w:hAnsi="宋体"/>
                <w:color w:val="auto"/>
                <w:szCs w:val="21"/>
                <w:highlight w:val="none"/>
              </w:rPr>
              <w:t>/停止，集群节点服务组建、扩展、删除</w:t>
            </w:r>
            <w:r>
              <w:rPr>
                <w:rFonts w:hint="eastAsia" w:ascii="宋体" w:hAnsi="宋体"/>
                <w:color w:val="auto"/>
                <w:szCs w:val="21"/>
                <w:highlight w:val="none"/>
              </w:rPr>
              <w:t>。</w:t>
            </w:r>
          </w:p>
        </w:tc>
        <w:tc>
          <w:tcPr>
            <w:tcW w:w="709"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3</w:t>
            </w:r>
          </w:p>
        </w:tc>
        <w:tc>
          <w:tcPr>
            <w:tcW w:w="708"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w:t>
            </w:r>
          </w:p>
        </w:tc>
        <w:tc>
          <w:tcPr>
            <w:tcW w:w="1418"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0TB</w:t>
            </w:r>
            <w:r>
              <w:rPr>
                <w:rFonts w:hint="eastAsia" w:ascii="宋体" w:hAnsi="宋体"/>
                <w:color w:val="auto"/>
                <w:szCs w:val="21"/>
                <w:highlight w:val="none"/>
              </w:rPr>
              <w:t>硬盘</w:t>
            </w:r>
          </w:p>
        </w:tc>
        <w:tc>
          <w:tcPr>
            <w:tcW w:w="6095" w:type="dxa"/>
            <w:vAlign w:val="center"/>
          </w:tcPr>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10TB,7200,3.5,SATA</w:t>
            </w:r>
          </w:p>
        </w:tc>
        <w:tc>
          <w:tcPr>
            <w:tcW w:w="709"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44</w:t>
            </w:r>
          </w:p>
        </w:tc>
        <w:tc>
          <w:tcPr>
            <w:tcW w:w="708"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3</w:t>
            </w:r>
          </w:p>
        </w:tc>
        <w:tc>
          <w:tcPr>
            <w:tcW w:w="1418" w:type="dxa"/>
            <w:vAlign w:val="center"/>
          </w:tcPr>
          <w:p>
            <w:pPr>
              <w:pStyle w:val="5"/>
              <w:spacing w:before="156" w:beforeLines="50" w:after="156" w:afterLines="50"/>
              <w:ind w:firstLine="0"/>
              <w:rPr>
                <w:rFonts w:ascii="宋体" w:hAnsi="宋体"/>
                <w:color w:val="auto"/>
                <w:szCs w:val="21"/>
                <w:highlight w:val="none"/>
              </w:rPr>
            </w:pPr>
            <w:r>
              <w:rPr>
                <w:rFonts w:hint="eastAsia"/>
                <w:b w:val="0"/>
                <w:bCs/>
                <w:color w:val="auto"/>
                <w:highlight w:val="none"/>
              </w:rPr>
              <w:t>执法音视频存储核心—</w:t>
            </w:r>
            <w:r>
              <w:rPr>
                <w:rFonts w:hint="eastAsia" w:ascii="宋体" w:hAnsi="宋体"/>
                <w:b w:val="0"/>
                <w:bCs/>
                <w:color w:val="auto"/>
                <w:szCs w:val="21"/>
                <w:highlight w:val="none"/>
              </w:rPr>
              <w:t>云存储设备</w:t>
            </w:r>
          </w:p>
        </w:tc>
        <w:tc>
          <w:tcPr>
            <w:tcW w:w="6095" w:type="dxa"/>
            <w:vAlign w:val="center"/>
          </w:tcPr>
          <w:p>
            <w:pPr>
              <w:pStyle w:val="5"/>
              <w:spacing w:before="156" w:beforeLines="50" w:after="156" w:afterLines="50"/>
              <w:ind w:firstLine="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8U48盘位磁盘阵列</w:t>
            </w:r>
          </w:p>
          <w:p>
            <w:pPr>
              <w:pStyle w:val="5"/>
              <w:spacing w:before="156" w:beforeLines="50" w:after="156" w:afterLines="50"/>
              <w:ind w:firstLine="0"/>
              <w:rPr>
                <w:rFonts w:ascii="宋体" w:hAnsi="宋体"/>
                <w:color w:val="auto"/>
                <w:szCs w:val="21"/>
                <w:highlight w:val="none"/>
              </w:rPr>
            </w:pPr>
            <w:r>
              <w:rPr>
                <w:rFonts w:hint="eastAsia" w:ascii="宋体" w:hAnsi="宋体" w:eastAsia="宋体" w:cs="Times New Roman"/>
                <w:color w:val="auto"/>
                <w:szCs w:val="21"/>
                <w:highlight w:val="none"/>
              </w:rPr>
              <w:t>2. 服务器配置：≥2颗64位多核处理器，≥8GB内存，内存支持扩展到≥256GB，内置SSD固态硬盘（可以扩展到4个SSD作为缓存盘），配置≥6个风扇，支持风扇热插拔冗余温控调速风扇</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3. 支持热插拔1+1AC220V 或 1+1 直流冗余金牌电源供电，机箱支持防尘滤网，采用双立柱防震设计</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4. 可接入2T/3T/4T/6T/8T/10T/12T/14T/16T/18T/20T SATA/SAS硬盘；支持NL-SAS 硬盘、HDD硬盘、SSD硬盘、氦气硬盘、空气硬盘；支持CMR或SMR硬盘；支持硬盘交错/分时启动，节省功耗</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5. 具有48块硬盘热插拔插槽；支持硬盘热插拔设备在读写数据时，热插拔设备内的任意块硬盘，设备正常运行不宕机，硬盘不损坏，数据不丢失，业务不中断</w:t>
            </w:r>
          </w:p>
          <w:p>
            <w:pPr>
              <w:pStyle w:val="5"/>
              <w:spacing w:before="156" w:beforeLines="50" w:after="156" w:afterLines="50"/>
              <w:ind w:firstLine="0"/>
              <w:rPr>
                <w:rFonts w:ascii="宋体" w:hAnsi="宋体"/>
                <w:b/>
                <w:color w:val="auto"/>
                <w:szCs w:val="21"/>
                <w:highlight w:val="none"/>
              </w:rPr>
            </w:pPr>
            <w:r>
              <w:rPr>
                <w:rFonts w:hint="eastAsia" w:ascii="宋体" w:hAnsi="宋体"/>
                <w:color w:val="auto"/>
                <w:szCs w:val="21"/>
                <w:highlight w:val="none"/>
              </w:rPr>
              <w:t>6. ◆系统支持媒体数据智能处理能力，其中视频文件数据支持在线点播、格式转换(支持将ps流转换为MP4前置/后置索引、TS、ASF、ES、FLV、AVI格式;支持将AVI、3gpp、MP4、es、ts、rtp、svac等视频文件格式转换为PS封装的H.264、H.265编码格式)、视频文件封面。支持多画面合成，对多路（4路、6路、8路）视频画面按时间同步合成显示到同一画面（一路码流）。图片数据支持在线裁减、压缩、马赛克、缩放、水印等处理能力，处理后图片数据格式不变；</w:t>
            </w:r>
            <w:r>
              <w:rPr>
                <w:rFonts w:hint="eastAsia" w:ascii="宋体" w:hAnsi="宋体"/>
                <w:b/>
                <w:color w:val="auto"/>
                <w:szCs w:val="21"/>
                <w:highlight w:val="none"/>
              </w:rPr>
              <w:t xml:space="preserve">（需提供第三方检测机构出具的检测报告） </w:t>
            </w:r>
          </w:p>
          <w:p>
            <w:pPr>
              <w:pStyle w:val="5"/>
              <w:spacing w:before="156" w:beforeLines="50" w:after="156" w:afterLines="50"/>
              <w:ind w:firstLine="0"/>
              <w:rPr>
                <w:rFonts w:ascii="宋体" w:hAnsi="宋体"/>
                <w:b/>
                <w:color w:val="auto"/>
                <w:szCs w:val="21"/>
                <w:highlight w:val="none"/>
              </w:rPr>
            </w:pPr>
            <w:r>
              <w:rPr>
                <w:rFonts w:hint="eastAsia" w:ascii="宋体" w:hAnsi="宋体"/>
                <w:color w:val="auto"/>
                <w:szCs w:val="21"/>
                <w:highlight w:val="none"/>
              </w:rPr>
              <w:t>7. ◆单集群支持多CPU架构，存储设备混合组网、部署，可同时支持麒麟操作系统、OpenEuler操作系统、自研存储操作系统的混合部署、扩容、调度；支持将不同CPU架构的存储资源虚拟化成统一存储资源池，读写业务在多CPU架构存储节点间动态负载均衡</w:t>
            </w:r>
            <w:r>
              <w:rPr>
                <w:rFonts w:hint="eastAsia" w:ascii="宋体" w:hAnsi="宋体"/>
                <w:b/>
                <w:color w:val="auto"/>
                <w:szCs w:val="21"/>
                <w:highlight w:val="none"/>
              </w:rPr>
              <w:t xml:space="preserve">（需提供第三方检测机构出具的检测报告） </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8. ◆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r>
              <w:rPr>
                <w:rFonts w:hint="eastAsia" w:ascii="宋体" w:hAnsi="宋体"/>
                <w:b/>
                <w:color w:val="auto"/>
                <w:szCs w:val="21"/>
                <w:highlight w:val="none"/>
              </w:rPr>
              <w:t>（需提供第三方检测机构出具的检测报告）</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 xml:space="preserve">9. 一套云存储系统，同时提供7类数据存储服务，15种存储协议，构建统一数据湖。存储服务包含：流式存储-视频存储（GB/T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 </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10. ◆系统支持手动、自动对智能事件关联的多个录像片段设置录像标签。支持标签与其关联的录像片段同生命周期管理；支持通过按标签内容查询、回放、下载录像片段数据；支持对标签关联的录像片段进行锁定、备份；</w:t>
            </w:r>
            <w:r>
              <w:rPr>
                <w:rFonts w:hint="eastAsia" w:ascii="宋体" w:hAnsi="宋体"/>
                <w:b/>
                <w:color w:val="auto"/>
                <w:szCs w:val="21"/>
                <w:highlight w:val="none"/>
              </w:rPr>
              <w:t xml:space="preserve">（需提供第三方检测机构出具的检测报告） </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11. ◆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w:t>
            </w:r>
            <w:r>
              <w:rPr>
                <w:rFonts w:hint="eastAsia" w:ascii="宋体" w:hAnsi="宋体"/>
                <w:b/>
                <w:color w:val="auto"/>
                <w:szCs w:val="21"/>
                <w:highlight w:val="none"/>
              </w:rPr>
              <w:t xml:space="preserve">（需提供第三方检测机构出具的检测报告） </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12. 采用分布式云架构对多区域、多套云存储系统资源进行统一接入、管理和监控告警运维(监控、远程升级、远程部署)，全局的唯一入口访问模式，统一的用户权限管控、存储资源虚拟化管理、业务管理与调度；支持云系统间视频业务和图片业务的故障容灾，系统间容灾策略包含主备、互备、一主多备模式。视频业务容灾可按前端点位设置容灾策略、回迁策略，支持对故障期间的视频数据按照策略进行自动回迁，包含指定监控点点位，指定回迁时间段，按自动回迁、手动回迁，指定回迁任务的优先级；图片业务支持按资源池设置容灾策略，自动调度到备云进行数据存储</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13. ◆支持全对称部署模式，集群所有节点服务角色对等，无需独立元数据服务器，且单集群可同时管理3EB存储空间、1024台存储节点；系统支持单机（1台）、HA（2台）、集群（3台及以上）部署模式。支持在线扩容、升级，且扩容、升级过程中实时读写业务不中断、数据不丢失，扩容后历史数据无需迁移；支持分布式对称架构与非对称架构相互自由切换。</w:t>
            </w:r>
            <w:r>
              <w:rPr>
                <w:rFonts w:hint="eastAsia" w:ascii="宋体" w:hAnsi="宋体"/>
                <w:b/>
                <w:color w:val="auto"/>
                <w:szCs w:val="21"/>
                <w:highlight w:val="none"/>
              </w:rPr>
              <w:t>（需提供第三方检测机构出具的检测报告）</w:t>
            </w:r>
            <w:r>
              <w:rPr>
                <w:rFonts w:hint="eastAsia" w:ascii="宋体" w:hAnsi="宋体"/>
                <w:color w:val="auto"/>
                <w:szCs w:val="21"/>
                <w:highlight w:val="none"/>
              </w:rPr>
              <w:t xml:space="preserve">    </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14. 系统以流直存模式进行录像、图片数据存储。系统中的实时视频流、抓拍图片无需经过任何转发服务器/虚拟机即可实现数据流直存，视频与图片数据直存后可即存即取</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15. ◆系统同时提供多副本、Erasure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r>
              <w:rPr>
                <w:rFonts w:hint="eastAsia" w:ascii="宋体" w:hAnsi="宋体"/>
                <w:b/>
                <w:color w:val="auto"/>
                <w:szCs w:val="21"/>
                <w:highlight w:val="none"/>
              </w:rPr>
              <w:t xml:space="preserve">（需提供第三方检测机构出具的检测报告）   </w:t>
            </w:r>
            <w:r>
              <w:rPr>
                <w:rFonts w:hint="eastAsia" w:ascii="宋体" w:hAnsi="宋体"/>
                <w:color w:val="auto"/>
                <w:szCs w:val="21"/>
                <w:highlight w:val="none"/>
              </w:rPr>
              <w:t xml:space="preserve"> </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16. 支持磁盘故障预测，通过对硬盘SMART信息进行周期性检测，监测会导致硬盘故障的关键指标，通过分析关键指标的变化趋势实现硬盘故障预测</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17. 支持延迟踢盘，防止误拔硬盘导致数据破坏</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18. 支持慢盘检测，通过硬盘IO检测机制检测慢IO识别慢盘，并自动隔离慢盘</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19. 设备可对硬盘进行加密解密；支持录像加密功能，当前端相机不支持加密功能时，支持在数据落盘前进行加密；支持从存储出去的数据均为加密后的数据，下载的录像无法通过普通播放器播放，且使用专用播放器播放时，也必须经过授权才可正常解码播放</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20.存储节点具有防偶发死机的措施（如硬件或软件SNMP、或定时自动起启动等），死机后的自愈恢复时间应≤3min</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21.存储节点支持双系统、双SSD，系统支持RAID1模式；</w:t>
            </w:r>
          </w:p>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数据网口：≥</w:t>
            </w:r>
            <w:r>
              <w:rPr>
                <w:rFonts w:ascii="宋体" w:hAnsi="宋体"/>
                <w:color w:val="auto"/>
                <w:szCs w:val="21"/>
                <w:highlight w:val="none"/>
              </w:rPr>
              <w:t>6个千兆网口；管理接口：≥1个千兆以太网口、≥1个IPMI接口；≥2个USB3.0；</w:t>
            </w:r>
          </w:p>
          <w:p>
            <w:pPr>
              <w:pStyle w:val="5"/>
              <w:spacing w:before="156" w:beforeLines="50" w:after="156" w:afterLines="50"/>
              <w:ind w:firstLine="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3.</w:t>
            </w:r>
            <w:r>
              <w:rPr>
                <w:rFonts w:hint="eastAsia" w:ascii="宋体" w:hAnsi="宋体"/>
                <w:b/>
                <w:color w:val="auto"/>
                <w:szCs w:val="21"/>
                <w:highlight w:val="none"/>
              </w:rPr>
              <w:t>▲执法音视频云存储设备可无缝接入丽水市公安局视仓多跨应用平台中心云存储集群。</w:t>
            </w:r>
          </w:p>
        </w:tc>
        <w:tc>
          <w:tcPr>
            <w:tcW w:w="709"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708"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4</w:t>
            </w:r>
          </w:p>
        </w:tc>
        <w:tc>
          <w:tcPr>
            <w:tcW w:w="1418"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8TB硬盘</w:t>
            </w:r>
          </w:p>
        </w:tc>
        <w:tc>
          <w:tcPr>
            <w:tcW w:w="60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8T,7200RPM,3.5寸,SATA</w:t>
            </w:r>
          </w:p>
        </w:tc>
        <w:tc>
          <w:tcPr>
            <w:tcW w:w="709"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8</w:t>
            </w:r>
          </w:p>
        </w:tc>
        <w:tc>
          <w:tcPr>
            <w:tcW w:w="708"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块</w:t>
            </w:r>
          </w:p>
        </w:tc>
      </w:tr>
    </w:tbl>
    <w:p>
      <w:pPr>
        <w:rPr>
          <w:rFonts w:hint="eastAsia"/>
          <w:color w:val="auto"/>
          <w:highlight w:val="none"/>
          <w:lang w:val="en-US" w:eastAsia="zh-CN"/>
        </w:rPr>
      </w:pPr>
    </w:p>
    <w:bookmarkEnd w:id="25"/>
    <w:bookmarkEnd w:id="26"/>
    <w:p>
      <w:pPr>
        <w:pStyle w:val="253"/>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3.2软件服务</w:t>
      </w:r>
    </w:p>
    <w:p>
      <w:pPr>
        <w:pStyle w:val="253"/>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zh-CN"/>
        </w:rPr>
        <w:t>办案区督察视频存储服务，含系统管理服务、系统配置服务、系统安全服务、1440TB存储虚拟化服务、3台云存储节点管理授权服务。</w:t>
      </w:r>
    </w:p>
    <w:p>
      <w:pPr>
        <w:pStyle w:val="253"/>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提供音视频采集站改造</w:t>
      </w:r>
      <w:r>
        <w:rPr>
          <w:rFonts w:hint="eastAsia" w:ascii="宋体" w:hAnsi="宋体" w:eastAsia="宋体" w:cs="宋体"/>
          <w:color w:val="auto"/>
          <w:sz w:val="21"/>
          <w:szCs w:val="21"/>
          <w:highlight w:val="none"/>
          <w:lang w:val="zh-CN"/>
        </w:rPr>
        <w:t>服务，含设备接入和移除服务、文件采集服务、文件管理服务、日志管理服务等，对采集站进行改造，实现采集站自动上传音视频文件至视仓平台的功能。本次项目采购17套执法记录仪存证软件对采集站进行改造。</w:t>
      </w:r>
    </w:p>
    <w:p>
      <w:pPr>
        <w:rPr>
          <w:rStyle w:val="60"/>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软件服务项如下：</w:t>
      </w:r>
    </w:p>
    <w:tbl>
      <w:tblPr>
        <w:tblStyle w:val="42"/>
        <w:tblpPr w:leftFromText="180" w:rightFromText="180" w:vertAnchor="text" w:horzAnchor="page" w:tblpX="1390" w:tblpY="980"/>
        <w:tblOverlap w:val="never"/>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200"/>
        <w:gridCol w:w="1111"/>
        <w:gridCol w:w="5147"/>
        <w:gridCol w:w="69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shd w:val="clear" w:color="auto" w:fill="A6A6A6"/>
            <w:vAlign w:val="center"/>
          </w:tcPr>
          <w:p>
            <w:pPr>
              <w:pStyle w:val="5"/>
              <w:spacing w:before="156" w:beforeLines="50" w:after="156" w:afterLines="50"/>
              <w:ind w:firstLine="0"/>
              <w:jc w:val="center"/>
              <w:rPr>
                <w:rFonts w:ascii="宋体" w:hAnsi="宋体"/>
                <w:color w:val="auto"/>
                <w:szCs w:val="21"/>
                <w:highlight w:val="none"/>
              </w:rPr>
            </w:pPr>
            <w:r>
              <w:rPr>
                <w:rFonts w:hint="eastAsia" w:ascii="宋体" w:hAnsi="宋体" w:cs="宋体"/>
                <w:b/>
                <w:bCs/>
                <w:color w:val="auto"/>
                <w:kern w:val="0"/>
                <w:szCs w:val="21"/>
                <w:highlight w:val="none"/>
              </w:rPr>
              <w:t>序号</w:t>
            </w:r>
          </w:p>
        </w:tc>
        <w:tc>
          <w:tcPr>
            <w:tcW w:w="1200" w:type="dxa"/>
            <w:shd w:val="clear" w:color="auto" w:fill="A6A6A6"/>
            <w:vAlign w:val="center"/>
          </w:tcPr>
          <w:p>
            <w:pPr>
              <w:pStyle w:val="5"/>
              <w:spacing w:before="156" w:beforeLines="50" w:after="156" w:afterLines="50"/>
              <w:ind w:firstLine="0"/>
              <w:jc w:val="center"/>
              <w:rPr>
                <w:rFonts w:ascii="宋体" w:hAnsi="宋体"/>
                <w:color w:val="auto"/>
                <w:szCs w:val="21"/>
                <w:highlight w:val="none"/>
              </w:rPr>
            </w:pPr>
            <w:r>
              <w:rPr>
                <w:rFonts w:hint="eastAsia" w:ascii="宋体" w:hAnsi="宋体" w:cs="宋体"/>
                <w:b/>
                <w:bCs/>
                <w:color w:val="auto"/>
                <w:kern w:val="0"/>
                <w:szCs w:val="21"/>
                <w:highlight w:val="none"/>
              </w:rPr>
              <w:t>服务名称</w:t>
            </w:r>
          </w:p>
        </w:tc>
        <w:tc>
          <w:tcPr>
            <w:tcW w:w="1111" w:type="dxa"/>
            <w:shd w:val="clear" w:color="auto" w:fill="A6A6A6"/>
            <w:vAlign w:val="center"/>
          </w:tcPr>
          <w:p>
            <w:pPr>
              <w:pStyle w:val="5"/>
              <w:spacing w:before="156" w:beforeLines="50" w:after="156" w:afterLines="50"/>
              <w:ind w:firstLine="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子服务项</w:t>
            </w:r>
          </w:p>
        </w:tc>
        <w:tc>
          <w:tcPr>
            <w:tcW w:w="5147" w:type="dxa"/>
            <w:shd w:val="clear" w:color="auto" w:fill="A6A6A6"/>
            <w:vAlign w:val="center"/>
          </w:tcPr>
          <w:p>
            <w:pPr>
              <w:pStyle w:val="5"/>
              <w:spacing w:before="156" w:beforeLines="50" w:after="156" w:afterLines="50"/>
              <w:ind w:firstLine="0"/>
              <w:jc w:val="center"/>
              <w:rPr>
                <w:rFonts w:ascii="宋体" w:hAnsi="宋体"/>
                <w:color w:val="auto"/>
                <w:szCs w:val="21"/>
                <w:highlight w:val="none"/>
              </w:rPr>
            </w:pPr>
            <w:r>
              <w:rPr>
                <w:rFonts w:hint="eastAsia" w:ascii="宋体" w:hAnsi="宋体" w:cs="宋体"/>
                <w:b/>
                <w:bCs/>
                <w:color w:val="auto"/>
                <w:kern w:val="0"/>
                <w:szCs w:val="21"/>
                <w:highlight w:val="none"/>
              </w:rPr>
              <w:t>服务指标</w:t>
            </w:r>
          </w:p>
        </w:tc>
        <w:tc>
          <w:tcPr>
            <w:tcW w:w="695" w:type="dxa"/>
            <w:shd w:val="clear" w:color="auto" w:fill="A6A6A6"/>
            <w:vAlign w:val="center"/>
          </w:tcPr>
          <w:p>
            <w:pPr>
              <w:pStyle w:val="5"/>
              <w:spacing w:before="156" w:beforeLines="50" w:after="156" w:afterLines="50"/>
              <w:ind w:firstLine="0"/>
              <w:jc w:val="center"/>
              <w:rPr>
                <w:rFonts w:ascii="宋体" w:hAnsi="宋体"/>
                <w:color w:val="auto"/>
                <w:szCs w:val="21"/>
                <w:highlight w:val="none"/>
              </w:rPr>
            </w:pPr>
            <w:r>
              <w:rPr>
                <w:rFonts w:hint="eastAsia" w:ascii="宋体" w:hAnsi="宋体" w:cs="宋体"/>
                <w:b/>
                <w:bCs/>
                <w:color w:val="auto"/>
                <w:kern w:val="0"/>
                <w:szCs w:val="21"/>
                <w:highlight w:val="none"/>
              </w:rPr>
              <w:t>数量</w:t>
            </w:r>
          </w:p>
        </w:tc>
        <w:tc>
          <w:tcPr>
            <w:tcW w:w="644" w:type="dxa"/>
            <w:shd w:val="clear" w:color="auto" w:fill="A6A6A6"/>
            <w:vAlign w:val="center"/>
          </w:tcPr>
          <w:p>
            <w:pPr>
              <w:pStyle w:val="5"/>
              <w:spacing w:before="156" w:beforeLines="50" w:after="156" w:afterLines="50"/>
              <w:ind w:firstLine="0"/>
              <w:jc w:val="center"/>
              <w:rPr>
                <w:rFonts w:ascii="宋体" w:hAnsi="宋体"/>
                <w:color w:val="auto"/>
                <w:szCs w:val="21"/>
                <w:highlight w:val="none"/>
              </w:rPr>
            </w:pPr>
            <w:r>
              <w:rPr>
                <w:rFonts w:hint="eastAsia" w:ascii="宋体" w:hAnsi="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restart"/>
            <w:vAlign w:val="center"/>
          </w:tcPr>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1</w:t>
            </w:r>
          </w:p>
        </w:tc>
        <w:tc>
          <w:tcPr>
            <w:tcW w:w="1200" w:type="dxa"/>
            <w:vMerge w:val="restart"/>
            <w:vAlign w:val="center"/>
          </w:tcPr>
          <w:p>
            <w:pPr>
              <w:pStyle w:val="5"/>
              <w:spacing w:before="156" w:beforeLines="50" w:after="156" w:afterLines="50"/>
              <w:ind w:firstLine="0"/>
              <w:rPr>
                <w:rFonts w:ascii="宋体" w:hAnsi="宋体"/>
                <w:color w:val="auto"/>
                <w:szCs w:val="21"/>
                <w:highlight w:val="none"/>
              </w:rPr>
            </w:pPr>
            <w:r>
              <w:rPr>
                <w:rFonts w:hint="eastAsia"/>
                <w:color w:val="auto"/>
                <w:highlight w:val="none"/>
              </w:rPr>
              <w:t>督察视频云存储管理服务</w:t>
            </w: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系统管理服务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本次项目授权1440TB存储虚拟化服务、3台云存储节点管理授权。</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提供集群部署，对外提供统一访问IP的服务；</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提供磁盘全域虚拟化服务，对外提供统一资源池；</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支持数据分散存储在多台存储节点，提供分布式存储服务能力；</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支持存储设备故障，业务可自动进行切换其他节点，保证业务持续性；</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支持按照模板批量创建bucket，根据bucket模板自动填写bucket名称、用途、覆盖策略、存储周期、锁定上限等信息；</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数据的存储策略，根据需要对存储的数据（视频/图片/文件）执行周期覆盖/容量覆盖/不覆盖；</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支持创建、修改、删除，用用户信息进行设置；</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支持用户AK/SK、用户名/密码安全访问；</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支持域划分，将所有存储节点划分一个或多个域，实现域间数据隔离；</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在域内进行组划分，优先保障条带资源分配在同一组内，实现条带数据快速读写；</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color w:val="auto"/>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系统配置服务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支持自定义调整bucket空间大小，在线扩大和缩小bucket空间；</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系统支持在线、动态扩容；支持存储节点扩容；支持微视云升级标准云；支持管理集群扩容；支持HA升级集群；</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在管理节点宕机时，可以新增一台管理节点用来替代已损坏节点角色；</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支持调整流式数据（视频/图片）对应Bucket，修改后数据生命周期更新为新Bukcet生命周期；</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提供存储节点打印校时日志服务；</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支持云存储维护工具、维护手册、部署实施手册、用户操作手册通过WEB页面下载；</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color w:val="auto"/>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系统安全服务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支持管理节点全部异常后，依然可以进行视频/图片/普通文件业务数据正常读写；</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支持数据库双副本备份，管理节点备份全部元数据信息，存储节点备份本地元数据信息。常规元数据查询通过本地存储查询，当查询异常时会从管理节点查询；</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支持当管理节点异常后，从存储节点数据库或磁盘恢复元数据信息；</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支持对文件设置和修改权限，支持的权限如：能读能写、只读、私有；</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高复杂度的秘钥管理机制保障系统访问安全；</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color w:val="auto"/>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授权认证服务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提供授权机制服务，实现对系统接入能力，存储容量和使用时间做控制；</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提供对接入前端数量进行限制的服务，超过授权上限后，使用受限；</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提供存储容量授权服务，超过授权上线后，使用受限；</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提供使用时间授权服务，超过授权期限后，使用受限；</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color w:val="auto"/>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数据安全服务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支持将集群中的节点所包含的磁盘按组划分，条带数据尽量在组内分配，提升数据容错能力；</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支持N+M级别下，条带中M个以内的块单元故障数据可恢复。</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支持多硬盘故障数据可以恢复，读写不中断。</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支持在同一域中磁盘热漂移，将域中一块或多块硬盘拔出插入到域中其他节点上，数据可正常读取；</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支持N+M级别下，硬盘/节点数故障大于M时，剩余正常硬盘流式视频数据仍可正常读取；</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在N+M级别下，硬盘/节点数故障小于等于M时，在未执行数据重构时，可以将数据完全提取；</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支持针对分布式磁盘分组中坏盘数量≤M时进行预警；＞M时进行告警；</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支持以全速、高速、中速、低速方式进行数据重构恢复；</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支持对离线磁盘/节点进行自动数据重构；</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支持针对即时读取数据自动优先重构；</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支持针对锁定数据自动优先重构；</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支持根据指定编码器和时间段数据自动优先重构；</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支持用户在触发下载/回放时，对条带内异常数据自动优先重构；</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支持坏块数据自动优先重构；</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支持手动对离线磁盘进行数据重构；</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支持对正在执行重构任务的磁盘进行暂停/恢复；</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支持对健康离线磁盘在重构任务进度小于默认85%（可配置）时，该磁盘上线后进行终止重构；</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color w:val="auto"/>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实时流视频录像服务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提供定时录像服务：通过平台下发的录像计划，从前端编码器获取实时视频数据并完成录像存储；</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提供手动录像服务：通过平台下发开始录像、停止录像命令，云存储执行相应的视频数据取流存储操作；</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提供事件录像服务：平台下发录像计划后，可通过事件脉冲方式通知云存储进行事件录像；</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提供移动侦测录像服务：通过平台配置录像计划时，云存储开启前端布防，产生移动侦测告警时，云存储自动从前端取流录像；</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提供视频预录服务：支持对定时/手动/事件录像/移动侦测录像进行预录，开启视频预录时需配置预录时长；</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提供实时流过NCG取流服务：支持实时视频流通过NCG进行取流存储</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color w:val="auto"/>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历史流视频录像服务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提供历史流过NCG取流服务：支持历史视频流通过NCG进行取流存储；</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提供历史流录像取流帧分析服务：支持历史流录像数据进行帧分析后存储，实现历史流视频倍速/定位/倒放/缩略图等视频回放应用；</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提供视频片段合成服务：将多个分散的片段的视频打包合并成一个视频文件，并支持回放下载；</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color w:val="auto"/>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视频检索服务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按前端点位编号、录像类型、时间组合、锁定等条件查询录像数据；</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支持按日历和月历查询录像；</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支持对视频文件设置标签，按标签检索视频文件；</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支持对录像数据设置标签，对标签进行增/删/查，按标签进行录像回放，以及标签的生命周期管理；</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color w:val="auto"/>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视频回放服务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按前端点位编号以及时间段、录像类型对录像数据进行回放；</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支持根据时间点定位回放；</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支持对指定视频的关键帧（I帧）回放；</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支持对指定视频进行倒序回放；</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支持视频高倍速回放（32、64倍速）；</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09" w:type="dxa"/>
            <w:vMerge w:val="restart"/>
            <w:vAlign w:val="center"/>
          </w:tcPr>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2</w:t>
            </w:r>
          </w:p>
        </w:tc>
        <w:tc>
          <w:tcPr>
            <w:tcW w:w="1200" w:type="dxa"/>
            <w:vMerge w:val="restart"/>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执法记录仪存证服务</w:t>
            </w: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设备接入移除服务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支持U盘接入；</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支持设备移除；</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支持兼容海康威视、TCL、星际、诚泰、警翼、华德安、智敏、中信安等执法记录仪</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rFonts w:ascii="宋体" w:hAnsi="宋体"/>
                <w:color w:val="auto"/>
                <w:szCs w:val="21"/>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文件采集服务</w:t>
            </w:r>
          </w:p>
        </w:tc>
        <w:tc>
          <w:tcPr>
            <w:tcW w:w="5147" w:type="dxa"/>
            <w:vAlign w:val="center"/>
          </w:tcPr>
          <w:p>
            <w:pPr>
              <w:pStyle w:val="5"/>
              <w:spacing w:before="156" w:beforeLines="50" w:after="156" w:afterLines="50"/>
              <w:ind w:firstLine="0"/>
              <w:jc w:val="left"/>
              <w:rPr>
                <w:rFonts w:ascii="宋体" w:hAnsi="宋体"/>
                <w:color w:val="auto"/>
                <w:szCs w:val="21"/>
                <w:highlight w:val="none"/>
              </w:rPr>
            </w:pPr>
            <w:r>
              <w:rPr>
                <w:rFonts w:hint="eastAsia" w:ascii="宋体" w:hAnsi="宋体"/>
                <w:color w:val="auto"/>
                <w:szCs w:val="21"/>
                <w:highlight w:val="none"/>
              </w:rPr>
              <w:t>默认支持采集视频（*.AVI,*.MP4,*.WMV,*.MOV,*.FLV）、音频（*.MP3,*.WAV,*.AAC）、图片（*.JPG,*.BMP,*.PNG）；</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支持对采集的视频和图片文件生成缩略图；</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支持显示采集进度、断点续传；</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restart"/>
            <w:vAlign w:val="center"/>
          </w:tcPr>
          <w:p>
            <w:pPr>
              <w:pStyle w:val="5"/>
              <w:spacing w:before="156" w:beforeLines="50" w:after="156" w:afterLines="50"/>
              <w:ind w:firstLine="0"/>
              <w:rPr>
                <w:rFonts w:ascii="宋体" w:hAnsi="宋体"/>
                <w:color w:val="auto"/>
                <w:szCs w:val="21"/>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文件管理服务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支持根据关键字（设备编号、人员编号、人员姓名）、日期、文件类型、锁定状态、上传平台状态等查询文件；</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支持批量锁定和解锁文件、单个锁定或解锁；</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支持播放视频、音频和查看图片，视频如有GPS信息，同步显示轨迹信息；支持图片放大选中区域；</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支持在文件详情中对该文件添加备注信息；</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提供启用上传平台功能，支持在文件管理页面显示文件上传至平台的成功、失败数量。</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提供启用上传平台功能，支持重置文件上传状态，重新上传文件至平台；</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rFonts w:ascii="宋体" w:hAnsi="宋体"/>
                <w:color w:val="auto"/>
                <w:szCs w:val="21"/>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日志管理服务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支持记录1.软件启动；2软件退出；3.进入设置页面；4.修改配置；5.查询本地文件；6.设备接入；7.开始采集；8.采集结束；9.设备拔出；10.修改管理密码；11.磁盘状态；12.网络状态；</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支持根据日期和日志类型查询；</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rFonts w:ascii="宋体" w:hAnsi="宋体"/>
                <w:color w:val="auto"/>
                <w:szCs w:val="21"/>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配置管理服务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支持配置采集的视频、音频、图片格式，语言选择、文件查询权限开启，查看采集站编号；</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支持添加、删除、修改人员信息，支持批量导入和导出人员信息；</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支持添加、删除、修改设备信息，支持批量导入和导出设备信息。支持设备与人员关联，下发人员至设备。</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支持配置存储的磁盘和磁盘循环覆盖的容量，是否删除源文件；</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配置对接的平台信息，配置上传计划；</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rFonts w:ascii="宋体" w:hAnsi="宋体"/>
                <w:color w:val="auto"/>
                <w:szCs w:val="21"/>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Web</w:t>
            </w:r>
            <w:r>
              <w:rPr>
                <w:rFonts w:hint="eastAsia" w:ascii="宋体" w:hAnsi="宋体"/>
                <w:color w:val="auto"/>
                <w:szCs w:val="21"/>
                <w:highlight w:val="none"/>
              </w:rPr>
              <w:t>文件管理服务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支持根据关键字（设备编号、人员编号、人员姓名）、日期、文件类型、锁定状态、上传平台状态等查询文件</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支持批量锁定和解锁文件、单个锁定或解锁</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支持播放视频、音频和查看图片，视频如有GPS信息，同步显示轨迹信息；支持图片放大选中区域，播放视频文件可拖动</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支持在文件详情中对该文件添加备注信息</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启用上传平台功能，支持在查询界面上显示文件上传至平台的成功、失败数量。</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开启上传平台，支持重置上传状态，重新上传文件至平台</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rFonts w:ascii="宋体" w:hAnsi="宋体"/>
                <w:color w:val="auto"/>
                <w:szCs w:val="21"/>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音视频自动归档服务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▲提供基于采集站对接不同厂商的执法记录仪服务，使采集站具备执法音视频自动采集、执法音视频自动归档到丽水市公安局视仓多跨应用平台中心云存储的能力。</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09" w:type="dxa"/>
            <w:vMerge w:val="continue"/>
            <w:vAlign w:val="center"/>
          </w:tcPr>
          <w:p>
            <w:pPr>
              <w:pStyle w:val="5"/>
              <w:spacing w:before="156" w:beforeLines="50" w:after="156" w:afterLines="50"/>
              <w:ind w:firstLine="0"/>
              <w:rPr>
                <w:rFonts w:ascii="宋体" w:hAnsi="宋体"/>
                <w:color w:val="auto"/>
                <w:szCs w:val="21"/>
                <w:highlight w:val="none"/>
              </w:rPr>
            </w:pPr>
          </w:p>
        </w:tc>
        <w:tc>
          <w:tcPr>
            <w:tcW w:w="1200" w:type="dxa"/>
            <w:vMerge w:val="continue"/>
            <w:vAlign w:val="center"/>
          </w:tcPr>
          <w:p>
            <w:pPr>
              <w:pStyle w:val="5"/>
              <w:spacing w:before="156" w:beforeLines="50" w:after="156" w:afterLines="50"/>
              <w:ind w:firstLine="0"/>
              <w:rPr>
                <w:rFonts w:ascii="宋体" w:hAnsi="宋体"/>
                <w:color w:val="auto"/>
                <w:szCs w:val="21"/>
                <w:highlight w:val="none"/>
              </w:rPr>
            </w:pPr>
          </w:p>
        </w:tc>
        <w:tc>
          <w:tcPr>
            <w:tcW w:w="1111"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其他服务</w:t>
            </w:r>
          </w:p>
        </w:tc>
        <w:tc>
          <w:tcPr>
            <w:tcW w:w="5147"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支持首次打开软件，配置语言、密码、磁盘、平台信息；</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支持当磁盘空间不足设置容量时，删除拍摄时间最早的录像，删除容量为设置的最小清除空间；</w:t>
            </w:r>
          </w:p>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支持忘记密码时，输入临时密码，重置管理员密码；</w:t>
            </w:r>
          </w:p>
        </w:tc>
        <w:tc>
          <w:tcPr>
            <w:tcW w:w="69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44"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bl>
    <w:p>
      <w:pPr>
        <w:rPr>
          <w:rStyle w:val="60"/>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3.3其他服务</w:t>
      </w:r>
    </w:p>
    <w:tbl>
      <w:tblPr>
        <w:tblStyle w:val="4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183"/>
        <w:gridCol w:w="6256"/>
        <w:gridCol w:w="735"/>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31" w:type="dxa"/>
            <w:vAlign w:val="center"/>
          </w:tcPr>
          <w:p>
            <w:pPr>
              <w:pStyle w:val="5"/>
              <w:spacing w:before="156" w:beforeLines="50" w:after="156" w:afterLines="50"/>
              <w:ind w:firstLine="0"/>
              <w:rPr>
                <w:rFonts w:ascii="宋体" w:hAnsi="宋体"/>
                <w:color w:val="auto"/>
                <w:szCs w:val="21"/>
                <w:highlight w:val="none"/>
              </w:rPr>
            </w:pPr>
            <w:r>
              <w:rPr>
                <w:rFonts w:ascii="宋体" w:hAnsi="宋体"/>
                <w:color w:val="auto"/>
                <w:szCs w:val="21"/>
                <w:highlight w:val="none"/>
              </w:rPr>
              <w:t>1</w:t>
            </w:r>
          </w:p>
        </w:tc>
        <w:tc>
          <w:tcPr>
            <w:tcW w:w="1183"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运营维护</w:t>
            </w:r>
          </w:p>
          <w:p>
            <w:pPr>
              <w:pStyle w:val="5"/>
              <w:spacing w:before="156" w:beforeLines="50" w:after="156" w:afterLines="50"/>
              <w:ind w:firstLine="0"/>
              <w:rPr>
                <w:rFonts w:ascii="宋体" w:hAnsi="宋体"/>
                <w:b/>
                <w:color w:val="auto"/>
                <w:szCs w:val="21"/>
                <w:highlight w:val="none"/>
              </w:rPr>
            </w:pPr>
            <w:r>
              <w:rPr>
                <w:rFonts w:hint="eastAsia" w:ascii="宋体" w:hAnsi="宋体"/>
                <w:color w:val="auto"/>
                <w:szCs w:val="21"/>
                <w:highlight w:val="none"/>
              </w:rPr>
              <w:t>服务</w:t>
            </w:r>
          </w:p>
        </w:tc>
        <w:tc>
          <w:tcPr>
            <w:tcW w:w="6256" w:type="dxa"/>
            <w:vAlign w:val="center"/>
          </w:tcPr>
          <w:p>
            <w:pPr>
              <w:pStyle w:val="5"/>
              <w:spacing w:before="156" w:beforeLines="50" w:after="156" w:afterLines="50"/>
              <w:ind w:firstLine="0"/>
              <w:rPr>
                <w:rFonts w:ascii="宋体" w:hAnsi="宋体"/>
                <w:b/>
                <w:color w:val="auto"/>
                <w:szCs w:val="21"/>
                <w:highlight w:val="none"/>
              </w:rPr>
            </w:pPr>
            <w:r>
              <w:rPr>
                <w:rFonts w:hint="eastAsia" w:ascii="宋体" w:hAnsi="宋体" w:cs="宋体"/>
                <w:color w:val="auto"/>
                <w:szCs w:val="21"/>
                <w:highlight w:val="none"/>
                <w:shd w:val="clear" w:color="auto" w:fill="FFFFFF"/>
              </w:rPr>
              <w:t>项目服务期限为</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年，提供7*24小时响应，对非硬件故障的系统问题，在2小时内修复；对硬件故障的，在4小时内修复。</w:t>
            </w:r>
          </w:p>
        </w:tc>
        <w:tc>
          <w:tcPr>
            <w:tcW w:w="735"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1</w:t>
            </w:r>
          </w:p>
        </w:tc>
        <w:tc>
          <w:tcPr>
            <w:tcW w:w="633" w:type="dxa"/>
            <w:vAlign w:val="center"/>
          </w:tcPr>
          <w:p>
            <w:pPr>
              <w:pStyle w:val="5"/>
              <w:spacing w:before="156" w:beforeLines="50" w:after="156" w:afterLines="50"/>
              <w:ind w:firstLine="0"/>
              <w:rPr>
                <w:rFonts w:ascii="宋体" w:hAnsi="宋体"/>
                <w:color w:val="auto"/>
                <w:szCs w:val="21"/>
                <w:highlight w:val="none"/>
              </w:rPr>
            </w:pPr>
            <w:r>
              <w:rPr>
                <w:rFonts w:hint="eastAsia" w:ascii="宋体" w:hAnsi="宋体"/>
                <w:color w:val="auto"/>
                <w:szCs w:val="21"/>
                <w:highlight w:val="none"/>
              </w:rPr>
              <w:t>项</w:t>
            </w:r>
          </w:p>
        </w:tc>
      </w:tr>
    </w:tbl>
    <w:p>
      <w:pPr>
        <w:pStyle w:val="4"/>
        <w:spacing w:before="156" w:beforeLines="50" w:after="156" w:afterLines="50"/>
        <w:rPr>
          <w:rFonts w:ascii="宋体" w:hAnsi="宋体" w:cs="宋体"/>
          <w:color w:val="auto"/>
          <w:sz w:val="21"/>
          <w:szCs w:val="21"/>
          <w:highlight w:val="none"/>
        </w:rPr>
      </w:pPr>
      <w:r>
        <w:rPr>
          <w:rFonts w:hint="eastAsia" w:ascii="Arial" w:hAnsi="Arial"/>
          <w:color w:val="auto"/>
          <w:sz w:val="28"/>
          <w:szCs w:val="44"/>
          <w:highlight w:val="none"/>
        </w:rPr>
        <w:t>四、项目服务标准：</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4.1服务期限：</w:t>
      </w:r>
      <w:r>
        <w:rPr>
          <w:rFonts w:hint="eastAsia" w:ascii="宋体" w:hAnsi="宋体" w:eastAsia="宋体" w:cs="宋体"/>
          <w:color w:val="auto"/>
          <w:sz w:val="21"/>
          <w:szCs w:val="21"/>
          <w:highlight w:val="none"/>
        </w:rPr>
        <w:t>项目所有软硬件服务期为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4.2 服务效率：</w:t>
      </w:r>
      <w:r>
        <w:rPr>
          <w:rFonts w:hint="eastAsia" w:ascii="宋体" w:hAnsi="宋体" w:eastAsia="宋体" w:cs="宋体"/>
          <w:color w:val="auto"/>
          <w:sz w:val="21"/>
          <w:szCs w:val="21"/>
          <w:highlight w:val="none"/>
        </w:rPr>
        <w:t>中标方承诺提供7*24小时响应，对非硬件故障的系统问题，在2小时内修复；对硬件故障的，在4小时内修复；多路故障在8小时内修复。如设备故障在8小时后仍无法排除故障，将提供不低于故障设备型号档次的备用设备供采购方使用，直至故障设备修复，达到技术指标和性能要求，保证系统正常运行，做到不影响日常工作。否则采购人将自行采取必要的措施，由此产生风险和费用应由中标人承担。</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4.3其他要求：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本项目属交钥匙服务项目，中标方须对系统集成的完整性负责，要考虑实现采购需求的所有费用，对采购需求中未体现，但又是提供服务（包括但不仅限于系统安装、上架、调试等系统集成服务）所必须的设备，中标方必须自行补足设备（补足的设备技术参数不得低于投标承诺的同类设备），投标的报价包含实现采购需求的所有功能及安全保障工作，采购方不再另外支付额外费用，中标方须自行考虑报价风险。同时，中标方需对服务项目建设及运营期间的安全责任问题全权负责。</w:t>
      </w:r>
    </w:p>
    <w:p>
      <w:pPr>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安装要求：本项目为交钥匙工程，中标方提供中标方如相关设备、配件在</w:t>
      </w:r>
      <w:r>
        <w:rPr>
          <w:rFonts w:hint="eastAsia" w:ascii="宋体" w:hAnsi="宋体" w:eastAsia="宋体" w:cs="宋体"/>
          <w:color w:val="auto"/>
          <w:sz w:val="21"/>
          <w:szCs w:val="21"/>
          <w:highlight w:val="none"/>
          <w:shd w:val="clear" w:color="auto" w:fill="FFFFFF"/>
        </w:rPr>
        <w:t>采购需求</w:t>
      </w:r>
      <w:r>
        <w:rPr>
          <w:rFonts w:hint="eastAsia" w:ascii="宋体" w:hAnsi="宋体" w:eastAsia="宋体" w:cs="宋体"/>
          <w:color w:val="auto"/>
          <w:sz w:val="21"/>
          <w:szCs w:val="21"/>
          <w:highlight w:val="none"/>
        </w:rPr>
        <w:t>清单中未列出但安装所采购设备、或搭建系统时必需，由中标人提供，产生的一切费用，均由中标方负责。</w:t>
      </w:r>
    </w:p>
    <w:p>
      <w:pPr>
        <w:spacing w:line="360" w:lineRule="auto"/>
        <w:ind w:firstLine="420" w:firstLineChars="200"/>
        <w:rPr>
          <w:rFonts w:ascii="仿宋_GB2312" w:hAnsi="仿宋_GB2312" w:eastAsia="仿宋_GB2312" w:cs="仿宋_GB2312"/>
          <w:color w:val="auto"/>
          <w:sz w:val="24"/>
          <w:highlight w:val="none"/>
          <w:shd w:val="clear" w:color="auto" w:fill="FFFFFF"/>
        </w:rPr>
      </w:pPr>
      <w:r>
        <w:rPr>
          <w:rFonts w:hint="eastAsia" w:ascii="宋体" w:hAnsi="宋体" w:eastAsia="宋体" w:cs="宋体"/>
          <w:color w:val="auto"/>
          <w:sz w:val="21"/>
          <w:szCs w:val="21"/>
          <w:highlight w:val="none"/>
          <w:shd w:val="clear" w:color="auto" w:fill="FFFFFF"/>
        </w:rPr>
        <w:t>4.3.2在合同服务期内，项目相关产权属于中标方，未经采购方同意，中标方不得转让给第三方。服务期结束，双方解除服务合同后，项目产权归采购方所有。</w:t>
      </w:r>
      <w:bookmarkStart w:id="27" w:name="_Toc493957135"/>
      <w:bookmarkStart w:id="28" w:name="_Toc500333470"/>
      <w:bookmarkStart w:id="29" w:name="_Toc486423873"/>
      <w:bookmarkStart w:id="30" w:name="_Toc493956023"/>
    </w:p>
    <w:p>
      <w:pPr>
        <w:pStyle w:val="4"/>
        <w:spacing w:before="156" w:beforeLines="50" w:after="156" w:afterLines="50"/>
        <w:rPr>
          <w:rFonts w:ascii="宋体" w:hAnsi="宋体" w:cs="宋体"/>
          <w:color w:val="auto"/>
          <w:sz w:val="21"/>
          <w:szCs w:val="21"/>
          <w:highlight w:val="none"/>
        </w:rPr>
      </w:pPr>
      <w:r>
        <w:rPr>
          <w:rFonts w:hint="eastAsia" w:ascii="Arial" w:hAnsi="Arial"/>
          <w:color w:val="auto"/>
          <w:sz w:val="28"/>
          <w:szCs w:val="44"/>
          <w:highlight w:val="none"/>
        </w:rPr>
        <w:t>五、商务要</w:t>
      </w:r>
      <w:bookmarkEnd w:id="27"/>
      <w:bookmarkEnd w:id="28"/>
      <w:bookmarkEnd w:id="29"/>
      <w:bookmarkEnd w:id="30"/>
      <w:r>
        <w:rPr>
          <w:rFonts w:hint="eastAsia" w:ascii="Arial" w:hAnsi="Arial"/>
          <w:color w:val="auto"/>
          <w:sz w:val="28"/>
          <w:szCs w:val="44"/>
          <w:highlight w:val="none"/>
        </w:rPr>
        <w:t>求</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5.1 项目质保期要求：</w:t>
      </w:r>
      <w:r>
        <w:rPr>
          <w:rFonts w:hint="eastAsia" w:ascii="宋体" w:hAnsi="宋体" w:eastAsia="宋体" w:cs="宋体"/>
          <w:color w:val="auto"/>
          <w:sz w:val="21"/>
          <w:szCs w:val="21"/>
          <w:highlight w:val="none"/>
        </w:rPr>
        <w:t>整个项目硬件设备质保期为3年。在质保期内，中标人应对本项目出现的质量及安全问题负责。</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5.2 售后技术服务要求：</w:t>
      </w:r>
      <w:r>
        <w:rPr>
          <w:rFonts w:hint="eastAsia" w:ascii="宋体" w:hAnsi="宋体" w:eastAsia="宋体" w:cs="宋体"/>
          <w:color w:val="auto"/>
          <w:sz w:val="21"/>
          <w:szCs w:val="21"/>
          <w:highlight w:val="none"/>
        </w:rPr>
        <w:t>中标人应对采购人的货物实行终身维护。售后服务由生产厂家提供，并出具承诺书并上门维修。</w:t>
      </w:r>
    </w:p>
    <w:p>
      <w:pPr>
        <w:spacing w:line="360" w:lineRule="auto"/>
        <w:ind w:firstLine="422" w:firstLineChars="200"/>
        <w:rPr>
          <w:rFonts w:hint="default" w:ascii="仿宋_GB2312" w:hAnsi="仿宋_GB2312" w:eastAsia="仿宋_GB2312" w:cs="仿宋_GB2312"/>
          <w:color w:val="auto"/>
          <w:sz w:val="24"/>
          <w:highlight w:val="none"/>
          <w:lang w:val="en-US" w:eastAsia="zh-CN"/>
        </w:rPr>
      </w:pPr>
      <w:r>
        <w:rPr>
          <w:rFonts w:hint="eastAsia" w:ascii="宋体" w:hAnsi="宋体" w:eastAsia="宋体" w:cs="宋体"/>
          <w:b/>
          <w:bCs/>
          <w:color w:val="auto"/>
          <w:sz w:val="21"/>
          <w:szCs w:val="21"/>
          <w:highlight w:val="none"/>
        </w:rPr>
        <w:t>5.3 付款方式：</w:t>
      </w:r>
      <w:r>
        <w:rPr>
          <w:rFonts w:hint="eastAsia" w:ascii="宋体" w:hAnsi="宋体" w:eastAsia="宋体" w:cs="宋体"/>
          <w:color w:val="auto"/>
          <w:sz w:val="21"/>
          <w:szCs w:val="21"/>
          <w:highlight w:val="none"/>
          <w:lang w:val="zh-CN"/>
        </w:rPr>
        <w:t>合同签订后</w:t>
      </w:r>
      <w:r>
        <w:rPr>
          <w:rFonts w:hint="eastAsia" w:ascii="宋体" w:hAnsi="宋体" w:eastAsia="宋体" w:cs="宋体"/>
          <w:color w:val="auto"/>
          <w:sz w:val="21"/>
          <w:szCs w:val="21"/>
          <w:highlight w:val="none"/>
        </w:rPr>
        <w:t>7个工作日内支付</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0%预付款,</w:t>
      </w:r>
      <w:r>
        <w:rPr>
          <w:rFonts w:hint="eastAsia" w:ascii="宋体" w:hAnsi="宋体" w:eastAsia="宋体" w:cs="宋体"/>
          <w:color w:val="auto"/>
          <w:sz w:val="21"/>
          <w:szCs w:val="21"/>
          <w:highlight w:val="none"/>
          <w:lang w:val="zh-CN"/>
        </w:rPr>
        <w:t>供应商应提交银行、保险公司等金融机构出具同等金额的预付款保函；</w:t>
      </w:r>
      <w:r>
        <w:rPr>
          <w:rFonts w:hint="eastAsia" w:ascii="宋体" w:hAnsi="宋体" w:eastAsia="宋体" w:cs="宋体"/>
          <w:color w:val="auto"/>
          <w:sz w:val="21"/>
          <w:szCs w:val="21"/>
          <w:highlight w:val="none"/>
        </w:rPr>
        <w:t>中标方按要求完成建设后进入试运行阶段，经试运行系统正常并经采购方验收合格后开始支付租赁费用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（租赁费用按月支付，支付时间为次月月底前。每月租赁费用＝中标价/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个月。）</w:t>
      </w:r>
    </w:p>
    <w:p>
      <w:pPr>
        <w:keepNext/>
        <w:keepLines/>
        <w:spacing w:before="156" w:beforeLines="50" w:after="156" w:afterLines="50" w:line="360" w:lineRule="auto"/>
        <w:outlineLvl w:val="2"/>
        <w:rPr>
          <w:rFonts w:ascii="宋体" w:hAnsi="宋体" w:cs="宋体"/>
          <w:b/>
          <w:bCs/>
          <w:color w:val="auto"/>
          <w:szCs w:val="21"/>
          <w:highlight w:val="none"/>
        </w:rPr>
      </w:pPr>
      <w:r>
        <w:rPr>
          <w:rFonts w:hint="eastAsia" w:ascii="Arial" w:hAnsi="Arial"/>
          <w:b/>
          <w:bCs/>
          <w:color w:val="auto"/>
          <w:sz w:val="28"/>
          <w:szCs w:val="44"/>
          <w:highlight w:val="none"/>
        </w:rPr>
        <w:t>六、项目证明及授权要求</w:t>
      </w:r>
    </w:p>
    <w:p>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6.1 排名第一的中标（成交）候选人须在签订合同前向采购人提供产品厂家针对本项目的三年原厂商售后服务承诺函（须加盖原厂商公章）。如排名第一的中标（成交）候选人不能提供三年原厂商售后服务承诺函原件，但其保证产品质量和售后服务的承诺后，可以不需要承诺函将合同授予该投标人，但采购人可根据项目要求增加履约保证金。</w:t>
      </w:r>
      <w:bookmarkStart w:id="31" w:name="_Toc500333472"/>
    </w:p>
    <w:p>
      <w:pPr>
        <w:pStyle w:val="4"/>
        <w:spacing w:before="156" w:beforeLines="50" w:after="156" w:afterLines="50"/>
        <w:rPr>
          <w:rFonts w:ascii="宋体" w:hAnsi="宋体" w:cs="宋体"/>
          <w:color w:val="auto"/>
          <w:sz w:val="21"/>
          <w:szCs w:val="21"/>
          <w:highlight w:val="none"/>
        </w:rPr>
      </w:pPr>
      <w:r>
        <w:rPr>
          <w:rFonts w:hint="eastAsia" w:ascii="Arial" w:hAnsi="Arial"/>
          <w:color w:val="auto"/>
          <w:sz w:val="28"/>
          <w:szCs w:val="44"/>
          <w:highlight w:val="none"/>
        </w:rPr>
        <w:t>七、工期及供货地点要</w:t>
      </w:r>
      <w:bookmarkEnd w:id="31"/>
      <w:r>
        <w:rPr>
          <w:rFonts w:hint="eastAsia" w:ascii="Arial" w:hAnsi="Arial"/>
          <w:color w:val="auto"/>
          <w:sz w:val="28"/>
          <w:szCs w:val="44"/>
          <w:highlight w:val="none"/>
        </w:rPr>
        <w:t>求</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7.1 工期要求：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7.1.1 </w:t>
      </w:r>
      <w:r>
        <w:rPr>
          <w:rFonts w:hint="eastAsia" w:ascii="宋体" w:hAnsi="宋体" w:cs="宋体"/>
          <w:color w:val="auto"/>
          <w:sz w:val="21"/>
          <w:szCs w:val="21"/>
          <w:highlight w:val="none"/>
          <w:lang w:eastAsia="zh-CN"/>
        </w:rPr>
        <w:t>合同签订后一个月内</w:t>
      </w:r>
      <w:r>
        <w:rPr>
          <w:rFonts w:hint="eastAsia" w:ascii="宋体" w:hAnsi="宋体" w:eastAsia="宋体" w:cs="宋体"/>
          <w:color w:val="auto"/>
          <w:sz w:val="21"/>
          <w:szCs w:val="21"/>
          <w:highlight w:val="none"/>
        </w:rPr>
        <w:t>完成本项目全部建设和相关设备到位，系统进入试运行。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cs="宋体"/>
          <w:color w:val="auto"/>
          <w:sz w:val="21"/>
          <w:szCs w:val="21"/>
          <w:highlight w:val="none"/>
          <w:lang w:eastAsia="zh-CN"/>
        </w:rPr>
        <w:t>试运行一个月后，</w:t>
      </w:r>
      <w:r>
        <w:rPr>
          <w:rFonts w:hint="eastAsia" w:ascii="宋体" w:hAnsi="宋体" w:eastAsia="宋体" w:cs="宋体"/>
          <w:color w:val="auto"/>
          <w:sz w:val="21"/>
          <w:szCs w:val="21"/>
          <w:highlight w:val="none"/>
        </w:rPr>
        <w:t>完成试运行测试并通过项目建设验收工作。</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7.2 供货（安装）地点要求：</w:t>
      </w:r>
      <w:r>
        <w:rPr>
          <w:rFonts w:hint="eastAsia" w:ascii="宋体" w:hAnsi="宋体" w:eastAsia="宋体" w:cs="宋体"/>
          <w:color w:val="auto"/>
          <w:sz w:val="21"/>
          <w:szCs w:val="21"/>
          <w:highlight w:val="none"/>
        </w:rPr>
        <w:t>缙云县公安局指定地点。</w:t>
      </w:r>
      <w:bookmarkStart w:id="32" w:name="_Toc500333473"/>
      <w:bookmarkStart w:id="33" w:name="_Toc486423876"/>
      <w:bookmarkStart w:id="34" w:name="_Toc493956026"/>
      <w:bookmarkStart w:id="35" w:name="_Toc493957138"/>
    </w:p>
    <w:p>
      <w:pPr>
        <w:pStyle w:val="4"/>
        <w:spacing w:before="156" w:beforeLines="50" w:after="156" w:afterLines="50"/>
        <w:rPr>
          <w:rFonts w:ascii="宋体" w:hAnsi="宋体" w:cs="宋体"/>
          <w:color w:val="auto"/>
          <w:sz w:val="21"/>
          <w:szCs w:val="21"/>
          <w:highlight w:val="none"/>
        </w:rPr>
      </w:pPr>
      <w:r>
        <w:rPr>
          <w:rFonts w:hint="eastAsia" w:ascii="Arial" w:hAnsi="Arial"/>
          <w:color w:val="auto"/>
          <w:sz w:val="28"/>
          <w:szCs w:val="44"/>
          <w:highlight w:val="none"/>
        </w:rPr>
        <w:t>八、安装、调试、验收要</w:t>
      </w:r>
      <w:bookmarkEnd w:id="32"/>
      <w:bookmarkEnd w:id="33"/>
      <w:bookmarkEnd w:id="34"/>
      <w:bookmarkEnd w:id="35"/>
      <w:r>
        <w:rPr>
          <w:rFonts w:hint="eastAsia" w:ascii="Arial" w:hAnsi="Arial"/>
          <w:color w:val="auto"/>
          <w:sz w:val="28"/>
          <w:szCs w:val="44"/>
          <w:highlight w:val="none"/>
        </w:rPr>
        <w:t>求</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8.1 安装要求：</w:t>
      </w:r>
      <w:r>
        <w:rPr>
          <w:rFonts w:hint="eastAsia" w:ascii="宋体" w:hAnsi="宋体" w:eastAsia="宋体" w:cs="宋体"/>
          <w:color w:val="auto"/>
          <w:sz w:val="21"/>
          <w:szCs w:val="21"/>
          <w:highlight w:val="none"/>
        </w:rPr>
        <w:t>本项目为交钥匙工程，中标方提供系统安装、设备上架、接网络、调试、原有设备拆除改造等系统集成服务，中标方须对系统集成的完整性负责，如相关设备、配件在采购需求清单中未列出但安装所采购设备、或搭建系统平台时必需，由中标人提供，产生的一切费用，均由中标方负责。</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8.2 调试要求：</w:t>
      </w:r>
      <w:r>
        <w:rPr>
          <w:rFonts w:hint="eastAsia" w:ascii="宋体" w:hAnsi="宋体" w:eastAsia="宋体" w:cs="宋体"/>
          <w:color w:val="auto"/>
          <w:sz w:val="21"/>
          <w:szCs w:val="21"/>
          <w:highlight w:val="none"/>
        </w:rPr>
        <w:t>甲方对乙方提供的货物在使用前进行调试时，乙方需负责安装并培训甲方的使用操作人员，并协助甲方一起调试，直到符合技术要求，甲方才做最终验收。</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8.3 验收要求：</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8.3.1本项目设备安装、调试完成后，进行试运行测试，试运行结束15天内组织项目设备运行验收。</w:t>
      </w:r>
    </w:p>
    <w:p>
      <w:pPr>
        <w:spacing w:line="36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8.3.2</w:t>
      </w:r>
      <w:r>
        <w:rPr>
          <w:rFonts w:hint="eastAsia" w:ascii="宋体" w:hAnsi="宋体" w:eastAsia="宋体" w:cs="宋体"/>
          <w:b/>
          <w:bCs/>
          <w:color w:val="auto"/>
          <w:sz w:val="21"/>
          <w:szCs w:val="21"/>
          <w:highlight w:val="none"/>
          <w:lang w:val="zh-CN"/>
        </w:rPr>
        <w:t>本</w:t>
      </w:r>
      <w:r>
        <w:rPr>
          <w:rFonts w:hint="eastAsia" w:ascii="宋体" w:hAnsi="宋体" w:eastAsia="宋体" w:cs="宋体"/>
          <w:b/>
          <w:bCs/>
          <w:color w:val="auto"/>
          <w:sz w:val="21"/>
          <w:szCs w:val="21"/>
          <w:highlight w:val="none"/>
        </w:rPr>
        <w:t>项目设备验收</w:t>
      </w:r>
      <w:r>
        <w:rPr>
          <w:rFonts w:hint="eastAsia" w:ascii="宋体" w:hAnsi="宋体" w:eastAsia="宋体" w:cs="宋体"/>
          <w:b/>
          <w:bCs/>
          <w:color w:val="auto"/>
          <w:sz w:val="21"/>
          <w:szCs w:val="21"/>
          <w:highlight w:val="none"/>
          <w:lang w:val="zh-CN"/>
        </w:rPr>
        <w:t>采用二次验收方式。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1、第一次验收在合同签订后,</w:t>
      </w:r>
      <w:r>
        <w:rPr>
          <w:rFonts w:hint="eastAsia" w:ascii="宋体" w:hAnsi="宋体" w:eastAsia="宋体" w:cs="宋体"/>
          <w:color w:val="auto"/>
          <w:sz w:val="21"/>
          <w:szCs w:val="21"/>
          <w:highlight w:val="none"/>
        </w:rPr>
        <w:t xml:space="preserve"> 乙方</w:t>
      </w:r>
      <w:r>
        <w:rPr>
          <w:rFonts w:hint="eastAsia" w:ascii="宋体" w:hAnsi="宋体" w:eastAsia="宋体" w:cs="宋体"/>
          <w:color w:val="auto"/>
          <w:sz w:val="21"/>
          <w:szCs w:val="21"/>
          <w:highlight w:val="none"/>
          <w:lang w:val="zh-CN"/>
        </w:rPr>
        <w:t>货到缙云</w:t>
      </w:r>
      <w:r>
        <w:rPr>
          <w:rFonts w:hint="eastAsia" w:ascii="宋体" w:hAnsi="宋体" w:eastAsia="宋体" w:cs="宋体"/>
          <w:color w:val="auto"/>
          <w:sz w:val="21"/>
          <w:szCs w:val="21"/>
          <w:highlight w:val="none"/>
        </w:rPr>
        <w:t>公安局</w:t>
      </w:r>
      <w:r>
        <w:rPr>
          <w:rFonts w:hint="eastAsia" w:ascii="宋体" w:hAnsi="宋体" w:eastAsia="宋体" w:cs="宋体"/>
          <w:color w:val="auto"/>
          <w:sz w:val="21"/>
          <w:szCs w:val="21"/>
          <w:highlight w:val="none"/>
          <w:lang w:val="zh-CN"/>
        </w:rPr>
        <w:t>通知采购方组织</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zh-CN"/>
        </w:rPr>
        <w:t>验收。采购人根据采购货物的技术规范要求及技术响应情况对</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zh-CN"/>
        </w:rPr>
        <w:t>产品、材料进行验收，确认符合要求后安装。安装期间，</w:t>
      </w:r>
      <w:r>
        <w:rPr>
          <w:rFonts w:hint="eastAsia" w:ascii="宋体" w:hAnsi="宋体" w:eastAsia="宋体" w:cs="宋体"/>
          <w:color w:val="auto"/>
          <w:sz w:val="21"/>
          <w:szCs w:val="21"/>
          <w:highlight w:val="none"/>
        </w:rPr>
        <w:t>采购人有权在安装过程中进行监督，乙方有义务为采购人监督人员提供方便。</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2、第二次验收由甲方（</w:t>
      </w:r>
      <w:r>
        <w:rPr>
          <w:rFonts w:hint="eastAsia" w:ascii="宋体" w:hAnsi="宋体" w:eastAsia="宋体" w:cs="宋体"/>
          <w:color w:val="auto"/>
          <w:sz w:val="21"/>
          <w:szCs w:val="21"/>
          <w:highlight w:val="none"/>
        </w:rPr>
        <w:t>缙云县公安局</w:t>
      </w:r>
      <w:r>
        <w:rPr>
          <w:rFonts w:hint="eastAsia" w:ascii="宋体" w:hAnsi="宋体" w:eastAsia="宋体" w:cs="宋体"/>
          <w:color w:val="auto"/>
          <w:sz w:val="21"/>
          <w:szCs w:val="21"/>
          <w:highlight w:val="none"/>
          <w:lang w:val="zh-CN"/>
        </w:rPr>
        <w:t>）验收，采购人组织验收组按</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文件相关要求对项目进行验收。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3、验收时采购人和中标方双方如果就质量问题有争议，可以委托有关法定检测机构进行检测并出具检测报告。</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如果检测结果证明确有质量问题或规格质量低于</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文件，中标方应无条件退货，检测费用由中标方承担，并承担因逾期交货的违约责任。如果检测结果证明没有质量问题或规格质量不低于</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文件，采购人应无条件接受货物，检测费用由采购人承担，中标方不再承担因此逾期交货的违约责任。</w:t>
      </w:r>
    </w:p>
    <w:p>
      <w:pPr>
        <w:spacing w:line="420" w:lineRule="exact"/>
        <w:ind w:firstLine="420" w:firstLineChars="200"/>
        <w:rPr>
          <w:rFonts w:ascii="宋体" w:hAnsi="宋体" w:cs="宋体"/>
          <w:color w:val="auto"/>
          <w:szCs w:val="21"/>
          <w:highlight w:val="none"/>
          <w:lang w:val="zh-CN"/>
        </w:rPr>
      </w:pPr>
      <w:r>
        <w:rPr>
          <w:rFonts w:hint="eastAsia" w:ascii="宋体" w:hAnsi="宋体" w:eastAsia="宋体" w:cs="宋体"/>
          <w:color w:val="auto"/>
          <w:sz w:val="21"/>
          <w:szCs w:val="21"/>
          <w:highlight w:val="none"/>
          <w:lang w:val="zh-CN"/>
        </w:rPr>
        <w:t>4、验收不合格的，采购人有权拒收。中标方应在5个工作日内按要求整改到位，并保证验收合格，否则按违约处理。因验收不合格造成时间延误按逾期违约处理</w:t>
      </w:r>
      <w:bookmarkStart w:id="36" w:name="_Toc486423880"/>
      <w:bookmarkStart w:id="37" w:name="_Toc497376089"/>
      <w:bookmarkStart w:id="38" w:name="_Toc493956030"/>
      <w:bookmarkStart w:id="39" w:name="_Toc493957142"/>
      <w:r>
        <w:rPr>
          <w:rFonts w:hint="eastAsia" w:ascii="宋体" w:hAnsi="宋体" w:eastAsia="宋体" w:cs="宋体"/>
          <w:color w:val="auto"/>
          <w:sz w:val="21"/>
          <w:szCs w:val="21"/>
          <w:highlight w:val="none"/>
          <w:lang w:val="zh-CN"/>
        </w:rPr>
        <w:t>。</w:t>
      </w:r>
    </w:p>
    <w:p>
      <w:pPr>
        <w:pStyle w:val="4"/>
        <w:spacing w:before="156" w:beforeLines="50" w:after="156" w:afterLines="50"/>
        <w:rPr>
          <w:rFonts w:ascii="宋体" w:hAnsi="宋体" w:cs="宋体"/>
          <w:color w:val="auto"/>
          <w:sz w:val="21"/>
          <w:szCs w:val="21"/>
          <w:highlight w:val="none"/>
        </w:rPr>
      </w:pPr>
      <w:r>
        <w:rPr>
          <w:rFonts w:hint="eastAsia" w:ascii="Arial" w:hAnsi="Arial"/>
          <w:color w:val="auto"/>
          <w:sz w:val="28"/>
          <w:szCs w:val="44"/>
          <w:highlight w:val="none"/>
        </w:rPr>
        <w:t>九、其</w:t>
      </w:r>
      <w:bookmarkEnd w:id="36"/>
      <w:bookmarkEnd w:id="37"/>
      <w:bookmarkEnd w:id="38"/>
      <w:bookmarkEnd w:id="39"/>
      <w:r>
        <w:rPr>
          <w:rFonts w:hint="eastAsia" w:ascii="Arial" w:hAnsi="Arial"/>
          <w:color w:val="auto"/>
          <w:sz w:val="28"/>
          <w:szCs w:val="44"/>
          <w:highlight w:val="none"/>
        </w:rPr>
        <w:t>他</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9.1本项目所涉及的安装数量，采购时确认数量不一定准确时，按其中标单价和实际用量结算。税收、人工费、安装费等一切与之相关的所有费用都需包含在报价中。</w:t>
      </w:r>
      <w:r>
        <w:rPr>
          <w:rFonts w:hint="eastAsia" w:ascii="宋体" w:hAnsi="宋体" w:eastAsia="宋体" w:cs="宋体"/>
          <w:color w:val="auto"/>
          <w:sz w:val="21"/>
          <w:szCs w:val="21"/>
          <w:highlight w:val="none"/>
          <w:lang w:val="zh-CN"/>
        </w:rPr>
        <w:br w:type="page"/>
      </w:r>
    </w:p>
    <w:p>
      <w:pPr>
        <w:spacing w:line="400" w:lineRule="exact"/>
        <w:jc w:val="center"/>
        <w:outlineLvl w:val="0"/>
        <w:rPr>
          <w:rStyle w:val="60"/>
          <w:rFonts w:ascii="宋体" w:hAnsi="宋体" w:cs="宋体"/>
          <w:color w:val="auto"/>
          <w:szCs w:val="32"/>
          <w:highlight w:val="none"/>
        </w:rPr>
      </w:pPr>
      <w:bookmarkStart w:id="40" w:name="_Toc18915"/>
      <w:r>
        <w:rPr>
          <w:rStyle w:val="60"/>
          <w:rFonts w:hint="eastAsia" w:ascii="宋体" w:hAnsi="宋体" w:cs="宋体"/>
          <w:color w:val="auto"/>
          <w:szCs w:val="32"/>
          <w:highlight w:val="none"/>
        </w:rPr>
        <w:t>第三章 供应商须知</w:t>
      </w:r>
      <w:bookmarkEnd w:id="19"/>
      <w:bookmarkEnd w:id="20"/>
      <w:bookmarkEnd w:id="21"/>
      <w:bookmarkEnd w:id="22"/>
      <w:bookmarkEnd w:id="23"/>
      <w:bookmarkEnd w:id="24"/>
      <w:bookmarkEnd w:id="40"/>
    </w:p>
    <w:p>
      <w:pPr>
        <w:spacing w:line="400" w:lineRule="exact"/>
        <w:jc w:val="center"/>
        <w:outlineLvl w:val="1"/>
        <w:rPr>
          <w:rFonts w:ascii="宋体" w:hAnsi="宋体" w:cs="宋体"/>
          <w:b/>
          <w:bCs/>
          <w:color w:val="auto"/>
          <w:szCs w:val="21"/>
          <w:highlight w:val="none"/>
        </w:rPr>
      </w:pPr>
      <w:r>
        <w:rPr>
          <w:rFonts w:hint="eastAsia" w:ascii="宋体" w:hAnsi="宋体" w:cs="宋体"/>
          <w:b/>
          <w:bCs/>
          <w:color w:val="auto"/>
          <w:szCs w:val="21"/>
          <w:highlight w:val="none"/>
        </w:rPr>
        <w:t>供应商须知（前附表）</w:t>
      </w:r>
    </w:p>
    <w:tbl>
      <w:tblPr>
        <w:tblStyle w:val="42"/>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115"/>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39" w:type="dxa"/>
            <w:vAlign w:val="center"/>
          </w:tcPr>
          <w:p>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115" w:type="dxa"/>
            <w:vAlign w:val="center"/>
          </w:tcPr>
          <w:p>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495" w:type="dxa"/>
            <w:vAlign w:val="center"/>
          </w:tcPr>
          <w:p>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1.2.1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采购人</w:t>
            </w:r>
          </w:p>
        </w:tc>
        <w:tc>
          <w:tcPr>
            <w:tcW w:w="6495" w:type="dxa"/>
            <w:vAlign w:val="center"/>
          </w:tcPr>
          <w:p>
            <w:pPr>
              <w:spacing w:line="320" w:lineRule="exact"/>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缙云县公安局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1.2.2</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采购代理机构</w:t>
            </w:r>
          </w:p>
        </w:tc>
        <w:tc>
          <w:tcPr>
            <w:tcW w:w="6495" w:type="dxa"/>
            <w:vAlign w:val="center"/>
          </w:tcPr>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浙江鼎峰工程咨询有限公司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资金来源</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合格的供应商</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见磋商公告中供应商资格要求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联合体磋商</w:t>
            </w:r>
          </w:p>
        </w:tc>
        <w:tc>
          <w:tcPr>
            <w:tcW w:w="6495" w:type="dxa"/>
            <w:vAlign w:val="center"/>
          </w:tcPr>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不接受</w:t>
            </w:r>
          </w:p>
          <w:p>
            <w:pPr>
              <w:snapToGrid w:val="0"/>
              <w:spacing w:line="320" w:lineRule="exact"/>
              <w:rPr>
                <w:rFonts w:ascii="宋体" w:hAnsi="宋体" w:cs="宋体"/>
                <w:bCs/>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1.6</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转包与分包</w:t>
            </w:r>
          </w:p>
        </w:tc>
        <w:tc>
          <w:tcPr>
            <w:tcW w:w="6495" w:type="dxa"/>
            <w:vAlign w:val="center"/>
          </w:tcPr>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1.本项目不允许转包。</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2.1本项目不可以分包。</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□2.2本项目可以分包，但主体部分不得分包。本项目“主体部分”是指：/（根据项目具体情况确定）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1.11.2</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信用信息记录查询</w:t>
            </w:r>
          </w:p>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截止时间</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同</w:t>
            </w:r>
            <w:r>
              <w:rPr>
                <w:rFonts w:hint="eastAsia" w:ascii="宋体" w:hAnsi="宋体" w:cs="宋体"/>
                <w:color w:val="auto"/>
                <w:szCs w:val="21"/>
                <w:highlight w:val="none"/>
              </w:rPr>
              <w:t>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1.12.2</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节能环保产品品目 清单</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财库〔2019〕19号《节能产品政府采购品目清单》</w:t>
            </w:r>
          </w:p>
          <w:p>
            <w:pPr>
              <w:snapToGrid w:val="0"/>
              <w:spacing w:line="320" w:lineRule="exact"/>
              <w:rPr>
                <w:rFonts w:ascii="宋体" w:hAnsi="宋体" w:cs="宋体"/>
                <w:color w:val="auto"/>
                <w:szCs w:val="21"/>
                <w:highlight w:val="none"/>
              </w:rPr>
            </w:pPr>
            <w:r>
              <w:rPr>
                <w:rFonts w:hint="eastAsia" w:ascii="宋体" w:hAnsi="宋体" w:cs="宋体"/>
                <w:bCs/>
                <w:color w:val="auto"/>
                <w:szCs w:val="21"/>
                <w:highlight w:val="none"/>
              </w:rPr>
              <w:t>财库〔2019〕18号《环境标志产品政府采购品目清单》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1.12.3</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节能环保产品认证</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有效的节能产品、环境标志产品认证证书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1.12.4</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政府强制采购的节能产品清单品目</w:t>
            </w:r>
          </w:p>
        </w:tc>
        <w:tc>
          <w:tcPr>
            <w:tcW w:w="6495"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□台式计算机  □便携式计算机  □平板式微型计算机</w:t>
            </w:r>
          </w:p>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□激光打印机  □针式打印机    □液晶显示设备  □水嘴</w:t>
            </w:r>
          </w:p>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 xml:space="preserve">□制冷压缩机  </w:t>
            </w: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eq \o\ac(□)</w:instrText>
            </w:r>
            <w:r>
              <w:rPr>
                <w:rFonts w:hint="eastAsia" w:ascii="宋体" w:hAnsi="宋体" w:cs="宋体"/>
                <w:bCs/>
                <w:color w:val="auto"/>
                <w:szCs w:val="21"/>
                <w:highlight w:val="none"/>
              </w:rPr>
              <w:fldChar w:fldCharType="end"/>
            </w:r>
            <w:r>
              <w:rPr>
                <w:rFonts w:hint="eastAsia" w:ascii="宋体" w:hAnsi="宋体" w:cs="宋体"/>
                <w:bCs/>
                <w:color w:val="auto"/>
                <w:szCs w:val="21"/>
                <w:highlight w:val="none"/>
              </w:rPr>
              <w:t>空调机组      □专用制冷、空调设备</w:t>
            </w:r>
          </w:p>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□镇流器      □视频设备      □电热水器      □便器</w:t>
            </w:r>
          </w:p>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□普通照明用双端荧光灯        □电视设备      □空调机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1.12.5</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小型、微型企业的  价格扣除</w:t>
            </w:r>
          </w:p>
        </w:tc>
        <w:tc>
          <w:tcPr>
            <w:tcW w:w="6495" w:type="dxa"/>
            <w:vAlign w:val="center"/>
          </w:tcPr>
          <w:p>
            <w:pPr>
              <w:snapToGrid w:val="0"/>
              <w:spacing w:line="320" w:lineRule="exact"/>
              <w:rPr>
                <w:rFonts w:ascii="宋体" w:hAnsi="宋体" w:cs="宋体"/>
                <w:b/>
                <w:color w:val="auto"/>
                <w:szCs w:val="21"/>
                <w:highlight w:val="none"/>
              </w:rPr>
            </w:pPr>
            <w:r>
              <w:rPr>
                <w:rFonts w:hint="eastAsia" w:ascii="宋体" w:hAnsi="宋体" w:eastAsia="宋体" w:cs="宋体"/>
                <w:color w:val="auto"/>
                <w:szCs w:val="21"/>
              </w:rPr>
              <w:t>根据《政府采购促进中小企业发展管理办法》（财库﹝2020﹞46号）规定，本项目</w:t>
            </w:r>
            <w:r>
              <w:rPr>
                <w:rFonts w:hint="eastAsia" w:ascii="宋体" w:hAnsi="宋体" w:eastAsia="宋体" w:cs="宋体"/>
                <w:b/>
                <w:bCs/>
                <w:color w:val="auto"/>
                <w:szCs w:val="21"/>
                <w:u w:val="single"/>
              </w:rPr>
              <w:t xml:space="preserve"> 是 </w:t>
            </w:r>
            <w:r>
              <w:rPr>
                <w:rFonts w:hint="eastAsia" w:ascii="宋体" w:hAnsi="宋体" w:eastAsia="宋体" w:cs="宋体"/>
                <w:color w:val="auto"/>
                <w:szCs w:val="21"/>
              </w:rPr>
              <w:t>专门面向中小企业/小微企业采购。</w:t>
            </w:r>
          </w:p>
          <w:p>
            <w:pPr>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对非专门面向中小企业/小微企业采购的项目，对小微企业报价给予</w:t>
            </w:r>
            <w:r>
              <w:rPr>
                <w:rFonts w:hint="eastAsia" w:ascii="宋体" w:hAnsi="宋体" w:eastAsia="宋体" w:cs="宋体"/>
                <w:b/>
                <w:bCs/>
                <w:color w:val="auto"/>
                <w:szCs w:val="21"/>
                <w:u w:val="single"/>
              </w:rPr>
              <w:t>20%</w:t>
            </w:r>
            <w:r>
              <w:rPr>
                <w:rFonts w:hint="eastAsia" w:ascii="宋体" w:hAnsi="宋体" w:eastAsia="宋体" w:cs="宋体"/>
                <w:color w:val="auto"/>
                <w:szCs w:val="21"/>
              </w:rPr>
              <w:t>的扣除，用扣除后的价格参加评审。对于联合协议或者分包意向协议约定小微企业的合同份额占到合同总金额</w:t>
            </w:r>
            <w:r>
              <w:rPr>
                <w:rFonts w:hint="eastAsia" w:ascii="宋体" w:hAnsi="宋体" w:eastAsia="宋体" w:cs="宋体"/>
                <w:b/>
                <w:bCs/>
                <w:color w:val="auto"/>
                <w:szCs w:val="21"/>
                <w:u w:val="single"/>
              </w:rPr>
              <w:t>30%</w:t>
            </w:r>
            <w:r>
              <w:rPr>
                <w:rFonts w:hint="eastAsia" w:ascii="宋体" w:hAnsi="宋体" w:eastAsia="宋体" w:cs="宋体"/>
                <w:color w:val="auto"/>
                <w:szCs w:val="21"/>
              </w:rPr>
              <w:t>以上的，对联合体或者大中型企业的报价给予</w:t>
            </w:r>
            <w:r>
              <w:rPr>
                <w:rFonts w:hint="eastAsia" w:ascii="宋体" w:hAnsi="宋体" w:eastAsia="宋体" w:cs="宋体"/>
                <w:b/>
                <w:bCs/>
                <w:color w:val="auto"/>
                <w:szCs w:val="21"/>
                <w:u w:val="single"/>
              </w:rPr>
              <w:t>6%</w:t>
            </w:r>
            <w:r>
              <w:rPr>
                <w:rFonts w:hint="eastAsia" w:ascii="宋体" w:hAnsi="宋体" w:eastAsia="宋体" w:cs="宋体"/>
                <w:color w:val="auto"/>
                <w:szCs w:val="21"/>
              </w:rPr>
              <w:t>的扣除，用扣除后的价格参加评审。</w:t>
            </w:r>
          </w:p>
          <w:p>
            <w:pPr>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本项目所属行业：</w:t>
            </w:r>
            <w:r>
              <w:rPr>
                <w:rFonts w:hint="eastAsia" w:ascii="宋体" w:hAnsi="宋体" w:eastAsia="宋体" w:cs="宋体"/>
                <w:b/>
                <w:bCs/>
                <w:color w:val="auto"/>
                <w:szCs w:val="21"/>
                <w:u w:val="single"/>
                <w:lang w:val="en-US" w:eastAsia="zh-CN"/>
              </w:rPr>
              <w:t>租赁和商务服务业</w:t>
            </w:r>
            <w:r>
              <w:rPr>
                <w:rFonts w:hint="eastAsia" w:ascii="宋体" w:hAnsi="宋体" w:eastAsia="宋体" w:cs="宋体"/>
                <w:color w:val="auto"/>
                <w:szCs w:val="21"/>
              </w:rPr>
              <w:t>。(中小微型企业划分标准参照国家统计局印发的《统计上大中小微型企业划分办法（2017）》，上述填写的所属行业详见《统计上大中小微型企业划分办法（2017）》附件)。</w:t>
            </w:r>
          </w:p>
          <w:p>
            <w:pPr>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监狱企业、残疾人福利性单位视同小型、微型企业，享受价格扣除。</w:t>
            </w:r>
          </w:p>
          <w:p>
            <w:pPr>
              <w:snapToGrid w:val="0"/>
              <w:spacing w:line="320" w:lineRule="exact"/>
              <w:rPr>
                <w:rFonts w:ascii="宋体" w:hAnsi="宋体" w:cs="宋体"/>
                <w:bCs/>
                <w:color w:val="auto"/>
                <w:szCs w:val="21"/>
                <w:highlight w:val="none"/>
              </w:rPr>
            </w:pPr>
            <w:r>
              <w:rPr>
                <w:rFonts w:hint="eastAsia" w:ascii="宋体" w:hAnsi="宋体" w:eastAsia="宋体" w:cs="宋体"/>
                <w:color w:val="auto"/>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1.12.8</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采购进口产品</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eq \o\ac(</w:instrText>
            </w:r>
            <w:r>
              <w:rPr>
                <w:rFonts w:hint="eastAsia" w:ascii="宋体" w:hAnsi="宋体" w:cs="宋体"/>
                <w:bCs/>
                <w:color w:val="auto"/>
                <w:position w:val="-4"/>
                <w:sz w:val="31"/>
                <w:szCs w:val="21"/>
                <w:highlight w:val="none"/>
              </w:rPr>
              <w:instrText xml:space="preserve">□</w:instrText>
            </w:r>
            <w:r>
              <w:rPr>
                <w:rFonts w:hint="eastAsia" w:ascii="宋体" w:hAnsi="宋体" w:cs="宋体"/>
                <w:bCs/>
                <w:color w:val="auto"/>
                <w:szCs w:val="21"/>
                <w:highlight w:val="none"/>
              </w:rPr>
              <w:instrText xml:space="preserve">,√)</w:instrText>
            </w:r>
            <w:r>
              <w:rPr>
                <w:rFonts w:hint="eastAsia" w:ascii="宋体" w:hAnsi="宋体" w:cs="宋体"/>
                <w:bCs/>
                <w:color w:val="auto"/>
                <w:szCs w:val="21"/>
                <w:highlight w:val="none"/>
              </w:rPr>
              <w:fldChar w:fldCharType="end"/>
            </w:r>
            <w:r>
              <w:rPr>
                <w:rFonts w:hint="eastAsia" w:ascii="宋体" w:hAnsi="宋体" w:cs="宋体"/>
                <w:bCs/>
                <w:color w:val="auto"/>
                <w:szCs w:val="21"/>
                <w:highlight w:val="none"/>
              </w:rPr>
              <w:t>不允许采购进口产品</w:t>
            </w:r>
          </w:p>
          <w:p>
            <w:pPr>
              <w:snapToGrid w:val="0"/>
              <w:spacing w:line="320" w:lineRule="exact"/>
              <w:rPr>
                <w:rFonts w:ascii="宋体" w:hAnsi="宋体" w:cs="宋体"/>
                <w:color w:val="auto"/>
                <w:szCs w:val="21"/>
                <w:highlight w:val="none"/>
              </w:rPr>
            </w:pPr>
            <w:r>
              <w:rPr>
                <w:rFonts w:hint="eastAsia" w:ascii="宋体" w:hAnsi="宋体" w:cs="宋体"/>
                <w:bCs/>
                <w:color w:val="auto"/>
                <w:szCs w:val="21"/>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1.13.3</w:t>
            </w:r>
          </w:p>
        </w:tc>
        <w:tc>
          <w:tcPr>
            <w:tcW w:w="2115" w:type="dxa"/>
            <w:vAlign w:val="center"/>
          </w:tcPr>
          <w:p>
            <w:pPr>
              <w:snapToGrid w:val="0"/>
              <w:spacing w:line="320" w:lineRule="exact"/>
              <w:jc w:val="center"/>
              <w:rPr>
                <w:rFonts w:ascii="宋体" w:hAnsi="宋体" w:cs="宋体"/>
                <w:b/>
                <w:color w:val="auto"/>
                <w:szCs w:val="21"/>
                <w:highlight w:val="none"/>
              </w:rPr>
            </w:pPr>
            <w:r>
              <w:rPr>
                <w:rFonts w:hint="eastAsia" w:ascii="宋体" w:hAnsi="宋体" w:cs="宋体"/>
                <w:bCs/>
                <w:color w:val="auto"/>
                <w:szCs w:val="21"/>
                <w:highlight w:val="none"/>
              </w:rPr>
              <w:t>核心产品</w:t>
            </w:r>
          </w:p>
        </w:tc>
        <w:tc>
          <w:tcPr>
            <w:tcW w:w="6495" w:type="dxa"/>
            <w:vAlign w:val="center"/>
          </w:tcPr>
          <w:p>
            <w:pPr>
              <w:widowControl/>
              <w:spacing w:line="32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1.14.1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现场考察</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采购人及代理机构不组织现场考察。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2.2.1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竞争性磋商文件的澄清、答疑、修改、补充截止时间</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响应文件递交截止时间3天前。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2.2.2</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竞争性磋商文件的澄清、答疑、修改、补充发布地点</w:t>
            </w:r>
          </w:p>
        </w:tc>
        <w:tc>
          <w:tcPr>
            <w:tcW w:w="6495" w:type="dxa"/>
            <w:vAlign w:val="center"/>
          </w:tcPr>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1.浙江政府采购网（http：//www.zjzfcg.gov.cn）</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2.丽水市公共资源交易网（缙云）</w:t>
            </w:r>
          </w:p>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（http://lssggzy.lishui.gov.cn/jyweb/）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3.2.1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资格审查文件的组成</w:t>
            </w:r>
          </w:p>
        </w:tc>
        <w:tc>
          <w:tcPr>
            <w:tcW w:w="6495" w:type="dxa"/>
            <w:vAlign w:val="center"/>
          </w:tcPr>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1、有效的营业执照电子文档；</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2、授权委托书；</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3、供应商资格条件承诺函；</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4、资格证明；</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5、无重大违法记录声明书；</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6、中小企业</w:t>
            </w:r>
            <w:r>
              <w:rPr>
                <w:rFonts w:hint="eastAsia" w:ascii="宋体" w:hAnsi="宋体" w:cs="宋体"/>
                <w:bCs/>
                <w:color w:val="auto"/>
                <w:szCs w:val="21"/>
                <w:highlight w:val="none"/>
                <w:lang w:val="en-US" w:eastAsia="zh-CN"/>
              </w:rPr>
              <w:t>声明函</w:t>
            </w:r>
            <w:r>
              <w:rPr>
                <w:rFonts w:hint="eastAsia" w:ascii="宋体" w:hAnsi="宋体" w:cs="宋体"/>
                <w:bCs/>
                <w:color w:val="auto"/>
                <w:szCs w:val="21"/>
                <w:highlight w:val="none"/>
              </w:rPr>
              <w:t>。</w:t>
            </w:r>
          </w:p>
          <w:p>
            <w:pPr>
              <w:snapToGrid w:val="0"/>
              <w:spacing w:line="320" w:lineRule="exact"/>
              <w:jc w:val="left"/>
              <w:rPr>
                <w:rFonts w:ascii="宋体" w:hAnsi="宋体" w:cs="宋体"/>
                <w:color w:val="auto"/>
                <w:szCs w:val="21"/>
                <w:highlight w:val="none"/>
              </w:rPr>
            </w:pPr>
            <w:r>
              <w:rPr>
                <w:rFonts w:hint="eastAsia" w:ascii="宋体" w:hAnsi="宋体" w:cs="宋体"/>
                <w:b/>
                <w:color w:val="auto"/>
                <w:szCs w:val="21"/>
                <w:highlight w:val="none"/>
              </w:rPr>
              <w:t>注：编制格式要求见第五章磋商响应文件格式，无格式的自行设计。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3.3</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商务技术文件的组成</w:t>
            </w:r>
          </w:p>
        </w:tc>
        <w:tc>
          <w:tcPr>
            <w:tcW w:w="6495" w:type="dxa"/>
            <w:vAlign w:val="center"/>
          </w:tcPr>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仿宋_GB2312"/>
                <w:color w:val="auto"/>
                <w:highlight w:val="none"/>
              </w:rPr>
              <w:t>投标人相关认证证书</w:t>
            </w:r>
            <w:r>
              <w:rPr>
                <w:rFonts w:hint="eastAsia" w:ascii="宋体" w:hAnsi="宋体" w:cs="宋体"/>
                <w:bCs/>
                <w:color w:val="auto"/>
                <w:szCs w:val="21"/>
                <w:highlight w:val="none"/>
              </w:rPr>
              <w:t>；</w:t>
            </w:r>
          </w:p>
          <w:p>
            <w:pPr>
              <w:snapToGrid w:val="0"/>
              <w:spacing w:line="320" w:lineRule="exact"/>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2、</w:t>
            </w:r>
            <w:r>
              <w:rPr>
                <w:rFonts w:hint="eastAsia" w:ascii="仿宋_GB2312"/>
                <w:bCs/>
                <w:color w:val="auto"/>
                <w:highlight w:val="none"/>
              </w:rPr>
              <w:t>成功案例及业绩</w:t>
            </w:r>
            <w:r>
              <w:rPr>
                <w:rFonts w:hint="eastAsia" w:ascii="宋体" w:hAnsi="宋体" w:cs="宋体"/>
                <w:color w:val="auto"/>
                <w:kern w:val="0"/>
                <w:szCs w:val="21"/>
                <w:highlight w:val="none"/>
                <w:lang w:eastAsia="zh-CN"/>
              </w:rPr>
              <w:t>；</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olor w:val="auto"/>
                <w:highlight w:val="none"/>
              </w:rPr>
              <w:t>需求理解</w:t>
            </w:r>
            <w:r>
              <w:rPr>
                <w:rFonts w:hint="eastAsia" w:ascii="宋体" w:hAnsi="宋体" w:cs="宋体"/>
                <w:bCs/>
                <w:color w:val="auto"/>
                <w:szCs w:val="21"/>
                <w:highlight w:val="none"/>
              </w:rPr>
              <w:t>；</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olor w:val="auto"/>
                <w:highlight w:val="none"/>
              </w:rPr>
              <w:t>总体设计</w:t>
            </w:r>
            <w:r>
              <w:rPr>
                <w:rFonts w:hint="eastAsia" w:ascii="宋体" w:hAnsi="宋体" w:cs="宋体"/>
                <w:bCs/>
                <w:color w:val="auto"/>
                <w:szCs w:val="21"/>
                <w:highlight w:val="none"/>
              </w:rPr>
              <w:t>；</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仿宋_GB2312"/>
                <w:color w:val="auto"/>
                <w:highlight w:val="none"/>
              </w:rPr>
              <w:t>技术偏离</w:t>
            </w:r>
            <w:r>
              <w:rPr>
                <w:rFonts w:hint="eastAsia" w:ascii="宋体" w:hAnsi="宋体" w:cs="宋体"/>
                <w:bCs/>
                <w:color w:val="auto"/>
                <w:szCs w:val="21"/>
                <w:highlight w:val="none"/>
              </w:rPr>
              <w:t>；</w:t>
            </w:r>
          </w:p>
          <w:p>
            <w:pPr>
              <w:pStyle w:val="55"/>
              <w:rPr>
                <w:rFonts w:hint="eastAsia" w:ascii="宋体" w:hAnsi="宋体"/>
                <w:color w:val="auto"/>
                <w:highlight w:val="none"/>
                <w:lang w:eastAsia="zh-CN"/>
              </w:rPr>
            </w:pPr>
            <w:r>
              <w:rPr>
                <w:rFonts w:hint="eastAsia" w:ascii="宋体" w:hAnsi="宋体" w:cs="宋体"/>
                <w:bCs/>
                <w:color w:val="auto"/>
                <w:szCs w:val="21"/>
                <w:highlight w:val="none"/>
              </w:rPr>
              <w:t>6、</w:t>
            </w:r>
            <w:r>
              <w:rPr>
                <w:rFonts w:hint="eastAsia" w:ascii="宋体" w:hAnsi="宋体"/>
                <w:color w:val="auto"/>
                <w:highlight w:val="none"/>
              </w:rPr>
              <w:t>项目实施方案</w:t>
            </w:r>
            <w:r>
              <w:rPr>
                <w:rFonts w:hint="eastAsia" w:ascii="宋体" w:hAnsi="宋体"/>
                <w:color w:val="auto"/>
                <w:highlight w:val="none"/>
                <w:lang w:eastAsia="zh-CN"/>
              </w:rPr>
              <w:t>；</w:t>
            </w:r>
          </w:p>
          <w:p>
            <w:pPr>
              <w:snapToGrid w:val="0"/>
              <w:spacing w:line="320" w:lineRule="exact"/>
              <w:jc w:val="left"/>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人员配置</w:t>
            </w:r>
            <w:r>
              <w:rPr>
                <w:rFonts w:hint="eastAsia" w:ascii="宋体" w:hAnsi="宋体" w:cs="宋体"/>
                <w:bCs/>
                <w:color w:val="auto"/>
                <w:szCs w:val="21"/>
                <w:highlight w:val="none"/>
                <w:lang w:eastAsia="zh-CN"/>
              </w:rPr>
              <w:t>；</w:t>
            </w:r>
          </w:p>
          <w:p>
            <w:pPr>
              <w:snapToGrid w:val="0"/>
              <w:spacing w:line="32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8、培训方案；</w:t>
            </w:r>
          </w:p>
          <w:p>
            <w:pPr>
              <w:snapToGrid w:val="0"/>
              <w:spacing w:line="32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9、突发事件应急预案；</w:t>
            </w:r>
          </w:p>
          <w:p>
            <w:pPr>
              <w:snapToGrid w:val="0"/>
              <w:spacing w:line="32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10、售后服务方案。</w:t>
            </w:r>
          </w:p>
          <w:p>
            <w:pPr>
              <w:snapToGrid w:val="0"/>
              <w:spacing w:line="320" w:lineRule="exact"/>
              <w:jc w:val="left"/>
              <w:rPr>
                <w:rFonts w:ascii="宋体" w:hAnsi="宋体" w:cs="宋体"/>
                <w:color w:val="auto"/>
                <w:szCs w:val="21"/>
                <w:highlight w:val="none"/>
              </w:rPr>
            </w:pPr>
            <w:r>
              <w:rPr>
                <w:rFonts w:hint="eastAsia" w:ascii="宋体" w:hAnsi="宋体" w:cs="宋体"/>
                <w:b/>
                <w:color w:val="auto"/>
                <w:szCs w:val="21"/>
                <w:highlight w:val="none"/>
              </w:rPr>
              <w:t>注：结合“第二章采购需求”和“第六章评标办法和细则”进行编制，编制格式要求见第五章磋商响应文件格式，无格式的自行设计。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3.4</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报价文件的组成</w:t>
            </w:r>
          </w:p>
        </w:tc>
        <w:tc>
          <w:tcPr>
            <w:tcW w:w="6495" w:type="dxa"/>
            <w:vAlign w:val="center"/>
          </w:tcPr>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1、磋商一览表；</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2、分项报价表；</w:t>
            </w:r>
          </w:p>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3、供应商针对报价需要说明的其他文件和说明。</w:t>
            </w:r>
          </w:p>
          <w:p>
            <w:pPr>
              <w:snapToGrid w:val="0"/>
              <w:spacing w:line="320" w:lineRule="exact"/>
              <w:rPr>
                <w:rFonts w:ascii="宋体" w:hAnsi="宋体" w:cs="宋体"/>
                <w:bCs/>
                <w:color w:val="auto"/>
                <w:szCs w:val="21"/>
                <w:highlight w:val="none"/>
              </w:rPr>
            </w:pPr>
            <w:r>
              <w:rPr>
                <w:rFonts w:hint="eastAsia" w:ascii="宋体" w:hAnsi="宋体" w:cs="宋体"/>
                <w:b/>
                <w:color w:val="auto"/>
                <w:szCs w:val="21"/>
                <w:highlight w:val="none"/>
              </w:rPr>
              <w:t>注：编制格式要求见第五章磋商响应文件格式，无格式的自行设计。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3.5.1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其他文件的组成</w:t>
            </w:r>
          </w:p>
        </w:tc>
        <w:tc>
          <w:tcPr>
            <w:tcW w:w="6495" w:type="dxa"/>
            <w:vAlign w:val="center"/>
          </w:tcPr>
          <w:p>
            <w:pPr>
              <w:snapToGrid w:val="0"/>
              <w:spacing w:line="320" w:lineRule="exact"/>
              <w:rPr>
                <w:rFonts w:ascii="宋体" w:hAnsi="宋体" w:cs="宋体"/>
                <w:b/>
                <w:color w:val="auto"/>
                <w:szCs w:val="21"/>
                <w:highlight w:val="none"/>
              </w:rPr>
            </w:pPr>
            <w:r>
              <w:rPr>
                <w:rFonts w:hint="eastAsia" w:ascii="宋体" w:hAnsi="宋体" w:cs="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4.3</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磋商有效期</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4.6.1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响应文件的份数</w:t>
            </w:r>
          </w:p>
        </w:tc>
        <w:tc>
          <w:tcPr>
            <w:tcW w:w="6495" w:type="dxa"/>
            <w:vAlign w:val="center"/>
          </w:tcPr>
          <w:p>
            <w:pPr>
              <w:snapToGrid w:val="0"/>
              <w:spacing w:line="320" w:lineRule="exact"/>
              <w:rPr>
                <w:rFonts w:ascii="宋体" w:hAnsi="宋体" w:cs="宋体"/>
                <w:b/>
                <w:bCs/>
                <w:color w:val="auto"/>
                <w:szCs w:val="21"/>
                <w:highlight w:val="none"/>
              </w:rPr>
            </w:pPr>
            <w:r>
              <w:rPr>
                <w:rFonts w:hint="eastAsia" w:ascii="宋体" w:hAnsi="宋体" w:cs="宋体"/>
                <w:b/>
                <w:bCs/>
                <w:color w:val="auto"/>
                <w:szCs w:val="21"/>
                <w:highlight w:val="none"/>
              </w:rPr>
              <w:t>1、电子加密响应文件1份，自行在政府采购云平台在线提交；</w:t>
            </w:r>
          </w:p>
          <w:p>
            <w:pPr>
              <w:snapToGrid w:val="0"/>
              <w:spacing w:line="320" w:lineRule="exact"/>
              <w:rPr>
                <w:rFonts w:ascii="宋体" w:hAnsi="宋体" w:cs="宋体"/>
                <w:b/>
                <w:bCs/>
                <w:color w:val="auto"/>
                <w:szCs w:val="21"/>
                <w:highlight w:val="none"/>
              </w:rPr>
            </w:pPr>
            <w:r>
              <w:rPr>
                <w:rFonts w:hint="eastAsia" w:ascii="宋体" w:hAnsi="宋体" w:cs="宋体"/>
                <w:b/>
                <w:bCs/>
                <w:color w:val="auto"/>
                <w:szCs w:val="21"/>
                <w:highlight w:val="none"/>
              </w:rPr>
              <w:t>2、备份响应文件1份，由供应商自行确定是否提交；若提交请将备份投标文件打包压缩加密后以电子邮件的形式发送至1193974586@qq.com。</w:t>
            </w:r>
          </w:p>
          <w:p>
            <w:pPr>
              <w:snapToGrid w:val="0"/>
              <w:spacing w:line="320" w:lineRule="exact"/>
              <w:rPr>
                <w:rFonts w:ascii="宋体" w:hAnsi="宋体" w:cs="宋体"/>
                <w:bCs/>
                <w:color w:val="auto"/>
                <w:szCs w:val="21"/>
                <w:highlight w:val="none"/>
              </w:rPr>
            </w:pPr>
            <w:r>
              <w:rPr>
                <w:rFonts w:hint="eastAsia" w:ascii="宋体" w:hAnsi="宋体" w:cs="宋体"/>
                <w:b/>
                <w:bCs/>
                <w:color w:val="auto"/>
                <w:szCs w:val="21"/>
                <w:highlight w:val="none"/>
              </w:rPr>
              <w:t>注：供应商在线解密失败后，启用备份投标文件，否则不启用备份响应文件。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5.3.1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响应文件提交地点</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
                <w:color w:val="auto"/>
                <w:szCs w:val="21"/>
                <w:highlight w:val="none"/>
              </w:rPr>
              <w:t>本项目实行电子招投标，供应商须在磋商截止时间前，前往政采云平台上传电子响应文件，无需到达现场提交响应文件。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5.3.2</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响应文件</w:t>
            </w:r>
          </w:p>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提交截止时间</w:t>
            </w:r>
          </w:p>
        </w:tc>
        <w:tc>
          <w:tcPr>
            <w:tcW w:w="6495" w:type="dxa"/>
            <w:vAlign w:val="center"/>
          </w:tcPr>
          <w:p>
            <w:pPr>
              <w:snapToGrid w:val="0"/>
              <w:spacing w:line="320" w:lineRule="exact"/>
              <w:rPr>
                <w:rFonts w:ascii="宋体" w:hAnsi="宋体" w:cs="宋体"/>
                <w:b/>
                <w:bCs/>
                <w:color w:val="auto"/>
                <w:szCs w:val="21"/>
                <w:highlight w:val="none"/>
              </w:rPr>
            </w:pPr>
            <w:r>
              <w:rPr>
                <w:rFonts w:hint="eastAsia" w:ascii="宋体" w:hAnsi="宋体" w:cs="宋体"/>
                <w:b/>
                <w:bCs/>
                <w:color w:val="auto"/>
                <w:szCs w:val="21"/>
                <w:highlight w:val="none"/>
              </w:rPr>
              <w:t>同</w:t>
            </w:r>
            <w:r>
              <w:rPr>
                <w:rFonts w:hint="eastAsia" w:ascii="宋体" w:hAnsi="宋体" w:cs="宋体"/>
                <w:b/>
                <w:color w:val="auto"/>
                <w:szCs w:val="21"/>
                <w:highlight w:val="none"/>
              </w:rPr>
              <w:t>磋商</w:t>
            </w:r>
            <w:r>
              <w:rPr>
                <w:rFonts w:hint="eastAsia" w:ascii="宋体" w:hAnsi="宋体" w:cs="宋体"/>
                <w:b/>
                <w:bCs/>
                <w:color w:val="auto"/>
                <w:szCs w:val="21"/>
                <w:highlight w:val="none"/>
              </w:rPr>
              <w:t>截止时间，见</w:t>
            </w:r>
            <w:r>
              <w:rPr>
                <w:rFonts w:hint="eastAsia" w:ascii="宋体" w:hAnsi="宋体" w:cs="宋体"/>
                <w:b/>
                <w:color w:val="auto"/>
                <w:szCs w:val="21"/>
                <w:highlight w:val="none"/>
              </w:rPr>
              <w:t>第一章竞争性磋商公告。在磋商截止时间前，供应商可对已提交的电子响应文件进行补充、修改或撤回。补充、修改电子响应文件的，应当先行撤回原文件，补充、修改后重新生成加密的电子响应文件并重新传输递交。磋商截止时间前未完成传输的，视为撤回响应文件。磋商截止时间后递交的电子响应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5.3.3</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是否退还响应文件</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eq \o\ac(</w:instrText>
            </w:r>
            <w:r>
              <w:rPr>
                <w:rFonts w:hint="eastAsia" w:ascii="宋体" w:hAnsi="宋体" w:cs="宋体"/>
                <w:bCs/>
                <w:color w:val="auto"/>
                <w:position w:val="-4"/>
                <w:sz w:val="31"/>
                <w:szCs w:val="21"/>
                <w:highlight w:val="none"/>
              </w:rPr>
              <w:instrText xml:space="preserve">□</w:instrText>
            </w:r>
            <w:r>
              <w:rPr>
                <w:rFonts w:hint="eastAsia" w:ascii="宋体" w:hAnsi="宋体" w:cs="宋体"/>
                <w:bCs/>
                <w:color w:val="auto"/>
                <w:szCs w:val="21"/>
                <w:highlight w:val="none"/>
              </w:rPr>
              <w:instrText xml:space="preserve">,√)</w:instrText>
            </w:r>
            <w:r>
              <w:rPr>
                <w:rFonts w:hint="eastAsia" w:ascii="宋体" w:hAnsi="宋体" w:cs="宋体"/>
                <w:bCs/>
                <w:color w:val="auto"/>
                <w:szCs w:val="21"/>
                <w:highlight w:val="none"/>
              </w:rPr>
              <w:fldChar w:fldCharType="end"/>
            </w:r>
            <w:r>
              <w:rPr>
                <w:rFonts w:hint="eastAsia" w:ascii="宋体" w:hAnsi="宋体" w:cs="宋体"/>
                <w:bCs/>
                <w:color w:val="auto"/>
                <w:szCs w:val="21"/>
                <w:highlight w:val="none"/>
              </w:rPr>
              <w:t>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7.1.1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磋商时间和地点</w:t>
            </w:r>
          </w:p>
        </w:tc>
        <w:tc>
          <w:tcPr>
            <w:tcW w:w="6495" w:type="dxa"/>
            <w:vAlign w:val="center"/>
          </w:tcPr>
          <w:p>
            <w:pPr>
              <w:snapToGrid w:val="0"/>
              <w:spacing w:line="320" w:lineRule="exact"/>
              <w:rPr>
                <w:rFonts w:ascii="宋体" w:hAnsi="宋体" w:cs="宋体"/>
                <w:b/>
                <w:bCs/>
                <w:color w:val="auto"/>
                <w:szCs w:val="21"/>
                <w:highlight w:val="none"/>
              </w:rPr>
            </w:pPr>
            <w:r>
              <w:rPr>
                <w:rFonts w:hint="eastAsia" w:ascii="宋体" w:hAnsi="宋体" w:cs="宋体"/>
                <w:bCs/>
                <w:color w:val="auto"/>
                <w:szCs w:val="21"/>
                <w:highlight w:val="none"/>
              </w:rPr>
              <w:t>磋商时间：</w:t>
            </w:r>
            <w:r>
              <w:rPr>
                <w:rFonts w:hint="eastAsia" w:ascii="宋体" w:hAnsi="宋体" w:cs="宋体"/>
                <w:b/>
                <w:bCs/>
                <w:color w:val="auto"/>
                <w:szCs w:val="21"/>
                <w:highlight w:val="none"/>
                <w:lang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29</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:00时</w:t>
            </w:r>
          </w:p>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磋商地点：</w:t>
            </w:r>
            <w:r>
              <w:rPr>
                <w:rFonts w:hint="eastAsia" w:ascii="宋体" w:hAnsi="宋体" w:cs="宋体"/>
                <w:b/>
                <w:color w:val="auto"/>
                <w:szCs w:val="21"/>
                <w:highlight w:val="none"/>
              </w:rPr>
              <w:t>供应商均应当准时在线参加（政采云平台）。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7.1.4</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磋商时供应商</w:t>
            </w:r>
          </w:p>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须携带的资料</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7.3.6</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磋商评审办法</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本项目的磋商评审办法是：</w:t>
            </w:r>
          </w:p>
          <w:p>
            <w:pPr>
              <w:snapToGrid w:val="0"/>
              <w:spacing w:line="320" w:lineRule="exact"/>
              <w:rPr>
                <w:rFonts w:ascii="宋体" w:hAnsi="宋体" w:cs="宋体"/>
                <w:bCs/>
                <w:color w:val="auto"/>
                <w:szCs w:val="21"/>
                <w:highlight w:val="none"/>
                <w:u w:val="singl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eq \o\ac(</w:instrText>
            </w:r>
            <w:r>
              <w:rPr>
                <w:rFonts w:hint="eastAsia" w:ascii="宋体" w:hAnsi="宋体" w:cs="宋体"/>
                <w:bCs/>
                <w:color w:val="auto"/>
                <w:position w:val="-4"/>
                <w:sz w:val="31"/>
                <w:szCs w:val="21"/>
                <w:highlight w:val="none"/>
              </w:rPr>
              <w:instrText xml:space="preserve">□</w:instrText>
            </w:r>
            <w:r>
              <w:rPr>
                <w:rFonts w:hint="eastAsia" w:ascii="宋体" w:hAnsi="宋体" w:cs="宋体"/>
                <w:bCs/>
                <w:color w:val="auto"/>
                <w:szCs w:val="21"/>
                <w:highlight w:val="none"/>
              </w:rPr>
              <w:instrText xml:space="preserve">,√)</w:instrText>
            </w:r>
            <w:r>
              <w:rPr>
                <w:rFonts w:hint="eastAsia" w:ascii="宋体" w:hAnsi="宋体" w:cs="宋体"/>
                <w:bCs/>
                <w:color w:val="auto"/>
                <w:szCs w:val="21"/>
                <w:highlight w:val="none"/>
              </w:rPr>
              <w:fldChar w:fldCharType="end"/>
            </w:r>
            <w:r>
              <w:rPr>
                <w:rFonts w:hint="eastAsia" w:ascii="宋体" w:hAnsi="宋体" w:cs="宋体"/>
                <w:bCs/>
                <w:color w:val="auto"/>
                <w:szCs w:val="21"/>
                <w:highlight w:val="none"/>
              </w:rPr>
              <w:t>综合评分法□最低价评审价法，具体磋商评审内容及评分标准等详见《第六章：磋商评审办法及评分标准》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7.5.1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推荐成交候选人家数</w:t>
            </w:r>
          </w:p>
        </w:tc>
        <w:tc>
          <w:tcPr>
            <w:tcW w:w="6495" w:type="dxa"/>
            <w:vAlign w:val="center"/>
          </w:tcPr>
          <w:p>
            <w:pPr>
              <w:snapToGrid w:val="0"/>
              <w:spacing w:line="320" w:lineRule="exact"/>
              <w:rPr>
                <w:rFonts w:ascii="宋体" w:hAnsi="宋体" w:cs="宋体"/>
                <w:bCs/>
                <w:color w:val="auto"/>
                <w:szCs w:val="21"/>
                <w:highlight w:val="none"/>
                <w:u w:val="single"/>
              </w:rPr>
            </w:pPr>
            <w:r>
              <w:rPr>
                <w:rFonts w:hint="eastAsia" w:ascii="宋体" w:hAnsi="宋体" w:cs="宋体"/>
                <w:bCs/>
                <w:color w:val="auto"/>
                <w:szCs w:val="21"/>
                <w:highlight w:val="none"/>
              </w:rPr>
              <w:t>推荐</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家，确定1家。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8.4.3</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付款条件</w:t>
            </w:r>
          </w:p>
        </w:tc>
        <w:tc>
          <w:tcPr>
            <w:tcW w:w="6495" w:type="dxa"/>
            <w:vAlign w:val="center"/>
          </w:tcPr>
          <w:p>
            <w:pPr>
              <w:snapToGrid w:val="0"/>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按合同条款执行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8.4.4</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付款方式</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eastAsia="宋体" w:cs="宋体"/>
                <w:color w:val="auto"/>
                <w:sz w:val="21"/>
                <w:szCs w:val="21"/>
                <w:highlight w:val="none"/>
                <w:lang w:val="zh-CN"/>
              </w:rPr>
              <w:t>合同签订后</w:t>
            </w:r>
            <w:r>
              <w:rPr>
                <w:rFonts w:hint="eastAsia" w:ascii="宋体" w:hAnsi="宋体" w:eastAsia="宋体" w:cs="宋体"/>
                <w:color w:val="auto"/>
                <w:sz w:val="21"/>
                <w:szCs w:val="21"/>
                <w:highlight w:val="none"/>
              </w:rPr>
              <w:t>7个工作日内支付</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0%预付款,</w:t>
            </w:r>
            <w:r>
              <w:rPr>
                <w:rFonts w:hint="eastAsia" w:ascii="宋体" w:hAnsi="宋体" w:eastAsia="宋体" w:cs="宋体"/>
                <w:color w:val="auto"/>
                <w:sz w:val="21"/>
                <w:szCs w:val="21"/>
                <w:highlight w:val="none"/>
                <w:lang w:val="zh-CN"/>
              </w:rPr>
              <w:t>供应商应提交银行、保险公司等金融机构出具同等金额的预付款保函；</w:t>
            </w:r>
            <w:r>
              <w:rPr>
                <w:rFonts w:hint="eastAsia" w:ascii="宋体" w:hAnsi="宋体" w:eastAsia="宋体" w:cs="宋体"/>
                <w:color w:val="auto"/>
                <w:sz w:val="21"/>
                <w:szCs w:val="21"/>
                <w:highlight w:val="none"/>
              </w:rPr>
              <w:t>中标方按要求完成建设后进入试运行阶段，经试运行系统正常并经采购方验收合格后开始支付租赁费用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（租赁费用按月支付，支付时间为次月月底前。每月租赁费用＝中标价/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9.1.1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tc>
        <w:tc>
          <w:tcPr>
            <w:tcW w:w="6495" w:type="dxa"/>
            <w:vAlign w:val="center"/>
          </w:tcPr>
          <w:p>
            <w:pPr>
              <w:spacing w:line="320" w:lineRule="exact"/>
              <w:rPr>
                <w:rFonts w:ascii="宋体" w:hAnsi="宋体" w:cs="宋体"/>
                <w:bCs/>
                <w:color w:val="auto"/>
                <w:szCs w:val="21"/>
                <w:highlight w:val="none"/>
              </w:rPr>
            </w:pPr>
            <w:r>
              <w:rPr>
                <w:rFonts w:hint="eastAsia" w:ascii="宋体" w:hAnsi="宋体" w:cs="宋体"/>
                <w:bCs/>
                <w:color w:val="auto"/>
                <w:szCs w:val="21"/>
                <w:highlight w:val="none"/>
              </w:rPr>
              <w:t>履约保证金为合同金额的1%（履约保证金可以为银行转账，银行、保险公司等金融机构出具保函、保单），甲乙双方签订合同</w:t>
            </w:r>
            <w:r>
              <w:rPr>
                <w:rFonts w:hint="eastAsia" w:ascii="宋体" w:hAnsi="宋体" w:cs="宋体"/>
                <w:bCs/>
                <w:color w:val="auto"/>
                <w:szCs w:val="21"/>
                <w:highlight w:val="none"/>
                <w:lang w:val="en-US" w:eastAsia="zh-CN"/>
              </w:rPr>
              <w:t>后</w:t>
            </w:r>
            <w:r>
              <w:rPr>
                <w:rFonts w:hint="eastAsia" w:ascii="宋体" w:hAnsi="宋体" w:cs="宋体"/>
                <w:bCs/>
                <w:color w:val="auto"/>
                <w:szCs w:val="21"/>
                <w:highlight w:val="none"/>
              </w:rPr>
              <w:t>，履约保证金交付至甲方指定账户或按规定提交保函、保单。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10.3</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注意事项</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
                <w:bCs/>
                <w:color w:val="auto"/>
                <w:szCs w:val="21"/>
                <w:highlight w:val="none"/>
              </w:rPr>
              <w:t>磋商截止时间后，供应商登录政采云平台，用“项目采购-开标评标”功能对电子响应文件进行在线解密。在线解密电子响应文件时间为磋商截止时间起30分钟内，</w:t>
            </w:r>
            <w:r>
              <w:rPr>
                <w:rFonts w:hint="eastAsia" w:ascii="宋体" w:hAnsi="宋体" w:cs="宋体"/>
                <w:b/>
                <w:color w:val="auto"/>
                <w:szCs w:val="21"/>
                <w:highlight w:val="none"/>
              </w:rPr>
              <w:t>未按时解密或解密未成功的，供应商应当在解密时间内向采购代理机构通过电子邮箱（1193974586@qq.com）提供备份响应文件，否则</w:t>
            </w:r>
            <w:r>
              <w:rPr>
                <w:rFonts w:hint="eastAsia" w:ascii="宋体" w:hAnsi="宋体" w:cs="宋体"/>
                <w:b/>
                <w:bCs/>
                <w:color w:val="auto"/>
                <w:szCs w:val="21"/>
                <w:highlight w:val="none"/>
              </w:rPr>
              <w:t>视为放弃磋商。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10.4.1</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采购代理机构</w:t>
            </w:r>
          </w:p>
        </w:tc>
        <w:tc>
          <w:tcPr>
            <w:tcW w:w="6495" w:type="dxa"/>
            <w:vAlign w:val="center"/>
          </w:tcPr>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代理机构：浙江鼎峰工程咨询有限公司</w:t>
            </w:r>
          </w:p>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联系人：陈力兵</w:t>
            </w:r>
          </w:p>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联系电话：0578-3311234</w:t>
            </w:r>
          </w:p>
          <w:p>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地址：缙云县城新区江滨巷17号301室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939"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10.4.2</w:t>
            </w:r>
          </w:p>
        </w:tc>
        <w:tc>
          <w:tcPr>
            <w:tcW w:w="2115" w:type="dxa"/>
            <w:vAlign w:val="center"/>
          </w:tcPr>
          <w:p>
            <w:pPr>
              <w:snapToGrid w:val="0"/>
              <w:spacing w:line="320" w:lineRule="exact"/>
              <w:jc w:val="center"/>
              <w:rPr>
                <w:rFonts w:ascii="宋体" w:hAnsi="宋体" w:cs="宋体"/>
                <w:bCs/>
                <w:color w:val="auto"/>
                <w:szCs w:val="21"/>
                <w:highlight w:val="none"/>
              </w:rPr>
            </w:pPr>
            <w:r>
              <w:rPr>
                <w:rFonts w:hint="eastAsia" w:ascii="宋体" w:hAnsi="宋体" w:cs="宋体"/>
                <w:bCs/>
                <w:color w:val="auto"/>
                <w:szCs w:val="21"/>
                <w:highlight w:val="none"/>
              </w:rPr>
              <w:t>采购人</w:t>
            </w:r>
          </w:p>
        </w:tc>
        <w:tc>
          <w:tcPr>
            <w:tcW w:w="6495" w:type="dxa"/>
            <w:vAlign w:val="center"/>
          </w:tcPr>
          <w:p>
            <w:pPr>
              <w:snapToGrid w:val="0"/>
              <w:spacing w:line="32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采购人名称：</w:t>
            </w:r>
            <w:r>
              <w:rPr>
                <w:rFonts w:hint="eastAsia" w:ascii="宋体" w:hAnsi="宋体" w:cs="宋体"/>
                <w:bCs/>
                <w:color w:val="auto"/>
                <w:szCs w:val="21"/>
                <w:highlight w:val="none"/>
                <w:lang w:eastAsia="zh-CN"/>
              </w:rPr>
              <w:t>缙云县公安局</w:t>
            </w:r>
          </w:p>
          <w:p>
            <w:pPr>
              <w:snapToGrid w:val="0"/>
              <w:spacing w:line="320" w:lineRule="exac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联系人：</w:t>
            </w:r>
            <w:r>
              <w:rPr>
                <w:rFonts w:hint="eastAsia" w:ascii="宋体" w:hAnsi="宋体" w:cs="宋体"/>
                <w:bCs/>
                <w:color w:val="auto"/>
                <w:szCs w:val="21"/>
                <w:highlight w:val="none"/>
                <w:lang w:val="en-US" w:eastAsia="zh-CN"/>
              </w:rPr>
              <w:t>胡蓓</w:t>
            </w:r>
          </w:p>
          <w:p>
            <w:pPr>
              <w:snapToGrid w:val="0"/>
              <w:spacing w:line="320" w:lineRule="exact"/>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联系电话：</w:t>
            </w:r>
            <w:r>
              <w:rPr>
                <w:rFonts w:hint="eastAsia" w:ascii="宋体" w:hAnsi="宋体" w:cs="宋体"/>
                <w:bCs/>
                <w:color w:val="auto"/>
                <w:szCs w:val="21"/>
                <w:highlight w:val="none"/>
                <w:lang w:eastAsia="zh-CN"/>
              </w:rPr>
              <w:t>13625780693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20" w:lineRule="exact"/>
              <w:jc w:val="center"/>
              <w:rPr>
                <w:rFonts w:ascii="宋体" w:hAnsi="宋体" w:cs="宋体"/>
                <w:bCs/>
                <w:color w:val="auto"/>
                <w:szCs w:val="21"/>
                <w:highlight w:val="none"/>
              </w:rPr>
            </w:pPr>
            <w:bookmarkStart w:id="41" w:name="_Toc498327005"/>
            <w:bookmarkStart w:id="42" w:name="_Toc24183"/>
            <w:bookmarkStart w:id="43" w:name="_Toc499128550"/>
            <w:bookmarkStart w:id="44" w:name="_Toc301187598"/>
            <w:r>
              <w:rPr>
                <w:rFonts w:hint="eastAsia" w:ascii="宋体" w:hAnsi="宋体" w:cs="宋体"/>
                <w:bCs/>
                <w:color w:val="auto"/>
                <w:szCs w:val="21"/>
                <w:highlight w:val="none"/>
              </w:rPr>
              <w:t>10.5</w:t>
            </w:r>
          </w:p>
        </w:tc>
        <w:tc>
          <w:tcPr>
            <w:tcW w:w="2115" w:type="dxa"/>
            <w:vAlign w:val="center"/>
          </w:tcPr>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其它</w:t>
            </w:r>
          </w:p>
        </w:tc>
        <w:tc>
          <w:tcPr>
            <w:tcW w:w="6495" w:type="dxa"/>
            <w:vAlign w:val="center"/>
          </w:tcPr>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中标供应商有资金需求，可申请政采贷、履约保函、预付款保函等政府采购金融服务。</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1、政采贷</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2、履约保函、预付款保函</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中标供应商可通过以保函的形式提交履约保证金，减少对中小微企业的资金占用，降低财务成本。</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履约保函，政采贷，预付款保函等金融服务办理方式。</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中标供应商登陆政采云——我的工作台——金融服务——融资专区或保函专区申请。金融专线400-903-9583。</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3.风险提示</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（1）本宣传简介内容仅为提供给各中标供应商对办理政府采购金融服务的宣传和了解之方便，对金融服务的具体内容和操作流程均以各金融机构的要求为准，也不作强制要求。</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（2）政府采购金融服务有风险，请详细了解并综合评估后再决定。</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（3）政府采购金融服务遵循平等自愿、风险自担的原则。采购人、代理机构、财政部门不为任何政府采购金融服务项目承担任何形式的担保、解释或其他连带责任。</w:t>
            </w:r>
          </w:p>
        </w:tc>
      </w:tr>
    </w:tbl>
    <w:p>
      <w:pPr>
        <w:pStyle w:val="3"/>
        <w:keepNext w:val="0"/>
        <w:keepLines w:val="0"/>
        <w:spacing w:line="440" w:lineRule="exact"/>
        <w:rPr>
          <w:rFonts w:ascii="宋体" w:hAnsi="宋体" w:cs="宋体"/>
          <w:color w:val="auto"/>
          <w:szCs w:val="21"/>
          <w:highlight w:val="none"/>
        </w:rPr>
      </w:pPr>
      <w:r>
        <w:rPr>
          <w:rFonts w:hint="eastAsia" w:ascii="宋体" w:hAnsi="宋体" w:cs="宋体"/>
          <w:color w:val="auto"/>
          <w:szCs w:val="21"/>
          <w:highlight w:val="none"/>
        </w:rPr>
        <w:br w:type="page"/>
      </w:r>
      <w:bookmarkStart w:id="45" w:name="_Toc19752"/>
      <w:bookmarkStart w:id="46" w:name="_Toc8420"/>
      <w:r>
        <w:rPr>
          <w:rFonts w:hint="eastAsia" w:ascii="宋体" w:hAnsi="宋体" w:cs="宋体"/>
          <w:color w:val="auto"/>
          <w:szCs w:val="21"/>
          <w:highlight w:val="none"/>
        </w:rPr>
        <w:t>1．总则</w:t>
      </w:r>
      <w:bookmarkEnd w:id="41"/>
      <w:bookmarkEnd w:id="42"/>
      <w:bookmarkEnd w:id="43"/>
      <w:bookmarkEnd w:id="45"/>
      <w:bookmarkEnd w:id="46"/>
    </w:p>
    <w:p>
      <w:pPr>
        <w:spacing w:line="440" w:lineRule="exact"/>
        <w:jc w:val="left"/>
        <w:outlineLvl w:val="2"/>
        <w:rPr>
          <w:rFonts w:ascii="宋体" w:hAnsi="宋体" w:cs="宋体"/>
          <w:b/>
          <w:bCs/>
          <w:color w:val="auto"/>
          <w:szCs w:val="21"/>
          <w:highlight w:val="none"/>
        </w:rPr>
      </w:pPr>
      <w:bookmarkStart w:id="47" w:name="_Toc301187578"/>
      <w:bookmarkStart w:id="48" w:name="_Toc26749"/>
      <w:bookmarkStart w:id="49" w:name="_Toc303756365"/>
      <w:bookmarkStart w:id="50" w:name="_Toc498327006"/>
      <w:bookmarkStart w:id="51" w:name="_Toc499128551"/>
      <w:bookmarkStart w:id="52" w:name="_Toc359934560"/>
      <w:r>
        <w:rPr>
          <w:rFonts w:hint="eastAsia" w:ascii="宋体" w:hAnsi="宋体" w:cs="宋体"/>
          <w:b/>
          <w:bCs/>
          <w:color w:val="auto"/>
          <w:szCs w:val="21"/>
          <w:highlight w:val="none"/>
        </w:rPr>
        <w:t>1.1适用范围</w:t>
      </w:r>
      <w:bookmarkEnd w:id="47"/>
      <w:bookmarkEnd w:id="48"/>
      <w:bookmarkEnd w:id="49"/>
      <w:bookmarkEnd w:id="50"/>
      <w:bookmarkEnd w:id="51"/>
      <w:bookmarkEnd w:id="52"/>
    </w:p>
    <w:p>
      <w:pPr>
        <w:spacing w:line="440" w:lineRule="exact"/>
        <w:ind w:firstLine="420" w:firstLineChars="200"/>
        <w:rPr>
          <w:rFonts w:ascii="宋体" w:hAnsi="宋体" w:cs="宋体"/>
          <w:color w:val="auto"/>
          <w:szCs w:val="21"/>
          <w:highlight w:val="none"/>
        </w:rPr>
      </w:pPr>
      <w:bookmarkStart w:id="53" w:name="_Toc301187579"/>
      <w:r>
        <w:rPr>
          <w:rFonts w:hint="eastAsia" w:ascii="宋体" w:hAnsi="宋体" w:cs="宋体"/>
          <w:color w:val="auto"/>
          <w:szCs w:val="21"/>
          <w:highlight w:val="none"/>
        </w:rPr>
        <w:t>本竞争性磋商文件适用于本竞争性磋商文件所叙述项目的采购。</w:t>
      </w:r>
      <w:bookmarkEnd w:id="53"/>
    </w:p>
    <w:p>
      <w:pPr>
        <w:spacing w:line="440" w:lineRule="exact"/>
        <w:jc w:val="left"/>
        <w:outlineLvl w:val="2"/>
        <w:rPr>
          <w:rFonts w:ascii="宋体" w:hAnsi="宋体" w:cs="宋体"/>
          <w:b/>
          <w:bCs/>
          <w:color w:val="auto"/>
          <w:szCs w:val="21"/>
          <w:highlight w:val="none"/>
        </w:rPr>
      </w:pPr>
      <w:bookmarkStart w:id="54" w:name="_Toc499128552"/>
      <w:bookmarkStart w:id="55" w:name="_Toc303756366"/>
      <w:bookmarkStart w:id="56" w:name="_Toc301187580"/>
      <w:bookmarkStart w:id="57" w:name="_Toc359934561"/>
      <w:bookmarkStart w:id="58" w:name="_Toc32303"/>
      <w:bookmarkStart w:id="59" w:name="_Toc498327007"/>
      <w:r>
        <w:rPr>
          <w:rFonts w:hint="eastAsia" w:ascii="宋体" w:hAnsi="宋体" w:cs="宋体"/>
          <w:b/>
          <w:bCs/>
          <w:color w:val="auto"/>
          <w:szCs w:val="21"/>
          <w:highlight w:val="none"/>
        </w:rPr>
        <w:t>1.2定义</w:t>
      </w:r>
      <w:bookmarkEnd w:id="54"/>
      <w:bookmarkEnd w:id="55"/>
      <w:bookmarkEnd w:id="56"/>
      <w:bookmarkEnd w:id="57"/>
      <w:bookmarkEnd w:id="58"/>
      <w:bookmarkEnd w:id="59"/>
    </w:p>
    <w:p>
      <w:pPr>
        <w:spacing w:line="440" w:lineRule="exact"/>
        <w:ind w:firstLine="420" w:firstLineChars="200"/>
        <w:rPr>
          <w:rFonts w:ascii="宋体" w:hAnsi="宋体" w:cs="宋体"/>
          <w:color w:val="auto"/>
          <w:szCs w:val="21"/>
          <w:highlight w:val="none"/>
        </w:rPr>
      </w:pPr>
      <w:bookmarkStart w:id="60" w:name="_Toc301187581"/>
      <w:r>
        <w:rPr>
          <w:rFonts w:hint="eastAsia" w:ascii="宋体" w:hAnsi="宋体" w:cs="宋体"/>
          <w:color w:val="auto"/>
          <w:szCs w:val="21"/>
          <w:highlight w:val="none"/>
        </w:rPr>
        <w:t>1.2.1采购人：</w:t>
      </w:r>
      <w:r>
        <w:rPr>
          <w:rFonts w:hint="eastAsia" w:ascii="宋体" w:hAnsi="宋体" w:cs="宋体"/>
          <w:color w:val="auto"/>
          <w:szCs w:val="21"/>
          <w:highlight w:val="none"/>
          <w:lang w:eastAsia="zh-CN"/>
        </w:rPr>
        <w:t>缙云县公安局</w:t>
      </w:r>
      <w:r>
        <w:rPr>
          <w:rFonts w:hint="eastAsia" w:ascii="宋体" w:hAnsi="宋体" w:cs="宋体"/>
          <w:color w:val="auto"/>
          <w:szCs w:val="21"/>
          <w:highlight w:val="none"/>
        </w:rPr>
        <w:t>。</w:t>
      </w:r>
      <w:bookmarkEnd w:id="60"/>
    </w:p>
    <w:p>
      <w:pPr>
        <w:spacing w:line="440" w:lineRule="exact"/>
        <w:ind w:firstLine="420" w:firstLineChars="200"/>
        <w:rPr>
          <w:rFonts w:ascii="宋体" w:hAnsi="宋体" w:cs="宋体"/>
          <w:color w:val="auto"/>
          <w:szCs w:val="21"/>
          <w:highlight w:val="none"/>
        </w:rPr>
      </w:pPr>
      <w:bookmarkStart w:id="61" w:name="_Toc301187582"/>
      <w:r>
        <w:rPr>
          <w:rFonts w:hint="eastAsia" w:ascii="宋体" w:hAnsi="宋体" w:cs="宋体"/>
          <w:color w:val="auto"/>
          <w:szCs w:val="21"/>
          <w:highlight w:val="none"/>
        </w:rPr>
        <w:t>1.2.2采购代理机构：</w:t>
      </w:r>
      <w:r>
        <w:rPr>
          <w:rFonts w:hint="eastAsia" w:ascii="宋体" w:hAnsi="宋体" w:cs="宋体"/>
          <w:bCs/>
          <w:color w:val="auto"/>
          <w:szCs w:val="21"/>
          <w:highlight w:val="none"/>
        </w:rPr>
        <w:t>浙江鼎峰工程咨询有限公司</w:t>
      </w:r>
      <w:r>
        <w:rPr>
          <w:rFonts w:hint="eastAsia" w:ascii="宋体" w:hAnsi="宋体" w:cs="宋体"/>
          <w:color w:val="auto"/>
          <w:szCs w:val="21"/>
          <w:highlight w:val="none"/>
        </w:rPr>
        <w:t>。</w:t>
      </w:r>
      <w:bookmarkEnd w:id="61"/>
    </w:p>
    <w:p>
      <w:pPr>
        <w:spacing w:line="440" w:lineRule="exact"/>
        <w:ind w:firstLine="420" w:firstLineChars="200"/>
        <w:rPr>
          <w:rFonts w:ascii="宋体" w:hAnsi="宋体" w:cs="宋体"/>
          <w:color w:val="auto"/>
          <w:szCs w:val="21"/>
          <w:highlight w:val="none"/>
        </w:rPr>
      </w:pPr>
      <w:bookmarkStart w:id="62" w:name="_Toc301187583"/>
      <w:r>
        <w:rPr>
          <w:rFonts w:hint="eastAsia" w:ascii="宋体" w:hAnsi="宋体" w:cs="宋体"/>
          <w:color w:val="auto"/>
          <w:szCs w:val="21"/>
          <w:highlight w:val="none"/>
        </w:rPr>
        <w:t>1.2.3“供应商”系指按照竞争性磋商文件的规定参加磋商的法人。</w:t>
      </w:r>
      <w:bookmarkEnd w:id="62"/>
    </w:p>
    <w:p>
      <w:pPr>
        <w:spacing w:line="440" w:lineRule="exact"/>
        <w:ind w:firstLine="420" w:firstLineChars="200"/>
        <w:rPr>
          <w:rFonts w:ascii="宋体" w:hAnsi="宋体" w:cs="宋体"/>
          <w:color w:val="auto"/>
          <w:szCs w:val="21"/>
          <w:highlight w:val="none"/>
        </w:rPr>
      </w:pPr>
      <w:bookmarkStart w:id="63" w:name="_Toc301187584"/>
      <w:r>
        <w:rPr>
          <w:rFonts w:hint="eastAsia" w:ascii="宋体" w:hAnsi="宋体" w:cs="宋体"/>
          <w:color w:val="auto"/>
          <w:szCs w:val="21"/>
          <w:highlight w:val="none"/>
        </w:rPr>
        <w:t>1.2.4“监督机构”系指缙云县纪委、监委、采购监管科等。</w:t>
      </w:r>
      <w:bookmarkEnd w:id="63"/>
    </w:p>
    <w:p>
      <w:pPr>
        <w:spacing w:line="440" w:lineRule="exact"/>
        <w:ind w:firstLine="420" w:firstLineChars="200"/>
        <w:rPr>
          <w:rFonts w:ascii="宋体" w:hAnsi="宋体" w:cs="宋体"/>
          <w:color w:val="auto"/>
          <w:szCs w:val="21"/>
          <w:highlight w:val="none"/>
        </w:rPr>
      </w:pPr>
      <w:bookmarkStart w:id="64" w:name="_Toc301187585"/>
      <w:r>
        <w:rPr>
          <w:rFonts w:hint="eastAsia" w:ascii="宋体" w:hAnsi="宋体" w:cs="宋体"/>
          <w:color w:val="auto"/>
          <w:szCs w:val="21"/>
          <w:highlight w:val="none"/>
        </w:rPr>
        <w:t>1.2.5“买方”系指采购人，“卖方”系指成交供应商。</w:t>
      </w:r>
      <w:bookmarkEnd w:id="64"/>
    </w:p>
    <w:p>
      <w:pPr>
        <w:spacing w:line="440" w:lineRule="exact"/>
        <w:ind w:firstLine="420" w:firstLineChars="200"/>
        <w:rPr>
          <w:rFonts w:ascii="宋体" w:hAnsi="宋体" w:cs="宋体"/>
          <w:color w:val="auto"/>
          <w:szCs w:val="21"/>
          <w:highlight w:val="none"/>
        </w:rPr>
      </w:pPr>
      <w:bookmarkStart w:id="65" w:name="_Toc301187586"/>
      <w:r>
        <w:rPr>
          <w:rFonts w:hint="eastAsia" w:ascii="宋体" w:hAnsi="宋体" w:cs="宋体"/>
          <w:color w:val="auto"/>
          <w:szCs w:val="21"/>
          <w:highlight w:val="none"/>
        </w:rPr>
        <w:t>1.2.6“货物”系指成交供应商按竞争性磋商文件规定必须向采购人提供的一切产品（包括：虚拟产品），以及产品相关的备品备件、工具、手册及其它有关技术资料和材料。</w:t>
      </w:r>
      <w:bookmarkEnd w:id="65"/>
    </w:p>
    <w:p>
      <w:pPr>
        <w:spacing w:line="440" w:lineRule="exact"/>
        <w:ind w:firstLine="420" w:firstLineChars="200"/>
        <w:rPr>
          <w:rFonts w:ascii="宋体" w:hAnsi="宋体" w:cs="宋体"/>
          <w:color w:val="auto"/>
          <w:szCs w:val="21"/>
          <w:highlight w:val="none"/>
        </w:rPr>
      </w:pPr>
      <w:bookmarkStart w:id="66" w:name="_Toc301187587"/>
      <w:r>
        <w:rPr>
          <w:rFonts w:hint="eastAsia" w:ascii="宋体" w:hAnsi="宋体" w:cs="宋体"/>
          <w:color w:val="auto"/>
          <w:szCs w:val="21"/>
          <w:highlight w:val="none"/>
        </w:rPr>
        <w:t>1.2.7“服务”系指成交供应商按竞争性磋商文件规定须承担的安装、调试、技术协助以及其他类似的附随义务。</w:t>
      </w:r>
      <w:bookmarkEnd w:id="66"/>
    </w:p>
    <w:p>
      <w:pPr>
        <w:spacing w:line="440" w:lineRule="exact"/>
        <w:ind w:firstLine="420" w:firstLineChars="200"/>
        <w:rPr>
          <w:rFonts w:ascii="宋体" w:hAnsi="宋体" w:cs="宋体"/>
          <w:color w:val="auto"/>
          <w:szCs w:val="21"/>
          <w:highlight w:val="none"/>
        </w:rPr>
      </w:pPr>
      <w:bookmarkStart w:id="67" w:name="_Toc301187588"/>
      <w:r>
        <w:rPr>
          <w:rFonts w:hint="eastAsia" w:ascii="宋体" w:hAnsi="宋体" w:cs="宋体"/>
          <w:color w:val="auto"/>
          <w:szCs w:val="21"/>
          <w:highlight w:val="none"/>
        </w:rPr>
        <w:t>1.2.8“附随服务”系指根据合同规定成交供应商必须承担与货物有关的辅助服务，如送货上门、免费维护以及合同中规定卖方应承担的义务，以及合同中未规定,但依有利于合同履行原则，应当由卖方承担的其它义务。</w:t>
      </w:r>
      <w:bookmarkEnd w:id="67"/>
    </w:p>
    <w:p>
      <w:pPr>
        <w:spacing w:line="440" w:lineRule="exact"/>
        <w:ind w:firstLine="420" w:firstLineChars="200"/>
        <w:rPr>
          <w:rFonts w:ascii="宋体" w:hAnsi="宋体" w:cs="宋体"/>
          <w:color w:val="auto"/>
          <w:szCs w:val="21"/>
          <w:highlight w:val="none"/>
        </w:rPr>
      </w:pPr>
      <w:bookmarkStart w:id="68" w:name="_Toc301187589"/>
      <w:r>
        <w:rPr>
          <w:rFonts w:hint="eastAsia" w:ascii="宋体" w:hAnsi="宋体" w:cs="宋体"/>
          <w:color w:val="auto"/>
          <w:szCs w:val="21"/>
          <w:highlight w:val="none"/>
        </w:rPr>
        <w:t>1.2.9</w:t>
      </w:r>
      <w:bookmarkEnd w:id="68"/>
      <w:bookmarkStart w:id="69" w:name="_Toc301187590"/>
      <w:r>
        <w:rPr>
          <w:rFonts w:hint="eastAsia" w:ascii="宋体" w:hAnsi="宋体" w:cs="宋体"/>
          <w:color w:val="auto"/>
          <w:szCs w:val="21"/>
          <w:highlight w:val="none"/>
        </w:rPr>
        <w:t>“工作日或天数”：“工作日”系指节假日除外的日历天数，“天数”系指日历天数。</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1.2.10 “实质性条款”系指采购需求中标明“▲”的条款、以及竞争性磋商文件中含有“必须”、“应当”等强制性规定的条款。“关键性条款”系指采购需求中标明“★”的条款。</w:t>
      </w:r>
    </w:p>
    <w:p>
      <w:pP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1.2.11</w:t>
      </w:r>
      <w:r>
        <w:rPr>
          <w:rFonts w:hint="eastAsia" w:ascii="宋体" w:hAnsi="宋体" w:cs="宋体"/>
          <w:b/>
          <w:color w:val="auto"/>
          <w:szCs w:val="21"/>
          <w:highlight w:val="none"/>
        </w:rPr>
        <w:t>“电子响应文件”系指供应商通过政采云电子投标工具编制的数据电文形式的加密标书。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1.2.12“备份响应文件”系指与“电子响应文件”同时生成的数据电文形式的电子文件。</w:t>
      </w:r>
    </w:p>
    <w:bookmarkEnd w:id="69"/>
    <w:p>
      <w:pPr>
        <w:spacing w:line="440" w:lineRule="exact"/>
        <w:jc w:val="left"/>
        <w:outlineLvl w:val="2"/>
        <w:rPr>
          <w:rFonts w:ascii="宋体" w:hAnsi="宋体" w:cs="宋体"/>
          <w:b/>
          <w:bCs/>
          <w:color w:val="auto"/>
          <w:szCs w:val="21"/>
          <w:highlight w:val="none"/>
        </w:rPr>
      </w:pPr>
      <w:bookmarkStart w:id="70" w:name="_Toc303756367"/>
      <w:bookmarkStart w:id="71" w:name="_Toc301187591"/>
      <w:bookmarkStart w:id="72" w:name="_Toc499128553"/>
      <w:bookmarkStart w:id="73" w:name="_Toc31483"/>
      <w:bookmarkStart w:id="74" w:name="_Toc359934562"/>
      <w:bookmarkStart w:id="75" w:name="_Toc498327008"/>
      <w:r>
        <w:rPr>
          <w:rFonts w:hint="eastAsia" w:ascii="宋体" w:hAnsi="宋体" w:cs="宋体"/>
          <w:b/>
          <w:bCs/>
          <w:color w:val="auto"/>
          <w:szCs w:val="21"/>
          <w:highlight w:val="none"/>
        </w:rPr>
        <w:t>1.3资金来源</w:t>
      </w:r>
      <w:bookmarkEnd w:id="70"/>
      <w:bookmarkEnd w:id="71"/>
      <w:bookmarkEnd w:id="72"/>
      <w:bookmarkEnd w:id="73"/>
      <w:bookmarkEnd w:id="74"/>
      <w:bookmarkEnd w:id="75"/>
    </w:p>
    <w:p>
      <w:pPr>
        <w:spacing w:line="440" w:lineRule="exact"/>
        <w:ind w:firstLine="420" w:firstLineChars="200"/>
        <w:rPr>
          <w:rFonts w:ascii="宋体" w:hAnsi="宋体" w:cs="宋体"/>
          <w:color w:val="auto"/>
          <w:szCs w:val="21"/>
          <w:highlight w:val="none"/>
        </w:rPr>
      </w:pPr>
      <w:bookmarkStart w:id="76" w:name="_Toc301187592"/>
      <w:r>
        <w:rPr>
          <w:rFonts w:hint="eastAsia" w:ascii="宋体" w:hAnsi="宋体" w:cs="宋体"/>
          <w:color w:val="auto"/>
          <w:szCs w:val="21"/>
          <w:highlight w:val="none"/>
        </w:rPr>
        <w:t>见供应商须知前附表。</w:t>
      </w:r>
      <w:bookmarkEnd w:id="76"/>
    </w:p>
    <w:p>
      <w:pPr>
        <w:spacing w:line="440" w:lineRule="exact"/>
        <w:jc w:val="left"/>
        <w:outlineLvl w:val="2"/>
        <w:rPr>
          <w:rFonts w:ascii="宋体" w:hAnsi="宋体" w:cs="宋体"/>
          <w:b/>
          <w:bCs/>
          <w:color w:val="auto"/>
          <w:szCs w:val="21"/>
          <w:highlight w:val="none"/>
        </w:rPr>
      </w:pPr>
      <w:bookmarkStart w:id="77" w:name="_Toc32607"/>
      <w:bookmarkStart w:id="78" w:name="_Toc301187593"/>
      <w:bookmarkStart w:id="79" w:name="_Toc359934563"/>
      <w:bookmarkStart w:id="80" w:name="_Toc498327009"/>
      <w:bookmarkStart w:id="81" w:name="_Toc499128554"/>
      <w:bookmarkStart w:id="82" w:name="_Toc303756368"/>
      <w:r>
        <w:rPr>
          <w:rFonts w:hint="eastAsia" w:ascii="宋体" w:hAnsi="宋体" w:cs="宋体"/>
          <w:b/>
          <w:bCs/>
          <w:color w:val="auto"/>
          <w:szCs w:val="21"/>
          <w:highlight w:val="none"/>
        </w:rPr>
        <w:t>1.4合格的</w:t>
      </w:r>
      <w:bookmarkEnd w:id="77"/>
      <w:bookmarkEnd w:id="78"/>
      <w:bookmarkEnd w:id="79"/>
      <w:bookmarkEnd w:id="80"/>
      <w:bookmarkEnd w:id="81"/>
      <w:bookmarkEnd w:id="82"/>
      <w:r>
        <w:rPr>
          <w:rFonts w:hint="eastAsia" w:ascii="宋体" w:hAnsi="宋体" w:cs="宋体"/>
          <w:b/>
          <w:bCs/>
          <w:color w:val="auto"/>
          <w:szCs w:val="21"/>
          <w:highlight w:val="none"/>
        </w:rPr>
        <w:t>供应商</w:t>
      </w:r>
    </w:p>
    <w:p>
      <w:pPr>
        <w:spacing w:line="440" w:lineRule="exact"/>
        <w:ind w:firstLine="420" w:firstLineChars="200"/>
        <w:rPr>
          <w:rFonts w:ascii="宋体" w:hAnsi="宋体" w:cs="宋体"/>
          <w:color w:val="auto"/>
          <w:szCs w:val="21"/>
          <w:highlight w:val="none"/>
        </w:rPr>
      </w:pPr>
      <w:bookmarkStart w:id="83" w:name="_Toc301187594"/>
      <w:r>
        <w:rPr>
          <w:rFonts w:hint="eastAsia" w:ascii="宋体" w:hAnsi="宋体" w:cs="宋体"/>
          <w:color w:val="auto"/>
          <w:szCs w:val="21"/>
          <w:highlight w:val="none"/>
        </w:rPr>
        <w:t>见供应商须知前附表。</w:t>
      </w:r>
      <w:bookmarkEnd w:id="83"/>
    </w:p>
    <w:p>
      <w:pPr>
        <w:spacing w:line="440" w:lineRule="exact"/>
        <w:jc w:val="left"/>
        <w:outlineLvl w:val="2"/>
        <w:rPr>
          <w:rFonts w:ascii="宋体" w:hAnsi="宋体" w:cs="宋体"/>
          <w:b/>
          <w:bCs/>
          <w:color w:val="auto"/>
          <w:szCs w:val="21"/>
          <w:highlight w:val="none"/>
        </w:rPr>
      </w:pPr>
      <w:bookmarkStart w:id="84" w:name="_Toc301187595"/>
      <w:bookmarkStart w:id="85" w:name="_Toc303756369"/>
      <w:bookmarkStart w:id="86" w:name="_Toc9353"/>
      <w:bookmarkStart w:id="87" w:name="_Toc498327010"/>
      <w:bookmarkStart w:id="88" w:name="_Toc499128555"/>
      <w:bookmarkStart w:id="89" w:name="_Toc359934564"/>
      <w:r>
        <w:rPr>
          <w:rFonts w:hint="eastAsia" w:ascii="宋体" w:hAnsi="宋体" w:cs="宋体"/>
          <w:b/>
          <w:bCs/>
          <w:color w:val="auto"/>
          <w:szCs w:val="21"/>
          <w:highlight w:val="none"/>
        </w:rPr>
        <w:t>1.5</w:t>
      </w:r>
      <w:bookmarkEnd w:id="84"/>
      <w:bookmarkEnd w:id="85"/>
      <w:bookmarkEnd w:id="86"/>
      <w:bookmarkEnd w:id="87"/>
      <w:bookmarkEnd w:id="88"/>
      <w:bookmarkEnd w:id="89"/>
      <w:r>
        <w:rPr>
          <w:rFonts w:hint="eastAsia" w:ascii="宋体" w:hAnsi="宋体" w:cs="宋体"/>
          <w:b/>
          <w:bCs/>
          <w:color w:val="auto"/>
          <w:szCs w:val="21"/>
          <w:highlight w:val="none"/>
        </w:rPr>
        <w:t>联合体磋商</w:t>
      </w:r>
    </w:p>
    <w:p>
      <w:pPr>
        <w:spacing w:line="440" w:lineRule="exact"/>
        <w:ind w:firstLine="420" w:firstLineChars="200"/>
        <w:rPr>
          <w:rFonts w:ascii="宋体" w:hAnsi="宋体" w:cs="宋体"/>
          <w:color w:val="auto"/>
          <w:szCs w:val="21"/>
          <w:highlight w:val="none"/>
        </w:rPr>
      </w:pPr>
      <w:bookmarkStart w:id="90" w:name="_Toc301187596"/>
      <w:r>
        <w:rPr>
          <w:rFonts w:hint="eastAsia" w:ascii="宋体" w:hAnsi="宋体" w:cs="宋体"/>
          <w:color w:val="auto"/>
          <w:szCs w:val="21"/>
          <w:highlight w:val="none"/>
        </w:rPr>
        <w:t>1.5.1联合体磋商：见供应商须知前附表。</w:t>
      </w:r>
      <w:bookmarkEnd w:id="90"/>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1.5.2联合体磋商的各方应当符合第1.4条中的特定资质条件。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1.5.3联合体磋商的各方同一资质应当以资质最低一方作为合格供应商资格条件。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1.5.4联合体磋商的，必须提供《联合磋商协议书》。</w:t>
      </w:r>
    </w:p>
    <w:p>
      <w:pPr>
        <w:spacing w:line="440" w:lineRule="exact"/>
        <w:jc w:val="left"/>
        <w:outlineLvl w:val="2"/>
        <w:rPr>
          <w:rFonts w:ascii="宋体" w:hAnsi="宋体" w:cs="宋体"/>
          <w:b/>
          <w:bCs/>
          <w:color w:val="auto"/>
          <w:szCs w:val="21"/>
          <w:highlight w:val="none"/>
        </w:rPr>
      </w:pPr>
      <w:bookmarkStart w:id="91" w:name="_Toc30203"/>
      <w:bookmarkStart w:id="92" w:name="_Toc499128556"/>
      <w:bookmarkStart w:id="93" w:name="_Toc359934565"/>
      <w:bookmarkStart w:id="94" w:name="_Toc303756370"/>
      <w:bookmarkStart w:id="95" w:name="_Toc301187597"/>
      <w:bookmarkStart w:id="96" w:name="_Toc498327011"/>
      <w:r>
        <w:rPr>
          <w:rFonts w:hint="eastAsia" w:ascii="宋体" w:hAnsi="宋体" w:cs="宋体"/>
          <w:b/>
          <w:bCs/>
          <w:color w:val="auto"/>
          <w:szCs w:val="21"/>
          <w:highlight w:val="none"/>
        </w:rPr>
        <w:t>1.6转包与分包</w:t>
      </w:r>
      <w:bookmarkEnd w:id="91"/>
      <w:bookmarkEnd w:id="92"/>
      <w:bookmarkEnd w:id="93"/>
      <w:bookmarkEnd w:id="94"/>
      <w:bookmarkEnd w:id="95"/>
      <w:bookmarkEnd w:id="96"/>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1.6.1转包与分包：见供应商须知前附表。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供应商根据竞争性磋商文件的规定和采购项目的实际情况，拟在成交后将成交项目的非主体、非关键性工作分包的，应当在响应文件中载明分包承担主体，分包承担主体应当具备相应资质条件且不得再次分包。</w:t>
      </w:r>
    </w:p>
    <w:bookmarkEnd w:id="44"/>
    <w:p>
      <w:pPr>
        <w:spacing w:line="440" w:lineRule="exact"/>
        <w:jc w:val="left"/>
        <w:outlineLvl w:val="2"/>
        <w:rPr>
          <w:rFonts w:ascii="宋体" w:hAnsi="宋体" w:cs="宋体"/>
          <w:b/>
          <w:bCs/>
          <w:color w:val="auto"/>
          <w:szCs w:val="21"/>
          <w:highlight w:val="none"/>
        </w:rPr>
      </w:pPr>
      <w:bookmarkStart w:id="97" w:name="_Toc30468"/>
      <w:bookmarkStart w:id="98" w:name="_Toc301187599"/>
      <w:bookmarkStart w:id="99" w:name="_Toc303756371"/>
      <w:bookmarkStart w:id="100" w:name="_Toc359934566"/>
      <w:r>
        <w:rPr>
          <w:rFonts w:hint="eastAsia" w:ascii="宋体" w:hAnsi="宋体" w:cs="宋体"/>
          <w:b/>
          <w:bCs/>
          <w:color w:val="auto"/>
          <w:szCs w:val="21"/>
          <w:highlight w:val="none"/>
        </w:rPr>
        <w:t>1.7</w:t>
      </w:r>
      <w:bookmarkEnd w:id="97"/>
      <w:bookmarkEnd w:id="98"/>
      <w:bookmarkEnd w:id="99"/>
      <w:bookmarkEnd w:id="100"/>
      <w:r>
        <w:rPr>
          <w:rFonts w:hint="eastAsia" w:ascii="宋体" w:hAnsi="宋体" w:cs="宋体"/>
          <w:b/>
          <w:bCs/>
          <w:color w:val="auto"/>
          <w:szCs w:val="21"/>
          <w:highlight w:val="none"/>
        </w:rPr>
        <w:t>磋商费用</w:t>
      </w:r>
    </w:p>
    <w:p>
      <w:pPr>
        <w:spacing w:line="440" w:lineRule="exact"/>
        <w:ind w:firstLine="420" w:firstLineChars="200"/>
        <w:rPr>
          <w:rFonts w:ascii="宋体" w:hAnsi="宋体" w:cs="宋体"/>
          <w:color w:val="auto"/>
          <w:szCs w:val="21"/>
          <w:highlight w:val="none"/>
        </w:rPr>
      </w:pPr>
      <w:bookmarkStart w:id="101" w:name="_Toc301187600"/>
      <w:r>
        <w:rPr>
          <w:rFonts w:hint="eastAsia" w:ascii="宋体" w:hAnsi="宋体" w:cs="宋体"/>
          <w:color w:val="auto"/>
          <w:szCs w:val="21"/>
          <w:highlight w:val="none"/>
        </w:rPr>
        <w:t>1.7.1不论磋商的结果如何（包括取消采购任务等情况），供应商均应自行承担所有与磋商有关的全部费用。</w:t>
      </w:r>
      <w:bookmarkEnd w:id="101"/>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供应商未按以上规定办理缴费，视为其自动放弃成交资格，采购人有权将标授予第二成交候选人或重新组织采购。</w:t>
      </w:r>
    </w:p>
    <w:p>
      <w:pPr>
        <w:spacing w:line="440" w:lineRule="exact"/>
        <w:jc w:val="left"/>
        <w:outlineLvl w:val="2"/>
        <w:rPr>
          <w:rFonts w:ascii="宋体" w:hAnsi="宋体" w:cs="宋体"/>
          <w:b/>
          <w:bCs/>
          <w:color w:val="auto"/>
          <w:szCs w:val="21"/>
          <w:highlight w:val="none"/>
        </w:rPr>
      </w:pPr>
      <w:bookmarkStart w:id="102" w:name="_Toc498327013"/>
      <w:bookmarkStart w:id="103" w:name="_Toc301187601"/>
      <w:bookmarkStart w:id="104" w:name="_Toc303756372"/>
      <w:bookmarkStart w:id="105" w:name="_Toc499128558"/>
      <w:bookmarkStart w:id="106" w:name="_Toc359934567"/>
      <w:bookmarkStart w:id="107" w:name="_Toc11069"/>
      <w:r>
        <w:rPr>
          <w:rFonts w:hint="eastAsia" w:ascii="宋体" w:hAnsi="宋体" w:cs="宋体"/>
          <w:b/>
          <w:bCs/>
          <w:color w:val="auto"/>
          <w:szCs w:val="21"/>
          <w:highlight w:val="none"/>
        </w:rPr>
        <w:t>1.8响应文件的语言及计量</w:t>
      </w:r>
      <w:bookmarkEnd w:id="102"/>
      <w:bookmarkEnd w:id="103"/>
      <w:bookmarkEnd w:id="104"/>
      <w:bookmarkEnd w:id="105"/>
      <w:bookmarkEnd w:id="106"/>
      <w:bookmarkEnd w:id="107"/>
    </w:p>
    <w:p>
      <w:pPr>
        <w:spacing w:line="440" w:lineRule="exact"/>
        <w:ind w:firstLine="420" w:firstLineChars="200"/>
        <w:rPr>
          <w:rFonts w:ascii="宋体" w:hAnsi="宋体" w:cs="宋体"/>
          <w:color w:val="auto"/>
          <w:szCs w:val="21"/>
          <w:highlight w:val="none"/>
        </w:rPr>
      </w:pPr>
      <w:bookmarkStart w:id="108" w:name="_Toc301187602"/>
      <w:r>
        <w:rPr>
          <w:rFonts w:hint="eastAsia" w:ascii="宋体" w:hAnsi="宋体" w:cs="宋体"/>
          <w:color w:val="auto"/>
          <w:szCs w:val="21"/>
          <w:highlight w:val="none"/>
        </w:rPr>
        <w:t>1.8.1响应文件以及供应商与采购人就有关磋商事宜的所有来往函电，应当以中文简体书写，除签名、盖章、专用名称等特殊情形外。</w:t>
      </w:r>
      <w:bookmarkEnd w:id="108"/>
    </w:p>
    <w:p>
      <w:pPr>
        <w:spacing w:line="440" w:lineRule="exact"/>
        <w:ind w:firstLine="420" w:firstLineChars="200"/>
        <w:rPr>
          <w:rFonts w:ascii="宋体" w:hAnsi="宋体" w:cs="宋体"/>
          <w:color w:val="auto"/>
          <w:szCs w:val="21"/>
          <w:highlight w:val="none"/>
        </w:rPr>
      </w:pPr>
      <w:bookmarkStart w:id="109" w:name="_Toc301187603"/>
      <w:r>
        <w:rPr>
          <w:rFonts w:hint="eastAsia" w:ascii="宋体" w:hAnsi="宋体" w:cs="宋体"/>
          <w:color w:val="auto"/>
          <w:szCs w:val="21"/>
          <w:highlight w:val="none"/>
        </w:rPr>
        <w:t>1.8.2计量单位，竞争性磋商文件已有明确规定的，使用竞争性磋商文件规定的计量单位；竞争性磋商文件没有规定的，应当采用中华人民共和国法定计量单位（货币单位：人民币）。</w:t>
      </w:r>
      <w:bookmarkEnd w:id="109"/>
    </w:p>
    <w:p>
      <w:pPr>
        <w:spacing w:line="440" w:lineRule="exact"/>
        <w:jc w:val="left"/>
        <w:outlineLvl w:val="2"/>
        <w:rPr>
          <w:rFonts w:ascii="宋体" w:hAnsi="宋体" w:cs="宋体"/>
          <w:b/>
          <w:bCs/>
          <w:color w:val="auto"/>
          <w:szCs w:val="21"/>
          <w:highlight w:val="none"/>
        </w:rPr>
      </w:pPr>
      <w:bookmarkStart w:id="110" w:name="_Toc498327014"/>
      <w:bookmarkStart w:id="111" w:name="_Toc303756373"/>
      <w:bookmarkStart w:id="112" w:name="_Toc359934568"/>
      <w:bookmarkStart w:id="113" w:name="_Toc301187604"/>
      <w:bookmarkStart w:id="114" w:name="_Toc499128559"/>
      <w:bookmarkStart w:id="115" w:name="_Toc25161"/>
      <w:r>
        <w:rPr>
          <w:rFonts w:hint="eastAsia" w:ascii="宋体" w:hAnsi="宋体" w:cs="宋体"/>
          <w:b/>
          <w:bCs/>
          <w:color w:val="auto"/>
          <w:szCs w:val="21"/>
          <w:highlight w:val="none"/>
        </w:rPr>
        <w:t>1.9质疑和投诉</w:t>
      </w:r>
      <w:bookmarkEnd w:id="110"/>
      <w:bookmarkEnd w:id="111"/>
      <w:bookmarkEnd w:id="112"/>
      <w:bookmarkEnd w:id="113"/>
      <w:bookmarkEnd w:id="114"/>
      <w:bookmarkEnd w:id="115"/>
    </w:p>
    <w:p>
      <w:pPr>
        <w:spacing w:line="440" w:lineRule="exact"/>
        <w:ind w:firstLine="420" w:firstLineChars="200"/>
        <w:rPr>
          <w:rFonts w:ascii="宋体" w:hAnsi="宋体" w:cs="宋体"/>
          <w:color w:val="auto"/>
          <w:szCs w:val="21"/>
          <w:highlight w:val="none"/>
        </w:rPr>
      </w:pPr>
      <w:bookmarkStart w:id="116" w:name="_Toc301187605"/>
      <w:bookmarkStart w:id="117" w:name="_Toc301187608"/>
      <w:bookmarkStart w:id="118" w:name="_Toc303756374"/>
      <w:bookmarkStart w:id="119" w:name="_Toc359934569"/>
      <w:bookmarkStart w:id="120" w:name="_Toc5356"/>
      <w:bookmarkStart w:id="121" w:name="_Toc499128560"/>
      <w:bookmarkStart w:id="122" w:name="_Toc498327015"/>
      <w:r>
        <w:rPr>
          <w:rFonts w:hint="eastAsia" w:ascii="宋体" w:hAnsi="宋体" w:cs="宋体"/>
          <w:color w:val="auto"/>
          <w:szCs w:val="21"/>
          <w:highlight w:val="none"/>
        </w:rPr>
        <w:t xml:space="preserve">1.9.1供应商认为竞争性磋商文件、磋商过程或成交结果使自己的合法权益受到损害的，可以在知道或者应知其权益受到损害之日起七个工作日内， </w:t>
      </w:r>
      <w:r>
        <w:rPr>
          <w:rFonts w:hint="eastAsia" w:ascii="宋体" w:hAnsi="宋体" w:cs="宋体"/>
          <w:b/>
          <w:bCs/>
          <w:color w:val="auto"/>
          <w:szCs w:val="21"/>
          <w:highlight w:val="none"/>
        </w:rPr>
        <w:t>以书面形式向采购人、采购代理机构一次性提出针对同一采购程序环节的质疑</w:t>
      </w:r>
      <w:r>
        <w:rPr>
          <w:rFonts w:hint="eastAsia" w:ascii="宋体" w:hAnsi="宋体" w:cs="宋体"/>
          <w:color w:val="auto"/>
          <w:szCs w:val="21"/>
          <w:highlight w:val="none"/>
        </w:rPr>
        <w:t>。供应商对采购人的质疑答复不满意或者采购人未在规定时间内作出答复的，可以在答复期满后十五个工作日内向同级采购监管部门投诉。</w:t>
      </w:r>
      <w:bookmarkEnd w:id="116"/>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（1）供应商对磋商公告（含供应商资格条件）提出质疑的，请在磋商公告发布之日起5个工作日内，且应当在响应文件递交截止时间之前向采购代理机构和采购人提出。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（2）对竞争性磋商文件提出质疑的，请在磋商公告期限届满之日起7个工作日内，且应当在响应文件递交截止时间之前向采购代理机构和采购人提出。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（3）对采购结果提出质疑的，请在成交结果公告（包括公示、预公告、结果变更公告等）之日起7个工作日内向采购代理机构和采购人提出。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（4）供应商认为采购过程不当、影响或可能影响采购结果的，可以在成交结果公告前提出质疑。</w:t>
      </w:r>
    </w:p>
    <w:p>
      <w:pPr>
        <w:spacing w:line="440" w:lineRule="exact"/>
        <w:ind w:firstLine="420" w:firstLineChars="200"/>
        <w:rPr>
          <w:rFonts w:ascii="宋体" w:hAnsi="宋体" w:cs="宋体"/>
          <w:color w:val="auto"/>
          <w:szCs w:val="21"/>
          <w:highlight w:val="none"/>
        </w:rPr>
      </w:pPr>
      <w:bookmarkStart w:id="123" w:name="_Toc301187606"/>
      <w:r>
        <w:rPr>
          <w:rFonts w:hint="eastAsia" w:ascii="宋体" w:hAnsi="宋体" w:cs="宋体"/>
          <w:color w:val="auto"/>
          <w:szCs w:val="21"/>
          <w:highlight w:val="none"/>
        </w:rPr>
        <w:t>1.9.2质疑、投诉应当采用书面形式，质疑书、投诉书应当有明确的请求和必要的证明材料，投诉的事项不得超出已质疑事项的范围。</w:t>
      </w:r>
      <w:bookmarkEnd w:id="123"/>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w:t>
      </w:r>
      <w:r>
        <w:rPr>
          <w:rFonts w:hint="eastAsia" w:ascii="宋体" w:hAnsi="宋体" w:cs="宋体"/>
          <w:b/>
          <w:bCs/>
          <w:color w:val="auto"/>
          <w:szCs w:val="21"/>
          <w:highlight w:val="none"/>
        </w:rPr>
        <w:t>供应商未对开标记录进行在线签字确认的，将视同认可开标结果，事后不得对采购相关人员，开标程序，采购结果提出质疑。</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1.9.4采购人处理质疑事项原则上采取书面审查的办法。采购人认为有必要时，可以进行调查取证，也可以组织质疑人和被质疑人当面进行质证，对采购人进行调查的质疑事项， 质疑人、被质疑人等应当如实反映情况，并提供采购人所需要的相关材料。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1.9.5质疑人拒绝配合采购人依法进行调查的，按自动撤回质疑处理；被质疑人在规定时限内， 无正当理由未提交相关证据和其他有关材料的，视同放弃说明权利，认可质疑事项和处理决定。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1.9.6采购人在收到供应商的有效书面质疑后七个工作日内作出答复，但答复的内容不涉及商业秘密。</w:t>
      </w:r>
    </w:p>
    <w:p>
      <w:pPr>
        <w:spacing w:line="440" w:lineRule="exact"/>
        <w:ind w:firstLine="420" w:firstLineChars="200"/>
        <w:rPr>
          <w:rFonts w:ascii="宋体" w:hAnsi="宋体" w:cs="宋体"/>
          <w:color w:val="auto"/>
          <w:szCs w:val="21"/>
          <w:highlight w:val="none"/>
        </w:rPr>
      </w:pPr>
      <w:bookmarkStart w:id="124" w:name="_Toc301187607"/>
      <w:r>
        <w:rPr>
          <w:rFonts w:hint="eastAsia" w:ascii="宋体" w:hAnsi="宋体" w:cs="宋体"/>
          <w:color w:val="auto"/>
          <w:szCs w:val="21"/>
          <w:highlight w:val="none"/>
        </w:rPr>
        <w:t>1.9.7</w:t>
      </w:r>
      <w:bookmarkEnd w:id="124"/>
      <w:r>
        <w:rPr>
          <w:rFonts w:hint="eastAsia" w:ascii="宋体" w:hAnsi="宋体" w:cs="宋体"/>
          <w:color w:val="auto"/>
          <w:szCs w:val="21"/>
          <w:highlight w:val="none"/>
        </w:rPr>
        <w:t>质疑处理办法和相关格式等参照《政府采购质疑和投诉办法》（财政部第94号令）、《关于印发&lt;浙江省政府采购供应商质疑处理办法&gt;的通知》（浙财采监〔2012〕18号）等文件要求。</w:t>
      </w:r>
    </w:p>
    <w:p>
      <w:pPr>
        <w:spacing w:line="440" w:lineRule="exact"/>
        <w:jc w:val="left"/>
        <w:outlineLvl w:val="2"/>
        <w:rPr>
          <w:rFonts w:ascii="宋体" w:hAnsi="宋体" w:cs="宋体"/>
          <w:b/>
          <w:bCs/>
          <w:color w:val="auto"/>
          <w:szCs w:val="21"/>
          <w:highlight w:val="none"/>
        </w:rPr>
      </w:pPr>
      <w:r>
        <w:rPr>
          <w:rFonts w:hint="eastAsia" w:ascii="宋体" w:hAnsi="宋体" w:cs="宋体"/>
          <w:b/>
          <w:bCs/>
          <w:color w:val="auto"/>
          <w:szCs w:val="21"/>
          <w:highlight w:val="none"/>
        </w:rPr>
        <w:t>1.10保密</w:t>
      </w:r>
      <w:bookmarkEnd w:id="117"/>
      <w:bookmarkEnd w:id="118"/>
      <w:bookmarkEnd w:id="119"/>
      <w:bookmarkEnd w:id="120"/>
      <w:bookmarkEnd w:id="121"/>
      <w:bookmarkEnd w:id="122"/>
    </w:p>
    <w:p>
      <w:pPr>
        <w:spacing w:line="440" w:lineRule="exact"/>
        <w:ind w:firstLine="525" w:firstLineChars="250"/>
        <w:rPr>
          <w:rFonts w:ascii="宋体" w:hAnsi="宋体" w:cs="宋体"/>
          <w:color w:val="auto"/>
          <w:szCs w:val="21"/>
          <w:highlight w:val="none"/>
        </w:rPr>
      </w:pPr>
      <w:bookmarkStart w:id="125" w:name="_Toc301187609"/>
      <w:r>
        <w:rPr>
          <w:rFonts w:hint="eastAsia" w:ascii="宋体" w:hAnsi="宋体" w:cs="宋体"/>
          <w:color w:val="auto"/>
          <w:szCs w:val="21"/>
          <w:highlight w:val="none"/>
        </w:rPr>
        <w:t>参与采购磋商活动的各方当事人应当对磋商评审情况以及在磋商评审过程中的获悉的国家秘密、商业密负有保密责任，违者应对由此造成的后果承担法律责任。</w:t>
      </w:r>
      <w:bookmarkEnd w:id="125"/>
    </w:p>
    <w:p>
      <w:pPr>
        <w:spacing w:line="440" w:lineRule="exact"/>
        <w:jc w:val="left"/>
        <w:outlineLvl w:val="2"/>
        <w:rPr>
          <w:rFonts w:ascii="宋体" w:hAnsi="宋体" w:cs="宋体"/>
          <w:b/>
          <w:bCs/>
          <w:color w:val="auto"/>
          <w:szCs w:val="21"/>
          <w:highlight w:val="none"/>
        </w:rPr>
      </w:pPr>
      <w:bookmarkStart w:id="126" w:name="_Toc15579"/>
      <w:bookmarkStart w:id="127" w:name="_Toc499128561"/>
      <w:bookmarkStart w:id="128" w:name="_Toc498327016"/>
      <w:r>
        <w:rPr>
          <w:rFonts w:hint="eastAsia" w:ascii="宋体" w:hAnsi="宋体" w:cs="宋体"/>
          <w:b/>
          <w:bCs/>
          <w:color w:val="auto"/>
          <w:szCs w:val="21"/>
          <w:highlight w:val="none"/>
        </w:rPr>
        <w:t>1.11信用信息记录查询</w:t>
      </w:r>
      <w:bookmarkEnd w:id="126"/>
      <w:bookmarkEnd w:id="127"/>
      <w:bookmarkEnd w:id="128"/>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1.11.1各供应商的信用信息记录应当从“信用中国”网站（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Fonts w:hint="eastAsia" w:ascii="宋体" w:hAnsi="宋体" w:cs="宋体"/>
          <w:color w:val="auto"/>
          <w:szCs w:val="21"/>
          <w:highlight w:val="none"/>
        </w:rPr>
        <w:t>www.creditchi</w:t>
      </w:r>
      <w:bookmarkStart w:id="129" w:name="_Hlt492633521"/>
      <w:bookmarkStart w:id="130" w:name="_Hlt492633520"/>
      <w:r>
        <w:rPr>
          <w:rFonts w:hint="eastAsia" w:ascii="宋体" w:hAnsi="宋体" w:cs="宋体"/>
          <w:color w:val="auto"/>
          <w:szCs w:val="21"/>
          <w:highlight w:val="none"/>
        </w:rPr>
        <w:t>n</w:t>
      </w:r>
      <w:bookmarkEnd w:id="129"/>
      <w:bookmarkEnd w:id="130"/>
      <w:r>
        <w:rPr>
          <w:rFonts w:hint="eastAsia" w:ascii="宋体" w:hAnsi="宋体" w:cs="宋体"/>
          <w:color w:val="auto"/>
          <w:szCs w:val="21"/>
          <w:highlight w:val="none"/>
        </w:rPr>
        <w:t>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）、中国政府采购网（www.ccgp</w:t>
      </w:r>
      <w:bookmarkStart w:id="131" w:name="_Hlt495587266"/>
      <w:r>
        <w:rPr>
          <w:rFonts w:hint="eastAsia" w:ascii="宋体" w:hAnsi="宋体" w:cs="宋体"/>
          <w:color w:val="auto"/>
          <w:szCs w:val="21"/>
          <w:highlight w:val="none"/>
        </w:rPr>
        <w:t>.</w:t>
      </w:r>
      <w:bookmarkEnd w:id="131"/>
      <w:r>
        <w:rPr>
          <w:rFonts w:hint="eastAsia" w:ascii="宋体" w:hAnsi="宋体" w:cs="宋体"/>
          <w:color w:val="auto"/>
          <w:szCs w:val="21"/>
          <w:highlight w:val="none"/>
        </w:rPr>
        <w:t>go</w:t>
      </w:r>
      <w:bookmarkStart w:id="132" w:name="_Hlt495587258"/>
      <w:bookmarkStart w:id="133" w:name="_Hlt495587259"/>
      <w:bookmarkStart w:id="134" w:name="_Hlt495587290"/>
      <w:r>
        <w:rPr>
          <w:rFonts w:hint="eastAsia" w:ascii="宋体" w:hAnsi="宋体" w:cs="宋体"/>
          <w:color w:val="auto"/>
          <w:szCs w:val="21"/>
          <w:highlight w:val="none"/>
        </w:rPr>
        <w:t>v</w:t>
      </w:r>
      <w:bookmarkEnd w:id="132"/>
      <w:bookmarkEnd w:id="133"/>
      <w:bookmarkEnd w:id="134"/>
      <w:r>
        <w:rPr>
          <w:rFonts w:hint="eastAsia" w:ascii="宋体" w:hAnsi="宋体" w:cs="宋体"/>
          <w:color w:val="auto"/>
          <w:szCs w:val="21"/>
          <w:highlight w:val="none"/>
        </w:rPr>
        <w:t>.cn）的“政府采购严重违法失信行为记录名单”、浙江省政府采购（www.zjzfcg.gov.cn）等渠道进行查询。查询后的供应商在处罚有效期内的，不得推荐为成交候选人。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1.11.2信用信息记录查询截止时间：见供应商须知前附表。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1.11.3信用信息查询记录和证据则以页面截图、打印等方式进行留存，作为政府采购档案的归档资料。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1.11.4列入失信被执行人、重大税收违法案件当事人名单、政府采购严重违法失信行为记录名单及其他不符合《中华人民共和国政府采购法》第二十二条规定条件的供应商，应当拒绝其参与政府采购活动。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1.11.5两个以上的自然人、法人或者其他组织组成一个联合体，以一个供应商的身份共同参加政府采购活动的，应当对所有联合体成员进行信用信息记录查询，联合体成员存在不良信用记录的，视同联合体存在不良信用记录。</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1.11.6若在磋商当天因不可抗力事件导致代理机构或采购人无法查询信用信息记录且一时无法恢复的，可在成交公示期间对成交候选人进行事后查询，如成交候选人为失信被执行人的，则取消成交候选人资格，采购人可以确定第二成交候选人为成交供应商或重新组织采购。</w:t>
      </w:r>
    </w:p>
    <w:p>
      <w:pPr>
        <w:spacing w:line="440" w:lineRule="exact"/>
        <w:jc w:val="left"/>
        <w:outlineLvl w:val="2"/>
        <w:rPr>
          <w:rFonts w:ascii="宋体" w:hAnsi="宋体" w:cs="宋体"/>
          <w:b/>
          <w:bCs/>
          <w:color w:val="auto"/>
          <w:szCs w:val="21"/>
          <w:highlight w:val="none"/>
        </w:rPr>
      </w:pPr>
      <w:bookmarkStart w:id="135" w:name="_Toc499128562"/>
      <w:bookmarkStart w:id="136" w:name="_Toc28663"/>
      <w:bookmarkStart w:id="137" w:name="_Toc498327017"/>
      <w:r>
        <w:rPr>
          <w:rFonts w:hint="eastAsia" w:ascii="宋体" w:hAnsi="宋体" w:cs="宋体"/>
          <w:b/>
          <w:bCs/>
          <w:color w:val="auto"/>
          <w:szCs w:val="21"/>
          <w:highlight w:val="none"/>
        </w:rPr>
        <w:t>1.12政府采购政策</w:t>
      </w:r>
      <w:bookmarkEnd w:id="135"/>
      <w:bookmarkEnd w:id="136"/>
      <w:bookmarkEnd w:id="137"/>
    </w:p>
    <w:p>
      <w:pPr>
        <w:spacing w:line="440" w:lineRule="exact"/>
        <w:ind w:firstLine="420" w:firstLineChars="200"/>
        <w:rPr>
          <w:rFonts w:ascii="宋体" w:hAnsi="宋体" w:cs="宋体"/>
          <w:color w:val="auto"/>
          <w:szCs w:val="21"/>
          <w:highlight w:val="none"/>
        </w:rPr>
      </w:pPr>
      <w:bookmarkStart w:id="138" w:name="_Toc359934570"/>
      <w:bookmarkStart w:id="139" w:name="_Toc303756375"/>
      <w:bookmarkStart w:id="140" w:name="_Toc22170"/>
      <w:bookmarkStart w:id="141" w:name="_Toc301187610"/>
      <w:bookmarkStart w:id="142" w:name="_Toc498327018"/>
      <w:bookmarkStart w:id="143" w:name="_Toc499128563"/>
      <w:r>
        <w:rPr>
          <w:rFonts w:hint="eastAsia" w:ascii="宋体" w:hAnsi="宋体" w:cs="宋体"/>
          <w:color w:val="auto"/>
          <w:szCs w:val="21"/>
          <w:highlight w:val="none"/>
        </w:rPr>
        <w:t>1.12关于中小企业参与政府采购活动的规定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1.12.1本项目</w:t>
      </w:r>
      <w:r>
        <w:rPr>
          <w:rFonts w:hint="eastAsia" w:ascii="宋体" w:hAnsi="宋体" w:cs="宋体"/>
          <w:b/>
          <w:bCs/>
          <w:color w:val="auto"/>
          <w:szCs w:val="21"/>
          <w:highlight w:val="none"/>
          <w:u w:val="single"/>
        </w:rPr>
        <w:t>是</w:t>
      </w:r>
      <w:r>
        <w:rPr>
          <w:rFonts w:hint="eastAsia" w:ascii="宋体" w:hAnsi="宋体" w:cs="宋体"/>
          <w:color w:val="auto"/>
          <w:szCs w:val="21"/>
          <w:highlight w:val="none"/>
        </w:rPr>
        <w:t>面向中小企业/小微企业采购。</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1.12.2本项目对应的中小企业划分标准所属行业：</w:t>
      </w:r>
      <w:r>
        <w:rPr>
          <w:rFonts w:hint="eastAsia" w:ascii="宋体" w:hAnsi="宋体" w:cs="宋体"/>
          <w:color w:val="auto"/>
          <w:szCs w:val="21"/>
          <w:highlight w:val="none"/>
          <w:u w:val="single"/>
        </w:rPr>
        <w:t>租赁和商务服务业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1.12.3中小企业是指在中华人民共和国境内依法设立，依据国务院批准的中小企业划分标准确定的中型企业、小型企业和微型企业，但与大企业的负责人为同一人，或者与大企业存在直接控股、管理关系的除外。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1.12.4在政府采购活动中，供应商提供的货物、工程或者服务符合下列情形的，可享受小型、微型企业（以下简称小微企业）的价格扣除：</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（1）在货物采购项目中，货物由小微企业制造，即货物由小微企业生产且使用该小微企业商号或者注册商标；</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（2）在工程采购项目中，工程由小微企业承建，即工程施工单位为小微企业；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（3）在服务采购项目中，服务由小微企业承接，即提供服务的人员为小微企业依照《中华人民共和国劳动合同法》订立劳动合同的从业人员。</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以联合体形式参加政府采购活动，联合体各方均为小微企业的，联合体视同小微企业。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1.12.5在货物采购项目中，供应商提供的货物既有中小企业制造货物，也有大型企业制造货物的，不享受的小微企业价格扣除。</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1.12.6供应商符合《关于印发〈政府采购促进中小企业发展暂行办法〉的通知》（财库〔2020〕46号）文件要求，在政府采购活动按下列情形之一给予价格扣除： </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联合体协议约定，小型、微型企业的协议合同金额占到联合协议合同总金额30%以上的，可给予联合体6%的价格扣除。联合体各方均为小型、微型企业的，联合体视同为小型、微型企业。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1.12.7中小企业应按照采购文件格式要求提供《中小企业声明函》。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1.12.9根据《关于促进残疾人就业政府采购政策的通知》（财库[2017]141号）规定，在政府采购活动中，残疾人福利性单位视同小型、微型企业。残疾人福利性单位参加政府采购活动时，提供《残疾人福利性单位声明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1.12.10按规定享受扶持政策获得政府采购合同的，小微企业不得将合同分包给大中型企业，中型企业不得将合同分包给大型企业。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1.12.11供应商按照《政府采购促进中小企业发展管理办法》（财库﹝2020﹞46号）规定提供声明函内容不实的，属于提供虚假材料谋取中标、成交，依照《中华人民共和国政府采购法》等国家有关规定追究相应责任。</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1.12.12节能产品的相关证明：投标产品列入财政部、发展改革委发布的节能产品品目清单的，提供国家确定的认证机构出具的、处于有效期之内的节能产品认证证书；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1.12.13环境标志产品的相关证明：投标产品列入财政部、生态环境部发布的环境标志产品品目清单的，提供国家确定的认证机构出具的、处于有效期之内的环境标志产品认证证书。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1.12.14政府强制采购的节能产品品目：见前列表17条。各投标人拟投产品属于政府强制采购的，必须提供符合第41条规定的认证证书。</w:t>
      </w:r>
    </w:p>
    <w:p>
      <w:pPr>
        <w:spacing w:line="440" w:lineRule="exact"/>
        <w:jc w:val="left"/>
        <w:outlineLvl w:val="2"/>
        <w:rPr>
          <w:rFonts w:ascii="宋体" w:hAnsi="宋体" w:cs="宋体"/>
          <w:b/>
          <w:bCs/>
          <w:color w:val="auto"/>
          <w:szCs w:val="21"/>
          <w:highlight w:val="none"/>
        </w:rPr>
      </w:pPr>
      <w:r>
        <w:rPr>
          <w:rFonts w:hint="eastAsia" w:ascii="宋体" w:hAnsi="宋体" w:cs="宋体"/>
          <w:b/>
          <w:bCs/>
          <w:color w:val="auto"/>
          <w:szCs w:val="21"/>
          <w:highlight w:val="none"/>
        </w:rPr>
        <w:t>1.13特别声明</w:t>
      </w:r>
      <w:bookmarkEnd w:id="138"/>
      <w:bookmarkEnd w:id="139"/>
      <w:bookmarkEnd w:id="140"/>
      <w:bookmarkEnd w:id="141"/>
      <w:bookmarkEnd w:id="142"/>
      <w:bookmarkEnd w:id="143"/>
    </w:p>
    <w:p>
      <w:pPr>
        <w:spacing w:line="440" w:lineRule="exact"/>
        <w:ind w:firstLine="420" w:firstLineChars="200"/>
        <w:rPr>
          <w:rFonts w:ascii="宋体" w:hAnsi="宋体" w:cs="宋体"/>
          <w:color w:val="auto"/>
          <w:szCs w:val="21"/>
          <w:highlight w:val="none"/>
        </w:rPr>
      </w:pPr>
      <w:bookmarkStart w:id="144" w:name="_Toc301187611"/>
      <w:bookmarkStart w:id="145" w:name="_Toc301187615"/>
      <w:bookmarkStart w:id="146" w:name="_Toc303756376"/>
      <w:bookmarkStart w:id="147" w:name="_Toc359934571"/>
      <w:r>
        <w:rPr>
          <w:rFonts w:hint="eastAsia" w:ascii="宋体" w:hAnsi="宋体" w:cs="宋体"/>
          <w:color w:val="auto"/>
          <w:szCs w:val="21"/>
          <w:highlight w:val="none"/>
        </w:rPr>
        <w:t>1.13.1单位负责人为同一人或者存在直接控股、管理关系的不同供应商，不得参加同一合同项下的政府采购活动。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为采购项目提供整体设计、规范编制或者项目管理、监理、检测等服务的供应商，不得再参加该采购项目的其他采购活动。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1.13.2采用最低磋商评审价法的采购项目，提供相同品牌产品的不同供应商参加同一合同项下磋商的，以其中通过资格审查、符合性审查且报价最低的供应商参加磋商评审；报价相同的，则按照技术优的供应商参加磋商评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供应商参加同一合同项下磋商的，按一家供应商计算，评审后的得分最高的同品牌供应商获得成交供应商推荐资格；评审得分相同的，则按照报价最低的供应商获得成交供应商推荐资格。</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非单一产品采购项目，多家供应商提供的核心产品品牌相同的、或部分核心产品品牌相同金额占项目报价50%以上的，按前两款规定处理。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1.13.3核心产品：见供应商须知前附表。非单一产品采购项目，采购人应当根据采购项目技术构成、产品价格比重等合同确定核心产品，并在竞争性磋商文件中标明</w:t>
      </w:r>
      <w:r>
        <w:rPr>
          <w:rFonts w:hint="eastAsia" w:ascii="宋体" w:hAnsi="宋体" w:cs="宋体"/>
          <w:bCs/>
          <w:color w:val="auto"/>
          <w:szCs w:val="21"/>
          <w:highlight w:val="none"/>
        </w:rPr>
        <w:t>“★”标志的产品</w:t>
      </w:r>
      <w:r>
        <w:rPr>
          <w:rFonts w:hint="eastAsia" w:ascii="宋体" w:hAnsi="宋体" w:cs="宋体"/>
          <w:color w:val="auto"/>
          <w:szCs w:val="21"/>
          <w:highlight w:val="none"/>
        </w:rPr>
        <w:t>。</w:t>
      </w:r>
    </w:p>
    <w:p>
      <w:pPr>
        <w:spacing w:line="440" w:lineRule="exact"/>
        <w:jc w:val="left"/>
        <w:outlineLvl w:val="2"/>
        <w:rPr>
          <w:rFonts w:ascii="宋体" w:hAnsi="宋体" w:cs="宋体"/>
          <w:b/>
          <w:bCs/>
          <w:color w:val="auto"/>
          <w:szCs w:val="21"/>
          <w:highlight w:val="none"/>
        </w:rPr>
      </w:pPr>
      <w:bookmarkStart w:id="148" w:name="_Toc499128564"/>
      <w:bookmarkStart w:id="149" w:name="_Toc498327019"/>
      <w:bookmarkStart w:id="150" w:name="_Toc24763"/>
      <w:r>
        <w:rPr>
          <w:rFonts w:hint="eastAsia" w:ascii="宋体" w:hAnsi="宋体" w:cs="宋体"/>
          <w:b/>
          <w:bCs/>
          <w:color w:val="auto"/>
          <w:szCs w:val="21"/>
          <w:highlight w:val="none"/>
        </w:rPr>
        <w:t>1.14现场考察</w:t>
      </w:r>
      <w:bookmarkEnd w:id="148"/>
      <w:bookmarkEnd w:id="149"/>
      <w:bookmarkEnd w:id="150"/>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1.14.1现场考察：见供应商须知。</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为使供应商对本项目情况有所了解，供应商自行组织对项目所在场地及周围环境进行现场考察，以便获取由供应商自行负责编制响应文件和签订合同所需的一切资料。现场考察所发生的费用由供应商自行承担。</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1.14.3现场考察完毕，将认为供应商已了解现场情况，并充分理解了为之所承担的风险、义务和责任。</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1.14.4在现场考察过程中，供应商应承担在此期间所造成的人身伤害、财产损失或损坏的责任，无论何种原因所造成，采购人均不负责，如由此导致采购人承担责任的，采购人有权向供应商行使追偿权。</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1.14.5采购人联系方式见采购须知前附表。</w:t>
      </w:r>
    </w:p>
    <w:bookmarkEnd w:id="144"/>
    <w:p>
      <w:pPr>
        <w:pStyle w:val="3"/>
        <w:spacing w:line="440" w:lineRule="exact"/>
        <w:rPr>
          <w:rFonts w:ascii="宋体" w:hAnsi="宋体" w:cs="宋体"/>
          <w:color w:val="auto"/>
          <w:szCs w:val="21"/>
          <w:highlight w:val="none"/>
        </w:rPr>
      </w:pPr>
      <w:bookmarkStart w:id="151" w:name="_Toc498327020"/>
      <w:bookmarkStart w:id="152" w:name="_Toc3685"/>
      <w:bookmarkStart w:id="153" w:name="_Toc499128565"/>
      <w:bookmarkStart w:id="154" w:name="_Toc16789"/>
      <w:bookmarkStart w:id="155" w:name="_Toc32623"/>
      <w:r>
        <w:rPr>
          <w:rFonts w:hint="eastAsia" w:ascii="宋体" w:hAnsi="宋体" w:cs="宋体"/>
          <w:color w:val="auto"/>
          <w:szCs w:val="21"/>
          <w:highlight w:val="none"/>
        </w:rPr>
        <w:t>2．</w:t>
      </w:r>
      <w:bookmarkEnd w:id="145"/>
      <w:bookmarkEnd w:id="146"/>
      <w:bookmarkEnd w:id="147"/>
      <w:bookmarkEnd w:id="151"/>
      <w:bookmarkEnd w:id="152"/>
      <w:bookmarkEnd w:id="153"/>
      <w:r>
        <w:rPr>
          <w:rFonts w:hint="eastAsia" w:ascii="宋体" w:hAnsi="宋体" w:cs="宋体"/>
          <w:color w:val="auto"/>
          <w:szCs w:val="21"/>
          <w:highlight w:val="none"/>
        </w:rPr>
        <w:t>竞争性磋商文件</w:t>
      </w:r>
      <w:bookmarkEnd w:id="154"/>
      <w:bookmarkEnd w:id="155"/>
    </w:p>
    <w:p>
      <w:pPr>
        <w:spacing w:line="440" w:lineRule="exact"/>
        <w:jc w:val="left"/>
        <w:outlineLvl w:val="2"/>
        <w:rPr>
          <w:rFonts w:ascii="宋体" w:hAnsi="宋体" w:cs="宋体"/>
          <w:b/>
          <w:bCs/>
          <w:color w:val="auto"/>
          <w:szCs w:val="21"/>
          <w:highlight w:val="none"/>
        </w:rPr>
      </w:pPr>
      <w:bookmarkStart w:id="156" w:name="_Toc498327021"/>
      <w:bookmarkStart w:id="157" w:name="_Toc301187616"/>
      <w:bookmarkStart w:id="158" w:name="_Toc359934572"/>
      <w:bookmarkStart w:id="159" w:name="_Toc303756377"/>
      <w:bookmarkStart w:id="160" w:name="_Toc20146"/>
      <w:bookmarkStart w:id="161" w:name="_Toc499128566"/>
      <w:r>
        <w:rPr>
          <w:rFonts w:hint="eastAsia" w:ascii="宋体" w:hAnsi="宋体" w:cs="宋体"/>
          <w:b/>
          <w:bCs/>
          <w:color w:val="auto"/>
          <w:szCs w:val="21"/>
          <w:highlight w:val="none"/>
        </w:rPr>
        <w:t>2.1竞争性磋商文件的构成</w:t>
      </w:r>
      <w:bookmarkEnd w:id="156"/>
      <w:bookmarkEnd w:id="157"/>
      <w:bookmarkEnd w:id="158"/>
      <w:bookmarkEnd w:id="159"/>
      <w:bookmarkEnd w:id="160"/>
      <w:bookmarkEnd w:id="161"/>
    </w:p>
    <w:p>
      <w:pPr>
        <w:spacing w:line="440" w:lineRule="exact"/>
        <w:ind w:firstLine="420" w:firstLineChars="200"/>
        <w:rPr>
          <w:rFonts w:ascii="宋体" w:hAnsi="宋体" w:cs="宋体"/>
          <w:color w:val="auto"/>
          <w:szCs w:val="21"/>
          <w:highlight w:val="none"/>
        </w:rPr>
      </w:pPr>
      <w:bookmarkStart w:id="162" w:name="_Toc301187618"/>
      <w:r>
        <w:rPr>
          <w:rFonts w:hint="eastAsia" w:ascii="宋体" w:hAnsi="宋体" w:cs="宋体"/>
          <w:color w:val="auto"/>
          <w:szCs w:val="21"/>
          <w:highlight w:val="none"/>
        </w:rPr>
        <w:t>2.1.1本竞争性磋商文件的内容由以下部分组成：</w:t>
      </w:r>
    </w:p>
    <w:p>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w:t>
      </w:r>
      <w:bookmarkEnd w:id="162"/>
      <w:r>
        <w:rPr>
          <w:rFonts w:hint="eastAsia" w:ascii="宋体" w:hAnsi="宋体" w:cs="宋体"/>
          <w:color w:val="auto"/>
          <w:szCs w:val="21"/>
          <w:highlight w:val="none"/>
        </w:rPr>
        <w:t>磋商公告；</w:t>
      </w:r>
    </w:p>
    <w:p>
      <w:pPr>
        <w:spacing w:line="440" w:lineRule="exact"/>
        <w:ind w:firstLine="210" w:firstLineChars="100"/>
        <w:rPr>
          <w:rFonts w:ascii="宋体" w:hAnsi="宋体" w:cs="宋体"/>
          <w:color w:val="auto"/>
          <w:szCs w:val="21"/>
          <w:highlight w:val="none"/>
        </w:rPr>
      </w:pPr>
      <w:bookmarkStart w:id="163" w:name="_Toc301187619"/>
      <w:r>
        <w:rPr>
          <w:rFonts w:hint="eastAsia" w:ascii="宋体" w:hAnsi="宋体" w:cs="宋体"/>
          <w:color w:val="auto"/>
          <w:szCs w:val="21"/>
          <w:highlight w:val="none"/>
        </w:rPr>
        <w:t>（2）</w:t>
      </w:r>
      <w:bookmarkEnd w:id="163"/>
      <w:r>
        <w:rPr>
          <w:rFonts w:hint="eastAsia" w:ascii="宋体" w:hAnsi="宋体" w:cs="宋体"/>
          <w:color w:val="auto"/>
          <w:szCs w:val="21"/>
          <w:highlight w:val="none"/>
        </w:rPr>
        <w:t>采购需求；</w:t>
      </w:r>
    </w:p>
    <w:p>
      <w:pPr>
        <w:spacing w:line="440" w:lineRule="exact"/>
        <w:ind w:firstLine="210" w:firstLineChars="100"/>
        <w:rPr>
          <w:rFonts w:ascii="宋体" w:hAnsi="宋体" w:cs="宋体"/>
          <w:color w:val="auto"/>
          <w:szCs w:val="21"/>
          <w:highlight w:val="none"/>
        </w:rPr>
      </w:pPr>
      <w:bookmarkStart w:id="164" w:name="_Toc301187620"/>
      <w:r>
        <w:rPr>
          <w:rFonts w:hint="eastAsia" w:ascii="宋体" w:hAnsi="宋体" w:cs="宋体"/>
          <w:color w:val="auto"/>
          <w:szCs w:val="21"/>
          <w:highlight w:val="none"/>
        </w:rPr>
        <w:t>（3）供应商须知</w:t>
      </w:r>
      <w:bookmarkEnd w:id="164"/>
      <w:r>
        <w:rPr>
          <w:rFonts w:hint="eastAsia" w:ascii="宋体" w:hAnsi="宋体" w:cs="宋体"/>
          <w:color w:val="auto"/>
          <w:szCs w:val="21"/>
          <w:highlight w:val="none"/>
        </w:rPr>
        <w:t>；</w:t>
      </w:r>
    </w:p>
    <w:p>
      <w:pPr>
        <w:spacing w:line="440" w:lineRule="exact"/>
        <w:ind w:firstLine="210" w:firstLineChars="100"/>
        <w:rPr>
          <w:rFonts w:ascii="宋体" w:hAnsi="宋体" w:cs="宋体"/>
          <w:color w:val="auto"/>
          <w:szCs w:val="21"/>
          <w:highlight w:val="none"/>
        </w:rPr>
      </w:pPr>
      <w:bookmarkStart w:id="165" w:name="_Toc301187622"/>
      <w:bookmarkStart w:id="166" w:name="_Toc301187621"/>
      <w:r>
        <w:rPr>
          <w:rFonts w:hint="eastAsia" w:ascii="宋体" w:hAnsi="宋体" w:cs="宋体"/>
          <w:color w:val="auto"/>
          <w:szCs w:val="21"/>
          <w:highlight w:val="none"/>
        </w:rPr>
        <w:t>（4）合同主要条款</w:t>
      </w:r>
      <w:bookmarkEnd w:id="165"/>
      <w:r>
        <w:rPr>
          <w:rFonts w:hint="eastAsia" w:ascii="宋体" w:hAnsi="宋体" w:cs="宋体"/>
          <w:color w:val="auto"/>
          <w:szCs w:val="21"/>
          <w:highlight w:val="none"/>
        </w:rPr>
        <w:t>；</w:t>
      </w:r>
    </w:p>
    <w:p>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（5）</w:t>
      </w:r>
      <w:bookmarkEnd w:id="166"/>
      <w:r>
        <w:rPr>
          <w:rFonts w:hint="eastAsia" w:ascii="宋体" w:hAnsi="宋体" w:cs="宋体"/>
          <w:color w:val="auto"/>
          <w:szCs w:val="21"/>
          <w:highlight w:val="none"/>
        </w:rPr>
        <w:t>响应文件格式；</w:t>
      </w:r>
    </w:p>
    <w:p>
      <w:pPr>
        <w:spacing w:line="440" w:lineRule="exact"/>
        <w:ind w:firstLine="210" w:firstLineChars="100"/>
        <w:rPr>
          <w:rFonts w:ascii="宋体" w:hAnsi="宋体" w:cs="宋体"/>
          <w:color w:val="auto"/>
          <w:szCs w:val="21"/>
          <w:highlight w:val="none"/>
        </w:rPr>
      </w:pPr>
      <w:bookmarkStart w:id="167" w:name="_Toc301187623"/>
      <w:r>
        <w:rPr>
          <w:rFonts w:hint="eastAsia" w:ascii="宋体" w:hAnsi="宋体" w:cs="宋体"/>
          <w:color w:val="auto"/>
          <w:szCs w:val="21"/>
          <w:highlight w:val="none"/>
        </w:rPr>
        <w:t>（6）磋商评审办法及标准</w:t>
      </w:r>
      <w:bookmarkEnd w:id="167"/>
      <w:r>
        <w:rPr>
          <w:rFonts w:hint="eastAsia" w:ascii="宋体" w:hAnsi="宋体" w:cs="宋体"/>
          <w:color w:val="auto"/>
          <w:szCs w:val="21"/>
          <w:highlight w:val="none"/>
        </w:rPr>
        <w:t>；</w:t>
      </w:r>
    </w:p>
    <w:p>
      <w:pPr>
        <w:spacing w:line="440" w:lineRule="exact"/>
        <w:ind w:firstLine="210" w:firstLineChars="100"/>
        <w:rPr>
          <w:rFonts w:ascii="宋体" w:hAnsi="宋体" w:cs="宋体"/>
          <w:color w:val="auto"/>
          <w:szCs w:val="21"/>
          <w:highlight w:val="none"/>
        </w:rPr>
      </w:pPr>
      <w:bookmarkStart w:id="168" w:name="_Toc301187624"/>
      <w:r>
        <w:rPr>
          <w:rFonts w:hint="eastAsia" w:ascii="宋体" w:hAnsi="宋体" w:cs="宋体"/>
          <w:color w:val="auto"/>
          <w:szCs w:val="21"/>
          <w:highlight w:val="none"/>
        </w:rPr>
        <w:t>（7）本项目竞争性磋商文件的澄清、答复、修改、补充的内容</w:t>
      </w:r>
      <w:bookmarkEnd w:id="168"/>
      <w:r>
        <w:rPr>
          <w:rFonts w:hint="eastAsia" w:ascii="宋体" w:hAnsi="宋体" w:cs="宋体"/>
          <w:color w:val="auto"/>
          <w:szCs w:val="21"/>
          <w:highlight w:val="none"/>
        </w:rPr>
        <w:t>。</w:t>
      </w:r>
    </w:p>
    <w:p>
      <w:pPr>
        <w:spacing w:line="440" w:lineRule="exact"/>
        <w:jc w:val="left"/>
        <w:outlineLvl w:val="2"/>
        <w:rPr>
          <w:rFonts w:ascii="宋体" w:hAnsi="宋体" w:cs="宋体"/>
          <w:b/>
          <w:bCs/>
          <w:color w:val="auto"/>
          <w:szCs w:val="21"/>
          <w:highlight w:val="none"/>
        </w:rPr>
      </w:pPr>
      <w:bookmarkStart w:id="169" w:name="_Toc359934573"/>
      <w:bookmarkStart w:id="170" w:name="_Toc303756378"/>
      <w:bookmarkStart w:id="171" w:name="_Toc301187625"/>
      <w:bookmarkStart w:id="172" w:name="_Toc27036"/>
      <w:bookmarkStart w:id="173" w:name="_Toc498327022"/>
      <w:bookmarkStart w:id="174" w:name="_Toc499128567"/>
      <w:r>
        <w:rPr>
          <w:rFonts w:hint="eastAsia" w:ascii="宋体" w:hAnsi="宋体" w:cs="宋体"/>
          <w:b/>
          <w:bCs/>
          <w:color w:val="auto"/>
          <w:szCs w:val="21"/>
          <w:highlight w:val="none"/>
        </w:rPr>
        <w:t>2.2竞争性磋商文件的澄清</w:t>
      </w:r>
      <w:bookmarkEnd w:id="169"/>
      <w:bookmarkEnd w:id="170"/>
      <w:bookmarkEnd w:id="171"/>
      <w:r>
        <w:rPr>
          <w:rFonts w:hint="eastAsia" w:ascii="宋体" w:hAnsi="宋体" w:cs="宋体"/>
          <w:b/>
          <w:bCs/>
          <w:color w:val="auto"/>
          <w:szCs w:val="21"/>
          <w:highlight w:val="none"/>
        </w:rPr>
        <w:t>、答疑、修改、补充</w:t>
      </w:r>
      <w:bookmarkEnd w:id="172"/>
      <w:bookmarkEnd w:id="173"/>
      <w:bookmarkEnd w:id="174"/>
    </w:p>
    <w:p>
      <w:pPr>
        <w:spacing w:line="440" w:lineRule="exact"/>
        <w:ind w:firstLine="420" w:firstLineChars="200"/>
        <w:rPr>
          <w:rFonts w:ascii="宋体" w:hAnsi="宋体" w:cs="宋体"/>
          <w:color w:val="auto"/>
          <w:szCs w:val="21"/>
          <w:highlight w:val="none"/>
        </w:rPr>
      </w:pPr>
      <w:bookmarkStart w:id="175" w:name="_Toc301187626"/>
      <w:r>
        <w:rPr>
          <w:rFonts w:hint="eastAsia" w:ascii="宋体" w:hAnsi="宋体" w:cs="宋体"/>
          <w:color w:val="auto"/>
          <w:szCs w:val="21"/>
          <w:highlight w:val="none"/>
        </w:rPr>
        <w:t>2.2.1竞争性磋商文件的澄清、答疑、修改、补充截止时间：见供应商须知前附表。供应商应仔细阅读和检查竞争性磋商文件的全部内容。如发现缺页或附件不全，应及时向采购人或采购代理机构提出，以便补齐。如有疑问，应当在竞争性磋商文件的澄清、答疑截止时间内以书面形式（包括信函、电报、传真等可以有形地表现所载内容的形式，下同）或电子文档形式，要求采购人或采购代理机构对竞争性磋商文件予以澄清、答疑、修改、补充。</w:t>
      </w:r>
      <w:bookmarkEnd w:id="175"/>
    </w:p>
    <w:p>
      <w:pPr>
        <w:spacing w:line="440" w:lineRule="exact"/>
        <w:ind w:firstLine="420" w:firstLineChars="200"/>
        <w:rPr>
          <w:rFonts w:ascii="宋体" w:hAnsi="宋体" w:cs="宋体"/>
          <w:color w:val="auto"/>
          <w:szCs w:val="21"/>
          <w:highlight w:val="none"/>
        </w:rPr>
      </w:pPr>
      <w:bookmarkStart w:id="176" w:name="_Toc301187627"/>
      <w:r>
        <w:rPr>
          <w:rFonts w:hint="eastAsia" w:ascii="宋体" w:hAnsi="宋体" w:cs="宋体"/>
          <w:color w:val="auto"/>
          <w:szCs w:val="21"/>
          <w:highlight w:val="none"/>
        </w:rPr>
        <w:t>2.2.2</w:t>
      </w:r>
      <w:bookmarkEnd w:id="176"/>
      <w:r>
        <w:rPr>
          <w:rFonts w:hint="eastAsia" w:ascii="宋体" w:hAnsi="宋体" w:cs="宋体"/>
          <w:color w:val="auto"/>
          <w:szCs w:val="21"/>
          <w:highlight w:val="none"/>
        </w:rPr>
        <w:t>竞争性磋商文件的澄清、答疑、修改、补充发布地点：见供应商须知前附表。澄清、答疑、修改、补充的内容可能影响响应文件编制的，</w:t>
      </w:r>
      <w:r>
        <w:rPr>
          <w:rFonts w:hint="eastAsia" w:ascii="宋体" w:hAnsi="宋体" w:cs="宋体"/>
          <w:b/>
          <w:bCs/>
          <w:color w:val="auto"/>
          <w:szCs w:val="21"/>
          <w:highlight w:val="none"/>
        </w:rPr>
        <w:t>采购人或者采购代理应当响应文件递交截止时间3天前，以电子文档形式在竞争性磋商文件的澄清、答疑、修改、补充发布地点发布</w:t>
      </w:r>
      <w:r>
        <w:rPr>
          <w:rFonts w:hint="eastAsia" w:ascii="宋体" w:hAnsi="宋体" w:cs="宋体"/>
          <w:color w:val="auto"/>
          <w:szCs w:val="21"/>
          <w:highlight w:val="none"/>
        </w:rPr>
        <w:t>，供各供应商查询，无论因任何原因造成供应商无法查询或浏览，采购人和采购代理机构均不予以负责。澄清、答疑、修改、补充发出的时间距响应文件递交截止时间不足5天，采购人或采购代理机构应当顺延提交响应文件的截止时间。</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2.2.3澄清、答疑、修改、补充的内容作为竞争性磋商文件的组成部分，对各供应商起同等约束作用。</w:t>
      </w:r>
    </w:p>
    <w:p>
      <w:pPr>
        <w:pStyle w:val="3"/>
        <w:spacing w:line="440" w:lineRule="exact"/>
        <w:rPr>
          <w:rFonts w:ascii="宋体" w:hAnsi="宋体" w:cs="宋体"/>
          <w:color w:val="auto"/>
          <w:szCs w:val="21"/>
          <w:highlight w:val="none"/>
        </w:rPr>
      </w:pPr>
      <w:bookmarkStart w:id="177" w:name="_Toc499128568"/>
      <w:bookmarkStart w:id="178" w:name="_Toc7772"/>
      <w:bookmarkStart w:id="179" w:name="_Toc9722"/>
      <w:bookmarkStart w:id="180" w:name="_Toc19870"/>
      <w:bookmarkStart w:id="181" w:name="_Toc498327023"/>
      <w:r>
        <w:rPr>
          <w:rFonts w:hint="eastAsia" w:ascii="宋体" w:hAnsi="宋体" w:cs="宋体"/>
          <w:color w:val="auto"/>
          <w:szCs w:val="21"/>
          <w:highlight w:val="none"/>
        </w:rPr>
        <w:t>3．响应文件的组成</w:t>
      </w:r>
      <w:bookmarkEnd w:id="177"/>
      <w:bookmarkEnd w:id="178"/>
      <w:bookmarkEnd w:id="179"/>
      <w:bookmarkEnd w:id="180"/>
      <w:bookmarkEnd w:id="181"/>
    </w:p>
    <w:p>
      <w:pPr>
        <w:spacing w:line="440" w:lineRule="exact"/>
        <w:jc w:val="left"/>
        <w:outlineLvl w:val="2"/>
        <w:rPr>
          <w:rFonts w:ascii="宋体" w:hAnsi="宋体" w:cs="宋体"/>
          <w:b/>
          <w:bCs/>
          <w:color w:val="auto"/>
          <w:szCs w:val="21"/>
          <w:highlight w:val="none"/>
        </w:rPr>
      </w:pPr>
      <w:bookmarkStart w:id="182" w:name="_Toc498327024"/>
      <w:bookmarkStart w:id="183" w:name="_Toc499128569"/>
      <w:bookmarkStart w:id="184" w:name="_Toc25817"/>
      <w:r>
        <w:rPr>
          <w:rFonts w:hint="eastAsia" w:ascii="宋体" w:hAnsi="宋体" w:cs="宋体"/>
          <w:b/>
          <w:bCs/>
          <w:color w:val="auto"/>
          <w:szCs w:val="21"/>
          <w:highlight w:val="none"/>
        </w:rPr>
        <w:t>3.1</w:t>
      </w:r>
      <w:bookmarkEnd w:id="182"/>
      <w:bookmarkEnd w:id="183"/>
      <w:bookmarkEnd w:id="184"/>
      <w:r>
        <w:rPr>
          <w:rFonts w:hint="eastAsia" w:ascii="宋体" w:hAnsi="宋体" w:cs="宋体"/>
          <w:b/>
          <w:bCs/>
          <w:color w:val="auto"/>
          <w:szCs w:val="21"/>
          <w:highlight w:val="none"/>
        </w:rPr>
        <w:t>响应文件内容的组成</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响应文件由资格审查文件、商务技术文件、报价文件三部分组成。</w:t>
      </w:r>
    </w:p>
    <w:p>
      <w:pPr>
        <w:spacing w:line="440" w:lineRule="exact"/>
        <w:jc w:val="left"/>
        <w:outlineLvl w:val="2"/>
        <w:rPr>
          <w:rFonts w:ascii="宋体" w:hAnsi="宋体" w:cs="宋体"/>
          <w:b/>
          <w:bCs/>
          <w:color w:val="auto"/>
          <w:szCs w:val="21"/>
          <w:highlight w:val="none"/>
        </w:rPr>
      </w:pPr>
      <w:bookmarkStart w:id="185" w:name="_Toc303756381"/>
      <w:bookmarkStart w:id="186" w:name="_Toc359934576"/>
      <w:bookmarkStart w:id="187" w:name="_Toc498327025"/>
      <w:bookmarkStart w:id="188" w:name="_Toc17305"/>
      <w:bookmarkStart w:id="189" w:name="_Toc301187633"/>
      <w:bookmarkStart w:id="190" w:name="_Toc499128570"/>
      <w:r>
        <w:rPr>
          <w:rFonts w:hint="eastAsia" w:ascii="宋体" w:hAnsi="宋体" w:cs="宋体"/>
          <w:b/>
          <w:bCs/>
          <w:color w:val="auto"/>
          <w:szCs w:val="21"/>
          <w:highlight w:val="none"/>
        </w:rPr>
        <w:t>3.2资格审查文件的组成</w:t>
      </w:r>
      <w:bookmarkEnd w:id="185"/>
      <w:bookmarkEnd w:id="186"/>
      <w:bookmarkEnd w:id="187"/>
      <w:bookmarkEnd w:id="188"/>
      <w:bookmarkEnd w:id="189"/>
      <w:bookmarkEnd w:id="190"/>
    </w:p>
    <w:p>
      <w:pPr>
        <w:spacing w:line="440" w:lineRule="exact"/>
        <w:ind w:firstLine="420" w:firstLineChars="200"/>
        <w:rPr>
          <w:rFonts w:ascii="宋体" w:hAnsi="宋体" w:cs="宋体"/>
          <w:color w:val="auto"/>
          <w:szCs w:val="21"/>
          <w:highlight w:val="none"/>
        </w:rPr>
      </w:pPr>
      <w:bookmarkStart w:id="191" w:name="_Toc301187634"/>
      <w:r>
        <w:rPr>
          <w:rFonts w:hint="eastAsia" w:ascii="宋体" w:hAnsi="宋体" w:cs="宋体"/>
          <w:color w:val="auto"/>
          <w:szCs w:val="21"/>
          <w:highlight w:val="none"/>
        </w:rPr>
        <w:t>3.2.1资格审查文件的组成：见供应商须知前附表</w:t>
      </w:r>
      <w:bookmarkEnd w:id="191"/>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3.2.2联合体磋商的各方供应商必须按照本条要求提供各自的资格审查证明文件。</w:t>
      </w:r>
    </w:p>
    <w:p>
      <w:pPr>
        <w:spacing w:line="440" w:lineRule="exact"/>
        <w:jc w:val="left"/>
        <w:outlineLvl w:val="2"/>
        <w:rPr>
          <w:rFonts w:ascii="宋体" w:hAnsi="宋体" w:cs="宋体"/>
          <w:b/>
          <w:bCs/>
          <w:color w:val="auto"/>
          <w:szCs w:val="21"/>
          <w:highlight w:val="none"/>
        </w:rPr>
      </w:pPr>
      <w:bookmarkStart w:id="192" w:name="_Toc499128571"/>
      <w:bookmarkStart w:id="193" w:name="_Toc301187635"/>
      <w:bookmarkStart w:id="194" w:name="_Toc12130"/>
      <w:bookmarkStart w:id="195" w:name="_Toc303756382"/>
      <w:bookmarkStart w:id="196" w:name="_Toc498327026"/>
      <w:bookmarkStart w:id="197" w:name="_Toc359934577"/>
      <w:r>
        <w:rPr>
          <w:rFonts w:hint="eastAsia" w:ascii="宋体" w:hAnsi="宋体" w:cs="宋体"/>
          <w:b/>
          <w:bCs/>
          <w:color w:val="auto"/>
          <w:szCs w:val="21"/>
          <w:highlight w:val="none"/>
        </w:rPr>
        <w:t>3.3商务技术文件的组成</w:t>
      </w:r>
      <w:bookmarkEnd w:id="192"/>
      <w:bookmarkEnd w:id="193"/>
      <w:bookmarkEnd w:id="194"/>
      <w:bookmarkEnd w:id="195"/>
      <w:bookmarkEnd w:id="196"/>
      <w:bookmarkEnd w:id="197"/>
    </w:p>
    <w:p>
      <w:pPr>
        <w:spacing w:line="440" w:lineRule="exact"/>
        <w:ind w:firstLine="420" w:firstLineChars="200"/>
        <w:rPr>
          <w:rFonts w:ascii="宋体" w:hAnsi="宋体" w:cs="宋体"/>
          <w:color w:val="auto"/>
          <w:szCs w:val="21"/>
          <w:highlight w:val="none"/>
        </w:rPr>
      </w:pPr>
      <w:bookmarkStart w:id="198" w:name="_Toc301187636"/>
      <w:r>
        <w:rPr>
          <w:rFonts w:hint="eastAsia" w:ascii="宋体" w:hAnsi="宋体" w:cs="宋体"/>
          <w:color w:val="auto"/>
          <w:szCs w:val="21"/>
          <w:highlight w:val="none"/>
        </w:rPr>
        <w:t>3.3.1见供应商须知前附表</w:t>
      </w:r>
      <w:bookmarkEnd w:id="198"/>
      <w:r>
        <w:rPr>
          <w:rFonts w:hint="eastAsia" w:ascii="宋体" w:hAnsi="宋体" w:cs="宋体"/>
          <w:color w:val="auto"/>
          <w:szCs w:val="21"/>
          <w:highlight w:val="none"/>
        </w:rPr>
        <w:t>。</w:t>
      </w:r>
    </w:p>
    <w:p>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3.3.2必须提供采购商务响应表，并且符合相关要求。</w:t>
      </w:r>
    </w:p>
    <w:p>
      <w:pPr>
        <w:spacing w:line="440" w:lineRule="exact"/>
        <w:jc w:val="left"/>
        <w:outlineLvl w:val="2"/>
        <w:rPr>
          <w:rFonts w:ascii="宋体" w:hAnsi="宋体" w:cs="宋体"/>
          <w:b/>
          <w:bCs/>
          <w:color w:val="auto"/>
          <w:szCs w:val="21"/>
          <w:highlight w:val="none"/>
        </w:rPr>
      </w:pPr>
      <w:bookmarkStart w:id="199" w:name="_Toc498327027"/>
      <w:bookmarkStart w:id="200" w:name="_Toc303756383"/>
      <w:bookmarkStart w:id="201" w:name="_Toc301187637"/>
      <w:bookmarkStart w:id="202" w:name="_Toc14301"/>
      <w:bookmarkStart w:id="203" w:name="_Toc359934578"/>
      <w:bookmarkStart w:id="204" w:name="_Toc499128572"/>
      <w:r>
        <w:rPr>
          <w:rFonts w:hint="eastAsia" w:ascii="宋体" w:hAnsi="宋体" w:cs="宋体"/>
          <w:b/>
          <w:bCs/>
          <w:color w:val="auto"/>
          <w:szCs w:val="21"/>
          <w:highlight w:val="none"/>
        </w:rPr>
        <w:t>3.4报价文件的组成</w:t>
      </w:r>
      <w:bookmarkEnd w:id="199"/>
      <w:bookmarkEnd w:id="200"/>
      <w:bookmarkEnd w:id="201"/>
      <w:bookmarkEnd w:id="202"/>
      <w:bookmarkEnd w:id="203"/>
      <w:bookmarkEnd w:id="204"/>
    </w:p>
    <w:p>
      <w:pPr>
        <w:spacing w:line="440" w:lineRule="exact"/>
        <w:ind w:firstLine="420" w:firstLineChars="200"/>
        <w:rPr>
          <w:rFonts w:ascii="宋体" w:hAnsi="宋体" w:cs="宋体"/>
          <w:color w:val="auto"/>
          <w:szCs w:val="21"/>
          <w:highlight w:val="none"/>
        </w:rPr>
      </w:pPr>
      <w:bookmarkStart w:id="205" w:name="_Toc301187638"/>
      <w:r>
        <w:rPr>
          <w:rFonts w:hint="eastAsia" w:ascii="宋体" w:hAnsi="宋体" w:cs="宋体"/>
          <w:color w:val="auto"/>
          <w:szCs w:val="21"/>
          <w:highlight w:val="none"/>
        </w:rPr>
        <w:t>见供应商须知前附表</w:t>
      </w:r>
      <w:bookmarkEnd w:id="205"/>
      <w:r>
        <w:rPr>
          <w:rFonts w:hint="eastAsia" w:ascii="宋体" w:hAnsi="宋体" w:cs="宋体"/>
          <w:color w:val="auto"/>
          <w:szCs w:val="21"/>
          <w:highlight w:val="none"/>
        </w:rPr>
        <w:t>。</w:t>
      </w:r>
    </w:p>
    <w:p>
      <w:pPr>
        <w:pStyle w:val="3"/>
        <w:spacing w:line="440" w:lineRule="exact"/>
        <w:rPr>
          <w:rFonts w:ascii="宋体" w:hAnsi="宋体" w:cs="宋体"/>
          <w:color w:val="auto"/>
          <w:szCs w:val="21"/>
          <w:highlight w:val="none"/>
        </w:rPr>
      </w:pPr>
      <w:bookmarkStart w:id="206" w:name="_Toc499128576"/>
      <w:bookmarkStart w:id="207" w:name="_Toc14736"/>
      <w:bookmarkStart w:id="208" w:name="_Toc7625"/>
      <w:bookmarkStart w:id="209" w:name="_Toc359934575"/>
      <w:bookmarkStart w:id="210" w:name="_Toc26560"/>
      <w:bookmarkStart w:id="211" w:name="_Toc301187631"/>
      <w:bookmarkStart w:id="212" w:name="_Toc303756380"/>
      <w:bookmarkStart w:id="213" w:name="_Toc498327031"/>
      <w:r>
        <w:rPr>
          <w:rFonts w:hint="eastAsia" w:ascii="宋体" w:hAnsi="宋体" w:cs="宋体"/>
          <w:color w:val="auto"/>
          <w:szCs w:val="21"/>
          <w:highlight w:val="none"/>
        </w:rPr>
        <w:t>4．响应文件的编制</w:t>
      </w:r>
      <w:bookmarkEnd w:id="206"/>
      <w:bookmarkEnd w:id="207"/>
      <w:bookmarkEnd w:id="208"/>
      <w:bookmarkEnd w:id="209"/>
      <w:bookmarkEnd w:id="210"/>
      <w:bookmarkEnd w:id="211"/>
      <w:bookmarkEnd w:id="212"/>
      <w:bookmarkEnd w:id="213"/>
    </w:p>
    <w:p>
      <w:pPr>
        <w:spacing w:line="440" w:lineRule="exact"/>
        <w:jc w:val="left"/>
        <w:outlineLvl w:val="2"/>
        <w:rPr>
          <w:rFonts w:ascii="宋体" w:hAnsi="宋体" w:cs="宋体"/>
          <w:b/>
          <w:bCs/>
          <w:color w:val="auto"/>
          <w:szCs w:val="21"/>
          <w:highlight w:val="none"/>
        </w:rPr>
      </w:pPr>
      <w:bookmarkStart w:id="214" w:name="_Toc498327032"/>
      <w:bookmarkStart w:id="215" w:name="_Toc2620"/>
      <w:bookmarkStart w:id="216" w:name="_Toc499128577"/>
      <w:r>
        <w:rPr>
          <w:rFonts w:hint="eastAsia" w:ascii="宋体" w:hAnsi="宋体" w:cs="宋体"/>
          <w:b/>
          <w:bCs/>
          <w:color w:val="auto"/>
          <w:szCs w:val="21"/>
          <w:highlight w:val="none"/>
        </w:rPr>
        <w:t>4.1响应文件的编制要求</w:t>
      </w:r>
      <w:bookmarkEnd w:id="214"/>
      <w:bookmarkEnd w:id="215"/>
      <w:bookmarkEnd w:id="216"/>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4.1.1供应商应当仔细阅读竞争性磋商文件的所有内容，按照竞争性磋商文件的要求制作响应文件，并对所提供的全部资料的真实性承担法律责任。</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4.1.2供应商按本竞争性磋商文件规定的格式和顺序编制响应文件，响应文件内容不完整、编排混乱导致响应文件被误读、漏读或者查找不到相关内容的，供应商自行承担相关责任。</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4.1.3供应商磋商所使用的资格、信誉、荣誉、业绩与企业认证必须为本法人所拥有。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4.1.4 因磋商失败后重新磋商而造成响应文件的采购编号后缀不一致时，不影响响应文件的有效性。</w:t>
      </w:r>
    </w:p>
    <w:p>
      <w:pPr>
        <w:spacing w:line="440" w:lineRule="exact"/>
        <w:jc w:val="left"/>
        <w:outlineLvl w:val="2"/>
        <w:rPr>
          <w:rFonts w:ascii="宋体" w:hAnsi="宋体" w:cs="宋体"/>
          <w:b/>
          <w:bCs/>
          <w:color w:val="auto"/>
          <w:szCs w:val="21"/>
          <w:highlight w:val="none"/>
        </w:rPr>
      </w:pPr>
      <w:bookmarkStart w:id="217" w:name="_Toc22256"/>
      <w:bookmarkStart w:id="218" w:name="_Toc359934580"/>
      <w:bookmarkStart w:id="219" w:name="_Toc499128578"/>
      <w:bookmarkStart w:id="220" w:name="_Toc498327033"/>
      <w:r>
        <w:rPr>
          <w:rFonts w:hint="eastAsia" w:ascii="宋体" w:hAnsi="宋体" w:cs="宋体"/>
          <w:b/>
          <w:bCs/>
          <w:color w:val="auto"/>
          <w:szCs w:val="21"/>
          <w:highlight w:val="none"/>
        </w:rPr>
        <w:t>4.2响应文件的格式</w:t>
      </w:r>
      <w:bookmarkEnd w:id="217"/>
      <w:bookmarkEnd w:id="218"/>
      <w:bookmarkEnd w:id="219"/>
      <w:bookmarkEnd w:id="220"/>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响应文件按照竞争性磋商文件已提供的格式填写，无格式的自行设计。</w:t>
      </w:r>
    </w:p>
    <w:p>
      <w:pPr>
        <w:spacing w:line="440" w:lineRule="exact"/>
        <w:jc w:val="left"/>
        <w:outlineLvl w:val="2"/>
        <w:rPr>
          <w:rFonts w:ascii="宋体" w:hAnsi="宋体" w:cs="宋体"/>
          <w:b/>
          <w:bCs/>
          <w:color w:val="auto"/>
          <w:szCs w:val="21"/>
          <w:highlight w:val="none"/>
        </w:rPr>
      </w:pPr>
      <w:bookmarkStart w:id="221" w:name="_Toc499128579"/>
      <w:bookmarkStart w:id="222" w:name="_Toc303756384"/>
      <w:bookmarkStart w:id="223" w:name="_Toc498327034"/>
      <w:bookmarkStart w:id="224" w:name="_Toc359934581"/>
      <w:bookmarkStart w:id="225" w:name="_Toc12636"/>
      <w:bookmarkStart w:id="226" w:name="_Toc301187639"/>
      <w:r>
        <w:rPr>
          <w:rFonts w:hint="eastAsia" w:ascii="宋体" w:hAnsi="宋体" w:cs="宋体"/>
          <w:b/>
          <w:bCs/>
          <w:color w:val="auto"/>
          <w:szCs w:val="21"/>
          <w:highlight w:val="none"/>
        </w:rPr>
        <w:t>4.3响应文件的有效期</w:t>
      </w:r>
      <w:bookmarkEnd w:id="221"/>
      <w:bookmarkEnd w:id="222"/>
      <w:bookmarkEnd w:id="223"/>
      <w:bookmarkEnd w:id="224"/>
      <w:bookmarkEnd w:id="225"/>
      <w:bookmarkEnd w:id="226"/>
    </w:p>
    <w:p>
      <w:pPr>
        <w:spacing w:line="440" w:lineRule="exact"/>
        <w:ind w:firstLine="420" w:firstLineChars="200"/>
        <w:rPr>
          <w:rFonts w:ascii="宋体" w:hAnsi="宋体" w:cs="宋体"/>
          <w:color w:val="auto"/>
          <w:szCs w:val="21"/>
          <w:highlight w:val="none"/>
        </w:rPr>
      </w:pPr>
      <w:bookmarkStart w:id="227" w:name="_Toc301187640"/>
      <w:r>
        <w:rPr>
          <w:rFonts w:hint="eastAsia" w:ascii="宋体" w:hAnsi="宋体" w:cs="宋体"/>
          <w:color w:val="auto"/>
          <w:szCs w:val="21"/>
          <w:highlight w:val="none"/>
        </w:rPr>
        <w:t>4.3.1磋商有效期：见供应商须知前附表。磋商有效期从提交响应文件的截止之日起算。响应文件中承诺的磋商有效期应当不少于竞争性磋商文件中载明的磋商有效期。</w:t>
      </w:r>
      <w:bookmarkEnd w:id="227"/>
    </w:p>
    <w:p>
      <w:pPr>
        <w:spacing w:line="440" w:lineRule="exact"/>
        <w:ind w:firstLine="420" w:firstLineChars="200"/>
        <w:rPr>
          <w:rFonts w:ascii="宋体" w:hAnsi="宋体" w:cs="宋体"/>
          <w:color w:val="auto"/>
          <w:szCs w:val="21"/>
          <w:highlight w:val="none"/>
        </w:rPr>
      </w:pPr>
      <w:bookmarkStart w:id="228" w:name="_Toc301187641"/>
      <w:r>
        <w:rPr>
          <w:rFonts w:hint="eastAsia" w:ascii="宋体" w:hAnsi="宋体" w:cs="宋体"/>
          <w:color w:val="auto"/>
          <w:szCs w:val="21"/>
          <w:highlight w:val="none"/>
        </w:rPr>
        <w:t>4.3.2在特殊情况下，采购人可与供应商协商延长响应文件的有效期，这种要求和答复均以书面形式进行。</w:t>
      </w:r>
      <w:bookmarkEnd w:id="228"/>
    </w:p>
    <w:p>
      <w:pPr>
        <w:spacing w:line="440" w:lineRule="exact"/>
        <w:ind w:firstLine="420" w:firstLineChars="200"/>
        <w:rPr>
          <w:rFonts w:ascii="宋体" w:hAnsi="宋体" w:cs="宋体"/>
          <w:color w:val="auto"/>
          <w:szCs w:val="21"/>
          <w:highlight w:val="none"/>
        </w:rPr>
      </w:pPr>
      <w:bookmarkStart w:id="229" w:name="_Toc301187642"/>
      <w:r>
        <w:rPr>
          <w:rFonts w:hint="eastAsia" w:ascii="宋体" w:hAnsi="宋体" w:cs="宋体"/>
          <w:color w:val="auto"/>
          <w:szCs w:val="21"/>
          <w:highlight w:val="none"/>
        </w:rPr>
        <w:t>4.3.3</w:t>
      </w:r>
      <w:bookmarkEnd w:id="229"/>
      <w:r>
        <w:rPr>
          <w:rFonts w:hint="eastAsia" w:ascii="宋体" w:hAnsi="宋体" w:cs="宋体"/>
          <w:color w:val="auto"/>
          <w:szCs w:val="21"/>
          <w:highlight w:val="none"/>
        </w:rPr>
        <w:t>供应商可拒绝接受延期要求，同意延长有效期的供应商不能修改响应文件。</w:t>
      </w:r>
    </w:p>
    <w:p>
      <w:pPr>
        <w:spacing w:line="440" w:lineRule="exact"/>
        <w:jc w:val="left"/>
        <w:outlineLvl w:val="2"/>
        <w:rPr>
          <w:rFonts w:ascii="宋体" w:hAnsi="宋体" w:cs="宋体"/>
          <w:b/>
          <w:bCs/>
          <w:color w:val="auto"/>
          <w:szCs w:val="21"/>
          <w:highlight w:val="none"/>
        </w:rPr>
      </w:pPr>
      <w:bookmarkStart w:id="230" w:name="_Toc498327035"/>
      <w:bookmarkStart w:id="231" w:name="_Toc10860"/>
      <w:bookmarkStart w:id="232" w:name="_Toc303756386"/>
      <w:bookmarkStart w:id="233" w:name="_Toc359934583"/>
      <w:bookmarkStart w:id="234" w:name="_Toc499128580"/>
      <w:bookmarkStart w:id="235" w:name="_Toc301187659"/>
      <w:r>
        <w:rPr>
          <w:rFonts w:hint="eastAsia" w:ascii="宋体" w:hAnsi="宋体" w:cs="宋体"/>
          <w:b/>
          <w:bCs/>
          <w:color w:val="auto"/>
          <w:szCs w:val="21"/>
          <w:highlight w:val="none"/>
        </w:rPr>
        <w:t>4.4</w:t>
      </w:r>
      <w:bookmarkEnd w:id="230"/>
      <w:bookmarkEnd w:id="231"/>
      <w:bookmarkEnd w:id="232"/>
      <w:bookmarkEnd w:id="233"/>
      <w:bookmarkEnd w:id="234"/>
      <w:bookmarkEnd w:id="235"/>
      <w:r>
        <w:rPr>
          <w:rFonts w:hint="eastAsia" w:ascii="宋体" w:hAnsi="宋体" w:cs="宋体"/>
          <w:b/>
          <w:bCs/>
          <w:color w:val="auto"/>
          <w:szCs w:val="21"/>
          <w:highlight w:val="none"/>
        </w:rPr>
        <w:t>磋商报价</w:t>
      </w:r>
    </w:p>
    <w:p>
      <w:pPr>
        <w:spacing w:line="440" w:lineRule="exact"/>
        <w:ind w:firstLine="420" w:firstLineChars="200"/>
        <w:rPr>
          <w:rFonts w:ascii="宋体" w:hAnsi="宋体" w:cs="宋体"/>
          <w:color w:val="auto"/>
          <w:szCs w:val="21"/>
          <w:highlight w:val="none"/>
        </w:rPr>
      </w:pPr>
      <w:bookmarkStart w:id="236" w:name="_Toc301187660"/>
      <w:r>
        <w:rPr>
          <w:rFonts w:hint="eastAsia" w:ascii="宋体" w:hAnsi="宋体" w:cs="宋体"/>
          <w:color w:val="auto"/>
          <w:szCs w:val="21"/>
          <w:highlight w:val="none"/>
        </w:rPr>
        <w:t>4.4.1磋商报价应当按照竞争性磋商文件中相关格式填写。</w:t>
      </w:r>
      <w:bookmarkEnd w:id="236"/>
    </w:p>
    <w:p>
      <w:pPr>
        <w:spacing w:line="440" w:lineRule="exact"/>
        <w:ind w:firstLine="420" w:firstLineChars="200"/>
        <w:rPr>
          <w:rFonts w:ascii="宋体" w:hAnsi="宋体" w:cs="宋体"/>
          <w:color w:val="auto"/>
          <w:szCs w:val="21"/>
          <w:highlight w:val="none"/>
        </w:rPr>
      </w:pPr>
      <w:bookmarkStart w:id="237" w:name="_Toc301187661"/>
      <w:r>
        <w:rPr>
          <w:rFonts w:hint="eastAsia" w:ascii="宋体" w:hAnsi="宋体" w:cs="宋体"/>
          <w:color w:val="auto"/>
          <w:szCs w:val="21"/>
          <w:highlight w:val="none"/>
        </w:rPr>
        <w:t>▲4.4.2</w:t>
      </w:r>
      <w:bookmarkEnd w:id="237"/>
      <w:bookmarkStart w:id="238" w:name="_Toc301187662"/>
      <w:r>
        <w:rPr>
          <w:rFonts w:hint="eastAsia" w:ascii="宋体" w:hAnsi="宋体" w:cs="宋体"/>
          <w:color w:val="auto"/>
          <w:szCs w:val="21"/>
          <w:highlight w:val="none"/>
        </w:rPr>
        <w:t>磋商报价是履行合同的最终价格，人工费（包括工人工资、劳保福利、五险一金等费用）、材料费、机械使用费（含交通费）、管理、利润、规费、税金等一切费用。供应商在编写响应文件时应充分考虑各种风险因素，凡供应商漏项、漏报均认为已包含在综合单价报价中，结算时综合单价不予以调整，人员数量按实结算。</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4.4.3响应文件只允许有一个报价，有选择的或有条件的报价将不予接受。</w:t>
      </w:r>
      <w:bookmarkEnd w:id="238"/>
    </w:p>
    <w:p>
      <w:pPr>
        <w:spacing w:line="440" w:lineRule="exact"/>
        <w:jc w:val="left"/>
        <w:outlineLvl w:val="2"/>
        <w:rPr>
          <w:rFonts w:ascii="宋体" w:hAnsi="宋体" w:cs="宋体"/>
          <w:b/>
          <w:bCs/>
          <w:color w:val="auto"/>
          <w:szCs w:val="21"/>
          <w:highlight w:val="none"/>
        </w:rPr>
      </w:pPr>
      <w:bookmarkStart w:id="239" w:name="_Toc2163"/>
      <w:bookmarkStart w:id="240" w:name="_Toc499128581"/>
      <w:bookmarkStart w:id="241" w:name="_Toc498327036"/>
      <w:bookmarkStart w:id="242" w:name="_Toc301187644"/>
      <w:bookmarkStart w:id="243" w:name="_Toc359934582"/>
      <w:bookmarkStart w:id="244" w:name="_Toc303756385"/>
      <w:r>
        <w:rPr>
          <w:rFonts w:hint="eastAsia" w:ascii="宋体" w:hAnsi="宋体" w:cs="宋体"/>
          <w:b/>
          <w:bCs/>
          <w:color w:val="auto"/>
          <w:szCs w:val="21"/>
          <w:highlight w:val="none"/>
        </w:rPr>
        <w:t>4.5</w:t>
      </w:r>
      <w:bookmarkEnd w:id="239"/>
      <w:bookmarkEnd w:id="240"/>
      <w:bookmarkEnd w:id="241"/>
      <w:bookmarkEnd w:id="242"/>
      <w:bookmarkEnd w:id="243"/>
      <w:bookmarkEnd w:id="244"/>
      <w:bookmarkStart w:id="245" w:name="_Toc303756387"/>
      <w:bookmarkStart w:id="246" w:name="_Toc301187663"/>
      <w:bookmarkStart w:id="247" w:name="_Toc359934584"/>
      <w:bookmarkStart w:id="248" w:name="_Toc499128582"/>
      <w:bookmarkStart w:id="249" w:name="_Toc498327037"/>
      <w:bookmarkStart w:id="250" w:name="_Toc11304"/>
      <w:r>
        <w:rPr>
          <w:rFonts w:hint="eastAsia" w:ascii="宋体" w:hAnsi="宋体" w:cs="宋体"/>
          <w:b/>
          <w:bCs/>
          <w:color w:val="auto"/>
          <w:szCs w:val="21"/>
          <w:highlight w:val="none"/>
        </w:rPr>
        <w:t>响应文件的份数</w:t>
      </w:r>
      <w:bookmarkEnd w:id="245"/>
      <w:bookmarkEnd w:id="246"/>
      <w:bookmarkEnd w:id="247"/>
      <w:r>
        <w:rPr>
          <w:rFonts w:hint="eastAsia" w:ascii="宋体" w:hAnsi="宋体" w:cs="宋体"/>
          <w:b/>
          <w:bCs/>
          <w:color w:val="auto"/>
          <w:szCs w:val="21"/>
          <w:highlight w:val="none"/>
        </w:rPr>
        <w:t>和签署</w:t>
      </w:r>
      <w:bookmarkEnd w:id="248"/>
      <w:bookmarkEnd w:id="249"/>
      <w:bookmarkEnd w:id="250"/>
    </w:p>
    <w:p>
      <w:pPr>
        <w:spacing w:line="440" w:lineRule="exact"/>
        <w:ind w:firstLine="420" w:firstLineChars="200"/>
        <w:rPr>
          <w:rFonts w:ascii="宋体" w:hAnsi="宋体" w:cs="宋体"/>
          <w:color w:val="auto"/>
          <w:szCs w:val="21"/>
          <w:highlight w:val="none"/>
        </w:rPr>
      </w:pPr>
      <w:bookmarkStart w:id="251" w:name="_Toc301187668"/>
      <w:r>
        <w:rPr>
          <w:rFonts w:hint="eastAsia" w:ascii="宋体" w:hAnsi="宋体" w:cs="宋体"/>
          <w:color w:val="auto"/>
          <w:szCs w:val="21"/>
          <w:highlight w:val="none"/>
        </w:rPr>
        <w:t>4.5.1响应文件的份数：见供应商须知前附表。未按要求提供的做无效标处理。</w:t>
      </w:r>
    </w:p>
    <w:p>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4.5.2</w:t>
      </w:r>
      <w:r>
        <w:rPr>
          <w:rFonts w:hint="eastAsia" w:ascii="宋体" w:hAnsi="宋体" w:cs="宋体"/>
          <w:b/>
          <w:bCs/>
          <w:color w:val="auto"/>
          <w:szCs w:val="21"/>
          <w:highlight w:val="none"/>
        </w:rPr>
        <w:t>电子响应文件所有加盖公章处则采用CA签章。CA签章流程详见（电子招投标操作指南网址：</w:t>
      </w:r>
      <w:r>
        <w:rPr>
          <w:color w:val="auto"/>
          <w:highlight w:val="none"/>
        </w:rPr>
        <w:fldChar w:fldCharType="begin"/>
      </w:r>
      <w:r>
        <w:rPr>
          <w:color w:val="auto"/>
          <w:highlight w:val="none"/>
        </w:rPr>
        <w:instrText xml:space="preserve"> HYPERLINK "http://www.qingtian.gov.cn/cgtb/zxdt/202002/t20200228_4372050.html）。" </w:instrText>
      </w:r>
      <w:r>
        <w:rPr>
          <w:color w:val="auto"/>
          <w:highlight w:val="none"/>
        </w:rPr>
        <w:fldChar w:fldCharType="separate"/>
      </w:r>
      <w:r>
        <w:rPr>
          <w:rStyle w:val="49"/>
          <w:rFonts w:hint="eastAsia" w:ascii="宋体" w:hAnsi="宋体" w:cs="宋体"/>
          <w:b/>
          <w:bCs/>
          <w:color w:val="auto"/>
          <w:szCs w:val="21"/>
          <w:highlight w:val="none"/>
        </w:rPr>
        <w:t>http://www.qingtian.gov.cn/cgtb/zxdt/202002/t20200228_4372050.html）</w:t>
      </w:r>
      <w:r>
        <w:rPr>
          <w:rStyle w:val="49"/>
          <w:rFonts w:hint="eastAsia" w:ascii="宋体" w:hAnsi="宋体" w:cs="宋体"/>
          <w:color w:val="auto"/>
          <w:szCs w:val="21"/>
          <w:highlight w:val="none"/>
        </w:rPr>
        <w:t>。</w:t>
      </w:r>
      <w:r>
        <w:rPr>
          <w:rStyle w:val="49"/>
          <w:rFonts w:hint="eastAsia" w:ascii="宋体" w:hAnsi="宋体" w:cs="宋体"/>
          <w:color w:val="auto"/>
          <w:szCs w:val="21"/>
          <w:highlight w:val="none"/>
        </w:rPr>
        <w:fldChar w:fldCharType="end"/>
      </w:r>
    </w:p>
    <w:bookmarkEnd w:id="251"/>
    <w:p>
      <w:pPr>
        <w:spacing w:line="440" w:lineRule="exact"/>
        <w:jc w:val="left"/>
        <w:outlineLvl w:val="2"/>
        <w:rPr>
          <w:rFonts w:ascii="宋体" w:hAnsi="宋体" w:cs="宋体"/>
          <w:b/>
          <w:bCs/>
          <w:color w:val="auto"/>
          <w:szCs w:val="21"/>
          <w:highlight w:val="none"/>
        </w:rPr>
      </w:pPr>
      <w:bookmarkStart w:id="252" w:name="_Toc1230"/>
      <w:r>
        <w:rPr>
          <w:rFonts w:hint="eastAsia" w:ascii="宋体" w:hAnsi="宋体" w:cs="宋体"/>
          <w:b/>
          <w:bCs/>
          <w:color w:val="auto"/>
          <w:szCs w:val="21"/>
          <w:highlight w:val="none"/>
        </w:rPr>
        <w:t>4.6</w:t>
      </w:r>
      <w:r>
        <w:rPr>
          <w:rFonts w:hint="eastAsia" w:ascii="宋体" w:hAnsi="宋体" w:cs="宋体"/>
          <w:b/>
          <w:bCs/>
          <w:color w:val="auto"/>
          <w:szCs w:val="21"/>
          <w:highlight w:val="none"/>
        </w:rPr>
        <w:tab/>
      </w:r>
      <w:r>
        <w:rPr>
          <w:rFonts w:hint="eastAsia" w:ascii="宋体" w:hAnsi="宋体" w:cs="宋体"/>
          <w:b/>
          <w:bCs/>
          <w:color w:val="auto"/>
          <w:szCs w:val="21"/>
          <w:highlight w:val="none"/>
        </w:rPr>
        <w:t>响应文件的形式和效力</w:t>
      </w:r>
      <w:bookmarkEnd w:id="252"/>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4.6.1响应文件形式为电子响应文件。</w:t>
      </w:r>
    </w:p>
    <w:p>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4.6.2本项目开评标均启用电子交易，在电子交易使用的电子响应文件具有相关法律效力。</w:t>
      </w:r>
    </w:p>
    <w:p>
      <w:pPr>
        <w:pStyle w:val="3"/>
        <w:spacing w:line="440" w:lineRule="exact"/>
        <w:rPr>
          <w:rFonts w:ascii="宋体" w:hAnsi="宋体" w:cs="宋体"/>
          <w:color w:val="auto"/>
          <w:szCs w:val="21"/>
          <w:highlight w:val="none"/>
        </w:rPr>
      </w:pPr>
      <w:bookmarkStart w:id="253" w:name="_Toc32744"/>
      <w:bookmarkStart w:id="254" w:name="_Toc359934585"/>
      <w:bookmarkStart w:id="255" w:name="_Toc499128583"/>
      <w:bookmarkStart w:id="256" w:name="_Toc303756388"/>
      <w:bookmarkStart w:id="257" w:name="_Toc301187669"/>
      <w:bookmarkStart w:id="258" w:name="_Toc20079"/>
      <w:bookmarkStart w:id="259" w:name="_Toc498327038"/>
      <w:bookmarkStart w:id="260" w:name="_Toc31581"/>
      <w:r>
        <w:rPr>
          <w:rFonts w:hint="eastAsia" w:ascii="宋体" w:hAnsi="宋体" w:cs="宋体"/>
          <w:color w:val="auto"/>
          <w:szCs w:val="21"/>
          <w:highlight w:val="none"/>
        </w:rPr>
        <w:t>5．响应文件的递交</w:t>
      </w:r>
      <w:bookmarkEnd w:id="253"/>
      <w:bookmarkEnd w:id="254"/>
      <w:bookmarkEnd w:id="255"/>
      <w:bookmarkEnd w:id="256"/>
      <w:bookmarkEnd w:id="257"/>
      <w:bookmarkEnd w:id="258"/>
      <w:bookmarkEnd w:id="259"/>
      <w:bookmarkEnd w:id="260"/>
    </w:p>
    <w:p>
      <w:pPr>
        <w:spacing w:line="440" w:lineRule="exact"/>
        <w:jc w:val="left"/>
        <w:outlineLvl w:val="2"/>
        <w:rPr>
          <w:rFonts w:ascii="宋体" w:hAnsi="宋体" w:cs="宋体"/>
          <w:b/>
          <w:bCs/>
          <w:color w:val="auto"/>
          <w:szCs w:val="21"/>
          <w:highlight w:val="none"/>
        </w:rPr>
      </w:pPr>
      <w:bookmarkStart w:id="261" w:name="_Toc301187670"/>
      <w:bookmarkStart w:id="262" w:name="_Toc498327039"/>
      <w:bookmarkStart w:id="263" w:name="_Toc499128584"/>
      <w:bookmarkStart w:id="264" w:name="_Toc359934586"/>
      <w:bookmarkStart w:id="265" w:name="_Toc303756389"/>
      <w:bookmarkStart w:id="266" w:name="_Toc17329"/>
      <w:r>
        <w:rPr>
          <w:rFonts w:hint="eastAsia" w:ascii="宋体" w:hAnsi="宋体" w:cs="宋体"/>
          <w:b/>
          <w:bCs/>
          <w:color w:val="auto"/>
          <w:szCs w:val="21"/>
          <w:highlight w:val="none"/>
        </w:rPr>
        <w:t>5.1响应文件包装</w:t>
      </w:r>
      <w:bookmarkEnd w:id="261"/>
      <w:bookmarkEnd w:id="262"/>
      <w:bookmarkEnd w:id="263"/>
      <w:bookmarkEnd w:id="264"/>
      <w:bookmarkEnd w:id="265"/>
      <w:bookmarkEnd w:id="266"/>
    </w:p>
    <w:p>
      <w:pPr>
        <w:spacing w:line="440" w:lineRule="exact"/>
        <w:ind w:firstLine="420" w:firstLineChars="200"/>
        <w:rPr>
          <w:rFonts w:ascii="宋体" w:hAnsi="宋体" w:cs="宋体"/>
          <w:color w:val="auto"/>
          <w:szCs w:val="21"/>
          <w:highlight w:val="none"/>
        </w:rPr>
      </w:pPr>
      <w:bookmarkStart w:id="267" w:name="_Toc301187673"/>
      <w:r>
        <w:rPr>
          <w:rFonts w:hint="eastAsia" w:ascii="宋体" w:hAnsi="宋体" w:cs="宋体"/>
          <w:color w:val="auto"/>
          <w:szCs w:val="21"/>
          <w:highlight w:val="none"/>
        </w:rPr>
        <w:t>5.1.1</w:t>
      </w:r>
      <w:r>
        <w:rPr>
          <w:rFonts w:hint="eastAsia" w:ascii="宋体" w:hAnsi="宋体" w:cs="宋体"/>
          <w:b/>
          <w:bCs/>
          <w:color w:val="auto"/>
          <w:szCs w:val="21"/>
          <w:highlight w:val="none"/>
        </w:rPr>
        <w:t>供应商应当按照资格审查文件、商务技术文件、报价文件三部分分别导入相应位置，各文件之间不得导错位置</w:t>
      </w:r>
      <w:r>
        <w:rPr>
          <w:rFonts w:hint="eastAsia" w:ascii="宋体" w:hAnsi="宋体" w:cs="宋体"/>
          <w:color w:val="auto"/>
          <w:szCs w:val="21"/>
          <w:highlight w:val="none"/>
        </w:rPr>
        <w:t>。</w:t>
      </w:r>
    </w:p>
    <w:bookmarkEnd w:id="267"/>
    <w:p>
      <w:pPr>
        <w:spacing w:line="440" w:lineRule="exact"/>
        <w:ind w:firstLine="420" w:firstLineChars="200"/>
        <w:rPr>
          <w:rFonts w:ascii="宋体" w:hAnsi="宋体" w:cs="宋体"/>
          <w:color w:val="auto"/>
          <w:szCs w:val="21"/>
          <w:highlight w:val="none"/>
        </w:rPr>
      </w:pPr>
      <w:bookmarkStart w:id="268" w:name="_Toc499128585"/>
      <w:bookmarkStart w:id="269" w:name="_Toc303756390"/>
      <w:bookmarkStart w:id="270" w:name="_Toc359934587"/>
      <w:bookmarkStart w:id="271" w:name="_Toc23054"/>
      <w:bookmarkStart w:id="272" w:name="_Toc498327040"/>
      <w:bookmarkStart w:id="273" w:name="_Toc301187682"/>
      <w:r>
        <w:rPr>
          <w:rFonts w:hint="eastAsia" w:ascii="宋体" w:hAnsi="宋体" w:cs="宋体"/>
          <w:color w:val="auto"/>
          <w:szCs w:val="21"/>
          <w:highlight w:val="none"/>
        </w:rPr>
        <w:t>5.1.2</w:t>
      </w:r>
      <w:r>
        <w:rPr>
          <w:rFonts w:hint="eastAsia" w:ascii="宋体" w:hAnsi="宋体" w:cs="宋体"/>
          <w:b/>
          <w:bCs/>
          <w:color w:val="auto"/>
          <w:szCs w:val="21"/>
          <w:highlight w:val="none"/>
        </w:rPr>
        <w:t>响应文件应当生成电子加密响应文件，生成电子加密响应文件具体操作详见（电子招投标操作指南网址：https://help.zcygov.cn/web/site_2/2018/12-28/2573.html）</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5.1.3</w:t>
      </w:r>
      <w:r>
        <w:rPr>
          <w:rFonts w:hint="eastAsia" w:ascii="宋体" w:hAnsi="宋体" w:cs="宋体"/>
          <w:b/>
          <w:bCs/>
          <w:color w:val="auto"/>
          <w:szCs w:val="21"/>
          <w:highlight w:val="none"/>
        </w:rPr>
        <w:t>不予接收的响应文件情形</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⑴</w:t>
      </w:r>
      <w:r>
        <w:rPr>
          <w:rFonts w:hint="eastAsia" w:ascii="宋体" w:hAnsi="宋体" w:cs="宋体"/>
          <w:color w:val="auto"/>
          <w:szCs w:val="21"/>
          <w:highlight w:val="none"/>
        </w:rPr>
        <w:fldChar w:fldCharType="end"/>
      </w:r>
      <w:r>
        <w:rPr>
          <w:rFonts w:hint="eastAsia" w:ascii="宋体" w:hAnsi="宋体" w:cs="宋体"/>
          <w:color w:val="auto"/>
          <w:szCs w:val="21"/>
          <w:highlight w:val="none"/>
        </w:rPr>
        <w:t>磋商截止时间前未完成传输的电子响应文件；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⑵</w:t>
      </w:r>
      <w:r>
        <w:rPr>
          <w:rFonts w:hint="eastAsia" w:ascii="宋体" w:hAnsi="宋体" w:cs="宋体"/>
          <w:color w:val="auto"/>
          <w:szCs w:val="21"/>
          <w:highlight w:val="none"/>
        </w:rPr>
        <w:fldChar w:fldCharType="end"/>
      </w:r>
      <w:r>
        <w:rPr>
          <w:rFonts w:hint="eastAsia" w:ascii="宋体" w:hAnsi="宋体" w:cs="宋体"/>
          <w:color w:val="auto"/>
          <w:szCs w:val="21"/>
          <w:highlight w:val="none"/>
        </w:rPr>
        <w:t>未生成加密的电子响应文件；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⑶在规定时间内未解密的电子响应文件，或者解密不成功未提供备份响应文件的。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5.1.4供应商所提交的响应文件不予退还。</w:t>
      </w:r>
    </w:p>
    <w:p>
      <w:pPr>
        <w:spacing w:line="440" w:lineRule="exact"/>
        <w:jc w:val="left"/>
        <w:outlineLvl w:val="2"/>
        <w:rPr>
          <w:rFonts w:ascii="宋体" w:hAnsi="宋体" w:cs="宋体"/>
          <w:b/>
          <w:bCs/>
          <w:color w:val="auto"/>
          <w:szCs w:val="21"/>
          <w:highlight w:val="none"/>
        </w:rPr>
      </w:pPr>
      <w:r>
        <w:rPr>
          <w:rFonts w:hint="eastAsia" w:ascii="宋体" w:hAnsi="宋体" w:cs="宋体"/>
          <w:b/>
          <w:bCs/>
          <w:color w:val="auto"/>
          <w:szCs w:val="21"/>
          <w:highlight w:val="none"/>
        </w:rPr>
        <w:t>5.2响应文件修改和撤回</w:t>
      </w:r>
      <w:bookmarkEnd w:id="268"/>
      <w:bookmarkEnd w:id="269"/>
      <w:bookmarkEnd w:id="270"/>
      <w:bookmarkEnd w:id="271"/>
      <w:bookmarkEnd w:id="272"/>
      <w:bookmarkEnd w:id="273"/>
    </w:p>
    <w:p>
      <w:pPr>
        <w:spacing w:line="440" w:lineRule="exact"/>
        <w:ind w:firstLine="422" w:firstLineChars="200"/>
        <w:rPr>
          <w:rFonts w:ascii="宋体" w:hAnsi="宋体" w:cs="宋体"/>
          <w:b/>
          <w:bCs/>
          <w:color w:val="auto"/>
          <w:szCs w:val="21"/>
          <w:highlight w:val="none"/>
        </w:rPr>
      </w:pPr>
      <w:bookmarkStart w:id="274" w:name="_Toc303756391"/>
      <w:bookmarkStart w:id="275" w:name="_Toc498327041"/>
      <w:bookmarkStart w:id="276" w:name="_Toc359934588"/>
      <w:bookmarkStart w:id="277" w:name="_Toc499128586"/>
      <w:bookmarkStart w:id="278" w:name="_Toc21854"/>
      <w:bookmarkStart w:id="279" w:name="_Toc301187684"/>
      <w:r>
        <w:rPr>
          <w:rFonts w:hint="eastAsia" w:ascii="宋体" w:hAnsi="宋体" w:cs="宋体"/>
          <w:b/>
          <w:bCs/>
          <w:color w:val="auto"/>
          <w:szCs w:val="21"/>
          <w:highlight w:val="none"/>
        </w:rPr>
        <w:t>5.2.1供应商在磋商截止时间之前，</w:t>
      </w:r>
      <w:bookmarkEnd w:id="274"/>
      <w:bookmarkEnd w:id="275"/>
      <w:bookmarkEnd w:id="276"/>
      <w:bookmarkEnd w:id="277"/>
      <w:bookmarkEnd w:id="278"/>
      <w:bookmarkEnd w:id="279"/>
      <w:r>
        <w:rPr>
          <w:rFonts w:hint="eastAsia" w:ascii="宋体" w:hAnsi="宋体" w:cs="宋体"/>
          <w:b/>
          <w:bCs/>
          <w:color w:val="auto"/>
          <w:szCs w:val="21"/>
          <w:highlight w:val="none"/>
        </w:rPr>
        <w:t>可以对已提交的电子响应文件进行补充、修改或撤回。补充、修改后的电子响应文件应当重新生成加密的电子响应文件并重新上传提交。</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5.2.2补充、修改后重新提交的电子响应文件应按竞争性磋商文件的规定编制、导入、加密和提交。</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5.2.2磋商截止时间后，供应商不得修改、撤回已提交的电子响应文件。</w:t>
      </w:r>
    </w:p>
    <w:p>
      <w:pPr>
        <w:spacing w:line="440" w:lineRule="exact"/>
        <w:jc w:val="left"/>
        <w:outlineLvl w:val="2"/>
        <w:rPr>
          <w:rFonts w:ascii="宋体" w:hAnsi="宋体" w:cs="宋体"/>
          <w:b/>
          <w:bCs/>
          <w:color w:val="auto"/>
          <w:szCs w:val="21"/>
          <w:highlight w:val="none"/>
        </w:rPr>
      </w:pPr>
      <w:r>
        <w:rPr>
          <w:rFonts w:hint="eastAsia" w:ascii="宋体" w:hAnsi="宋体" w:cs="宋体"/>
          <w:b/>
          <w:bCs/>
          <w:color w:val="auto"/>
          <w:szCs w:val="21"/>
          <w:highlight w:val="none"/>
        </w:rPr>
        <w:t>5.3响应文件提交地点和截止时间</w:t>
      </w:r>
    </w:p>
    <w:p>
      <w:pPr>
        <w:spacing w:line="440" w:lineRule="exact"/>
        <w:ind w:firstLine="420" w:firstLineChars="200"/>
        <w:rPr>
          <w:rFonts w:ascii="宋体" w:hAnsi="宋体" w:cs="宋体"/>
          <w:color w:val="auto"/>
          <w:szCs w:val="21"/>
          <w:highlight w:val="none"/>
        </w:rPr>
      </w:pPr>
      <w:bookmarkStart w:id="280" w:name="_Toc301187685"/>
      <w:r>
        <w:rPr>
          <w:rFonts w:hint="eastAsia" w:ascii="宋体" w:hAnsi="宋体" w:cs="宋体"/>
          <w:color w:val="auto"/>
          <w:szCs w:val="21"/>
          <w:highlight w:val="none"/>
        </w:rPr>
        <w:t>5.3.1</w:t>
      </w:r>
      <w:bookmarkEnd w:id="280"/>
      <w:r>
        <w:rPr>
          <w:rFonts w:hint="eastAsia" w:ascii="宋体" w:hAnsi="宋体" w:cs="宋体"/>
          <w:color w:val="auto"/>
          <w:szCs w:val="21"/>
          <w:highlight w:val="none"/>
        </w:rPr>
        <w:t>响应文件提交地点：见供应商须知前附表。</w:t>
      </w:r>
      <w:bookmarkStart w:id="281" w:name="_Toc301187686"/>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5.3.2响应文件提交截止时间：见供应商须知前附表。</w:t>
      </w:r>
      <w:bookmarkEnd w:id="281"/>
    </w:p>
    <w:p>
      <w:pPr>
        <w:spacing w:line="440" w:lineRule="exact"/>
        <w:jc w:val="left"/>
        <w:outlineLvl w:val="2"/>
        <w:rPr>
          <w:rFonts w:ascii="宋体" w:hAnsi="宋体" w:cs="宋体"/>
          <w:b/>
          <w:bCs/>
          <w:color w:val="auto"/>
          <w:szCs w:val="21"/>
          <w:highlight w:val="none"/>
        </w:rPr>
      </w:pPr>
      <w:bookmarkStart w:id="282" w:name="_Toc17127"/>
      <w:bookmarkStart w:id="283" w:name="_Toc499128587"/>
      <w:bookmarkStart w:id="284" w:name="_Toc498327042"/>
      <w:r>
        <w:rPr>
          <w:rFonts w:hint="eastAsia" w:ascii="宋体" w:hAnsi="宋体" w:cs="宋体"/>
          <w:b/>
          <w:bCs/>
          <w:color w:val="auto"/>
          <w:szCs w:val="21"/>
          <w:highlight w:val="none"/>
        </w:rPr>
        <w:t>5.4响应文件澄清、说明、补正</w:t>
      </w:r>
      <w:bookmarkEnd w:id="282"/>
      <w:bookmarkEnd w:id="283"/>
      <w:bookmarkEnd w:id="284"/>
    </w:p>
    <w:p>
      <w:pPr>
        <w:spacing w:line="440" w:lineRule="exact"/>
        <w:ind w:firstLine="420" w:firstLineChars="200"/>
        <w:rPr>
          <w:rFonts w:ascii="宋体" w:hAnsi="宋体" w:cs="宋体"/>
          <w:color w:val="auto"/>
          <w:szCs w:val="21"/>
          <w:highlight w:val="none"/>
        </w:rPr>
      </w:pPr>
      <w:bookmarkStart w:id="285" w:name="_Toc499128588"/>
      <w:bookmarkStart w:id="286" w:name="_Toc19403"/>
      <w:bookmarkStart w:id="287" w:name="_Toc303756392"/>
      <w:bookmarkStart w:id="288" w:name="_Toc359934589"/>
      <w:bookmarkStart w:id="289" w:name="_Toc498327043"/>
      <w:bookmarkStart w:id="290" w:name="_Toc301187688"/>
      <w:r>
        <w:rPr>
          <w:rFonts w:hint="eastAsia" w:ascii="宋体" w:hAnsi="宋体" w:cs="宋体"/>
          <w:color w:val="auto"/>
          <w:szCs w:val="21"/>
          <w:highlight w:val="none"/>
        </w:rPr>
        <w:t>5.4.1对于响应文件中含义不明确、同类问题表述不一致或者有明显文字和计算错误的内容，磋商小组通过政采云平台要求供应商作出必要的澄清、说明或者补正。</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5.4.2供应商的澄清、说明或者补正均采用政采云平台交换数据电文，</w:t>
      </w:r>
      <w:r>
        <w:rPr>
          <w:rFonts w:hint="eastAsia" w:ascii="宋体" w:hAnsi="宋体" w:cs="宋体"/>
          <w:b/>
          <w:bCs/>
          <w:color w:val="auto"/>
          <w:szCs w:val="21"/>
          <w:highlight w:val="none"/>
        </w:rPr>
        <w:t>供应商提交的澄清、说明或补正的时间为30分钟（供应商务必在线等待，及时在线澄清、说明或补正）</w:t>
      </w:r>
      <w:r>
        <w:rPr>
          <w:rFonts w:hint="eastAsia" w:ascii="宋体" w:hAnsi="宋体" w:cs="宋体"/>
          <w:color w:val="auto"/>
          <w:szCs w:val="21"/>
          <w:highlight w:val="none"/>
        </w:rPr>
        <w:t>。供应商的澄清、说明或者补正不得超出竞争性磋商文件的范围或者改变响应文件的实质性内容。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5.4.3不接受供应商主动对响应文件的澄清、说明或者补正。</w:t>
      </w:r>
    </w:p>
    <w:p>
      <w:pPr>
        <w:pStyle w:val="3"/>
        <w:spacing w:line="440" w:lineRule="exact"/>
        <w:rPr>
          <w:rFonts w:ascii="宋体" w:hAnsi="宋体" w:cs="宋体"/>
          <w:color w:val="auto"/>
          <w:szCs w:val="21"/>
          <w:highlight w:val="none"/>
        </w:rPr>
      </w:pPr>
      <w:bookmarkStart w:id="291" w:name="_Toc4951"/>
      <w:bookmarkStart w:id="292" w:name="_Toc29135"/>
      <w:r>
        <w:rPr>
          <w:rFonts w:hint="eastAsia" w:ascii="宋体" w:hAnsi="宋体" w:cs="宋体"/>
          <w:color w:val="auto"/>
          <w:szCs w:val="21"/>
          <w:highlight w:val="none"/>
        </w:rPr>
        <w:t>6．磋商无效情形</w:t>
      </w:r>
      <w:bookmarkEnd w:id="285"/>
      <w:bookmarkEnd w:id="286"/>
      <w:bookmarkEnd w:id="287"/>
      <w:bookmarkEnd w:id="288"/>
      <w:bookmarkEnd w:id="289"/>
      <w:bookmarkEnd w:id="290"/>
      <w:bookmarkEnd w:id="291"/>
      <w:bookmarkEnd w:id="292"/>
    </w:p>
    <w:p>
      <w:pPr>
        <w:spacing w:line="440" w:lineRule="exact"/>
        <w:ind w:firstLine="420" w:firstLineChars="200"/>
        <w:rPr>
          <w:rFonts w:ascii="宋体" w:hAnsi="宋体" w:cs="宋体"/>
          <w:color w:val="auto"/>
          <w:szCs w:val="21"/>
          <w:highlight w:val="none"/>
        </w:rPr>
      </w:pPr>
      <w:bookmarkStart w:id="293" w:name="_Toc301187689"/>
      <w:r>
        <w:rPr>
          <w:rFonts w:hint="eastAsia" w:ascii="宋体" w:hAnsi="宋体" w:cs="宋体"/>
          <w:color w:val="auto"/>
          <w:szCs w:val="21"/>
          <w:highlight w:val="none"/>
        </w:rPr>
        <w:t>实质上没有响应竞争性磋商文件要求的磋商将被视为无效标。</w:t>
      </w:r>
      <w:bookmarkEnd w:id="293"/>
    </w:p>
    <w:p>
      <w:pPr>
        <w:spacing w:line="440" w:lineRule="exact"/>
        <w:jc w:val="left"/>
        <w:outlineLvl w:val="2"/>
        <w:rPr>
          <w:rFonts w:ascii="宋体" w:hAnsi="宋体" w:cs="宋体"/>
          <w:b/>
          <w:bCs/>
          <w:color w:val="auto"/>
          <w:szCs w:val="21"/>
          <w:highlight w:val="none"/>
        </w:rPr>
      </w:pPr>
      <w:bookmarkStart w:id="294" w:name="_Toc499128589"/>
      <w:bookmarkStart w:id="295" w:name="_Toc498327044"/>
      <w:bookmarkStart w:id="296" w:name="_Toc11477"/>
      <w:bookmarkStart w:id="297" w:name="_Toc301187690"/>
      <w:r>
        <w:rPr>
          <w:rFonts w:hint="eastAsia" w:ascii="宋体" w:hAnsi="宋体" w:cs="宋体"/>
          <w:b/>
          <w:bCs/>
          <w:color w:val="auto"/>
          <w:szCs w:val="21"/>
          <w:highlight w:val="none"/>
        </w:rPr>
        <w:t>6.1在符合性审查时，如发现下列情形之一的，响应文件将被视为无效</w:t>
      </w:r>
      <w:bookmarkEnd w:id="294"/>
      <w:bookmarkEnd w:id="295"/>
      <w:bookmarkEnd w:id="296"/>
      <w:bookmarkEnd w:id="297"/>
    </w:p>
    <w:p>
      <w:pPr>
        <w:spacing w:line="440" w:lineRule="exact"/>
        <w:ind w:firstLine="420" w:firstLineChars="200"/>
        <w:rPr>
          <w:rFonts w:ascii="宋体" w:hAnsi="宋体" w:cs="宋体"/>
          <w:color w:val="auto"/>
          <w:szCs w:val="21"/>
          <w:highlight w:val="none"/>
        </w:rPr>
      </w:pPr>
      <w:bookmarkStart w:id="298" w:name="_Toc301187693"/>
      <w:r>
        <w:rPr>
          <w:rFonts w:hint="eastAsia" w:ascii="宋体" w:hAnsi="宋体" w:cs="宋体"/>
          <w:color w:val="auto"/>
          <w:szCs w:val="21"/>
          <w:highlight w:val="none"/>
        </w:rPr>
        <w:t>（1）供应商未按竞争性磋商文件规定进行签章的；</w:t>
      </w:r>
      <w:bookmarkEnd w:id="298"/>
    </w:p>
    <w:p>
      <w:pPr>
        <w:spacing w:line="440" w:lineRule="exact"/>
        <w:ind w:firstLine="420" w:firstLineChars="200"/>
        <w:rPr>
          <w:rFonts w:ascii="宋体" w:hAnsi="宋体" w:cs="宋体"/>
          <w:color w:val="auto"/>
          <w:szCs w:val="21"/>
          <w:highlight w:val="none"/>
        </w:rPr>
      </w:pPr>
      <w:bookmarkStart w:id="299" w:name="_Toc301187695"/>
      <w:r>
        <w:rPr>
          <w:rFonts w:hint="eastAsia" w:ascii="宋体" w:hAnsi="宋体" w:cs="宋体"/>
          <w:color w:val="auto"/>
          <w:szCs w:val="21"/>
          <w:highlight w:val="none"/>
        </w:rPr>
        <w:t>（2）响应文件未按竞争性磋商文件要求提供相关内容的，或者内容虚假的；</w:t>
      </w:r>
      <w:bookmarkEnd w:id="299"/>
    </w:p>
    <w:p>
      <w:pPr>
        <w:spacing w:line="440" w:lineRule="exact"/>
        <w:ind w:firstLine="420" w:firstLineChars="200"/>
        <w:rPr>
          <w:rFonts w:ascii="宋体" w:hAnsi="宋体" w:cs="宋体"/>
          <w:color w:val="auto"/>
          <w:szCs w:val="21"/>
          <w:highlight w:val="none"/>
        </w:rPr>
      </w:pPr>
      <w:bookmarkStart w:id="300" w:name="_Toc301187696"/>
      <w:r>
        <w:rPr>
          <w:rFonts w:hint="eastAsia" w:ascii="宋体" w:hAnsi="宋体" w:cs="宋体"/>
          <w:color w:val="auto"/>
          <w:szCs w:val="21"/>
          <w:highlight w:val="none"/>
        </w:rPr>
        <w:t>（3）响应文件的实质性内容未使用中文表述、意思表述不明确、前后矛盾或者使用计量单位不符合竞争性磋商文件要求的（经磋商小组认定并允许其当场更正的笔误除外）</w:t>
      </w:r>
      <w:bookmarkEnd w:id="300"/>
      <w:r>
        <w:rPr>
          <w:rFonts w:hint="eastAsia" w:ascii="宋体" w:hAnsi="宋体" w:cs="宋体"/>
          <w:color w:val="auto"/>
          <w:szCs w:val="21"/>
          <w:highlight w:val="none"/>
        </w:rPr>
        <w:t>；</w:t>
      </w:r>
    </w:p>
    <w:p>
      <w:pPr>
        <w:spacing w:line="440" w:lineRule="exact"/>
        <w:ind w:firstLine="422" w:firstLineChars="200"/>
        <w:rPr>
          <w:rFonts w:ascii="宋体" w:hAnsi="宋体" w:cs="宋体"/>
          <w:b/>
          <w:bCs/>
          <w:color w:val="auto"/>
          <w:szCs w:val="21"/>
          <w:highlight w:val="none"/>
        </w:rPr>
      </w:pPr>
      <w:bookmarkStart w:id="301" w:name="_Toc301187697"/>
      <w:r>
        <w:rPr>
          <w:rFonts w:hint="eastAsia" w:ascii="宋体" w:hAnsi="宋体" w:cs="宋体"/>
          <w:b/>
          <w:bCs/>
          <w:color w:val="auto"/>
          <w:szCs w:val="21"/>
          <w:highlight w:val="none"/>
        </w:rPr>
        <w:t>（4）磋商有效期、工期、质保期等商务条款不能满足竞争性磋商文件要求的；</w:t>
      </w:r>
      <w:bookmarkEnd w:id="301"/>
    </w:p>
    <w:p>
      <w:pPr>
        <w:spacing w:line="440" w:lineRule="exact"/>
        <w:ind w:firstLine="420" w:firstLineChars="200"/>
        <w:rPr>
          <w:rFonts w:ascii="宋体" w:hAnsi="宋体" w:cs="宋体"/>
          <w:color w:val="auto"/>
          <w:szCs w:val="21"/>
          <w:highlight w:val="none"/>
        </w:rPr>
      </w:pPr>
      <w:bookmarkStart w:id="302" w:name="_Toc301187698"/>
      <w:r>
        <w:rPr>
          <w:rFonts w:hint="eastAsia" w:ascii="宋体" w:hAnsi="宋体" w:cs="宋体"/>
          <w:color w:val="auto"/>
          <w:szCs w:val="21"/>
          <w:highlight w:val="none"/>
        </w:rPr>
        <w:t>（5）未实质性响应竞争性磋商文件要求或者响应文件有采购人不能接受的附加条件的；</w:t>
      </w:r>
      <w:bookmarkEnd w:id="302"/>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（6）除报价文件外出现磋商报价的；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（7）法律、法规及竞争性磋商文件规定的其他无效情形。</w:t>
      </w:r>
    </w:p>
    <w:p>
      <w:pPr>
        <w:spacing w:line="440" w:lineRule="exact"/>
        <w:jc w:val="left"/>
        <w:outlineLvl w:val="2"/>
        <w:rPr>
          <w:rFonts w:ascii="宋体" w:hAnsi="宋体" w:cs="宋体"/>
          <w:b/>
          <w:bCs/>
          <w:color w:val="auto"/>
          <w:szCs w:val="21"/>
          <w:highlight w:val="none"/>
        </w:rPr>
      </w:pPr>
      <w:bookmarkStart w:id="303" w:name="_Toc1544"/>
      <w:bookmarkStart w:id="304" w:name="_Toc301187699"/>
      <w:bookmarkStart w:id="305" w:name="_Toc499128590"/>
      <w:bookmarkStart w:id="306" w:name="_Toc498327045"/>
      <w:r>
        <w:rPr>
          <w:rFonts w:hint="eastAsia" w:ascii="宋体" w:hAnsi="宋体" w:cs="宋体"/>
          <w:b/>
          <w:bCs/>
          <w:color w:val="auto"/>
          <w:szCs w:val="21"/>
          <w:highlight w:val="none"/>
        </w:rPr>
        <w:t>6.2在技术评审时，如发现下列情形之一的，响应文件将被视为无效</w:t>
      </w:r>
      <w:bookmarkEnd w:id="303"/>
      <w:bookmarkEnd w:id="304"/>
      <w:bookmarkEnd w:id="305"/>
      <w:bookmarkEnd w:id="306"/>
    </w:p>
    <w:p>
      <w:pPr>
        <w:spacing w:line="440" w:lineRule="exact"/>
        <w:ind w:firstLine="420" w:firstLineChars="200"/>
        <w:rPr>
          <w:rFonts w:ascii="宋体" w:hAnsi="宋体" w:cs="宋体"/>
          <w:color w:val="auto"/>
          <w:szCs w:val="21"/>
          <w:highlight w:val="none"/>
        </w:rPr>
      </w:pPr>
      <w:bookmarkStart w:id="307" w:name="_Toc301187700"/>
      <w:r>
        <w:rPr>
          <w:rFonts w:hint="eastAsia" w:ascii="宋体" w:hAnsi="宋体" w:cs="宋体"/>
          <w:color w:val="auto"/>
          <w:szCs w:val="21"/>
          <w:highlight w:val="none"/>
        </w:rPr>
        <w:t>（1）未提供或未如实提供磋商货物的技术参数，或者响应文件标明的响应或偏离与事实不符或虚假响应的；</w:t>
      </w:r>
      <w:bookmarkEnd w:id="307"/>
    </w:p>
    <w:p>
      <w:pPr>
        <w:spacing w:line="440" w:lineRule="exact"/>
        <w:ind w:firstLine="420" w:firstLineChars="200"/>
        <w:rPr>
          <w:rFonts w:ascii="宋体" w:hAnsi="宋体" w:cs="宋体"/>
          <w:color w:val="auto"/>
          <w:szCs w:val="21"/>
          <w:highlight w:val="none"/>
        </w:rPr>
      </w:pPr>
      <w:bookmarkStart w:id="308" w:name="_Toc301187701"/>
      <w:r>
        <w:rPr>
          <w:rFonts w:hint="eastAsia" w:ascii="宋体" w:hAnsi="宋体" w:cs="宋体"/>
          <w:color w:val="auto"/>
          <w:szCs w:val="21"/>
          <w:highlight w:val="none"/>
        </w:rPr>
        <w:t>（2）明显不符合竞争性磋商文件要求的规格型号、质量标准，或者与竞争性磋商文件中标“▲”的技术指标、主要功能项目发生实质性负偏离的；</w:t>
      </w:r>
      <w:bookmarkEnd w:id="308"/>
    </w:p>
    <w:p>
      <w:pPr>
        <w:spacing w:line="440" w:lineRule="exact"/>
        <w:ind w:firstLine="420" w:firstLineChars="200"/>
        <w:rPr>
          <w:rFonts w:ascii="宋体" w:hAnsi="宋体" w:cs="宋体"/>
          <w:color w:val="auto"/>
          <w:szCs w:val="21"/>
          <w:highlight w:val="none"/>
        </w:rPr>
      </w:pPr>
      <w:bookmarkStart w:id="309" w:name="_Toc301187702"/>
      <w:r>
        <w:rPr>
          <w:rFonts w:hint="eastAsia" w:ascii="宋体" w:hAnsi="宋体" w:cs="宋体"/>
          <w:color w:val="auto"/>
          <w:szCs w:val="21"/>
          <w:highlight w:val="none"/>
        </w:rPr>
        <w:t>（3）</w:t>
      </w:r>
      <w:bookmarkEnd w:id="309"/>
      <w:r>
        <w:rPr>
          <w:rFonts w:hint="eastAsia" w:ascii="宋体" w:hAnsi="宋体" w:cs="宋体"/>
          <w:color w:val="auto"/>
          <w:szCs w:val="21"/>
          <w:highlight w:val="none"/>
        </w:rPr>
        <w:t>技术方案不明确，存在一个或一个以上备选（替代）技术方案的；</w:t>
      </w:r>
    </w:p>
    <w:p>
      <w:pPr>
        <w:spacing w:line="440" w:lineRule="exact"/>
        <w:ind w:firstLine="420" w:firstLineChars="200"/>
        <w:rPr>
          <w:rFonts w:ascii="宋体" w:hAnsi="宋体" w:cs="宋体"/>
          <w:color w:val="auto"/>
          <w:szCs w:val="21"/>
          <w:highlight w:val="none"/>
        </w:rPr>
      </w:pPr>
      <w:bookmarkStart w:id="310" w:name="_Toc301187703"/>
      <w:r>
        <w:rPr>
          <w:rFonts w:hint="eastAsia" w:ascii="宋体" w:hAnsi="宋体" w:cs="宋体"/>
          <w:color w:val="auto"/>
          <w:szCs w:val="21"/>
          <w:highlight w:val="none"/>
        </w:rPr>
        <w:t>（4）</w:t>
      </w:r>
      <w:bookmarkEnd w:id="310"/>
      <w:r>
        <w:rPr>
          <w:rFonts w:hint="eastAsia" w:ascii="宋体" w:hAnsi="宋体" w:cs="宋体"/>
          <w:color w:val="auto"/>
          <w:szCs w:val="21"/>
          <w:highlight w:val="none"/>
        </w:rPr>
        <w:t>与其他参加本项目供应商的响应文件（技术文件）的文字表述内容相同连续20行以上或者差错相同2处以上的。</w:t>
      </w:r>
    </w:p>
    <w:p>
      <w:pPr>
        <w:spacing w:line="440" w:lineRule="exact"/>
        <w:jc w:val="left"/>
        <w:outlineLvl w:val="2"/>
        <w:rPr>
          <w:rFonts w:ascii="宋体" w:hAnsi="宋体" w:cs="宋体"/>
          <w:b/>
          <w:bCs/>
          <w:color w:val="auto"/>
          <w:szCs w:val="21"/>
          <w:highlight w:val="none"/>
        </w:rPr>
      </w:pPr>
      <w:bookmarkStart w:id="311" w:name="_Toc498327046"/>
      <w:bookmarkStart w:id="312" w:name="_Toc301187705"/>
      <w:bookmarkStart w:id="313" w:name="_Toc499128591"/>
      <w:bookmarkStart w:id="314" w:name="_Toc30507"/>
      <w:r>
        <w:rPr>
          <w:rFonts w:hint="eastAsia" w:ascii="宋体" w:hAnsi="宋体" w:cs="宋体"/>
          <w:b/>
          <w:bCs/>
          <w:color w:val="auto"/>
          <w:szCs w:val="21"/>
          <w:highlight w:val="none"/>
        </w:rPr>
        <w:t>6.3在报价评审时，如发现下列情形之一的，响应文件将被视为无效</w:t>
      </w:r>
      <w:bookmarkEnd w:id="311"/>
      <w:bookmarkEnd w:id="312"/>
      <w:bookmarkEnd w:id="313"/>
      <w:bookmarkEnd w:id="314"/>
    </w:p>
    <w:p>
      <w:pPr>
        <w:spacing w:line="440" w:lineRule="exact"/>
        <w:ind w:firstLine="420" w:firstLineChars="200"/>
        <w:rPr>
          <w:rFonts w:ascii="宋体" w:hAnsi="宋体" w:cs="宋体"/>
          <w:color w:val="auto"/>
          <w:szCs w:val="21"/>
          <w:highlight w:val="none"/>
        </w:rPr>
      </w:pPr>
      <w:bookmarkStart w:id="315" w:name="_Toc301187706"/>
      <w:r>
        <w:rPr>
          <w:rFonts w:hint="eastAsia" w:ascii="宋体" w:hAnsi="宋体" w:cs="宋体"/>
          <w:color w:val="auto"/>
          <w:szCs w:val="21"/>
          <w:highlight w:val="none"/>
        </w:rPr>
        <w:t>（1）未采用人民币报价或者未按照竞争性磋商文件标明的币种报价的；</w:t>
      </w:r>
      <w:bookmarkEnd w:id="315"/>
    </w:p>
    <w:p>
      <w:pPr>
        <w:spacing w:line="440" w:lineRule="exact"/>
        <w:ind w:firstLine="420" w:firstLineChars="200"/>
        <w:rPr>
          <w:rFonts w:ascii="宋体" w:hAnsi="宋体" w:cs="宋体"/>
          <w:color w:val="auto"/>
          <w:szCs w:val="21"/>
          <w:highlight w:val="none"/>
        </w:rPr>
      </w:pPr>
      <w:bookmarkStart w:id="316" w:name="_Toc301187707"/>
      <w:r>
        <w:rPr>
          <w:rFonts w:hint="eastAsia" w:ascii="宋体" w:hAnsi="宋体" w:cs="宋体"/>
          <w:color w:val="auto"/>
          <w:szCs w:val="21"/>
          <w:highlight w:val="none"/>
        </w:rPr>
        <w:t>（2）报价超出最高限价，或者超出采购预算金额，采购人不能支付的；</w:t>
      </w:r>
      <w:bookmarkEnd w:id="316"/>
    </w:p>
    <w:p>
      <w:pPr>
        <w:spacing w:line="440" w:lineRule="exact"/>
        <w:ind w:firstLine="420" w:firstLineChars="200"/>
        <w:rPr>
          <w:rFonts w:ascii="宋体" w:hAnsi="宋体" w:cs="宋体"/>
          <w:color w:val="auto"/>
          <w:szCs w:val="21"/>
          <w:highlight w:val="none"/>
        </w:rPr>
      </w:pPr>
      <w:bookmarkStart w:id="317" w:name="_Toc301187708"/>
      <w:r>
        <w:rPr>
          <w:rFonts w:hint="eastAsia" w:ascii="宋体" w:hAnsi="宋体" w:cs="宋体"/>
          <w:color w:val="auto"/>
          <w:szCs w:val="21"/>
          <w:highlight w:val="none"/>
        </w:rPr>
        <w:t>（3）磋商报价具有选择性，或者磋商价格与响应文件承诺的优惠价格不一致的；</w:t>
      </w:r>
      <w:bookmarkEnd w:id="317"/>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（4）报价文件内容与对应技术文件内容不一致的，或者出现重大偏离的；</w:t>
      </w:r>
    </w:p>
    <w:p>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（5）</w:t>
      </w:r>
      <w:r>
        <w:rPr>
          <w:rFonts w:hint="eastAsia" w:ascii="宋体" w:hAnsi="宋体" w:cs="宋体"/>
          <w:b/>
          <w:bCs/>
          <w:color w:val="auto"/>
          <w:szCs w:val="21"/>
          <w:highlight w:val="none"/>
        </w:rPr>
        <w:t>报价明显低于其他通过符合性审查供应商的报价，有可能影响产品质量或者不能诚信履约的，未在磋商现场合理的时间</w:t>
      </w:r>
      <w:r>
        <w:rPr>
          <w:rFonts w:hint="eastAsia" w:ascii="宋体" w:hAnsi="宋体" w:cs="宋体"/>
          <w:b/>
          <w:color w:val="auto"/>
          <w:szCs w:val="21"/>
          <w:highlight w:val="none"/>
        </w:rPr>
        <w:t>内通过政采云平台交换数据电文</w:t>
      </w:r>
      <w:r>
        <w:rPr>
          <w:rFonts w:hint="eastAsia" w:ascii="宋体" w:hAnsi="宋体" w:cs="宋体"/>
          <w:b/>
          <w:bCs/>
          <w:color w:val="auto"/>
          <w:szCs w:val="21"/>
          <w:highlight w:val="none"/>
        </w:rPr>
        <w:t>提供说明及证明材料来证明其报价合理性的。</w:t>
      </w:r>
    </w:p>
    <w:p>
      <w:pPr>
        <w:spacing w:line="440" w:lineRule="exact"/>
        <w:jc w:val="left"/>
        <w:outlineLvl w:val="2"/>
        <w:rPr>
          <w:rFonts w:ascii="宋体" w:hAnsi="宋体" w:cs="宋体"/>
          <w:b/>
          <w:bCs/>
          <w:color w:val="auto"/>
          <w:szCs w:val="21"/>
          <w:highlight w:val="none"/>
        </w:rPr>
      </w:pPr>
      <w:bookmarkStart w:id="318" w:name="_Toc6265"/>
      <w:bookmarkStart w:id="319" w:name="_Toc498327047"/>
      <w:bookmarkStart w:id="320" w:name="_Toc499128592"/>
      <w:r>
        <w:rPr>
          <w:rFonts w:hint="eastAsia" w:ascii="宋体" w:hAnsi="宋体" w:cs="宋体"/>
          <w:b/>
          <w:bCs/>
          <w:color w:val="auto"/>
          <w:szCs w:val="21"/>
          <w:highlight w:val="none"/>
        </w:rPr>
        <w:t>6.4有下列情形之一的，视为供应商串通磋商，其磋商无效</w:t>
      </w:r>
      <w:bookmarkEnd w:id="318"/>
      <w:bookmarkEnd w:id="319"/>
      <w:bookmarkEnd w:id="320"/>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（3）不同供应商的响应文件载明的项目管理成员或者联系人员为同一人；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（4）不同供应商的响应文件异常一致或者磋商报价呈规律性差异。</w:t>
      </w:r>
    </w:p>
    <w:p>
      <w:pPr>
        <w:spacing w:line="440" w:lineRule="exact"/>
        <w:jc w:val="left"/>
        <w:outlineLvl w:val="2"/>
        <w:rPr>
          <w:rFonts w:ascii="宋体" w:hAnsi="宋体" w:cs="宋体"/>
          <w:b/>
          <w:bCs/>
          <w:color w:val="auto"/>
          <w:szCs w:val="21"/>
          <w:highlight w:val="none"/>
        </w:rPr>
      </w:pPr>
      <w:bookmarkStart w:id="321" w:name="_Toc21917"/>
      <w:bookmarkStart w:id="322" w:name="_Toc499128593"/>
      <w:bookmarkStart w:id="323" w:name="_Toc498327048"/>
      <w:r>
        <w:rPr>
          <w:rFonts w:hint="eastAsia" w:ascii="宋体" w:hAnsi="宋体" w:cs="宋体"/>
          <w:b/>
          <w:bCs/>
          <w:color w:val="auto"/>
          <w:szCs w:val="21"/>
          <w:highlight w:val="none"/>
        </w:rPr>
        <w:t>6.5有下列情况之一的，其磋商无效</w:t>
      </w:r>
      <w:bookmarkEnd w:id="321"/>
      <w:bookmarkEnd w:id="322"/>
      <w:bookmarkEnd w:id="323"/>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（1）妨碍其他供应商的竞争行为；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（2）损害采购人或者其他供应商的合法权益。</w:t>
      </w:r>
    </w:p>
    <w:p>
      <w:pPr>
        <w:pStyle w:val="3"/>
        <w:spacing w:line="440" w:lineRule="exact"/>
        <w:rPr>
          <w:rFonts w:ascii="宋体" w:hAnsi="宋体" w:cs="宋体"/>
          <w:color w:val="auto"/>
          <w:szCs w:val="21"/>
          <w:highlight w:val="none"/>
        </w:rPr>
      </w:pPr>
      <w:bookmarkStart w:id="324" w:name="_Toc22161"/>
      <w:bookmarkStart w:id="325" w:name="_Toc12048"/>
      <w:bookmarkStart w:id="326" w:name="_Toc301187711"/>
      <w:bookmarkStart w:id="327" w:name="_Toc499128594"/>
      <w:bookmarkStart w:id="328" w:name="_Toc32119"/>
      <w:bookmarkStart w:id="329" w:name="_Toc303756393"/>
      <w:bookmarkStart w:id="330" w:name="_Toc498327049"/>
      <w:bookmarkStart w:id="331" w:name="_Toc359934590"/>
      <w:r>
        <w:rPr>
          <w:rFonts w:hint="eastAsia" w:ascii="宋体" w:hAnsi="宋体" w:cs="宋体"/>
          <w:color w:val="auto"/>
          <w:szCs w:val="21"/>
          <w:highlight w:val="none"/>
        </w:rPr>
        <w:t>7．磋商、磋商评审及定标</w:t>
      </w:r>
      <w:bookmarkEnd w:id="324"/>
      <w:bookmarkEnd w:id="325"/>
      <w:bookmarkEnd w:id="326"/>
      <w:bookmarkEnd w:id="327"/>
      <w:bookmarkEnd w:id="328"/>
      <w:bookmarkEnd w:id="329"/>
      <w:bookmarkEnd w:id="330"/>
      <w:bookmarkEnd w:id="331"/>
    </w:p>
    <w:p>
      <w:pPr>
        <w:spacing w:line="440" w:lineRule="exact"/>
        <w:jc w:val="left"/>
        <w:outlineLvl w:val="2"/>
        <w:rPr>
          <w:rFonts w:ascii="宋体" w:hAnsi="宋体" w:cs="宋体"/>
          <w:b/>
          <w:bCs/>
          <w:color w:val="auto"/>
          <w:szCs w:val="21"/>
          <w:highlight w:val="none"/>
        </w:rPr>
      </w:pPr>
      <w:bookmarkStart w:id="332" w:name="_Toc24776"/>
      <w:bookmarkStart w:id="333" w:name="_Toc498327053"/>
      <w:bookmarkStart w:id="334" w:name="_Toc303756397"/>
      <w:bookmarkStart w:id="335" w:name="_Toc301187730"/>
      <w:bookmarkStart w:id="336" w:name="_Toc359934594"/>
      <w:bookmarkStart w:id="337" w:name="_Toc499128598"/>
      <w:r>
        <w:rPr>
          <w:rFonts w:hint="eastAsia" w:ascii="宋体" w:hAnsi="宋体" w:cs="宋体"/>
          <w:b/>
          <w:bCs/>
          <w:color w:val="auto"/>
          <w:szCs w:val="21"/>
          <w:highlight w:val="none"/>
        </w:rPr>
        <w:t>7.1</w:t>
      </w:r>
      <w:bookmarkEnd w:id="332"/>
      <w:bookmarkEnd w:id="333"/>
      <w:bookmarkEnd w:id="334"/>
      <w:bookmarkEnd w:id="335"/>
      <w:bookmarkEnd w:id="336"/>
      <w:bookmarkEnd w:id="337"/>
      <w:r>
        <w:rPr>
          <w:rFonts w:hint="eastAsia" w:ascii="宋体" w:hAnsi="宋体" w:cs="宋体"/>
          <w:b/>
          <w:bCs/>
          <w:color w:val="auto"/>
          <w:szCs w:val="21"/>
          <w:highlight w:val="none"/>
        </w:rPr>
        <w:t>磋商</w:t>
      </w:r>
    </w:p>
    <w:p>
      <w:pPr>
        <w:spacing w:line="440" w:lineRule="exact"/>
        <w:ind w:firstLine="420" w:firstLineChars="200"/>
        <w:rPr>
          <w:rFonts w:ascii="宋体" w:hAnsi="宋体" w:cs="宋体"/>
          <w:color w:val="auto"/>
          <w:szCs w:val="21"/>
          <w:highlight w:val="none"/>
        </w:rPr>
      </w:pPr>
      <w:bookmarkStart w:id="338" w:name="_Toc301187731"/>
      <w:r>
        <w:rPr>
          <w:rFonts w:hint="eastAsia" w:ascii="宋体" w:hAnsi="宋体" w:cs="宋体"/>
          <w:color w:val="auto"/>
          <w:szCs w:val="21"/>
          <w:highlight w:val="none"/>
        </w:rPr>
        <w:t>7.1.1磋商时间和地点</w:t>
      </w:r>
      <w:bookmarkEnd w:id="338"/>
    </w:p>
    <w:p>
      <w:pPr>
        <w:spacing w:line="440" w:lineRule="exact"/>
        <w:ind w:firstLine="420" w:firstLineChars="200"/>
        <w:rPr>
          <w:rFonts w:ascii="宋体" w:hAnsi="宋体" w:cs="宋体"/>
          <w:color w:val="auto"/>
          <w:szCs w:val="21"/>
          <w:highlight w:val="none"/>
        </w:rPr>
      </w:pPr>
      <w:bookmarkStart w:id="339" w:name="_Toc301187732"/>
      <w:r>
        <w:rPr>
          <w:rFonts w:hint="eastAsia" w:ascii="宋体" w:hAnsi="宋体" w:cs="宋体"/>
          <w:color w:val="auto"/>
          <w:szCs w:val="21"/>
          <w:highlight w:val="none"/>
        </w:rPr>
        <w:t>采购人</w:t>
      </w:r>
      <w:bookmarkEnd w:id="339"/>
      <w:bookmarkStart w:id="340" w:name="_Toc301187733"/>
      <w:r>
        <w:rPr>
          <w:rFonts w:hint="eastAsia" w:ascii="宋体" w:hAnsi="宋体" w:cs="宋体"/>
          <w:color w:val="auto"/>
          <w:szCs w:val="21"/>
          <w:highlight w:val="none"/>
        </w:rPr>
        <w:t>在本章第5.3.2项规定的响应文件提交截止时间（磋商时间）和第5.3.1项规定的地点磋商。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7.1.2磋商准备</w:t>
      </w:r>
      <w:bookmarkEnd w:id="340"/>
    </w:p>
    <w:p>
      <w:pPr>
        <w:spacing w:line="440" w:lineRule="exact"/>
        <w:ind w:firstLine="422" w:firstLineChars="200"/>
        <w:rPr>
          <w:rFonts w:ascii="宋体" w:hAnsi="宋体" w:cs="宋体"/>
          <w:color w:val="auto"/>
          <w:kern w:val="0"/>
          <w:szCs w:val="21"/>
          <w:highlight w:val="none"/>
        </w:rPr>
      </w:pPr>
      <w:bookmarkStart w:id="341" w:name="_Toc301187735"/>
      <w:bookmarkStart w:id="342" w:name="_Toc303756398"/>
      <w:bookmarkStart w:id="343" w:name="_Toc301187747"/>
      <w:r>
        <w:rPr>
          <w:rFonts w:hint="eastAsia" w:ascii="宋体" w:hAnsi="宋体" w:cs="宋体"/>
          <w:b/>
          <w:color w:val="auto"/>
          <w:szCs w:val="21"/>
          <w:highlight w:val="none"/>
        </w:rPr>
        <w:t>本项目采用电子交易进行磋商、评审、询标，供应商均应准时在线参加，否则产生的风险由供应商自身承担（供应商务必不要离开电脑太久，并留意手机短信，建议供应商提前做好检查“政府采购云平台”内，关于“项目采购”的岗位权限是否勾选。如有问题，请致电400-881-7190）</w:t>
      </w:r>
      <w:r>
        <w:rPr>
          <w:rFonts w:hint="eastAsia" w:ascii="宋体" w:hAnsi="宋体" w:cs="宋体"/>
          <w:b/>
          <w:color w:val="auto"/>
          <w:kern w:val="0"/>
          <w:szCs w:val="21"/>
          <w:highlight w:val="none"/>
        </w:rPr>
        <w:t>。</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7.1.3开磋商评审程序</w:t>
      </w:r>
      <w:bookmarkEnd w:id="341"/>
    </w:p>
    <w:p>
      <w:pPr>
        <w:spacing w:line="440" w:lineRule="exact"/>
        <w:ind w:firstLine="420" w:firstLineChars="200"/>
        <w:rPr>
          <w:rFonts w:ascii="宋体" w:hAnsi="宋体" w:cs="宋体"/>
          <w:color w:val="auto"/>
          <w:kern w:val="0"/>
          <w:szCs w:val="21"/>
          <w:highlight w:val="none"/>
        </w:rPr>
      </w:pPr>
      <w:bookmarkStart w:id="344" w:name="_Toc301187746"/>
      <w:r>
        <w:rPr>
          <w:rFonts w:hint="eastAsia" w:ascii="宋体" w:hAnsi="宋体" w:cs="宋体"/>
          <w:color w:val="auto"/>
          <w:kern w:val="0"/>
          <w:szCs w:val="21"/>
          <w:highlight w:val="none"/>
        </w:rPr>
        <w:t>（1）宣布磋商纪律；</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（2）公布在响应文件提交截止时间前提交响应文件的供应商名称；</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（3）主持人宣布磋商会的人员姓名；</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供应商进行在线解密（解密时间为30分钟），未按时解密或解密未成功的，供应商应当在解密时间内向采购代理机构通过电子邮箱（1193974586@qq.com）提供备份响应文件</w:t>
      </w:r>
      <w:r>
        <w:rPr>
          <w:rFonts w:hint="eastAsia" w:ascii="宋体" w:hAnsi="宋体" w:cs="宋体"/>
          <w:color w:val="auto"/>
          <w:kern w:val="0"/>
          <w:szCs w:val="21"/>
          <w:highlight w:val="none"/>
        </w:rPr>
        <w:t>；</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（5）采购人对供应商进行资格审查；</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（6）主持人宣布通过资格审查的供应商名单；</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（7）磋商小组对响应文件进行符合性审查；</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（8）在有效供应商之间进行磋商，供应商提交磋商时的承诺及补充内容；</w:t>
      </w:r>
    </w:p>
    <w:p>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（9）磋商最多不超过三轮，后一轮报价不得高于前一轮报价；</w:t>
      </w:r>
    </w:p>
    <w:p>
      <w:pPr>
        <w:spacing w:line="44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（10）磋商小组对资信及商务标和技术标进行评审（包括打分）；</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采购代理机构开启标书信息，在线公布供应商名称、磋商报价及相关内容，同时开启签字时段（签字时段为开启签字后30分钟内），供应商应当及时确认无疑义后进行在线签字确认，否则自行承担风险。签字时段结束后，采购代理机构按照流程进入下步工作；</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w:t>
      </w:r>
      <w:r>
        <w:rPr>
          <w:rFonts w:hint="eastAsia" w:ascii="宋体" w:hAnsi="宋体" w:cs="宋体"/>
          <w:b/>
          <w:bCs/>
          <w:color w:val="auto"/>
          <w:kern w:val="0"/>
          <w:szCs w:val="21"/>
          <w:highlight w:val="none"/>
        </w:rPr>
        <w:t>开启各供应商提交的最后一轮报价，公布报价及其他内容，并记录在案</w:t>
      </w:r>
      <w:r>
        <w:rPr>
          <w:rFonts w:hint="eastAsia" w:ascii="宋体" w:hAnsi="宋体" w:cs="宋体"/>
          <w:color w:val="auto"/>
          <w:kern w:val="0"/>
          <w:szCs w:val="21"/>
          <w:highlight w:val="none"/>
        </w:rPr>
        <w:t>；</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（13）磋商小组对各供应商的报价文件进行审核（包括打分）；</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（14）主持人宣布报价标评审（得分）情况；</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（15）顺序排序：采用综合评分法的，则汇总各供应商得分并按得分由高到低顺序进行排序。采用最低磋商评审价法的，则按报价由低到高顺序进行排序；</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（16）磋商小组起草磋商评审报告，并推荐成交候选人或确定成交供应商；</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（17）主持人宣布有效供应商的评审结果以及推荐的成交候选人或确定成交供应商；</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b/>
          <w:bCs/>
          <w:color w:val="auto"/>
          <w:kern w:val="0"/>
          <w:szCs w:val="21"/>
          <w:highlight w:val="none"/>
        </w:rPr>
        <w:t>供应商代表对磋商过程和磋商记录有疑义，以及认为采购人、采购代理机构相关工作人员有需要回避的情形，应通过电话、电子邮箱等形式向采购代理机构提出询问或回避申请</w:t>
      </w:r>
      <w:r>
        <w:rPr>
          <w:rFonts w:hint="eastAsia" w:ascii="宋体" w:hAnsi="宋体" w:cs="宋体"/>
          <w:color w:val="auto"/>
          <w:kern w:val="0"/>
          <w:szCs w:val="21"/>
          <w:highlight w:val="none"/>
        </w:rPr>
        <w:t>；</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（19）磋商结束。</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7.1.4磋商时供应商须携带的资料：见供应商须知前附表。</w:t>
      </w:r>
      <w:bookmarkEnd w:id="344"/>
    </w:p>
    <w:p>
      <w:pPr>
        <w:spacing w:line="440" w:lineRule="exact"/>
        <w:jc w:val="left"/>
        <w:outlineLvl w:val="2"/>
        <w:rPr>
          <w:rFonts w:ascii="宋体" w:hAnsi="宋体" w:cs="宋体"/>
          <w:b/>
          <w:bCs/>
          <w:color w:val="auto"/>
          <w:szCs w:val="21"/>
          <w:highlight w:val="none"/>
        </w:rPr>
      </w:pPr>
      <w:bookmarkStart w:id="345" w:name="_Toc498327054"/>
      <w:bookmarkStart w:id="346" w:name="_Toc31790"/>
      <w:bookmarkStart w:id="347" w:name="_Toc499128599"/>
      <w:r>
        <w:rPr>
          <w:rFonts w:hint="eastAsia" w:ascii="宋体" w:hAnsi="宋体" w:cs="宋体"/>
          <w:b/>
          <w:bCs/>
          <w:color w:val="auto"/>
          <w:szCs w:val="21"/>
          <w:highlight w:val="none"/>
        </w:rPr>
        <w:t>7.2资格审查</w:t>
      </w:r>
      <w:bookmarkEnd w:id="345"/>
      <w:bookmarkEnd w:id="346"/>
      <w:bookmarkEnd w:id="347"/>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7.2.1资格审查的内容按照第3.2.1条规定执行。</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7.2.2资格审查小组按照第7.2.1条要求对供应商进行资格审查。</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7.2.3资格审查时，供应商未按要求提供、提供不完整或未按要求签署盖章的，视为资格审查不通过。</w:t>
      </w:r>
    </w:p>
    <w:p>
      <w:pPr>
        <w:spacing w:line="440" w:lineRule="exact"/>
        <w:jc w:val="left"/>
        <w:outlineLvl w:val="2"/>
        <w:rPr>
          <w:rFonts w:ascii="宋体" w:hAnsi="宋体" w:cs="宋体"/>
          <w:b/>
          <w:bCs/>
          <w:color w:val="auto"/>
          <w:szCs w:val="21"/>
          <w:highlight w:val="none"/>
        </w:rPr>
      </w:pPr>
      <w:bookmarkStart w:id="348" w:name="_Toc359934595"/>
      <w:bookmarkStart w:id="349" w:name="_Toc499128600"/>
      <w:bookmarkStart w:id="350" w:name="_Toc498327055"/>
      <w:bookmarkStart w:id="351" w:name="_Toc6173"/>
      <w:r>
        <w:rPr>
          <w:rFonts w:hint="eastAsia" w:ascii="宋体" w:hAnsi="宋体" w:cs="宋体"/>
          <w:b/>
          <w:bCs/>
          <w:color w:val="auto"/>
          <w:szCs w:val="21"/>
          <w:highlight w:val="none"/>
        </w:rPr>
        <w:t>7.3</w:t>
      </w:r>
      <w:bookmarkEnd w:id="342"/>
      <w:bookmarkEnd w:id="343"/>
      <w:bookmarkEnd w:id="348"/>
      <w:bookmarkEnd w:id="349"/>
      <w:bookmarkEnd w:id="350"/>
      <w:bookmarkEnd w:id="351"/>
      <w:r>
        <w:rPr>
          <w:rFonts w:hint="eastAsia" w:ascii="宋体" w:hAnsi="宋体" w:cs="宋体"/>
          <w:b/>
          <w:bCs/>
          <w:color w:val="auto"/>
          <w:szCs w:val="21"/>
          <w:highlight w:val="none"/>
        </w:rPr>
        <w:t>磋商评审</w:t>
      </w:r>
    </w:p>
    <w:p>
      <w:pPr>
        <w:spacing w:line="440" w:lineRule="exact"/>
        <w:ind w:firstLine="420" w:firstLineChars="200"/>
        <w:rPr>
          <w:rFonts w:ascii="宋体" w:hAnsi="宋体" w:cs="宋体"/>
          <w:color w:val="auto"/>
          <w:kern w:val="0"/>
          <w:szCs w:val="21"/>
          <w:highlight w:val="none"/>
        </w:rPr>
      </w:pPr>
      <w:bookmarkStart w:id="352" w:name="_Toc301187748"/>
      <w:r>
        <w:rPr>
          <w:rFonts w:hint="eastAsia" w:ascii="宋体" w:hAnsi="宋体" w:cs="宋体"/>
          <w:color w:val="auto"/>
          <w:kern w:val="0"/>
          <w:szCs w:val="21"/>
          <w:highlight w:val="none"/>
        </w:rPr>
        <w:t>7.3.1磋商小组组成：磋商小组由采购人代表和评审专家组成，成员人数应当为3人以上单数，其中评审专家不得少于成员总数的三分之二。</w:t>
      </w:r>
      <w:bookmarkEnd w:id="352"/>
      <w:bookmarkStart w:id="353" w:name="_Toc301187749"/>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7.3.2</w:t>
      </w:r>
      <w:bookmarkEnd w:id="353"/>
      <w:r>
        <w:rPr>
          <w:rFonts w:hint="eastAsia" w:ascii="宋体" w:hAnsi="宋体" w:cs="宋体"/>
          <w:color w:val="auto"/>
          <w:kern w:val="0"/>
          <w:szCs w:val="21"/>
          <w:highlight w:val="none"/>
        </w:rPr>
        <w:t>磋商评审规定</w:t>
      </w:r>
    </w:p>
    <w:p>
      <w:pPr>
        <w:spacing w:line="440" w:lineRule="exact"/>
        <w:ind w:firstLine="420" w:firstLineChars="200"/>
        <w:rPr>
          <w:rFonts w:ascii="宋体" w:hAnsi="宋体" w:cs="宋体"/>
          <w:color w:val="auto"/>
          <w:kern w:val="0"/>
          <w:szCs w:val="21"/>
          <w:highlight w:val="none"/>
        </w:rPr>
      </w:pPr>
      <w:bookmarkStart w:id="354" w:name="_Toc301187750"/>
      <w:r>
        <w:rPr>
          <w:rFonts w:hint="eastAsia" w:ascii="宋体" w:hAnsi="宋体" w:cs="宋体"/>
          <w:color w:val="auto"/>
          <w:kern w:val="0"/>
          <w:szCs w:val="21"/>
          <w:highlight w:val="none"/>
        </w:rPr>
        <w:t>（1）磋商小组审查资信及商务标和技术标响应文件的完整性、符合性，是否满足竞争性磋商文件的实质性条款。</w:t>
      </w:r>
      <w:bookmarkEnd w:id="354"/>
    </w:p>
    <w:p>
      <w:pPr>
        <w:spacing w:line="440" w:lineRule="exact"/>
        <w:ind w:firstLine="420" w:firstLineChars="200"/>
        <w:rPr>
          <w:rFonts w:ascii="宋体" w:hAnsi="宋体" w:cs="宋体"/>
          <w:color w:val="auto"/>
          <w:kern w:val="0"/>
          <w:szCs w:val="21"/>
          <w:highlight w:val="none"/>
        </w:rPr>
      </w:pPr>
      <w:bookmarkStart w:id="355" w:name="_Toc301187751"/>
      <w:r>
        <w:rPr>
          <w:rFonts w:hint="eastAsia" w:ascii="宋体" w:hAnsi="宋体" w:cs="宋体"/>
          <w:color w:val="auto"/>
          <w:kern w:val="0"/>
          <w:szCs w:val="21"/>
          <w:highlight w:val="none"/>
        </w:rPr>
        <w:t>（2）磋商小组审查技术标响应文件的实质性内容是否符合竞争性磋商文件的实质性要求。</w:t>
      </w:r>
      <w:bookmarkEnd w:id="355"/>
    </w:p>
    <w:p>
      <w:pPr>
        <w:spacing w:line="440" w:lineRule="exact"/>
        <w:ind w:firstLine="420" w:firstLineChars="200"/>
        <w:rPr>
          <w:rFonts w:ascii="宋体" w:hAnsi="宋体" w:cs="宋体"/>
          <w:color w:val="auto"/>
          <w:szCs w:val="21"/>
          <w:highlight w:val="none"/>
        </w:rPr>
      </w:pPr>
      <w:bookmarkStart w:id="356" w:name="_Toc301187752"/>
      <w:r>
        <w:rPr>
          <w:rFonts w:hint="eastAsia" w:ascii="宋体" w:hAnsi="宋体" w:cs="宋体"/>
          <w:color w:val="auto"/>
          <w:kern w:val="0"/>
          <w:szCs w:val="21"/>
          <w:highlight w:val="none"/>
        </w:rPr>
        <w:t>（3）磋商小组将根据供应商的技术标响应文件进行审查、核对，如有疑问，将对供应商进行询标，供应商要向磋商</w:t>
      </w:r>
      <w:r>
        <w:rPr>
          <w:rFonts w:hint="eastAsia" w:ascii="宋体" w:hAnsi="宋体" w:cs="宋体"/>
          <w:color w:val="auto"/>
          <w:szCs w:val="21"/>
          <w:highlight w:val="none"/>
        </w:rPr>
        <w:t>小组澄清有关问题，</w:t>
      </w:r>
      <w:bookmarkEnd w:id="356"/>
      <w:r>
        <w:rPr>
          <w:rFonts w:hint="eastAsia" w:ascii="宋体" w:hAnsi="宋体" w:cs="宋体"/>
          <w:b/>
          <w:bCs/>
          <w:color w:val="auto"/>
          <w:szCs w:val="21"/>
          <w:highlight w:val="none"/>
        </w:rPr>
        <w:t>并最终以政采云平台交换数据电文进行答复</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bookmarkStart w:id="357" w:name="_Toc301187753"/>
      <w:r>
        <w:rPr>
          <w:rFonts w:hint="eastAsia" w:ascii="宋体" w:hAnsi="宋体" w:cs="宋体"/>
          <w:color w:val="auto"/>
          <w:szCs w:val="21"/>
          <w:highlight w:val="none"/>
        </w:rPr>
        <w:t>供应商全权代表未到场或者拒绝澄清或者澄清的内容改变了响应文件的实质性内容的，磋商小组有权对该响应文件作出不利于供应商的评判。</w:t>
      </w:r>
      <w:bookmarkEnd w:id="357"/>
    </w:p>
    <w:p>
      <w:pPr>
        <w:spacing w:line="440" w:lineRule="exact"/>
        <w:ind w:firstLine="420" w:firstLineChars="200"/>
        <w:rPr>
          <w:rFonts w:ascii="宋体" w:hAnsi="宋体" w:cs="宋体"/>
          <w:color w:val="auto"/>
          <w:szCs w:val="21"/>
          <w:highlight w:val="none"/>
        </w:rPr>
      </w:pPr>
      <w:bookmarkStart w:id="358" w:name="_Toc301187754"/>
      <w:r>
        <w:rPr>
          <w:rFonts w:hint="eastAsia" w:ascii="宋体" w:hAnsi="宋体" w:cs="宋体"/>
          <w:color w:val="auto"/>
          <w:szCs w:val="21"/>
          <w:highlight w:val="none"/>
        </w:rPr>
        <w:t>（4）</w:t>
      </w:r>
      <w:bookmarkEnd w:id="358"/>
      <w:r>
        <w:rPr>
          <w:rFonts w:hint="eastAsia" w:ascii="宋体" w:hAnsi="宋体" w:cs="宋体"/>
          <w:color w:val="auto"/>
          <w:szCs w:val="21"/>
          <w:highlight w:val="none"/>
        </w:rPr>
        <w:t>采用综合评分法的，磋商小组按照磋商评审办法中的技术、资信及商务分的计算公式计算出各供应商的技术、资信及商务分，并指定专人进行计算复核。</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（5）磋商小组认为供应商的报价明显低于其他通过符合性审查供应商的报价，有可能影响产品质量或者不能诚信履约的，</w:t>
      </w:r>
      <w:r>
        <w:rPr>
          <w:rFonts w:hint="eastAsia" w:ascii="宋体" w:hAnsi="宋体" w:cs="宋体"/>
          <w:b/>
          <w:bCs/>
          <w:color w:val="auto"/>
          <w:szCs w:val="21"/>
          <w:highlight w:val="none"/>
        </w:rPr>
        <w:t>应当要求其在磋商现场合理的时间内通过政采云平台交换数据电文提供说明</w:t>
      </w:r>
      <w:r>
        <w:rPr>
          <w:rFonts w:hint="eastAsia" w:ascii="宋体" w:hAnsi="宋体" w:cs="宋体"/>
          <w:color w:val="auto"/>
          <w:szCs w:val="21"/>
          <w:highlight w:val="none"/>
        </w:rPr>
        <w:t>，必要时提交相关证明材料；供应商不能证明其报价合理性的，磋商小组应当将其作为无效标处理。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（6）磋商小组根据政府采购政策的规定，对供应商进行价格扣除，按照磋商评审办法中的价格扣除公式计算出供应商的调整后的磋商报价。</w:t>
      </w:r>
    </w:p>
    <w:p>
      <w:pPr>
        <w:spacing w:line="440" w:lineRule="exact"/>
        <w:ind w:firstLine="420" w:firstLineChars="200"/>
        <w:rPr>
          <w:rFonts w:ascii="宋体" w:hAnsi="宋体" w:cs="宋体"/>
          <w:color w:val="auto"/>
          <w:szCs w:val="21"/>
          <w:highlight w:val="none"/>
        </w:rPr>
      </w:pPr>
      <w:bookmarkStart w:id="359" w:name="_Toc301187755"/>
      <w:r>
        <w:rPr>
          <w:rFonts w:hint="eastAsia" w:ascii="宋体" w:hAnsi="宋体" w:cs="宋体"/>
          <w:color w:val="auto"/>
          <w:szCs w:val="21"/>
          <w:highlight w:val="none"/>
        </w:rPr>
        <w:t>（7）采用综合评分法的，磋商小组按照磋商评审办法中的价格分计算公式计算出各供应商的价格分，并指定专人进行计算复核。</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（8）采用综合评分法的，磋商小组应当独立对每个供应商的响应文件进行评价，并汇总每个供应商的得分。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（9）磋商小组按磋商评审办法推荐成交候选人或确定成交供应商，同时起草磋商评审报告。</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（10）磋商小组成员对需要共同认定的事项存在争议的，应当按照少数服从多数的原则作出结论，持不同意见的磋商小组成员应当在磋商评审报告上签署不同意见及理由，否则视为同意磋商评审报告。</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（11）磋商小组协助采购代理机构处理现场供应商对磋商评审结果报告提出的疑问。</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7.3.3磋商内容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（1）磋商小组可以根据磋商文件和磋商情况实质性变动采购需求中的技术、服务要求以及合同草案条款。</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磋商轮次最多不超过3轮</w:t>
      </w:r>
      <w:r>
        <w:rPr>
          <w:rFonts w:hint="eastAsia" w:ascii="宋体" w:hAnsi="宋体" w:cs="宋体"/>
          <w:color w:val="auto"/>
          <w:szCs w:val="21"/>
          <w:highlight w:val="none"/>
        </w:rPr>
        <w:t>，供应商在磋商过程中所作出的各种承诺都必须用书面形式，并由供应商代表签字。</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（3）本项目采用不公开方式评审，评审的依据为磋商文件、响应文件以及磋商期间供应商的书面承诺。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7.3.4错误修正</w:t>
      </w:r>
      <w:bookmarkEnd w:id="359"/>
    </w:p>
    <w:p>
      <w:pPr>
        <w:spacing w:line="440" w:lineRule="exact"/>
        <w:ind w:firstLine="420" w:firstLineChars="200"/>
        <w:rPr>
          <w:rFonts w:ascii="宋体" w:hAnsi="宋体" w:cs="宋体"/>
          <w:color w:val="auto"/>
          <w:szCs w:val="21"/>
          <w:highlight w:val="none"/>
        </w:rPr>
      </w:pPr>
      <w:bookmarkStart w:id="360" w:name="_Toc301187756"/>
      <w:r>
        <w:rPr>
          <w:rFonts w:hint="eastAsia" w:ascii="宋体" w:hAnsi="宋体" w:cs="宋体"/>
          <w:color w:val="auto"/>
          <w:szCs w:val="21"/>
          <w:highlight w:val="none"/>
        </w:rPr>
        <w:t>响应文件如果出现计算或表达上的错误，修正错误的原则如下：</w:t>
      </w:r>
      <w:bookmarkEnd w:id="360"/>
    </w:p>
    <w:p>
      <w:pPr>
        <w:spacing w:line="440" w:lineRule="exact"/>
        <w:ind w:firstLine="420" w:firstLineChars="200"/>
        <w:rPr>
          <w:rFonts w:ascii="宋体" w:hAnsi="宋体" w:cs="宋体"/>
          <w:color w:val="auto"/>
          <w:szCs w:val="21"/>
          <w:highlight w:val="none"/>
        </w:rPr>
      </w:pPr>
      <w:bookmarkStart w:id="361" w:name="_Toc301187757"/>
      <w:r>
        <w:rPr>
          <w:rFonts w:hint="eastAsia" w:ascii="宋体" w:hAnsi="宋体" w:cs="宋体"/>
          <w:color w:val="auto"/>
          <w:szCs w:val="21"/>
          <w:highlight w:val="none"/>
        </w:rPr>
        <w:t>（1）响应文件中磋商一览表内容与响应文件中相应内容不一致的，以磋商一览表为准；</w:t>
      </w:r>
      <w:bookmarkEnd w:id="361"/>
    </w:p>
    <w:p>
      <w:pPr>
        <w:spacing w:line="440" w:lineRule="exact"/>
        <w:ind w:firstLine="420" w:firstLineChars="200"/>
        <w:rPr>
          <w:rFonts w:ascii="宋体" w:hAnsi="宋体" w:cs="宋体"/>
          <w:color w:val="auto"/>
          <w:szCs w:val="21"/>
          <w:highlight w:val="none"/>
        </w:rPr>
      </w:pPr>
      <w:bookmarkStart w:id="362" w:name="_Toc301187758"/>
      <w:r>
        <w:rPr>
          <w:rFonts w:hint="eastAsia" w:ascii="宋体" w:hAnsi="宋体" w:cs="宋体"/>
          <w:color w:val="auto"/>
          <w:szCs w:val="21"/>
          <w:highlight w:val="none"/>
        </w:rPr>
        <w:t>（2）大写金额和小写金额不一致的，以大写金额为准；</w:t>
      </w:r>
      <w:bookmarkEnd w:id="362"/>
    </w:p>
    <w:p>
      <w:pPr>
        <w:spacing w:line="440" w:lineRule="exact"/>
        <w:ind w:firstLine="420" w:firstLineChars="200"/>
        <w:rPr>
          <w:rFonts w:ascii="宋体" w:hAnsi="宋体" w:cs="宋体"/>
          <w:color w:val="auto"/>
          <w:szCs w:val="21"/>
          <w:highlight w:val="none"/>
        </w:rPr>
      </w:pPr>
      <w:bookmarkStart w:id="363" w:name="_Toc301187759"/>
      <w:r>
        <w:rPr>
          <w:rFonts w:hint="eastAsia" w:ascii="宋体" w:hAnsi="宋体" w:cs="宋体"/>
          <w:color w:val="auto"/>
          <w:szCs w:val="21"/>
          <w:highlight w:val="none"/>
        </w:rPr>
        <w:t>（3）单价金额小数点或者百分比有明显错位的，以磋商一览表的总价为准，并修改单价；</w:t>
      </w:r>
      <w:bookmarkEnd w:id="363"/>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440" w:lineRule="exact"/>
        <w:ind w:firstLine="420" w:firstLineChars="200"/>
        <w:rPr>
          <w:rFonts w:ascii="宋体" w:hAnsi="宋体" w:cs="宋体"/>
          <w:color w:val="auto"/>
          <w:szCs w:val="21"/>
          <w:highlight w:val="none"/>
        </w:rPr>
      </w:pPr>
      <w:bookmarkStart w:id="364" w:name="_Toc301187760"/>
      <w:r>
        <w:rPr>
          <w:rFonts w:hint="eastAsia" w:ascii="宋体" w:hAnsi="宋体" w:cs="宋体"/>
          <w:color w:val="auto"/>
          <w:szCs w:val="21"/>
          <w:highlight w:val="none"/>
        </w:rPr>
        <w:t>（5）对不同文字文本响应文件的解释发生异议的，以中文文本为准</w:t>
      </w:r>
      <w:bookmarkEnd w:id="364"/>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同时出现两种以上不一致的，按照前款规定的顺序修正。修正后的报价按照第6条第一款规定经供应商确认后产生约束力，供应商不确认的，其磋商无效。</w:t>
      </w:r>
    </w:p>
    <w:p>
      <w:pPr>
        <w:spacing w:line="440" w:lineRule="exact"/>
        <w:ind w:firstLine="420" w:firstLineChars="200"/>
        <w:rPr>
          <w:rFonts w:ascii="宋体" w:hAnsi="宋体" w:cs="宋体"/>
          <w:color w:val="auto"/>
          <w:szCs w:val="21"/>
          <w:highlight w:val="none"/>
        </w:rPr>
      </w:pPr>
      <w:bookmarkStart w:id="365" w:name="_Toc301187762"/>
      <w:r>
        <w:rPr>
          <w:rFonts w:hint="eastAsia" w:ascii="宋体" w:hAnsi="宋体" w:cs="宋体"/>
          <w:color w:val="auto"/>
          <w:szCs w:val="21"/>
          <w:highlight w:val="none"/>
        </w:rPr>
        <w:t>7.3.5</w:t>
      </w:r>
      <w:bookmarkEnd w:id="365"/>
      <w:r>
        <w:rPr>
          <w:rFonts w:hint="eastAsia" w:ascii="宋体" w:hAnsi="宋体" w:cs="宋体"/>
          <w:color w:val="auto"/>
          <w:szCs w:val="21"/>
          <w:highlight w:val="none"/>
        </w:rPr>
        <w:t>磋商评审纪律</w:t>
      </w:r>
    </w:p>
    <w:p>
      <w:pPr>
        <w:spacing w:line="440" w:lineRule="exact"/>
        <w:ind w:firstLine="420" w:firstLineChars="200"/>
        <w:rPr>
          <w:rFonts w:ascii="宋体" w:hAnsi="宋体" w:cs="宋体"/>
          <w:color w:val="auto"/>
          <w:szCs w:val="21"/>
          <w:highlight w:val="none"/>
        </w:rPr>
      </w:pPr>
      <w:bookmarkStart w:id="366" w:name="_Toc301187763"/>
      <w:r>
        <w:rPr>
          <w:rFonts w:hint="eastAsia" w:ascii="宋体" w:hAnsi="宋体" w:cs="宋体"/>
          <w:color w:val="auto"/>
          <w:szCs w:val="21"/>
          <w:highlight w:val="none"/>
        </w:rPr>
        <w:t>（1）磋商小组必须公平、公正、客观，不带任何倾向性和启发性；</w:t>
      </w:r>
      <w:bookmarkEnd w:id="366"/>
    </w:p>
    <w:p>
      <w:pPr>
        <w:spacing w:line="440" w:lineRule="exact"/>
        <w:ind w:firstLine="420" w:firstLineChars="200"/>
        <w:rPr>
          <w:rFonts w:ascii="宋体" w:hAnsi="宋体" w:cs="宋体"/>
          <w:color w:val="auto"/>
          <w:szCs w:val="21"/>
          <w:highlight w:val="none"/>
        </w:rPr>
      </w:pPr>
      <w:bookmarkStart w:id="367" w:name="_Toc301187764"/>
      <w:r>
        <w:rPr>
          <w:rFonts w:hint="eastAsia" w:ascii="宋体" w:hAnsi="宋体" w:cs="宋体"/>
          <w:color w:val="auto"/>
          <w:szCs w:val="21"/>
          <w:highlight w:val="none"/>
        </w:rPr>
        <w:t>（2）磋商小组及有关工作人员不得向外界透露任何与磋商评审有关的内容；</w:t>
      </w:r>
      <w:bookmarkEnd w:id="367"/>
    </w:p>
    <w:p>
      <w:pPr>
        <w:spacing w:line="440" w:lineRule="exact"/>
        <w:ind w:firstLine="420" w:firstLineChars="200"/>
        <w:rPr>
          <w:rFonts w:ascii="宋体" w:hAnsi="宋体" w:cs="宋体"/>
          <w:color w:val="auto"/>
          <w:szCs w:val="21"/>
          <w:highlight w:val="none"/>
        </w:rPr>
      </w:pPr>
      <w:bookmarkStart w:id="368" w:name="_Toc301187765"/>
      <w:r>
        <w:rPr>
          <w:rFonts w:hint="eastAsia" w:ascii="宋体" w:hAnsi="宋体" w:cs="宋体"/>
          <w:color w:val="auto"/>
          <w:szCs w:val="21"/>
          <w:highlight w:val="none"/>
        </w:rPr>
        <w:t>（3）任何单位和个人不得干扰、影响磋商评审的正常进行；</w:t>
      </w:r>
      <w:bookmarkEnd w:id="368"/>
    </w:p>
    <w:p>
      <w:pPr>
        <w:spacing w:line="440" w:lineRule="exact"/>
        <w:ind w:firstLine="420" w:firstLineChars="200"/>
        <w:rPr>
          <w:rFonts w:ascii="宋体" w:hAnsi="宋体" w:cs="宋体"/>
          <w:color w:val="auto"/>
          <w:szCs w:val="21"/>
          <w:highlight w:val="none"/>
        </w:rPr>
      </w:pPr>
      <w:bookmarkStart w:id="369" w:name="_Toc301187766"/>
      <w:r>
        <w:rPr>
          <w:rFonts w:hint="eastAsia" w:ascii="宋体" w:hAnsi="宋体" w:cs="宋体"/>
          <w:color w:val="auto"/>
          <w:szCs w:val="21"/>
          <w:highlight w:val="none"/>
        </w:rPr>
        <w:t>（4）磋商小组及有关工作人员不得私下与供应商接触</w:t>
      </w:r>
      <w:bookmarkEnd w:id="369"/>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（5）在磋商评审过程中撤离职守，影响磋商评审程序正常进行的；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（6）记录、复制或者带走任何磋商评审资料；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（7）其他不遵守磋商评审纪律的行为。</w:t>
      </w:r>
    </w:p>
    <w:p>
      <w:pPr>
        <w:spacing w:line="440" w:lineRule="exact"/>
        <w:ind w:firstLine="420" w:firstLineChars="200"/>
        <w:rPr>
          <w:rFonts w:ascii="宋体" w:hAnsi="宋体" w:cs="宋体"/>
          <w:color w:val="auto"/>
          <w:szCs w:val="21"/>
          <w:highlight w:val="none"/>
        </w:rPr>
      </w:pPr>
      <w:bookmarkStart w:id="370" w:name="_Toc301187767"/>
      <w:r>
        <w:rPr>
          <w:rFonts w:hint="eastAsia" w:ascii="宋体" w:hAnsi="宋体" w:cs="宋体"/>
          <w:color w:val="auto"/>
          <w:szCs w:val="21"/>
          <w:highlight w:val="none"/>
        </w:rPr>
        <w:t>7.3.6磋商评审办法</w:t>
      </w:r>
      <w:bookmarkEnd w:id="370"/>
      <w:bookmarkStart w:id="371" w:name="_Toc301187768"/>
      <w:r>
        <w:rPr>
          <w:rFonts w:hint="eastAsia" w:ascii="宋体" w:hAnsi="宋体" w:cs="宋体"/>
          <w:color w:val="auto"/>
          <w:szCs w:val="21"/>
          <w:highlight w:val="none"/>
        </w:rPr>
        <w:t>：见供应商须知前附表。</w:t>
      </w:r>
      <w:bookmarkEnd w:id="371"/>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7.3.7磋商评审过程的监控</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本项目磋商评审过程实行全程录音、录像监控，供应商在磋商评审过程中所有进行的试图影响磋商评审结果的不公正活动，可能导致其磋商被拒绝。</w:t>
      </w:r>
    </w:p>
    <w:p>
      <w:pPr>
        <w:spacing w:line="440" w:lineRule="exact"/>
        <w:jc w:val="left"/>
        <w:outlineLvl w:val="2"/>
        <w:rPr>
          <w:rFonts w:ascii="宋体" w:hAnsi="宋体" w:cs="宋体"/>
          <w:b/>
          <w:bCs/>
          <w:color w:val="auto"/>
          <w:szCs w:val="21"/>
          <w:highlight w:val="none"/>
        </w:rPr>
      </w:pPr>
      <w:bookmarkStart w:id="372" w:name="_Toc359934596"/>
      <w:bookmarkStart w:id="373" w:name="_Toc499128603"/>
      <w:bookmarkStart w:id="374" w:name="_Toc498327058"/>
      <w:bookmarkStart w:id="375" w:name="_Toc301187769"/>
      <w:bookmarkStart w:id="376" w:name="_Toc303756399"/>
      <w:bookmarkStart w:id="377" w:name="_Toc8888"/>
      <w:r>
        <w:rPr>
          <w:rFonts w:hint="eastAsia" w:ascii="宋体" w:hAnsi="宋体" w:cs="宋体"/>
          <w:b/>
          <w:bCs/>
          <w:color w:val="auto"/>
          <w:szCs w:val="21"/>
          <w:highlight w:val="none"/>
        </w:rPr>
        <w:t>7.4定标</w:t>
      </w:r>
      <w:bookmarkEnd w:id="372"/>
      <w:bookmarkEnd w:id="373"/>
      <w:bookmarkEnd w:id="374"/>
      <w:bookmarkEnd w:id="375"/>
      <w:bookmarkEnd w:id="376"/>
      <w:bookmarkEnd w:id="377"/>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7.4.1本项目由磋商小组推荐成交候选人或经采购人授权直接确定成交供应商。推荐成交候选人家数：见供应商须知前附表。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7.4.2定标排序：见第六章《磋商评审办法及评分标准》。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7.4.3合格的供应商不足三家时，采购人根据《中华人民共和国政府采购法》、《政府采购竞争性磋商采购方式管理暂行办法》、《关于政府采购竞争性磋商采购方式管理暂行办法有关问题的补充通知》 (财库〔2015〕124号)以及浙江省相关规定执行。</w:t>
      </w:r>
    </w:p>
    <w:p>
      <w:pPr>
        <w:spacing w:line="440" w:lineRule="exact"/>
        <w:jc w:val="left"/>
        <w:outlineLvl w:val="2"/>
        <w:rPr>
          <w:rFonts w:ascii="宋体" w:hAnsi="宋体" w:cs="宋体"/>
          <w:b/>
          <w:bCs/>
          <w:color w:val="auto"/>
          <w:szCs w:val="21"/>
          <w:highlight w:val="none"/>
        </w:rPr>
      </w:pPr>
      <w:bookmarkStart w:id="378" w:name="_Toc31748"/>
      <w:r>
        <w:rPr>
          <w:rFonts w:hint="eastAsia" w:ascii="宋体" w:hAnsi="宋体" w:cs="宋体"/>
          <w:b/>
          <w:bCs/>
          <w:color w:val="auto"/>
          <w:szCs w:val="21"/>
          <w:highlight w:val="none"/>
        </w:rPr>
        <w:t>7.5 突发情况处理</w:t>
      </w:r>
      <w:bookmarkEnd w:id="378"/>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7.5.1采购过程中出现以下情形，导致政采云平台无法正常运行，或者无法保证电子交易的公平、公正和安全时，采购代理机构将中止电子交易活动：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⑴电子交易平台发生故障而无法登录访问的；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⑵电子交易平台应用或数据库出现错误，不能进行正常操作的；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⑶电子交易平台发现严重安全漏洞，有潜在泄密危险的；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⑷病毒发作导致不能进行正常操作的；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⑸其他无法保证电子交易的公平、公正和安全的情况。</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7.5.2供应商未按时在线解密的，应当在解密时间内向采购代理机构提供备份响应文件。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7.5.3采购代理机构或评审小组因不可抗力（不可抗力包括但不限于自然灾害、断电、传播疫病等）原因造成电子交易活动无法正常运行的，将采取以下措施：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⑴短时间内能消除不可抗力因素的，采购代理机构或评审小组在消除不可抗力因素后继续组织电子交易活动。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⑵长时间内无法消除不可抗力因素的，采购代理机构或评审小组将中止电子交易活动。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7.5.4中止电子交易活动的，采购人应当重新组织政府采购活动。</w:t>
      </w:r>
    </w:p>
    <w:p>
      <w:pPr>
        <w:pStyle w:val="3"/>
        <w:spacing w:line="440" w:lineRule="exact"/>
        <w:rPr>
          <w:rFonts w:ascii="宋体" w:hAnsi="宋体" w:cs="宋体"/>
          <w:color w:val="auto"/>
          <w:szCs w:val="21"/>
          <w:highlight w:val="none"/>
        </w:rPr>
      </w:pPr>
      <w:bookmarkStart w:id="379" w:name="_Toc301187772"/>
      <w:bookmarkStart w:id="380" w:name="_Toc499128604"/>
      <w:bookmarkStart w:id="381" w:name="_Toc14363"/>
      <w:bookmarkStart w:id="382" w:name="_Toc8446"/>
      <w:bookmarkStart w:id="383" w:name="_Toc359934597"/>
      <w:bookmarkStart w:id="384" w:name="_Toc498327059"/>
      <w:bookmarkStart w:id="385" w:name="_Toc21377"/>
      <w:bookmarkStart w:id="386" w:name="_Toc303756400"/>
      <w:r>
        <w:rPr>
          <w:rFonts w:hint="eastAsia" w:ascii="宋体" w:hAnsi="宋体" w:cs="宋体"/>
          <w:color w:val="auto"/>
          <w:szCs w:val="21"/>
          <w:highlight w:val="none"/>
        </w:rPr>
        <w:t>8．成交和合同</w:t>
      </w:r>
      <w:bookmarkEnd w:id="379"/>
      <w:bookmarkEnd w:id="380"/>
      <w:bookmarkEnd w:id="381"/>
      <w:bookmarkEnd w:id="382"/>
      <w:bookmarkEnd w:id="383"/>
      <w:bookmarkEnd w:id="384"/>
      <w:bookmarkEnd w:id="385"/>
      <w:bookmarkEnd w:id="386"/>
    </w:p>
    <w:p>
      <w:pPr>
        <w:spacing w:line="440" w:lineRule="exact"/>
        <w:jc w:val="left"/>
        <w:outlineLvl w:val="2"/>
        <w:rPr>
          <w:rFonts w:ascii="宋体" w:hAnsi="宋体" w:cs="宋体"/>
          <w:b/>
          <w:bCs/>
          <w:color w:val="auto"/>
          <w:szCs w:val="21"/>
          <w:highlight w:val="none"/>
        </w:rPr>
      </w:pPr>
      <w:bookmarkStart w:id="387" w:name="_Toc303756402"/>
      <w:bookmarkStart w:id="388" w:name="_Toc498327060"/>
      <w:bookmarkStart w:id="389" w:name="_Toc499128605"/>
      <w:bookmarkStart w:id="390" w:name="_Toc13697"/>
      <w:bookmarkStart w:id="391" w:name="_Toc301187776"/>
      <w:bookmarkStart w:id="392" w:name="_Toc359934599"/>
      <w:r>
        <w:rPr>
          <w:rFonts w:hint="eastAsia" w:ascii="宋体" w:hAnsi="宋体" w:cs="宋体"/>
          <w:b/>
          <w:bCs/>
          <w:color w:val="auto"/>
          <w:szCs w:val="21"/>
          <w:highlight w:val="none"/>
        </w:rPr>
        <w:t>8.1</w:t>
      </w:r>
      <w:bookmarkEnd w:id="387"/>
      <w:bookmarkEnd w:id="388"/>
      <w:bookmarkEnd w:id="389"/>
      <w:bookmarkEnd w:id="390"/>
      <w:bookmarkEnd w:id="391"/>
      <w:bookmarkEnd w:id="392"/>
      <w:r>
        <w:rPr>
          <w:rFonts w:hint="eastAsia" w:ascii="宋体" w:hAnsi="宋体" w:cs="宋体"/>
          <w:b/>
          <w:bCs/>
          <w:color w:val="auto"/>
          <w:szCs w:val="21"/>
          <w:highlight w:val="none"/>
        </w:rPr>
        <w:t>成交</w:t>
      </w:r>
    </w:p>
    <w:p>
      <w:pPr>
        <w:spacing w:line="440" w:lineRule="exact"/>
        <w:ind w:firstLine="420" w:firstLineChars="200"/>
        <w:rPr>
          <w:rFonts w:ascii="宋体" w:hAnsi="宋体" w:cs="宋体"/>
          <w:color w:val="auto"/>
          <w:szCs w:val="21"/>
          <w:highlight w:val="none"/>
        </w:rPr>
      </w:pPr>
      <w:bookmarkStart w:id="393" w:name="_Toc301187777"/>
      <w:bookmarkStart w:id="394" w:name="_Toc301187783"/>
      <w:bookmarkStart w:id="395" w:name="_Toc303756403"/>
      <w:bookmarkStart w:id="396" w:name="_Toc498327061"/>
      <w:bookmarkStart w:id="397" w:name="_Toc359934600"/>
      <w:bookmarkStart w:id="398" w:name="_Toc24741"/>
      <w:bookmarkStart w:id="399" w:name="_Toc499128606"/>
      <w:r>
        <w:rPr>
          <w:rFonts w:hint="eastAsia" w:ascii="宋体" w:hAnsi="宋体" w:cs="宋体"/>
          <w:color w:val="auto"/>
          <w:szCs w:val="21"/>
          <w:highlight w:val="none"/>
        </w:rPr>
        <w:t>8.1.1采购代理机构在磋商评审结束后2个工作日内将磋商评审报告提交采购人确认。</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8.1.2采购人应当自收到磋商评审报告之日起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个工作日内，在磋商评审报告确定的成交候选人名单中按顺序确定成交供应商。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8.1.3采购人在收到磋商评审报告</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个工作日内未按磋商评审报告推荐的成交候选人名单确定成交供应商，又不能说明合法理由的，视同按磋商评审报告推荐的成交候选人名单确定成交供应商。</w:t>
      </w:r>
    </w:p>
    <w:bookmarkEnd w:id="393"/>
    <w:p>
      <w:pPr>
        <w:spacing w:line="440" w:lineRule="exact"/>
        <w:ind w:firstLine="420" w:firstLineChars="200"/>
        <w:rPr>
          <w:rFonts w:ascii="宋体" w:hAnsi="宋体" w:cs="宋体"/>
          <w:color w:val="auto"/>
          <w:szCs w:val="21"/>
          <w:highlight w:val="none"/>
        </w:rPr>
      </w:pPr>
      <w:bookmarkStart w:id="400" w:name="_Toc301187778"/>
      <w:r>
        <w:rPr>
          <w:rFonts w:hint="eastAsia" w:ascii="宋体" w:hAnsi="宋体" w:cs="宋体"/>
          <w:color w:val="auto"/>
          <w:szCs w:val="21"/>
          <w:highlight w:val="none"/>
        </w:rPr>
        <w:t>8.1.4采购人原则上应当按照排名顺序确定排名第一的成交候选人为成交供应商，排名第一的成交候选人出现下列情形之一的，除采购任务取消外，应重新组织招标：</w:t>
      </w:r>
      <w:bookmarkEnd w:id="400"/>
    </w:p>
    <w:p>
      <w:pPr>
        <w:spacing w:line="440" w:lineRule="exact"/>
        <w:ind w:firstLine="420" w:firstLineChars="200"/>
        <w:rPr>
          <w:rFonts w:ascii="宋体" w:hAnsi="宋体" w:cs="宋体"/>
          <w:color w:val="auto"/>
          <w:szCs w:val="21"/>
          <w:highlight w:val="none"/>
        </w:rPr>
      </w:pPr>
      <w:bookmarkStart w:id="401" w:name="_Toc301187779"/>
      <w:r>
        <w:rPr>
          <w:rFonts w:hint="eastAsia" w:ascii="宋体" w:hAnsi="宋体" w:cs="宋体"/>
          <w:color w:val="auto"/>
          <w:szCs w:val="21"/>
          <w:highlight w:val="none"/>
        </w:rPr>
        <w:t>（1）</w:t>
      </w:r>
      <w:bookmarkEnd w:id="401"/>
      <w:r>
        <w:rPr>
          <w:rFonts w:hint="eastAsia" w:ascii="宋体" w:hAnsi="宋体" w:cs="宋体"/>
          <w:color w:val="auto"/>
          <w:szCs w:val="21"/>
          <w:highlight w:val="none"/>
        </w:rPr>
        <w:t>成交候选人因采购人标后复核不通过或自身原因放弃中标中标或因不可抗力不能履行合同的；</w:t>
      </w:r>
    </w:p>
    <w:p>
      <w:pPr>
        <w:spacing w:line="440" w:lineRule="exact"/>
        <w:ind w:firstLine="420" w:firstLineChars="200"/>
        <w:rPr>
          <w:rFonts w:ascii="宋体" w:hAnsi="宋体" w:cs="宋体"/>
          <w:color w:val="auto"/>
          <w:szCs w:val="21"/>
          <w:highlight w:val="none"/>
        </w:rPr>
      </w:pPr>
      <w:bookmarkStart w:id="402" w:name="_Toc301187781"/>
      <w:r>
        <w:rPr>
          <w:rFonts w:hint="eastAsia" w:ascii="宋体" w:hAnsi="宋体" w:cs="宋体"/>
          <w:color w:val="auto"/>
          <w:szCs w:val="21"/>
          <w:highlight w:val="none"/>
        </w:rPr>
        <w:t>（2）经质疑，采购人审查确认因成交候选人在本次采购活动中存在违法违规行为或其他原因使质疑成立的。</w:t>
      </w:r>
      <w:bookmarkEnd w:id="402"/>
    </w:p>
    <w:p>
      <w:pPr>
        <w:spacing w:line="440" w:lineRule="exact"/>
        <w:jc w:val="left"/>
        <w:outlineLvl w:val="2"/>
        <w:rPr>
          <w:rFonts w:ascii="宋体" w:hAnsi="宋体" w:cs="宋体"/>
          <w:b/>
          <w:bCs/>
          <w:color w:val="auto"/>
          <w:szCs w:val="21"/>
          <w:highlight w:val="none"/>
        </w:rPr>
      </w:pPr>
      <w:r>
        <w:rPr>
          <w:rFonts w:hint="eastAsia" w:ascii="宋体" w:hAnsi="宋体" w:cs="宋体"/>
          <w:b/>
          <w:bCs/>
          <w:color w:val="auto"/>
          <w:szCs w:val="21"/>
          <w:highlight w:val="none"/>
        </w:rPr>
        <w:t>8.2追加采购</w:t>
      </w:r>
      <w:bookmarkEnd w:id="394"/>
      <w:bookmarkEnd w:id="395"/>
      <w:bookmarkEnd w:id="396"/>
      <w:bookmarkEnd w:id="397"/>
      <w:r>
        <w:rPr>
          <w:rFonts w:hint="eastAsia" w:ascii="宋体" w:hAnsi="宋体" w:cs="宋体"/>
          <w:b/>
          <w:bCs/>
          <w:color w:val="auto"/>
          <w:szCs w:val="21"/>
          <w:highlight w:val="none"/>
        </w:rPr>
        <w:t>合同标的</w:t>
      </w:r>
      <w:bookmarkEnd w:id="398"/>
      <w:bookmarkEnd w:id="399"/>
    </w:p>
    <w:p>
      <w:pPr>
        <w:spacing w:line="440" w:lineRule="exact"/>
        <w:ind w:firstLine="420" w:firstLineChars="200"/>
        <w:rPr>
          <w:rFonts w:ascii="宋体" w:hAnsi="宋体" w:cs="宋体"/>
          <w:color w:val="auto"/>
          <w:szCs w:val="21"/>
          <w:highlight w:val="none"/>
        </w:rPr>
      </w:pPr>
      <w:bookmarkStart w:id="403" w:name="_Toc301187784"/>
      <w:r>
        <w:rPr>
          <w:rFonts w:hint="eastAsia" w:ascii="宋体" w:hAnsi="宋体" w:cs="宋体"/>
          <w:color w:val="auto"/>
          <w:szCs w:val="21"/>
          <w:highlight w:val="none"/>
        </w:rPr>
        <w:t>政府采购合同履行中，采购人需追加与合同标的相同的货物、工程或服务的，在不改变合同其他条款的前提下，可以与供应商签订补充合同，但所有补充合同的采购金额不得超过原合同采购金额的百分之十。</w:t>
      </w:r>
      <w:bookmarkEnd w:id="403"/>
    </w:p>
    <w:p>
      <w:pPr>
        <w:spacing w:line="440" w:lineRule="exact"/>
        <w:jc w:val="left"/>
        <w:outlineLvl w:val="2"/>
        <w:rPr>
          <w:rFonts w:ascii="宋体" w:hAnsi="宋体" w:cs="宋体"/>
          <w:b/>
          <w:bCs/>
          <w:color w:val="auto"/>
          <w:szCs w:val="21"/>
          <w:highlight w:val="none"/>
        </w:rPr>
      </w:pPr>
      <w:bookmarkStart w:id="404" w:name="_Toc301187785"/>
      <w:bookmarkStart w:id="405" w:name="_Toc499128607"/>
      <w:bookmarkStart w:id="406" w:name="_Toc8479"/>
      <w:bookmarkStart w:id="407" w:name="_Toc303756404"/>
      <w:bookmarkStart w:id="408" w:name="_Toc498327062"/>
      <w:bookmarkStart w:id="409" w:name="_Toc359934601"/>
      <w:r>
        <w:rPr>
          <w:rFonts w:hint="eastAsia" w:ascii="宋体" w:hAnsi="宋体" w:cs="宋体"/>
          <w:b/>
          <w:bCs/>
          <w:color w:val="auto"/>
          <w:szCs w:val="21"/>
          <w:highlight w:val="none"/>
        </w:rPr>
        <w:t>8.3</w:t>
      </w:r>
      <w:bookmarkEnd w:id="404"/>
      <w:bookmarkEnd w:id="405"/>
      <w:bookmarkEnd w:id="406"/>
      <w:bookmarkEnd w:id="407"/>
      <w:bookmarkEnd w:id="408"/>
      <w:bookmarkEnd w:id="409"/>
      <w:r>
        <w:rPr>
          <w:rFonts w:hint="eastAsia" w:ascii="宋体" w:hAnsi="宋体" w:cs="宋体"/>
          <w:b/>
          <w:bCs/>
          <w:color w:val="auto"/>
          <w:szCs w:val="21"/>
          <w:highlight w:val="none"/>
        </w:rPr>
        <w:t xml:space="preserve">成交结果 </w:t>
      </w:r>
    </w:p>
    <w:p>
      <w:pPr>
        <w:spacing w:line="440" w:lineRule="exact"/>
        <w:ind w:firstLine="420" w:firstLineChars="200"/>
        <w:rPr>
          <w:rFonts w:ascii="宋体" w:hAnsi="宋体" w:cs="宋体"/>
          <w:color w:val="auto"/>
          <w:szCs w:val="21"/>
          <w:highlight w:val="none"/>
        </w:rPr>
      </w:pPr>
      <w:bookmarkStart w:id="410" w:name="_Toc301187790"/>
      <w:bookmarkStart w:id="411" w:name="_Toc301187791"/>
      <w:bookmarkStart w:id="412" w:name="_Toc303756405"/>
      <w:bookmarkStart w:id="413" w:name="_Toc26161"/>
      <w:bookmarkStart w:id="414" w:name="_Toc499128608"/>
      <w:bookmarkStart w:id="415" w:name="_Toc359934602"/>
      <w:bookmarkStart w:id="416" w:name="_Toc498327063"/>
      <w:r>
        <w:rPr>
          <w:rFonts w:hint="eastAsia" w:ascii="宋体" w:hAnsi="宋体" w:cs="宋体"/>
          <w:color w:val="auto"/>
          <w:szCs w:val="21"/>
          <w:highlight w:val="none"/>
        </w:rPr>
        <w:t>8.3.1成交供应商经采购人按8.3.1条款进行复核且通过的，采购人将按8.1.4条款确定成交供应商，采购人应当自成交供应商确定之日起2个工作日内，发出成交通知书，并在省级以上人民政府财政部门指定的媒体上公告成交结果。</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8.3.2在公告成交结果的同时，采购人或者采购代理机构应当向成交供应商发出成交通知书。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8.3.3</w:t>
      </w:r>
      <w:bookmarkEnd w:id="410"/>
      <w:r>
        <w:rPr>
          <w:rFonts w:hint="eastAsia" w:ascii="宋体" w:hAnsi="宋体" w:cs="宋体"/>
          <w:color w:val="auto"/>
          <w:szCs w:val="21"/>
          <w:highlight w:val="none"/>
        </w:rPr>
        <w:t>成交通知书发出后，采购人不得违法改变成交结果，成交供应商无正当理由不得放弃成交项目。</w:t>
      </w:r>
    </w:p>
    <w:p>
      <w:pPr>
        <w:spacing w:line="440" w:lineRule="exact"/>
        <w:jc w:val="left"/>
        <w:outlineLvl w:val="2"/>
        <w:rPr>
          <w:rFonts w:ascii="宋体" w:hAnsi="宋体" w:cs="宋体"/>
          <w:b/>
          <w:bCs/>
          <w:color w:val="auto"/>
          <w:szCs w:val="21"/>
          <w:highlight w:val="none"/>
        </w:rPr>
      </w:pPr>
      <w:r>
        <w:rPr>
          <w:rFonts w:hint="eastAsia" w:ascii="宋体" w:hAnsi="宋体" w:cs="宋体"/>
          <w:b/>
          <w:bCs/>
          <w:color w:val="auto"/>
          <w:szCs w:val="21"/>
          <w:highlight w:val="none"/>
        </w:rPr>
        <w:t>8.4合同</w:t>
      </w:r>
      <w:bookmarkEnd w:id="411"/>
      <w:bookmarkEnd w:id="412"/>
      <w:r>
        <w:rPr>
          <w:rFonts w:hint="eastAsia" w:ascii="宋体" w:hAnsi="宋体" w:cs="宋体"/>
          <w:b/>
          <w:bCs/>
          <w:color w:val="auto"/>
          <w:szCs w:val="21"/>
          <w:highlight w:val="none"/>
        </w:rPr>
        <w:t>签订</w:t>
      </w:r>
      <w:bookmarkEnd w:id="413"/>
      <w:bookmarkEnd w:id="414"/>
      <w:bookmarkEnd w:id="415"/>
      <w:bookmarkEnd w:id="416"/>
    </w:p>
    <w:p>
      <w:pPr>
        <w:spacing w:line="440" w:lineRule="exact"/>
        <w:ind w:firstLine="422" w:firstLineChars="200"/>
        <w:rPr>
          <w:rFonts w:ascii="宋体" w:hAnsi="宋体" w:cs="宋体"/>
          <w:b/>
          <w:bCs/>
          <w:color w:val="auto"/>
          <w:szCs w:val="21"/>
          <w:highlight w:val="none"/>
        </w:rPr>
      </w:pPr>
      <w:bookmarkStart w:id="417" w:name="_Toc301187792"/>
      <w:r>
        <w:rPr>
          <w:rFonts w:hint="eastAsia" w:ascii="宋体" w:hAnsi="宋体" w:cs="宋体"/>
          <w:b/>
          <w:bCs/>
          <w:color w:val="auto"/>
          <w:szCs w:val="21"/>
          <w:highlight w:val="none"/>
        </w:rPr>
        <w:t>8.4.1</w:t>
      </w:r>
      <w:bookmarkEnd w:id="417"/>
      <w:r>
        <w:rPr>
          <w:rFonts w:hint="eastAsia" w:ascii="宋体" w:hAnsi="宋体" w:cs="宋体"/>
          <w:b/>
          <w:bCs/>
          <w:color w:val="auto"/>
          <w:szCs w:val="21"/>
          <w:highlight w:val="none"/>
        </w:rPr>
        <w:t>采购人与成交供应商应当在成交公告发布之日起30日内，按照竞争性磋商文件确定的事项签订政府采购合同。政府采购合同不得对竞争性磋商文件作出实质性修改。</w:t>
      </w:r>
    </w:p>
    <w:p>
      <w:pPr>
        <w:spacing w:line="440" w:lineRule="exact"/>
        <w:ind w:firstLine="420" w:firstLineChars="200"/>
        <w:rPr>
          <w:rFonts w:ascii="宋体" w:hAnsi="宋体" w:cs="宋体"/>
          <w:color w:val="auto"/>
          <w:szCs w:val="21"/>
          <w:highlight w:val="none"/>
        </w:rPr>
      </w:pPr>
      <w:bookmarkStart w:id="418" w:name="_Toc301187793"/>
      <w:r>
        <w:rPr>
          <w:rFonts w:hint="eastAsia" w:ascii="宋体" w:hAnsi="宋体" w:cs="宋体"/>
          <w:color w:val="auto"/>
          <w:szCs w:val="21"/>
          <w:highlight w:val="none"/>
        </w:rPr>
        <w:t>8.4.2如成交供应商不按成交通知书中规定时间、地点以及磋商时的承诺与采购人签订合同，则按成交供应商违约处理</w:t>
      </w:r>
      <w:r>
        <w:rPr>
          <w:rFonts w:hint="eastAsia" w:ascii="宋体" w:hAnsi="宋体" w:cs="宋体"/>
          <w:color w:val="auto"/>
          <w:szCs w:val="21"/>
          <w:highlight w:val="none"/>
          <w:lang w:eastAsia="zh-CN"/>
        </w:rPr>
        <w:t>。（详见采购文件第四章</w:t>
      </w:r>
      <w:r>
        <w:rPr>
          <w:rFonts w:hint="eastAsia" w:ascii="宋体" w:hAnsi="宋体" w:cs="宋体"/>
          <w:color w:val="auto"/>
          <w:szCs w:val="21"/>
          <w:highlight w:val="none"/>
          <w:lang w:val="en-US" w:eastAsia="zh-CN"/>
        </w:rPr>
        <w:t>1.6.4条款</w:t>
      </w:r>
      <w:r>
        <w:rPr>
          <w:rFonts w:hint="eastAsia" w:ascii="宋体" w:hAnsi="宋体" w:cs="宋体"/>
          <w:color w:val="auto"/>
          <w:szCs w:val="21"/>
          <w:highlight w:val="none"/>
          <w:lang w:eastAsia="zh-CN"/>
        </w:rPr>
        <w:t>）</w:t>
      </w:r>
      <w:bookmarkEnd w:id="418"/>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8.4.3付款条件：见供应商须知前附表。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8.4.4付款方式：见供应商须知前附表。</w:t>
      </w:r>
    </w:p>
    <w:p>
      <w:pPr>
        <w:pStyle w:val="3"/>
        <w:spacing w:line="440" w:lineRule="exact"/>
        <w:rPr>
          <w:rFonts w:ascii="宋体" w:hAnsi="宋体" w:cs="宋体"/>
          <w:color w:val="auto"/>
          <w:szCs w:val="21"/>
          <w:highlight w:val="none"/>
        </w:rPr>
      </w:pPr>
      <w:bookmarkStart w:id="419" w:name="_Toc359934603"/>
      <w:bookmarkStart w:id="420" w:name="_Toc498327064"/>
      <w:bookmarkStart w:id="421" w:name="_Toc303756406"/>
      <w:bookmarkStart w:id="422" w:name="_Toc24299"/>
      <w:bookmarkStart w:id="423" w:name="_Toc499128609"/>
      <w:bookmarkStart w:id="424" w:name="_Toc301187794"/>
      <w:bookmarkStart w:id="425" w:name="_Toc2888"/>
      <w:bookmarkStart w:id="426" w:name="_Toc30148"/>
      <w:bookmarkStart w:id="427" w:name="_Toc15805937"/>
      <w:bookmarkStart w:id="428" w:name="_Toc44759086"/>
      <w:bookmarkStart w:id="429" w:name="_Toc44759274"/>
      <w:bookmarkStart w:id="430" w:name="_Toc15813254"/>
      <w:r>
        <w:rPr>
          <w:rFonts w:hint="eastAsia" w:ascii="宋体" w:hAnsi="宋体" w:cs="宋体"/>
          <w:color w:val="auto"/>
          <w:szCs w:val="21"/>
          <w:highlight w:val="none"/>
        </w:rPr>
        <w:t>9．履约保证金</w:t>
      </w:r>
      <w:bookmarkEnd w:id="419"/>
      <w:bookmarkEnd w:id="420"/>
      <w:bookmarkEnd w:id="421"/>
      <w:bookmarkEnd w:id="422"/>
      <w:bookmarkEnd w:id="423"/>
      <w:bookmarkEnd w:id="424"/>
      <w:r>
        <w:rPr>
          <w:rFonts w:hint="eastAsia" w:ascii="宋体" w:hAnsi="宋体" w:cs="宋体"/>
          <w:color w:val="auto"/>
          <w:szCs w:val="21"/>
          <w:highlight w:val="none"/>
        </w:rPr>
        <w:t>和质保</w:t>
      </w:r>
      <w:bookmarkEnd w:id="425"/>
      <w:bookmarkEnd w:id="426"/>
    </w:p>
    <w:p>
      <w:pPr>
        <w:spacing w:line="440" w:lineRule="exact"/>
        <w:jc w:val="left"/>
        <w:outlineLvl w:val="2"/>
        <w:rPr>
          <w:rFonts w:ascii="宋体" w:hAnsi="宋体" w:cs="宋体"/>
          <w:b/>
          <w:bCs/>
          <w:color w:val="auto"/>
          <w:szCs w:val="21"/>
          <w:highlight w:val="none"/>
        </w:rPr>
      </w:pPr>
      <w:bookmarkStart w:id="431" w:name="_Toc515526199"/>
      <w:bookmarkStart w:id="432" w:name="_Toc303756407"/>
      <w:bookmarkStart w:id="433" w:name="_Toc301187800"/>
      <w:bookmarkStart w:id="434" w:name="_Toc359934604"/>
      <w:bookmarkStart w:id="435" w:name="_Toc208886771"/>
      <w:bookmarkStart w:id="436" w:name="_Toc499128613"/>
      <w:bookmarkStart w:id="437" w:name="_Toc283042122"/>
      <w:bookmarkStart w:id="438" w:name="_Toc498327068"/>
      <w:r>
        <w:rPr>
          <w:rFonts w:hint="eastAsia" w:ascii="宋体" w:hAnsi="宋体" w:cs="宋体"/>
          <w:b/>
          <w:bCs/>
          <w:color w:val="auto"/>
          <w:szCs w:val="21"/>
          <w:highlight w:val="none"/>
        </w:rPr>
        <w:t>9.1履约保证金</w:t>
      </w:r>
      <w:bookmarkEnd w:id="431"/>
    </w:p>
    <w:p>
      <w:pPr>
        <w:spacing w:line="440" w:lineRule="exact"/>
        <w:ind w:firstLine="420" w:firstLineChars="200"/>
        <w:rPr>
          <w:rFonts w:ascii="宋体" w:hAnsi="宋体" w:cs="宋体"/>
          <w:color w:val="auto"/>
          <w:szCs w:val="21"/>
          <w:highlight w:val="none"/>
        </w:rPr>
      </w:pPr>
      <w:bookmarkStart w:id="439" w:name="_Toc515526200"/>
      <w:r>
        <w:rPr>
          <w:rFonts w:hint="eastAsia" w:ascii="宋体" w:hAnsi="宋体" w:cs="宋体"/>
          <w:color w:val="auto"/>
          <w:szCs w:val="21"/>
          <w:highlight w:val="none"/>
        </w:rPr>
        <w:t xml:space="preserve">9.1.1履约保证金：见供应商须知前附表。签订合同前，成交供应商必须按本条规定的要求向采购人交纳履约保证金。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9.1.2如果成交供应商没能按第9.1.1条规定执行，采购人将有权取消其成交资格，并有权将标授予第二成交候选人或重新组织采购，履约保证金不足以赔偿损失的，按实际损失赔偿。</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9.1.3在履约期间，成交供应商不履行竞争性磋商文件和响应文件规定及相关承诺的，采购人有权不予返还履约保证金。</w:t>
      </w:r>
    </w:p>
    <w:p>
      <w:pPr>
        <w:spacing w:line="440" w:lineRule="exact"/>
        <w:jc w:val="left"/>
        <w:outlineLvl w:val="2"/>
        <w:rPr>
          <w:rFonts w:ascii="宋体" w:hAnsi="宋体" w:cs="宋体"/>
          <w:b/>
          <w:bCs/>
          <w:color w:val="auto"/>
          <w:szCs w:val="21"/>
          <w:highlight w:val="none"/>
        </w:rPr>
      </w:pPr>
      <w:r>
        <w:rPr>
          <w:rFonts w:hint="eastAsia" w:ascii="宋体" w:hAnsi="宋体" w:cs="宋体"/>
          <w:b/>
          <w:bCs/>
          <w:color w:val="auto"/>
          <w:szCs w:val="21"/>
          <w:highlight w:val="none"/>
        </w:rPr>
        <w:t>9.2质保期</w:t>
      </w:r>
      <w:bookmarkEnd w:id="439"/>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9.2.1质保期：见供应商须知前附表。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9.2.2供应商承诺的质保期超过第9.2.1条规定的，则应当按照供应商承诺执行。</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9.2.3质保期为合同验收合格之日算起，质保期则应当按照第9.2.1条和第9.2.2条执行。</w:t>
      </w:r>
    </w:p>
    <w:p>
      <w:pPr>
        <w:pStyle w:val="3"/>
        <w:spacing w:line="440" w:lineRule="exact"/>
        <w:rPr>
          <w:rFonts w:ascii="宋体" w:hAnsi="宋体" w:cs="宋体"/>
          <w:color w:val="auto"/>
          <w:szCs w:val="21"/>
          <w:highlight w:val="none"/>
        </w:rPr>
      </w:pPr>
      <w:bookmarkStart w:id="440" w:name="_Toc8414"/>
      <w:bookmarkStart w:id="441" w:name="_Toc4321"/>
      <w:bookmarkStart w:id="442" w:name="_Toc15568"/>
      <w:r>
        <w:rPr>
          <w:rFonts w:hint="eastAsia" w:ascii="宋体" w:hAnsi="宋体" w:cs="宋体"/>
          <w:color w:val="auto"/>
          <w:szCs w:val="21"/>
          <w:highlight w:val="none"/>
        </w:rPr>
        <w:t>10．其他事项</w:t>
      </w:r>
      <w:bookmarkEnd w:id="427"/>
      <w:bookmarkEnd w:id="428"/>
      <w:bookmarkEnd w:id="429"/>
      <w:bookmarkEnd w:id="430"/>
      <w:bookmarkEnd w:id="432"/>
      <w:bookmarkEnd w:id="433"/>
      <w:bookmarkEnd w:id="434"/>
      <w:bookmarkEnd w:id="435"/>
      <w:bookmarkEnd w:id="436"/>
      <w:bookmarkEnd w:id="437"/>
      <w:bookmarkEnd w:id="438"/>
      <w:bookmarkEnd w:id="440"/>
      <w:bookmarkEnd w:id="441"/>
      <w:bookmarkEnd w:id="442"/>
    </w:p>
    <w:p>
      <w:pPr>
        <w:spacing w:line="440" w:lineRule="exact"/>
        <w:ind w:firstLine="420" w:firstLineChars="200"/>
        <w:rPr>
          <w:rFonts w:ascii="宋体" w:hAnsi="宋体" w:cs="宋体"/>
          <w:color w:val="auto"/>
          <w:szCs w:val="21"/>
          <w:highlight w:val="none"/>
        </w:rPr>
      </w:pPr>
      <w:bookmarkStart w:id="443" w:name="_Toc301187801"/>
      <w:r>
        <w:rPr>
          <w:rFonts w:hint="eastAsia" w:ascii="宋体" w:hAnsi="宋体" w:cs="宋体"/>
          <w:color w:val="auto"/>
          <w:szCs w:val="21"/>
          <w:highlight w:val="none"/>
        </w:rPr>
        <w:t>10.1本竞争性磋商文件所称的“以上”、“以下”、“内”、“以内”，包括本数；所称的“不足”，不包括本数。</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10.2竞争性磋商文件编制依据和解释权</w:t>
      </w:r>
      <w:bookmarkEnd w:id="443"/>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bookmarkStart w:id="444" w:name="_Toc301187802"/>
      <w:r>
        <w:rPr>
          <w:rFonts w:hint="eastAsia" w:ascii="宋体" w:hAnsi="宋体" w:cs="宋体"/>
          <w:color w:val="auto"/>
          <w:szCs w:val="21"/>
          <w:highlight w:val="none"/>
        </w:rPr>
        <w:t>本竞争性磋商文件是根据国家、省、地方现行有关规定和参照国际惯例编制，凡属竞争性磋商文件未规定内容将根据国家、省、地方现行有关规定执行。本竞争性磋商文件解释权属采购人和采购代理机构。</w:t>
      </w:r>
      <w:bookmarkEnd w:id="444"/>
    </w:p>
    <w:p>
      <w:pPr>
        <w:spacing w:line="440" w:lineRule="exact"/>
        <w:ind w:firstLine="420" w:firstLineChars="200"/>
        <w:rPr>
          <w:rFonts w:ascii="宋体" w:hAnsi="宋体" w:cs="宋体"/>
          <w:color w:val="auto"/>
          <w:szCs w:val="21"/>
          <w:highlight w:val="none"/>
        </w:rPr>
      </w:pPr>
      <w:bookmarkStart w:id="445" w:name="_Toc301187803"/>
      <w:r>
        <w:rPr>
          <w:rFonts w:hint="eastAsia" w:ascii="宋体" w:hAnsi="宋体" w:cs="宋体"/>
          <w:color w:val="auto"/>
          <w:szCs w:val="21"/>
          <w:highlight w:val="none"/>
        </w:rPr>
        <w:t>10.3注意事项：磋商截止时间后，供应商登录政采云平台，用“项目采购-开标评标”功能对电子响应文件进行在线解密。在线解密电子响应文件时间为磋商截止时间起30分钟内，未按时解密或解密未成功的，供应商应当在解密时间内向采购代理机构通过电子邮箱（1193974586@qq.com）提供备份响应文件，否则视为放弃磋商。</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10.4采购代理机构对定标结果不负责解释。</w:t>
      </w:r>
      <w:bookmarkEnd w:id="445"/>
    </w:p>
    <w:p>
      <w:pPr>
        <w:pStyle w:val="3"/>
        <w:numPr>
          <w:ilvl w:val="0"/>
          <w:numId w:val="3"/>
        </w:numPr>
        <w:spacing w:line="4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代理服务费</w:t>
      </w:r>
    </w:p>
    <w:p>
      <w:pPr>
        <w:numPr>
          <w:ilvl w:val="0"/>
          <w:numId w:val="0"/>
        </w:numPr>
        <w:rPr>
          <w:rFonts w:hint="eastAsia"/>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 xml:space="preserve"> 11.1代理服务费标准：由成交供应商支付代理服务费，费用以标项中标金额为计算基数，按服务招标收费75%标准计取，采用差额累计法计算，成交供应商在领取成交通知书的同时向采购代理机构一次性付清。</w:t>
      </w:r>
    </w:p>
    <w:tbl>
      <w:tblPr>
        <w:tblStyle w:val="42"/>
        <w:tblpPr w:leftFromText="180" w:rightFromText="180" w:vertAnchor="text" w:horzAnchor="page" w:tblpXSpec="center" w:tblpY="209"/>
        <w:tblOverlap w:val="never"/>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660"/>
        <w:gridCol w:w="2126"/>
        <w:gridCol w:w="1843"/>
        <w:gridCol w:w="18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660" w:type="dxa"/>
            <w:tcBorders>
              <w:top w:val="single" w:color="000000" w:sz="12" w:space="0"/>
              <w:left w:val="single" w:color="000000" w:sz="12" w:space="0"/>
              <w:bottom w:val="single" w:color="000000" w:sz="6" w:space="0"/>
              <w:right w:val="single" w:color="000000" w:sz="6"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服务类型费率</w:t>
            </w:r>
          </w:p>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中标金额（万元）</w:t>
            </w:r>
          </w:p>
        </w:tc>
        <w:tc>
          <w:tcPr>
            <w:tcW w:w="2126" w:type="dxa"/>
            <w:tcBorders>
              <w:top w:val="single" w:color="000000" w:sz="12" w:space="0"/>
              <w:left w:val="single" w:color="000000" w:sz="6" w:space="0"/>
              <w:bottom w:val="single" w:color="000000" w:sz="6" w:space="0"/>
              <w:right w:val="single" w:color="000000" w:sz="6"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货物招标</w:t>
            </w:r>
          </w:p>
        </w:tc>
        <w:tc>
          <w:tcPr>
            <w:tcW w:w="1843" w:type="dxa"/>
            <w:tcBorders>
              <w:top w:val="single" w:color="000000" w:sz="12" w:space="0"/>
              <w:left w:val="single" w:color="000000" w:sz="6" w:space="0"/>
              <w:bottom w:val="single" w:color="000000" w:sz="6" w:space="0"/>
              <w:right w:val="single" w:color="000000" w:sz="6"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服务招标</w:t>
            </w:r>
          </w:p>
        </w:tc>
        <w:tc>
          <w:tcPr>
            <w:tcW w:w="1893" w:type="dxa"/>
            <w:tcBorders>
              <w:top w:val="single" w:color="000000" w:sz="12" w:space="0"/>
              <w:left w:val="single" w:color="000000" w:sz="6" w:space="0"/>
              <w:bottom w:val="single" w:color="000000" w:sz="6" w:space="0"/>
              <w:right w:val="single" w:color="000000" w:sz="12"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工程招标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660" w:type="dxa"/>
            <w:tcBorders>
              <w:top w:val="single" w:color="000000" w:sz="6" w:space="0"/>
              <w:left w:val="single" w:color="000000" w:sz="12" w:space="0"/>
              <w:bottom w:val="single" w:color="000000" w:sz="6" w:space="0"/>
              <w:right w:val="single" w:color="000000" w:sz="6" w:space="0"/>
            </w:tcBorders>
            <w:vAlign w:val="top"/>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100以下</w:t>
            </w:r>
          </w:p>
        </w:tc>
        <w:tc>
          <w:tcPr>
            <w:tcW w:w="2126" w:type="dxa"/>
            <w:tcBorders>
              <w:top w:val="single" w:color="000000" w:sz="6" w:space="0"/>
              <w:left w:val="single" w:color="000000" w:sz="6" w:space="0"/>
              <w:bottom w:val="single" w:color="000000" w:sz="6" w:space="0"/>
              <w:right w:val="single" w:color="000000" w:sz="6"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1.5%</w:t>
            </w:r>
          </w:p>
        </w:tc>
        <w:tc>
          <w:tcPr>
            <w:tcW w:w="1843" w:type="dxa"/>
            <w:tcBorders>
              <w:top w:val="single" w:color="000000" w:sz="6" w:space="0"/>
              <w:left w:val="single" w:color="000000" w:sz="6" w:space="0"/>
              <w:bottom w:val="single" w:color="000000" w:sz="6" w:space="0"/>
              <w:right w:val="single" w:color="000000" w:sz="6"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1.5%</w:t>
            </w:r>
          </w:p>
        </w:tc>
        <w:tc>
          <w:tcPr>
            <w:tcW w:w="1893" w:type="dxa"/>
            <w:tcBorders>
              <w:top w:val="single" w:color="000000" w:sz="6" w:space="0"/>
              <w:left w:val="single" w:color="000000" w:sz="6" w:space="0"/>
              <w:bottom w:val="single" w:color="000000" w:sz="6" w:space="0"/>
              <w:right w:val="single" w:color="000000" w:sz="12"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660" w:type="dxa"/>
            <w:tcBorders>
              <w:top w:val="single" w:color="000000" w:sz="6" w:space="0"/>
              <w:left w:val="single" w:color="000000" w:sz="12" w:space="0"/>
              <w:bottom w:val="single" w:color="000000" w:sz="6" w:space="0"/>
              <w:right w:val="single" w:color="000000" w:sz="6"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100-500</w:t>
            </w:r>
          </w:p>
        </w:tc>
        <w:tc>
          <w:tcPr>
            <w:tcW w:w="2126" w:type="dxa"/>
            <w:tcBorders>
              <w:top w:val="single" w:color="000000" w:sz="6" w:space="0"/>
              <w:left w:val="single" w:color="000000" w:sz="6" w:space="0"/>
              <w:bottom w:val="single" w:color="000000" w:sz="6" w:space="0"/>
              <w:right w:val="single" w:color="000000" w:sz="6"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1.1%</w:t>
            </w:r>
          </w:p>
        </w:tc>
        <w:tc>
          <w:tcPr>
            <w:tcW w:w="1843" w:type="dxa"/>
            <w:tcBorders>
              <w:top w:val="single" w:color="000000" w:sz="6" w:space="0"/>
              <w:left w:val="single" w:color="000000" w:sz="6" w:space="0"/>
              <w:bottom w:val="single" w:color="000000" w:sz="6" w:space="0"/>
              <w:right w:val="single" w:color="000000" w:sz="6"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0.8%</w:t>
            </w:r>
          </w:p>
        </w:tc>
        <w:tc>
          <w:tcPr>
            <w:tcW w:w="1893" w:type="dxa"/>
            <w:tcBorders>
              <w:top w:val="single" w:color="000000" w:sz="6" w:space="0"/>
              <w:left w:val="single" w:color="000000" w:sz="6" w:space="0"/>
              <w:bottom w:val="single" w:color="000000" w:sz="6" w:space="0"/>
              <w:right w:val="single" w:color="000000" w:sz="12" w:space="0"/>
            </w:tcBorders>
            <w:vAlign w:val="center"/>
          </w:tcPr>
          <w:p>
            <w:pPr>
              <w:numPr>
                <w:ilvl w:val="0"/>
                <w:numId w:val="0"/>
              </w:num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0.7%</w:t>
            </w:r>
          </w:p>
        </w:tc>
      </w:tr>
    </w:tbl>
    <w:p>
      <w:pPr>
        <w:numPr>
          <w:ilvl w:val="0"/>
          <w:numId w:val="0"/>
        </w:numPr>
        <w:rPr>
          <w:rFonts w:hint="default"/>
          <w:b/>
          <w:bCs/>
          <w:color w:val="auto"/>
          <w:highlight w:val="none"/>
          <w:lang w:val="en-US" w:eastAsia="zh-CN"/>
        </w:rPr>
      </w:pPr>
      <w:r>
        <w:rPr>
          <w:rFonts w:hint="eastAsia"/>
          <w:b/>
          <w:bCs/>
          <w:color w:val="auto"/>
          <w:highlight w:val="none"/>
          <w:lang w:val="en-US" w:eastAsia="zh-CN"/>
        </w:rPr>
        <w:t>注：1、招标代理服务收费按差额定率累进法计算。</w:t>
      </w:r>
    </w:p>
    <w:p>
      <w:pPr>
        <w:rPr>
          <w:rStyle w:val="60"/>
          <w:rFonts w:ascii="宋体" w:hAnsi="宋体" w:cs="宋体"/>
          <w:color w:val="auto"/>
          <w:szCs w:val="22"/>
          <w:highlight w:val="none"/>
        </w:rPr>
      </w:pPr>
      <w:bookmarkStart w:id="446" w:name="_Toc502154396"/>
      <w:bookmarkStart w:id="447" w:name="_Toc3903"/>
      <w:r>
        <w:rPr>
          <w:rStyle w:val="60"/>
          <w:rFonts w:hint="eastAsia" w:ascii="宋体" w:hAnsi="宋体" w:cs="宋体"/>
          <w:color w:val="auto"/>
          <w:szCs w:val="22"/>
          <w:highlight w:val="none"/>
        </w:rPr>
        <w:br w:type="page"/>
      </w:r>
    </w:p>
    <w:bookmarkEnd w:id="446"/>
    <w:bookmarkEnd w:id="447"/>
    <w:p>
      <w:pPr>
        <w:jc w:val="center"/>
        <w:outlineLvl w:val="0"/>
        <w:rPr>
          <w:rFonts w:ascii="宋体" w:hAnsi="宋体" w:cs="宋体"/>
          <w:color w:val="auto"/>
          <w:sz w:val="36"/>
          <w:szCs w:val="36"/>
          <w:highlight w:val="none"/>
        </w:rPr>
      </w:pPr>
      <w:bookmarkStart w:id="448" w:name="_Toc531359036"/>
      <w:bookmarkStart w:id="449" w:name="_Toc530551874"/>
      <w:bookmarkStart w:id="450" w:name="_Toc12181"/>
      <w:bookmarkStart w:id="451" w:name="_Toc493956049"/>
      <w:bookmarkStart w:id="452" w:name="_Toc6339"/>
      <w:bookmarkStart w:id="453" w:name="_Toc303756412"/>
      <w:bookmarkStart w:id="454" w:name="_Toc24965"/>
      <w:r>
        <w:rPr>
          <w:rFonts w:hint="eastAsia" w:ascii="宋体" w:hAnsi="宋体" w:cs="宋体"/>
          <w:b/>
          <w:bCs/>
          <w:color w:val="auto"/>
          <w:sz w:val="36"/>
          <w:szCs w:val="36"/>
          <w:highlight w:val="none"/>
        </w:rPr>
        <w:t>第四章  合同格式</w:t>
      </w:r>
      <w:bookmarkEnd w:id="448"/>
      <w:bookmarkEnd w:id="449"/>
      <w:bookmarkEnd w:id="450"/>
      <w:bookmarkEnd w:id="451"/>
      <w:bookmarkEnd w:id="452"/>
    </w:p>
    <w:p>
      <w:pPr>
        <w:pStyle w:val="219"/>
        <w:spacing w:before="0" w:beforeAutospacing="0" w:after="0" w:afterAutospacing="0" w:line="360" w:lineRule="auto"/>
        <w:ind w:right="960"/>
        <w:rPr>
          <w:rFonts w:hAnsi="宋体" w:cs="宋体"/>
          <w:color w:val="auto"/>
          <w:highlight w:val="none"/>
        </w:rPr>
      </w:pPr>
      <w:r>
        <w:rPr>
          <w:rFonts w:hint="eastAsia" w:hAnsi="宋体" w:cs="宋体"/>
          <w:color w:val="auto"/>
          <w:highlight w:val="none"/>
        </w:rPr>
        <w:t>合同编号：</w:t>
      </w:r>
    </w:p>
    <w:p>
      <w:pPr>
        <w:pStyle w:val="219"/>
        <w:spacing w:before="0" w:beforeAutospacing="0" w:after="0" w:afterAutospacing="0" w:line="360" w:lineRule="auto"/>
        <w:ind w:right="960"/>
        <w:jc w:val="center"/>
        <w:rPr>
          <w:rFonts w:hAnsi="宋体" w:cs="宋体"/>
          <w:color w:val="auto"/>
          <w:highlight w:val="none"/>
        </w:rPr>
      </w:pPr>
    </w:p>
    <w:p>
      <w:pPr>
        <w:ind w:firstLine="281" w:firstLineChars="100"/>
        <w:jc w:val="right"/>
        <w:rPr>
          <w:rFonts w:ascii="宋体" w:hAnsi="宋体" w:cs="宋体"/>
          <w:b/>
          <w:bCs/>
          <w:color w:val="auto"/>
          <w:sz w:val="28"/>
          <w:highlight w:val="none"/>
        </w:rPr>
      </w:pPr>
    </w:p>
    <w:p>
      <w:pPr>
        <w:ind w:firstLine="361" w:firstLineChars="100"/>
        <w:jc w:val="center"/>
        <w:outlineLvl w:val="1"/>
        <w:rPr>
          <w:rFonts w:ascii="宋体" w:hAnsi="宋体" w:cs="宋体"/>
          <w:b/>
          <w:bCs/>
          <w:color w:val="auto"/>
          <w:sz w:val="52"/>
          <w:highlight w:val="none"/>
        </w:rPr>
      </w:pPr>
      <w:bookmarkStart w:id="455" w:name="_Toc1515"/>
      <w:bookmarkStart w:id="456" w:name="_Toc8777"/>
      <w:r>
        <w:rPr>
          <w:rFonts w:hint="eastAsia" w:ascii="宋体" w:hAnsi="宋体" w:cs="宋体"/>
          <w:b/>
          <w:bCs/>
          <w:color w:val="auto"/>
          <w:sz w:val="36"/>
          <w:szCs w:val="36"/>
          <w:highlight w:val="none"/>
          <w:lang w:eastAsia="zh-CN"/>
        </w:rPr>
        <w:t>缙云县公安局执法全过程音视频工作平台建设政府采购项目</w:t>
      </w:r>
      <w:r>
        <w:rPr>
          <w:rFonts w:hint="eastAsia" w:ascii="宋体" w:hAnsi="宋体" w:cs="宋体"/>
          <w:b/>
          <w:bCs/>
          <w:color w:val="auto"/>
          <w:sz w:val="36"/>
          <w:szCs w:val="36"/>
          <w:highlight w:val="none"/>
        </w:rPr>
        <w:t>采购合同</w:t>
      </w:r>
      <w:bookmarkEnd w:id="455"/>
      <w:bookmarkEnd w:id="456"/>
    </w:p>
    <w:p>
      <w:pPr>
        <w:jc w:val="center"/>
        <w:rPr>
          <w:rFonts w:ascii="宋体" w:hAnsi="宋体" w:cs="宋体"/>
          <w:b/>
          <w:bCs/>
          <w:color w:val="auto"/>
          <w:sz w:val="44"/>
          <w:highlight w:val="none"/>
        </w:rPr>
      </w:pPr>
    </w:p>
    <w:p>
      <w:pPr>
        <w:jc w:val="center"/>
        <w:rPr>
          <w:rFonts w:ascii="宋体" w:hAnsi="宋体" w:cs="宋体"/>
          <w:color w:val="auto"/>
          <w:sz w:val="36"/>
          <w:highlight w:val="none"/>
        </w:rPr>
      </w:pPr>
    </w:p>
    <w:p>
      <w:pPr>
        <w:jc w:val="center"/>
        <w:rPr>
          <w:rFonts w:ascii="宋体" w:hAnsi="宋体" w:cs="宋体"/>
          <w:color w:val="auto"/>
          <w:sz w:val="36"/>
          <w:highlight w:val="none"/>
        </w:rPr>
      </w:pPr>
    </w:p>
    <w:p>
      <w:pPr>
        <w:jc w:val="center"/>
        <w:rPr>
          <w:rFonts w:ascii="宋体" w:hAnsi="宋体" w:cs="宋体"/>
          <w:color w:val="auto"/>
          <w:sz w:val="36"/>
          <w:highlight w:val="none"/>
        </w:rPr>
      </w:pPr>
    </w:p>
    <w:p>
      <w:pPr>
        <w:spacing w:beforeLines="50" w:line="360" w:lineRule="auto"/>
        <w:ind w:left="3628" w:leftChars="150" w:right="-420" w:rightChars="-200" w:hanging="3313" w:hangingChars="1100"/>
        <w:outlineLvl w:val="1"/>
        <w:rPr>
          <w:rFonts w:hint="eastAsia" w:ascii="宋体" w:hAnsi="宋体" w:eastAsia="宋体" w:cs="宋体"/>
          <w:color w:val="auto"/>
          <w:sz w:val="30"/>
          <w:szCs w:val="30"/>
          <w:highlight w:val="none"/>
          <w:u w:val="single"/>
          <w:lang w:eastAsia="zh-CN"/>
        </w:rPr>
      </w:pPr>
      <w:bookmarkStart w:id="457" w:name="_Toc21164"/>
      <w:bookmarkStart w:id="458" w:name="_Toc13271"/>
      <w:r>
        <w:rPr>
          <w:rFonts w:hint="eastAsia" w:ascii="宋体" w:hAnsi="宋体" w:cs="宋体"/>
          <w:b/>
          <w:bCs/>
          <w:color w:val="auto"/>
          <w:sz w:val="30"/>
          <w:szCs w:val="30"/>
          <w:highlight w:val="none"/>
        </w:rPr>
        <w:t>项  目  名  称：</w:t>
      </w:r>
      <w:bookmarkEnd w:id="457"/>
      <w:bookmarkEnd w:id="458"/>
      <w:r>
        <w:rPr>
          <w:rFonts w:hint="eastAsia" w:ascii="宋体" w:hAnsi="宋体" w:cs="宋体"/>
          <w:b/>
          <w:bCs/>
          <w:color w:val="auto"/>
          <w:sz w:val="30"/>
          <w:szCs w:val="30"/>
          <w:highlight w:val="none"/>
          <w:lang w:eastAsia="zh-CN"/>
        </w:rPr>
        <w:t>缙云县公安局执法全过程音视频工作平台建设政府采购项目</w:t>
      </w:r>
    </w:p>
    <w:p>
      <w:pPr>
        <w:spacing w:beforeLines="50" w:line="360" w:lineRule="auto"/>
        <w:ind w:left="315" w:leftChars="150" w:right="315" w:rightChars="150"/>
        <w:outlineLvl w:val="1"/>
        <w:rPr>
          <w:rFonts w:ascii="宋体" w:hAnsi="宋体" w:cs="宋体"/>
          <w:color w:val="auto"/>
          <w:sz w:val="30"/>
          <w:szCs w:val="30"/>
          <w:highlight w:val="none"/>
          <w:u w:val="single"/>
        </w:rPr>
      </w:pPr>
      <w:bookmarkStart w:id="459" w:name="_Toc22152"/>
      <w:bookmarkStart w:id="460" w:name="_Toc21136"/>
      <w:r>
        <w:rPr>
          <w:rFonts w:hint="eastAsia" w:ascii="宋体" w:hAnsi="宋体" w:cs="宋体"/>
          <w:b/>
          <w:bCs/>
          <w:color w:val="auto"/>
          <w:sz w:val="30"/>
          <w:szCs w:val="30"/>
          <w:highlight w:val="none"/>
        </w:rPr>
        <w:t>项  目  地  点：浙江省缙云县</w:t>
      </w:r>
      <w:bookmarkEnd w:id="459"/>
      <w:bookmarkEnd w:id="460"/>
    </w:p>
    <w:p>
      <w:pPr>
        <w:spacing w:beforeLines="50" w:line="360" w:lineRule="auto"/>
        <w:ind w:left="315" w:leftChars="150" w:right="315" w:rightChars="150"/>
        <w:outlineLvl w:val="1"/>
        <w:rPr>
          <w:rFonts w:ascii="宋体" w:hAnsi="宋体" w:cs="宋体"/>
          <w:color w:val="auto"/>
          <w:sz w:val="30"/>
          <w:szCs w:val="30"/>
          <w:highlight w:val="none"/>
          <w:u w:val="single"/>
        </w:rPr>
      </w:pPr>
      <w:bookmarkStart w:id="461" w:name="_Toc13871"/>
      <w:bookmarkStart w:id="462" w:name="_Toc30712"/>
      <w:r>
        <w:rPr>
          <w:rFonts w:hint="eastAsia" w:ascii="宋体" w:hAnsi="宋体" w:cs="宋体"/>
          <w:b/>
          <w:bCs/>
          <w:color w:val="auto"/>
          <w:sz w:val="30"/>
          <w:szCs w:val="30"/>
          <w:highlight w:val="none"/>
        </w:rPr>
        <w:t>委  托  单  位：</w:t>
      </w:r>
      <w:bookmarkEnd w:id="461"/>
      <w:bookmarkEnd w:id="462"/>
    </w:p>
    <w:p>
      <w:pPr>
        <w:spacing w:beforeLines="50" w:line="360" w:lineRule="auto"/>
        <w:ind w:left="315" w:leftChars="150" w:right="315" w:rightChars="150"/>
        <w:outlineLvl w:val="1"/>
        <w:rPr>
          <w:rFonts w:ascii="宋体" w:hAnsi="宋体" w:cs="宋体"/>
          <w:b/>
          <w:bCs/>
          <w:color w:val="auto"/>
          <w:sz w:val="30"/>
          <w:szCs w:val="30"/>
          <w:highlight w:val="none"/>
        </w:rPr>
      </w:pPr>
      <w:bookmarkStart w:id="463" w:name="_Toc16696"/>
      <w:bookmarkStart w:id="464" w:name="_Toc26299"/>
      <w:r>
        <w:rPr>
          <w:rFonts w:hint="eastAsia" w:ascii="宋体" w:hAnsi="宋体" w:cs="宋体"/>
          <w:b/>
          <w:bCs/>
          <w:color w:val="auto"/>
          <w:sz w:val="30"/>
          <w:szCs w:val="30"/>
          <w:highlight w:val="none"/>
        </w:rPr>
        <w:t>承  担  单  位：</w:t>
      </w:r>
      <w:bookmarkEnd w:id="463"/>
      <w:bookmarkEnd w:id="464"/>
    </w:p>
    <w:p>
      <w:pPr>
        <w:spacing w:line="500" w:lineRule="exact"/>
        <w:ind w:firstLine="562" w:firstLineChars="200"/>
        <w:rPr>
          <w:rFonts w:ascii="宋体" w:hAnsi="宋体" w:cs="宋体"/>
          <w:b/>
          <w:bCs/>
          <w:color w:val="auto"/>
          <w:sz w:val="28"/>
          <w:szCs w:val="28"/>
          <w:highlight w:val="none"/>
        </w:rPr>
        <w:sectPr>
          <w:headerReference r:id="rId3" w:type="default"/>
          <w:footerReference r:id="rId4" w:type="default"/>
          <w:footerReference r:id="rId5" w:type="even"/>
          <w:pgSz w:w="11906" w:h="16838"/>
          <w:pgMar w:top="1440" w:right="1418" w:bottom="1440" w:left="1418" w:header="851" w:footer="1134" w:gutter="0"/>
          <w:cols w:space="720" w:num="1"/>
          <w:docGrid w:type="lines" w:linePitch="312" w:charSpace="0"/>
        </w:sectPr>
      </w:pPr>
    </w:p>
    <w:p>
      <w:pPr>
        <w:pStyle w:val="219"/>
        <w:spacing w:before="0" w:beforeAutospacing="0" w:after="0" w:afterAutospacing="0" w:line="400" w:lineRule="exact"/>
        <w:rPr>
          <w:rFonts w:hAnsi="宋体" w:cs="宋体"/>
          <w:color w:val="auto"/>
          <w:sz w:val="21"/>
          <w:szCs w:val="21"/>
          <w:highlight w:val="none"/>
        </w:rPr>
      </w:pPr>
      <w:bookmarkStart w:id="465" w:name="_Toc25816"/>
      <w:r>
        <w:rPr>
          <w:rFonts w:hint="eastAsia" w:hAnsi="宋体" w:cs="宋体"/>
          <w:color w:val="auto"/>
          <w:sz w:val="21"/>
          <w:szCs w:val="21"/>
          <w:highlight w:val="none"/>
        </w:rPr>
        <w:t>采购人：（以下称甲方）</w:t>
      </w:r>
    </w:p>
    <w:p>
      <w:pPr>
        <w:pStyle w:val="219"/>
        <w:spacing w:before="0" w:beforeAutospacing="0" w:after="0" w:afterAutospacing="0" w:line="400" w:lineRule="exact"/>
        <w:rPr>
          <w:rFonts w:hAnsi="宋体" w:cs="宋体"/>
          <w:color w:val="auto"/>
          <w:sz w:val="21"/>
          <w:szCs w:val="21"/>
          <w:highlight w:val="none"/>
        </w:rPr>
      </w:pPr>
      <w:r>
        <w:rPr>
          <w:rFonts w:hint="eastAsia" w:hAnsi="宋体" w:cs="宋体"/>
          <w:color w:val="auto"/>
          <w:sz w:val="21"/>
          <w:szCs w:val="21"/>
          <w:highlight w:val="none"/>
        </w:rPr>
        <w:t>中标人：（以下称乙方）</w:t>
      </w:r>
    </w:p>
    <w:p>
      <w:pPr>
        <w:snapToGrid w:val="0"/>
        <w:spacing w:line="400" w:lineRule="exact"/>
        <w:ind w:firstLine="719"/>
        <w:rPr>
          <w:rFonts w:ascii="宋体" w:hAnsi="宋体" w:cs="宋体"/>
          <w:color w:val="auto"/>
          <w:szCs w:val="21"/>
          <w:highlight w:val="none"/>
          <w:u w:val="single"/>
        </w:rPr>
      </w:pPr>
      <w:r>
        <w:rPr>
          <w:rFonts w:hint="eastAsia" w:ascii="宋体" w:hAnsi="宋体" w:cs="宋体"/>
          <w:color w:val="auto"/>
          <w:szCs w:val="21"/>
          <w:highlight w:val="none"/>
          <w:u w:val="single"/>
        </w:rPr>
        <w:t>(甲方)</w:t>
      </w:r>
      <w:r>
        <w:rPr>
          <w:rFonts w:hint="eastAsia" w:ascii="宋体" w:hAnsi="宋体" w:cs="宋体"/>
          <w:color w:val="auto"/>
          <w:szCs w:val="21"/>
          <w:highlight w:val="none"/>
        </w:rPr>
        <w:t xml:space="preserve"> 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经</w:t>
      </w:r>
      <w:r>
        <w:rPr>
          <w:rFonts w:hint="eastAsia" w:ascii="宋体" w:hAnsi="宋体" w:cs="宋体"/>
          <w:color w:val="auto"/>
          <w:szCs w:val="21"/>
          <w:highlight w:val="none"/>
          <w:u w:val="single"/>
        </w:rPr>
        <w:t>(采购代理机构)</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以</w:t>
      </w:r>
      <w:r>
        <w:rPr>
          <w:rFonts w:hint="eastAsia" w:ascii="宋体" w:hAnsi="宋体" w:cs="宋体"/>
          <w:color w:val="auto"/>
          <w:szCs w:val="21"/>
          <w:highlight w:val="none"/>
          <w:u w:val="single"/>
        </w:rPr>
        <w:t>竞争性磋商方式</w:t>
      </w: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年   月   日</w:t>
      </w:r>
      <w:r>
        <w:rPr>
          <w:rFonts w:hint="eastAsia" w:ascii="宋体" w:hAnsi="宋体" w:cs="宋体"/>
          <w:color w:val="auto"/>
          <w:szCs w:val="21"/>
          <w:highlight w:val="none"/>
        </w:rPr>
        <w:t>进行采购。经评审委员会评定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(乙方)为中标人。甲乙双方依据《中华人民共和国政府采购法》、《中华人民共和国民法典》，在平等自愿的基础上，同意按照下面的条款和条件，签署本合同。</w:t>
      </w:r>
    </w:p>
    <w:p>
      <w:pPr>
        <w:snapToGrid w:val="0"/>
        <w:spacing w:line="400" w:lineRule="exact"/>
        <w:ind w:firstLine="420" w:firstLineChars="200"/>
        <w:outlineLvl w:val="1"/>
        <w:rPr>
          <w:rFonts w:ascii="宋体" w:hAnsi="宋体" w:cs="宋体"/>
          <w:color w:val="auto"/>
          <w:szCs w:val="21"/>
          <w:highlight w:val="none"/>
        </w:rPr>
      </w:pPr>
      <w:bookmarkStart w:id="466" w:name="_Toc19273"/>
      <w:bookmarkStart w:id="467" w:name="_Toc31972"/>
      <w:bookmarkStart w:id="468" w:name="_Toc22967"/>
      <w:bookmarkStart w:id="469" w:name="_Toc28855"/>
      <w:bookmarkStart w:id="470" w:name="_Toc15367"/>
      <w:bookmarkStart w:id="471" w:name="_Toc20421"/>
      <w:r>
        <w:rPr>
          <w:rFonts w:hint="eastAsia" w:ascii="宋体" w:hAnsi="宋体" w:cs="宋体"/>
          <w:color w:val="auto"/>
          <w:szCs w:val="21"/>
          <w:highlight w:val="none"/>
        </w:rPr>
        <w:t>1.1 合同组成部分</w:t>
      </w:r>
      <w:bookmarkEnd w:id="466"/>
      <w:bookmarkEnd w:id="467"/>
      <w:bookmarkEnd w:id="468"/>
      <w:bookmarkEnd w:id="469"/>
      <w:bookmarkEnd w:id="470"/>
      <w:bookmarkEnd w:id="471"/>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400" w:lineRule="exact"/>
        <w:ind w:firstLine="420" w:firstLineChars="200"/>
        <w:rPr>
          <w:rFonts w:ascii="宋体" w:hAnsi="宋体" w:cs="宋体"/>
          <w:color w:val="auto"/>
          <w:szCs w:val="21"/>
          <w:highlight w:val="none"/>
        </w:rPr>
      </w:pPr>
      <w:bookmarkStart w:id="472" w:name="_Toc6311"/>
      <w:bookmarkStart w:id="473" w:name="_Toc6773"/>
      <w:bookmarkStart w:id="474" w:name="_Toc18585"/>
      <w:bookmarkStart w:id="475" w:name="_Toc2918"/>
      <w:bookmarkStart w:id="476" w:name="_Toc22185"/>
      <w:r>
        <w:rPr>
          <w:rFonts w:hint="eastAsia" w:ascii="宋体" w:hAnsi="宋体" w:cs="宋体"/>
          <w:color w:val="auto"/>
          <w:szCs w:val="21"/>
          <w:highlight w:val="none"/>
        </w:rPr>
        <w:t>1.1.1本合同条款和合同补充条款或说明；</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1.1.2中标通知书； </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1.1.3 投标人在询标时的书面承诺； </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 投标文件；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 补充文件；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 招标文件；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1.1.7考核制度及方法；</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上述所指合同文件应认为是互相补充和解释的，但是有模棱两可或互相矛盾之处，以其所列内容先后顺序为准。</w:t>
      </w:r>
    </w:p>
    <w:p>
      <w:pPr>
        <w:snapToGrid w:val="0"/>
        <w:spacing w:line="400" w:lineRule="exact"/>
        <w:ind w:firstLine="420" w:firstLineChars="200"/>
        <w:outlineLvl w:val="1"/>
        <w:rPr>
          <w:rFonts w:ascii="宋体" w:hAnsi="宋体" w:cs="宋体"/>
          <w:color w:val="auto"/>
          <w:szCs w:val="21"/>
          <w:highlight w:val="none"/>
        </w:rPr>
      </w:pPr>
      <w:bookmarkStart w:id="477" w:name="_Toc4766"/>
      <w:r>
        <w:rPr>
          <w:rFonts w:hint="eastAsia" w:ascii="宋体" w:hAnsi="宋体" w:cs="宋体"/>
          <w:color w:val="auto"/>
          <w:szCs w:val="21"/>
          <w:highlight w:val="none"/>
        </w:rPr>
        <w:t>1.2 标的</w:t>
      </w:r>
      <w:bookmarkEnd w:id="472"/>
      <w:bookmarkEnd w:id="473"/>
      <w:bookmarkEnd w:id="474"/>
      <w:bookmarkEnd w:id="475"/>
      <w:bookmarkEnd w:id="476"/>
      <w:bookmarkEnd w:id="477"/>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标的名称：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 标的数量：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 标的质量：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1.2.4 标的事项：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400" w:lineRule="exact"/>
        <w:ind w:firstLine="420" w:firstLineChars="200"/>
        <w:outlineLvl w:val="1"/>
        <w:rPr>
          <w:rFonts w:ascii="宋体" w:hAnsi="宋体" w:cs="宋体"/>
          <w:color w:val="auto"/>
          <w:szCs w:val="21"/>
          <w:highlight w:val="none"/>
        </w:rPr>
      </w:pPr>
      <w:bookmarkStart w:id="478" w:name="_Toc5635"/>
      <w:bookmarkStart w:id="479" w:name="_Toc1386"/>
      <w:bookmarkStart w:id="480" w:name="_Toc4929"/>
      <w:bookmarkStart w:id="481" w:name="_Toc21124"/>
      <w:bookmarkStart w:id="482" w:name="_Toc13918"/>
      <w:bookmarkStart w:id="483" w:name="_Toc32110"/>
      <w:r>
        <w:rPr>
          <w:rFonts w:hint="eastAsia" w:ascii="宋体" w:hAnsi="宋体" w:cs="宋体"/>
          <w:color w:val="auto"/>
          <w:szCs w:val="21"/>
          <w:highlight w:val="none"/>
        </w:rPr>
        <w:t>1.3 价款</w:t>
      </w:r>
      <w:bookmarkEnd w:id="478"/>
      <w:bookmarkEnd w:id="479"/>
      <w:bookmarkEnd w:id="480"/>
      <w:bookmarkEnd w:id="481"/>
      <w:bookmarkEnd w:id="482"/>
      <w:bookmarkEnd w:id="483"/>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本合同总价为：￥元（大写：元人民币）。</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分项价格：</w:t>
      </w:r>
    </w:p>
    <w:tbl>
      <w:tblPr>
        <w:tblStyle w:val="42"/>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125"/>
        <w:gridCol w:w="728"/>
        <w:gridCol w:w="706"/>
        <w:gridCol w:w="693"/>
        <w:gridCol w:w="717"/>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noWrap/>
            <w:vAlign w:val="center"/>
          </w:tcPr>
          <w:p>
            <w:pPr>
              <w:snapToGrid w:val="0"/>
              <w:spacing w:line="400" w:lineRule="exact"/>
              <w:rPr>
                <w:rFonts w:ascii="宋体" w:hAnsi="宋体" w:cs="宋体"/>
                <w:color w:val="auto"/>
                <w:szCs w:val="21"/>
                <w:highlight w:val="none"/>
              </w:rPr>
            </w:pPr>
            <w:bookmarkStart w:id="484" w:name="_Toc30158"/>
            <w:bookmarkStart w:id="485" w:name="_Toc14993"/>
            <w:bookmarkStart w:id="486" w:name="_Toc26916"/>
            <w:bookmarkStart w:id="487" w:name="_Toc23224"/>
            <w:bookmarkStart w:id="488" w:name="_Toc3654"/>
            <w:bookmarkStart w:id="489" w:name="_Toc30506"/>
            <w:r>
              <w:rPr>
                <w:rFonts w:hint="eastAsia" w:ascii="宋体" w:hAnsi="宋体" w:cs="宋体"/>
                <w:color w:val="auto"/>
                <w:szCs w:val="21"/>
                <w:highlight w:val="none"/>
              </w:rPr>
              <w:t>序号</w:t>
            </w:r>
          </w:p>
        </w:tc>
        <w:tc>
          <w:tcPr>
            <w:tcW w:w="1125" w:type="dxa"/>
            <w:noWrap/>
            <w:vAlign w:val="center"/>
          </w:tcPr>
          <w:p>
            <w:pPr>
              <w:snapToGrid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分项名称</w:t>
            </w:r>
          </w:p>
        </w:tc>
        <w:tc>
          <w:tcPr>
            <w:tcW w:w="728" w:type="dxa"/>
            <w:noWrap/>
            <w:vAlign w:val="center"/>
          </w:tcPr>
          <w:p>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品牌</w:t>
            </w:r>
          </w:p>
        </w:tc>
        <w:tc>
          <w:tcPr>
            <w:tcW w:w="706" w:type="dxa"/>
            <w:noWrap/>
            <w:vAlign w:val="center"/>
          </w:tcPr>
          <w:p>
            <w:pPr>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型号</w:t>
            </w:r>
          </w:p>
        </w:tc>
        <w:tc>
          <w:tcPr>
            <w:tcW w:w="693" w:type="dxa"/>
            <w:noWrap/>
            <w:vAlign w:val="center"/>
          </w:tcPr>
          <w:p>
            <w:pPr>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数量</w:t>
            </w:r>
          </w:p>
        </w:tc>
        <w:tc>
          <w:tcPr>
            <w:tcW w:w="717" w:type="dxa"/>
            <w:noWrap/>
            <w:vAlign w:val="center"/>
          </w:tcPr>
          <w:p>
            <w:pPr>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单价</w:t>
            </w:r>
          </w:p>
        </w:tc>
        <w:tc>
          <w:tcPr>
            <w:tcW w:w="4239" w:type="dxa"/>
            <w:noWrap/>
            <w:vAlign w:val="center"/>
          </w:tcPr>
          <w:p>
            <w:pPr>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noWrap/>
            <w:vAlign w:val="center"/>
          </w:tcPr>
          <w:p>
            <w:pPr>
              <w:snapToGrid w:val="0"/>
              <w:spacing w:line="400" w:lineRule="exact"/>
              <w:ind w:firstLine="420" w:firstLineChars="200"/>
              <w:rPr>
                <w:rFonts w:ascii="宋体" w:hAnsi="宋体" w:cs="宋体"/>
                <w:color w:val="auto"/>
                <w:szCs w:val="21"/>
                <w:highlight w:val="none"/>
              </w:rPr>
            </w:pPr>
          </w:p>
        </w:tc>
        <w:tc>
          <w:tcPr>
            <w:tcW w:w="1125" w:type="dxa"/>
            <w:noWrap/>
            <w:vAlign w:val="center"/>
          </w:tcPr>
          <w:p>
            <w:pPr>
              <w:snapToGrid w:val="0"/>
              <w:spacing w:line="400" w:lineRule="exact"/>
              <w:ind w:firstLine="420" w:firstLineChars="200"/>
              <w:rPr>
                <w:rFonts w:ascii="宋体" w:hAnsi="宋体" w:cs="宋体"/>
                <w:color w:val="auto"/>
                <w:szCs w:val="21"/>
                <w:highlight w:val="none"/>
              </w:rPr>
            </w:pPr>
          </w:p>
        </w:tc>
        <w:tc>
          <w:tcPr>
            <w:tcW w:w="728" w:type="dxa"/>
            <w:noWrap/>
            <w:vAlign w:val="center"/>
          </w:tcPr>
          <w:p>
            <w:pPr>
              <w:snapToGrid w:val="0"/>
              <w:spacing w:line="400" w:lineRule="exact"/>
              <w:ind w:firstLine="420" w:firstLineChars="200"/>
              <w:rPr>
                <w:rFonts w:ascii="宋体" w:hAnsi="宋体" w:cs="宋体"/>
                <w:color w:val="auto"/>
                <w:szCs w:val="21"/>
                <w:highlight w:val="none"/>
              </w:rPr>
            </w:pPr>
          </w:p>
        </w:tc>
        <w:tc>
          <w:tcPr>
            <w:tcW w:w="706" w:type="dxa"/>
            <w:noWrap/>
            <w:vAlign w:val="center"/>
          </w:tcPr>
          <w:p>
            <w:pPr>
              <w:snapToGrid w:val="0"/>
              <w:spacing w:line="400" w:lineRule="exact"/>
              <w:ind w:firstLine="420" w:firstLineChars="200"/>
              <w:rPr>
                <w:rFonts w:ascii="宋体" w:hAnsi="宋体" w:cs="宋体"/>
                <w:color w:val="auto"/>
                <w:szCs w:val="21"/>
                <w:highlight w:val="none"/>
              </w:rPr>
            </w:pPr>
          </w:p>
        </w:tc>
        <w:tc>
          <w:tcPr>
            <w:tcW w:w="693" w:type="dxa"/>
            <w:noWrap/>
            <w:vAlign w:val="center"/>
          </w:tcPr>
          <w:p>
            <w:pPr>
              <w:snapToGrid w:val="0"/>
              <w:spacing w:line="400" w:lineRule="exact"/>
              <w:ind w:firstLine="420" w:firstLineChars="200"/>
              <w:rPr>
                <w:rFonts w:ascii="宋体" w:hAnsi="宋体" w:cs="宋体"/>
                <w:color w:val="auto"/>
                <w:szCs w:val="21"/>
                <w:highlight w:val="none"/>
              </w:rPr>
            </w:pPr>
          </w:p>
        </w:tc>
        <w:tc>
          <w:tcPr>
            <w:tcW w:w="717" w:type="dxa"/>
            <w:noWrap/>
            <w:vAlign w:val="center"/>
          </w:tcPr>
          <w:p>
            <w:pPr>
              <w:snapToGrid w:val="0"/>
              <w:spacing w:line="400" w:lineRule="exact"/>
              <w:ind w:firstLine="420" w:firstLineChars="200"/>
              <w:rPr>
                <w:rFonts w:ascii="宋体" w:hAnsi="宋体" w:cs="宋体"/>
                <w:color w:val="auto"/>
                <w:szCs w:val="21"/>
                <w:highlight w:val="none"/>
              </w:rPr>
            </w:pPr>
          </w:p>
        </w:tc>
        <w:tc>
          <w:tcPr>
            <w:tcW w:w="4239" w:type="dxa"/>
            <w:noWrap/>
            <w:vAlign w:val="center"/>
          </w:tcPr>
          <w:p>
            <w:pPr>
              <w:snapToGrid w:val="0"/>
              <w:spacing w:line="400" w:lineRule="exact"/>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noWrap/>
            <w:vAlign w:val="center"/>
          </w:tcPr>
          <w:p>
            <w:pPr>
              <w:snapToGrid w:val="0"/>
              <w:spacing w:line="400" w:lineRule="exact"/>
              <w:ind w:firstLine="420" w:firstLineChars="200"/>
              <w:rPr>
                <w:rFonts w:ascii="宋体" w:hAnsi="宋体" w:cs="宋体"/>
                <w:color w:val="auto"/>
                <w:szCs w:val="21"/>
                <w:highlight w:val="none"/>
              </w:rPr>
            </w:pPr>
          </w:p>
        </w:tc>
        <w:tc>
          <w:tcPr>
            <w:tcW w:w="1125" w:type="dxa"/>
            <w:noWrap/>
            <w:vAlign w:val="center"/>
          </w:tcPr>
          <w:p>
            <w:pPr>
              <w:snapToGrid w:val="0"/>
              <w:spacing w:line="400" w:lineRule="exact"/>
              <w:ind w:firstLine="420" w:firstLineChars="200"/>
              <w:rPr>
                <w:rFonts w:ascii="宋体" w:hAnsi="宋体" w:cs="宋体"/>
                <w:color w:val="auto"/>
                <w:szCs w:val="21"/>
                <w:highlight w:val="none"/>
              </w:rPr>
            </w:pPr>
          </w:p>
        </w:tc>
        <w:tc>
          <w:tcPr>
            <w:tcW w:w="728" w:type="dxa"/>
            <w:noWrap/>
            <w:vAlign w:val="center"/>
          </w:tcPr>
          <w:p>
            <w:pPr>
              <w:snapToGrid w:val="0"/>
              <w:spacing w:line="400" w:lineRule="exact"/>
              <w:ind w:firstLine="420" w:firstLineChars="200"/>
              <w:rPr>
                <w:rFonts w:ascii="宋体" w:hAnsi="宋体" w:cs="宋体"/>
                <w:color w:val="auto"/>
                <w:szCs w:val="21"/>
                <w:highlight w:val="none"/>
              </w:rPr>
            </w:pPr>
          </w:p>
        </w:tc>
        <w:tc>
          <w:tcPr>
            <w:tcW w:w="706" w:type="dxa"/>
            <w:noWrap/>
            <w:vAlign w:val="center"/>
          </w:tcPr>
          <w:p>
            <w:pPr>
              <w:snapToGrid w:val="0"/>
              <w:spacing w:line="400" w:lineRule="exact"/>
              <w:ind w:firstLine="420" w:firstLineChars="200"/>
              <w:rPr>
                <w:rFonts w:ascii="宋体" w:hAnsi="宋体" w:cs="宋体"/>
                <w:color w:val="auto"/>
                <w:szCs w:val="21"/>
                <w:highlight w:val="none"/>
              </w:rPr>
            </w:pPr>
          </w:p>
        </w:tc>
        <w:tc>
          <w:tcPr>
            <w:tcW w:w="693" w:type="dxa"/>
            <w:noWrap/>
            <w:vAlign w:val="center"/>
          </w:tcPr>
          <w:p>
            <w:pPr>
              <w:snapToGrid w:val="0"/>
              <w:spacing w:line="400" w:lineRule="exact"/>
              <w:ind w:firstLine="420" w:firstLineChars="200"/>
              <w:rPr>
                <w:rFonts w:ascii="宋体" w:hAnsi="宋体" w:cs="宋体"/>
                <w:color w:val="auto"/>
                <w:szCs w:val="21"/>
                <w:highlight w:val="none"/>
              </w:rPr>
            </w:pPr>
          </w:p>
        </w:tc>
        <w:tc>
          <w:tcPr>
            <w:tcW w:w="717" w:type="dxa"/>
            <w:noWrap/>
            <w:vAlign w:val="center"/>
          </w:tcPr>
          <w:p>
            <w:pPr>
              <w:snapToGrid w:val="0"/>
              <w:spacing w:line="400" w:lineRule="exact"/>
              <w:ind w:firstLine="420" w:firstLineChars="200"/>
              <w:rPr>
                <w:rFonts w:ascii="宋体" w:hAnsi="宋体" w:cs="宋体"/>
                <w:color w:val="auto"/>
                <w:szCs w:val="21"/>
                <w:highlight w:val="none"/>
              </w:rPr>
            </w:pPr>
          </w:p>
        </w:tc>
        <w:tc>
          <w:tcPr>
            <w:tcW w:w="4239" w:type="dxa"/>
            <w:noWrap/>
            <w:vAlign w:val="center"/>
          </w:tcPr>
          <w:p>
            <w:pPr>
              <w:snapToGrid w:val="0"/>
              <w:spacing w:line="400" w:lineRule="exact"/>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noWrap/>
            <w:vAlign w:val="center"/>
          </w:tcPr>
          <w:p>
            <w:pPr>
              <w:snapToGrid w:val="0"/>
              <w:spacing w:line="400" w:lineRule="exact"/>
              <w:ind w:firstLine="420" w:firstLineChars="200"/>
              <w:rPr>
                <w:rFonts w:ascii="宋体" w:hAnsi="宋体" w:cs="宋体"/>
                <w:color w:val="auto"/>
                <w:szCs w:val="21"/>
                <w:highlight w:val="none"/>
              </w:rPr>
            </w:pPr>
          </w:p>
        </w:tc>
        <w:tc>
          <w:tcPr>
            <w:tcW w:w="1125" w:type="dxa"/>
            <w:noWrap/>
            <w:vAlign w:val="center"/>
          </w:tcPr>
          <w:p>
            <w:pPr>
              <w:snapToGrid w:val="0"/>
              <w:spacing w:line="400" w:lineRule="exact"/>
              <w:ind w:firstLine="420" w:firstLineChars="200"/>
              <w:rPr>
                <w:rFonts w:ascii="宋体" w:hAnsi="宋体" w:cs="宋体"/>
                <w:color w:val="auto"/>
                <w:szCs w:val="21"/>
                <w:highlight w:val="none"/>
              </w:rPr>
            </w:pPr>
          </w:p>
        </w:tc>
        <w:tc>
          <w:tcPr>
            <w:tcW w:w="728" w:type="dxa"/>
            <w:noWrap/>
            <w:vAlign w:val="center"/>
          </w:tcPr>
          <w:p>
            <w:pPr>
              <w:snapToGrid w:val="0"/>
              <w:spacing w:line="400" w:lineRule="exact"/>
              <w:ind w:firstLine="420" w:firstLineChars="200"/>
              <w:rPr>
                <w:rFonts w:ascii="宋体" w:hAnsi="宋体" w:cs="宋体"/>
                <w:color w:val="auto"/>
                <w:szCs w:val="21"/>
                <w:highlight w:val="none"/>
              </w:rPr>
            </w:pPr>
          </w:p>
        </w:tc>
        <w:tc>
          <w:tcPr>
            <w:tcW w:w="706" w:type="dxa"/>
            <w:noWrap/>
            <w:vAlign w:val="center"/>
          </w:tcPr>
          <w:p>
            <w:pPr>
              <w:snapToGrid w:val="0"/>
              <w:spacing w:line="400" w:lineRule="exact"/>
              <w:ind w:firstLine="420" w:firstLineChars="200"/>
              <w:rPr>
                <w:rFonts w:ascii="宋体" w:hAnsi="宋体" w:cs="宋体"/>
                <w:color w:val="auto"/>
                <w:szCs w:val="21"/>
                <w:highlight w:val="none"/>
              </w:rPr>
            </w:pPr>
          </w:p>
        </w:tc>
        <w:tc>
          <w:tcPr>
            <w:tcW w:w="693" w:type="dxa"/>
            <w:noWrap/>
            <w:vAlign w:val="center"/>
          </w:tcPr>
          <w:p>
            <w:pPr>
              <w:snapToGrid w:val="0"/>
              <w:spacing w:line="400" w:lineRule="exact"/>
              <w:ind w:firstLine="420" w:firstLineChars="200"/>
              <w:rPr>
                <w:rFonts w:ascii="宋体" w:hAnsi="宋体" w:cs="宋体"/>
                <w:color w:val="auto"/>
                <w:szCs w:val="21"/>
                <w:highlight w:val="none"/>
              </w:rPr>
            </w:pPr>
          </w:p>
        </w:tc>
        <w:tc>
          <w:tcPr>
            <w:tcW w:w="717" w:type="dxa"/>
            <w:noWrap/>
            <w:vAlign w:val="center"/>
          </w:tcPr>
          <w:p>
            <w:pPr>
              <w:snapToGrid w:val="0"/>
              <w:spacing w:line="400" w:lineRule="exact"/>
              <w:ind w:firstLine="420" w:firstLineChars="200"/>
              <w:rPr>
                <w:rFonts w:ascii="宋体" w:hAnsi="宋体" w:cs="宋体"/>
                <w:color w:val="auto"/>
                <w:szCs w:val="21"/>
                <w:highlight w:val="none"/>
              </w:rPr>
            </w:pPr>
          </w:p>
        </w:tc>
        <w:tc>
          <w:tcPr>
            <w:tcW w:w="4239" w:type="dxa"/>
            <w:noWrap/>
            <w:vAlign w:val="center"/>
          </w:tcPr>
          <w:p>
            <w:pPr>
              <w:snapToGrid w:val="0"/>
              <w:spacing w:line="400" w:lineRule="exact"/>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noWrap/>
            <w:vAlign w:val="center"/>
          </w:tcPr>
          <w:p>
            <w:pPr>
              <w:snapToGrid w:val="0"/>
              <w:spacing w:line="400" w:lineRule="exact"/>
              <w:ind w:firstLine="420" w:firstLineChars="200"/>
              <w:rPr>
                <w:rFonts w:ascii="宋体" w:hAnsi="宋体" w:cs="宋体"/>
                <w:color w:val="auto"/>
                <w:szCs w:val="21"/>
                <w:highlight w:val="none"/>
              </w:rPr>
            </w:pPr>
          </w:p>
        </w:tc>
        <w:tc>
          <w:tcPr>
            <w:tcW w:w="1125" w:type="dxa"/>
            <w:noWrap/>
            <w:vAlign w:val="center"/>
          </w:tcPr>
          <w:p>
            <w:pPr>
              <w:snapToGrid w:val="0"/>
              <w:spacing w:line="400" w:lineRule="exact"/>
              <w:ind w:firstLine="420" w:firstLineChars="200"/>
              <w:rPr>
                <w:rFonts w:ascii="宋体" w:hAnsi="宋体" w:cs="宋体"/>
                <w:color w:val="auto"/>
                <w:szCs w:val="21"/>
                <w:highlight w:val="none"/>
              </w:rPr>
            </w:pPr>
          </w:p>
        </w:tc>
        <w:tc>
          <w:tcPr>
            <w:tcW w:w="728" w:type="dxa"/>
            <w:noWrap/>
            <w:vAlign w:val="center"/>
          </w:tcPr>
          <w:p>
            <w:pPr>
              <w:snapToGrid w:val="0"/>
              <w:spacing w:line="400" w:lineRule="exact"/>
              <w:ind w:firstLine="420" w:firstLineChars="200"/>
              <w:rPr>
                <w:rFonts w:ascii="宋体" w:hAnsi="宋体" w:cs="宋体"/>
                <w:color w:val="auto"/>
                <w:szCs w:val="21"/>
                <w:highlight w:val="none"/>
              </w:rPr>
            </w:pPr>
          </w:p>
        </w:tc>
        <w:tc>
          <w:tcPr>
            <w:tcW w:w="706" w:type="dxa"/>
            <w:noWrap/>
            <w:vAlign w:val="center"/>
          </w:tcPr>
          <w:p>
            <w:pPr>
              <w:snapToGrid w:val="0"/>
              <w:spacing w:line="400" w:lineRule="exact"/>
              <w:ind w:firstLine="420" w:firstLineChars="200"/>
              <w:rPr>
                <w:rFonts w:ascii="宋体" w:hAnsi="宋体" w:cs="宋体"/>
                <w:color w:val="auto"/>
                <w:szCs w:val="21"/>
                <w:highlight w:val="none"/>
              </w:rPr>
            </w:pPr>
          </w:p>
        </w:tc>
        <w:tc>
          <w:tcPr>
            <w:tcW w:w="693" w:type="dxa"/>
            <w:noWrap/>
            <w:vAlign w:val="center"/>
          </w:tcPr>
          <w:p>
            <w:pPr>
              <w:snapToGrid w:val="0"/>
              <w:spacing w:line="400" w:lineRule="exact"/>
              <w:ind w:firstLine="420" w:firstLineChars="200"/>
              <w:rPr>
                <w:rFonts w:ascii="宋体" w:hAnsi="宋体" w:cs="宋体"/>
                <w:color w:val="auto"/>
                <w:szCs w:val="21"/>
                <w:highlight w:val="none"/>
              </w:rPr>
            </w:pPr>
          </w:p>
        </w:tc>
        <w:tc>
          <w:tcPr>
            <w:tcW w:w="717" w:type="dxa"/>
            <w:noWrap/>
            <w:vAlign w:val="center"/>
          </w:tcPr>
          <w:p>
            <w:pPr>
              <w:snapToGrid w:val="0"/>
              <w:spacing w:line="400" w:lineRule="exact"/>
              <w:ind w:firstLine="420" w:firstLineChars="200"/>
              <w:rPr>
                <w:rFonts w:ascii="宋体" w:hAnsi="宋体" w:cs="宋体"/>
                <w:color w:val="auto"/>
                <w:szCs w:val="21"/>
                <w:highlight w:val="none"/>
              </w:rPr>
            </w:pPr>
          </w:p>
        </w:tc>
        <w:tc>
          <w:tcPr>
            <w:tcW w:w="4239" w:type="dxa"/>
            <w:noWrap/>
            <w:vAlign w:val="center"/>
          </w:tcPr>
          <w:p>
            <w:pPr>
              <w:snapToGrid w:val="0"/>
              <w:spacing w:line="400" w:lineRule="exact"/>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2" w:type="dxa"/>
            <w:gridSpan w:val="2"/>
            <w:noWrap/>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总价</w:t>
            </w:r>
          </w:p>
        </w:tc>
        <w:tc>
          <w:tcPr>
            <w:tcW w:w="728" w:type="dxa"/>
            <w:noWrap/>
            <w:vAlign w:val="center"/>
          </w:tcPr>
          <w:p>
            <w:pPr>
              <w:snapToGrid w:val="0"/>
              <w:spacing w:line="400" w:lineRule="exact"/>
              <w:ind w:firstLine="420" w:firstLineChars="200"/>
              <w:rPr>
                <w:rFonts w:ascii="宋体" w:hAnsi="宋体" w:cs="宋体"/>
                <w:color w:val="auto"/>
                <w:szCs w:val="21"/>
                <w:highlight w:val="none"/>
              </w:rPr>
            </w:pPr>
          </w:p>
        </w:tc>
        <w:tc>
          <w:tcPr>
            <w:tcW w:w="706" w:type="dxa"/>
            <w:noWrap/>
            <w:vAlign w:val="center"/>
          </w:tcPr>
          <w:p>
            <w:pPr>
              <w:snapToGrid w:val="0"/>
              <w:spacing w:line="400" w:lineRule="exact"/>
              <w:ind w:firstLine="420" w:firstLineChars="200"/>
              <w:rPr>
                <w:rFonts w:ascii="宋体" w:hAnsi="宋体" w:cs="宋体"/>
                <w:color w:val="auto"/>
                <w:szCs w:val="21"/>
                <w:highlight w:val="none"/>
              </w:rPr>
            </w:pPr>
          </w:p>
        </w:tc>
        <w:tc>
          <w:tcPr>
            <w:tcW w:w="693" w:type="dxa"/>
            <w:noWrap/>
            <w:vAlign w:val="center"/>
          </w:tcPr>
          <w:p>
            <w:pPr>
              <w:snapToGrid w:val="0"/>
              <w:spacing w:line="400" w:lineRule="exact"/>
              <w:ind w:firstLine="420" w:firstLineChars="200"/>
              <w:rPr>
                <w:rFonts w:ascii="宋体" w:hAnsi="宋体" w:cs="宋体"/>
                <w:color w:val="auto"/>
                <w:szCs w:val="21"/>
                <w:highlight w:val="none"/>
              </w:rPr>
            </w:pPr>
          </w:p>
        </w:tc>
        <w:tc>
          <w:tcPr>
            <w:tcW w:w="717" w:type="dxa"/>
            <w:noWrap/>
            <w:vAlign w:val="center"/>
          </w:tcPr>
          <w:p>
            <w:pPr>
              <w:snapToGrid w:val="0"/>
              <w:spacing w:line="400" w:lineRule="exact"/>
              <w:ind w:firstLine="420" w:firstLineChars="200"/>
              <w:rPr>
                <w:rFonts w:ascii="宋体" w:hAnsi="宋体" w:cs="宋体"/>
                <w:color w:val="auto"/>
                <w:szCs w:val="21"/>
                <w:highlight w:val="none"/>
              </w:rPr>
            </w:pPr>
          </w:p>
        </w:tc>
        <w:tc>
          <w:tcPr>
            <w:tcW w:w="4239" w:type="dxa"/>
            <w:noWrap/>
            <w:vAlign w:val="center"/>
          </w:tcPr>
          <w:p>
            <w:pPr>
              <w:snapToGrid w:val="0"/>
              <w:spacing w:line="400" w:lineRule="exact"/>
              <w:ind w:firstLine="420" w:firstLineChars="200"/>
              <w:rPr>
                <w:rFonts w:ascii="宋体" w:hAnsi="宋体" w:cs="宋体"/>
                <w:color w:val="auto"/>
                <w:szCs w:val="21"/>
                <w:highlight w:val="none"/>
              </w:rPr>
            </w:pPr>
          </w:p>
        </w:tc>
      </w:tr>
      <w:bookmarkEnd w:id="484"/>
      <w:bookmarkEnd w:id="485"/>
      <w:bookmarkEnd w:id="486"/>
      <w:bookmarkEnd w:id="487"/>
      <w:bookmarkEnd w:id="488"/>
      <w:bookmarkEnd w:id="489"/>
    </w:tbl>
    <w:p>
      <w:pPr>
        <w:snapToGrid w:val="0"/>
        <w:spacing w:line="400" w:lineRule="exact"/>
        <w:ind w:firstLine="422" w:firstLineChars="200"/>
        <w:outlineLvl w:val="1"/>
        <w:rPr>
          <w:rFonts w:ascii="宋体" w:hAnsi="宋体" w:cs="宋体"/>
          <w:b/>
          <w:bCs/>
          <w:color w:val="auto"/>
          <w:kern w:val="0"/>
          <w:szCs w:val="21"/>
          <w:highlight w:val="none"/>
        </w:rPr>
      </w:pPr>
      <w:bookmarkStart w:id="490" w:name="_Toc31421"/>
      <w:bookmarkStart w:id="491" w:name="_Toc11108"/>
      <w:bookmarkStart w:id="492" w:name="_Toc3625"/>
      <w:bookmarkStart w:id="493" w:name="_Toc8772"/>
      <w:r>
        <w:rPr>
          <w:rFonts w:hint="eastAsia" w:ascii="宋体" w:hAnsi="宋体" w:cs="宋体"/>
          <w:b/>
          <w:bCs/>
          <w:color w:val="auto"/>
          <w:kern w:val="0"/>
          <w:szCs w:val="21"/>
          <w:highlight w:val="none"/>
        </w:rPr>
        <w:t>1.4 付款方式和发票开具方式</w:t>
      </w:r>
    </w:p>
    <w:p>
      <w:pPr>
        <w:snapToGrid w:val="0"/>
        <w:spacing w:line="400" w:lineRule="exact"/>
        <w:ind w:firstLine="422" w:firstLineChars="200"/>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1.4.1</w:t>
      </w:r>
      <w:r>
        <w:rPr>
          <w:rFonts w:hint="eastAsia" w:ascii="宋体" w:hAnsi="宋体" w:cs="宋体"/>
          <w:b/>
          <w:bCs/>
          <w:color w:val="auto"/>
          <w:kern w:val="0"/>
          <w:szCs w:val="21"/>
          <w:highlight w:val="none"/>
          <w:lang w:val="zh-CN"/>
        </w:rPr>
        <w:t>合同签订后</w:t>
      </w:r>
      <w:r>
        <w:rPr>
          <w:rFonts w:hint="eastAsia" w:ascii="宋体" w:hAnsi="宋体" w:cs="宋体"/>
          <w:b/>
          <w:bCs/>
          <w:color w:val="auto"/>
          <w:kern w:val="0"/>
          <w:szCs w:val="21"/>
          <w:highlight w:val="none"/>
        </w:rPr>
        <w:t>7个工作日内支付</w:t>
      </w:r>
      <w:r>
        <w:rPr>
          <w:rFonts w:hint="eastAsia" w:ascii="宋体" w:hAnsi="宋体" w:cs="宋体"/>
          <w:b/>
          <w:bCs/>
          <w:color w:val="auto"/>
          <w:kern w:val="0"/>
          <w:szCs w:val="21"/>
          <w:highlight w:val="none"/>
          <w:lang w:val="en-US" w:eastAsia="zh-CN"/>
        </w:rPr>
        <w:t>合同</w:t>
      </w:r>
      <w:r>
        <w:rPr>
          <w:rFonts w:hint="eastAsia" w:ascii="宋体" w:hAnsi="宋体" w:cs="宋体"/>
          <w:b/>
          <w:bCs/>
          <w:color w:val="auto"/>
          <w:kern w:val="0"/>
          <w:szCs w:val="21"/>
          <w:highlight w:val="none"/>
        </w:rPr>
        <w:t>金额的</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0%预付款,</w:t>
      </w:r>
      <w:r>
        <w:rPr>
          <w:rFonts w:hint="eastAsia" w:ascii="宋体" w:hAnsi="宋体" w:cs="宋体"/>
          <w:b/>
          <w:bCs/>
          <w:color w:val="auto"/>
          <w:kern w:val="0"/>
          <w:szCs w:val="21"/>
          <w:highlight w:val="none"/>
          <w:lang w:val="zh-CN"/>
        </w:rPr>
        <w:t>供应商应提交银行、保险公司等金融机构出具同等金额的预付款保函；</w:t>
      </w:r>
      <w:r>
        <w:rPr>
          <w:rFonts w:hint="eastAsia" w:ascii="宋体" w:hAnsi="宋体" w:cs="宋体"/>
          <w:b/>
          <w:bCs/>
          <w:color w:val="auto"/>
          <w:kern w:val="0"/>
          <w:szCs w:val="21"/>
          <w:highlight w:val="none"/>
        </w:rPr>
        <w:t>中标方按要求完成建设后进入试运行阶段，经试运行系统正常并经采购方验收合格后开始支付租赁费用</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（租赁费用按月支付，支付时间为次月月底前。每月租赁费用＝中标价/</w:t>
      </w:r>
      <w:r>
        <w:rPr>
          <w:rFonts w:hint="eastAsia" w:ascii="宋体" w:hAnsi="宋体" w:cs="宋体"/>
          <w:b/>
          <w:bCs/>
          <w:color w:val="auto"/>
          <w:kern w:val="0"/>
          <w:szCs w:val="21"/>
          <w:highlight w:val="none"/>
          <w:lang w:val="en-US" w:eastAsia="zh-CN"/>
        </w:rPr>
        <w:t>2/24</w:t>
      </w:r>
      <w:r>
        <w:rPr>
          <w:rFonts w:hint="eastAsia" w:ascii="宋体" w:hAnsi="宋体" w:cs="宋体"/>
          <w:b/>
          <w:bCs/>
          <w:color w:val="auto"/>
          <w:kern w:val="0"/>
          <w:szCs w:val="21"/>
          <w:highlight w:val="none"/>
        </w:rPr>
        <w:t>个月。）</w:t>
      </w:r>
    </w:p>
    <w:p>
      <w:pPr>
        <w:snapToGrid w:val="0"/>
        <w:spacing w:line="400" w:lineRule="exact"/>
        <w:ind w:firstLine="422" w:firstLineChars="200"/>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1.4.2</w:t>
      </w:r>
      <w:r>
        <w:rPr>
          <w:rFonts w:hint="eastAsia" w:ascii="宋体" w:hAnsi="宋体" w:cs="宋体"/>
          <w:b/>
          <w:bCs/>
          <w:color w:val="auto"/>
          <w:kern w:val="0"/>
          <w:szCs w:val="21"/>
          <w:highlight w:val="none"/>
          <w:lang w:eastAsia="zh-CN"/>
        </w:rPr>
        <w:t>乙</w:t>
      </w:r>
      <w:r>
        <w:rPr>
          <w:rFonts w:hint="eastAsia" w:ascii="宋体" w:hAnsi="宋体" w:cs="宋体"/>
          <w:b/>
          <w:bCs/>
          <w:color w:val="auto"/>
          <w:kern w:val="0"/>
          <w:szCs w:val="21"/>
          <w:highlight w:val="none"/>
        </w:rPr>
        <w:t>方随付款进度提供正式的税务发票。</w:t>
      </w:r>
    </w:p>
    <w:p>
      <w:pPr>
        <w:snapToGrid w:val="0"/>
        <w:spacing w:line="400" w:lineRule="exact"/>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1.5 履行工期、地点和方式</w:t>
      </w:r>
      <w:bookmarkEnd w:id="490"/>
      <w:bookmarkEnd w:id="491"/>
      <w:bookmarkEnd w:id="492"/>
      <w:bookmarkEnd w:id="493"/>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 履行工期：</w:t>
      </w:r>
      <w:r>
        <w:rPr>
          <w:rFonts w:hint="eastAsia" w:ascii="宋体" w:hAnsi="宋体" w:cs="宋体"/>
          <w:color w:val="auto"/>
          <w:szCs w:val="21"/>
          <w:highlight w:val="none"/>
          <w:u w:val="single"/>
        </w:rPr>
        <w:t xml:space="preserve">        ；</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 履行地点：</w:t>
      </w:r>
      <w:r>
        <w:rPr>
          <w:rFonts w:hint="eastAsia" w:ascii="宋体" w:hAnsi="宋体" w:cs="宋体"/>
          <w:color w:val="auto"/>
          <w:szCs w:val="21"/>
          <w:highlight w:val="none"/>
          <w:u w:val="single"/>
        </w:rPr>
        <w:t xml:space="preserve">        ；</w:t>
      </w:r>
    </w:p>
    <w:p>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1.5.3 履行方式：</w:t>
      </w:r>
      <w:r>
        <w:rPr>
          <w:rFonts w:hint="eastAsia" w:ascii="宋体" w:hAnsi="宋体" w:cs="宋体"/>
          <w:color w:val="auto"/>
          <w:szCs w:val="21"/>
          <w:highlight w:val="none"/>
          <w:u w:val="single"/>
        </w:rPr>
        <w:t>　　　　　　　　　         。</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 履约保证金：履约保证金为合同金额的1%（履约保证金可以为现金，银行转账，银行、保险公司等金融机构出具保函、保单），甲乙双方签订合同前，履约保证金交付至甲方指定账户或按规定提交保函、保单。</w:t>
      </w:r>
    </w:p>
    <w:p>
      <w:pPr>
        <w:snapToGrid w:val="0"/>
        <w:spacing w:line="400" w:lineRule="exact"/>
        <w:ind w:firstLine="420" w:firstLineChars="200"/>
        <w:outlineLvl w:val="1"/>
        <w:rPr>
          <w:rFonts w:ascii="宋体" w:hAnsi="宋体" w:cs="宋体"/>
          <w:color w:val="auto"/>
          <w:szCs w:val="21"/>
          <w:highlight w:val="none"/>
        </w:rPr>
      </w:pPr>
      <w:bookmarkStart w:id="494" w:name="_Toc8586"/>
      <w:bookmarkStart w:id="495" w:name="_Toc5698"/>
      <w:bookmarkStart w:id="496" w:name="_Toc2375"/>
      <w:bookmarkStart w:id="497" w:name="_Toc3079"/>
      <w:bookmarkStart w:id="498" w:name="_Toc24662"/>
      <w:r>
        <w:rPr>
          <w:rFonts w:hint="eastAsia" w:ascii="宋体" w:hAnsi="宋体" w:cs="宋体"/>
          <w:color w:val="auto"/>
          <w:szCs w:val="21"/>
          <w:highlight w:val="none"/>
        </w:rPr>
        <w:t>1.6 违约责任</w:t>
      </w:r>
      <w:bookmarkEnd w:id="494"/>
      <w:bookmarkEnd w:id="495"/>
      <w:bookmarkEnd w:id="496"/>
      <w:bookmarkEnd w:id="497"/>
      <w:bookmarkEnd w:id="498"/>
    </w:p>
    <w:p>
      <w:pPr>
        <w:pStyle w:val="219"/>
        <w:spacing w:before="0" w:beforeAutospacing="0" w:after="0" w:afterAutospacing="0"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1.6.1 任何一方违反本合同约定均应承担违约责任，给他方造成损失的，应当赔偿损失。</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 甲方无正当理由拒绝接受服务的，甲方向乙方偿付合同款项的1%作为违约金。</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1.6.3 甲方无故逾期验收和办理款项支付手续的,每日向乙方支付合同款项的5‰的滞纳金，但累计滞纳金总额不超过合同款项的1%。</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1.6.4 乙方未能如期提供服务的，每日向甲方支付合同款项的5‰的滞纳金，但累计滞纳金总额不超过合同款项的1%。乙方超过约定日期30个工作日仍不能提供服务的，甲方可解除本合同。乙方因未能如期提供服务或因其他违约行为导致甲方解除合同的，乙方应向甲方退还已支付款项并支付合同总值1%的违约金，如造成甲方损失超过违约金的，超出部分由乙方继续承担赔偿责任。 </w:t>
      </w:r>
    </w:p>
    <w:p>
      <w:pPr>
        <w:snapToGrid w:val="0"/>
        <w:spacing w:line="400" w:lineRule="exact"/>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1.7特别约定</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完成甲方的需要，向甲方报告每阶段征收工作情况，遇重大疑难问题应及时向甲方报告；委托征收工作履行完毕，乙方应向甲方出具有关征收工作详细情况的书面报告（包括征收基本情况、补偿发放支出情况等）。</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委托期间，乙方本着负责、善意与勤勉的原则做好委托征收工作，除不可归责于乙方的责任外，乙方在实施委托征收期间造成的一切不利后果均由乙方承担。</w:t>
      </w:r>
    </w:p>
    <w:p>
      <w:pPr>
        <w:snapToGrid w:val="0"/>
        <w:spacing w:line="400" w:lineRule="exact"/>
        <w:ind w:firstLine="420" w:firstLineChars="200"/>
        <w:outlineLvl w:val="1"/>
        <w:rPr>
          <w:rFonts w:ascii="宋体" w:hAnsi="宋体" w:cs="宋体"/>
          <w:color w:val="auto"/>
          <w:szCs w:val="21"/>
          <w:highlight w:val="none"/>
        </w:rPr>
      </w:pPr>
      <w:bookmarkStart w:id="499" w:name="_Toc30329"/>
      <w:bookmarkStart w:id="500" w:name="_Toc26807"/>
      <w:bookmarkStart w:id="501" w:name="_Toc32454"/>
      <w:bookmarkStart w:id="502" w:name="_Toc9497"/>
      <w:bookmarkStart w:id="503" w:name="_Toc18683"/>
      <w:r>
        <w:rPr>
          <w:rFonts w:hint="eastAsia" w:ascii="宋体" w:hAnsi="宋体" w:cs="宋体"/>
          <w:color w:val="auto"/>
          <w:szCs w:val="21"/>
          <w:highlight w:val="none"/>
        </w:rPr>
        <w:t>1.8 合同争议的解决</w:t>
      </w:r>
      <w:bookmarkEnd w:id="499"/>
      <w:bookmarkEnd w:id="500"/>
      <w:bookmarkEnd w:id="501"/>
      <w:bookmarkEnd w:id="502"/>
      <w:bookmarkEnd w:id="503"/>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本合同履行过程中发生的任何争议，双方当事人均可通过和解或者调解解决；不愿和解、调解或者和解、调解不成的，可以选择下列 1.8.1 种方式解决：</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 将争议提交</w:t>
      </w:r>
      <w:r>
        <w:rPr>
          <w:rFonts w:hint="eastAsia" w:ascii="宋体" w:hAnsi="宋体" w:cs="宋体"/>
          <w:color w:val="auto"/>
          <w:szCs w:val="21"/>
          <w:highlight w:val="none"/>
          <w:u w:val="single"/>
        </w:rPr>
        <w:t>丽水</w:t>
      </w:r>
      <w:r>
        <w:rPr>
          <w:rFonts w:hint="eastAsia" w:ascii="宋体" w:hAnsi="宋体" w:cs="宋体"/>
          <w:color w:val="auto"/>
          <w:szCs w:val="21"/>
          <w:highlight w:val="none"/>
        </w:rPr>
        <w:t>仲裁委员会依申请仲裁时其现行有效的仲裁规则裁决；</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 向</w:t>
      </w:r>
      <w:r>
        <w:rPr>
          <w:rFonts w:hint="eastAsia" w:ascii="宋体" w:hAnsi="宋体" w:cs="宋体"/>
          <w:color w:val="auto"/>
          <w:szCs w:val="21"/>
          <w:highlight w:val="none"/>
          <w:u w:val="single"/>
        </w:rPr>
        <w:t xml:space="preserve">   （被告住所地、合同履行地、合同签订地、原告住所地、标的物所在地等与争议有实际联系的地点中选出的人民法院名称）    </w:t>
      </w:r>
      <w:r>
        <w:rPr>
          <w:rFonts w:hint="eastAsia" w:ascii="宋体" w:hAnsi="宋体" w:cs="宋体"/>
          <w:color w:val="auto"/>
          <w:szCs w:val="21"/>
          <w:highlight w:val="none"/>
        </w:rPr>
        <w:t>人民法院起诉。</w:t>
      </w:r>
    </w:p>
    <w:p>
      <w:pPr>
        <w:snapToGrid w:val="0"/>
        <w:spacing w:line="400" w:lineRule="exact"/>
        <w:ind w:firstLine="420" w:firstLineChars="200"/>
        <w:outlineLvl w:val="1"/>
        <w:rPr>
          <w:rFonts w:ascii="宋体" w:hAnsi="宋体" w:cs="宋体"/>
          <w:color w:val="auto"/>
          <w:szCs w:val="21"/>
          <w:highlight w:val="none"/>
        </w:rPr>
      </w:pPr>
      <w:bookmarkStart w:id="504" w:name="_Toc26227"/>
      <w:bookmarkStart w:id="505" w:name="_Toc23784"/>
      <w:bookmarkStart w:id="506" w:name="_Toc16417"/>
      <w:bookmarkStart w:id="507" w:name="_Toc15827"/>
      <w:bookmarkStart w:id="508" w:name="_Toc12273"/>
      <w:r>
        <w:rPr>
          <w:rFonts w:hint="eastAsia" w:ascii="宋体" w:hAnsi="宋体" w:cs="宋体"/>
          <w:color w:val="auto"/>
          <w:szCs w:val="21"/>
          <w:highlight w:val="none"/>
        </w:rPr>
        <w:t>1.9 合同生效</w:t>
      </w:r>
      <w:bookmarkEnd w:id="504"/>
      <w:bookmarkEnd w:id="505"/>
      <w:bookmarkEnd w:id="506"/>
      <w:bookmarkEnd w:id="507"/>
      <w:bookmarkEnd w:id="508"/>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 合同经双方负责人或委托代理人签字并加盖单位公章。</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合同执行中涉及采购资金和采购内容修改或补充的，须经财政部门批准，并签书面补充协议报政府采购监督管理部门备案，方可作为合同不可分割的一部分。</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 本合同自签订之日起生效。</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 本合同一式六份，买卖双方各执三份。</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1.9.5本合同应按照中华人民共和国的现行法律进行解释。</w:t>
      </w:r>
    </w:p>
    <w:p>
      <w:pPr>
        <w:pStyle w:val="41"/>
        <w:spacing w:after="0" w:line="400" w:lineRule="exact"/>
        <w:ind w:left="0" w:leftChars="0"/>
        <w:rPr>
          <w:rFonts w:ascii="宋体" w:hAnsi="宋体"/>
          <w:color w:val="auto"/>
          <w:highlight w:val="none"/>
        </w:rPr>
      </w:pPr>
    </w:p>
    <w:tbl>
      <w:tblPr>
        <w:tblStyle w:val="42"/>
        <w:tblW w:w="0" w:type="auto"/>
        <w:jc w:val="center"/>
        <w:tblLayout w:type="fixed"/>
        <w:tblCellMar>
          <w:top w:w="0" w:type="dxa"/>
          <w:left w:w="108" w:type="dxa"/>
          <w:bottom w:w="0" w:type="dxa"/>
          <w:right w:w="108" w:type="dxa"/>
        </w:tblCellMar>
      </w:tblPr>
      <w:tblGrid>
        <w:gridCol w:w="2087"/>
        <w:gridCol w:w="3599"/>
        <w:gridCol w:w="3600"/>
      </w:tblGrid>
      <w:tr>
        <w:tblPrEx>
          <w:tblCellMar>
            <w:top w:w="0" w:type="dxa"/>
            <w:left w:w="108" w:type="dxa"/>
            <w:bottom w:w="0" w:type="dxa"/>
            <w:right w:w="108" w:type="dxa"/>
          </w:tblCellMar>
        </w:tblPrEx>
        <w:trPr>
          <w:trHeight w:val="420" w:hRule="atLeast"/>
          <w:jc w:val="center"/>
        </w:trPr>
        <w:tc>
          <w:tcPr>
            <w:tcW w:w="2087" w:type="dxa"/>
            <w:vMerge w:val="restart"/>
            <w:tcBorders>
              <w:top w:val="single" w:color="auto" w:sz="4" w:space="0"/>
              <w:left w:val="single" w:color="auto" w:sz="4" w:space="0"/>
              <w:right w:val="single" w:color="auto" w:sz="4" w:space="0"/>
              <w:tl2br w:val="single" w:color="auto" w:sz="4" w:space="0"/>
            </w:tcBorders>
            <w:noWrap/>
            <w:vAlign w:val="center"/>
          </w:tcPr>
          <w:p>
            <w:pPr>
              <w:pStyle w:val="21"/>
              <w:spacing w:beforeLines="0" w:afterLines="0"/>
              <w:ind w:firstLine="367" w:firstLineChars="175"/>
              <w:jc w:val="right"/>
              <w:rPr>
                <w:rFonts w:hAnsi="宋体" w:cs="宋体"/>
                <w:color w:val="auto"/>
                <w:sz w:val="21"/>
                <w:szCs w:val="21"/>
                <w:highlight w:val="none"/>
              </w:rPr>
            </w:pPr>
            <w:r>
              <w:rPr>
                <w:rFonts w:hint="eastAsia" w:hAnsi="宋体" w:cs="宋体"/>
                <w:color w:val="auto"/>
                <w:sz w:val="21"/>
                <w:szCs w:val="21"/>
                <w:highlight w:val="none"/>
              </w:rPr>
              <w:t>单位名称</w:t>
            </w:r>
          </w:p>
          <w:p>
            <w:pPr>
              <w:pStyle w:val="21"/>
              <w:spacing w:beforeLines="0" w:afterLines="0"/>
              <w:rPr>
                <w:rFonts w:hAnsi="宋体" w:cs="宋体"/>
                <w:color w:val="auto"/>
                <w:sz w:val="21"/>
                <w:szCs w:val="21"/>
                <w:highlight w:val="none"/>
              </w:rPr>
            </w:pPr>
            <w:r>
              <w:rPr>
                <w:rFonts w:hint="eastAsia" w:hAnsi="宋体" w:cs="宋体"/>
                <w:color w:val="auto"/>
                <w:sz w:val="21"/>
                <w:szCs w:val="21"/>
                <w:highlight w:val="none"/>
              </w:rPr>
              <w:t>类别名称</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left="2" w:hanging="2" w:hangingChars="1"/>
              <w:jc w:val="center"/>
              <w:rPr>
                <w:rFonts w:hAnsi="宋体" w:cs="宋体"/>
                <w:color w:val="auto"/>
                <w:sz w:val="21"/>
                <w:szCs w:val="21"/>
                <w:highlight w:val="none"/>
              </w:rPr>
            </w:pPr>
            <w:r>
              <w:rPr>
                <w:rFonts w:hint="eastAsia" w:hAnsi="宋体" w:cs="宋体"/>
                <w:color w:val="auto"/>
                <w:sz w:val="21"/>
                <w:szCs w:val="21"/>
                <w:highlight w:val="none"/>
              </w:rPr>
              <w:t>甲方(盖章)</w:t>
            </w: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left="113" w:hanging="113" w:hangingChars="54"/>
              <w:jc w:val="center"/>
              <w:rPr>
                <w:rFonts w:hAnsi="宋体" w:cs="宋体"/>
                <w:color w:val="auto"/>
                <w:sz w:val="21"/>
                <w:szCs w:val="21"/>
                <w:highlight w:val="none"/>
              </w:rPr>
            </w:pPr>
            <w:r>
              <w:rPr>
                <w:rFonts w:hint="eastAsia" w:hAnsi="宋体" w:cs="宋体"/>
                <w:color w:val="auto"/>
                <w:sz w:val="21"/>
                <w:szCs w:val="21"/>
                <w:highlight w:val="none"/>
              </w:rPr>
              <w:t>乙方(盖章)</w:t>
            </w:r>
          </w:p>
        </w:tc>
      </w:tr>
      <w:tr>
        <w:tblPrEx>
          <w:tblCellMar>
            <w:top w:w="0" w:type="dxa"/>
            <w:left w:w="108" w:type="dxa"/>
            <w:bottom w:w="0" w:type="dxa"/>
            <w:right w:w="108" w:type="dxa"/>
          </w:tblCellMar>
        </w:tblPrEx>
        <w:trPr>
          <w:trHeight w:val="510" w:hRule="atLeast"/>
          <w:jc w:val="center"/>
        </w:trPr>
        <w:tc>
          <w:tcPr>
            <w:tcW w:w="2087" w:type="dxa"/>
            <w:vMerge w:val="continue"/>
            <w:tcBorders>
              <w:left w:val="single" w:color="auto" w:sz="4" w:space="0"/>
              <w:bottom w:val="single" w:color="auto" w:sz="4" w:space="0"/>
              <w:right w:val="single" w:color="auto" w:sz="4" w:space="0"/>
              <w:tl2br w:val="single" w:color="auto" w:sz="4" w:space="0"/>
            </w:tcBorders>
            <w:noWrap/>
            <w:vAlign w:val="center"/>
          </w:tcPr>
          <w:p>
            <w:pPr>
              <w:pStyle w:val="21"/>
              <w:spacing w:beforeLines="0" w:afterLines="0"/>
              <w:ind w:firstLine="367" w:firstLineChars="175"/>
              <w:jc w:val="distribute"/>
              <w:rPr>
                <w:rFonts w:hAnsi="宋体" w:cs="宋体"/>
                <w:color w:val="auto"/>
                <w:sz w:val="21"/>
                <w:szCs w:val="21"/>
                <w:highlight w:val="none"/>
              </w:rPr>
            </w:pP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left="2" w:hanging="2" w:hangingChars="1"/>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left="113" w:hanging="113" w:hangingChars="54"/>
              <w:jc w:val="center"/>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地    址</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法定代表人</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或委托代理人</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电话</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传真</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r>
      <w:tr>
        <w:tblPrEx>
          <w:tblCellMar>
            <w:top w:w="0" w:type="dxa"/>
            <w:left w:w="108" w:type="dxa"/>
            <w:bottom w:w="0" w:type="dxa"/>
            <w:right w:w="108" w:type="dxa"/>
          </w:tblCellMar>
        </w:tblPrEx>
        <w:trPr>
          <w:trHeight w:val="380" w:hRule="atLeast"/>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邮政编码</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开户名称</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开户银行</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帐号</w:t>
            </w:r>
          </w:p>
        </w:tc>
        <w:tc>
          <w:tcPr>
            <w:tcW w:w="3599"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600"/>
              <w:jc w:val="center"/>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签订地点</w:t>
            </w:r>
          </w:p>
        </w:tc>
        <w:tc>
          <w:tcPr>
            <w:tcW w:w="7199" w:type="dxa"/>
            <w:gridSpan w:val="2"/>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rPr>
                <w:rFonts w:hAnsi="宋体" w:cs="宋体"/>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jc w:val="distribute"/>
              <w:rPr>
                <w:rFonts w:hAnsi="宋体" w:cs="宋体"/>
                <w:color w:val="auto"/>
                <w:sz w:val="21"/>
                <w:szCs w:val="21"/>
                <w:highlight w:val="none"/>
              </w:rPr>
            </w:pPr>
            <w:r>
              <w:rPr>
                <w:rFonts w:hint="eastAsia" w:hAnsi="宋体" w:cs="宋体"/>
                <w:color w:val="auto"/>
                <w:sz w:val="21"/>
                <w:szCs w:val="21"/>
                <w:highlight w:val="none"/>
              </w:rPr>
              <w:t>签订日期</w:t>
            </w:r>
          </w:p>
        </w:tc>
        <w:tc>
          <w:tcPr>
            <w:tcW w:w="7199" w:type="dxa"/>
            <w:gridSpan w:val="2"/>
            <w:tcBorders>
              <w:top w:val="single" w:color="auto" w:sz="4" w:space="0"/>
              <w:left w:val="single" w:color="auto" w:sz="4" w:space="0"/>
              <w:bottom w:val="single" w:color="auto" w:sz="4" w:space="0"/>
              <w:right w:val="single" w:color="auto" w:sz="4" w:space="0"/>
            </w:tcBorders>
            <w:noWrap/>
            <w:vAlign w:val="center"/>
          </w:tcPr>
          <w:p>
            <w:pPr>
              <w:pStyle w:val="21"/>
              <w:spacing w:beforeLines="0" w:afterLines="0"/>
              <w:ind w:firstLine="2625" w:firstLineChars="1250"/>
              <w:jc w:val="center"/>
              <w:rPr>
                <w:rFonts w:hAnsi="宋体" w:cs="宋体"/>
                <w:color w:val="auto"/>
                <w:sz w:val="21"/>
                <w:szCs w:val="21"/>
                <w:highlight w:val="none"/>
              </w:rPr>
            </w:pPr>
            <w:r>
              <w:rPr>
                <w:rFonts w:hint="eastAsia" w:hAnsi="宋体" w:cs="宋体"/>
                <w:color w:val="auto"/>
                <w:sz w:val="21"/>
                <w:szCs w:val="21"/>
                <w:highlight w:val="none"/>
              </w:rPr>
              <w:t xml:space="preserve">    年  月  日</w:t>
            </w:r>
          </w:p>
        </w:tc>
      </w:tr>
    </w:tbl>
    <w:p>
      <w:pPr>
        <w:adjustRightInd w:val="0"/>
        <w:spacing w:line="400" w:lineRule="exact"/>
        <w:ind w:firstLine="518" w:firstLineChars="247"/>
        <w:rPr>
          <w:rFonts w:ascii="宋体" w:hAnsi="宋体" w:cs="宋体"/>
          <w:color w:val="auto"/>
          <w:kern w:val="0"/>
          <w:szCs w:val="21"/>
          <w:highlight w:val="none"/>
        </w:rPr>
      </w:pPr>
    </w:p>
    <w:p>
      <w:pPr>
        <w:spacing w:line="400" w:lineRule="exact"/>
        <w:rPr>
          <w:rStyle w:val="60"/>
          <w:rFonts w:ascii="宋体" w:hAnsi="宋体" w:cs="宋体"/>
          <w:color w:val="auto"/>
          <w:sz w:val="21"/>
          <w:szCs w:val="21"/>
          <w:highlight w:val="none"/>
        </w:rPr>
      </w:pPr>
      <w:r>
        <w:rPr>
          <w:rStyle w:val="60"/>
          <w:rFonts w:hint="eastAsia" w:ascii="宋体" w:hAnsi="宋体" w:cs="宋体"/>
          <w:color w:val="auto"/>
          <w:sz w:val="21"/>
          <w:szCs w:val="21"/>
          <w:highlight w:val="none"/>
        </w:rPr>
        <w:br w:type="page"/>
      </w:r>
    </w:p>
    <w:bookmarkEnd w:id="453"/>
    <w:bookmarkEnd w:id="454"/>
    <w:bookmarkEnd w:id="465"/>
    <w:p>
      <w:pPr>
        <w:pStyle w:val="38"/>
        <w:numPr>
          <w:ilvl w:val="0"/>
          <w:numId w:val="4"/>
        </w:numPr>
        <w:spacing w:line="360" w:lineRule="auto"/>
        <w:rPr>
          <w:rFonts w:ascii="宋体" w:hAnsi="宋体" w:cs="宋体"/>
          <w:color w:val="auto"/>
          <w:sz w:val="36"/>
          <w:szCs w:val="36"/>
          <w:highlight w:val="none"/>
        </w:rPr>
      </w:pPr>
      <w:bookmarkStart w:id="509" w:name="_Toc17563"/>
      <w:bookmarkStart w:id="510" w:name="_Toc17291"/>
      <w:bookmarkStart w:id="511" w:name="_Toc13667"/>
      <w:bookmarkStart w:id="512" w:name="_Toc303756414"/>
      <w:bookmarkStart w:id="513" w:name="_Toc15983"/>
      <w:r>
        <w:rPr>
          <w:rFonts w:hint="eastAsia" w:ascii="宋体" w:hAnsi="宋体" w:eastAsia="宋体" w:cs="宋体"/>
          <w:b/>
          <w:bCs/>
          <w:color w:val="auto"/>
          <w:kern w:val="2"/>
          <w:sz w:val="36"/>
          <w:szCs w:val="36"/>
          <w:highlight w:val="none"/>
          <w:lang w:val="en-US" w:eastAsia="zh-CN" w:bidi="ar-SA"/>
        </w:rPr>
        <w:t xml:space="preserve"> </w:t>
      </w:r>
      <w:bookmarkStart w:id="514" w:name="_Toc23936"/>
      <w:r>
        <w:rPr>
          <w:rFonts w:hint="eastAsia" w:ascii="宋体" w:hAnsi="宋体" w:eastAsia="宋体" w:cs="宋体"/>
          <w:b/>
          <w:bCs/>
          <w:color w:val="auto"/>
          <w:kern w:val="2"/>
          <w:sz w:val="36"/>
          <w:szCs w:val="36"/>
          <w:highlight w:val="none"/>
          <w:lang w:val="en-US" w:eastAsia="zh-CN" w:bidi="ar-SA"/>
        </w:rPr>
        <w:t>投标响应文件格式</w:t>
      </w:r>
      <w:bookmarkEnd w:id="509"/>
      <w:bookmarkEnd w:id="514"/>
      <w:bookmarkStart w:id="515" w:name="_Toc493956051"/>
      <w:bookmarkStart w:id="516" w:name="_Toc530551876"/>
      <w:bookmarkStart w:id="517" w:name="_Toc12509"/>
      <w:bookmarkStart w:id="518" w:name="_Toc531359038"/>
      <w:bookmarkStart w:id="519" w:name="_Toc3978"/>
    </w:p>
    <w:p>
      <w:pPr>
        <w:jc w:val="center"/>
        <w:rPr>
          <w:rFonts w:ascii="宋体" w:hAnsi="宋体" w:cs="宋体"/>
          <w:color w:val="auto"/>
          <w:sz w:val="36"/>
          <w:szCs w:val="36"/>
          <w:highlight w:val="none"/>
        </w:rPr>
      </w:pPr>
      <w:r>
        <w:rPr>
          <w:rFonts w:hint="eastAsia" w:ascii="宋体" w:hAnsi="宋体" w:cs="宋体"/>
          <w:b/>
          <w:bCs/>
          <w:color w:val="auto"/>
          <w:sz w:val="32"/>
          <w:szCs w:val="32"/>
          <w:highlight w:val="none"/>
          <w:lang w:val="en-US" w:eastAsia="zh-CN"/>
        </w:rPr>
        <w:t xml:space="preserve">一  </w:t>
      </w:r>
      <w:r>
        <w:rPr>
          <w:rFonts w:hint="eastAsia" w:ascii="宋体" w:hAnsi="宋体" w:cs="宋体"/>
          <w:b/>
          <w:bCs/>
          <w:color w:val="auto"/>
          <w:sz w:val="32"/>
          <w:szCs w:val="32"/>
          <w:highlight w:val="none"/>
        </w:rPr>
        <w:t>资格审查文件格式</w:t>
      </w:r>
      <w:bookmarkEnd w:id="515"/>
      <w:bookmarkEnd w:id="516"/>
      <w:bookmarkEnd w:id="517"/>
      <w:bookmarkEnd w:id="518"/>
      <w:bookmarkEnd w:id="519"/>
    </w:p>
    <w:p>
      <w:pPr>
        <w:spacing w:line="360" w:lineRule="auto"/>
        <w:rPr>
          <w:rFonts w:ascii="宋体" w:hAnsi="宋体" w:cs="宋体"/>
          <w:color w:val="auto"/>
          <w:sz w:val="24"/>
          <w:highlight w:val="none"/>
        </w:rPr>
      </w:pPr>
      <w:bookmarkStart w:id="520" w:name="_Toc531359039"/>
    </w:p>
    <w:bookmarkEnd w:id="520"/>
    <w:p>
      <w:pPr>
        <w:pStyle w:val="4"/>
        <w:rPr>
          <w:rFonts w:ascii="宋体" w:hAnsi="宋体" w:cs="宋体"/>
          <w:color w:val="auto"/>
          <w:szCs w:val="24"/>
          <w:highlight w:val="none"/>
        </w:rPr>
      </w:pPr>
      <w:bookmarkStart w:id="521" w:name="_Toc531359040"/>
      <w:bookmarkStart w:id="522" w:name="_Toc22029262"/>
      <w:bookmarkStart w:id="523" w:name="_Toc8391"/>
      <w:bookmarkStart w:id="524" w:name="_Toc8265"/>
      <w:bookmarkStart w:id="525" w:name="_Toc118"/>
      <w:r>
        <w:rPr>
          <w:rFonts w:hint="eastAsia" w:ascii="宋体" w:hAnsi="宋体" w:cs="宋体"/>
          <w:color w:val="auto"/>
          <w:szCs w:val="24"/>
          <w:highlight w:val="none"/>
        </w:rPr>
        <w:t>1.1 资格审查文件封面</w:t>
      </w:r>
      <w:bookmarkEnd w:id="521"/>
      <w:r>
        <w:rPr>
          <w:rFonts w:hint="eastAsia" w:ascii="宋体" w:hAnsi="宋体" w:cs="宋体"/>
          <w:color w:val="auto"/>
          <w:szCs w:val="24"/>
          <w:highlight w:val="none"/>
        </w:rPr>
        <w:t>格式</w:t>
      </w:r>
      <w:bookmarkEnd w:id="522"/>
      <w:bookmarkEnd w:id="523"/>
      <w:bookmarkEnd w:id="524"/>
      <w:bookmarkEnd w:id="525"/>
    </w:p>
    <w:p>
      <w:pPr>
        <w:pStyle w:val="5"/>
        <w:ind w:firstLine="0"/>
        <w:rPr>
          <w:rFonts w:ascii="宋体" w:hAnsi="宋体" w:cs="宋体"/>
          <w:color w:val="auto"/>
          <w:highlight w:val="none"/>
        </w:rPr>
      </w:pPr>
    </w:p>
    <w:p>
      <w:pPr>
        <w:pStyle w:val="5"/>
        <w:spacing w:line="360" w:lineRule="auto"/>
        <w:ind w:firstLine="0"/>
        <w:jc w:val="center"/>
        <w:rPr>
          <w:rFonts w:ascii="宋体" w:hAnsi="宋体" w:cs="宋体"/>
          <w:b/>
          <w:color w:val="auto"/>
          <w:sz w:val="32"/>
          <w:szCs w:val="32"/>
          <w:highlight w:val="none"/>
        </w:rPr>
      </w:pPr>
    </w:p>
    <w:p>
      <w:pPr>
        <w:pStyle w:val="5"/>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投标响应文件</w:t>
      </w:r>
    </w:p>
    <w:p>
      <w:pPr>
        <w:snapToGrid w:val="0"/>
        <w:spacing w:beforeLines="50" w:after="50"/>
        <w:rPr>
          <w:rFonts w:ascii="宋体" w:hAnsi="宋体" w:cs="宋体"/>
          <w:bCs/>
          <w:color w:val="auto"/>
          <w:sz w:val="24"/>
          <w:szCs w:val="20"/>
          <w:highlight w:val="none"/>
        </w:rPr>
      </w:pPr>
    </w:p>
    <w:p>
      <w:pPr>
        <w:pStyle w:val="5"/>
        <w:rPr>
          <w:rFonts w:ascii="宋体" w:hAnsi="宋体" w:cs="宋体"/>
          <w:color w:val="auto"/>
          <w:highlight w:val="none"/>
        </w:rPr>
      </w:pPr>
    </w:p>
    <w:tbl>
      <w:tblPr>
        <w:tblStyle w:val="42"/>
        <w:tblW w:w="0" w:type="auto"/>
        <w:jc w:val="center"/>
        <w:tblLayout w:type="autofit"/>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投标响应文件名称：</w:t>
            </w:r>
          </w:p>
        </w:tc>
        <w:tc>
          <w:tcPr>
            <w:tcW w:w="5142" w:type="dxa"/>
            <w:noWrap/>
            <w:vAlign w:val="center"/>
          </w:tcPr>
          <w:p>
            <w:pPr>
              <w:ind w:left="-103" w:leftChars="-49"/>
              <w:jc w:val="left"/>
              <w:rPr>
                <w:rFonts w:ascii="宋体" w:hAnsi="宋体" w:cs="宋体"/>
                <w:color w:val="auto"/>
                <w:sz w:val="32"/>
                <w:szCs w:val="32"/>
                <w:highlight w:val="none"/>
              </w:rPr>
            </w:pPr>
            <w:r>
              <w:rPr>
                <w:rFonts w:hint="eastAsia" w:ascii="宋体" w:hAnsi="宋体" w:cs="宋体"/>
                <w:color w:val="auto"/>
                <w:sz w:val="24"/>
                <w:highlight w:val="none"/>
                <w:u w:val="single"/>
              </w:rPr>
              <w:t xml:space="preserve"> 资格审查文件           </w:t>
            </w: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采 购 编 号：</w:t>
            </w: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项 目 名 称：</w:t>
            </w: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24"/>
                <w:highlight w:val="none"/>
              </w:rPr>
            </w:pP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24"/>
                <w:highlight w:val="none"/>
              </w:rPr>
            </w:pP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24"/>
                <w:highlight w:val="none"/>
              </w:rPr>
            </w:pPr>
            <w:r>
              <w:rPr>
                <w:rFonts w:hint="eastAsia" w:ascii="宋体" w:hAnsi="宋体" w:cs="宋体"/>
                <w:color w:val="auto"/>
                <w:sz w:val="24"/>
                <w:highlight w:val="none"/>
              </w:rPr>
              <w:t>供应商全称</w:t>
            </w:r>
          </w:p>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（CA签章）：</w:t>
            </w:r>
          </w:p>
        </w:tc>
        <w:tc>
          <w:tcPr>
            <w:tcW w:w="5142" w:type="dxa"/>
            <w:noWrap/>
            <w:vAlign w:val="center"/>
          </w:tcPr>
          <w:p>
            <w:pPr>
              <w:ind w:left="-103" w:leftChars="-49"/>
              <w:jc w:val="left"/>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供应商地址：</w:t>
            </w:r>
          </w:p>
        </w:tc>
        <w:tc>
          <w:tcPr>
            <w:tcW w:w="5142" w:type="dxa"/>
            <w:noWrap/>
            <w:vAlign w:val="center"/>
          </w:tcPr>
          <w:p>
            <w:pPr>
              <w:ind w:left="-103" w:leftChars="-49"/>
              <w:jc w:val="left"/>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84" w:rightChars="-40"/>
              <w:rPr>
                <w:rFonts w:ascii="宋体" w:hAnsi="宋体" w:cs="宋体"/>
                <w:color w:val="auto"/>
                <w:sz w:val="32"/>
                <w:szCs w:val="32"/>
                <w:highlight w:val="none"/>
              </w:rPr>
            </w:pPr>
          </w:p>
        </w:tc>
        <w:tc>
          <w:tcPr>
            <w:tcW w:w="5142" w:type="dxa"/>
            <w:noWrap/>
            <w:vAlign w:val="center"/>
          </w:tcPr>
          <w:p>
            <w:pPr>
              <w:ind w:left="-103" w:leftChars="-49"/>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7453" w:type="dxa"/>
            <w:gridSpan w:val="2"/>
            <w:noWrap/>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tc>
      </w:tr>
      <w:bookmarkEnd w:id="510"/>
      <w:bookmarkEnd w:id="511"/>
      <w:bookmarkEnd w:id="512"/>
      <w:bookmarkEnd w:id="513"/>
    </w:tbl>
    <w:p>
      <w:pPr>
        <w:rPr>
          <w:rFonts w:hint="eastAsia" w:ascii="宋体" w:hAnsi="宋体" w:cs="宋体"/>
          <w:color w:val="auto"/>
          <w:sz w:val="21"/>
          <w:szCs w:val="21"/>
          <w:highlight w:val="none"/>
        </w:rPr>
      </w:pPr>
      <w:bookmarkStart w:id="526" w:name="_Toc14077317"/>
      <w:bookmarkStart w:id="527" w:name="_Toc31580"/>
      <w:bookmarkStart w:id="528" w:name="_Toc23458"/>
      <w:bookmarkStart w:id="529" w:name="_Toc22946"/>
      <w:bookmarkStart w:id="530" w:name="_Toc303756434"/>
      <w:bookmarkStart w:id="531" w:name="_Toc11770"/>
      <w:r>
        <w:rPr>
          <w:rFonts w:hint="eastAsia" w:ascii="宋体" w:hAnsi="宋体" w:cs="宋体"/>
          <w:color w:val="auto"/>
          <w:sz w:val="21"/>
          <w:szCs w:val="21"/>
          <w:highlight w:val="none"/>
        </w:rPr>
        <w:br w:type="page"/>
      </w:r>
    </w:p>
    <w:p>
      <w:pPr>
        <w:pStyle w:val="4"/>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1.2 资格审查文件目录</w:t>
      </w:r>
      <w:bookmarkEnd w:id="526"/>
      <w:bookmarkEnd w:id="527"/>
      <w:bookmarkEnd w:id="528"/>
      <w:bookmarkEnd w:id="529"/>
    </w:p>
    <w:p>
      <w:pPr>
        <w:pStyle w:val="5"/>
        <w:spacing w:line="400" w:lineRule="exact"/>
        <w:ind w:firstLine="0"/>
        <w:jc w:val="center"/>
        <w:rPr>
          <w:rFonts w:ascii="宋体" w:hAnsi="宋体" w:cs="宋体"/>
          <w:color w:val="auto"/>
          <w:szCs w:val="21"/>
          <w:highlight w:val="none"/>
        </w:rPr>
      </w:pPr>
      <w:r>
        <w:rPr>
          <w:rFonts w:hint="eastAsia" w:ascii="宋体" w:hAnsi="宋体" w:cs="宋体"/>
          <w:color w:val="auto"/>
          <w:szCs w:val="21"/>
          <w:highlight w:val="none"/>
        </w:rPr>
        <w:t>（格式自行设计）</w:t>
      </w:r>
    </w:p>
    <w:p>
      <w:pPr>
        <w:pStyle w:val="5"/>
        <w:spacing w:line="400" w:lineRule="exact"/>
        <w:rPr>
          <w:rFonts w:ascii="宋体" w:hAnsi="宋体" w:cs="宋体"/>
          <w:color w:val="auto"/>
          <w:szCs w:val="21"/>
          <w:highlight w:val="none"/>
        </w:rPr>
      </w:pPr>
    </w:p>
    <w:p>
      <w:pPr>
        <w:pStyle w:val="4"/>
        <w:spacing w:line="400" w:lineRule="exact"/>
        <w:rPr>
          <w:rFonts w:ascii="宋体" w:hAnsi="宋体" w:cs="宋体"/>
          <w:color w:val="auto"/>
          <w:sz w:val="21"/>
          <w:szCs w:val="21"/>
          <w:highlight w:val="none"/>
        </w:rPr>
      </w:pPr>
      <w:bookmarkStart w:id="532" w:name="_Toc20791"/>
      <w:bookmarkStart w:id="533" w:name="_Toc8266"/>
      <w:bookmarkStart w:id="534" w:name="_Toc32049"/>
      <w:bookmarkStart w:id="535" w:name="_Toc1249"/>
      <w:r>
        <w:rPr>
          <w:rFonts w:hint="eastAsia" w:ascii="宋体" w:hAnsi="宋体" w:cs="宋体"/>
          <w:color w:val="auto"/>
          <w:sz w:val="21"/>
          <w:szCs w:val="21"/>
          <w:highlight w:val="none"/>
        </w:rPr>
        <w:t>▲1.3 有效营业执照电子文档</w:t>
      </w:r>
      <w:bookmarkEnd w:id="532"/>
      <w:bookmarkEnd w:id="533"/>
      <w:bookmarkEnd w:id="534"/>
      <w:bookmarkEnd w:id="535"/>
    </w:p>
    <w:p>
      <w:pPr>
        <w:pStyle w:val="5"/>
        <w:spacing w:line="400" w:lineRule="exact"/>
        <w:ind w:firstLine="0"/>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内容要求：1、须有效的营业执照复印件加盖单位公章或浙江政府采购网的“注册供应商”栏目查询供应商注册页面信息打印件加盖单位公章；</w:t>
      </w:r>
    </w:p>
    <w:p>
      <w:pPr>
        <w:spacing w:line="400" w:lineRule="exact"/>
        <w:rPr>
          <w:rFonts w:ascii="宋体" w:hAnsi="宋体" w:cs="宋体"/>
          <w:color w:val="auto"/>
          <w:szCs w:val="21"/>
          <w:highlight w:val="none"/>
        </w:rPr>
      </w:pPr>
    </w:p>
    <w:p>
      <w:pPr>
        <w:pStyle w:val="5"/>
        <w:spacing w:line="400" w:lineRule="exact"/>
        <w:rPr>
          <w:rFonts w:ascii="宋体" w:hAnsi="宋体" w:cs="宋体"/>
          <w:color w:val="auto"/>
          <w:szCs w:val="21"/>
          <w:highlight w:val="none"/>
        </w:rPr>
      </w:pPr>
    </w:p>
    <w:p>
      <w:pPr>
        <w:pStyle w:val="5"/>
        <w:spacing w:line="400" w:lineRule="exact"/>
        <w:rPr>
          <w:rFonts w:ascii="宋体" w:hAnsi="宋体" w:cs="宋体"/>
          <w:color w:val="auto"/>
          <w:szCs w:val="21"/>
          <w:highlight w:val="none"/>
        </w:rPr>
      </w:pPr>
    </w:p>
    <w:p>
      <w:pPr>
        <w:pStyle w:val="41"/>
        <w:spacing w:after="0" w:line="400" w:lineRule="exact"/>
        <w:ind w:left="0" w:leftChars="0"/>
        <w:rPr>
          <w:rFonts w:ascii="宋体" w:hAnsi="宋体"/>
          <w:color w:val="auto"/>
          <w:highlight w:val="none"/>
        </w:rPr>
      </w:pPr>
      <w:r>
        <w:rPr>
          <w:rFonts w:hint="eastAsia" w:ascii="宋体" w:hAnsi="宋体"/>
          <w:color w:val="auto"/>
          <w:highlight w:val="none"/>
        </w:rPr>
        <w:br w:type="page"/>
      </w:r>
    </w:p>
    <w:p>
      <w:pPr>
        <w:pStyle w:val="4"/>
        <w:spacing w:line="400" w:lineRule="exact"/>
        <w:rPr>
          <w:rFonts w:ascii="宋体" w:hAnsi="宋体" w:cs="宋体"/>
          <w:color w:val="auto"/>
          <w:sz w:val="21"/>
          <w:szCs w:val="21"/>
          <w:highlight w:val="none"/>
        </w:rPr>
      </w:pPr>
      <w:bookmarkStart w:id="536" w:name="_Toc27702"/>
      <w:bookmarkStart w:id="537" w:name="_Toc19760"/>
      <w:r>
        <w:rPr>
          <w:rFonts w:hint="eastAsia" w:ascii="宋体" w:hAnsi="宋体" w:cs="宋体"/>
          <w:color w:val="auto"/>
          <w:sz w:val="21"/>
          <w:szCs w:val="21"/>
          <w:highlight w:val="none"/>
        </w:rPr>
        <w:t>▲</w:t>
      </w:r>
      <w:bookmarkStart w:id="538" w:name="_Toc531359044"/>
      <w:bookmarkStart w:id="539" w:name="_Toc827"/>
      <w:bookmarkStart w:id="540" w:name="_Toc4106"/>
      <w:bookmarkStart w:id="541" w:name="_Toc22029266"/>
      <w:r>
        <w:rPr>
          <w:rFonts w:hint="eastAsia" w:ascii="宋体" w:hAnsi="宋体" w:cs="宋体"/>
          <w:color w:val="auto"/>
          <w:sz w:val="21"/>
          <w:szCs w:val="21"/>
          <w:highlight w:val="none"/>
        </w:rPr>
        <w:t>1.4 授权委托书</w:t>
      </w:r>
      <w:bookmarkEnd w:id="538"/>
      <w:r>
        <w:rPr>
          <w:rFonts w:hint="eastAsia" w:ascii="宋体" w:hAnsi="宋体" w:cs="宋体"/>
          <w:color w:val="auto"/>
          <w:sz w:val="21"/>
          <w:szCs w:val="21"/>
          <w:highlight w:val="none"/>
        </w:rPr>
        <w:t>格式</w:t>
      </w:r>
      <w:bookmarkEnd w:id="536"/>
      <w:bookmarkEnd w:id="539"/>
      <w:bookmarkEnd w:id="540"/>
      <w:bookmarkEnd w:id="541"/>
    </w:p>
    <w:p>
      <w:pPr>
        <w:pStyle w:val="5"/>
        <w:spacing w:line="400" w:lineRule="exact"/>
        <w:ind w:firstLine="0"/>
        <w:jc w:val="center"/>
        <w:rPr>
          <w:rFonts w:ascii="宋体" w:hAnsi="宋体" w:cs="宋体"/>
          <w:b/>
          <w:color w:val="auto"/>
          <w:szCs w:val="21"/>
          <w:highlight w:val="none"/>
        </w:rPr>
      </w:pPr>
      <w:r>
        <w:rPr>
          <w:rFonts w:hint="eastAsia" w:ascii="宋体" w:hAnsi="宋体" w:cs="宋体"/>
          <w:b/>
          <w:color w:val="auto"/>
          <w:szCs w:val="21"/>
          <w:highlight w:val="none"/>
        </w:rPr>
        <w:t>授权委托书</w:t>
      </w:r>
    </w:p>
    <w:p>
      <w:pPr>
        <w:pStyle w:val="146"/>
        <w:spacing w:line="400" w:lineRule="exact"/>
        <w:rPr>
          <w:rFonts w:ascii="宋体" w:hAnsi="宋体" w:cs="宋体"/>
          <w:b/>
          <w:color w:val="auto"/>
          <w:szCs w:val="21"/>
          <w:highlight w:val="none"/>
        </w:rPr>
      </w:pP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pPr>
        <w:pStyle w:val="146"/>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     我</w:t>
      </w:r>
      <w:r>
        <w:rPr>
          <w:rFonts w:hint="eastAsia" w:ascii="宋体" w:hAnsi="宋体" w:cs="宋体"/>
          <w:color w:val="auto"/>
          <w:szCs w:val="21"/>
          <w:highlight w:val="none"/>
          <w:u w:val="single"/>
        </w:rPr>
        <w:t xml:space="preserve"> 法定代表人（负责人）</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（供应商全称） </w:t>
      </w:r>
      <w:r>
        <w:rPr>
          <w:rFonts w:hint="eastAsia" w:ascii="宋体" w:hAnsi="宋体" w:cs="宋体"/>
          <w:color w:val="auto"/>
          <w:szCs w:val="21"/>
          <w:highlight w:val="none"/>
        </w:rPr>
        <w:t>的法定代表人（或负责人），现授权委托本单位在职职工</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以我方的名义参加就贵方组织的</w:t>
      </w:r>
      <w:r>
        <w:rPr>
          <w:rFonts w:hint="eastAsia" w:ascii="宋体" w:hAnsi="宋体" w:cs="宋体"/>
          <w:color w:val="auto"/>
          <w:szCs w:val="21"/>
          <w:highlight w:val="none"/>
          <w:u w:val="single"/>
        </w:rPr>
        <w:t xml:space="preserve"> （项目名称）   （项目编号： ） </w:t>
      </w:r>
      <w:r>
        <w:rPr>
          <w:rFonts w:hint="eastAsia" w:ascii="宋体" w:hAnsi="宋体" w:cs="宋体"/>
          <w:color w:val="auto"/>
          <w:szCs w:val="21"/>
          <w:highlight w:val="none"/>
        </w:rPr>
        <w:t>的投标活动，并代表我方全权办理针对上述项目的投标、开标、评审、签约等具体事务和签署相关文件。</w:t>
      </w:r>
    </w:p>
    <w:p>
      <w:pPr>
        <w:pStyle w:val="146"/>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我方对委托代理人的签字或盖章事项负全部责任。</w:t>
      </w:r>
    </w:p>
    <w:p>
      <w:pPr>
        <w:pStyle w:val="146"/>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本授权书自签署之日起生效，在撤销授权的书面通知送达贵方以前，本授权委托书一直有效。委托代理人在授权书有效期内签署的所有文件不因授权的撤销而失效。</w:t>
      </w:r>
    </w:p>
    <w:p>
      <w:pPr>
        <w:pStyle w:val="146"/>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委托代理人无转委托权，特此声明。</w:t>
      </w:r>
    </w:p>
    <w:p>
      <w:pPr>
        <w:pStyle w:val="146"/>
        <w:spacing w:line="400" w:lineRule="exact"/>
        <w:ind w:firstLine="480"/>
        <w:rPr>
          <w:rFonts w:ascii="宋体" w:hAnsi="宋体" w:cs="宋体"/>
          <w:color w:val="auto"/>
          <w:szCs w:val="21"/>
          <w:highlight w:val="none"/>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负责人签字或盖章：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pStyle w:val="146"/>
        <w:spacing w:line="400" w:lineRule="exac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a:effectLst/>
                      </wps:spPr>
                      <wps:bodyPr/>
                    </wps:wsp>
                  </a:graphicData>
                </a:graphic>
              </wp:anchor>
            </w:drawing>
          </mc:Choice>
          <mc:Fallback>
            <w:pict>
              <v:shape id="_x0000_s1026" o:spid="_x0000_s1026" o:spt="32" type="#_x0000_t32" style="position:absolute;left:0pt;margin-left:-16.5pt;margin-top:10.5pt;height:0pt;width:477.75pt;z-index:251662336;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DCyDYAAAACQEAAA8AAAAAAAAAAQAgAAAAIgAAAGRycy9k&#10;b3ducmV2LnhtbFBLAQIUABQAAAAIAIdO4kA4eIWgAgIAAP0DAAAOAAAAAAAAAAEAIAAAACcBAABk&#10;cnMvZTJvRG9jLnhtbFBLBQYAAAAABgAGAFkBAACbBQAAAAA=&#10;">
                <v:fill on="f" focussize="0,0"/>
                <v:stroke color="#000000" joinstyle="round" dashstyle="longDash"/>
                <v:imagedata o:title=""/>
                <o:lock v:ext="edit" aspectratio="f"/>
              </v:shape>
            </w:pict>
          </mc:Fallback>
        </mc:AlternateContent>
      </w:r>
    </w:p>
    <w:p>
      <w:pPr>
        <w:pStyle w:val="146"/>
        <w:spacing w:line="400" w:lineRule="exact"/>
        <w:rPr>
          <w:rFonts w:ascii="宋体" w:hAnsi="宋体" w:cs="宋体"/>
          <w:color w:val="auto"/>
          <w:szCs w:val="21"/>
          <w:highlight w:val="none"/>
        </w:rPr>
      </w:pPr>
      <w:r>
        <w:rPr>
          <w:rFonts w:hint="eastAsia" w:ascii="宋体" w:hAnsi="宋体" w:cs="宋体"/>
          <w:color w:val="auto"/>
          <w:szCs w:val="21"/>
          <w:highlight w:val="none"/>
        </w:rPr>
        <w:t>附：1、委托代理人工作单位：</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职务： </w:t>
      </w:r>
    </w:p>
    <w:p>
      <w:pPr>
        <w:pStyle w:val="146"/>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 xml:space="preserve">   身份证号码：　　　　　　　　　　</w:t>
      </w:r>
      <w:r>
        <w:rPr>
          <w:rFonts w:hint="eastAsia" w:ascii="宋体" w:hAnsi="宋体" w:cs="宋体"/>
          <w:color w:val="auto"/>
          <w:szCs w:val="21"/>
          <w:highlight w:val="none"/>
        </w:rPr>
        <w:tab/>
      </w:r>
      <w:r>
        <w:rPr>
          <w:rFonts w:hint="eastAsia" w:ascii="宋体" w:hAnsi="宋体" w:cs="宋体"/>
          <w:color w:val="auto"/>
          <w:szCs w:val="21"/>
          <w:highlight w:val="none"/>
        </w:rPr>
        <w:t xml:space="preserve">性别： </w:t>
      </w:r>
    </w:p>
    <w:p>
      <w:pPr>
        <w:pStyle w:val="146"/>
        <w:spacing w:line="400" w:lineRule="exact"/>
        <w:ind w:firstLine="420"/>
        <w:rPr>
          <w:rFonts w:ascii="宋体" w:hAnsi="宋体" w:cs="宋体"/>
          <w:color w:val="auto"/>
          <w:szCs w:val="21"/>
          <w:highlight w:val="none"/>
        </w:rPr>
      </w:pPr>
    </w:p>
    <w:p>
      <w:pPr>
        <w:pStyle w:val="146"/>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注：1、供应商为法人企业的，其负责人为其法定代表人；供应商为其他组织的，其负责人为法律、行政法规规定代表单位行使职权的主要负责人。</w:t>
      </w:r>
    </w:p>
    <w:p>
      <w:pPr>
        <w:pStyle w:val="146"/>
        <w:spacing w:line="400" w:lineRule="exact"/>
        <w:ind w:firstLine="787" w:firstLineChars="375"/>
        <w:rPr>
          <w:rFonts w:ascii="宋体" w:hAnsi="宋体" w:cs="宋体"/>
          <w:color w:val="auto"/>
          <w:szCs w:val="21"/>
          <w:highlight w:val="none"/>
        </w:rPr>
      </w:pPr>
      <w:r>
        <w:rPr>
          <w:rFonts w:hint="eastAsia" w:ascii="宋体" w:hAnsi="宋体" w:cs="宋体"/>
          <w:color w:val="auto"/>
          <w:szCs w:val="21"/>
          <w:highlight w:val="none"/>
        </w:rPr>
        <w:t>2、委托人为上述条款中的负责人。</w:t>
      </w:r>
    </w:p>
    <w:p>
      <w:pPr>
        <w:pStyle w:val="146"/>
        <w:spacing w:line="400" w:lineRule="exact"/>
        <w:ind w:firstLine="787" w:firstLineChars="375"/>
        <w:rPr>
          <w:rFonts w:ascii="宋体" w:hAnsi="宋体" w:cs="宋体"/>
          <w:color w:val="auto"/>
          <w:szCs w:val="21"/>
          <w:highlight w:val="none"/>
        </w:rPr>
      </w:pPr>
      <w:r>
        <w:rPr>
          <w:rFonts w:hint="eastAsia" w:ascii="宋体" w:hAnsi="宋体" w:cs="宋体"/>
          <w:color w:val="auto"/>
          <w:szCs w:val="21"/>
          <w:highlight w:val="none"/>
        </w:rPr>
        <w:t>3、本“授权委托书”需附负责人和委托代理人身份证扫描件，如扫描件不清晰或错误的，后果由供应商自行承担。</w:t>
      </w:r>
    </w:p>
    <w:p>
      <w:pPr>
        <w:spacing w:line="400" w:lineRule="exact"/>
        <w:rPr>
          <w:rFonts w:ascii="宋体" w:hAnsi="宋体" w:cs="宋体"/>
          <w:color w:val="auto"/>
          <w:spacing w:val="11"/>
          <w:szCs w:val="21"/>
          <w:highlight w:val="none"/>
        </w:rPr>
      </w:pPr>
      <w:r>
        <w:rPr>
          <w:rFonts w:hint="eastAsia" w:ascii="宋体" w:hAnsi="宋体" w:cs="宋体"/>
          <w:color w:val="auto"/>
          <w:szCs w:val="21"/>
          <w:highlight w:val="none"/>
        </w:rPr>
        <w:t>4、上述格式中的“负责人签字或盖章”，供应商无法通过电子签章实现的，可以采用下载纸质签字完成后再扫描上传政采云平台电子投标工具。</w:t>
      </w:r>
      <w:r>
        <w:rPr>
          <w:rFonts w:hint="eastAsia" w:ascii="宋体" w:hAnsi="宋体" w:cs="宋体"/>
          <w:bCs/>
          <w:color w:val="auto"/>
          <w:szCs w:val="21"/>
          <w:highlight w:val="none"/>
        </w:rPr>
        <w:t>负责人身份证件扫描件：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noWrap/>
          </w:tcPr>
          <w:p>
            <w:pPr>
              <w:pStyle w:val="236"/>
              <w:spacing w:line="400" w:lineRule="exact"/>
              <w:rPr>
                <w:rFonts w:hAnsi="宋体" w:cs="宋体"/>
                <w:bCs/>
                <w:color w:val="auto"/>
                <w:highlight w:val="none"/>
              </w:rPr>
            </w:pPr>
            <w:r>
              <w:rPr>
                <w:rFonts w:hint="eastAsia" w:hAnsi="宋体" w:cs="宋体"/>
                <w:bCs/>
                <w:color w:val="auto"/>
                <w:highlight w:val="none"/>
              </w:rPr>
              <w:t>正面：                                 反面：</w:t>
            </w:r>
          </w:p>
          <w:p>
            <w:pPr>
              <w:pStyle w:val="236"/>
              <w:spacing w:line="400" w:lineRule="exact"/>
              <w:rPr>
                <w:rFonts w:hAnsi="宋体" w:cs="宋体"/>
                <w:bCs/>
                <w:color w:val="auto"/>
                <w:highlight w:val="none"/>
              </w:rPr>
            </w:pPr>
          </w:p>
        </w:tc>
      </w:tr>
    </w:tbl>
    <w:p>
      <w:pPr>
        <w:pStyle w:val="236"/>
        <w:spacing w:line="400" w:lineRule="exact"/>
        <w:rPr>
          <w:rFonts w:hAnsi="宋体" w:cs="宋体"/>
          <w:bCs/>
          <w:color w:val="auto"/>
          <w:highlight w:val="none"/>
        </w:rPr>
      </w:pPr>
      <w:r>
        <w:rPr>
          <w:rFonts w:hint="eastAsia" w:hAnsi="宋体" w:cs="宋体"/>
          <w:bCs/>
          <w:color w:val="auto"/>
          <w:highlight w:val="none"/>
        </w:rPr>
        <w:t>委托代理人身份证件扫描件：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noWrap/>
          </w:tcPr>
          <w:p>
            <w:pPr>
              <w:pStyle w:val="236"/>
              <w:spacing w:line="400" w:lineRule="exact"/>
              <w:rPr>
                <w:rFonts w:hAnsi="宋体" w:cs="宋体"/>
                <w:bCs/>
                <w:color w:val="auto"/>
                <w:highlight w:val="none"/>
              </w:rPr>
            </w:pPr>
            <w:r>
              <w:rPr>
                <w:rFonts w:hint="eastAsia" w:hAnsi="宋体" w:cs="宋体"/>
                <w:bCs/>
                <w:color w:val="auto"/>
                <w:highlight w:val="none"/>
              </w:rPr>
              <w:t>正面：                                 反面：</w:t>
            </w:r>
          </w:p>
          <w:p>
            <w:pPr>
              <w:pStyle w:val="236"/>
              <w:spacing w:line="400" w:lineRule="exact"/>
              <w:rPr>
                <w:rFonts w:hAnsi="宋体" w:cs="宋体"/>
                <w:bCs/>
                <w:color w:val="auto"/>
                <w:highlight w:val="none"/>
              </w:rPr>
            </w:pPr>
          </w:p>
        </w:tc>
      </w:tr>
    </w:tbl>
    <w:p>
      <w:pPr>
        <w:spacing w:line="400" w:lineRule="exact"/>
        <w:rPr>
          <w:rFonts w:ascii="宋体" w:hAnsi="宋体" w:cs="宋体"/>
          <w:color w:val="auto"/>
          <w:spacing w:val="11"/>
          <w:szCs w:val="21"/>
          <w:highlight w:val="none"/>
        </w:rPr>
      </w:pPr>
    </w:p>
    <w:p>
      <w:pPr>
        <w:spacing w:line="400" w:lineRule="exact"/>
        <w:rPr>
          <w:rFonts w:ascii="宋体" w:hAnsi="宋体" w:cs="宋体"/>
          <w:color w:val="auto"/>
          <w:spacing w:val="11"/>
          <w:szCs w:val="21"/>
          <w:highlight w:val="none"/>
        </w:rPr>
      </w:pPr>
    </w:p>
    <w:p>
      <w:pPr>
        <w:spacing w:line="400" w:lineRule="exact"/>
        <w:rPr>
          <w:rFonts w:ascii="宋体" w:hAnsi="宋体" w:cs="宋体"/>
          <w:color w:val="auto"/>
          <w:spacing w:val="11"/>
          <w:szCs w:val="21"/>
          <w:highlight w:val="none"/>
        </w:rPr>
      </w:pPr>
    </w:p>
    <w:p>
      <w:pPr>
        <w:pStyle w:val="4"/>
        <w:spacing w:line="400" w:lineRule="exact"/>
        <w:rPr>
          <w:rFonts w:ascii="宋体" w:hAnsi="宋体" w:cs="宋体"/>
          <w:color w:val="auto"/>
          <w:sz w:val="21"/>
          <w:szCs w:val="21"/>
          <w:highlight w:val="none"/>
        </w:rPr>
      </w:pPr>
      <w:r>
        <w:rPr>
          <w:rFonts w:hint="eastAsia" w:ascii="宋体" w:hAnsi="宋体" w:cs="宋体"/>
          <w:color w:val="auto"/>
          <w:spacing w:val="11"/>
          <w:sz w:val="21"/>
          <w:szCs w:val="21"/>
          <w:highlight w:val="none"/>
        </w:rPr>
        <w:br w:type="page"/>
      </w:r>
      <w:bookmarkStart w:id="542" w:name="_Toc7534"/>
      <w:bookmarkStart w:id="543" w:name="_Toc493956056"/>
      <w:bookmarkStart w:id="544" w:name="_Toc530551882"/>
      <w:bookmarkStart w:id="545" w:name="_Toc10413"/>
      <w:bookmarkStart w:id="546" w:name="_Toc531359049"/>
      <w:r>
        <w:rPr>
          <w:rFonts w:hint="eastAsia" w:ascii="宋体" w:hAnsi="宋体" w:cs="宋体"/>
          <w:color w:val="auto"/>
          <w:sz w:val="21"/>
          <w:szCs w:val="21"/>
          <w:highlight w:val="none"/>
        </w:rPr>
        <w:t>▲</w:t>
      </w:r>
      <w:bookmarkStart w:id="547" w:name="_Toc27994"/>
      <w:bookmarkStart w:id="548" w:name="_Toc20374"/>
      <w:r>
        <w:rPr>
          <w:rFonts w:hint="eastAsia" w:ascii="宋体" w:hAnsi="宋体" w:cs="宋体"/>
          <w:color w:val="auto"/>
          <w:sz w:val="21"/>
          <w:szCs w:val="21"/>
          <w:highlight w:val="none"/>
        </w:rPr>
        <w:t>1.5 政府采购资格承诺函格式</w:t>
      </w:r>
      <w:bookmarkEnd w:id="542"/>
      <w:bookmarkEnd w:id="547"/>
      <w:bookmarkEnd w:id="548"/>
    </w:p>
    <w:p>
      <w:pPr>
        <w:pStyle w:val="21"/>
        <w:spacing w:beforeLines="0" w:afterLines="0"/>
        <w:jc w:val="center"/>
        <w:rPr>
          <w:rFonts w:hAnsi="宋体" w:cs="宋体"/>
          <w:b/>
          <w:color w:val="auto"/>
          <w:sz w:val="21"/>
          <w:szCs w:val="21"/>
          <w:highlight w:val="none"/>
        </w:rPr>
      </w:pPr>
      <w:r>
        <w:rPr>
          <w:rFonts w:hint="eastAsia" w:hAnsi="宋体" w:cs="宋体"/>
          <w:b/>
          <w:color w:val="auto"/>
          <w:sz w:val="21"/>
          <w:szCs w:val="21"/>
          <w:highlight w:val="none"/>
        </w:rPr>
        <w:t>政府采购资格承诺函</w:t>
      </w:r>
    </w:p>
    <w:p>
      <w:pPr>
        <w:spacing w:line="400" w:lineRule="exact"/>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（供应商全称）</w:t>
      </w:r>
      <w:r>
        <w:rPr>
          <w:rFonts w:hint="eastAsia" w:ascii="宋体" w:hAnsi="宋体" w:cs="宋体"/>
          <w:bCs/>
          <w:color w:val="auto"/>
          <w:szCs w:val="21"/>
          <w:highlight w:val="none"/>
        </w:rPr>
        <w:t>参与</w:t>
      </w:r>
      <w:r>
        <w:rPr>
          <w:rFonts w:hint="eastAsia" w:ascii="宋体" w:hAnsi="宋体" w:cs="宋体"/>
          <w:color w:val="auto"/>
          <w:szCs w:val="21"/>
          <w:highlight w:val="none"/>
          <w:u w:val="single"/>
        </w:rPr>
        <w:t xml:space="preserve">（项目名称）  </w:t>
      </w:r>
      <w:r>
        <w:rPr>
          <w:rFonts w:hint="eastAsia" w:ascii="宋体" w:hAnsi="宋体" w:cs="宋体"/>
          <w:bCs/>
          <w:color w:val="auto"/>
          <w:szCs w:val="21"/>
          <w:highlight w:val="none"/>
        </w:rPr>
        <w:t>（项目编号：）投标，郑重</w:t>
      </w:r>
      <w:r>
        <w:rPr>
          <w:rFonts w:hint="eastAsia" w:ascii="宋体" w:hAnsi="宋体" w:cs="宋体"/>
          <w:color w:val="auto"/>
          <w:szCs w:val="21"/>
          <w:highlight w:val="none"/>
        </w:rPr>
        <w:t>承诺具备下列条件：</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1.具有独立承担民事责任的能力；</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2.具有良好的商业信誉和健全的财务会计制度；</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3.具有履行合同所必需的设备和专业技术能力；</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4.有依法缴纳税收和社会保障资金的良好记</w:t>
      </w:r>
      <w:r>
        <w:rPr>
          <w:rFonts w:hint="eastAsia" w:ascii="宋体" w:hAnsi="宋体" w:cs="宋体"/>
          <w:color w:val="auto"/>
          <w:szCs w:val="21"/>
          <w:highlight w:val="none"/>
        </w:rPr>
        <w:t>录；</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5.参加</w:t>
      </w:r>
      <w:r>
        <w:rPr>
          <w:rFonts w:hint="eastAsia" w:ascii="宋体" w:hAnsi="宋体" w:cs="宋体"/>
          <w:bCs/>
          <w:color w:val="auto"/>
          <w:szCs w:val="21"/>
          <w:highlight w:val="none"/>
        </w:rPr>
        <w:t>本项目采购活动前三</w:t>
      </w:r>
      <w:r>
        <w:rPr>
          <w:rFonts w:hint="eastAsia" w:ascii="宋体" w:hAnsi="宋体" w:cs="宋体"/>
          <w:color w:val="auto"/>
          <w:szCs w:val="21"/>
          <w:highlight w:val="none"/>
        </w:rPr>
        <w:t>年内,在经营活动中没有重大违法记录（包括行贿犯罪记录）。</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6.投标截止时间前未被“信用中国”网站（www.creditchina.gov.cn）、中国政府采购网（www.ccgp.gov.cn）列入失信被执行人、重大税收违法当事人名单、政府采购严重违法失信行为记录名单</w:t>
      </w:r>
      <w:r>
        <w:rPr>
          <w:rFonts w:hint="eastAsia" w:ascii="宋体" w:hAnsi="宋体" w:cs="宋体"/>
          <w:b/>
          <w:color w:val="auto"/>
          <w:szCs w:val="21"/>
          <w:highlight w:val="none"/>
        </w:rPr>
        <w:t>（注：本项内容以代理机构在资格审查现场查询为准）。</w:t>
      </w:r>
    </w:p>
    <w:p>
      <w:pPr>
        <w:snapToGrid w:val="0"/>
        <w:spacing w:line="400" w:lineRule="exact"/>
        <w:ind w:firstLine="420" w:firstLineChars="200"/>
        <w:rPr>
          <w:rFonts w:ascii="宋体" w:hAnsi="宋体" w:cs="宋体"/>
          <w:color w:val="auto"/>
          <w:szCs w:val="21"/>
          <w:highlight w:val="none"/>
        </w:rPr>
      </w:pPr>
    </w:p>
    <w:p>
      <w:pPr>
        <w:snapToGrid w:val="0"/>
        <w:spacing w:line="400" w:lineRule="exact"/>
        <w:ind w:firstLine="422" w:firstLineChars="200"/>
        <w:rPr>
          <w:rFonts w:ascii="宋体" w:hAnsi="宋体" w:cs="宋体"/>
          <w:b/>
          <w:color w:val="auto"/>
          <w:szCs w:val="21"/>
          <w:highlight w:val="none"/>
        </w:rPr>
      </w:pP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如有虚假，采购人可取消我单位任何资格（投标/中标（成交）/签订合同），我单位对此无任何异议。</w:t>
      </w:r>
    </w:p>
    <w:p>
      <w:pPr>
        <w:snapToGrid w:val="0"/>
        <w:spacing w:line="400" w:lineRule="exact"/>
        <w:ind w:firstLine="422" w:firstLineChars="200"/>
        <w:rPr>
          <w:rFonts w:ascii="宋体" w:hAnsi="宋体" w:cs="宋体"/>
          <w:b/>
          <w:color w:val="auto"/>
          <w:szCs w:val="21"/>
          <w:highlight w:val="none"/>
        </w:rPr>
      </w:pP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特此承诺！</w:t>
      </w:r>
    </w:p>
    <w:p>
      <w:pPr>
        <w:tabs>
          <w:tab w:val="left" w:pos="9180"/>
        </w:tabs>
        <w:spacing w:line="400" w:lineRule="exact"/>
        <w:ind w:firstLine="420" w:firstLineChars="200"/>
        <w:rPr>
          <w:rFonts w:ascii="宋体" w:hAnsi="宋体" w:cs="宋体"/>
          <w:snapToGrid w:val="0"/>
          <w:color w:val="auto"/>
          <w:szCs w:val="21"/>
          <w:highlight w:val="none"/>
        </w:rPr>
      </w:pPr>
    </w:p>
    <w:p>
      <w:pPr>
        <w:tabs>
          <w:tab w:val="left" w:pos="9180"/>
        </w:tabs>
        <w:spacing w:line="400" w:lineRule="exact"/>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注：（1）参加政府采购活动的时间是指供应商参加本项目的政府采购活动时间为准（具体以响应截止时间为准）。</w:t>
      </w:r>
    </w:p>
    <w:p>
      <w:pPr>
        <w:tabs>
          <w:tab w:val="left" w:pos="9180"/>
        </w:tabs>
        <w:spacing w:line="400" w:lineRule="exact"/>
        <w:ind w:firstLine="630" w:firstLineChars="300"/>
        <w:rPr>
          <w:rFonts w:ascii="宋体" w:hAnsi="宋体" w:cs="宋体"/>
          <w:b/>
          <w:color w:val="auto"/>
          <w:szCs w:val="21"/>
          <w:highlight w:val="none"/>
        </w:rPr>
      </w:pPr>
      <w:r>
        <w:rPr>
          <w:rFonts w:hint="eastAsia" w:ascii="宋体" w:hAnsi="宋体" w:cs="宋体"/>
          <w:snapToGrid w:val="0"/>
          <w:color w:val="auto"/>
          <w:szCs w:val="21"/>
          <w:highlight w:val="none"/>
        </w:rPr>
        <w:t>（2）本承诺函必须提供。</w:t>
      </w:r>
    </w:p>
    <w:p>
      <w:pPr>
        <w:pStyle w:val="21"/>
        <w:spacing w:beforeLines="0" w:afterLines="0"/>
        <w:ind w:firstLine="2214" w:firstLineChars="1050"/>
        <w:rPr>
          <w:rFonts w:hAnsi="宋体" w:cs="宋体"/>
          <w:b/>
          <w:color w:val="auto"/>
          <w:sz w:val="21"/>
          <w:szCs w:val="21"/>
          <w:highlight w:val="none"/>
        </w:rPr>
      </w:pPr>
    </w:p>
    <w:p>
      <w:pPr>
        <w:pStyle w:val="146"/>
        <w:wordWrap w:val="0"/>
        <w:spacing w:line="400" w:lineRule="exact"/>
        <w:ind w:firstLine="480"/>
        <w:jc w:val="right"/>
        <w:rPr>
          <w:rFonts w:ascii="宋体" w:hAnsi="宋体" w:cs="宋体"/>
          <w:color w:val="auto"/>
          <w:szCs w:val="21"/>
          <w:highlight w:val="none"/>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rPr>
          <w:rFonts w:ascii="宋体" w:hAnsi="宋体" w:cs="宋体"/>
          <w:color w:val="auto"/>
          <w:szCs w:val="21"/>
          <w:highlight w:val="none"/>
        </w:rPr>
      </w:pPr>
      <w:bookmarkStart w:id="549" w:name="_Toc25306"/>
      <w:r>
        <w:rPr>
          <w:rFonts w:hint="eastAsia" w:ascii="宋体" w:hAnsi="宋体" w:cs="宋体"/>
          <w:color w:val="auto"/>
          <w:szCs w:val="21"/>
          <w:highlight w:val="none"/>
        </w:rPr>
        <w:br w:type="page"/>
      </w:r>
    </w:p>
    <w:p>
      <w:pPr>
        <w:pStyle w:val="4"/>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bookmarkStart w:id="550" w:name="_Toc9548"/>
      <w:bookmarkStart w:id="551" w:name="_Toc3864"/>
      <w:r>
        <w:rPr>
          <w:rFonts w:hint="eastAsia" w:ascii="宋体" w:hAnsi="宋体" w:cs="宋体"/>
          <w:color w:val="auto"/>
          <w:sz w:val="21"/>
          <w:szCs w:val="21"/>
          <w:highlight w:val="none"/>
        </w:rPr>
        <w:t>1.6 资格证明格式</w:t>
      </w:r>
      <w:bookmarkEnd w:id="549"/>
      <w:bookmarkEnd w:id="550"/>
      <w:bookmarkEnd w:id="551"/>
    </w:p>
    <w:p>
      <w:pPr>
        <w:pStyle w:val="21"/>
        <w:spacing w:beforeLines="0" w:afterLines="0"/>
        <w:jc w:val="center"/>
        <w:rPr>
          <w:rFonts w:hAnsi="宋体" w:cs="宋体"/>
          <w:b/>
          <w:color w:val="auto"/>
          <w:sz w:val="21"/>
          <w:szCs w:val="21"/>
          <w:highlight w:val="none"/>
        </w:rPr>
      </w:pPr>
      <w:r>
        <w:rPr>
          <w:rFonts w:hint="eastAsia" w:hAnsi="宋体" w:cs="宋体"/>
          <w:b/>
          <w:color w:val="auto"/>
          <w:sz w:val="21"/>
          <w:szCs w:val="21"/>
          <w:highlight w:val="none"/>
        </w:rPr>
        <w:t>资格证明</w:t>
      </w:r>
    </w:p>
    <w:p>
      <w:pPr>
        <w:pStyle w:val="146"/>
        <w:spacing w:line="400" w:lineRule="exact"/>
        <w:rPr>
          <w:rFonts w:ascii="宋体" w:hAnsi="宋体" w:cs="宋体"/>
          <w:color w:val="auto"/>
          <w:szCs w:val="21"/>
          <w:highlight w:val="none"/>
        </w:rPr>
      </w:pP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u w:val="single"/>
        </w:rPr>
        <w:t xml:space="preserve">    (供应商全称)  </w:t>
      </w:r>
      <w:r>
        <w:rPr>
          <w:rFonts w:hint="eastAsia" w:hAnsi="宋体" w:cs="宋体"/>
          <w:color w:val="auto"/>
          <w:sz w:val="21"/>
          <w:szCs w:val="21"/>
          <w:highlight w:val="none"/>
        </w:rPr>
        <w:t>系中华人民共和国合法企业，经营地址。</w:t>
      </w:r>
    </w:p>
    <w:p>
      <w:pPr>
        <w:pStyle w:val="5"/>
        <w:spacing w:line="400" w:lineRule="exact"/>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(负责人名字)</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的负责人，我方愿意参加贵方组织的</w:t>
      </w:r>
      <w:r>
        <w:rPr>
          <w:rFonts w:hint="eastAsia" w:ascii="宋体" w:hAnsi="宋体" w:cs="宋体"/>
          <w:color w:val="auto"/>
          <w:szCs w:val="21"/>
          <w:highlight w:val="none"/>
          <w:u w:val="single"/>
        </w:rPr>
        <w:t xml:space="preserve">    （项目名称）    （项目编号：      ）</w:t>
      </w:r>
      <w:r>
        <w:rPr>
          <w:rFonts w:hint="eastAsia" w:ascii="宋体" w:hAnsi="宋体" w:cs="宋体"/>
          <w:color w:val="auto"/>
          <w:szCs w:val="21"/>
          <w:highlight w:val="none"/>
        </w:rPr>
        <w:t>的投标。为便于贵方公正、择优地确定成交人以及投标产品和服务，我方就本次投标有关事项证明如下：</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（一）名称及概况：</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 xml:space="preserve">1．企业名称：________________________________________________ </w:t>
      </w:r>
    </w:p>
    <w:p>
      <w:pPr>
        <w:pStyle w:val="239"/>
        <w:spacing w:line="400" w:lineRule="exact"/>
        <w:ind w:firstLine="420"/>
        <w:rPr>
          <w:rFonts w:hAnsi="宋体" w:cs="宋体"/>
          <w:b/>
          <w:bCs/>
          <w:color w:val="auto"/>
          <w:szCs w:val="21"/>
          <w:highlight w:val="none"/>
        </w:rPr>
      </w:pPr>
      <w:r>
        <w:rPr>
          <w:rFonts w:hint="eastAsia" w:hAnsi="宋体" w:cs="宋体"/>
          <w:color w:val="auto"/>
          <w:szCs w:val="21"/>
          <w:highlight w:val="none"/>
        </w:rPr>
        <w:t>银行开户名称：________________________________________________</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 xml:space="preserve">    开户银行：_________________________________________________ </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 xml:space="preserve">    账    号：________________________________________________ </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 xml:space="preserve">企业详细地址：________________________________________________ </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 xml:space="preserve">    传    真： ________________________________________________</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 xml:space="preserve">    电    话： ________________________________________________</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 xml:space="preserve">2．负责人姓名：___________________________________________ </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3．项目联系人：姓名__________职务：______电话______手机______</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4．注册地址：________________________________________________</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 xml:space="preserve">5．注册资金：________________________________________________ </w:t>
      </w:r>
    </w:p>
    <w:p>
      <w:pPr>
        <w:pStyle w:val="239"/>
        <w:spacing w:line="400" w:lineRule="exact"/>
        <w:ind w:firstLine="735"/>
        <w:rPr>
          <w:rFonts w:hAnsi="宋体" w:cs="宋体"/>
          <w:color w:val="auto"/>
          <w:szCs w:val="21"/>
          <w:highlight w:val="none"/>
        </w:rPr>
      </w:pPr>
      <w:r>
        <w:rPr>
          <w:rFonts w:hint="eastAsia" w:hAnsi="宋体" w:cs="宋体"/>
          <w:color w:val="auto"/>
          <w:szCs w:val="21"/>
          <w:highlight w:val="none"/>
        </w:rPr>
        <w:t>自有资金：_____________________________________________________</w:t>
      </w:r>
    </w:p>
    <w:p>
      <w:pPr>
        <w:pStyle w:val="239"/>
        <w:spacing w:line="400" w:lineRule="exact"/>
        <w:ind w:firstLine="735"/>
        <w:rPr>
          <w:rFonts w:hAnsi="宋体" w:cs="宋体"/>
          <w:color w:val="auto"/>
          <w:szCs w:val="21"/>
          <w:highlight w:val="none"/>
        </w:rPr>
      </w:pPr>
      <w:r>
        <w:rPr>
          <w:rFonts w:hint="eastAsia" w:hAnsi="宋体" w:cs="宋体"/>
          <w:color w:val="auto"/>
          <w:szCs w:val="21"/>
          <w:highlight w:val="none"/>
        </w:rPr>
        <w:t>企业人数：______</w:t>
      </w:r>
      <w:r>
        <w:rPr>
          <w:rFonts w:hint="eastAsia" w:hAnsi="宋体" w:cs="宋体"/>
          <w:b/>
          <w:bCs/>
          <w:color w:val="auto"/>
          <w:szCs w:val="21"/>
          <w:highlight w:val="none"/>
        </w:rPr>
        <w:t>_</w:t>
      </w:r>
      <w:r>
        <w:rPr>
          <w:rFonts w:hint="eastAsia" w:hAnsi="宋体" w:cs="宋体"/>
          <w:color w:val="auto"/>
          <w:szCs w:val="21"/>
          <w:highlight w:val="none"/>
        </w:rPr>
        <w:t>人</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6．企业性质：________</w:t>
      </w:r>
      <w:r>
        <w:rPr>
          <w:rFonts w:hint="eastAsia" w:hAnsi="宋体" w:cs="宋体"/>
          <w:color w:val="auto"/>
          <w:szCs w:val="21"/>
          <w:highlight w:val="none"/>
          <w:u w:val="single"/>
        </w:rPr>
        <w:t>___</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 xml:space="preserve">7．主要经营地点：________________________________________________ </w:t>
      </w:r>
    </w:p>
    <w:p>
      <w:pPr>
        <w:pStyle w:val="239"/>
        <w:spacing w:line="400" w:lineRule="exact"/>
        <w:ind w:firstLine="420"/>
        <w:rPr>
          <w:rFonts w:hAnsi="宋体" w:cs="宋体"/>
          <w:color w:val="auto"/>
          <w:szCs w:val="21"/>
          <w:highlight w:val="none"/>
        </w:rPr>
      </w:pPr>
      <w:r>
        <w:rPr>
          <w:rFonts w:hint="eastAsia" w:hAnsi="宋体" w:cs="宋体"/>
          <w:color w:val="auto"/>
          <w:szCs w:val="21"/>
          <w:highlight w:val="none"/>
        </w:rPr>
        <w:t>如有派出机构，请列出名称及详细通讯地址如下：________________</w:t>
      </w:r>
    </w:p>
    <w:p>
      <w:pPr>
        <w:pStyle w:val="239"/>
        <w:spacing w:line="400" w:lineRule="exact"/>
        <w:ind w:firstLine="420" w:firstLineChars="200"/>
        <w:rPr>
          <w:rFonts w:hAnsi="宋体" w:cs="宋体"/>
          <w:color w:val="auto"/>
          <w:szCs w:val="21"/>
          <w:highlight w:val="none"/>
        </w:rPr>
      </w:pPr>
      <w:r>
        <w:rPr>
          <w:rFonts w:hint="eastAsia" w:hAnsi="宋体" w:cs="宋体"/>
          <w:color w:val="auto"/>
          <w:szCs w:val="21"/>
          <w:highlight w:val="none"/>
        </w:rPr>
        <w:t>兹证明上述声明是真实、正确的，并提供了全部能提供的资料和数据，我们同意遵照贵方要求出示有关证明文件。</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rPr>
          <w:rFonts w:ascii="宋体" w:hAnsi="宋体" w:cs="宋体"/>
          <w:color w:val="auto"/>
          <w:szCs w:val="21"/>
          <w:highlight w:val="none"/>
        </w:rPr>
      </w:pPr>
      <w:bookmarkStart w:id="552" w:name="_Toc10316"/>
      <w:r>
        <w:rPr>
          <w:rFonts w:hint="eastAsia" w:ascii="宋体" w:hAnsi="宋体" w:cs="宋体"/>
          <w:color w:val="auto"/>
          <w:szCs w:val="21"/>
          <w:highlight w:val="none"/>
        </w:rPr>
        <w:br w:type="page"/>
      </w:r>
    </w:p>
    <w:p>
      <w:pPr>
        <w:pStyle w:val="4"/>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bookmarkEnd w:id="543"/>
      <w:bookmarkStart w:id="553" w:name="_Toc32445"/>
      <w:bookmarkStart w:id="554" w:name="_Toc201"/>
      <w:r>
        <w:rPr>
          <w:rFonts w:hint="eastAsia" w:ascii="宋体" w:hAnsi="宋体" w:cs="宋体"/>
          <w:color w:val="auto"/>
          <w:sz w:val="21"/>
          <w:szCs w:val="21"/>
          <w:highlight w:val="none"/>
        </w:rPr>
        <w:t>1.7 无重大违法记录声明书格式</w:t>
      </w:r>
      <w:bookmarkEnd w:id="552"/>
      <w:bookmarkEnd w:id="553"/>
      <w:bookmarkEnd w:id="554"/>
    </w:p>
    <w:p>
      <w:pPr>
        <w:pStyle w:val="5"/>
        <w:spacing w:line="400" w:lineRule="exact"/>
        <w:ind w:firstLine="0"/>
        <w:rPr>
          <w:rFonts w:ascii="宋体" w:hAnsi="宋体" w:cs="宋体"/>
          <w:color w:val="auto"/>
          <w:szCs w:val="21"/>
          <w:highlight w:val="none"/>
        </w:rPr>
      </w:pPr>
    </w:p>
    <w:p>
      <w:pPr>
        <w:pStyle w:val="5"/>
        <w:spacing w:line="400" w:lineRule="exact"/>
        <w:ind w:firstLine="0"/>
        <w:jc w:val="center"/>
        <w:rPr>
          <w:rFonts w:ascii="宋体" w:hAnsi="宋体" w:cs="宋体"/>
          <w:b/>
          <w:color w:val="auto"/>
          <w:szCs w:val="21"/>
          <w:highlight w:val="none"/>
        </w:rPr>
      </w:pPr>
      <w:r>
        <w:rPr>
          <w:rFonts w:hint="eastAsia" w:ascii="宋体" w:hAnsi="宋体" w:cs="宋体"/>
          <w:b/>
          <w:color w:val="auto"/>
          <w:szCs w:val="21"/>
          <w:highlight w:val="none"/>
        </w:rPr>
        <w:t>无重大违法记录声明书</w:t>
      </w:r>
    </w:p>
    <w:p>
      <w:pPr>
        <w:pStyle w:val="156"/>
        <w:spacing w:line="400" w:lineRule="exact"/>
        <w:rPr>
          <w:rFonts w:ascii="宋体" w:hAnsi="宋体" w:cs="宋体"/>
          <w:color w:val="auto"/>
          <w:spacing w:val="6"/>
          <w:szCs w:val="21"/>
          <w:highlight w:val="none"/>
        </w:rPr>
      </w:pPr>
      <w:r>
        <w:rPr>
          <w:rFonts w:hint="eastAsia" w:ascii="宋体" w:hAnsi="宋体" w:cs="宋体"/>
          <w:color w:val="auto"/>
          <w:szCs w:val="21"/>
          <w:highlight w:val="none"/>
          <w:u w:val="single"/>
        </w:rPr>
        <w:t>（采购代理机构名称）</w:t>
      </w:r>
      <w:r>
        <w:rPr>
          <w:rFonts w:hint="eastAsia" w:ascii="宋体" w:hAnsi="宋体" w:cs="宋体"/>
          <w:color w:val="auto"/>
          <w:spacing w:val="6"/>
          <w:szCs w:val="21"/>
          <w:highlight w:val="none"/>
        </w:rPr>
        <w:t>：</w:t>
      </w:r>
    </w:p>
    <w:p>
      <w:pPr>
        <w:pStyle w:val="156"/>
        <w:spacing w:line="4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 xml:space="preserve"> 我方参与的</w:t>
      </w:r>
      <w:r>
        <w:rPr>
          <w:rFonts w:hint="eastAsia" w:ascii="宋体" w:hAnsi="宋体" w:cs="宋体"/>
          <w:color w:val="auto"/>
          <w:spacing w:val="6"/>
          <w:szCs w:val="21"/>
          <w:highlight w:val="none"/>
          <w:u w:val="single"/>
        </w:rPr>
        <w:t xml:space="preserve">   （标项）    </w:t>
      </w:r>
      <w:r>
        <w:rPr>
          <w:rFonts w:hint="eastAsia" w:ascii="宋体" w:hAnsi="宋体" w:cs="宋体"/>
          <w:color w:val="auto"/>
          <w:spacing w:val="6"/>
          <w:szCs w:val="21"/>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56"/>
        <w:spacing w:line="4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特此声明。</w:t>
      </w:r>
    </w:p>
    <w:p>
      <w:pPr>
        <w:pStyle w:val="156"/>
        <w:spacing w:line="400" w:lineRule="exact"/>
        <w:rPr>
          <w:rFonts w:ascii="宋体" w:hAnsi="宋体" w:cs="宋体"/>
          <w:color w:val="auto"/>
          <w:spacing w:val="6"/>
          <w:szCs w:val="21"/>
          <w:highlight w:val="none"/>
        </w:rPr>
      </w:pPr>
    </w:p>
    <w:p>
      <w:pPr>
        <w:pStyle w:val="156"/>
        <w:spacing w:line="400" w:lineRule="exact"/>
        <w:jc w:val="left"/>
        <w:rPr>
          <w:rFonts w:ascii="宋体" w:hAnsi="宋体" w:cs="宋体"/>
          <w:color w:val="auto"/>
          <w:spacing w:val="20"/>
          <w:szCs w:val="21"/>
          <w:highlight w:val="none"/>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pStyle w:val="228"/>
        <w:spacing w:line="400" w:lineRule="exact"/>
        <w:jc w:val="center"/>
        <w:rPr>
          <w:rFonts w:hAnsi="宋体" w:cs="宋体"/>
          <w:b/>
          <w:bCs/>
          <w:color w:val="auto"/>
          <w:szCs w:val="21"/>
          <w:highlight w:val="none"/>
        </w:rPr>
      </w:pPr>
    </w:p>
    <w:p>
      <w:pPr>
        <w:pStyle w:val="228"/>
        <w:spacing w:line="400" w:lineRule="exact"/>
        <w:jc w:val="center"/>
        <w:rPr>
          <w:rFonts w:hAnsi="宋体" w:cs="宋体"/>
          <w:b/>
          <w:bCs/>
          <w:color w:val="auto"/>
          <w:szCs w:val="21"/>
          <w:highlight w:val="none"/>
        </w:rPr>
      </w:pPr>
    </w:p>
    <w:p>
      <w:pPr>
        <w:pStyle w:val="40"/>
        <w:tabs>
          <w:tab w:val="left" w:pos="208"/>
        </w:tabs>
        <w:spacing w:after="0" w:line="400" w:lineRule="exact"/>
        <w:ind w:firstLine="210"/>
        <w:rPr>
          <w:rFonts w:ascii="宋体" w:hAnsi="宋体" w:cs="宋体"/>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pStyle w:val="5"/>
        <w:spacing w:line="400" w:lineRule="exact"/>
        <w:ind w:firstLine="0"/>
        <w:rPr>
          <w:rFonts w:ascii="宋体" w:hAnsi="宋体" w:cs="宋体"/>
          <w:b/>
          <w:bCs/>
          <w:color w:val="auto"/>
          <w:szCs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br w:type="page"/>
      </w:r>
    </w:p>
    <w:p>
      <w:pPr>
        <w:pStyle w:val="4"/>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1.8 企业类型声明函格式</w:t>
      </w:r>
    </w:p>
    <w:p>
      <w:pPr>
        <w:pStyle w:val="5"/>
        <w:spacing w:line="360" w:lineRule="auto"/>
        <w:ind w:firstLine="2108" w:firstLineChars="1000"/>
        <w:jc w:val="both"/>
        <w:rPr>
          <w:rFonts w:hint="eastAsia" w:ascii="宋体" w:hAnsi="宋体" w:cs="宋体"/>
          <w:b/>
          <w:color w:val="auto"/>
          <w:sz w:val="22"/>
          <w:szCs w:val="22"/>
          <w:highlight w:val="none"/>
        </w:rPr>
      </w:pPr>
      <w:r>
        <w:rPr>
          <w:rFonts w:hint="eastAsia" w:ascii="宋体" w:hAnsi="宋体" w:cs="宋体"/>
          <w:b/>
          <w:color w:val="auto"/>
          <w:szCs w:val="21"/>
          <w:highlight w:val="none"/>
        </w:rPr>
        <w:t>1.8.1</w:t>
      </w:r>
      <w:r>
        <w:rPr>
          <w:rFonts w:hint="eastAsia" w:ascii="宋体" w:hAnsi="宋体" w:cs="宋体"/>
          <w:b/>
          <w:color w:val="auto"/>
          <w:sz w:val="22"/>
          <w:szCs w:val="22"/>
          <w:highlight w:val="none"/>
        </w:rPr>
        <w:t>中小企业声明函格式（</w:t>
      </w:r>
      <w:r>
        <w:rPr>
          <w:rFonts w:hint="eastAsia" w:ascii="宋体" w:hAnsi="宋体" w:cs="宋体"/>
          <w:b/>
          <w:color w:val="auto"/>
          <w:sz w:val="22"/>
          <w:szCs w:val="22"/>
          <w:highlight w:val="none"/>
          <w:lang w:eastAsia="zh-CN"/>
        </w:rPr>
        <w:t>工程、服务</w:t>
      </w:r>
      <w:r>
        <w:rPr>
          <w:rFonts w:hint="eastAsia" w:ascii="宋体" w:hAnsi="宋体" w:cs="宋体"/>
          <w:b/>
          <w:color w:val="auto"/>
          <w:sz w:val="22"/>
          <w:szCs w:val="22"/>
          <w:highlight w:val="none"/>
        </w:rPr>
        <w:t>）</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本公司郑重声明，根据《政府采购促进中小企业发展管理办法》（财库﹝2020﹞46 号）的规定，本公司</w:t>
      </w:r>
      <w:r>
        <w:rPr>
          <w:rFonts w:hint="eastAsia" w:ascii="宋体" w:hAnsi="宋体" w:cs="宋体"/>
          <w:color w:val="auto"/>
          <w:sz w:val="22"/>
          <w:szCs w:val="22"/>
          <w:highlight w:val="none"/>
          <w:lang w:eastAsia="zh-CN"/>
        </w:rPr>
        <w:t>（联合体）</w:t>
      </w:r>
      <w:r>
        <w:rPr>
          <w:rFonts w:hint="eastAsia" w:ascii="宋体" w:hAnsi="宋体" w:cs="宋体"/>
          <w:color w:val="auto"/>
          <w:sz w:val="22"/>
          <w:szCs w:val="22"/>
          <w:highlight w:val="none"/>
        </w:rPr>
        <w:t>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（项目名称及标项）</w:t>
      </w:r>
      <w:r>
        <w:rPr>
          <w:rFonts w:hint="eastAsia" w:ascii="宋体" w:hAnsi="宋体" w:cs="宋体"/>
          <w:color w:val="auto"/>
          <w:sz w:val="22"/>
          <w:szCs w:val="22"/>
          <w:highlight w:val="none"/>
        </w:rPr>
        <w:t>采购活动，</w:t>
      </w:r>
      <w:r>
        <w:rPr>
          <w:rFonts w:hint="eastAsia" w:ascii="宋体" w:hAnsi="宋体" w:eastAsia="宋体" w:cs="宋体"/>
          <w:color w:val="auto"/>
          <w:sz w:val="22"/>
          <w:szCs w:val="22"/>
          <w:highlight w:val="none"/>
        </w:rPr>
        <w:t>工程的施工单位全部为符合政策要求的中小企业</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（或者：服务全部由符合政策要求的中小企业承接）。</w:t>
      </w:r>
      <w:r>
        <w:rPr>
          <w:rFonts w:hint="eastAsia" w:ascii="宋体" w:hAnsi="宋体" w:cs="宋体"/>
          <w:color w:val="auto"/>
          <w:sz w:val="22"/>
          <w:szCs w:val="22"/>
          <w:highlight w:val="none"/>
        </w:rPr>
        <w:t>相关企业</w:t>
      </w:r>
      <w:r>
        <w:rPr>
          <w:rFonts w:hint="eastAsia" w:ascii="宋体" w:hAnsi="宋体" w:cs="宋体"/>
          <w:color w:val="auto"/>
          <w:sz w:val="22"/>
          <w:szCs w:val="22"/>
          <w:highlight w:val="none"/>
          <w:lang w:eastAsia="zh-CN"/>
        </w:rPr>
        <w:t>（含联合体中的中小企业、签订分包意向协议的中小企业）</w:t>
      </w:r>
      <w:r>
        <w:rPr>
          <w:rFonts w:hint="eastAsia" w:ascii="宋体" w:hAnsi="宋体" w:cs="宋体"/>
          <w:color w:val="auto"/>
          <w:sz w:val="22"/>
          <w:szCs w:val="22"/>
          <w:highlight w:val="none"/>
        </w:rPr>
        <w:t>的具体情况如下：</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 xml:space="preserve">； </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pPr>
        <w:spacing w:line="360" w:lineRule="auto"/>
        <w:ind w:firstLine="440" w:firstLineChars="200"/>
        <w:rPr>
          <w:rFonts w:hint="eastAsia" w:ascii="宋体" w:hAnsi="宋体" w:cs="宋体"/>
          <w:color w:val="auto"/>
          <w:sz w:val="22"/>
          <w:szCs w:val="22"/>
          <w:highlight w:val="none"/>
        </w:rPr>
      </w:pPr>
    </w:p>
    <w:p>
      <w:pPr>
        <w:spacing w:line="360" w:lineRule="auto"/>
        <w:ind w:firstLine="440" w:firstLineChars="200"/>
        <w:rPr>
          <w:rFonts w:hint="eastAsia" w:ascii="宋体" w:hAnsi="宋体" w:cs="宋体"/>
          <w:color w:val="auto"/>
          <w:kern w:val="0"/>
          <w:sz w:val="22"/>
          <w:szCs w:val="22"/>
          <w:highlight w:val="none"/>
          <w:lang w:bidi="ar"/>
        </w:rPr>
      </w:pPr>
      <w:r>
        <w:rPr>
          <w:rFonts w:hint="eastAsia" w:ascii="宋体" w:hAnsi="宋体" w:cs="宋体"/>
          <w:color w:val="auto"/>
          <w:sz w:val="22"/>
          <w:szCs w:val="22"/>
          <w:highlight w:val="none"/>
        </w:rPr>
        <w:t>本企业对上述声明内容的真实性负责。如有虚假，将依法承担相应责任。</w:t>
      </w:r>
      <w:r>
        <w:rPr>
          <w:rFonts w:hint="eastAsia" w:ascii="宋体" w:hAnsi="宋体" w:cs="宋体"/>
          <w:color w:val="auto"/>
          <w:kern w:val="0"/>
          <w:sz w:val="22"/>
          <w:szCs w:val="22"/>
          <w:highlight w:val="none"/>
          <w:lang w:bidi="ar"/>
        </w:rPr>
        <w:t xml:space="preserve"> </w:t>
      </w:r>
    </w:p>
    <w:p>
      <w:pPr>
        <w:spacing w:line="360" w:lineRule="auto"/>
        <w:ind w:firstLine="422" w:firstLineChars="200"/>
        <w:jc w:val="left"/>
        <w:rPr>
          <w:rFonts w:hint="eastAsia" w:ascii="宋体" w:hAnsi="宋体" w:cs="宋体"/>
          <w:b/>
          <w:bCs/>
          <w:color w:val="auto"/>
          <w:kern w:val="0"/>
          <w:sz w:val="21"/>
          <w:szCs w:val="24"/>
          <w:highlight w:val="none"/>
        </w:rPr>
      </w:pPr>
    </w:p>
    <w:p>
      <w:pPr>
        <w:spacing w:line="360" w:lineRule="auto"/>
        <w:ind w:firstLine="442" w:firstLineChars="20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注：</w:t>
      </w:r>
    </w:p>
    <w:p>
      <w:pPr>
        <w:numPr>
          <w:ilvl w:val="0"/>
          <w:numId w:val="5"/>
        </w:numPr>
        <w:spacing w:line="360" w:lineRule="auto"/>
        <w:ind w:firstLine="442" w:firstLineChars="20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从业人员、营业收入、资产总额填报上一年度数据，无上一年度数据的新成立企业可不填报。</w:t>
      </w:r>
    </w:p>
    <w:p>
      <w:pPr>
        <w:numPr>
          <w:ilvl w:val="0"/>
          <w:numId w:val="5"/>
        </w:numPr>
        <w:spacing w:line="360" w:lineRule="auto"/>
        <w:ind w:firstLine="442" w:firstLineChars="200"/>
        <w:jc w:val="left"/>
        <w:rPr>
          <w:rFonts w:hAnsi="宋体" w:cs="宋体"/>
          <w:color w:val="auto"/>
          <w:spacing w:val="6"/>
          <w:sz w:val="21"/>
          <w:szCs w:val="21"/>
          <w:highlight w:val="none"/>
        </w:rPr>
      </w:pPr>
      <w:r>
        <w:rPr>
          <w:rFonts w:hint="eastAsia" w:ascii="宋体" w:hAnsi="宋体" w:cs="宋体"/>
          <w:b/>
          <w:bCs/>
          <w:color w:val="auto"/>
          <w:kern w:val="0"/>
          <w:sz w:val="22"/>
          <w:szCs w:val="22"/>
          <w:highlight w:val="none"/>
        </w:rPr>
        <w:t>2.上表信息填写不全的，不得享受小微企业价格扣除政策。</w:t>
      </w:r>
    </w:p>
    <w:p>
      <w:pPr>
        <w:pStyle w:val="146"/>
        <w:spacing w:line="400" w:lineRule="exact"/>
        <w:jc w:val="left"/>
        <w:rPr>
          <w:rFonts w:ascii="宋体" w:hAnsi="宋体" w:cs="宋体"/>
          <w:color w:val="auto"/>
          <w:spacing w:val="6"/>
          <w:szCs w:val="21"/>
          <w:highlight w:val="none"/>
        </w:rPr>
      </w:pPr>
    </w:p>
    <w:p>
      <w:pPr>
        <w:pStyle w:val="146"/>
        <w:spacing w:line="400" w:lineRule="exact"/>
        <w:jc w:val="left"/>
        <w:rPr>
          <w:rFonts w:ascii="宋体" w:hAnsi="宋体" w:cs="宋体"/>
          <w:color w:val="auto"/>
          <w:spacing w:val="6"/>
          <w:szCs w:val="21"/>
          <w:highlight w:val="none"/>
        </w:rPr>
      </w:pPr>
    </w:p>
    <w:p>
      <w:pPr>
        <w:pStyle w:val="146"/>
        <w:spacing w:line="400" w:lineRule="exact"/>
        <w:jc w:val="left"/>
        <w:rPr>
          <w:rFonts w:ascii="宋体" w:hAnsi="宋体" w:cs="宋体"/>
          <w:color w:val="auto"/>
          <w:spacing w:val="6"/>
          <w:szCs w:val="21"/>
          <w:highlight w:val="none"/>
        </w:rPr>
      </w:pPr>
    </w:p>
    <w:p>
      <w:pPr>
        <w:pStyle w:val="146"/>
        <w:spacing w:line="400" w:lineRule="exact"/>
        <w:jc w:val="left"/>
        <w:rPr>
          <w:rFonts w:ascii="宋体" w:hAnsi="宋体" w:cs="宋体"/>
          <w:color w:val="auto"/>
          <w:spacing w:val="6"/>
          <w:szCs w:val="21"/>
          <w:highlight w:val="none"/>
        </w:rPr>
      </w:pPr>
    </w:p>
    <w:p>
      <w:pPr>
        <w:pStyle w:val="146"/>
        <w:spacing w:line="400" w:lineRule="exact"/>
        <w:jc w:val="left"/>
        <w:rPr>
          <w:rFonts w:ascii="宋体" w:hAnsi="宋体" w:cs="宋体"/>
          <w:color w:val="auto"/>
          <w:spacing w:val="6"/>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br w:type="page"/>
      </w:r>
    </w:p>
    <w:p>
      <w:pPr>
        <w:pStyle w:val="5"/>
        <w:spacing w:line="400" w:lineRule="exact"/>
        <w:ind w:firstLine="0"/>
        <w:jc w:val="center"/>
        <w:rPr>
          <w:rFonts w:ascii="宋体" w:hAnsi="宋体" w:cs="宋体"/>
          <w:b/>
          <w:color w:val="auto"/>
          <w:szCs w:val="21"/>
          <w:highlight w:val="none"/>
        </w:rPr>
      </w:pPr>
      <w:r>
        <w:rPr>
          <w:rFonts w:hint="eastAsia" w:ascii="宋体" w:hAnsi="宋体" w:cs="宋体"/>
          <w:b/>
          <w:color w:val="auto"/>
          <w:szCs w:val="21"/>
          <w:highlight w:val="none"/>
        </w:rPr>
        <w:t>1.8.2监狱企业</w:t>
      </w:r>
      <w:r>
        <w:rPr>
          <w:rFonts w:hint="eastAsia" w:ascii="宋体" w:hAnsi="宋体" w:cs="宋体"/>
          <w:b/>
          <w:color w:val="auto"/>
          <w:szCs w:val="21"/>
          <w:highlight w:val="none"/>
          <w:lang w:val="en-US" w:eastAsia="zh-CN"/>
        </w:rPr>
        <w:t>证明</w:t>
      </w:r>
      <w:r>
        <w:rPr>
          <w:rFonts w:hint="eastAsia" w:ascii="宋体" w:hAnsi="宋体" w:cs="宋体"/>
          <w:b/>
          <w:color w:val="auto"/>
          <w:szCs w:val="21"/>
          <w:highlight w:val="none"/>
        </w:rPr>
        <w:t>（监狱企业提供）</w:t>
      </w:r>
    </w:p>
    <w:p>
      <w:pPr>
        <w:pStyle w:val="5"/>
        <w:spacing w:line="400" w:lineRule="exact"/>
        <w:ind w:firstLine="0"/>
        <w:jc w:val="center"/>
        <w:rPr>
          <w:rFonts w:ascii="宋体" w:hAnsi="宋体" w:cs="宋体"/>
          <w:color w:val="auto"/>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r>
        <w:rPr>
          <w:rFonts w:hint="eastAsia" w:ascii="宋体" w:hAnsi="宋体" w:cs="宋体"/>
          <w:color w:val="auto"/>
          <w:kern w:val="0"/>
          <w:szCs w:val="21"/>
          <w:highlight w:val="none"/>
        </w:rPr>
        <w:t>注：1.须附省级以上监狱管理局、戒毒管理局（含新疆生产建设兵团）出具的属于监狱企业的证明文件，否则视为供应商放弃相关政策优惠处理；</w:t>
      </w:r>
    </w:p>
    <w:p>
      <w:pPr>
        <w:spacing w:line="400" w:lineRule="exact"/>
        <w:ind w:firstLine="482"/>
        <w:jc w:val="left"/>
        <w:rPr>
          <w:rFonts w:ascii="宋体" w:hAnsi="宋体" w:cs="宋体"/>
          <w:color w:val="auto"/>
          <w:kern w:val="0"/>
          <w:szCs w:val="21"/>
          <w:highlight w:val="none"/>
        </w:rPr>
      </w:pPr>
      <w:r>
        <w:rPr>
          <w:rFonts w:hint="eastAsia" w:ascii="宋体" w:hAnsi="宋体" w:cs="宋体"/>
          <w:color w:val="auto"/>
          <w:kern w:val="0"/>
          <w:szCs w:val="21"/>
          <w:highlight w:val="none"/>
        </w:rPr>
        <w:t>2.供应商提供的是其他小微、监狱、残疾人福利性企业制造的产品，还需提供制造企业声明函。</w:t>
      </w:r>
    </w:p>
    <w:p>
      <w:pPr>
        <w:pStyle w:val="193"/>
        <w:tabs>
          <w:tab w:val="left" w:pos="4860"/>
        </w:tabs>
        <w:spacing w:line="400" w:lineRule="exact"/>
        <w:ind w:firstLine="420" w:firstLineChars="200"/>
        <w:jc w:val="left"/>
        <w:rPr>
          <w:rFonts w:ascii="宋体" w:hAnsi="宋体" w:cs="宋体"/>
          <w:color w:val="auto"/>
          <w:szCs w:val="21"/>
          <w:highlight w:val="none"/>
        </w:rPr>
      </w:pPr>
    </w:p>
    <w:p>
      <w:pPr>
        <w:pStyle w:val="193"/>
        <w:tabs>
          <w:tab w:val="left" w:pos="4860"/>
        </w:tabs>
        <w:spacing w:line="400" w:lineRule="exact"/>
        <w:ind w:firstLine="420" w:firstLineChars="200"/>
        <w:jc w:val="left"/>
        <w:rPr>
          <w:rFonts w:ascii="宋体" w:hAnsi="宋体" w:cs="宋体"/>
          <w:color w:val="auto"/>
          <w:szCs w:val="21"/>
          <w:highlight w:val="none"/>
        </w:rPr>
        <w:sectPr>
          <w:pgSz w:w="11905" w:h="16838"/>
          <w:pgMar w:top="1474" w:right="1814" w:bottom="1474" w:left="1814" w:header="851" w:footer="850" w:gutter="0"/>
          <w:cols w:space="720" w:num="1"/>
          <w:docGrid w:linePitch="312" w:charSpace="0"/>
        </w:sectPr>
      </w:pPr>
    </w:p>
    <w:p>
      <w:pPr>
        <w:pStyle w:val="5"/>
        <w:spacing w:line="400" w:lineRule="exact"/>
        <w:ind w:firstLine="0"/>
        <w:jc w:val="center"/>
        <w:rPr>
          <w:rFonts w:ascii="宋体" w:hAnsi="宋体" w:cs="宋体"/>
          <w:color w:val="auto"/>
          <w:szCs w:val="21"/>
          <w:highlight w:val="none"/>
        </w:rPr>
      </w:pPr>
      <w:r>
        <w:rPr>
          <w:rFonts w:hint="eastAsia" w:ascii="宋体" w:hAnsi="宋体" w:cs="宋体"/>
          <w:b/>
          <w:color w:val="auto"/>
          <w:szCs w:val="21"/>
          <w:highlight w:val="none"/>
        </w:rPr>
        <w:t>1.8.3残疾人福利性企业声明函（残疾人福利性企业提供）</w:t>
      </w:r>
    </w:p>
    <w:p>
      <w:pPr>
        <w:spacing w:line="400" w:lineRule="exact"/>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cs="宋体"/>
          <w:color w:val="auto"/>
          <w:spacing w:val="6"/>
          <w:szCs w:val="21"/>
          <w:highlight w:val="none"/>
          <w:u w:val="single"/>
        </w:rPr>
        <w:t>（采购人名称）</w:t>
      </w:r>
      <w:r>
        <w:rPr>
          <w:rFonts w:hint="eastAsia" w:ascii="宋体" w:hAnsi="宋体" w:cs="宋体"/>
          <w:color w:val="auto"/>
          <w:spacing w:val="6"/>
          <w:szCs w:val="21"/>
          <w:highlight w:val="none"/>
        </w:rPr>
        <w:t>的</w:t>
      </w:r>
      <w:r>
        <w:rPr>
          <w:rFonts w:hint="eastAsia" w:ascii="宋体" w:hAnsi="宋体" w:cs="宋体"/>
          <w:color w:val="auto"/>
          <w:spacing w:val="6"/>
          <w:szCs w:val="21"/>
          <w:highlight w:val="none"/>
          <w:u w:val="single"/>
        </w:rPr>
        <w:t>（项目名称）（项目编号）（标项）</w:t>
      </w:r>
      <w:r>
        <w:rPr>
          <w:rFonts w:hint="eastAsia" w:ascii="宋体" w:hAnsi="宋体" w:cs="宋体"/>
          <w:color w:val="auto"/>
          <w:szCs w:val="21"/>
          <w:highlight w:val="none"/>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4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ign w:val="center"/>
          </w:tcPr>
          <w:p>
            <w:pPr>
              <w:pStyle w:val="193"/>
              <w:spacing w:line="400" w:lineRule="exact"/>
              <w:rPr>
                <w:rFonts w:ascii="宋体" w:hAnsi="宋体" w:cs="宋体"/>
                <w:color w:val="auto"/>
                <w:szCs w:val="21"/>
                <w:highlight w:val="none"/>
              </w:rPr>
            </w:pPr>
            <w:r>
              <w:rPr>
                <w:rFonts w:hint="eastAsia" w:ascii="宋体" w:hAnsi="宋体" w:cs="宋体"/>
                <w:color w:val="auto"/>
                <w:szCs w:val="21"/>
                <w:highlight w:val="none"/>
              </w:rPr>
              <w:t>表一</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与分项报价表一致</w:t>
            </w:r>
          </w:p>
        </w:tc>
      </w:tr>
    </w:tbl>
    <w:p>
      <w:pPr>
        <w:pStyle w:val="193"/>
        <w:spacing w:line="400" w:lineRule="exact"/>
        <w:ind w:firstLine="420" w:firstLineChars="200"/>
        <w:rPr>
          <w:rFonts w:ascii="宋体" w:hAnsi="宋体" w:cs="宋体"/>
          <w:color w:val="auto"/>
          <w:szCs w:val="21"/>
          <w:highlight w:val="none"/>
        </w:rPr>
      </w:pPr>
    </w:p>
    <w:tbl>
      <w:tblPr>
        <w:tblStyle w:val="4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ign w:val="center"/>
          </w:tcPr>
          <w:p>
            <w:pPr>
              <w:pStyle w:val="193"/>
              <w:spacing w:line="400" w:lineRule="exact"/>
              <w:rPr>
                <w:rFonts w:ascii="宋体" w:hAnsi="宋体" w:cs="宋体"/>
                <w:color w:val="auto"/>
                <w:szCs w:val="21"/>
                <w:highlight w:val="none"/>
              </w:rPr>
            </w:pPr>
            <w:r>
              <w:rPr>
                <w:rFonts w:hint="eastAsia" w:ascii="宋体" w:hAnsi="宋体" w:cs="宋体"/>
                <w:color w:val="auto"/>
                <w:szCs w:val="21"/>
                <w:highlight w:val="none"/>
              </w:rPr>
              <w:t>表二</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ign w:val="center"/>
          </w:tcPr>
          <w:p>
            <w:pPr>
              <w:pStyle w:val="19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与分项报价表一致</w:t>
            </w:r>
          </w:p>
        </w:tc>
      </w:tr>
    </w:tbl>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本公司对上述声明的真实性负责。如有虚假，将依法承担相应责任。</w:t>
      </w:r>
    </w:p>
    <w:p>
      <w:pPr>
        <w:pStyle w:val="30"/>
        <w:snapToGrid w:val="0"/>
        <w:spacing w:line="400" w:lineRule="exact"/>
        <w:ind w:left="175" w:hanging="175" w:hangingChars="83"/>
        <w:jc w:val="left"/>
        <w:rPr>
          <w:rFonts w:ascii="宋体" w:hAnsi="宋体" w:cs="宋体"/>
          <w:b/>
          <w:color w:val="auto"/>
          <w:szCs w:val="21"/>
          <w:highlight w:val="none"/>
        </w:rPr>
      </w:pPr>
    </w:p>
    <w:p>
      <w:pPr>
        <w:pStyle w:val="30"/>
        <w:wordWrap w:val="0"/>
        <w:snapToGrid w:val="0"/>
        <w:spacing w:line="400" w:lineRule="exact"/>
        <w:ind w:left="420" w:hanging="420"/>
        <w:jc w:val="right"/>
        <w:rPr>
          <w:rFonts w:ascii="宋体" w:hAnsi="宋体" w:cs="宋体"/>
          <w:color w:val="auto"/>
          <w:szCs w:val="21"/>
          <w:highlight w:val="none"/>
        </w:rPr>
      </w:pPr>
      <w:r>
        <w:rPr>
          <w:rFonts w:hint="eastAsia" w:ascii="宋体" w:hAnsi="宋体" w:cs="宋体"/>
          <w:color w:val="auto"/>
          <w:szCs w:val="21"/>
          <w:highlight w:val="none"/>
        </w:rPr>
        <w:t>残疾人福利性企业盖章：</w:t>
      </w:r>
    </w:p>
    <w:p>
      <w:pPr>
        <w:pStyle w:val="146"/>
        <w:wordWrap w:val="0"/>
        <w:spacing w:line="400" w:lineRule="exact"/>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pStyle w:val="30"/>
        <w:snapToGrid w:val="0"/>
        <w:spacing w:line="400" w:lineRule="exact"/>
        <w:ind w:left="594" w:hanging="594" w:hangingChars="283"/>
        <w:jc w:val="left"/>
        <w:rPr>
          <w:rFonts w:ascii="宋体" w:hAnsi="宋体" w:cs="宋体"/>
          <w:color w:val="auto"/>
          <w:szCs w:val="21"/>
          <w:highlight w:val="none"/>
        </w:rPr>
      </w:pPr>
    </w:p>
    <w:p>
      <w:pPr>
        <w:spacing w:line="400" w:lineRule="exact"/>
        <w:ind w:firstLine="482"/>
        <w:jc w:val="left"/>
        <w:rPr>
          <w:rFonts w:ascii="宋体" w:hAnsi="宋体" w:cs="宋体"/>
          <w:color w:val="auto"/>
          <w:kern w:val="0"/>
          <w:szCs w:val="21"/>
          <w:highlight w:val="none"/>
        </w:rPr>
      </w:pPr>
    </w:p>
    <w:p>
      <w:pPr>
        <w:spacing w:line="400" w:lineRule="exact"/>
        <w:ind w:firstLine="482"/>
        <w:jc w:val="left"/>
        <w:rPr>
          <w:rFonts w:ascii="宋体" w:hAnsi="宋体" w:cs="宋体"/>
          <w:color w:val="auto"/>
          <w:kern w:val="0"/>
          <w:szCs w:val="21"/>
          <w:highlight w:val="none"/>
        </w:rPr>
      </w:pPr>
      <w:r>
        <w:rPr>
          <w:rFonts w:hint="eastAsia" w:ascii="宋体" w:hAnsi="宋体" w:cs="宋体"/>
          <w:color w:val="auto"/>
          <w:kern w:val="0"/>
          <w:szCs w:val="21"/>
          <w:highlight w:val="none"/>
        </w:rPr>
        <w:t>注：1.须附相关主管部门（民政或残疾人联合会）的证明文件，否则视为供应商放弃相关政策优惠处理；</w:t>
      </w:r>
    </w:p>
    <w:p>
      <w:pPr>
        <w:spacing w:line="400" w:lineRule="exact"/>
        <w:ind w:firstLine="482"/>
        <w:jc w:val="left"/>
        <w:rPr>
          <w:rFonts w:ascii="宋体" w:hAnsi="宋体" w:cs="宋体"/>
          <w:color w:val="auto"/>
          <w:kern w:val="0"/>
          <w:szCs w:val="21"/>
          <w:highlight w:val="none"/>
        </w:rPr>
      </w:pPr>
      <w:r>
        <w:rPr>
          <w:rFonts w:hint="eastAsia" w:ascii="宋体" w:hAnsi="宋体" w:cs="宋体"/>
          <w:color w:val="auto"/>
          <w:kern w:val="0"/>
          <w:szCs w:val="21"/>
          <w:highlight w:val="none"/>
        </w:rPr>
        <w:t>2.供应商提供的是其他小微、监狱、残疾人福利性企业制造的产品，还需提供制造企业声明函。</w:t>
      </w:r>
    </w:p>
    <w:bookmarkEnd w:id="530"/>
    <w:bookmarkEnd w:id="531"/>
    <w:bookmarkEnd w:id="537"/>
    <w:bookmarkEnd w:id="544"/>
    <w:bookmarkEnd w:id="545"/>
    <w:bookmarkEnd w:id="546"/>
    <w:p>
      <w:pPr>
        <w:jc w:val="center"/>
        <w:rPr>
          <w:rFonts w:hint="eastAsia" w:ascii="宋体" w:hAnsi="宋体" w:eastAsia="宋体" w:cs="宋体"/>
          <w:b/>
          <w:bCs/>
          <w:color w:val="auto"/>
          <w:kern w:val="2"/>
          <w:sz w:val="32"/>
          <w:szCs w:val="32"/>
          <w:highlight w:val="none"/>
          <w:lang w:val="en-US" w:eastAsia="zh-CN" w:bidi="ar-SA"/>
        </w:rPr>
      </w:pPr>
      <w:bookmarkStart w:id="555" w:name="_Toc15255"/>
      <w:bookmarkStart w:id="556" w:name="_Toc29702"/>
      <w:bookmarkStart w:id="557" w:name="_Toc22905"/>
      <w:bookmarkStart w:id="558" w:name="_Toc303756459"/>
      <w:r>
        <w:rPr>
          <w:rFonts w:hint="eastAsia" w:ascii="宋体" w:hAnsi="宋体" w:cs="宋体"/>
          <w:color w:val="auto"/>
          <w:sz w:val="32"/>
          <w:szCs w:val="32"/>
          <w:highlight w:val="none"/>
        </w:rPr>
        <w:br w:type="page"/>
      </w:r>
      <w:r>
        <w:rPr>
          <w:rFonts w:hint="eastAsia" w:ascii="宋体" w:hAnsi="宋体" w:eastAsia="宋体" w:cs="宋体"/>
          <w:b/>
          <w:bCs/>
          <w:color w:val="auto"/>
          <w:kern w:val="2"/>
          <w:sz w:val="32"/>
          <w:szCs w:val="32"/>
          <w:highlight w:val="none"/>
          <w:lang w:val="en-US" w:eastAsia="zh-CN" w:bidi="ar-SA"/>
        </w:rPr>
        <w:t>二  资信商务及技术文件格式</w:t>
      </w:r>
      <w:bookmarkEnd w:id="555"/>
      <w:bookmarkEnd w:id="556"/>
    </w:p>
    <w:p>
      <w:pPr>
        <w:pStyle w:val="130"/>
        <w:spacing w:line="360" w:lineRule="auto"/>
        <w:jc w:val="center"/>
        <w:rPr>
          <w:rFonts w:ascii="宋体" w:hAnsi="宋体" w:cs="宋体"/>
          <w:color w:val="auto"/>
          <w:sz w:val="28"/>
          <w:szCs w:val="28"/>
          <w:highlight w:val="none"/>
        </w:rPr>
      </w:pPr>
      <w:bookmarkStart w:id="559" w:name="_Toc531359055"/>
      <w:r>
        <w:rPr>
          <w:rFonts w:hint="eastAsia" w:ascii="宋体" w:hAnsi="宋体" w:cs="宋体"/>
          <w:color w:val="auto"/>
          <w:sz w:val="28"/>
          <w:szCs w:val="28"/>
          <w:highlight w:val="none"/>
        </w:rPr>
        <w:t>（根据具体实施项目调整相关格式）</w:t>
      </w:r>
    </w:p>
    <w:bookmarkEnd w:id="559"/>
    <w:p>
      <w:pPr>
        <w:spacing w:line="360" w:lineRule="auto"/>
        <w:rPr>
          <w:rFonts w:ascii="宋体" w:hAnsi="宋体" w:cs="宋体"/>
          <w:color w:val="auto"/>
          <w:sz w:val="24"/>
          <w:highlight w:val="none"/>
        </w:rPr>
      </w:pPr>
    </w:p>
    <w:p>
      <w:pPr>
        <w:pStyle w:val="4"/>
        <w:rPr>
          <w:rFonts w:ascii="宋体" w:hAnsi="宋体" w:cs="宋体"/>
          <w:color w:val="auto"/>
          <w:szCs w:val="24"/>
          <w:highlight w:val="none"/>
        </w:rPr>
      </w:pPr>
      <w:bookmarkStart w:id="560" w:name="_Toc531359056"/>
      <w:bookmarkStart w:id="561" w:name="_Toc2373"/>
      <w:bookmarkStart w:id="562" w:name="_Toc1384"/>
      <w:bookmarkStart w:id="563" w:name="_Toc25881"/>
      <w:bookmarkStart w:id="564" w:name="_Toc22029275"/>
      <w:r>
        <w:rPr>
          <w:rFonts w:hint="eastAsia" w:ascii="宋体" w:hAnsi="宋体" w:cs="宋体"/>
          <w:color w:val="auto"/>
          <w:szCs w:val="24"/>
          <w:highlight w:val="none"/>
        </w:rPr>
        <w:t>2.1 资信及商务文件封面</w:t>
      </w:r>
      <w:bookmarkEnd w:id="560"/>
      <w:r>
        <w:rPr>
          <w:rFonts w:hint="eastAsia" w:ascii="宋体" w:hAnsi="宋体" w:cs="宋体"/>
          <w:color w:val="auto"/>
          <w:szCs w:val="24"/>
          <w:highlight w:val="none"/>
        </w:rPr>
        <w:t>格式</w:t>
      </w:r>
      <w:bookmarkEnd w:id="561"/>
      <w:bookmarkEnd w:id="562"/>
      <w:bookmarkEnd w:id="563"/>
      <w:bookmarkEnd w:id="564"/>
    </w:p>
    <w:p>
      <w:pPr>
        <w:pStyle w:val="5"/>
        <w:ind w:firstLine="0"/>
        <w:rPr>
          <w:rFonts w:ascii="宋体" w:hAnsi="宋体" w:cs="宋体"/>
          <w:color w:val="auto"/>
          <w:highlight w:val="none"/>
        </w:rPr>
      </w:pPr>
    </w:p>
    <w:p>
      <w:pPr>
        <w:pStyle w:val="5"/>
        <w:spacing w:line="360" w:lineRule="auto"/>
        <w:ind w:firstLine="0"/>
        <w:jc w:val="center"/>
        <w:rPr>
          <w:rFonts w:ascii="宋体" w:hAnsi="宋体" w:cs="宋体"/>
          <w:b/>
          <w:color w:val="auto"/>
          <w:sz w:val="32"/>
          <w:szCs w:val="32"/>
          <w:highlight w:val="none"/>
        </w:rPr>
      </w:pPr>
    </w:p>
    <w:p>
      <w:pPr>
        <w:pStyle w:val="5"/>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投标响应文件</w:t>
      </w:r>
    </w:p>
    <w:p>
      <w:pPr>
        <w:pStyle w:val="17"/>
        <w:rPr>
          <w:rFonts w:ascii="宋体" w:hAnsi="宋体" w:cs="宋体"/>
          <w:b/>
          <w:color w:val="auto"/>
          <w:sz w:val="32"/>
          <w:szCs w:val="32"/>
          <w:highlight w:val="none"/>
        </w:rPr>
      </w:pPr>
    </w:p>
    <w:p>
      <w:pPr>
        <w:pStyle w:val="5"/>
        <w:rPr>
          <w:rFonts w:ascii="宋体" w:hAnsi="宋体" w:cs="宋体"/>
          <w:color w:val="auto"/>
          <w:highlight w:val="none"/>
        </w:rPr>
      </w:pPr>
    </w:p>
    <w:tbl>
      <w:tblPr>
        <w:tblStyle w:val="42"/>
        <w:tblW w:w="0" w:type="auto"/>
        <w:jc w:val="center"/>
        <w:tblLayout w:type="autofit"/>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投标响应文件名称：</w:t>
            </w:r>
          </w:p>
        </w:tc>
        <w:tc>
          <w:tcPr>
            <w:tcW w:w="5142" w:type="dxa"/>
            <w:noWrap/>
            <w:vAlign w:val="center"/>
          </w:tcPr>
          <w:p>
            <w:pPr>
              <w:ind w:left="-103" w:leftChars="-49"/>
              <w:jc w:val="left"/>
              <w:rPr>
                <w:rFonts w:ascii="宋体" w:hAnsi="宋体" w:cs="宋体"/>
                <w:color w:val="auto"/>
                <w:sz w:val="32"/>
                <w:szCs w:val="32"/>
                <w:highlight w:val="none"/>
              </w:rPr>
            </w:pPr>
            <w:r>
              <w:rPr>
                <w:rFonts w:hint="eastAsia" w:ascii="宋体" w:hAnsi="宋体" w:cs="宋体"/>
                <w:color w:val="auto"/>
                <w:sz w:val="24"/>
                <w:highlight w:val="none"/>
                <w:u w:val="single"/>
              </w:rPr>
              <w:t xml:space="preserve"> 资信商务及技术文件     </w:t>
            </w: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采 购 编 号：</w:t>
            </w: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项 目 名 称：</w:t>
            </w: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24"/>
                <w:highlight w:val="none"/>
              </w:rPr>
            </w:pP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24"/>
                <w:highlight w:val="none"/>
              </w:rPr>
            </w:pP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24"/>
                <w:highlight w:val="none"/>
              </w:rPr>
            </w:pPr>
            <w:r>
              <w:rPr>
                <w:rFonts w:hint="eastAsia" w:ascii="宋体" w:hAnsi="宋体" w:cs="宋体"/>
                <w:color w:val="auto"/>
                <w:sz w:val="24"/>
                <w:highlight w:val="none"/>
              </w:rPr>
              <w:t>供应商全称</w:t>
            </w:r>
          </w:p>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（CA签章）：</w:t>
            </w:r>
          </w:p>
        </w:tc>
        <w:tc>
          <w:tcPr>
            <w:tcW w:w="5142" w:type="dxa"/>
            <w:noWrap/>
            <w:vAlign w:val="center"/>
          </w:tcPr>
          <w:p>
            <w:pPr>
              <w:ind w:left="-103" w:leftChars="-49"/>
              <w:jc w:val="left"/>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供应商地址：</w:t>
            </w:r>
          </w:p>
        </w:tc>
        <w:tc>
          <w:tcPr>
            <w:tcW w:w="5142" w:type="dxa"/>
            <w:noWrap/>
            <w:vAlign w:val="center"/>
          </w:tcPr>
          <w:p>
            <w:pPr>
              <w:ind w:left="-103" w:leftChars="-49"/>
              <w:jc w:val="left"/>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84" w:rightChars="-40"/>
              <w:rPr>
                <w:rFonts w:ascii="宋体" w:hAnsi="宋体" w:cs="宋体"/>
                <w:color w:val="auto"/>
                <w:sz w:val="32"/>
                <w:szCs w:val="32"/>
                <w:highlight w:val="none"/>
              </w:rPr>
            </w:pPr>
          </w:p>
        </w:tc>
        <w:tc>
          <w:tcPr>
            <w:tcW w:w="5142" w:type="dxa"/>
            <w:noWrap/>
            <w:vAlign w:val="center"/>
          </w:tcPr>
          <w:p>
            <w:pPr>
              <w:ind w:left="-103" w:leftChars="-49"/>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7453" w:type="dxa"/>
            <w:gridSpan w:val="2"/>
            <w:noWrap/>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tc>
      </w:tr>
    </w:tbl>
    <w:p>
      <w:pPr>
        <w:pStyle w:val="4"/>
        <w:spacing w:line="400" w:lineRule="exact"/>
        <w:rPr>
          <w:rFonts w:ascii="宋体" w:hAnsi="宋体" w:cs="宋体"/>
          <w:color w:val="auto"/>
          <w:sz w:val="21"/>
          <w:szCs w:val="21"/>
          <w:highlight w:val="none"/>
        </w:rPr>
      </w:pPr>
      <w:r>
        <w:rPr>
          <w:rFonts w:hint="eastAsia" w:ascii="宋体" w:hAnsi="宋体" w:cs="宋体"/>
          <w:color w:val="auto"/>
          <w:highlight w:val="none"/>
        </w:rPr>
        <w:br w:type="page"/>
      </w:r>
      <w:bookmarkStart w:id="565" w:name="_Toc3703"/>
      <w:bookmarkStart w:id="566" w:name="_Toc31060"/>
      <w:bookmarkStart w:id="567" w:name="_Toc23499"/>
      <w:bookmarkStart w:id="568" w:name="_Toc22029276"/>
      <w:r>
        <w:rPr>
          <w:rFonts w:hint="eastAsia" w:ascii="宋体" w:hAnsi="宋体" w:cs="宋体"/>
          <w:color w:val="auto"/>
          <w:sz w:val="21"/>
          <w:szCs w:val="21"/>
          <w:highlight w:val="none"/>
        </w:rPr>
        <w:t>2.2 资信商务目录</w:t>
      </w:r>
      <w:bookmarkEnd w:id="565"/>
      <w:bookmarkEnd w:id="566"/>
      <w:bookmarkEnd w:id="567"/>
      <w:bookmarkEnd w:id="568"/>
    </w:p>
    <w:p>
      <w:pPr>
        <w:pStyle w:val="5"/>
        <w:spacing w:line="400" w:lineRule="exact"/>
        <w:ind w:firstLine="0"/>
        <w:rPr>
          <w:rFonts w:ascii="宋体" w:hAnsi="宋体" w:cs="宋体"/>
          <w:color w:val="auto"/>
          <w:szCs w:val="21"/>
          <w:highlight w:val="none"/>
        </w:rPr>
      </w:pPr>
    </w:p>
    <w:p>
      <w:pPr>
        <w:pStyle w:val="5"/>
        <w:spacing w:line="400" w:lineRule="exact"/>
        <w:ind w:firstLine="0"/>
        <w:jc w:val="center"/>
        <w:rPr>
          <w:rFonts w:ascii="宋体" w:hAnsi="宋体" w:cs="宋体"/>
          <w:color w:val="auto"/>
          <w:szCs w:val="21"/>
          <w:highlight w:val="none"/>
        </w:rPr>
      </w:pPr>
      <w:r>
        <w:rPr>
          <w:rFonts w:hint="eastAsia" w:ascii="宋体" w:hAnsi="宋体" w:cs="宋体"/>
          <w:color w:val="auto"/>
          <w:szCs w:val="21"/>
          <w:highlight w:val="none"/>
        </w:rPr>
        <w:t>（格式自行设计）</w:t>
      </w:r>
    </w:p>
    <w:p>
      <w:pPr>
        <w:spacing w:line="400" w:lineRule="exact"/>
        <w:rPr>
          <w:rFonts w:ascii="宋体" w:hAnsi="宋体" w:cs="宋体"/>
          <w:b/>
          <w:bCs/>
          <w:color w:val="auto"/>
          <w:szCs w:val="21"/>
          <w:highlight w:val="none"/>
        </w:rPr>
      </w:pPr>
      <w:bookmarkStart w:id="569" w:name="_Toc173728539"/>
      <w:bookmarkStart w:id="570" w:name="_Toc105230662"/>
      <w:r>
        <w:rPr>
          <w:rFonts w:hint="eastAsia" w:ascii="宋体" w:hAnsi="宋体" w:cs="宋体"/>
          <w:b/>
          <w:bCs/>
          <w:color w:val="auto"/>
          <w:szCs w:val="21"/>
          <w:highlight w:val="none"/>
        </w:rPr>
        <w:t>2.2.1投标声明书格式</w:t>
      </w:r>
    </w:p>
    <w:p>
      <w:pPr>
        <w:pStyle w:val="146"/>
        <w:spacing w:line="400" w:lineRule="exact"/>
        <w:jc w:val="center"/>
        <w:rPr>
          <w:rFonts w:ascii="宋体" w:hAnsi="宋体" w:cs="宋体"/>
          <w:color w:val="auto"/>
          <w:kern w:val="0"/>
          <w:szCs w:val="21"/>
          <w:highlight w:val="none"/>
          <w:u w:val="single"/>
        </w:rPr>
      </w:pPr>
      <w:r>
        <w:rPr>
          <w:rFonts w:hint="eastAsia" w:ascii="宋体" w:hAnsi="宋体" w:cs="宋体"/>
          <w:b/>
          <w:bCs/>
          <w:color w:val="auto"/>
          <w:szCs w:val="21"/>
          <w:highlight w:val="none"/>
        </w:rPr>
        <w:t>投标声明书</w:t>
      </w:r>
    </w:p>
    <w:p>
      <w:pPr>
        <w:pStyle w:val="146"/>
        <w:spacing w:line="400" w:lineRule="exac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（代理机构名称）：</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的负责人，我方愿意参加贵方组织的</w:t>
      </w:r>
      <w:r>
        <w:rPr>
          <w:rFonts w:hint="eastAsia" w:hAnsi="宋体" w:cs="宋体"/>
          <w:color w:val="auto"/>
          <w:sz w:val="21"/>
          <w:szCs w:val="21"/>
          <w:highlight w:val="none"/>
          <w:u w:val="single"/>
        </w:rPr>
        <w:t xml:space="preserve">    （项目名称及标项）（采购编号：   ）</w:t>
      </w:r>
      <w:r>
        <w:rPr>
          <w:rFonts w:hint="eastAsia" w:hAnsi="宋体" w:cs="宋体"/>
          <w:color w:val="auto"/>
          <w:sz w:val="21"/>
          <w:szCs w:val="21"/>
          <w:highlight w:val="none"/>
        </w:rPr>
        <w:t>的投标。为便于贵方公正、择优地确定中标人以及投标产品和服务，我方就本次投标有关事项郑重承诺如下：</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①电子投标文件；</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②备份投标文件（注：是否提交由投标人自行决定，如不提交，本条可删除）。</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 xml:space="preserve">  （姓名及身份证号码）</w:t>
      </w:r>
      <w:r>
        <w:rPr>
          <w:rFonts w:hint="eastAsia" w:hAnsi="宋体" w:cs="宋体"/>
          <w:color w:val="auto"/>
          <w:sz w:val="21"/>
          <w:szCs w:val="21"/>
          <w:highlight w:val="none"/>
        </w:rPr>
        <w:t>，作为本项目与采购人联系的项目实施负责人，联系手机号码：。在项目实施过程中，并承诺项目实施负责人不更换，若确需要更换的，书面征得采购人同意后才准予更换。</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bCs/>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7、我方已详细审核全部招标文件，包括招标文件的澄清或修改文件（如有）、参考资料及有关附件，已经了解我方对于招标文件、采购过程、采购结果有依法进行询问、质疑、投诉的权利及相关渠道和要求。</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pPr>
        <w:pStyle w:val="237"/>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37"/>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pPr>
        <w:pStyle w:val="237"/>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pPr>
        <w:pStyle w:val="237"/>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pPr>
        <w:pStyle w:val="237"/>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pPr>
        <w:pStyle w:val="237"/>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pPr>
        <w:pStyle w:val="237"/>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pPr>
        <w:pStyle w:val="237"/>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pPr>
        <w:pStyle w:val="237"/>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pPr>
        <w:pStyle w:val="237"/>
        <w:spacing w:line="40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pPr>
        <w:pStyle w:val="237"/>
        <w:spacing w:line="400" w:lineRule="exact"/>
        <w:ind w:firstLine="480"/>
        <w:rPr>
          <w:rFonts w:hAnsi="宋体" w:cs="宋体"/>
          <w:color w:val="auto"/>
          <w:sz w:val="21"/>
          <w:szCs w:val="21"/>
          <w:highlight w:val="none"/>
        </w:rPr>
      </w:pPr>
    </w:p>
    <w:p>
      <w:pPr>
        <w:pStyle w:val="237"/>
        <w:spacing w:line="400" w:lineRule="exact"/>
        <w:rPr>
          <w:rFonts w:hint="eastAsia" w:hAnsi="宋体" w:cs="宋体"/>
          <w:color w:val="auto"/>
          <w:sz w:val="21"/>
          <w:szCs w:val="21"/>
          <w:highlight w:val="none"/>
        </w:rPr>
      </w:pPr>
      <w:r>
        <w:rPr>
          <w:rFonts w:hint="eastAsia" w:hAnsi="宋体" w:cs="宋体"/>
          <w:color w:val="auto"/>
          <w:sz w:val="21"/>
          <w:szCs w:val="21"/>
          <w:highlight w:val="none"/>
        </w:rPr>
        <w:t>地址：     邮编：　</w:t>
      </w:r>
    </w:p>
    <w:p>
      <w:pPr>
        <w:pStyle w:val="237"/>
        <w:spacing w:line="400" w:lineRule="exact"/>
        <w:rPr>
          <w:rFonts w:hAnsi="宋体" w:cs="宋体"/>
          <w:color w:val="auto"/>
          <w:sz w:val="21"/>
          <w:szCs w:val="21"/>
          <w:highlight w:val="none"/>
        </w:rPr>
      </w:pPr>
      <w:r>
        <w:rPr>
          <w:rFonts w:hint="eastAsia" w:hAnsi="宋体" w:cs="宋体"/>
          <w:color w:val="auto"/>
          <w:sz w:val="21"/>
          <w:szCs w:val="21"/>
          <w:highlight w:val="none"/>
        </w:rPr>
        <w:t>电话：     传真：</w:t>
      </w:r>
    </w:p>
    <w:p>
      <w:pPr>
        <w:pStyle w:val="237"/>
        <w:spacing w:line="400" w:lineRule="exact"/>
        <w:rPr>
          <w:rFonts w:hAnsi="宋体" w:cs="宋体"/>
          <w:color w:val="auto"/>
          <w:sz w:val="21"/>
          <w:szCs w:val="21"/>
          <w:highlight w:val="none"/>
        </w:rPr>
      </w:pPr>
    </w:p>
    <w:p>
      <w:pPr>
        <w:pStyle w:val="237"/>
        <w:spacing w:line="400" w:lineRule="exact"/>
        <w:rPr>
          <w:rFonts w:hAnsi="宋体" w:cs="宋体"/>
          <w:color w:val="auto"/>
          <w:sz w:val="21"/>
          <w:szCs w:val="21"/>
          <w:highlight w:val="none"/>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pStyle w:val="146"/>
        <w:spacing w:line="400" w:lineRule="exact"/>
        <w:jc w:val="left"/>
        <w:rPr>
          <w:rFonts w:ascii="宋体" w:hAnsi="宋体" w:cs="宋体"/>
          <w:color w:val="auto"/>
          <w:spacing w:val="20"/>
          <w:szCs w:val="21"/>
          <w:highlight w:val="none"/>
          <w:u w:val="single"/>
        </w:rPr>
      </w:pPr>
    </w:p>
    <w:p>
      <w:pPr>
        <w:pStyle w:val="237"/>
        <w:spacing w:line="400" w:lineRule="exact"/>
        <w:rPr>
          <w:rFonts w:hAnsi="宋体" w:cs="宋体"/>
          <w:color w:val="auto"/>
          <w:sz w:val="21"/>
          <w:szCs w:val="21"/>
          <w:highlight w:val="none"/>
        </w:rPr>
      </w:pPr>
    </w:p>
    <w:p>
      <w:pPr>
        <w:pStyle w:val="237"/>
        <w:spacing w:line="400" w:lineRule="exact"/>
        <w:rPr>
          <w:rFonts w:hAnsi="宋体" w:cs="宋体"/>
          <w:color w:val="auto"/>
          <w:sz w:val="21"/>
          <w:szCs w:val="21"/>
          <w:highlight w:val="none"/>
        </w:rPr>
      </w:pPr>
      <w:r>
        <w:rPr>
          <w:rFonts w:hint="eastAsia" w:hAnsi="宋体" w:cs="宋体"/>
          <w:color w:val="auto"/>
          <w:sz w:val="21"/>
          <w:szCs w:val="21"/>
          <w:highlight w:val="none"/>
        </w:rPr>
        <w:t>注：按照本声明书要求填报。</w:t>
      </w:r>
    </w:p>
    <w:p>
      <w:pPr>
        <w:pStyle w:val="4"/>
        <w:spacing w:line="400" w:lineRule="exact"/>
        <w:jc w:val="center"/>
        <w:outlineLvl w:val="9"/>
        <w:rPr>
          <w:rFonts w:ascii="宋体" w:hAnsi="宋体" w:cs="宋体"/>
          <w:color w:val="auto"/>
          <w:sz w:val="21"/>
          <w:szCs w:val="21"/>
          <w:highlight w:val="none"/>
        </w:rPr>
        <w:sectPr>
          <w:pgSz w:w="11906" w:h="16838"/>
          <w:pgMar w:top="1440" w:right="1440" w:bottom="1440" w:left="1440" w:header="851" w:footer="851" w:gutter="0"/>
          <w:cols w:space="720" w:num="1"/>
          <w:docGrid w:linePitch="312" w:charSpace="0"/>
        </w:sectPr>
      </w:pPr>
      <w:bookmarkStart w:id="571" w:name="_Toc493956060"/>
    </w:p>
    <w:bookmarkEnd w:id="571"/>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2.2.2投标人参标申请表格式</w:t>
      </w:r>
    </w:p>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投标人参标申请表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投标人名称</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kern w:val="0"/>
                <w:szCs w:val="21"/>
                <w:highlight w:val="none"/>
              </w:rPr>
              <w:t>统一社会信用代码</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3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投标人地址</w:t>
            </w:r>
          </w:p>
        </w:tc>
        <w:tc>
          <w:tcPr>
            <w:tcW w:w="7118" w:type="dxa"/>
            <w:gridSpan w:val="5"/>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注册资金</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E-mail</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rPr>
                <w:rFonts w:ascii="宋体" w:hAnsi="宋体" w:cs="宋体"/>
                <w:color w:val="auto"/>
                <w:szCs w:val="21"/>
                <w:highlight w:val="none"/>
              </w:rPr>
            </w:pPr>
            <w:r>
              <w:rPr>
                <w:rFonts w:hint="eastAsia" w:ascii="宋体" w:hAnsi="宋体" w:cs="宋体"/>
                <w:color w:val="auto"/>
                <w:szCs w:val="21"/>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241"/>
              <w:spacing w:line="400" w:lineRule="exact"/>
              <w:ind w:firstLine="480"/>
              <w:jc w:val="center"/>
              <w:rPr>
                <w:rFonts w:ascii="宋体" w:hAnsi="宋体" w:cs="宋体"/>
                <w:color w:val="auto"/>
                <w:szCs w:val="21"/>
                <w:highlight w:val="none"/>
              </w:rPr>
            </w:pPr>
          </w:p>
        </w:tc>
      </w:tr>
    </w:tbl>
    <w:p>
      <w:pPr>
        <w:pStyle w:val="239"/>
        <w:spacing w:line="400" w:lineRule="exact"/>
        <w:jc w:val="center"/>
        <w:rPr>
          <w:rFonts w:hAnsi="宋体" w:cs="宋体"/>
          <w:b/>
          <w:color w:val="auto"/>
          <w:szCs w:val="21"/>
          <w:highlight w:val="none"/>
        </w:rPr>
      </w:pPr>
    </w:p>
    <w:p>
      <w:pPr>
        <w:pStyle w:val="239"/>
        <w:spacing w:line="400" w:lineRule="exact"/>
        <w:rPr>
          <w:rFonts w:hAnsi="宋体" w:cs="宋体"/>
          <w:b/>
          <w:color w:val="auto"/>
          <w:szCs w:val="21"/>
          <w:highlight w:val="none"/>
        </w:rPr>
      </w:pPr>
    </w:p>
    <w:p>
      <w:pPr>
        <w:pStyle w:val="239"/>
        <w:spacing w:line="400" w:lineRule="exact"/>
        <w:rPr>
          <w:rFonts w:hAnsi="宋体" w:cs="宋体"/>
          <w:b/>
          <w:color w:val="auto"/>
          <w:szCs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br w:type="page"/>
      </w:r>
    </w:p>
    <w:p>
      <w:pPr>
        <w:pStyle w:val="239"/>
        <w:spacing w:line="400" w:lineRule="exact"/>
        <w:rPr>
          <w:rFonts w:hAnsi="宋体" w:cs="宋体"/>
          <w:b/>
          <w:bCs/>
          <w:color w:val="auto"/>
          <w:szCs w:val="21"/>
          <w:highlight w:val="none"/>
        </w:rPr>
      </w:pPr>
      <w:r>
        <w:rPr>
          <w:rFonts w:hint="eastAsia" w:hAnsi="宋体" w:cs="宋体"/>
          <w:b/>
          <w:bCs/>
          <w:color w:val="auto"/>
          <w:szCs w:val="21"/>
          <w:highlight w:val="none"/>
        </w:rPr>
        <w:t>2.2.3节能环保产品格式（若有）</w:t>
      </w:r>
    </w:p>
    <w:p>
      <w:pPr>
        <w:pStyle w:val="239"/>
        <w:spacing w:line="400" w:lineRule="exact"/>
        <w:jc w:val="center"/>
        <w:rPr>
          <w:rFonts w:hAnsi="宋体" w:cs="宋体"/>
          <w:b/>
          <w:color w:val="auto"/>
          <w:szCs w:val="21"/>
          <w:highlight w:val="none"/>
        </w:rPr>
      </w:pPr>
      <w:r>
        <w:rPr>
          <w:rFonts w:hint="eastAsia" w:hAnsi="宋体" w:cs="宋体"/>
          <w:b/>
          <w:color w:val="auto"/>
          <w:szCs w:val="21"/>
          <w:highlight w:val="none"/>
        </w:rPr>
        <w:t>节能环保产品（若有）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项目名称：                          标项（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采购编号：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784"/>
        <w:gridCol w:w="838"/>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noWrap/>
            <w:vAlign w:val="center"/>
          </w:tcPr>
          <w:p>
            <w:pPr>
              <w:pStyle w:val="242"/>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680"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产品名称</w:t>
            </w:r>
          </w:p>
        </w:tc>
        <w:tc>
          <w:tcPr>
            <w:tcW w:w="1652" w:type="dxa"/>
            <w:gridSpan w:val="3"/>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品牌</w:t>
            </w:r>
          </w:p>
        </w:tc>
        <w:tc>
          <w:tcPr>
            <w:tcW w:w="1869" w:type="dxa"/>
            <w:gridSpan w:val="2"/>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型号</w:t>
            </w:r>
          </w:p>
        </w:tc>
        <w:tc>
          <w:tcPr>
            <w:tcW w:w="2530" w:type="dxa"/>
            <w:gridSpan w:val="2"/>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节能产品有效认证证书号</w:t>
            </w:r>
          </w:p>
        </w:tc>
        <w:tc>
          <w:tcPr>
            <w:tcW w:w="845"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80" w:type="dxa"/>
            <w:noWrap/>
            <w:vAlign w:val="center"/>
          </w:tcPr>
          <w:p>
            <w:pPr>
              <w:pStyle w:val="242"/>
              <w:spacing w:line="400" w:lineRule="exact"/>
              <w:jc w:val="center"/>
              <w:rPr>
                <w:rFonts w:ascii="宋体" w:hAnsi="宋体" w:cs="宋体"/>
                <w:color w:val="auto"/>
                <w:kern w:val="0"/>
                <w:szCs w:val="21"/>
                <w:highlight w:val="none"/>
              </w:rPr>
            </w:pPr>
          </w:p>
        </w:tc>
        <w:tc>
          <w:tcPr>
            <w:tcW w:w="1652" w:type="dxa"/>
            <w:gridSpan w:val="3"/>
            <w:noWrap/>
            <w:vAlign w:val="center"/>
          </w:tcPr>
          <w:p>
            <w:pPr>
              <w:pStyle w:val="242"/>
              <w:spacing w:line="400" w:lineRule="exact"/>
              <w:jc w:val="center"/>
              <w:rPr>
                <w:rFonts w:ascii="宋体" w:hAnsi="宋体" w:cs="宋体"/>
                <w:bCs/>
                <w:color w:val="auto"/>
                <w:kern w:val="0"/>
                <w:szCs w:val="21"/>
                <w:highlight w:val="none"/>
              </w:rPr>
            </w:pPr>
          </w:p>
        </w:tc>
        <w:tc>
          <w:tcPr>
            <w:tcW w:w="1869" w:type="dxa"/>
            <w:gridSpan w:val="2"/>
            <w:noWrap/>
            <w:vAlign w:val="center"/>
          </w:tcPr>
          <w:p>
            <w:pPr>
              <w:pStyle w:val="242"/>
              <w:spacing w:line="400" w:lineRule="exact"/>
              <w:jc w:val="center"/>
              <w:rPr>
                <w:rFonts w:ascii="宋体" w:hAnsi="宋体" w:cs="宋体"/>
                <w:bCs/>
                <w:color w:val="auto"/>
                <w:kern w:val="0"/>
                <w:szCs w:val="21"/>
                <w:highlight w:val="none"/>
              </w:rPr>
            </w:pPr>
          </w:p>
        </w:tc>
        <w:tc>
          <w:tcPr>
            <w:tcW w:w="2530" w:type="dxa"/>
            <w:gridSpan w:val="2"/>
            <w:noWrap/>
            <w:vAlign w:val="center"/>
          </w:tcPr>
          <w:p>
            <w:pPr>
              <w:pStyle w:val="242"/>
              <w:spacing w:line="400" w:lineRule="exact"/>
              <w:jc w:val="center"/>
              <w:rPr>
                <w:rFonts w:ascii="宋体" w:hAnsi="宋体" w:cs="宋体"/>
                <w:color w:val="auto"/>
                <w:kern w:val="0"/>
                <w:szCs w:val="21"/>
                <w:highlight w:val="none"/>
              </w:rPr>
            </w:pPr>
          </w:p>
        </w:tc>
        <w:tc>
          <w:tcPr>
            <w:tcW w:w="845" w:type="dxa"/>
            <w:noWrap/>
            <w:vAlign w:val="center"/>
          </w:tcPr>
          <w:p>
            <w:pPr>
              <w:pStyle w:val="242"/>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80" w:type="dxa"/>
            <w:noWrap/>
            <w:vAlign w:val="center"/>
          </w:tcPr>
          <w:p>
            <w:pPr>
              <w:pStyle w:val="242"/>
              <w:spacing w:line="400" w:lineRule="exact"/>
              <w:jc w:val="center"/>
              <w:rPr>
                <w:rFonts w:ascii="宋体" w:hAnsi="宋体" w:cs="宋体"/>
                <w:color w:val="auto"/>
                <w:kern w:val="0"/>
                <w:szCs w:val="21"/>
                <w:highlight w:val="none"/>
              </w:rPr>
            </w:pPr>
          </w:p>
        </w:tc>
        <w:tc>
          <w:tcPr>
            <w:tcW w:w="1652" w:type="dxa"/>
            <w:gridSpan w:val="3"/>
            <w:noWrap/>
            <w:vAlign w:val="center"/>
          </w:tcPr>
          <w:p>
            <w:pPr>
              <w:pStyle w:val="242"/>
              <w:spacing w:line="400" w:lineRule="exact"/>
              <w:jc w:val="center"/>
              <w:rPr>
                <w:rFonts w:ascii="宋体" w:hAnsi="宋体" w:cs="宋体"/>
                <w:color w:val="auto"/>
                <w:kern w:val="0"/>
                <w:szCs w:val="21"/>
                <w:highlight w:val="none"/>
              </w:rPr>
            </w:pPr>
          </w:p>
        </w:tc>
        <w:tc>
          <w:tcPr>
            <w:tcW w:w="1869" w:type="dxa"/>
            <w:gridSpan w:val="2"/>
            <w:noWrap/>
            <w:vAlign w:val="center"/>
          </w:tcPr>
          <w:p>
            <w:pPr>
              <w:pStyle w:val="242"/>
              <w:spacing w:line="400" w:lineRule="exact"/>
              <w:jc w:val="center"/>
              <w:rPr>
                <w:rFonts w:ascii="宋体" w:hAnsi="宋体" w:cs="宋体"/>
                <w:color w:val="auto"/>
                <w:kern w:val="0"/>
                <w:szCs w:val="21"/>
                <w:highlight w:val="none"/>
              </w:rPr>
            </w:pPr>
          </w:p>
        </w:tc>
        <w:tc>
          <w:tcPr>
            <w:tcW w:w="2530" w:type="dxa"/>
            <w:gridSpan w:val="2"/>
            <w:noWrap/>
            <w:vAlign w:val="center"/>
          </w:tcPr>
          <w:p>
            <w:pPr>
              <w:pStyle w:val="242"/>
              <w:spacing w:line="400" w:lineRule="exact"/>
              <w:jc w:val="center"/>
              <w:rPr>
                <w:rFonts w:ascii="宋体" w:hAnsi="宋体" w:cs="宋体"/>
                <w:color w:val="auto"/>
                <w:kern w:val="0"/>
                <w:szCs w:val="21"/>
                <w:highlight w:val="none"/>
              </w:rPr>
            </w:pPr>
          </w:p>
        </w:tc>
        <w:tc>
          <w:tcPr>
            <w:tcW w:w="845" w:type="dxa"/>
            <w:noWrap/>
            <w:vAlign w:val="center"/>
          </w:tcPr>
          <w:p>
            <w:pPr>
              <w:pStyle w:val="242"/>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80"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52" w:type="dxa"/>
            <w:gridSpan w:val="3"/>
            <w:noWrap/>
            <w:vAlign w:val="center"/>
          </w:tcPr>
          <w:p>
            <w:pPr>
              <w:pStyle w:val="242"/>
              <w:spacing w:line="400" w:lineRule="exact"/>
              <w:jc w:val="center"/>
              <w:rPr>
                <w:rFonts w:ascii="宋体" w:hAnsi="宋体" w:cs="宋体"/>
                <w:bCs/>
                <w:color w:val="auto"/>
                <w:kern w:val="0"/>
                <w:szCs w:val="21"/>
                <w:highlight w:val="none"/>
              </w:rPr>
            </w:pPr>
          </w:p>
        </w:tc>
        <w:tc>
          <w:tcPr>
            <w:tcW w:w="1869" w:type="dxa"/>
            <w:gridSpan w:val="2"/>
            <w:noWrap/>
            <w:vAlign w:val="center"/>
          </w:tcPr>
          <w:p>
            <w:pPr>
              <w:pStyle w:val="242"/>
              <w:spacing w:line="400" w:lineRule="exact"/>
              <w:jc w:val="center"/>
              <w:rPr>
                <w:rFonts w:ascii="宋体" w:hAnsi="宋体" w:cs="宋体"/>
                <w:bCs/>
                <w:color w:val="auto"/>
                <w:kern w:val="0"/>
                <w:szCs w:val="21"/>
                <w:highlight w:val="none"/>
              </w:rPr>
            </w:pPr>
          </w:p>
        </w:tc>
        <w:tc>
          <w:tcPr>
            <w:tcW w:w="2530" w:type="dxa"/>
            <w:gridSpan w:val="2"/>
            <w:noWrap/>
            <w:vAlign w:val="center"/>
          </w:tcPr>
          <w:p>
            <w:pPr>
              <w:pStyle w:val="242"/>
              <w:spacing w:line="400" w:lineRule="exact"/>
              <w:jc w:val="center"/>
              <w:rPr>
                <w:rFonts w:ascii="宋体" w:hAnsi="宋体" w:cs="宋体"/>
                <w:color w:val="auto"/>
                <w:kern w:val="0"/>
                <w:szCs w:val="21"/>
                <w:highlight w:val="none"/>
              </w:rPr>
            </w:pPr>
          </w:p>
        </w:tc>
        <w:tc>
          <w:tcPr>
            <w:tcW w:w="845" w:type="dxa"/>
            <w:noWrap/>
            <w:vAlign w:val="center"/>
          </w:tcPr>
          <w:p>
            <w:pPr>
              <w:pStyle w:val="242"/>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noWrap/>
            <w:vAlign w:val="center"/>
          </w:tcPr>
          <w:p>
            <w:pPr>
              <w:pStyle w:val="242"/>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拟投入的节能产品总报价占本次投标总报价的比重（%）</w:t>
            </w:r>
          </w:p>
        </w:tc>
        <w:tc>
          <w:tcPr>
            <w:tcW w:w="6082" w:type="dxa"/>
            <w:gridSpan w:val="6"/>
            <w:noWrap/>
            <w:vAlign w:val="center"/>
          </w:tcPr>
          <w:p>
            <w:pPr>
              <w:pStyle w:val="242"/>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□20%（不含）以下的    </w:t>
            </w:r>
          </w:p>
          <w:p>
            <w:pPr>
              <w:pStyle w:val="242"/>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□20%-50%的    </w:t>
            </w:r>
          </w:p>
          <w:p>
            <w:pPr>
              <w:pStyle w:val="242"/>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□50%（含）以上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noWrap/>
            <w:vAlign w:val="center"/>
          </w:tcPr>
          <w:p>
            <w:pPr>
              <w:pStyle w:val="242"/>
              <w:spacing w:line="400" w:lineRule="exact"/>
              <w:rPr>
                <w:rFonts w:ascii="宋体" w:hAnsi="宋体" w:cs="宋体"/>
                <w:color w:val="auto"/>
                <w:kern w:val="0"/>
                <w:szCs w:val="21"/>
                <w:highlight w:val="none"/>
              </w:rPr>
            </w:pPr>
            <w:r>
              <w:rPr>
                <w:rFonts w:hint="eastAsia" w:ascii="宋体" w:hAnsi="宋体" w:cs="宋体"/>
                <w:b/>
                <w:color w:val="auto"/>
                <w:kern w:val="0"/>
                <w:szCs w:val="21"/>
                <w:highlight w:val="none"/>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10" w:type="dxa"/>
            <w:gridSpan w:val="2"/>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产品名称</w:t>
            </w:r>
          </w:p>
        </w:tc>
        <w:tc>
          <w:tcPr>
            <w:tcW w:w="1680" w:type="dxa"/>
            <w:gridSpan w:val="3"/>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品牌</w:t>
            </w:r>
          </w:p>
        </w:tc>
        <w:tc>
          <w:tcPr>
            <w:tcW w:w="1837" w:type="dxa"/>
            <w:gridSpan w:val="2"/>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型号</w:t>
            </w:r>
          </w:p>
        </w:tc>
        <w:tc>
          <w:tcPr>
            <w:tcW w:w="2504"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环保标志产品有效认证证书号</w:t>
            </w:r>
          </w:p>
        </w:tc>
        <w:tc>
          <w:tcPr>
            <w:tcW w:w="845"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710" w:type="dxa"/>
            <w:gridSpan w:val="2"/>
            <w:noWrap/>
            <w:vAlign w:val="center"/>
          </w:tcPr>
          <w:p>
            <w:pPr>
              <w:pStyle w:val="242"/>
              <w:spacing w:line="400" w:lineRule="exact"/>
              <w:jc w:val="center"/>
              <w:rPr>
                <w:rFonts w:ascii="宋体" w:hAnsi="宋体" w:cs="宋体"/>
                <w:color w:val="auto"/>
                <w:kern w:val="0"/>
                <w:szCs w:val="21"/>
                <w:highlight w:val="none"/>
              </w:rPr>
            </w:pPr>
          </w:p>
        </w:tc>
        <w:tc>
          <w:tcPr>
            <w:tcW w:w="1680" w:type="dxa"/>
            <w:gridSpan w:val="3"/>
            <w:noWrap/>
            <w:vAlign w:val="center"/>
          </w:tcPr>
          <w:p>
            <w:pPr>
              <w:pStyle w:val="242"/>
              <w:spacing w:line="400" w:lineRule="exact"/>
              <w:jc w:val="center"/>
              <w:rPr>
                <w:rFonts w:ascii="宋体" w:hAnsi="宋体" w:cs="宋体"/>
                <w:bCs/>
                <w:color w:val="auto"/>
                <w:kern w:val="0"/>
                <w:szCs w:val="21"/>
                <w:highlight w:val="none"/>
              </w:rPr>
            </w:pPr>
          </w:p>
        </w:tc>
        <w:tc>
          <w:tcPr>
            <w:tcW w:w="1837" w:type="dxa"/>
            <w:gridSpan w:val="2"/>
            <w:noWrap/>
            <w:vAlign w:val="center"/>
          </w:tcPr>
          <w:p>
            <w:pPr>
              <w:pStyle w:val="242"/>
              <w:spacing w:line="400" w:lineRule="exact"/>
              <w:jc w:val="center"/>
              <w:rPr>
                <w:rFonts w:ascii="宋体" w:hAnsi="宋体" w:cs="宋体"/>
                <w:bCs/>
                <w:color w:val="auto"/>
                <w:kern w:val="0"/>
                <w:szCs w:val="21"/>
                <w:highlight w:val="none"/>
              </w:rPr>
            </w:pPr>
          </w:p>
        </w:tc>
        <w:tc>
          <w:tcPr>
            <w:tcW w:w="2504" w:type="dxa"/>
            <w:noWrap/>
            <w:vAlign w:val="center"/>
          </w:tcPr>
          <w:p>
            <w:pPr>
              <w:pStyle w:val="242"/>
              <w:spacing w:line="400" w:lineRule="exact"/>
              <w:jc w:val="center"/>
              <w:rPr>
                <w:rFonts w:ascii="宋体" w:hAnsi="宋体" w:cs="宋体"/>
                <w:color w:val="auto"/>
                <w:kern w:val="0"/>
                <w:szCs w:val="21"/>
                <w:highlight w:val="none"/>
              </w:rPr>
            </w:pPr>
          </w:p>
        </w:tc>
        <w:tc>
          <w:tcPr>
            <w:tcW w:w="845" w:type="dxa"/>
            <w:noWrap/>
            <w:vAlign w:val="center"/>
          </w:tcPr>
          <w:p>
            <w:pPr>
              <w:pStyle w:val="242"/>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710" w:type="dxa"/>
            <w:gridSpan w:val="2"/>
            <w:noWrap/>
            <w:vAlign w:val="center"/>
          </w:tcPr>
          <w:p>
            <w:pPr>
              <w:pStyle w:val="242"/>
              <w:spacing w:line="400" w:lineRule="exact"/>
              <w:jc w:val="center"/>
              <w:rPr>
                <w:rFonts w:ascii="宋体" w:hAnsi="宋体" w:cs="宋体"/>
                <w:color w:val="auto"/>
                <w:kern w:val="0"/>
                <w:szCs w:val="21"/>
                <w:highlight w:val="none"/>
              </w:rPr>
            </w:pPr>
          </w:p>
        </w:tc>
        <w:tc>
          <w:tcPr>
            <w:tcW w:w="1680" w:type="dxa"/>
            <w:gridSpan w:val="3"/>
            <w:noWrap/>
            <w:vAlign w:val="center"/>
          </w:tcPr>
          <w:p>
            <w:pPr>
              <w:pStyle w:val="242"/>
              <w:spacing w:line="400" w:lineRule="exact"/>
              <w:jc w:val="center"/>
              <w:rPr>
                <w:rFonts w:ascii="宋体" w:hAnsi="宋体" w:cs="宋体"/>
                <w:bCs/>
                <w:color w:val="auto"/>
                <w:kern w:val="0"/>
                <w:szCs w:val="21"/>
                <w:highlight w:val="none"/>
              </w:rPr>
            </w:pPr>
          </w:p>
        </w:tc>
        <w:tc>
          <w:tcPr>
            <w:tcW w:w="1837" w:type="dxa"/>
            <w:gridSpan w:val="2"/>
            <w:noWrap/>
            <w:vAlign w:val="center"/>
          </w:tcPr>
          <w:p>
            <w:pPr>
              <w:pStyle w:val="242"/>
              <w:spacing w:line="400" w:lineRule="exact"/>
              <w:jc w:val="center"/>
              <w:rPr>
                <w:rFonts w:ascii="宋体" w:hAnsi="宋体" w:cs="宋体"/>
                <w:bCs/>
                <w:color w:val="auto"/>
                <w:kern w:val="0"/>
                <w:szCs w:val="21"/>
                <w:highlight w:val="none"/>
              </w:rPr>
            </w:pPr>
          </w:p>
        </w:tc>
        <w:tc>
          <w:tcPr>
            <w:tcW w:w="2504" w:type="dxa"/>
            <w:noWrap/>
            <w:vAlign w:val="center"/>
          </w:tcPr>
          <w:p>
            <w:pPr>
              <w:pStyle w:val="242"/>
              <w:spacing w:line="400" w:lineRule="exact"/>
              <w:jc w:val="center"/>
              <w:rPr>
                <w:rFonts w:ascii="宋体" w:hAnsi="宋体" w:cs="宋体"/>
                <w:color w:val="auto"/>
                <w:kern w:val="0"/>
                <w:szCs w:val="21"/>
                <w:highlight w:val="none"/>
              </w:rPr>
            </w:pPr>
          </w:p>
        </w:tc>
        <w:tc>
          <w:tcPr>
            <w:tcW w:w="845" w:type="dxa"/>
            <w:noWrap/>
            <w:vAlign w:val="center"/>
          </w:tcPr>
          <w:p>
            <w:pPr>
              <w:pStyle w:val="242"/>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710" w:type="dxa"/>
            <w:gridSpan w:val="2"/>
            <w:noWrap/>
            <w:vAlign w:val="center"/>
          </w:tcPr>
          <w:p>
            <w:pPr>
              <w:pStyle w:val="242"/>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80" w:type="dxa"/>
            <w:gridSpan w:val="3"/>
            <w:noWrap/>
            <w:vAlign w:val="center"/>
          </w:tcPr>
          <w:p>
            <w:pPr>
              <w:pStyle w:val="242"/>
              <w:spacing w:line="400" w:lineRule="exact"/>
              <w:jc w:val="center"/>
              <w:rPr>
                <w:rFonts w:ascii="宋体" w:hAnsi="宋体" w:cs="宋体"/>
                <w:bCs/>
                <w:color w:val="auto"/>
                <w:kern w:val="0"/>
                <w:szCs w:val="21"/>
                <w:highlight w:val="none"/>
              </w:rPr>
            </w:pPr>
          </w:p>
        </w:tc>
        <w:tc>
          <w:tcPr>
            <w:tcW w:w="1837" w:type="dxa"/>
            <w:gridSpan w:val="2"/>
            <w:noWrap/>
            <w:vAlign w:val="center"/>
          </w:tcPr>
          <w:p>
            <w:pPr>
              <w:pStyle w:val="242"/>
              <w:spacing w:line="400" w:lineRule="exact"/>
              <w:jc w:val="center"/>
              <w:rPr>
                <w:rFonts w:ascii="宋体" w:hAnsi="宋体" w:cs="宋体"/>
                <w:bCs/>
                <w:color w:val="auto"/>
                <w:kern w:val="0"/>
                <w:szCs w:val="21"/>
                <w:highlight w:val="none"/>
              </w:rPr>
            </w:pPr>
          </w:p>
        </w:tc>
        <w:tc>
          <w:tcPr>
            <w:tcW w:w="2504" w:type="dxa"/>
            <w:noWrap/>
            <w:vAlign w:val="center"/>
          </w:tcPr>
          <w:p>
            <w:pPr>
              <w:pStyle w:val="242"/>
              <w:spacing w:line="400" w:lineRule="exact"/>
              <w:jc w:val="center"/>
              <w:rPr>
                <w:rFonts w:ascii="宋体" w:hAnsi="宋体" w:cs="宋体"/>
                <w:color w:val="auto"/>
                <w:kern w:val="0"/>
                <w:szCs w:val="21"/>
                <w:highlight w:val="none"/>
              </w:rPr>
            </w:pPr>
          </w:p>
        </w:tc>
        <w:tc>
          <w:tcPr>
            <w:tcW w:w="845" w:type="dxa"/>
            <w:noWrap/>
            <w:vAlign w:val="center"/>
          </w:tcPr>
          <w:p>
            <w:pPr>
              <w:pStyle w:val="242"/>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noWrap/>
            <w:vAlign w:val="center"/>
          </w:tcPr>
          <w:p>
            <w:pPr>
              <w:pStyle w:val="242"/>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拟投入的环保产品总报价占本次投标总报价的比重（%）</w:t>
            </w:r>
          </w:p>
        </w:tc>
        <w:tc>
          <w:tcPr>
            <w:tcW w:w="6082" w:type="dxa"/>
            <w:gridSpan w:val="6"/>
            <w:noWrap/>
            <w:vAlign w:val="center"/>
          </w:tcPr>
          <w:p>
            <w:pPr>
              <w:pStyle w:val="242"/>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□20%（不含）以下的    </w:t>
            </w:r>
          </w:p>
          <w:p>
            <w:pPr>
              <w:pStyle w:val="242"/>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□20%-50%的    </w:t>
            </w:r>
          </w:p>
          <w:p>
            <w:pPr>
              <w:pStyle w:val="242"/>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□50%（含）以上</w:t>
            </w:r>
          </w:p>
        </w:tc>
      </w:tr>
    </w:tbl>
    <w:p>
      <w:pPr>
        <w:pStyle w:val="242"/>
        <w:spacing w:line="400" w:lineRule="exact"/>
        <w:rPr>
          <w:rFonts w:ascii="宋体" w:hAnsi="宋体" w:cs="宋体"/>
          <w:b/>
          <w:color w:val="auto"/>
          <w:szCs w:val="21"/>
          <w:highlight w:val="none"/>
        </w:rPr>
      </w:pPr>
      <w:r>
        <w:rPr>
          <w:rFonts w:hint="eastAsia" w:ascii="宋体" w:hAnsi="宋体" w:cs="宋体"/>
          <w:b/>
          <w:color w:val="auto"/>
          <w:szCs w:val="21"/>
          <w:highlight w:val="none"/>
        </w:rPr>
        <w:t>注：</w:t>
      </w:r>
    </w:p>
    <w:p>
      <w:pPr>
        <w:pStyle w:val="242"/>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1.节能产品、环境标志产品须提供有效认证证书扫描件，否则节能和环保产品不给分。</w:t>
      </w:r>
    </w:p>
    <w:p>
      <w:pPr>
        <w:pStyle w:val="242"/>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2.投标人应在对应比重前的□内打“√”，未打“√”的作未提供处理。</w:t>
      </w:r>
    </w:p>
    <w:p>
      <w:pPr>
        <w:pStyle w:val="146"/>
        <w:wordWrap w:val="0"/>
        <w:spacing w:line="400" w:lineRule="exact"/>
        <w:ind w:firstLine="480"/>
        <w:jc w:val="right"/>
        <w:rPr>
          <w:rFonts w:ascii="宋体" w:hAnsi="宋体" w:cs="宋体"/>
          <w:color w:val="auto"/>
          <w:szCs w:val="21"/>
          <w:highlight w:val="none"/>
          <w:u w:val="single"/>
        </w:rPr>
      </w:pPr>
      <w:r>
        <w:rPr>
          <w:rFonts w:hint="eastAsia" w:hAnsi="宋体" w:cs="宋体"/>
          <w:b/>
          <w:color w:val="auto"/>
          <w:szCs w:val="21"/>
          <w:highlight w:val="none"/>
        </w:rPr>
        <w:br w:type="page"/>
      </w:r>
    </w:p>
    <w:p>
      <w:pPr>
        <w:spacing w:line="400" w:lineRule="exact"/>
        <w:jc w:val="center"/>
        <w:rPr>
          <w:rFonts w:ascii="宋体" w:hAnsi="宋体" w:cs="宋体"/>
          <w:b/>
          <w:color w:val="auto"/>
          <w:szCs w:val="21"/>
          <w:highlight w:val="none"/>
        </w:rPr>
      </w:pPr>
    </w:p>
    <w:p>
      <w:pPr>
        <w:spacing w:line="400" w:lineRule="exact"/>
        <w:jc w:val="center"/>
        <w:rPr>
          <w:rFonts w:ascii="宋体" w:hAnsi="宋体" w:cs="宋体"/>
          <w:b/>
          <w:color w:val="auto"/>
          <w:szCs w:val="21"/>
          <w:highlight w:val="none"/>
        </w:rPr>
      </w:pP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2.2.</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 xml:space="preserve"> 其  他</w:t>
      </w:r>
    </w:p>
    <w:p>
      <w:pPr>
        <w:pStyle w:val="229"/>
        <w:spacing w:line="400" w:lineRule="exact"/>
        <w:ind w:firstLine="420" w:firstLineChars="200"/>
        <w:rPr>
          <w:rFonts w:hAnsi="宋体" w:cs="宋体"/>
          <w:color w:val="auto"/>
          <w:szCs w:val="21"/>
          <w:highlight w:val="none"/>
        </w:rPr>
      </w:pPr>
      <w:r>
        <w:rPr>
          <w:rFonts w:hint="eastAsia" w:hAnsi="宋体" w:cs="宋体"/>
          <w:color w:val="auto"/>
          <w:szCs w:val="21"/>
          <w:highlight w:val="none"/>
        </w:rPr>
        <w:t>除招标文件规定的要求外，投标人还可以提供如下证明材料：</w:t>
      </w:r>
    </w:p>
    <w:p>
      <w:pPr>
        <w:pStyle w:val="229"/>
        <w:spacing w:line="400" w:lineRule="exact"/>
        <w:ind w:firstLine="420" w:firstLineChars="200"/>
        <w:rPr>
          <w:rFonts w:hAnsi="宋体" w:cs="宋体"/>
          <w:color w:val="auto"/>
          <w:szCs w:val="21"/>
          <w:highlight w:val="none"/>
        </w:rPr>
      </w:pPr>
      <w:r>
        <w:rPr>
          <w:rFonts w:hint="eastAsia" w:hAnsi="宋体" w:cs="宋体"/>
          <w:color w:val="auto"/>
          <w:szCs w:val="21"/>
          <w:highlight w:val="none"/>
        </w:rPr>
        <w:fldChar w:fldCharType="begin"/>
      </w:r>
      <w:r>
        <w:rPr>
          <w:rFonts w:hint="eastAsia" w:hAnsi="宋体" w:cs="宋体"/>
          <w:color w:val="auto"/>
          <w:szCs w:val="21"/>
          <w:highlight w:val="none"/>
        </w:rPr>
        <w:instrText xml:space="preserve"> = 1 \* GB2 </w:instrText>
      </w:r>
      <w:r>
        <w:rPr>
          <w:rFonts w:hint="eastAsia" w:hAnsi="宋体" w:cs="宋体"/>
          <w:color w:val="auto"/>
          <w:szCs w:val="21"/>
          <w:highlight w:val="none"/>
        </w:rPr>
        <w:fldChar w:fldCharType="separate"/>
      </w:r>
      <w:r>
        <w:rPr>
          <w:rFonts w:hint="eastAsia" w:hAnsi="宋体" w:cs="宋体"/>
          <w:color w:val="auto"/>
          <w:szCs w:val="21"/>
          <w:highlight w:val="none"/>
        </w:rPr>
        <w:t>⑴</w:t>
      </w:r>
      <w:r>
        <w:rPr>
          <w:rFonts w:hint="eastAsia" w:hAnsi="宋体" w:cs="宋体"/>
          <w:color w:val="auto"/>
          <w:szCs w:val="21"/>
          <w:highlight w:val="none"/>
        </w:rPr>
        <w:fldChar w:fldCharType="end"/>
      </w:r>
      <w:r>
        <w:rPr>
          <w:rFonts w:hint="eastAsia" w:hAnsi="宋体" w:cs="宋体"/>
          <w:color w:val="auto"/>
          <w:szCs w:val="21"/>
          <w:highlight w:val="none"/>
        </w:rPr>
        <w:t>评标办法要求的其他资料；</w:t>
      </w:r>
    </w:p>
    <w:p>
      <w:pPr>
        <w:pStyle w:val="229"/>
        <w:spacing w:line="400" w:lineRule="exact"/>
        <w:ind w:firstLine="420" w:firstLineChars="200"/>
        <w:rPr>
          <w:rFonts w:hAnsi="宋体" w:cs="宋体"/>
          <w:color w:val="auto"/>
          <w:szCs w:val="21"/>
          <w:highlight w:val="none"/>
        </w:rPr>
      </w:pPr>
      <w:r>
        <w:rPr>
          <w:rFonts w:hint="eastAsia" w:hAnsi="宋体" w:cs="宋体"/>
          <w:color w:val="auto"/>
          <w:szCs w:val="21"/>
          <w:highlight w:val="none"/>
        </w:rPr>
        <w:fldChar w:fldCharType="begin"/>
      </w:r>
      <w:r>
        <w:rPr>
          <w:rFonts w:hint="eastAsia" w:hAnsi="宋体" w:cs="宋体"/>
          <w:color w:val="auto"/>
          <w:szCs w:val="21"/>
          <w:highlight w:val="none"/>
        </w:rPr>
        <w:instrText xml:space="preserve"> = 2 \* GB2 </w:instrText>
      </w:r>
      <w:r>
        <w:rPr>
          <w:rFonts w:hint="eastAsia" w:hAnsi="宋体" w:cs="宋体"/>
          <w:color w:val="auto"/>
          <w:szCs w:val="21"/>
          <w:highlight w:val="none"/>
        </w:rPr>
        <w:fldChar w:fldCharType="separate"/>
      </w:r>
      <w:r>
        <w:rPr>
          <w:rFonts w:hint="eastAsia" w:hAnsi="宋体" w:cs="宋体"/>
          <w:color w:val="auto"/>
          <w:szCs w:val="21"/>
          <w:highlight w:val="none"/>
        </w:rPr>
        <w:t>⑵</w:t>
      </w:r>
      <w:r>
        <w:rPr>
          <w:rFonts w:hint="eastAsia" w:hAnsi="宋体" w:cs="宋体"/>
          <w:color w:val="auto"/>
          <w:szCs w:val="21"/>
          <w:highlight w:val="none"/>
        </w:rPr>
        <w:fldChar w:fldCharType="end"/>
      </w:r>
      <w:r>
        <w:rPr>
          <w:rFonts w:hint="eastAsia" w:hAnsi="宋体" w:cs="宋体"/>
          <w:color w:val="auto"/>
          <w:szCs w:val="21"/>
          <w:highlight w:val="none"/>
        </w:rPr>
        <w:t>投标人认为需要提供的其他材料，但不得出现报价。</w:t>
      </w:r>
    </w:p>
    <w:p>
      <w:pPr>
        <w:pStyle w:val="4"/>
        <w:rPr>
          <w:rFonts w:hint="eastAsia" w:ascii="宋体" w:hAnsi="宋体" w:cs="宋体"/>
          <w:b/>
          <w:bCs/>
          <w:color w:val="auto"/>
          <w:szCs w:val="21"/>
          <w:highlight w:val="none"/>
        </w:rPr>
      </w:pPr>
      <w:r>
        <w:rPr>
          <w:rFonts w:hint="eastAsia" w:ascii="宋体" w:hAnsi="宋体" w:cs="宋体"/>
          <w:color w:val="auto"/>
          <w:szCs w:val="21"/>
          <w:highlight w:val="none"/>
        </w:rPr>
        <w:br w:type="page"/>
      </w:r>
      <w:bookmarkEnd w:id="569"/>
      <w:bookmarkEnd w:id="570"/>
      <w:bookmarkStart w:id="572" w:name="_Toc208049590"/>
      <w:r>
        <w:rPr>
          <w:rFonts w:hint="eastAsia" w:ascii="宋体" w:hAnsi="宋体" w:cs="宋体"/>
          <w:b/>
          <w:bCs/>
          <w:color w:val="auto"/>
          <w:szCs w:val="21"/>
          <w:highlight w:val="none"/>
        </w:rPr>
        <w:t xml:space="preserve">2.3 </w:t>
      </w:r>
      <w:r>
        <w:rPr>
          <w:rFonts w:hint="eastAsia" w:ascii="宋体" w:hAnsi="宋体" w:cs="宋体"/>
          <w:color w:val="auto"/>
          <w:szCs w:val="24"/>
          <w:highlight w:val="none"/>
        </w:rPr>
        <w:t>技术</w:t>
      </w:r>
      <w:r>
        <w:rPr>
          <w:rFonts w:hint="eastAsia" w:ascii="宋体" w:hAnsi="宋体" w:cs="宋体"/>
          <w:b/>
          <w:bCs/>
          <w:color w:val="auto"/>
          <w:szCs w:val="21"/>
          <w:highlight w:val="none"/>
        </w:rPr>
        <w:t>目录</w:t>
      </w:r>
    </w:p>
    <w:p>
      <w:pPr>
        <w:pStyle w:val="6"/>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2.3.1商务响应表</w:t>
      </w:r>
    </w:p>
    <w:p>
      <w:pPr>
        <w:pStyle w:val="244"/>
        <w:spacing w:line="400" w:lineRule="exact"/>
        <w:rPr>
          <w:rFonts w:ascii="宋体" w:hAnsi="宋体" w:cs="宋体"/>
          <w:color w:val="auto"/>
          <w:szCs w:val="21"/>
          <w:highlight w:val="none"/>
        </w:rPr>
      </w:pPr>
      <w:r>
        <w:rPr>
          <w:rFonts w:hint="eastAsia" w:ascii="宋体" w:hAnsi="宋体" w:cs="宋体"/>
          <w:color w:val="auto"/>
          <w:szCs w:val="21"/>
          <w:highlight w:val="none"/>
        </w:rPr>
        <w:t>项目编号：</w:t>
      </w:r>
    </w:p>
    <w:p>
      <w:pPr>
        <w:pStyle w:val="244"/>
        <w:spacing w:line="400" w:lineRule="exact"/>
        <w:rPr>
          <w:rFonts w:ascii="宋体" w:hAnsi="宋体" w:cs="宋体"/>
          <w:color w:val="auto"/>
          <w:szCs w:val="21"/>
          <w:highlight w:val="none"/>
        </w:rPr>
      </w:pPr>
      <w:r>
        <w:rPr>
          <w:rFonts w:hint="eastAsia" w:ascii="宋体" w:hAnsi="宋体" w:cs="宋体"/>
          <w:color w:val="auto"/>
          <w:szCs w:val="21"/>
          <w:highlight w:val="none"/>
        </w:rPr>
        <w:t>项目名称：                               标项（若有）：</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27"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2546"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投标文件要求</w:t>
            </w:r>
          </w:p>
        </w:tc>
        <w:tc>
          <w:tcPr>
            <w:tcW w:w="2694"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供应商承诺</w:t>
            </w:r>
          </w:p>
        </w:tc>
        <w:tc>
          <w:tcPr>
            <w:tcW w:w="1275"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927" w:type="dxa"/>
            <w:noWrap/>
            <w:vAlign w:val="center"/>
          </w:tcPr>
          <w:p>
            <w:pPr>
              <w:pStyle w:val="244"/>
              <w:spacing w:line="400" w:lineRule="exact"/>
              <w:jc w:val="center"/>
              <w:rPr>
                <w:rFonts w:ascii="宋体" w:hAnsi="宋体" w:cs="宋体"/>
                <w:color w:val="auto"/>
                <w:szCs w:val="21"/>
                <w:highlight w:val="none"/>
              </w:rPr>
            </w:pPr>
          </w:p>
        </w:tc>
        <w:tc>
          <w:tcPr>
            <w:tcW w:w="2546" w:type="dxa"/>
            <w:noWrap/>
            <w:vAlign w:val="center"/>
          </w:tcPr>
          <w:p>
            <w:pPr>
              <w:pStyle w:val="244"/>
              <w:spacing w:line="400" w:lineRule="exact"/>
              <w:jc w:val="center"/>
              <w:rPr>
                <w:rFonts w:ascii="宋体" w:hAnsi="宋体" w:cs="宋体"/>
                <w:color w:val="auto"/>
                <w:szCs w:val="21"/>
                <w:highlight w:val="none"/>
              </w:rPr>
            </w:pPr>
          </w:p>
        </w:tc>
        <w:tc>
          <w:tcPr>
            <w:tcW w:w="2694" w:type="dxa"/>
            <w:noWrap/>
            <w:vAlign w:val="center"/>
          </w:tcPr>
          <w:p>
            <w:pPr>
              <w:pStyle w:val="244"/>
              <w:spacing w:line="400" w:lineRule="exact"/>
              <w:jc w:val="center"/>
              <w:rPr>
                <w:rFonts w:ascii="宋体" w:hAnsi="宋体" w:cs="宋体"/>
                <w:color w:val="auto"/>
                <w:szCs w:val="21"/>
                <w:highlight w:val="none"/>
              </w:rPr>
            </w:pPr>
          </w:p>
        </w:tc>
        <w:tc>
          <w:tcPr>
            <w:tcW w:w="1275" w:type="dxa"/>
            <w:noWrap/>
            <w:vAlign w:val="center"/>
          </w:tcPr>
          <w:p>
            <w:pPr>
              <w:pStyle w:val="244"/>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927" w:type="dxa"/>
            <w:noWrap/>
            <w:vAlign w:val="center"/>
          </w:tcPr>
          <w:p>
            <w:pPr>
              <w:pStyle w:val="244"/>
              <w:spacing w:line="400" w:lineRule="exact"/>
              <w:jc w:val="center"/>
              <w:rPr>
                <w:rFonts w:ascii="宋体" w:hAnsi="宋体" w:cs="宋体"/>
                <w:color w:val="auto"/>
                <w:szCs w:val="21"/>
                <w:highlight w:val="none"/>
              </w:rPr>
            </w:pPr>
          </w:p>
        </w:tc>
        <w:tc>
          <w:tcPr>
            <w:tcW w:w="2546" w:type="dxa"/>
            <w:noWrap/>
            <w:vAlign w:val="center"/>
          </w:tcPr>
          <w:p>
            <w:pPr>
              <w:pStyle w:val="244"/>
              <w:spacing w:line="400" w:lineRule="exact"/>
              <w:jc w:val="center"/>
              <w:rPr>
                <w:rFonts w:ascii="宋体" w:hAnsi="宋体" w:cs="宋体"/>
                <w:color w:val="auto"/>
                <w:szCs w:val="21"/>
                <w:highlight w:val="none"/>
              </w:rPr>
            </w:pPr>
          </w:p>
        </w:tc>
        <w:tc>
          <w:tcPr>
            <w:tcW w:w="2694" w:type="dxa"/>
            <w:noWrap/>
            <w:vAlign w:val="center"/>
          </w:tcPr>
          <w:p>
            <w:pPr>
              <w:pStyle w:val="244"/>
              <w:spacing w:line="400" w:lineRule="exact"/>
              <w:jc w:val="center"/>
              <w:rPr>
                <w:rFonts w:ascii="宋体" w:hAnsi="宋体" w:cs="宋体"/>
                <w:color w:val="auto"/>
                <w:szCs w:val="21"/>
                <w:highlight w:val="none"/>
              </w:rPr>
            </w:pPr>
          </w:p>
        </w:tc>
        <w:tc>
          <w:tcPr>
            <w:tcW w:w="1275" w:type="dxa"/>
            <w:noWrap/>
            <w:vAlign w:val="center"/>
          </w:tcPr>
          <w:p>
            <w:pPr>
              <w:pStyle w:val="244"/>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927" w:type="dxa"/>
            <w:noWrap/>
            <w:vAlign w:val="center"/>
          </w:tcPr>
          <w:p>
            <w:pPr>
              <w:pStyle w:val="244"/>
              <w:spacing w:line="400" w:lineRule="exact"/>
              <w:jc w:val="center"/>
              <w:rPr>
                <w:rFonts w:ascii="宋体" w:hAnsi="宋体" w:cs="宋体"/>
                <w:color w:val="auto"/>
                <w:szCs w:val="21"/>
                <w:highlight w:val="none"/>
              </w:rPr>
            </w:pPr>
          </w:p>
        </w:tc>
        <w:tc>
          <w:tcPr>
            <w:tcW w:w="2546" w:type="dxa"/>
            <w:noWrap/>
            <w:vAlign w:val="center"/>
          </w:tcPr>
          <w:p>
            <w:pPr>
              <w:pStyle w:val="244"/>
              <w:spacing w:line="400" w:lineRule="exact"/>
              <w:jc w:val="center"/>
              <w:rPr>
                <w:rFonts w:ascii="宋体" w:hAnsi="宋体" w:cs="宋体"/>
                <w:color w:val="auto"/>
                <w:szCs w:val="21"/>
                <w:highlight w:val="none"/>
              </w:rPr>
            </w:pPr>
          </w:p>
        </w:tc>
        <w:tc>
          <w:tcPr>
            <w:tcW w:w="2694" w:type="dxa"/>
            <w:noWrap/>
            <w:vAlign w:val="center"/>
          </w:tcPr>
          <w:p>
            <w:pPr>
              <w:pStyle w:val="244"/>
              <w:spacing w:line="400" w:lineRule="exact"/>
              <w:jc w:val="center"/>
              <w:rPr>
                <w:rFonts w:ascii="宋体" w:hAnsi="宋体" w:cs="宋体"/>
                <w:color w:val="auto"/>
                <w:szCs w:val="21"/>
                <w:highlight w:val="none"/>
              </w:rPr>
            </w:pPr>
          </w:p>
        </w:tc>
        <w:tc>
          <w:tcPr>
            <w:tcW w:w="1275" w:type="dxa"/>
            <w:noWrap/>
            <w:vAlign w:val="center"/>
          </w:tcPr>
          <w:p>
            <w:pPr>
              <w:pStyle w:val="244"/>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927" w:type="dxa"/>
            <w:noWrap/>
            <w:vAlign w:val="center"/>
          </w:tcPr>
          <w:p>
            <w:pPr>
              <w:pStyle w:val="244"/>
              <w:spacing w:line="400" w:lineRule="exact"/>
              <w:jc w:val="center"/>
              <w:rPr>
                <w:rFonts w:ascii="宋体" w:hAnsi="宋体" w:cs="宋体"/>
                <w:color w:val="auto"/>
                <w:szCs w:val="21"/>
                <w:highlight w:val="none"/>
              </w:rPr>
            </w:pPr>
          </w:p>
        </w:tc>
        <w:tc>
          <w:tcPr>
            <w:tcW w:w="2546" w:type="dxa"/>
            <w:noWrap/>
            <w:vAlign w:val="center"/>
          </w:tcPr>
          <w:p>
            <w:pPr>
              <w:pStyle w:val="244"/>
              <w:spacing w:line="400" w:lineRule="exact"/>
              <w:jc w:val="center"/>
              <w:rPr>
                <w:rFonts w:ascii="宋体" w:hAnsi="宋体" w:cs="宋体"/>
                <w:color w:val="auto"/>
                <w:szCs w:val="21"/>
                <w:highlight w:val="none"/>
              </w:rPr>
            </w:pPr>
          </w:p>
        </w:tc>
        <w:tc>
          <w:tcPr>
            <w:tcW w:w="2694" w:type="dxa"/>
            <w:noWrap/>
            <w:vAlign w:val="center"/>
          </w:tcPr>
          <w:p>
            <w:pPr>
              <w:pStyle w:val="244"/>
              <w:spacing w:line="400" w:lineRule="exact"/>
              <w:jc w:val="center"/>
              <w:rPr>
                <w:rFonts w:ascii="宋体" w:hAnsi="宋体" w:cs="宋体"/>
                <w:color w:val="auto"/>
                <w:szCs w:val="21"/>
                <w:highlight w:val="none"/>
              </w:rPr>
            </w:pPr>
          </w:p>
        </w:tc>
        <w:tc>
          <w:tcPr>
            <w:tcW w:w="1275" w:type="dxa"/>
            <w:noWrap/>
            <w:vAlign w:val="center"/>
          </w:tcPr>
          <w:p>
            <w:pPr>
              <w:pStyle w:val="244"/>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927" w:type="dxa"/>
            <w:noWrap/>
            <w:vAlign w:val="center"/>
          </w:tcPr>
          <w:p>
            <w:pPr>
              <w:pStyle w:val="244"/>
              <w:spacing w:line="400" w:lineRule="exact"/>
              <w:jc w:val="center"/>
              <w:rPr>
                <w:rFonts w:ascii="宋体" w:hAnsi="宋体" w:cs="宋体"/>
                <w:color w:val="auto"/>
                <w:szCs w:val="21"/>
                <w:highlight w:val="none"/>
              </w:rPr>
            </w:pPr>
          </w:p>
        </w:tc>
        <w:tc>
          <w:tcPr>
            <w:tcW w:w="2546" w:type="dxa"/>
            <w:noWrap/>
            <w:vAlign w:val="center"/>
          </w:tcPr>
          <w:p>
            <w:pPr>
              <w:pStyle w:val="244"/>
              <w:spacing w:line="400" w:lineRule="exact"/>
              <w:jc w:val="center"/>
              <w:rPr>
                <w:rFonts w:ascii="宋体" w:hAnsi="宋体" w:cs="宋体"/>
                <w:color w:val="auto"/>
                <w:szCs w:val="21"/>
                <w:highlight w:val="none"/>
              </w:rPr>
            </w:pPr>
          </w:p>
        </w:tc>
        <w:tc>
          <w:tcPr>
            <w:tcW w:w="2694" w:type="dxa"/>
            <w:noWrap/>
            <w:vAlign w:val="center"/>
          </w:tcPr>
          <w:p>
            <w:pPr>
              <w:pStyle w:val="244"/>
              <w:spacing w:line="400" w:lineRule="exact"/>
              <w:jc w:val="center"/>
              <w:rPr>
                <w:rFonts w:ascii="宋体" w:hAnsi="宋体" w:cs="宋体"/>
                <w:color w:val="auto"/>
                <w:szCs w:val="21"/>
                <w:highlight w:val="none"/>
              </w:rPr>
            </w:pPr>
          </w:p>
        </w:tc>
        <w:tc>
          <w:tcPr>
            <w:tcW w:w="1275" w:type="dxa"/>
            <w:noWrap/>
            <w:vAlign w:val="center"/>
          </w:tcPr>
          <w:p>
            <w:pPr>
              <w:pStyle w:val="244"/>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927" w:type="dxa"/>
            <w:noWrap/>
            <w:vAlign w:val="center"/>
          </w:tcPr>
          <w:p>
            <w:pPr>
              <w:pStyle w:val="244"/>
              <w:spacing w:line="400" w:lineRule="exact"/>
              <w:jc w:val="center"/>
              <w:rPr>
                <w:rFonts w:ascii="宋体" w:hAnsi="宋体" w:cs="宋体"/>
                <w:color w:val="auto"/>
                <w:szCs w:val="21"/>
                <w:highlight w:val="none"/>
              </w:rPr>
            </w:pPr>
          </w:p>
        </w:tc>
        <w:tc>
          <w:tcPr>
            <w:tcW w:w="2546" w:type="dxa"/>
            <w:noWrap/>
            <w:vAlign w:val="center"/>
          </w:tcPr>
          <w:p>
            <w:pPr>
              <w:pStyle w:val="244"/>
              <w:spacing w:line="400" w:lineRule="exact"/>
              <w:jc w:val="center"/>
              <w:rPr>
                <w:rFonts w:ascii="宋体" w:hAnsi="宋体" w:cs="宋体"/>
                <w:color w:val="auto"/>
                <w:szCs w:val="21"/>
                <w:highlight w:val="none"/>
              </w:rPr>
            </w:pPr>
          </w:p>
        </w:tc>
        <w:tc>
          <w:tcPr>
            <w:tcW w:w="2694" w:type="dxa"/>
            <w:noWrap/>
            <w:vAlign w:val="center"/>
          </w:tcPr>
          <w:p>
            <w:pPr>
              <w:pStyle w:val="244"/>
              <w:spacing w:line="400" w:lineRule="exact"/>
              <w:jc w:val="center"/>
              <w:rPr>
                <w:rFonts w:ascii="宋体" w:hAnsi="宋体" w:cs="宋体"/>
                <w:color w:val="auto"/>
                <w:szCs w:val="21"/>
                <w:highlight w:val="none"/>
              </w:rPr>
            </w:pPr>
          </w:p>
        </w:tc>
        <w:tc>
          <w:tcPr>
            <w:tcW w:w="1275" w:type="dxa"/>
            <w:noWrap/>
            <w:vAlign w:val="center"/>
          </w:tcPr>
          <w:p>
            <w:pPr>
              <w:pStyle w:val="244"/>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ign w:val="center"/>
          </w:tcPr>
          <w:p>
            <w:pPr>
              <w:pStyle w:val="24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927" w:type="dxa"/>
            <w:noWrap/>
            <w:vAlign w:val="center"/>
          </w:tcPr>
          <w:p>
            <w:pPr>
              <w:pStyle w:val="244"/>
              <w:spacing w:line="400" w:lineRule="exact"/>
              <w:jc w:val="center"/>
              <w:rPr>
                <w:rFonts w:ascii="宋体" w:hAnsi="宋体" w:cs="宋体"/>
                <w:color w:val="auto"/>
                <w:szCs w:val="21"/>
                <w:highlight w:val="none"/>
              </w:rPr>
            </w:pPr>
          </w:p>
        </w:tc>
        <w:tc>
          <w:tcPr>
            <w:tcW w:w="2546" w:type="dxa"/>
            <w:noWrap/>
            <w:vAlign w:val="center"/>
          </w:tcPr>
          <w:p>
            <w:pPr>
              <w:pStyle w:val="244"/>
              <w:spacing w:line="400" w:lineRule="exact"/>
              <w:jc w:val="center"/>
              <w:rPr>
                <w:rFonts w:ascii="宋体" w:hAnsi="宋体" w:cs="宋体"/>
                <w:color w:val="auto"/>
                <w:szCs w:val="21"/>
                <w:highlight w:val="none"/>
              </w:rPr>
            </w:pPr>
          </w:p>
        </w:tc>
        <w:tc>
          <w:tcPr>
            <w:tcW w:w="2694" w:type="dxa"/>
            <w:noWrap/>
            <w:vAlign w:val="center"/>
          </w:tcPr>
          <w:p>
            <w:pPr>
              <w:pStyle w:val="244"/>
              <w:spacing w:line="400" w:lineRule="exact"/>
              <w:jc w:val="center"/>
              <w:rPr>
                <w:rFonts w:ascii="宋体" w:hAnsi="宋体" w:cs="宋体"/>
                <w:color w:val="auto"/>
                <w:szCs w:val="21"/>
                <w:highlight w:val="none"/>
              </w:rPr>
            </w:pPr>
          </w:p>
        </w:tc>
        <w:tc>
          <w:tcPr>
            <w:tcW w:w="1275" w:type="dxa"/>
            <w:noWrap/>
            <w:vAlign w:val="center"/>
          </w:tcPr>
          <w:p>
            <w:pPr>
              <w:pStyle w:val="244"/>
              <w:spacing w:line="400" w:lineRule="exact"/>
              <w:jc w:val="center"/>
              <w:rPr>
                <w:rFonts w:ascii="宋体" w:hAnsi="宋体" w:cs="宋体"/>
                <w:color w:val="auto"/>
                <w:szCs w:val="21"/>
                <w:highlight w:val="none"/>
              </w:rPr>
            </w:pPr>
          </w:p>
        </w:tc>
      </w:tr>
    </w:tbl>
    <w:p>
      <w:pPr>
        <w:spacing w:line="400" w:lineRule="exact"/>
        <w:jc w:val="left"/>
        <w:rPr>
          <w:rFonts w:ascii="宋体" w:hAnsi="宋体" w:cs="宋体"/>
          <w:color w:val="auto"/>
          <w:szCs w:val="21"/>
          <w:highlight w:val="none"/>
          <w:shd w:val="clear" w:color="050000" w:fill="auto"/>
        </w:rPr>
      </w:pPr>
      <w:r>
        <w:rPr>
          <w:rFonts w:hint="eastAsia" w:ascii="宋体" w:hAnsi="宋体" w:cs="宋体"/>
          <w:color w:val="auto"/>
          <w:szCs w:val="21"/>
          <w:highlight w:val="none"/>
          <w:shd w:val="clear" w:color="050000" w:fill="auto"/>
        </w:rPr>
        <w:t>填写说明：</w:t>
      </w:r>
    </w:p>
    <w:p>
      <w:pPr>
        <w:spacing w:line="400" w:lineRule="exact"/>
        <w:ind w:firstLine="440"/>
        <w:rPr>
          <w:rFonts w:ascii="宋体" w:hAnsi="宋体" w:cs="宋体"/>
          <w:color w:val="auto"/>
          <w:szCs w:val="21"/>
          <w:highlight w:val="none"/>
          <w:shd w:val="clear" w:color="050000" w:fill="auto"/>
        </w:rPr>
      </w:pPr>
      <w:r>
        <w:rPr>
          <w:rFonts w:hint="eastAsia" w:ascii="宋体" w:hAnsi="宋体" w:cs="宋体"/>
          <w:color w:val="auto"/>
          <w:szCs w:val="21"/>
          <w:highlight w:val="none"/>
          <w:shd w:val="clear" w:color="050000" w:fill="auto"/>
        </w:rPr>
        <w:t>1.项数不够时，可自行添加。</w:t>
      </w:r>
    </w:p>
    <w:p>
      <w:pPr>
        <w:spacing w:line="400" w:lineRule="exact"/>
        <w:ind w:firstLine="440"/>
        <w:rPr>
          <w:rFonts w:ascii="宋体" w:hAnsi="宋体" w:cs="宋体"/>
          <w:color w:val="auto"/>
          <w:szCs w:val="21"/>
          <w:highlight w:val="none"/>
          <w:shd w:val="clear" w:color="050000" w:fill="auto"/>
        </w:rPr>
      </w:pPr>
      <w:r>
        <w:rPr>
          <w:rFonts w:hint="eastAsia" w:ascii="宋体" w:hAnsi="宋体" w:cs="宋体"/>
          <w:color w:val="auto"/>
          <w:szCs w:val="21"/>
          <w:highlight w:val="none"/>
          <w:shd w:val="clear" w:color="050000" w:fill="auto"/>
        </w:rPr>
        <w:t>2.对照招标文件第二章招标需求进行响应，如有偏离的，投标人必须据实填写，不得虚假响应，否则将作无效标处理。</w:t>
      </w:r>
    </w:p>
    <w:p>
      <w:pPr>
        <w:pStyle w:val="30"/>
        <w:snapToGrid w:val="0"/>
        <w:spacing w:line="400" w:lineRule="exact"/>
        <w:ind w:left="420" w:hanging="420"/>
        <w:jc w:val="left"/>
        <w:rPr>
          <w:rFonts w:ascii="宋体" w:hAnsi="宋体" w:cs="宋体"/>
          <w:color w:val="auto"/>
          <w:szCs w:val="21"/>
          <w:highlight w:val="none"/>
        </w:rPr>
      </w:pPr>
    </w:p>
    <w:p>
      <w:pPr>
        <w:pStyle w:val="146"/>
        <w:wordWrap w:val="0"/>
        <w:spacing w:line="400" w:lineRule="exact"/>
        <w:ind w:firstLine="480"/>
        <w:jc w:val="right"/>
        <w:rPr>
          <w:rFonts w:ascii="宋体" w:hAnsi="宋体" w:cs="宋体"/>
          <w:color w:val="auto"/>
          <w:szCs w:val="21"/>
          <w:highlight w:val="none"/>
          <w:u w:val="single"/>
        </w:rPr>
      </w:pPr>
      <w:bookmarkStart w:id="573" w:name="_Toc530551887"/>
      <w:bookmarkStart w:id="574" w:name="_Toc493956063"/>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autoSpaceDE w:val="0"/>
        <w:autoSpaceDN w:val="0"/>
        <w:adjustRightInd w:val="0"/>
        <w:snapToGrid w:val="0"/>
        <w:spacing w:line="400" w:lineRule="exact"/>
        <w:rPr>
          <w:rFonts w:ascii="宋体" w:hAnsi="宋体" w:cs="宋体"/>
          <w:b/>
          <w:bCs/>
          <w:color w:val="auto"/>
          <w:szCs w:val="21"/>
          <w:highlight w:val="none"/>
        </w:rPr>
      </w:pPr>
    </w:p>
    <w:p>
      <w:pPr>
        <w:pStyle w:val="6"/>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2.3.</w:t>
      </w:r>
      <w:r>
        <w:rPr>
          <w:rFonts w:hint="eastAsia" w:ascii="宋体" w:hAnsi="宋体" w:cs="宋体"/>
          <w:color w:val="auto"/>
          <w:sz w:val="21"/>
          <w:szCs w:val="21"/>
          <w:highlight w:val="none"/>
          <w:lang w:val="en-US" w:eastAsia="zh-CN"/>
        </w:rPr>
        <w:t>2投标人相关认证证书</w:t>
      </w:r>
      <w:r>
        <w:rPr>
          <w:rFonts w:hint="eastAsia" w:ascii="宋体" w:hAnsi="宋体" w:cs="宋体"/>
          <w:color w:val="auto"/>
          <w:sz w:val="21"/>
          <w:szCs w:val="21"/>
          <w:highlight w:val="none"/>
        </w:rPr>
        <w:t>（格式自行设计）</w:t>
      </w:r>
    </w:p>
    <w:p>
      <w:pPr>
        <w:rPr>
          <w:rFonts w:ascii="宋体" w:hAnsi="宋体" w:cs="宋体"/>
          <w:color w:val="auto"/>
          <w:szCs w:val="21"/>
          <w:highlight w:val="none"/>
        </w:rPr>
      </w:pPr>
    </w:p>
    <w:p>
      <w:pPr>
        <w:pStyle w:val="5"/>
        <w:rPr>
          <w:color w:val="auto"/>
          <w:highlight w:val="none"/>
        </w:rPr>
      </w:pPr>
    </w:p>
    <w:p>
      <w:pPr>
        <w:pStyle w:val="16"/>
        <w:spacing w:line="400" w:lineRule="exact"/>
        <w:ind w:left="0" w:leftChars="0"/>
        <w:rPr>
          <w:rFonts w:ascii="宋体" w:hAnsi="宋体" w:cs="宋体"/>
          <w:color w:val="auto"/>
          <w:szCs w:val="21"/>
          <w:highlight w:val="none"/>
        </w:rPr>
      </w:pPr>
    </w:p>
    <w:p>
      <w:pPr>
        <w:rPr>
          <w:color w:val="auto"/>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rPr>
      </w:pPr>
      <w:r>
        <w:rPr>
          <w:rFonts w:hint="eastAsia" w:ascii="宋体" w:hAnsi="宋体" w:cs="宋体"/>
          <w:color w:val="auto"/>
          <w:szCs w:val="21"/>
          <w:highlight w:val="none"/>
        </w:rPr>
        <w:t>日      期：</w:t>
      </w:r>
      <w:bookmarkEnd w:id="573"/>
      <w:bookmarkEnd w:id="574"/>
      <w:r>
        <w:rPr>
          <w:rFonts w:hint="eastAsia" w:ascii="宋体" w:hAnsi="宋体" w:cs="宋体"/>
          <w:color w:val="auto"/>
          <w:szCs w:val="21"/>
          <w:highlight w:val="none"/>
        </w:rPr>
        <w:br w:type="page"/>
      </w:r>
    </w:p>
    <w:p>
      <w:pPr>
        <w:pStyle w:val="6"/>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2.3.</w:t>
      </w:r>
      <w:r>
        <w:rPr>
          <w:rFonts w:hint="eastAsia" w:ascii="宋体" w:hAnsi="宋体" w:cs="宋体"/>
          <w:color w:val="auto"/>
          <w:sz w:val="21"/>
          <w:szCs w:val="21"/>
          <w:highlight w:val="none"/>
          <w:lang w:val="en-US" w:eastAsia="zh-CN"/>
        </w:rPr>
        <w:t>3成功案例及业绩</w:t>
      </w:r>
      <w:r>
        <w:rPr>
          <w:rFonts w:hint="eastAsia" w:ascii="宋体" w:hAnsi="宋体" w:cs="宋体"/>
          <w:color w:val="auto"/>
          <w:sz w:val="21"/>
          <w:szCs w:val="21"/>
          <w:highlight w:val="none"/>
        </w:rPr>
        <w:t>（格式自行设计）</w:t>
      </w:r>
    </w:p>
    <w:p>
      <w:pPr>
        <w:spacing w:line="400" w:lineRule="exact"/>
        <w:rPr>
          <w:rFonts w:ascii="宋体" w:hAnsi="宋体" w:cs="宋体"/>
          <w:b/>
          <w:bCs/>
          <w:color w:val="auto"/>
          <w:szCs w:val="21"/>
          <w:highlight w:val="none"/>
        </w:rPr>
      </w:pPr>
    </w:p>
    <w:p>
      <w:pPr>
        <w:pStyle w:val="16"/>
        <w:spacing w:line="400" w:lineRule="exact"/>
        <w:ind w:left="0" w:leftChars="0"/>
        <w:rPr>
          <w:rFonts w:ascii="宋体" w:hAnsi="宋体" w:cs="宋体"/>
          <w:b/>
          <w:bCs/>
          <w:color w:val="auto"/>
          <w:szCs w:val="21"/>
          <w:highlight w:val="none"/>
        </w:rPr>
      </w:pPr>
    </w:p>
    <w:p>
      <w:pPr>
        <w:spacing w:line="400" w:lineRule="exact"/>
        <w:rPr>
          <w:rFonts w:ascii="宋体" w:hAnsi="宋体" w:cs="宋体"/>
          <w:color w:val="auto"/>
          <w:szCs w:val="21"/>
          <w:highlight w:val="none"/>
        </w:rPr>
      </w:pPr>
    </w:p>
    <w:p>
      <w:pPr>
        <w:pStyle w:val="16"/>
        <w:spacing w:line="400" w:lineRule="exact"/>
        <w:ind w:left="0" w:leftChars="0"/>
        <w:rPr>
          <w:rFonts w:ascii="宋体" w:hAnsi="宋体" w:cs="宋体"/>
          <w:color w:val="auto"/>
          <w:szCs w:val="21"/>
          <w:highlight w:val="none"/>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spacing w:line="400" w:lineRule="exact"/>
        <w:rPr>
          <w:rFonts w:ascii="宋体" w:hAnsi="宋体" w:cs="宋体"/>
          <w:b/>
          <w:bCs/>
          <w:color w:val="auto"/>
          <w:kern w:val="0"/>
          <w:szCs w:val="21"/>
          <w:highlight w:val="none"/>
          <w:lang w:val="zh-CN"/>
        </w:rPr>
      </w:pPr>
    </w:p>
    <w:p>
      <w:pPr>
        <w:spacing w:line="400" w:lineRule="exact"/>
        <w:rPr>
          <w:rFonts w:ascii="宋体" w:hAnsi="宋体" w:cs="宋体"/>
          <w:b/>
          <w:bCs/>
          <w:color w:val="auto"/>
          <w:kern w:val="0"/>
          <w:szCs w:val="21"/>
          <w:highlight w:val="none"/>
          <w:lang w:val="zh-CN"/>
        </w:rPr>
      </w:pPr>
    </w:p>
    <w:p>
      <w:pPr>
        <w:spacing w:line="400" w:lineRule="exact"/>
        <w:rPr>
          <w:rFonts w:ascii="宋体" w:hAnsi="宋体" w:cs="宋体"/>
          <w:b/>
          <w:bCs/>
          <w:color w:val="auto"/>
          <w:kern w:val="0"/>
          <w:szCs w:val="21"/>
          <w:highlight w:val="none"/>
          <w:lang w:val="zh-CN"/>
        </w:rPr>
      </w:pPr>
    </w:p>
    <w:p>
      <w:pPr>
        <w:spacing w:line="400" w:lineRule="exact"/>
        <w:outlineLvl w:val="3"/>
        <w:rPr>
          <w:rFonts w:ascii="宋体" w:hAnsi="宋体" w:cs="宋体"/>
          <w:color w:val="auto"/>
          <w:sz w:val="21"/>
          <w:szCs w:val="21"/>
          <w:highlight w:val="none"/>
        </w:rPr>
      </w:pPr>
      <w:r>
        <w:rPr>
          <w:rFonts w:hint="eastAsia" w:ascii="宋体" w:hAnsi="宋体" w:cs="宋体"/>
          <w:b/>
          <w:bCs/>
          <w:color w:val="auto"/>
          <w:szCs w:val="21"/>
          <w:highlight w:val="none"/>
          <w:lang w:val="zh-CN"/>
        </w:rPr>
        <w:t>2.3.</w:t>
      </w:r>
      <w:r>
        <w:rPr>
          <w:rFonts w:hint="eastAsia" w:ascii="宋体" w:hAnsi="宋体" w:cs="宋体"/>
          <w:b/>
          <w:bCs/>
          <w:color w:val="auto"/>
          <w:szCs w:val="21"/>
          <w:highlight w:val="none"/>
          <w:lang w:val="en-US" w:eastAsia="zh-CN"/>
        </w:rPr>
        <w:t>4需求理解</w:t>
      </w:r>
      <w:r>
        <w:rPr>
          <w:rFonts w:hint="eastAsia" w:ascii="宋体" w:hAnsi="宋体" w:cs="宋体"/>
          <w:b/>
          <w:bCs/>
          <w:color w:val="auto"/>
          <w:szCs w:val="21"/>
          <w:highlight w:val="none"/>
          <w:lang w:val="zh-CN"/>
        </w:rPr>
        <w:t>（格式自行设计）</w:t>
      </w:r>
    </w:p>
    <w:p>
      <w:pPr>
        <w:pStyle w:val="146"/>
        <w:spacing w:line="400" w:lineRule="exact"/>
        <w:ind w:firstLine="480"/>
        <w:jc w:val="right"/>
        <w:rPr>
          <w:rFonts w:ascii="宋体" w:hAnsi="宋体" w:cs="宋体"/>
          <w:color w:val="auto"/>
          <w:szCs w:val="21"/>
          <w:highlight w:val="none"/>
        </w:rPr>
      </w:pPr>
    </w:p>
    <w:p>
      <w:pPr>
        <w:pStyle w:val="146"/>
        <w:spacing w:line="400" w:lineRule="exact"/>
        <w:ind w:firstLine="480"/>
        <w:jc w:val="right"/>
        <w:rPr>
          <w:rFonts w:ascii="宋体" w:hAnsi="宋体" w:cs="宋体"/>
          <w:color w:val="auto"/>
          <w:szCs w:val="21"/>
          <w:highlight w:val="none"/>
        </w:rPr>
      </w:pPr>
    </w:p>
    <w:p>
      <w:pPr>
        <w:pStyle w:val="146"/>
        <w:spacing w:line="400" w:lineRule="exact"/>
        <w:ind w:firstLine="480"/>
        <w:jc w:val="right"/>
        <w:rPr>
          <w:rFonts w:ascii="宋体" w:hAnsi="宋体" w:cs="宋体"/>
          <w:color w:val="auto"/>
          <w:szCs w:val="21"/>
          <w:highlight w:val="none"/>
        </w:rPr>
      </w:pPr>
    </w:p>
    <w:p>
      <w:pPr>
        <w:pStyle w:val="146"/>
        <w:spacing w:line="400" w:lineRule="exact"/>
        <w:ind w:firstLine="480"/>
        <w:jc w:val="right"/>
        <w:rPr>
          <w:rFonts w:ascii="宋体" w:hAnsi="宋体" w:cs="宋体"/>
          <w:color w:val="auto"/>
          <w:szCs w:val="21"/>
          <w:highlight w:val="none"/>
        </w:rPr>
      </w:pPr>
    </w:p>
    <w:p>
      <w:pPr>
        <w:pStyle w:val="146"/>
        <w:spacing w:line="400" w:lineRule="exact"/>
        <w:ind w:firstLine="480"/>
        <w:jc w:val="right"/>
        <w:rPr>
          <w:rFonts w:ascii="宋体" w:hAnsi="宋体" w:cs="宋体"/>
          <w:color w:val="auto"/>
          <w:szCs w:val="21"/>
          <w:highlight w:val="none"/>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 w:val="21"/>
          <w:szCs w:val="21"/>
          <w:highlight w:val="none"/>
        </w:rPr>
      </w:pPr>
      <w:r>
        <w:rPr>
          <w:rFonts w:hint="eastAsia" w:ascii="宋体" w:hAnsi="宋体" w:cs="宋体"/>
          <w:color w:val="auto"/>
          <w:szCs w:val="21"/>
          <w:highlight w:val="none"/>
        </w:rPr>
        <w:t>日      期</w:t>
      </w:r>
    </w:p>
    <w:p>
      <w:pPr>
        <w:pStyle w:val="215"/>
        <w:widowControl w:val="0"/>
        <w:spacing w:line="400" w:lineRule="exact"/>
        <w:jc w:val="both"/>
        <w:rPr>
          <w:rFonts w:ascii="宋体" w:hAnsi="宋体" w:cs="宋体"/>
          <w:b/>
          <w:bCs/>
          <w:color w:val="auto"/>
          <w:sz w:val="21"/>
          <w:szCs w:val="21"/>
          <w:highlight w:val="none"/>
        </w:rPr>
      </w:pPr>
    </w:p>
    <w:p>
      <w:pPr>
        <w:pStyle w:val="215"/>
        <w:widowControl w:val="0"/>
        <w:spacing w:line="400" w:lineRule="exact"/>
        <w:jc w:val="both"/>
        <w:rPr>
          <w:rFonts w:ascii="宋体" w:hAnsi="宋体" w:cs="宋体"/>
          <w:b/>
          <w:bCs/>
          <w:color w:val="auto"/>
          <w:sz w:val="21"/>
          <w:szCs w:val="21"/>
          <w:highlight w:val="none"/>
        </w:rPr>
      </w:pPr>
    </w:p>
    <w:p>
      <w:pPr>
        <w:pStyle w:val="215"/>
        <w:widowControl w:val="0"/>
        <w:spacing w:line="400" w:lineRule="exact"/>
        <w:jc w:val="both"/>
        <w:outlineLvl w:val="3"/>
        <w:rPr>
          <w:rFonts w:ascii="宋体" w:hAnsi="宋体" w:cs="宋体"/>
          <w:b/>
          <w:bCs/>
          <w:color w:val="auto"/>
          <w:sz w:val="21"/>
          <w:szCs w:val="21"/>
          <w:highlight w:val="none"/>
        </w:rPr>
      </w:pPr>
      <w:r>
        <w:rPr>
          <w:rFonts w:hint="eastAsia" w:ascii="宋体" w:hAnsi="宋体" w:cs="宋体"/>
          <w:b/>
          <w:bCs/>
          <w:color w:val="auto"/>
          <w:sz w:val="21"/>
          <w:szCs w:val="21"/>
          <w:highlight w:val="none"/>
        </w:rPr>
        <w:t>2.3</w:t>
      </w:r>
      <w:r>
        <w:rPr>
          <w:rFonts w:hint="eastAsia" w:ascii="宋体" w:hAnsi="宋体" w:cs="宋体"/>
          <w:b/>
          <w:bCs/>
          <w:color w:val="auto"/>
          <w:sz w:val="21"/>
          <w:szCs w:val="21"/>
          <w:highlight w:val="none"/>
          <w:lang w:val="en-US" w:eastAsia="zh-CN"/>
        </w:rPr>
        <w:t>.5总体设计</w:t>
      </w:r>
      <w:r>
        <w:rPr>
          <w:rFonts w:hint="eastAsia" w:ascii="宋体" w:hAnsi="宋体" w:cs="宋体"/>
          <w:b/>
          <w:bCs/>
          <w:color w:val="auto"/>
          <w:sz w:val="21"/>
          <w:szCs w:val="21"/>
          <w:highlight w:val="none"/>
        </w:rPr>
        <w:t>（格式自行设计）</w:t>
      </w:r>
    </w:p>
    <w:p>
      <w:pPr>
        <w:pStyle w:val="15"/>
        <w:tabs>
          <w:tab w:val="left" w:pos="208"/>
        </w:tabs>
        <w:spacing w:after="0"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pStyle w:val="16"/>
        <w:spacing w:line="400" w:lineRule="exact"/>
        <w:ind w:left="0" w:leftChars="0"/>
        <w:rPr>
          <w:rFonts w:ascii="宋体" w:hAnsi="宋体" w:cs="宋体"/>
          <w:color w:val="auto"/>
          <w:szCs w:val="21"/>
          <w:highlight w:val="none"/>
        </w:rPr>
      </w:pPr>
    </w:p>
    <w:p>
      <w:pPr>
        <w:spacing w:line="400" w:lineRule="exact"/>
        <w:rPr>
          <w:rFonts w:ascii="宋体" w:hAnsi="宋体" w:cs="宋体"/>
          <w:color w:val="auto"/>
          <w:szCs w:val="21"/>
          <w:highlight w:val="none"/>
        </w:rPr>
      </w:pPr>
    </w:p>
    <w:p>
      <w:pPr>
        <w:pStyle w:val="5"/>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pStyle w:val="16"/>
        <w:spacing w:line="400" w:lineRule="exact"/>
        <w:ind w:left="0" w:leftChars="0"/>
        <w:rPr>
          <w:rFonts w:ascii="宋体" w:hAnsi="宋体" w:cs="宋体"/>
          <w:color w:val="auto"/>
          <w:szCs w:val="21"/>
          <w:highlight w:val="none"/>
        </w:rPr>
      </w:pPr>
    </w:p>
    <w:p>
      <w:pPr>
        <w:spacing w:line="400" w:lineRule="exact"/>
        <w:rPr>
          <w:rFonts w:ascii="宋体" w:hAnsi="宋体" w:cs="宋体"/>
          <w:color w:val="auto"/>
          <w:szCs w:val="21"/>
          <w:highlight w:val="none"/>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pStyle w:val="6"/>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2.3.</w:t>
      </w:r>
      <w:r>
        <w:rPr>
          <w:rFonts w:hint="eastAsia" w:ascii="宋体" w:hAnsi="宋体" w:cs="宋体"/>
          <w:color w:val="auto"/>
          <w:sz w:val="21"/>
          <w:szCs w:val="21"/>
          <w:highlight w:val="none"/>
          <w:lang w:val="en-US" w:eastAsia="zh-CN"/>
        </w:rPr>
        <w:t>6技术偏离</w:t>
      </w:r>
      <w:r>
        <w:rPr>
          <w:rFonts w:hint="eastAsia" w:ascii="宋体" w:hAnsi="宋体" w:cs="宋体"/>
          <w:color w:val="auto"/>
          <w:sz w:val="21"/>
          <w:szCs w:val="21"/>
          <w:highlight w:val="none"/>
        </w:rPr>
        <w:t>（格式自行设计）</w:t>
      </w:r>
    </w:p>
    <w:p>
      <w:pPr>
        <w:spacing w:line="400" w:lineRule="exact"/>
        <w:rPr>
          <w:rFonts w:ascii="宋体" w:hAnsi="宋体" w:cs="宋体"/>
          <w:color w:val="auto"/>
          <w:szCs w:val="21"/>
          <w:highlight w:val="none"/>
        </w:rPr>
      </w:pPr>
    </w:p>
    <w:p>
      <w:pPr>
        <w:pStyle w:val="16"/>
        <w:spacing w:line="400" w:lineRule="exact"/>
        <w:ind w:left="0" w:leftChars="0"/>
        <w:rPr>
          <w:rFonts w:ascii="宋体" w:hAnsi="宋体" w:cs="宋体"/>
          <w:color w:val="auto"/>
          <w:szCs w:val="21"/>
          <w:highlight w:val="none"/>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spacing w:line="400" w:lineRule="exact"/>
        <w:jc w:val="left"/>
        <w:rPr>
          <w:rFonts w:ascii="宋体" w:hAnsi="宋体" w:cs="宋体"/>
          <w:b/>
          <w:bCs/>
          <w:color w:val="auto"/>
          <w:szCs w:val="21"/>
          <w:highlight w:val="none"/>
        </w:rPr>
      </w:pPr>
    </w:p>
    <w:p>
      <w:pPr>
        <w:pStyle w:val="6"/>
        <w:spacing w:line="400" w:lineRule="exact"/>
        <w:rPr>
          <w:rFonts w:hint="default" w:ascii="宋体" w:hAnsi="宋体" w:eastAsia="宋体" w:cs="宋体"/>
          <w:b/>
          <w:bCs/>
          <w:color w:val="auto"/>
          <w:kern w:val="2"/>
          <w:sz w:val="21"/>
          <w:szCs w:val="21"/>
          <w:highlight w:val="none"/>
          <w:lang w:val="en-US" w:eastAsia="zh-CN" w:bidi="ar-SA"/>
        </w:rPr>
      </w:pPr>
      <w:bookmarkStart w:id="575" w:name="_Toc22331"/>
      <w:r>
        <w:rPr>
          <w:rFonts w:hint="eastAsia" w:ascii="宋体" w:hAnsi="宋体" w:cs="宋体"/>
          <w:color w:val="auto"/>
          <w:sz w:val="21"/>
          <w:szCs w:val="21"/>
          <w:highlight w:val="none"/>
        </w:rPr>
        <w:t>2.3.</w:t>
      </w:r>
      <w:bookmarkEnd w:id="575"/>
      <w:r>
        <w:rPr>
          <w:rFonts w:hint="eastAsia" w:ascii="宋体" w:hAnsi="宋体" w:cs="宋体"/>
          <w:b/>
          <w:bCs/>
          <w:color w:val="auto"/>
          <w:kern w:val="2"/>
          <w:sz w:val="21"/>
          <w:szCs w:val="21"/>
          <w:highlight w:val="none"/>
          <w:lang w:val="en-US" w:eastAsia="zh-CN" w:bidi="ar-SA"/>
        </w:rPr>
        <w:t>7项目实施方案</w:t>
      </w:r>
      <w:r>
        <w:rPr>
          <w:rFonts w:hint="eastAsia" w:ascii="宋体" w:hAnsi="宋体" w:eastAsia="宋体" w:cs="宋体"/>
          <w:b/>
          <w:bCs/>
          <w:color w:val="auto"/>
          <w:kern w:val="2"/>
          <w:sz w:val="21"/>
          <w:szCs w:val="21"/>
          <w:highlight w:val="none"/>
          <w:lang w:val="en-US" w:eastAsia="zh-CN" w:bidi="ar-SA"/>
        </w:rPr>
        <w:t>（格式自行设计）</w:t>
      </w:r>
    </w:p>
    <w:p>
      <w:pPr>
        <w:pStyle w:val="55"/>
        <w:rPr>
          <w:rFonts w:hint="eastAsia" w:ascii="宋体" w:hAnsi="宋体" w:cs="宋体"/>
          <w:color w:val="auto"/>
          <w:sz w:val="21"/>
          <w:szCs w:val="21"/>
          <w:highlight w:val="none"/>
          <w:lang w:val="zh-CN"/>
        </w:rPr>
      </w:pPr>
    </w:p>
    <w:p>
      <w:pPr>
        <w:rPr>
          <w:rFonts w:hint="eastAsia" w:ascii="宋体" w:hAnsi="宋体" w:cs="宋体"/>
          <w:color w:val="auto"/>
          <w:sz w:val="21"/>
          <w:szCs w:val="21"/>
          <w:highlight w:val="none"/>
          <w:lang w:val="zh-CN"/>
        </w:rPr>
      </w:pPr>
    </w:p>
    <w:p>
      <w:pPr>
        <w:pStyle w:val="55"/>
        <w:rPr>
          <w:rFonts w:hint="eastAsia"/>
          <w:color w:val="auto"/>
          <w:highlight w:val="none"/>
          <w:lang w:val="zh-CN"/>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hint="eastAsia" w:ascii="宋体" w:hAnsi="宋体" w:cs="宋体"/>
          <w:color w:val="auto"/>
          <w:szCs w:val="21"/>
          <w:highlight w:val="none"/>
        </w:rPr>
      </w:pPr>
      <w:r>
        <w:rPr>
          <w:rFonts w:hint="eastAsia" w:ascii="宋体" w:hAnsi="宋体" w:cs="宋体"/>
          <w:color w:val="auto"/>
          <w:szCs w:val="21"/>
          <w:highlight w:val="none"/>
        </w:rPr>
        <w:t>日      期：</w:t>
      </w:r>
    </w:p>
    <w:p>
      <w:pPr>
        <w:rPr>
          <w:rFonts w:hint="eastAsia" w:ascii="宋体" w:hAnsi="宋体" w:cs="宋体"/>
          <w:color w:val="auto"/>
          <w:sz w:val="21"/>
          <w:szCs w:val="21"/>
          <w:highlight w:val="none"/>
          <w:lang w:val="zh-CN"/>
        </w:rPr>
      </w:pPr>
    </w:p>
    <w:p>
      <w:pPr>
        <w:pStyle w:val="6"/>
        <w:spacing w:line="400" w:lineRule="exact"/>
        <w:rPr>
          <w:rFonts w:hint="default" w:ascii="宋体" w:hAnsi="宋体" w:eastAsia="宋体" w:cs="宋体"/>
          <w:b/>
          <w:bCs/>
          <w:color w:val="auto"/>
          <w:kern w:val="2"/>
          <w:sz w:val="21"/>
          <w:szCs w:val="21"/>
          <w:highlight w:val="none"/>
          <w:lang w:val="en-US" w:eastAsia="zh-CN" w:bidi="ar-SA"/>
        </w:rPr>
      </w:pPr>
      <w:r>
        <w:rPr>
          <w:rFonts w:hint="eastAsia" w:ascii="宋体" w:hAnsi="宋体" w:cs="宋体"/>
          <w:color w:val="auto"/>
          <w:sz w:val="21"/>
          <w:szCs w:val="21"/>
          <w:highlight w:val="none"/>
        </w:rPr>
        <w:t>2.3.</w:t>
      </w:r>
      <w:r>
        <w:rPr>
          <w:rFonts w:hint="eastAsia" w:ascii="宋体" w:hAnsi="宋体" w:cs="宋体"/>
          <w:color w:val="auto"/>
          <w:sz w:val="21"/>
          <w:szCs w:val="21"/>
          <w:highlight w:val="none"/>
          <w:lang w:val="en-US" w:eastAsia="zh-CN"/>
        </w:rPr>
        <w:t>8人员配置</w:t>
      </w:r>
      <w:r>
        <w:rPr>
          <w:rFonts w:hint="eastAsia" w:ascii="宋体" w:hAnsi="宋体" w:eastAsia="宋体" w:cs="宋体"/>
          <w:b/>
          <w:bCs/>
          <w:color w:val="auto"/>
          <w:kern w:val="2"/>
          <w:sz w:val="21"/>
          <w:szCs w:val="21"/>
          <w:highlight w:val="none"/>
          <w:lang w:val="en-US" w:eastAsia="zh-CN" w:bidi="ar-SA"/>
        </w:rPr>
        <w:t>（格式自行设计）</w:t>
      </w:r>
    </w:p>
    <w:p>
      <w:pPr>
        <w:pStyle w:val="55"/>
        <w:rPr>
          <w:rFonts w:hint="eastAsia" w:ascii="宋体" w:hAnsi="宋体" w:cs="宋体"/>
          <w:color w:val="auto"/>
          <w:sz w:val="21"/>
          <w:szCs w:val="21"/>
          <w:highlight w:val="none"/>
          <w:lang w:val="zh-CN"/>
        </w:rPr>
      </w:pPr>
    </w:p>
    <w:p>
      <w:pPr>
        <w:rPr>
          <w:rFonts w:hint="eastAsia" w:ascii="宋体" w:hAnsi="宋体" w:cs="宋体"/>
          <w:color w:val="auto"/>
          <w:sz w:val="21"/>
          <w:szCs w:val="21"/>
          <w:highlight w:val="none"/>
          <w:lang w:val="zh-CN"/>
        </w:rPr>
      </w:pPr>
    </w:p>
    <w:p>
      <w:pPr>
        <w:pStyle w:val="55"/>
        <w:rPr>
          <w:rFonts w:hint="eastAsia"/>
          <w:color w:val="auto"/>
          <w:highlight w:val="none"/>
          <w:lang w:val="zh-CN"/>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hint="eastAsia" w:ascii="宋体" w:hAnsi="宋体" w:cs="宋体"/>
          <w:color w:val="auto"/>
          <w:szCs w:val="21"/>
          <w:highlight w:val="none"/>
        </w:rPr>
      </w:pPr>
      <w:r>
        <w:rPr>
          <w:rFonts w:hint="eastAsia" w:ascii="宋体" w:hAnsi="宋体" w:cs="宋体"/>
          <w:color w:val="auto"/>
          <w:szCs w:val="21"/>
          <w:highlight w:val="none"/>
        </w:rPr>
        <w:t>日      期：</w:t>
      </w:r>
    </w:p>
    <w:p>
      <w:pPr>
        <w:pStyle w:val="6"/>
        <w:spacing w:line="400" w:lineRule="exact"/>
        <w:rPr>
          <w:rFonts w:hint="default" w:ascii="宋体" w:hAnsi="宋体" w:eastAsia="宋体" w:cs="宋体"/>
          <w:b/>
          <w:bCs/>
          <w:color w:val="auto"/>
          <w:kern w:val="2"/>
          <w:sz w:val="21"/>
          <w:szCs w:val="21"/>
          <w:highlight w:val="none"/>
          <w:lang w:val="en-US" w:eastAsia="zh-CN" w:bidi="ar-SA"/>
        </w:rPr>
      </w:pPr>
      <w:r>
        <w:rPr>
          <w:rFonts w:hint="eastAsia" w:ascii="宋体" w:hAnsi="宋体" w:cs="宋体"/>
          <w:color w:val="auto"/>
          <w:sz w:val="21"/>
          <w:szCs w:val="21"/>
          <w:highlight w:val="none"/>
        </w:rPr>
        <w:t>2.3.</w:t>
      </w:r>
      <w:r>
        <w:rPr>
          <w:rFonts w:hint="eastAsia" w:ascii="宋体" w:hAnsi="宋体" w:cs="宋体"/>
          <w:b/>
          <w:bCs/>
          <w:color w:val="auto"/>
          <w:kern w:val="2"/>
          <w:sz w:val="21"/>
          <w:szCs w:val="21"/>
          <w:highlight w:val="none"/>
          <w:lang w:val="en-US" w:eastAsia="zh-CN" w:bidi="ar-SA"/>
        </w:rPr>
        <w:t>9培训方案</w:t>
      </w:r>
      <w:r>
        <w:rPr>
          <w:rFonts w:hint="eastAsia" w:ascii="宋体" w:hAnsi="宋体" w:eastAsia="宋体" w:cs="宋体"/>
          <w:b/>
          <w:bCs/>
          <w:color w:val="auto"/>
          <w:kern w:val="2"/>
          <w:sz w:val="21"/>
          <w:szCs w:val="21"/>
          <w:highlight w:val="none"/>
          <w:lang w:val="en-US" w:eastAsia="zh-CN" w:bidi="ar-SA"/>
        </w:rPr>
        <w:t>（格式自行设计）</w:t>
      </w:r>
    </w:p>
    <w:p>
      <w:pPr>
        <w:pStyle w:val="55"/>
        <w:rPr>
          <w:rFonts w:hint="eastAsia" w:ascii="宋体" w:hAnsi="宋体" w:cs="宋体"/>
          <w:color w:val="auto"/>
          <w:sz w:val="21"/>
          <w:szCs w:val="21"/>
          <w:highlight w:val="none"/>
          <w:lang w:val="zh-CN"/>
        </w:rPr>
      </w:pPr>
    </w:p>
    <w:p>
      <w:pPr>
        <w:rPr>
          <w:rFonts w:hint="eastAsia" w:ascii="宋体" w:hAnsi="宋体" w:cs="宋体"/>
          <w:color w:val="auto"/>
          <w:sz w:val="21"/>
          <w:szCs w:val="21"/>
          <w:highlight w:val="none"/>
          <w:lang w:val="zh-CN"/>
        </w:rPr>
      </w:pPr>
    </w:p>
    <w:p>
      <w:pPr>
        <w:pStyle w:val="55"/>
        <w:rPr>
          <w:rFonts w:hint="eastAsia"/>
          <w:color w:val="auto"/>
          <w:highlight w:val="none"/>
          <w:lang w:val="zh-CN"/>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hint="eastAsia" w:ascii="宋体" w:hAnsi="宋体" w:cs="宋体"/>
          <w:color w:val="auto"/>
          <w:szCs w:val="21"/>
          <w:highlight w:val="none"/>
        </w:rPr>
      </w:pPr>
      <w:r>
        <w:rPr>
          <w:rFonts w:hint="eastAsia" w:ascii="宋体" w:hAnsi="宋体" w:cs="宋体"/>
          <w:color w:val="auto"/>
          <w:szCs w:val="21"/>
          <w:highlight w:val="none"/>
        </w:rPr>
        <w:t>日      期：</w:t>
      </w:r>
    </w:p>
    <w:p>
      <w:pPr>
        <w:pStyle w:val="55"/>
        <w:rPr>
          <w:rFonts w:hint="eastAsia" w:ascii="宋体" w:hAnsi="宋体" w:cs="宋体"/>
          <w:color w:val="auto"/>
          <w:sz w:val="21"/>
          <w:szCs w:val="21"/>
          <w:highlight w:val="none"/>
          <w:lang w:val="zh-CN"/>
        </w:rPr>
      </w:pPr>
    </w:p>
    <w:p>
      <w:pPr>
        <w:rPr>
          <w:rFonts w:hint="eastAsia" w:ascii="宋体" w:hAnsi="宋体" w:cs="宋体"/>
          <w:color w:val="auto"/>
          <w:sz w:val="21"/>
          <w:szCs w:val="21"/>
          <w:highlight w:val="none"/>
          <w:lang w:val="zh-CN"/>
        </w:rPr>
      </w:pPr>
    </w:p>
    <w:p>
      <w:pPr>
        <w:pStyle w:val="6"/>
        <w:spacing w:line="400" w:lineRule="exact"/>
        <w:rPr>
          <w:rFonts w:hint="default" w:ascii="宋体" w:hAnsi="宋体" w:eastAsia="宋体" w:cs="宋体"/>
          <w:b/>
          <w:bCs/>
          <w:color w:val="auto"/>
          <w:kern w:val="2"/>
          <w:sz w:val="21"/>
          <w:szCs w:val="21"/>
          <w:highlight w:val="none"/>
          <w:lang w:val="en-US" w:eastAsia="zh-CN" w:bidi="ar-SA"/>
        </w:rPr>
      </w:pPr>
      <w:r>
        <w:rPr>
          <w:rFonts w:hint="eastAsia" w:ascii="宋体" w:hAnsi="宋体" w:cs="宋体"/>
          <w:color w:val="auto"/>
          <w:sz w:val="21"/>
          <w:szCs w:val="21"/>
          <w:highlight w:val="none"/>
        </w:rPr>
        <w:t>2.3.</w:t>
      </w:r>
      <w:r>
        <w:rPr>
          <w:rFonts w:hint="eastAsia" w:ascii="宋体" w:hAnsi="宋体" w:cs="宋体"/>
          <w:b/>
          <w:bCs/>
          <w:color w:val="auto"/>
          <w:kern w:val="2"/>
          <w:sz w:val="21"/>
          <w:szCs w:val="21"/>
          <w:highlight w:val="none"/>
          <w:lang w:val="en-US" w:eastAsia="zh-CN" w:bidi="ar-SA"/>
        </w:rPr>
        <w:t>10突发事件应急预案</w:t>
      </w:r>
      <w:r>
        <w:rPr>
          <w:rFonts w:hint="eastAsia" w:ascii="宋体" w:hAnsi="宋体" w:eastAsia="宋体" w:cs="宋体"/>
          <w:b/>
          <w:bCs/>
          <w:color w:val="auto"/>
          <w:kern w:val="2"/>
          <w:sz w:val="21"/>
          <w:szCs w:val="21"/>
          <w:highlight w:val="none"/>
          <w:lang w:val="en-US" w:eastAsia="zh-CN" w:bidi="ar-SA"/>
        </w:rPr>
        <w:t>（格式自行设计）</w:t>
      </w:r>
    </w:p>
    <w:p>
      <w:pPr>
        <w:pStyle w:val="55"/>
        <w:rPr>
          <w:rFonts w:hint="eastAsia" w:ascii="宋体" w:hAnsi="宋体" w:cs="宋体"/>
          <w:color w:val="auto"/>
          <w:sz w:val="21"/>
          <w:szCs w:val="21"/>
          <w:highlight w:val="none"/>
          <w:lang w:val="zh-CN"/>
        </w:rPr>
      </w:pPr>
    </w:p>
    <w:p>
      <w:pPr>
        <w:rPr>
          <w:rFonts w:hint="eastAsia" w:ascii="宋体" w:hAnsi="宋体" w:cs="宋体"/>
          <w:color w:val="auto"/>
          <w:sz w:val="21"/>
          <w:szCs w:val="21"/>
          <w:highlight w:val="none"/>
          <w:lang w:val="zh-CN"/>
        </w:rPr>
      </w:pPr>
    </w:p>
    <w:p>
      <w:pPr>
        <w:pStyle w:val="55"/>
        <w:rPr>
          <w:rFonts w:hint="eastAsia"/>
          <w:color w:val="auto"/>
          <w:highlight w:val="none"/>
          <w:lang w:val="zh-CN"/>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hint="eastAsia" w:ascii="宋体" w:hAnsi="宋体" w:cs="宋体"/>
          <w:color w:val="auto"/>
          <w:szCs w:val="21"/>
          <w:highlight w:val="none"/>
        </w:rPr>
      </w:pPr>
      <w:r>
        <w:rPr>
          <w:rFonts w:hint="eastAsia" w:ascii="宋体" w:hAnsi="宋体" w:cs="宋体"/>
          <w:color w:val="auto"/>
          <w:szCs w:val="21"/>
          <w:highlight w:val="none"/>
        </w:rPr>
        <w:t>日      期：</w:t>
      </w:r>
    </w:p>
    <w:p>
      <w:pPr>
        <w:pStyle w:val="6"/>
        <w:spacing w:line="400" w:lineRule="exact"/>
        <w:rPr>
          <w:rFonts w:hint="default" w:ascii="宋体" w:hAnsi="宋体" w:eastAsia="宋体" w:cs="宋体"/>
          <w:b/>
          <w:bCs/>
          <w:color w:val="auto"/>
          <w:kern w:val="2"/>
          <w:sz w:val="21"/>
          <w:szCs w:val="21"/>
          <w:highlight w:val="none"/>
          <w:lang w:val="en-US" w:eastAsia="zh-CN" w:bidi="ar-SA"/>
        </w:rPr>
      </w:pPr>
      <w:r>
        <w:rPr>
          <w:rFonts w:hint="eastAsia" w:ascii="宋体" w:hAnsi="宋体" w:cs="宋体"/>
          <w:color w:val="auto"/>
          <w:sz w:val="21"/>
          <w:szCs w:val="21"/>
          <w:highlight w:val="none"/>
        </w:rPr>
        <w:t>2.3.</w:t>
      </w:r>
      <w:r>
        <w:rPr>
          <w:rFonts w:hint="eastAsia" w:ascii="宋体" w:hAnsi="宋体" w:cs="宋体"/>
          <w:b/>
          <w:bCs/>
          <w:color w:val="auto"/>
          <w:kern w:val="2"/>
          <w:sz w:val="21"/>
          <w:szCs w:val="21"/>
          <w:highlight w:val="none"/>
          <w:lang w:val="en-US" w:eastAsia="zh-CN" w:bidi="ar-SA"/>
        </w:rPr>
        <w:t>11售后服务方案</w:t>
      </w:r>
      <w:r>
        <w:rPr>
          <w:rFonts w:hint="eastAsia" w:ascii="宋体" w:hAnsi="宋体" w:eastAsia="宋体" w:cs="宋体"/>
          <w:b/>
          <w:bCs/>
          <w:color w:val="auto"/>
          <w:kern w:val="2"/>
          <w:sz w:val="21"/>
          <w:szCs w:val="21"/>
          <w:highlight w:val="none"/>
          <w:lang w:val="en-US" w:eastAsia="zh-CN" w:bidi="ar-SA"/>
        </w:rPr>
        <w:t>（格式自行设计）</w:t>
      </w:r>
    </w:p>
    <w:p>
      <w:pPr>
        <w:pStyle w:val="55"/>
        <w:rPr>
          <w:rFonts w:hint="eastAsia" w:ascii="宋体" w:hAnsi="宋体" w:cs="宋体"/>
          <w:color w:val="auto"/>
          <w:sz w:val="21"/>
          <w:szCs w:val="21"/>
          <w:highlight w:val="none"/>
          <w:lang w:val="zh-CN"/>
        </w:rPr>
      </w:pPr>
    </w:p>
    <w:p>
      <w:pPr>
        <w:rPr>
          <w:rFonts w:hint="eastAsia" w:ascii="宋体" w:hAnsi="宋体" w:cs="宋体"/>
          <w:color w:val="auto"/>
          <w:sz w:val="21"/>
          <w:szCs w:val="21"/>
          <w:highlight w:val="none"/>
          <w:lang w:val="zh-CN"/>
        </w:rPr>
      </w:pPr>
    </w:p>
    <w:p>
      <w:pPr>
        <w:pStyle w:val="55"/>
        <w:rPr>
          <w:rFonts w:hint="eastAsia"/>
          <w:color w:val="auto"/>
          <w:highlight w:val="none"/>
          <w:lang w:val="zh-CN"/>
        </w:rPr>
      </w:pP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供应商盖章：</w:t>
      </w:r>
    </w:p>
    <w:p>
      <w:pPr>
        <w:pStyle w:val="146"/>
        <w:wordWrap w:val="0"/>
        <w:spacing w:line="400" w:lineRule="exact"/>
        <w:ind w:firstLine="480"/>
        <w:jc w:val="right"/>
        <w:rPr>
          <w:rFonts w:hint="eastAsia" w:ascii="宋体" w:hAnsi="宋体" w:cs="宋体"/>
          <w:color w:val="auto"/>
          <w:szCs w:val="21"/>
          <w:highlight w:val="none"/>
        </w:rPr>
      </w:pPr>
      <w:r>
        <w:rPr>
          <w:rFonts w:hint="eastAsia" w:ascii="宋体" w:hAnsi="宋体" w:cs="宋体"/>
          <w:color w:val="auto"/>
          <w:szCs w:val="21"/>
          <w:highlight w:val="none"/>
        </w:rPr>
        <w:t>日      期：</w:t>
      </w:r>
    </w:p>
    <w:p>
      <w:pPr>
        <w:pStyle w:val="55"/>
        <w:rPr>
          <w:rFonts w:hint="eastAsia" w:ascii="宋体" w:hAnsi="宋体" w:cs="宋体"/>
          <w:color w:val="auto"/>
          <w:sz w:val="21"/>
          <w:szCs w:val="21"/>
          <w:highlight w:val="none"/>
          <w:lang w:val="zh-CN"/>
        </w:rPr>
      </w:pPr>
    </w:p>
    <w:p>
      <w:pPr>
        <w:rPr>
          <w:rFonts w:hint="eastAsia" w:ascii="宋体" w:hAnsi="宋体" w:cs="宋体"/>
          <w:color w:val="auto"/>
          <w:sz w:val="21"/>
          <w:szCs w:val="21"/>
          <w:highlight w:val="none"/>
          <w:lang w:val="zh-CN"/>
        </w:rPr>
      </w:pPr>
    </w:p>
    <w:p>
      <w:pPr>
        <w:pStyle w:val="55"/>
        <w:rPr>
          <w:rFonts w:hint="eastAsia" w:ascii="宋体" w:hAnsi="宋体" w:cs="宋体"/>
          <w:color w:val="auto"/>
          <w:sz w:val="21"/>
          <w:szCs w:val="21"/>
          <w:highlight w:val="none"/>
          <w:lang w:val="zh-CN"/>
        </w:rPr>
      </w:pPr>
    </w:p>
    <w:p>
      <w:pPr>
        <w:rPr>
          <w:rFonts w:hint="eastAsia"/>
          <w:color w:val="auto"/>
          <w:highlight w:val="none"/>
          <w:lang w:val="zh-CN"/>
        </w:rPr>
      </w:pPr>
    </w:p>
    <w:p>
      <w:pPr>
        <w:pStyle w:val="6"/>
        <w:spacing w:line="400" w:lineRule="exact"/>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2.3</w:t>
      </w:r>
      <w:r>
        <w:rPr>
          <w:rFonts w:hint="eastAsia" w:ascii="宋体" w:hAnsi="宋体" w:cs="宋体"/>
          <w:b/>
          <w:bCs/>
          <w:color w:val="auto"/>
          <w:kern w:val="2"/>
          <w:sz w:val="21"/>
          <w:szCs w:val="21"/>
          <w:highlight w:val="none"/>
          <w:lang w:val="en-US" w:eastAsia="zh-CN" w:bidi="ar-SA"/>
        </w:rPr>
        <w:t>.12</w:t>
      </w:r>
      <w:r>
        <w:rPr>
          <w:rFonts w:hint="eastAsia" w:ascii="宋体" w:hAnsi="宋体" w:eastAsia="宋体" w:cs="宋体"/>
          <w:b/>
          <w:bCs/>
          <w:color w:val="auto"/>
          <w:kern w:val="2"/>
          <w:sz w:val="21"/>
          <w:szCs w:val="21"/>
          <w:highlight w:val="none"/>
          <w:lang w:val="en-US" w:eastAsia="zh-CN" w:bidi="ar-SA"/>
        </w:rPr>
        <w:t>其他</w:t>
      </w:r>
    </w:p>
    <w:p>
      <w:pPr>
        <w:pStyle w:val="229"/>
        <w:spacing w:line="400" w:lineRule="exact"/>
        <w:ind w:firstLine="420" w:firstLineChars="200"/>
        <w:rPr>
          <w:rFonts w:hAnsi="宋体" w:cs="宋体"/>
          <w:color w:val="auto"/>
          <w:szCs w:val="21"/>
          <w:highlight w:val="none"/>
        </w:rPr>
      </w:pPr>
      <w:r>
        <w:rPr>
          <w:rFonts w:hint="eastAsia" w:hAnsi="宋体" w:cs="宋体"/>
          <w:color w:val="auto"/>
          <w:szCs w:val="21"/>
          <w:highlight w:val="none"/>
        </w:rPr>
        <w:t>除投标文件规定的要求外，供应商还可以提供如下证明材料：</w:t>
      </w:r>
    </w:p>
    <w:p>
      <w:pPr>
        <w:pStyle w:val="229"/>
        <w:spacing w:line="400" w:lineRule="exact"/>
        <w:rPr>
          <w:rFonts w:hAnsi="宋体" w:cs="宋体"/>
          <w:color w:val="auto"/>
          <w:szCs w:val="21"/>
          <w:highlight w:val="none"/>
        </w:rPr>
      </w:pPr>
      <w:r>
        <w:rPr>
          <w:rFonts w:hint="eastAsia" w:hAnsi="宋体" w:cs="宋体"/>
          <w:color w:val="auto"/>
          <w:szCs w:val="21"/>
          <w:highlight w:val="none"/>
        </w:rPr>
        <w:t>（1）资信及商务评标办法要求的其他资料；</w:t>
      </w:r>
    </w:p>
    <w:p>
      <w:pPr>
        <w:pStyle w:val="229"/>
        <w:spacing w:line="400" w:lineRule="exact"/>
        <w:rPr>
          <w:rFonts w:hAnsi="宋体" w:cs="宋体"/>
          <w:color w:val="auto"/>
          <w:szCs w:val="21"/>
          <w:highlight w:val="none"/>
        </w:rPr>
      </w:pPr>
      <w:r>
        <w:rPr>
          <w:rFonts w:hint="eastAsia" w:hAnsi="宋体" w:cs="宋体"/>
          <w:color w:val="auto"/>
          <w:szCs w:val="21"/>
          <w:highlight w:val="none"/>
        </w:rPr>
        <w:t>（2）供应商认为可以证明其资信及商务方面的其他材料，但不得出现报价。</w:t>
      </w:r>
    </w:p>
    <w:p>
      <w:pPr>
        <w:pStyle w:val="5"/>
        <w:spacing w:line="400" w:lineRule="exact"/>
        <w:ind w:firstLine="0"/>
        <w:rPr>
          <w:rFonts w:ascii="宋体" w:hAnsi="宋体" w:cs="宋体"/>
          <w:color w:val="auto"/>
          <w:szCs w:val="21"/>
          <w:highlight w:val="none"/>
        </w:rPr>
        <w:sectPr>
          <w:pgSz w:w="11906" w:h="16838"/>
          <w:pgMar w:top="1440" w:right="1440" w:bottom="1440" w:left="1440" w:header="851" w:footer="851" w:gutter="0"/>
          <w:cols w:space="720" w:num="1"/>
          <w:docGrid w:linePitch="312" w:charSpace="0"/>
        </w:sectPr>
      </w:pPr>
      <w:r>
        <w:rPr>
          <w:rFonts w:hint="eastAsia" w:ascii="宋体" w:hAnsi="宋体" w:cs="宋体"/>
          <w:color w:val="auto"/>
          <w:szCs w:val="21"/>
          <w:highlight w:val="none"/>
        </w:rPr>
        <w:t>（3）格式自拟</w:t>
      </w:r>
    </w:p>
    <w:bookmarkEnd w:id="572"/>
    <w:p>
      <w:pPr>
        <w:spacing w:line="360" w:lineRule="auto"/>
        <w:jc w:val="center"/>
        <w:outlineLvl w:val="1"/>
        <w:rPr>
          <w:rFonts w:ascii="宋体" w:hAnsi="宋体" w:cs="宋体"/>
          <w:color w:val="auto"/>
          <w:sz w:val="32"/>
          <w:szCs w:val="32"/>
          <w:highlight w:val="none"/>
        </w:rPr>
      </w:pPr>
      <w:r>
        <w:rPr>
          <w:rFonts w:hint="eastAsia" w:ascii="宋体" w:hAnsi="宋体" w:cs="宋体"/>
          <w:b/>
          <w:bCs/>
          <w:color w:val="auto"/>
          <w:sz w:val="32"/>
          <w:szCs w:val="32"/>
          <w:highlight w:val="none"/>
        </w:rPr>
        <w:t>三 报价文件格式</w:t>
      </w:r>
    </w:p>
    <w:p>
      <w:pPr>
        <w:spacing w:line="360" w:lineRule="auto"/>
        <w:rPr>
          <w:rFonts w:ascii="宋体" w:hAnsi="宋体" w:cs="宋体"/>
          <w:color w:val="auto"/>
          <w:sz w:val="24"/>
          <w:highlight w:val="none"/>
        </w:rPr>
      </w:pPr>
    </w:p>
    <w:p>
      <w:pPr>
        <w:pStyle w:val="4"/>
        <w:rPr>
          <w:rFonts w:ascii="宋体" w:hAnsi="宋体" w:cs="宋体"/>
          <w:color w:val="auto"/>
          <w:szCs w:val="24"/>
          <w:highlight w:val="none"/>
        </w:rPr>
      </w:pPr>
      <w:bookmarkStart w:id="576" w:name="_Toc1509"/>
      <w:bookmarkStart w:id="577" w:name="_Toc22029285"/>
      <w:bookmarkStart w:id="578" w:name="_Toc5870"/>
      <w:bookmarkStart w:id="579" w:name="_Toc2711"/>
      <w:r>
        <w:rPr>
          <w:rFonts w:hint="eastAsia" w:ascii="宋体" w:hAnsi="宋体" w:cs="宋体"/>
          <w:color w:val="auto"/>
          <w:szCs w:val="24"/>
          <w:highlight w:val="none"/>
        </w:rPr>
        <w:t>3.1 报价文件文件封面格式</w:t>
      </w:r>
      <w:bookmarkEnd w:id="576"/>
      <w:bookmarkEnd w:id="577"/>
      <w:bookmarkEnd w:id="578"/>
      <w:bookmarkEnd w:id="579"/>
    </w:p>
    <w:p>
      <w:pPr>
        <w:pStyle w:val="5"/>
        <w:spacing w:line="360" w:lineRule="auto"/>
        <w:ind w:firstLine="0"/>
        <w:jc w:val="center"/>
        <w:rPr>
          <w:rFonts w:ascii="宋体" w:hAnsi="宋体" w:cs="宋体"/>
          <w:b/>
          <w:color w:val="auto"/>
          <w:sz w:val="32"/>
          <w:szCs w:val="32"/>
          <w:highlight w:val="none"/>
        </w:rPr>
      </w:pPr>
    </w:p>
    <w:p>
      <w:pPr>
        <w:pStyle w:val="5"/>
        <w:spacing w:line="360" w:lineRule="auto"/>
        <w:ind w:firstLine="0"/>
        <w:jc w:val="center"/>
        <w:rPr>
          <w:rFonts w:ascii="宋体" w:hAnsi="宋体" w:cs="宋体"/>
          <w:b/>
          <w:color w:val="auto"/>
          <w:sz w:val="32"/>
          <w:szCs w:val="32"/>
          <w:highlight w:val="none"/>
        </w:rPr>
      </w:pPr>
    </w:p>
    <w:p>
      <w:pPr>
        <w:pStyle w:val="5"/>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投标响应文件</w:t>
      </w:r>
    </w:p>
    <w:p>
      <w:pPr>
        <w:snapToGrid w:val="0"/>
        <w:jc w:val="center"/>
        <w:rPr>
          <w:rFonts w:ascii="宋体" w:hAnsi="宋体" w:cs="宋体"/>
          <w:bCs/>
          <w:color w:val="auto"/>
          <w:sz w:val="24"/>
          <w:szCs w:val="20"/>
          <w:highlight w:val="none"/>
        </w:rPr>
      </w:pPr>
    </w:p>
    <w:p>
      <w:pPr>
        <w:pStyle w:val="5"/>
        <w:rPr>
          <w:rFonts w:ascii="宋体" w:hAnsi="宋体" w:cs="宋体"/>
          <w:color w:val="auto"/>
          <w:highlight w:val="none"/>
        </w:rPr>
      </w:pPr>
    </w:p>
    <w:p>
      <w:pPr>
        <w:pStyle w:val="5"/>
        <w:rPr>
          <w:rFonts w:ascii="宋体" w:hAnsi="宋体" w:cs="宋体"/>
          <w:color w:val="auto"/>
          <w:highlight w:val="none"/>
        </w:rPr>
      </w:pPr>
    </w:p>
    <w:tbl>
      <w:tblPr>
        <w:tblStyle w:val="42"/>
        <w:tblW w:w="0" w:type="auto"/>
        <w:jc w:val="center"/>
        <w:tblLayout w:type="autofit"/>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投标响应文件名称：</w:t>
            </w:r>
          </w:p>
        </w:tc>
        <w:tc>
          <w:tcPr>
            <w:tcW w:w="5142" w:type="dxa"/>
            <w:noWrap/>
            <w:vAlign w:val="center"/>
          </w:tcPr>
          <w:p>
            <w:pPr>
              <w:ind w:left="-103" w:leftChars="-49"/>
              <w:jc w:val="left"/>
              <w:rPr>
                <w:rFonts w:ascii="宋体" w:hAnsi="宋体" w:cs="宋体"/>
                <w:color w:val="auto"/>
                <w:sz w:val="32"/>
                <w:szCs w:val="32"/>
                <w:highlight w:val="none"/>
              </w:rPr>
            </w:pPr>
            <w:r>
              <w:rPr>
                <w:rFonts w:hint="eastAsia" w:ascii="宋体" w:hAnsi="宋体" w:cs="宋体"/>
                <w:color w:val="auto"/>
                <w:sz w:val="24"/>
                <w:highlight w:val="none"/>
                <w:u w:val="single"/>
              </w:rPr>
              <w:t xml:space="preserve">        报价文件           </w:t>
            </w: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采 购 编 号：</w:t>
            </w: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项 目 名 称：</w:t>
            </w: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24"/>
                <w:highlight w:val="none"/>
              </w:rPr>
            </w:pP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24"/>
                <w:highlight w:val="none"/>
              </w:rPr>
            </w:pPr>
          </w:p>
        </w:tc>
        <w:tc>
          <w:tcPr>
            <w:tcW w:w="5142" w:type="dxa"/>
            <w:noWrap/>
            <w:vAlign w:val="center"/>
          </w:tcPr>
          <w:p>
            <w:pPr>
              <w:ind w:left="-103" w:leftChars="-49"/>
              <w:jc w:val="left"/>
              <w:rPr>
                <w:rFonts w:ascii="宋体" w:hAnsi="宋体" w:cs="宋体"/>
                <w:color w:val="auto"/>
                <w:sz w:val="32"/>
                <w:szCs w:val="32"/>
                <w:highlight w:val="none"/>
                <w:u w:val="singl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24"/>
                <w:highlight w:val="none"/>
              </w:rPr>
            </w:pPr>
            <w:r>
              <w:rPr>
                <w:rFonts w:hint="eastAsia" w:ascii="宋体" w:hAnsi="宋体" w:cs="宋体"/>
                <w:color w:val="auto"/>
                <w:sz w:val="24"/>
                <w:highlight w:val="none"/>
              </w:rPr>
              <w:t>供应商全称</w:t>
            </w:r>
          </w:p>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（CA盖章）：</w:t>
            </w:r>
          </w:p>
        </w:tc>
        <w:tc>
          <w:tcPr>
            <w:tcW w:w="5142" w:type="dxa"/>
            <w:noWrap/>
            <w:vAlign w:val="center"/>
          </w:tcPr>
          <w:p>
            <w:pPr>
              <w:ind w:left="-103" w:leftChars="-49"/>
              <w:jc w:val="left"/>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109" w:rightChars="-52"/>
              <w:jc w:val="distribute"/>
              <w:rPr>
                <w:rFonts w:ascii="宋体" w:hAnsi="宋体" w:cs="宋体"/>
                <w:color w:val="auto"/>
                <w:sz w:val="32"/>
                <w:szCs w:val="32"/>
                <w:highlight w:val="none"/>
              </w:rPr>
            </w:pPr>
            <w:r>
              <w:rPr>
                <w:rFonts w:hint="eastAsia" w:ascii="宋体" w:hAnsi="宋体" w:cs="宋体"/>
                <w:color w:val="auto"/>
                <w:sz w:val="24"/>
                <w:highlight w:val="none"/>
              </w:rPr>
              <w:t>供应商地址：</w:t>
            </w:r>
          </w:p>
        </w:tc>
        <w:tc>
          <w:tcPr>
            <w:tcW w:w="5142" w:type="dxa"/>
            <w:noWrap/>
            <w:vAlign w:val="center"/>
          </w:tcPr>
          <w:p>
            <w:pPr>
              <w:ind w:left="-103" w:leftChars="-49"/>
              <w:jc w:val="left"/>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noWrap/>
            <w:vAlign w:val="center"/>
          </w:tcPr>
          <w:p>
            <w:pPr>
              <w:ind w:right="-84" w:rightChars="-40"/>
              <w:rPr>
                <w:rFonts w:ascii="宋体" w:hAnsi="宋体" w:cs="宋体"/>
                <w:color w:val="auto"/>
                <w:sz w:val="32"/>
                <w:szCs w:val="32"/>
                <w:highlight w:val="none"/>
              </w:rPr>
            </w:pPr>
          </w:p>
        </w:tc>
        <w:tc>
          <w:tcPr>
            <w:tcW w:w="5142" w:type="dxa"/>
            <w:noWrap/>
            <w:vAlign w:val="center"/>
          </w:tcPr>
          <w:p>
            <w:pPr>
              <w:ind w:left="-103" w:leftChars="-49"/>
              <w:rPr>
                <w:rFonts w:ascii="宋体" w:hAnsi="宋体" w:cs="宋体"/>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7453" w:type="dxa"/>
            <w:gridSpan w:val="2"/>
            <w:noWrap/>
            <w:vAlign w:val="center"/>
          </w:tcPr>
          <w:p>
            <w:pPr>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tc>
      </w:tr>
    </w:tbl>
    <w:p>
      <w:pPr>
        <w:spacing w:line="360" w:lineRule="auto"/>
        <w:jc w:val="center"/>
        <w:rPr>
          <w:rFonts w:ascii="宋体" w:hAnsi="宋体" w:cs="宋体"/>
          <w:color w:val="auto"/>
          <w:sz w:val="30"/>
          <w:highlight w:val="none"/>
        </w:rPr>
      </w:pPr>
    </w:p>
    <w:p>
      <w:pPr>
        <w:spacing w:line="360" w:lineRule="auto"/>
        <w:jc w:val="center"/>
        <w:rPr>
          <w:rFonts w:ascii="宋体" w:hAnsi="宋体" w:cs="宋体"/>
          <w:color w:val="auto"/>
          <w:sz w:val="30"/>
          <w:highlight w:val="none"/>
        </w:rPr>
      </w:pPr>
    </w:p>
    <w:p>
      <w:pPr>
        <w:pStyle w:val="5"/>
        <w:rPr>
          <w:rFonts w:ascii="宋体" w:hAnsi="宋体" w:cs="宋体"/>
          <w:color w:val="auto"/>
          <w:sz w:val="30"/>
          <w:highlight w:val="none"/>
        </w:rPr>
      </w:pPr>
    </w:p>
    <w:p>
      <w:pPr>
        <w:pStyle w:val="17"/>
        <w:rPr>
          <w:rFonts w:ascii="宋体" w:hAnsi="宋体" w:cs="宋体"/>
          <w:color w:val="auto"/>
          <w:highlight w:val="none"/>
        </w:rPr>
      </w:pPr>
    </w:p>
    <w:p>
      <w:pPr>
        <w:spacing w:line="360" w:lineRule="auto"/>
        <w:jc w:val="center"/>
        <w:rPr>
          <w:rFonts w:ascii="宋体" w:hAnsi="宋体" w:cs="宋体"/>
          <w:color w:val="auto"/>
          <w:sz w:val="30"/>
          <w:highlight w:val="none"/>
        </w:rPr>
      </w:pPr>
    </w:p>
    <w:p>
      <w:pPr>
        <w:pStyle w:val="4"/>
        <w:spacing w:line="400" w:lineRule="exact"/>
        <w:rPr>
          <w:rFonts w:ascii="宋体" w:hAnsi="宋体" w:cs="宋体"/>
          <w:color w:val="auto"/>
          <w:sz w:val="21"/>
          <w:szCs w:val="21"/>
          <w:highlight w:val="none"/>
        </w:rPr>
      </w:pPr>
      <w:bookmarkStart w:id="580" w:name="_Toc22835"/>
      <w:bookmarkStart w:id="581" w:name="_Toc22029286"/>
      <w:bookmarkStart w:id="582" w:name="_Toc10502"/>
      <w:bookmarkStart w:id="583" w:name="_Toc21883"/>
      <w:r>
        <w:rPr>
          <w:rFonts w:hint="eastAsia" w:ascii="宋体" w:hAnsi="宋体" w:cs="宋体"/>
          <w:color w:val="auto"/>
          <w:sz w:val="21"/>
          <w:szCs w:val="21"/>
          <w:highlight w:val="none"/>
        </w:rPr>
        <w:t>3.2 报价文件目录</w:t>
      </w:r>
      <w:bookmarkEnd w:id="580"/>
      <w:bookmarkEnd w:id="581"/>
      <w:bookmarkEnd w:id="582"/>
      <w:bookmarkEnd w:id="583"/>
    </w:p>
    <w:p>
      <w:pPr>
        <w:pStyle w:val="5"/>
        <w:spacing w:line="400" w:lineRule="exact"/>
        <w:ind w:firstLine="0"/>
        <w:rPr>
          <w:rFonts w:ascii="宋体" w:hAnsi="宋体" w:cs="宋体"/>
          <w:color w:val="auto"/>
          <w:szCs w:val="21"/>
          <w:highlight w:val="none"/>
        </w:rPr>
      </w:pPr>
    </w:p>
    <w:p>
      <w:pPr>
        <w:pStyle w:val="5"/>
        <w:spacing w:line="400" w:lineRule="exact"/>
        <w:ind w:firstLine="0"/>
        <w:jc w:val="center"/>
        <w:rPr>
          <w:rFonts w:ascii="宋体" w:hAnsi="宋体" w:cs="宋体"/>
          <w:color w:val="auto"/>
          <w:szCs w:val="21"/>
          <w:highlight w:val="none"/>
        </w:rPr>
      </w:pPr>
      <w:r>
        <w:rPr>
          <w:rFonts w:hint="eastAsia" w:ascii="宋体" w:hAnsi="宋体" w:cs="宋体"/>
          <w:color w:val="auto"/>
          <w:szCs w:val="21"/>
          <w:highlight w:val="none"/>
        </w:rPr>
        <w:t>（格式自行设计）</w:t>
      </w:r>
    </w:p>
    <w:p>
      <w:pPr>
        <w:pStyle w:val="4"/>
        <w:spacing w:line="400" w:lineRule="exact"/>
        <w:rPr>
          <w:rFonts w:ascii="宋体" w:hAnsi="宋体" w:cs="宋体"/>
          <w:color w:val="auto"/>
          <w:sz w:val="21"/>
          <w:szCs w:val="21"/>
          <w:highlight w:val="none"/>
        </w:rPr>
      </w:pPr>
      <w:bookmarkStart w:id="584" w:name="_Toc13798"/>
      <w:bookmarkStart w:id="585" w:name="_Toc28009"/>
      <w:bookmarkStart w:id="586" w:name="_Toc22029287"/>
      <w:bookmarkStart w:id="587" w:name="_Toc6007"/>
      <w:r>
        <w:rPr>
          <w:rFonts w:hint="eastAsia" w:ascii="宋体" w:hAnsi="宋体" w:cs="宋体"/>
          <w:color w:val="auto"/>
          <w:sz w:val="21"/>
          <w:szCs w:val="21"/>
          <w:highlight w:val="none"/>
        </w:rPr>
        <w:t>3.3 开标一览表格式</w:t>
      </w:r>
      <w:bookmarkEnd w:id="584"/>
      <w:bookmarkEnd w:id="585"/>
      <w:bookmarkEnd w:id="586"/>
      <w:bookmarkEnd w:id="587"/>
    </w:p>
    <w:p>
      <w:pPr>
        <w:pStyle w:val="5"/>
        <w:spacing w:line="400" w:lineRule="exact"/>
        <w:ind w:firstLine="0"/>
        <w:jc w:val="center"/>
        <w:rPr>
          <w:rFonts w:ascii="宋体" w:hAnsi="宋体" w:cs="宋体"/>
          <w:b/>
          <w:color w:val="auto"/>
          <w:szCs w:val="21"/>
          <w:highlight w:val="none"/>
        </w:rPr>
      </w:pPr>
      <w:r>
        <w:rPr>
          <w:rFonts w:hint="eastAsia" w:ascii="宋体" w:hAnsi="宋体" w:cs="宋体"/>
          <w:b/>
          <w:color w:val="auto"/>
          <w:szCs w:val="21"/>
          <w:highlight w:val="none"/>
        </w:rPr>
        <w:t>开标一览表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项目编号：</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项目名称：               标项：</w:t>
      </w:r>
      <w:r>
        <w:rPr>
          <w:rFonts w:hint="eastAsia" w:ascii="宋体" w:hAnsi="宋体" w:cs="宋体"/>
          <w:color w:val="auto"/>
          <w:szCs w:val="21"/>
          <w:highlight w:val="none"/>
          <w:u w:val="single"/>
        </w:rPr>
        <w:t>（若有）</w:t>
      </w:r>
    </w:p>
    <w:tbl>
      <w:tblPr>
        <w:tblStyle w:val="42"/>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ign w:val="center"/>
          </w:tcPr>
          <w:p>
            <w:pPr>
              <w:pStyle w:val="189"/>
              <w:tabs>
                <w:tab w:val="left" w:pos="420"/>
                <w:tab w:val="center" w:pos="4153"/>
                <w:tab w:val="right" w:pos="8306"/>
              </w:tabs>
              <w:adjustRightInd w:val="0"/>
              <w:spacing w:line="400" w:lineRule="exact"/>
              <w:jc w:val="center"/>
              <w:rPr>
                <w:rFonts w:ascii="宋体" w:hAnsi="宋体" w:cs="宋体"/>
                <w:caps/>
                <w:color w:val="auto"/>
                <w:spacing w:val="20"/>
                <w:kern w:val="0"/>
                <w:szCs w:val="21"/>
                <w:highlight w:val="none"/>
              </w:rPr>
            </w:pPr>
            <w:r>
              <w:rPr>
                <w:rFonts w:hint="eastAsia" w:ascii="宋体" w:hAnsi="宋体" w:cs="宋体"/>
                <w:caps/>
                <w:color w:val="auto"/>
                <w:spacing w:val="20"/>
                <w:kern w:val="0"/>
                <w:szCs w:val="21"/>
                <w:highlight w:val="none"/>
              </w:rPr>
              <w:t>名称</w:t>
            </w:r>
          </w:p>
        </w:tc>
        <w:tc>
          <w:tcPr>
            <w:tcW w:w="6289" w:type="dxa"/>
            <w:tcBorders>
              <w:top w:val="double" w:color="000000" w:sz="6" w:space="0"/>
              <w:left w:val="single" w:color="000000" w:sz="6" w:space="0"/>
              <w:bottom w:val="single" w:color="000000" w:sz="6" w:space="0"/>
              <w:right w:val="double" w:color="000000" w:sz="6" w:space="0"/>
            </w:tcBorders>
            <w:noWrap/>
            <w:vAlign w:val="center"/>
          </w:tcPr>
          <w:p>
            <w:pPr>
              <w:pStyle w:val="189"/>
              <w:spacing w:line="400" w:lineRule="exact"/>
              <w:jc w:val="center"/>
              <w:rPr>
                <w:rFonts w:ascii="宋体" w:hAnsi="宋体" w:cs="宋体"/>
                <w:caps/>
                <w:color w:val="auto"/>
                <w:spacing w:val="20"/>
                <w:szCs w:val="21"/>
                <w:highlight w:val="none"/>
              </w:rPr>
            </w:pPr>
            <w:r>
              <w:rPr>
                <w:rFonts w:hint="eastAsia" w:ascii="宋体" w:hAnsi="宋体" w:cs="宋体"/>
                <w:caps/>
                <w:color w:val="auto"/>
                <w:spacing w:val="20"/>
                <w:szCs w:val="21"/>
                <w:highlight w:val="none"/>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ign w:val="center"/>
          </w:tcPr>
          <w:p>
            <w:pPr>
              <w:pStyle w:val="189"/>
              <w:spacing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noWrap/>
            <w:vAlign w:val="center"/>
          </w:tcPr>
          <w:p>
            <w:pPr>
              <w:pStyle w:val="189"/>
              <w:spacing w:line="400" w:lineRule="exact"/>
              <w:rPr>
                <w:rFonts w:ascii="宋体" w:hAnsi="宋体" w:cs="宋体"/>
                <w:color w:val="auto"/>
                <w:spacing w:val="20"/>
                <w:szCs w:val="21"/>
                <w:highlight w:val="none"/>
              </w:rPr>
            </w:pPr>
            <w:r>
              <w:rPr>
                <w:rFonts w:hint="eastAsia" w:ascii="宋体" w:hAnsi="宋体" w:cs="宋体"/>
                <w:color w:val="auto"/>
                <w:spacing w:val="20"/>
                <w:szCs w:val="21"/>
                <w:highlight w:val="none"/>
              </w:rPr>
              <w:t>大写（￥）</w:t>
            </w:r>
          </w:p>
        </w:tc>
      </w:tr>
    </w:tbl>
    <w:p>
      <w:pPr>
        <w:pStyle w:val="189"/>
        <w:spacing w:line="400" w:lineRule="exact"/>
        <w:rPr>
          <w:rFonts w:ascii="宋体" w:hAnsi="宋体" w:cs="宋体"/>
          <w:b/>
          <w:iCs/>
          <w:color w:val="auto"/>
          <w:spacing w:val="20"/>
          <w:szCs w:val="21"/>
          <w:highlight w:val="none"/>
        </w:rPr>
      </w:pPr>
      <w:r>
        <w:rPr>
          <w:rFonts w:hint="eastAsia" w:ascii="宋体" w:hAnsi="宋体" w:cs="宋体"/>
          <w:b/>
          <w:iCs/>
          <w:color w:val="auto"/>
          <w:spacing w:val="20"/>
          <w:szCs w:val="21"/>
          <w:highlight w:val="none"/>
        </w:rPr>
        <w:t>注：</w:t>
      </w:r>
    </w:p>
    <w:p>
      <w:pPr>
        <w:pStyle w:val="189"/>
        <w:spacing w:line="400" w:lineRule="exact"/>
        <w:ind w:firstLine="420" w:firstLineChars="200"/>
        <w:jc w:val="left"/>
        <w:rPr>
          <w:rFonts w:ascii="宋体" w:hAnsi="宋体" w:cs="宋体"/>
          <w:iCs/>
          <w:color w:val="auto"/>
          <w:szCs w:val="21"/>
          <w:highlight w:val="none"/>
        </w:rPr>
      </w:pPr>
      <w:r>
        <w:rPr>
          <w:rFonts w:hint="eastAsia" w:ascii="宋体" w:hAnsi="宋体" w:cs="宋体"/>
          <w:iCs/>
          <w:color w:val="auto"/>
          <w:szCs w:val="21"/>
          <w:highlight w:val="none"/>
        </w:rPr>
        <w:t>1. 具体价格明细详见《分项报价表》</w:t>
      </w:r>
    </w:p>
    <w:p>
      <w:pPr>
        <w:pStyle w:val="189"/>
        <w:spacing w:line="400" w:lineRule="exact"/>
        <w:ind w:firstLine="420" w:firstLineChars="200"/>
        <w:jc w:val="left"/>
        <w:rPr>
          <w:rFonts w:ascii="宋体" w:hAnsi="宋体" w:cs="宋体"/>
          <w:iCs/>
          <w:color w:val="auto"/>
          <w:szCs w:val="21"/>
          <w:highlight w:val="none"/>
        </w:rPr>
      </w:pPr>
      <w:r>
        <w:rPr>
          <w:rFonts w:hint="eastAsia" w:ascii="宋体" w:hAnsi="宋体" w:cs="宋体"/>
          <w:iCs/>
          <w:color w:val="auto"/>
          <w:szCs w:val="21"/>
          <w:highlight w:val="none"/>
        </w:rPr>
        <w:t>2. 总报价一经涂改，应在涂改处加盖单位公章或供应商代表签字（或盖章），否则其响应作无效标处理。</w:t>
      </w:r>
    </w:p>
    <w:p>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3. </w:t>
      </w:r>
      <w:r>
        <w:rPr>
          <w:rFonts w:hint="eastAsia" w:ascii="宋体" w:hAnsi="宋体" w:cs="宋体"/>
          <w:iCs/>
          <w:color w:val="auto"/>
          <w:szCs w:val="21"/>
          <w:highlight w:val="none"/>
        </w:rPr>
        <w:t>总报价应包括人工费（包括工人工资、劳保福利、五险一金等费用）、材料费、机械使用费（含交通费）、管理、利润、规费、税金、专家评审费等一切费用。供应商在编写响应文件时应充分考虑各种风险因素，凡供应商漏项、漏报均认为已包含在综合单价报价中。</w:t>
      </w:r>
    </w:p>
    <w:p>
      <w:pPr>
        <w:pStyle w:val="189"/>
        <w:spacing w:line="400" w:lineRule="exact"/>
        <w:ind w:firstLine="420" w:firstLineChars="200"/>
        <w:jc w:val="left"/>
        <w:rPr>
          <w:rFonts w:ascii="宋体" w:hAnsi="宋体" w:cs="宋体"/>
          <w:bCs/>
          <w:color w:val="auto"/>
          <w:szCs w:val="21"/>
          <w:highlight w:val="none"/>
        </w:rPr>
      </w:pPr>
    </w:p>
    <w:p>
      <w:pPr>
        <w:pStyle w:val="189"/>
        <w:spacing w:line="400" w:lineRule="exact"/>
        <w:rPr>
          <w:rFonts w:ascii="宋体" w:hAnsi="宋体" w:cs="宋体"/>
          <w:bCs/>
          <w:color w:val="auto"/>
          <w:szCs w:val="21"/>
          <w:highlight w:val="none"/>
        </w:rPr>
      </w:pPr>
    </w:p>
    <w:p>
      <w:pPr>
        <w:spacing w:line="400" w:lineRule="exact"/>
        <w:jc w:val="left"/>
        <w:rPr>
          <w:rFonts w:ascii="宋体" w:hAnsi="宋体" w:cs="宋体"/>
          <w:color w:val="auto"/>
          <w:spacing w:val="20"/>
          <w:szCs w:val="21"/>
          <w:highlight w:val="none"/>
        </w:rPr>
      </w:pPr>
    </w:p>
    <w:p>
      <w:pPr>
        <w:pStyle w:val="146"/>
        <w:wordWrap w:val="0"/>
        <w:spacing w:line="400" w:lineRule="exact"/>
        <w:ind w:firstLine="480"/>
        <w:jc w:val="right"/>
        <w:rPr>
          <w:rFonts w:ascii="宋体" w:hAnsi="宋体" w:cs="宋体"/>
          <w:color w:val="auto"/>
          <w:szCs w:val="21"/>
          <w:highlight w:val="none"/>
          <w:u w:val="single"/>
        </w:rPr>
      </w:pPr>
      <w:bookmarkStart w:id="588" w:name="_Toc530551898"/>
      <w:bookmarkStart w:id="589" w:name="_Toc493956073"/>
      <w:bookmarkStart w:id="590" w:name="_Toc531359075"/>
      <w:r>
        <w:rPr>
          <w:rFonts w:hint="eastAsia" w:ascii="宋体" w:hAnsi="宋体" w:cs="宋体"/>
          <w:color w:val="auto"/>
          <w:szCs w:val="21"/>
          <w:highlight w:val="none"/>
        </w:rPr>
        <w:t>供应商盖章：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日      期：</w:t>
      </w:r>
    </w:p>
    <w:p>
      <w:pPr>
        <w:pStyle w:val="4"/>
        <w:spacing w:line="400" w:lineRule="exact"/>
        <w:jc w:val="right"/>
        <w:outlineLvl w:val="9"/>
        <w:rPr>
          <w:rFonts w:ascii="宋体" w:hAnsi="宋体" w:cs="宋体"/>
          <w:color w:val="auto"/>
          <w:sz w:val="21"/>
          <w:szCs w:val="21"/>
          <w:highlight w:val="none"/>
        </w:rPr>
        <w:sectPr>
          <w:pgSz w:w="11906" w:h="16838"/>
          <w:pgMar w:top="1440" w:right="1440" w:bottom="1440" w:left="1440" w:header="851" w:footer="851" w:gutter="0"/>
          <w:cols w:space="720" w:num="1"/>
          <w:docGrid w:linePitch="312" w:charSpace="0"/>
        </w:sectPr>
      </w:pPr>
    </w:p>
    <w:bookmarkEnd w:id="588"/>
    <w:bookmarkEnd w:id="589"/>
    <w:bookmarkEnd w:id="590"/>
    <w:p>
      <w:pPr>
        <w:pStyle w:val="4"/>
        <w:spacing w:line="400" w:lineRule="exact"/>
        <w:rPr>
          <w:rFonts w:hint="eastAsia" w:ascii="宋体" w:hAnsi="宋体" w:cs="宋体"/>
          <w:color w:val="auto"/>
          <w:sz w:val="21"/>
          <w:szCs w:val="21"/>
          <w:highlight w:val="none"/>
        </w:rPr>
      </w:pPr>
      <w:bookmarkStart w:id="591" w:name="_Toc31147"/>
      <w:bookmarkStart w:id="592" w:name="_Toc14077341"/>
      <w:r>
        <w:rPr>
          <w:rFonts w:hint="eastAsia" w:ascii="宋体" w:hAnsi="宋体" w:cs="宋体"/>
          <w:color w:val="auto"/>
          <w:sz w:val="21"/>
          <w:szCs w:val="21"/>
          <w:highlight w:val="none"/>
        </w:rPr>
        <w:t>3.4 分项报价表格式</w:t>
      </w:r>
      <w:bookmarkEnd w:id="591"/>
      <w:bookmarkEnd w:id="592"/>
    </w:p>
    <w:p>
      <w:pPr>
        <w:pStyle w:val="5"/>
        <w:spacing w:line="400" w:lineRule="exact"/>
        <w:ind w:firstLine="0"/>
        <w:jc w:val="center"/>
        <w:rPr>
          <w:rFonts w:ascii="宋体" w:hAnsi="宋体" w:cs="宋体"/>
          <w:b/>
          <w:color w:val="auto"/>
          <w:szCs w:val="21"/>
          <w:highlight w:val="none"/>
        </w:rPr>
      </w:pPr>
      <w:r>
        <w:rPr>
          <w:rFonts w:hint="eastAsia" w:ascii="宋体" w:hAnsi="宋体" w:cs="宋体"/>
          <w:b/>
          <w:color w:val="auto"/>
          <w:szCs w:val="21"/>
          <w:highlight w:val="none"/>
        </w:rPr>
        <w:t>分项报价表</w:t>
      </w: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（格式仅供参考，可以根据实际情况自行设计）</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项目编号：</w:t>
      </w:r>
    </w:p>
    <w:p>
      <w:pPr>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项目名称：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95"/>
        <w:gridCol w:w="5"/>
        <w:gridCol w:w="718"/>
        <w:gridCol w:w="22"/>
        <w:gridCol w:w="871"/>
        <w:gridCol w:w="852"/>
        <w:gridCol w:w="850"/>
        <w:gridCol w:w="1276"/>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名称</w:t>
            </w:r>
          </w:p>
        </w:tc>
        <w:tc>
          <w:tcPr>
            <w:tcW w:w="723"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品牌</w:t>
            </w:r>
          </w:p>
        </w:tc>
        <w:tc>
          <w:tcPr>
            <w:tcW w:w="893"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型号</w:t>
            </w:r>
          </w:p>
        </w:tc>
        <w:tc>
          <w:tcPr>
            <w:tcW w:w="852"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单价（元）</w:t>
            </w:r>
          </w:p>
        </w:tc>
        <w:tc>
          <w:tcPr>
            <w:tcW w:w="25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8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8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8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0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8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cs="宋体"/>
                <w:color w:val="auto"/>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276"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总价合计（元）</w:t>
            </w:r>
          </w:p>
        </w:tc>
        <w:tc>
          <w:tcPr>
            <w:tcW w:w="5499"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color w:val="auto"/>
                <w:szCs w:val="21"/>
                <w:highlight w:val="none"/>
              </w:rPr>
            </w:pPr>
          </w:p>
        </w:tc>
      </w:tr>
    </w:tbl>
    <w:p>
      <w:pPr>
        <w:spacing w:line="400" w:lineRule="exact"/>
        <w:jc w:val="left"/>
        <w:rPr>
          <w:rFonts w:ascii="宋体" w:hAnsi="宋体" w:cs="宋体"/>
          <w:color w:val="auto"/>
          <w:szCs w:val="21"/>
          <w:highlight w:val="none"/>
        </w:rPr>
      </w:pPr>
    </w:p>
    <w:p>
      <w:pPr>
        <w:spacing w:line="400" w:lineRule="exact"/>
        <w:ind w:firstLine="250" w:firstLineChars="100"/>
        <w:rPr>
          <w:rFonts w:ascii="宋体" w:hAnsi="宋体" w:cs="宋体"/>
          <w:b/>
          <w:color w:val="auto"/>
          <w:szCs w:val="21"/>
          <w:highlight w:val="none"/>
        </w:rPr>
      </w:pPr>
      <w:r>
        <w:rPr>
          <w:rFonts w:hint="eastAsia" w:ascii="宋体" w:hAnsi="宋体" w:cs="宋体"/>
          <w:color w:val="auto"/>
          <w:spacing w:val="20"/>
          <w:szCs w:val="21"/>
          <w:highlight w:val="none"/>
        </w:rPr>
        <w:t>注：</w:t>
      </w:r>
      <w:r>
        <w:rPr>
          <w:rFonts w:hint="eastAsia" w:ascii="宋体" w:hAnsi="宋体" w:cs="宋体"/>
          <w:b/>
          <w:color w:val="auto"/>
          <w:szCs w:val="21"/>
          <w:highlight w:val="none"/>
        </w:rPr>
        <w:t>▲1.1所有单项报价均不得为0，总计金额必须与开标一览表总报价相同，否则作无效标处理。</w:t>
      </w:r>
    </w:p>
    <w:p>
      <w:pPr>
        <w:spacing w:line="400" w:lineRule="exact"/>
        <w:ind w:firstLine="500" w:firstLineChars="200"/>
        <w:rPr>
          <w:rFonts w:ascii="宋体" w:hAnsi="宋体" w:cs="宋体"/>
          <w:color w:val="auto"/>
          <w:spacing w:val="20"/>
          <w:szCs w:val="21"/>
          <w:highlight w:val="none"/>
        </w:rPr>
      </w:pPr>
      <w:r>
        <w:rPr>
          <w:rFonts w:hint="eastAsia" w:ascii="宋体" w:hAnsi="宋体" w:cs="宋体"/>
          <w:color w:val="auto"/>
          <w:spacing w:val="20"/>
          <w:szCs w:val="21"/>
          <w:highlight w:val="none"/>
        </w:rPr>
        <w:t>1.2投标人需按“总报价表”的报价，对“</w:t>
      </w:r>
      <w:r>
        <w:rPr>
          <w:rFonts w:hint="eastAsia" w:ascii="宋体" w:hAnsi="宋体" w:cs="宋体"/>
          <w:b/>
          <w:bCs/>
          <w:color w:val="auto"/>
          <w:spacing w:val="20"/>
          <w:szCs w:val="21"/>
          <w:highlight w:val="none"/>
          <w:lang w:eastAsia="zh-CN"/>
        </w:rPr>
        <w:t>缙云县公安局执法全过程音视频工作平台建设政府采购项目</w:t>
      </w:r>
      <w:r>
        <w:rPr>
          <w:rFonts w:hint="eastAsia" w:ascii="宋体" w:hAnsi="宋体" w:cs="宋体"/>
          <w:color w:val="auto"/>
          <w:spacing w:val="20"/>
          <w:szCs w:val="21"/>
          <w:highlight w:val="none"/>
        </w:rPr>
        <w:t>”的分项报价分别进行详细列表说明。</w:t>
      </w:r>
    </w:p>
    <w:p>
      <w:pPr>
        <w:spacing w:line="400" w:lineRule="exact"/>
        <w:ind w:firstLine="245" w:firstLineChars="98"/>
        <w:rPr>
          <w:rFonts w:ascii="宋体" w:hAnsi="宋体" w:cs="宋体"/>
          <w:color w:val="auto"/>
          <w:spacing w:val="20"/>
          <w:szCs w:val="21"/>
          <w:highlight w:val="none"/>
        </w:rPr>
      </w:pPr>
    </w:p>
    <w:p>
      <w:pPr>
        <w:pStyle w:val="146"/>
        <w:wordWrap w:val="0"/>
        <w:spacing w:line="400" w:lineRule="exact"/>
        <w:ind w:firstLine="480"/>
        <w:jc w:val="right"/>
        <w:rPr>
          <w:rFonts w:ascii="宋体" w:hAnsi="宋体" w:cs="宋体"/>
          <w:color w:val="auto"/>
          <w:spacing w:val="20"/>
          <w:szCs w:val="21"/>
          <w:highlight w:val="none"/>
          <w:u w:val="single"/>
        </w:rPr>
      </w:pPr>
      <w:r>
        <w:rPr>
          <w:rFonts w:hint="eastAsia" w:ascii="宋体" w:hAnsi="宋体" w:cs="宋体"/>
          <w:color w:val="auto"/>
          <w:szCs w:val="21"/>
          <w:highlight w:val="none"/>
        </w:rPr>
        <w:t>负责人（或委托代理人）</w:t>
      </w:r>
      <w:r>
        <w:rPr>
          <w:rFonts w:hint="eastAsia" w:ascii="宋体" w:hAnsi="宋体" w:cs="宋体"/>
          <w:color w:val="auto"/>
          <w:spacing w:val="20"/>
          <w:szCs w:val="21"/>
          <w:highlight w:val="none"/>
        </w:rPr>
        <w:t>签字或盖章：</w:t>
      </w:r>
    </w:p>
    <w:p>
      <w:pPr>
        <w:pStyle w:val="146"/>
        <w:wordWrap w:val="0"/>
        <w:spacing w:line="400" w:lineRule="exact"/>
        <w:ind w:firstLine="480"/>
        <w:jc w:val="right"/>
        <w:rPr>
          <w:rFonts w:ascii="宋体" w:hAnsi="宋体" w:cs="宋体"/>
          <w:color w:val="auto"/>
          <w:szCs w:val="21"/>
          <w:highlight w:val="none"/>
          <w:u w:val="single"/>
        </w:rPr>
      </w:pPr>
      <w:r>
        <w:rPr>
          <w:rFonts w:hint="eastAsia" w:ascii="宋体" w:hAnsi="宋体" w:cs="宋体"/>
          <w:color w:val="auto"/>
          <w:szCs w:val="21"/>
          <w:highlight w:val="none"/>
        </w:rPr>
        <w:t>投标人盖章：</w:t>
      </w:r>
    </w:p>
    <w:p>
      <w:pPr>
        <w:pStyle w:val="146"/>
        <w:wordWrap w:val="0"/>
        <w:spacing w:line="400" w:lineRule="exact"/>
        <w:ind w:firstLine="480"/>
        <w:jc w:val="right"/>
        <w:rPr>
          <w:rFonts w:ascii="宋体" w:hAnsi="宋体" w:cs="宋体"/>
          <w:color w:val="auto"/>
          <w:sz w:val="21"/>
          <w:szCs w:val="21"/>
          <w:highlight w:val="none"/>
        </w:rPr>
      </w:pPr>
      <w:r>
        <w:rPr>
          <w:rFonts w:hint="eastAsia" w:ascii="宋体" w:hAnsi="宋体" w:cs="宋体"/>
          <w:color w:val="auto"/>
          <w:szCs w:val="21"/>
          <w:highlight w:val="none"/>
        </w:rPr>
        <w:t>日      期：</w:t>
      </w:r>
    </w:p>
    <w:p>
      <w:pPr>
        <w:spacing w:line="400" w:lineRule="exact"/>
        <w:rPr>
          <w:rFonts w:ascii="宋体" w:hAnsi="宋体" w:cs="宋体"/>
          <w:color w:val="auto"/>
          <w:szCs w:val="21"/>
          <w:highlight w:val="none"/>
        </w:rPr>
      </w:pPr>
    </w:p>
    <w:p>
      <w:pPr>
        <w:pStyle w:val="4"/>
        <w:spacing w:line="40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3.5</w:t>
      </w:r>
      <w:r>
        <w:rPr>
          <w:rFonts w:hint="eastAsia" w:ascii="宋体" w:hAnsi="宋体" w:cs="宋体"/>
          <w:color w:val="auto"/>
          <w:sz w:val="21"/>
          <w:szCs w:val="21"/>
          <w:highlight w:val="none"/>
          <w:lang w:val="en-US" w:eastAsia="zh-CN"/>
        </w:rPr>
        <w:t>供应商</w:t>
      </w:r>
      <w:r>
        <w:rPr>
          <w:rFonts w:hint="eastAsia" w:ascii="宋体" w:hAnsi="宋体" w:eastAsia="宋体" w:cs="宋体"/>
          <w:b/>
          <w:bCs/>
          <w:color w:val="auto"/>
          <w:kern w:val="2"/>
          <w:sz w:val="21"/>
          <w:szCs w:val="21"/>
          <w:highlight w:val="none"/>
          <w:lang w:val="en-US" w:eastAsia="zh-CN" w:bidi="ar-SA"/>
        </w:rPr>
        <w:t>针对报价需要说明的其他文件和说明</w:t>
      </w:r>
    </w:p>
    <w:p>
      <w:pPr>
        <w:pStyle w:val="5"/>
        <w:spacing w:line="400" w:lineRule="exact"/>
        <w:rPr>
          <w:rFonts w:ascii="宋体" w:hAnsi="宋体" w:cs="宋体"/>
          <w:color w:val="auto"/>
          <w:szCs w:val="21"/>
          <w:highlight w:val="none"/>
        </w:rPr>
        <w:sectPr>
          <w:pgSz w:w="11906" w:h="16838"/>
          <w:pgMar w:top="1440" w:right="1440" w:bottom="1440" w:left="1440" w:header="851" w:footer="851" w:gutter="0"/>
          <w:cols w:space="720" w:num="1"/>
          <w:docGrid w:linePitch="312" w:charSpace="0"/>
        </w:sectPr>
      </w:pPr>
    </w:p>
    <w:p>
      <w:pPr>
        <w:pStyle w:val="3"/>
        <w:snapToGrid w:val="0"/>
        <w:spacing w:line="400" w:lineRule="exact"/>
        <w:ind w:firstLine="726"/>
        <w:jc w:val="center"/>
        <w:rPr>
          <w:rFonts w:ascii="宋体" w:hAnsi="宋体" w:cs="宋体"/>
          <w:b w:val="0"/>
          <w:bCs w:val="0"/>
          <w:color w:val="auto"/>
          <w:szCs w:val="21"/>
          <w:highlight w:val="none"/>
        </w:rPr>
      </w:pPr>
      <w:bookmarkStart w:id="593" w:name="_Toc6195"/>
      <w:bookmarkStart w:id="594" w:name="_Toc18355"/>
      <w:r>
        <w:rPr>
          <w:rFonts w:hint="eastAsia" w:ascii="宋体" w:hAnsi="宋体" w:cs="宋体"/>
          <w:color w:val="auto"/>
          <w:sz w:val="32"/>
          <w:highlight w:val="none"/>
        </w:rPr>
        <w:t>四 政府采购活动现场确认声明书</w:t>
      </w:r>
      <w:bookmarkEnd w:id="593"/>
      <w:bookmarkEnd w:id="594"/>
    </w:p>
    <w:p>
      <w:pPr>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（采购代理机构名称）：</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本人经由</w:t>
      </w:r>
      <w:r>
        <w:rPr>
          <w:rFonts w:hint="eastAsia" w:ascii="宋体" w:hAnsi="宋体" w:cs="宋体"/>
          <w:color w:val="auto"/>
          <w:szCs w:val="21"/>
          <w:highlight w:val="none"/>
          <w:u w:val="single"/>
        </w:rPr>
        <w:t xml:space="preserve">   （公司名称）         </w:t>
      </w:r>
      <w:r>
        <w:rPr>
          <w:rFonts w:hint="eastAsia" w:ascii="宋体" w:hAnsi="宋体" w:cs="宋体"/>
          <w:color w:val="auto"/>
          <w:szCs w:val="21"/>
          <w:highlight w:val="none"/>
        </w:rPr>
        <w:t>法定代表人（负责人），合法授权</w:t>
      </w:r>
      <w:r>
        <w:rPr>
          <w:rFonts w:hint="eastAsia" w:ascii="宋体" w:hAnsi="宋体" w:cs="宋体"/>
          <w:color w:val="auto"/>
          <w:szCs w:val="21"/>
          <w:highlight w:val="none"/>
          <w:u w:val="single"/>
        </w:rPr>
        <w:t xml:space="preserve">  （姓名及联系方式）  </w:t>
      </w:r>
      <w:r>
        <w:rPr>
          <w:rFonts w:hint="eastAsia" w:ascii="宋体" w:hAnsi="宋体" w:cs="宋体"/>
          <w:color w:val="auto"/>
          <w:szCs w:val="21"/>
          <w:highlight w:val="none"/>
        </w:rPr>
        <w:t>参加</w:t>
      </w:r>
      <w:r>
        <w:rPr>
          <w:rFonts w:hint="eastAsia" w:ascii="宋体" w:hAnsi="宋体" w:cs="宋体"/>
          <w:color w:val="auto"/>
          <w:szCs w:val="21"/>
          <w:highlight w:val="none"/>
          <w:u w:val="single"/>
        </w:rPr>
        <w:t>（采购项目名称、项目编号） 政府</w:t>
      </w:r>
      <w:r>
        <w:rPr>
          <w:rFonts w:hint="eastAsia" w:ascii="宋体" w:hAnsi="宋体" w:cs="宋体"/>
          <w:color w:val="auto"/>
          <w:szCs w:val="21"/>
          <w:highlight w:val="none"/>
        </w:rPr>
        <w:t>采购活动，经与本单位法人代表（负责人）联系确认，现就有关公平竞争事项郑重声明如下：</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一、本单位与采购人之间  </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不存在利害关系 □存在下列利害关系</w:t>
      </w:r>
      <w:r>
        <w:rPr>
          <w:rFonts w:hint="eastAsia" w:ascii="宋体" w:hAnsi="宋体" w:cs="宋体"/>
          <w:color w:val="auto"/>
          <w:szCs w:val="21"/>
          <w:highlight w:val="none"/>
          <w:u w:val="single"/>
        </w:rPr>
        <w:t xml:space="preserve">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A.投资关系    B.行政隶属关系    C.业务指导关系</w:t>
      </w:r>
    </w:p>
    <w:p>
      <w:pPr>
        <w:spacing w:line="400" w:lineRule="exact"/>
        <w:ind w:firstLine="480"/>
        <w:rPr>
          <w:rFonts w:ascii="宋体" w:hAnsi="宋体" w:cs="宋体"/>
          <w:color w:val="auto"/>
          <w:szCs w:val="21"/>
          <w:highlight w:val="none"/>
          <w:u w:val="single"/>
        </w:rPr>
      </w:pPr>
      <w:r>
        <w:rPr>
          <w:rFonts w:hint="eastAsia" w:ascii="宋体" w:hAnsi="宋体" w:cs="宋体"/>
          <w:color w:val="auto"/>
          <w:szCs w:val="21"/>
          <w:highlight w:val="none"/>
        </w:rPr>
        <w:t>D.其他可能影响采购公正的利害关系（如有，请如实说明）</w:t>
      </w:r>
    </w:p>
    <w:p>
      <w:pPr>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二、现已清楚知道参加本项目采购活动的其他所有供应商名称，本单位</w:t>
      </w:r>
    </w:p>
    <w:p>
      <w:pPr>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□与其他所有供应商之间均不存在利害关系  □与</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之间存在下列利害关系：</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A.法定代表人或负责人或实际控制人是同一人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B.法定代表人或负责人或实际控制人是夫妻关系</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C.法定代表人或负责人或实际控制人是直系血亲关系</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D.法定代表人或负责人或实际控制人存在三代以内旁系血亲关系</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E.法定代表人或负责人或实际控制人存在近姻亲关系</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F.法定代表人或负责人或实际控制人存在股份控制或实际控制关系</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G.存在共同直接或间接投资设立子公司、联营企业和合营企业情况</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H.存在分级代理或代销关系、同一生产制造商关系、管理关系、重要业务（占主营业务收入50%以上）或重要财务往来关系（如融资）等其他实质性控制关系</w:t>
      </w:r>
    </w:p>
    <w:p>
      <w:pPr>
        <w:spacing w:line="400" w:lineRule="exact"/>
        <w:ind w:left="210" w:hanging="210" w:hangingChars="100"/>
        <w:rPr>
          <w:rFonts w:ascii="宋体" w:hAnsi="宋体" w:cs="宋体"/>
          <w:color w:val="auto"/>
          <w:szCs w:val="21"/>
          <w:highlight w:val="none"/>
        </w:rPr>
      </w:pPr>
      <w:r>
        <w:rPr>
          <w:rFonts w:hint="eastAsia" w:ascii="宋体" w:hAnsi="宋体" w:cs="宋体"/>
          <w:color w:val="auto"/>
          <w:szCs w:val="21"/>
          <w:highlight w:val="none"/>
        </w:rPr>
        <w:t xml:space="preserve">    I.其他利害关系情况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三、现已清楚知道并严格遵守政府采购法律法规和现场纪律。</w:t>
      </w:r>
    </w:p>
    <w:p>
      <w:pPr>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 xml:space="preserve">四、我发现和供应商之间存在或可能存在上述第二条第项利害关系。 </w:t>
      </w:r>
    </w:p>
    <w:p>
      <w:pPr>
        <w:spacing w:line="400" w:lineRule="exact"/>
        <w:ind w:firstLine="105" w:firstLineChars="50"/>
        <w:jc w:val="right"/>
        <w:rPr>
          <w:rFonts w:ascii="宋体" w:hAnsi="宋体" w:cs="宋体"/>
          <w:color w:val="auto"/>
          <w:szCs w:val="21"/>
          <w:highlight w:val="none"/>
        </w:rPr>
      </w:pPr>
      <w:r>
        <w:rPr>
          <w:rFonts w:hint="eastAsia" w:ascii="宋体" w:hAnsi="宋体" w:cs="宋体"/>
          <w:color w:val="auto"/>
          <w:szCs w:val="21"/>
          <w:highlight w:val="none"/>
        </w:rPr>
        <w:t xml:space="preserve">（负责人或委托代理人签名）：     </w:t>
      </w:r>
    </w:p>
    <w:p>
      <w:pPr>
        <w:spacing w:line="40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r>
        <w:rPr>
          <w:rFonts w:hint="eastAsia" w:ascii="宋体" w:hAnsi="宋体" w:cs="宋体"/>
          <w:color w:val="auto"/>
          <w:szCs w:val="21"/>
          <w:highlight w:val="none"/>
        </w:rPr>
        <w:tab/>
      </w:r>
    </w:p>
    <w:p>
      <w:pPr>
        <w:spacing w:line="400" w:lineRule="exact"/>
        <w:rPr>
          <w:rFonts w:ascii="宋体" w:hAnsi="宋体" w:cs="宋体"/>
          <w:color w:val="auto"/>
          <w:szCs w:val="21"/>
          <w:highlight w:val="none"/>
        </w:rPr>
      </w:pPr>
      <w:r>
        <w:rPr>
          <w:rFonts w:hint="eastAsia" w:ascii="宋体" w:hAnsi="宋体" w:cs="宋体"/>
          <w:color w:val="auto"/>
          <w:szCs w:val="21"/>
          <w:highlight w:val="none"/>
        </w:rPr>
        <w:t>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1、供应商认为有利害关系和需要回避的人员，应提供相关证明材料，与本声明书一同提交。由采购代理机构和财政监督部门负责询问核查。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2、各供应商代表可以在收到代理机构发送的邮件后20分钟内将声明书发送至本文件指定的邮箱，否则视为供应商撤回投标。</w:t>
      </w:r>
    </w:p>
    <w:bookmarkEnd w:id="557"/>
    <w:bookmarkEnd w:id="558"/>
    <w:p>
      <w:pPr>
        <w:spacing w:line="400" w:lineRule="exact"/>
        <w:rPr>
          <w:rFonts w:ascii="宋体" w:hAnsi="宋体" w:cs="宋体"/>
          <w:color w:val="auto"/>
          <w:szCs w:val="21"/>
          <w:highlight w:val="none"/>
        </w:rPr>
      </w:pPr>
      <w:bookmarkStart w:id="595" w:name="_Toc19258"/>
      <w:bookmarkStart w:id="596" w:name="_Toc23743"/>
      <w:r>
        <w:rPr>
          <w:rFonts w:hint="eastAsia" w:ascii="宋体" w:hAnsi="宋体" w:cs="宋体"/>
          <w:color w:val="auto"/>
          <w:szCs w:val="21"/>
          <w:highlight w:val="none"/>
        </w:rPr>
        <w:br w:type="page"/>
      </w:r>
    </w:p>
    <w:p>
      <w:pPr>
        <w:pStyle w:val="2"/>
        <w:spacing w:before="0" w:line="400" w:lineRule="exact"/>
        <w:rPr>
          <w:rFonts w:ascii="宋体" w:hAnsi="宋体" w:cs="宋体"/>
          <w:color w:val="auto"/>
          <w:szCs w:val="32"/>
          <w:highlight w:val="none"/>
        </w:rPr>
      </w:pPr>
      <w:bookmarkStart w:id="597" w:name="_Toc3368"/>
      <w:r>
        <w:rPr>
          <w:rFonts w:hint="eastAsia" w:ascii="宋体" w:hAnsi="宋体" w:cs="宋体"/>
          <w:color w:val="auto"/>
          <w:szCs w:val="32"/>
          <w:highlight w:val="none"/>
        </w:rPr>
        <w:t>第六章  评标办法和细则</w:t>
      </w:r>
      <w:bookmarkEnd w:id="595"/>
      <w:bookmarkEnd w:id="596"/>
      <w:bookmarkEnd w:id="597"/>
    </w:p>
    <w:p>
      <w:pPr>
        <w:pStyle w:val="24"/>
        <w:snapToGrid/>
        <w:spacing w:line="400" w:lineRule="exact"/>
        <w:ind w:firstLine="422" w:firstLineChars="200"/>
        <w:rPr>
          <w:rFonts w:ascii="宋体" w:cs="宋体"/>
          <w:color w:val="auto"/>
          <w:sz w:val="21"/>
          <w:szCs w:val="21"/>
          <w:highlight w:val="none"/>
        </w:rPr>
      </w:pPr>
      <w:r>
        <w:rPr>
          <w:rFonts w:hint="eastAsia" w:ascii="宋体" w:cs="宋体"/>
          <w:color w:val="auto"/>
          <w:sz w:val="21"/>
          <w:szCs w:val="21"/>
          <w:highlight w:val="none"/>
        </w:rPr>
        <w:t>根据《中华人民共和国政府采购法》等有关法律法规的规定，并结合本项目的实际，按照公正、公平、科学、择优的原则选择中标人，特制定本办法。</w:t>
      </w:r>
      <w:bookmarkStart w:id="598" w:name="_Toc18586"/>
    </w:p>
    <w:p>
      <w:pPr>
        <w:pStyle w:val="24"/>
        <w:snapToGrid/>
        <w:spacing w:line="400" w:lineRule="exact"/>
        <w:ind w:firstLine="422" w:firstLineChars="200"/>
        <w:outlineLvl w:val="1"/>
        <w:rPr>
          <w:rFonts w:ascii="宋体" w:cs="宋体"/>
          <w:color w:val="auto"/>
          <w:sz w:val="21"/>
          <w:szCs w:val="21"/>
          <w:highlight w:val="none"/>
        </w:rPr>
      </w:pPr>
      <w:bookmarkStart w:id="599" w:name="_Toc32414"/>
      <w:r>
        <w:rPr>
          <w:rFonts w:hint="eastAsia" w:ascii="宋体" w:cs="宋体"/>
          <w:color w:val="auto"/>
          <w:sz w:val="21"/>
          <w:szCs w:val="21"/>
          <w:highlight w:val="none"/>
        </w:rPr>
        <w:t>一、总则</w:t>
      </w:r>
      <w:bookmarkEnd w:id="598"/>
      <w:bookmarkEnd w:id="599"/>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 为最大限度地保护各当事人的权益，评审委员会应严格按照招标文件的技术、资信及商务、报价要求，对</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进行综合分析评价并编制评标报告。评审专家必须严格遵守保密规定，不得泄漏评标有关的情况，不得索贿受贿，不得参加影响评标的任何活动。</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1.2本次评审方法采取百分制综合评分法，按总得分由高到低顺序排列。总得分相同的，按报价得分由高到低顺序排列；总得分和报价得分均相同的，按技术部分得分由高到低顺序排列；以上得分均相同的，评标委员会按顺序推荐</w:t>
      </w:r>
      <w:r>
        <w:rPr>
          <w:rFonts w:hint="eastAsia" w:ascii="宋体" w:hAnsi="宋体" w:cs="宋体"/>
          <w:b/>
          <w:color w:val="auto"/>
          <w:szCs w:val="21"/>
          <w:highlight w:val="none"/>
          <w:lang w:val="en-US" w:eastAsia="zh-CN"/>
        </w:rPr>
        <w:t>1名</w:t>
      </w:r>
      <w:r>
        <w:rPr>
          <w:rFonts w:hint="eastAsia" w:ascii="宋体" w:hAnsi="宋体" w:cs="宋体"/>
          <w:b/>
          <w:color w:val="auto"/>
          <w:szCs w:val="21"/>
          <w:highlight w:val="none"/>
        </w:rPr>
        <w:t>中标候选人。</w:t>
      </w:r>
      <w:bookmarkStart w:id="600" w:name="_Toc8737"/>
    </w:p>
    <w:p>
      <w:pPr>
        <w:spacing w:line="400" w:lineRule="exact"/>
        <w:ind w:firstLine="422" w:firstLineChars="200"/>
        <w:outlineLvl w:val="1"/>
        <w:rPr>
          <w:rFonts w:ascii="宋体" w:hAnsi="宋体" w:cs="宋体"/>
          <w:b/>
          <w:bCs/>
          <w:color w:val="auto"/>
          <w:szCs w:val="21"/>
          <w:highlight w:val="none"/>
        </w:rPr>
      </w:pPr>
      <w:bookmarkStart w:id="601" w:name="_Toc6830"/>
      <w:r>
        <w:rPr>
          <w:rFonts w:hint="eastAsia" w:ascii="宋体" w:hAnsi="宋体" w:cs="宋体"/>
          <w:b/>
          <w:bCs/>
          <w:color w:val="auto"/>
          <w:szCs w:val="21"/>
          <w:highlight w:val="none"/>
        </w:rPr>
        <w:t>二、评审委员会</w:t>
      </w:r>
      <w:bookmarkEnd w:id="600"/>
      <w:bookmarkEnd w:id="601"/>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2.1评审委员会</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2.1.1成员：由采购人代表和评审专家组成，其中经济、技术评审专家不得少于评审委员会总人数的三分之二。除国务院财政部门规定的情形外，评审专家由采购代理机构在政府采购专家库中随机抽取。评审委员会</w:t>
      </w:r>
      <w:r>
        <w:rPr>
          <w:rFonts w:hint="eastAsia" w:ascii="宋体" w:hAnsi="宋体" w:cs="宋体"/>
          <w:color w:val="auto"/>
          <w:kern w:val="0"/>
          <w:szCs w:val="21"/>
          <w:highlight w:val="none"/>
        </w:rPr>
        <w:t>对投标文件进行符合性审查、询标、评价和推荐中标候选人。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2.1.2职责：严格按政府采购法律法规的有关规定执行，评审专家应按招标文件规定的评审要求、评审程序、评审内容、评审方法和评审标准进行评审，对评审意见承担个人责任。</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2.2评审专家的评审情况和评审意见受监督人员和采购代理机构审查，如发现评审专家的评审意见带有明显倾向性，或不按规定程序和标准评审、计分的，可要求评审专家进行书面澄清和说明。</w:t>
      </w:r>
      <w:bookmarkStart w:id="602" w:name="_Toc7115"/>
    </w:p>
    <w:p>
      <w:pPr>
        <w:spacing w:line="400" w:lineRule="exact"/>
        <w:ind w:firstLine="420"/>
        <w:outlineLvl w:val="1"/>
        <w:rPr>
          <w:rFonts w:ascii="宋体" w:hAnsi="宋体" w:cs="宋体"/>
          <w:b/>
          <w:bCs/>
          <w:color w:val="auto"/>
          <w:szCs w:val="21"/>
          <w:highlight w:val="none"/>
        </w:rPr>
      </w:pPr>
      <w:bookmarkStart w:id="603" w:name="_Toc4971"/>
      <w:r>
        <w:rPr>
          <w:rFonts w:hint="eastAsia" w:ascii="宋体" w:hAnsi="宋体" w:cs="宋体"/>
          <w:b/>
          <w:bCs/>
          <w:color w:val="auto"/>
          <w:szCs w:val="21"/>
          <w:highlight w:val="none"/>
        </w:rPr>
        <w:t>三、评标程序</w:t>
      </w:r>
      <w:bookmarkEnd w:id="602"/>
      <w:bookmarkEnd w:id="603"/>
    </w:p>
    <w:p>
      <w:pPr>
        <w:spacing w:line="400" w:lineRule="exact"/>
        <w:ind w:firstLine="422" w:firstLineChars="200"/>
        <w:rPr>
          <w:rFonts w:ascii="宋体" w:hAnsi="宋体" w:cs="宋体"/>
          <w:b/>
          <w:color w:val="auto"/>
          <w:szCs w:val="21"/>
          <w:highlight w:val="none"/>
        </w:rPr>
      </w:pPr>
      <w:bookmarkStart w:id="604" w:name="_Toc3229"/>
      <w:r>
        <w:rPr>
          <w:rFonts w:hint="eastAsia" w:ascii="宋体" w:hAnsi="宋体" w:cs="宋体"/>
          <w:b/>
          <w:color w:val="auto"/>
          <w:szCs w:val="21"/>
          <w:highlight w:val="none"/>
        </w:rPr>
        <w:t>3.1 符合性审查</w:t>
      </w:r>
      <w:bookmarkEnd w:id="604"/>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400" w:lineRule="exact"/>
        <w:ind w:firstLine="422" w:firstLineChars="200"/>
        <w:rPr>
          <w:rFonts w:ascii="宋体" w:hAnsi="宋体" w:cs="宋体"/>
          <w:b/>
          <w:color w:val="auto"/>
          <w:szCs w:val="21"/>
          <w:highlight w:val="none"/>
        </w:rPr>
      </w:pPr>
      <w:bookmarkStart w:id="605" w:name="_Toc22586"/>
      <w:r>
        <w:rPr>
          <w:rFonts w:hint="eastAsia" w:ascii="宋体" w:hAnsi="宋体" w:cs="宋体"/>
          <w:b/>
          <w:color w:val="auto"/>
          <w:szCs w:val="21"/>
          <w:highlight w:val="none"/>
        </w:rPr>
        <w:t>3.2 资信商务及技术文件评审</w:t>
      </w:r>
      <w:bookmarkEnd w:id="605"/>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3.2.1评审委员会依据招标文件的规定，对各</w:t>
      </w:r>
      <w:r>
        <w:rPr>
          <w:rFonts w:hint="eastAsia" w:ascii="宋体" w:hAnsi="宋体" w:cs="宋体"/>
          <w:color w:val="auto"/>
          <w:kern w:val="0"/>
          <w:szCs w:val="21"/>
          <w:highlight w:val="none"/>
        </w:rPr>
        <w:t>投标人的</w:t>
      </w:r>
      <w:r>
        <w:rPr>
          <w:rFonts w:hint="eastAsia" w:ascii="宋体" w:hAnsi="宋体" w:cs="宋体"/>
          <w:color w:val="auto"/>
          <w:szCs w:val="21"/>
          <w:highlight w:val="none"/>
        </w:rPr>
        <w:t>资信商务部分进行评审，对客观分应统一意见后统一给分。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3.2.2评审委员会依据招标文件的规定，对各</w:t>
      </w:r>
      <w:r>
        <w:rPr>
          <w:rFonts w:hint="eastAsia" w:ascii="宋体" w:hAnsi="宋体" w:cs="宋体"/>
          <w:color w:val="auto"/>
          <w:kern w:val="0"/>
          <w:szCs w:val="21"/>
          <w:highlight w:val="none"/>
        </w:rPr>
        <w:t>投标人的</w:t>
      </w:r>
      <w:r>
        <w:rPr>
          <w:rFonts w:hint="eastAsia" w:ascii="宋体" w:hAnsi="宋体" w:cs="宋体"/>
          <w:color w:val="auto"/>
          <w:szCs w:val="21"/>
          <w:highlight w:val="none"/>
        </w:rPr>
        <w:t>技术部分进行独立评审，对各</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进行比较和必要的澄清，若有演示（或述标）、样品要求和技术文件评审同步进行，</w:t>
      </w:r>
      <w:r>
        <w:rPr>
          <w:rFonts w:hint="eastAsia" w:ascii="宋体" w:hAnsi="宋体" w:cs="宋体"/>
          <w:b/>
          <w:bCs/>
          <w:color w:val="auto"/>
          <w:szCs w:val="21"/>
          <w:highlight w:val="none"/>
        </w:rPr>
        <w:t>演示（或述标）顺序为</w:t>
      </w:r>
      <w:r>
        <w:rPr>
          <w:rFonts w:hint="eastAsia" w:ascii="宋体" w:hAnsi="宋体" w:cs="宋体"/>
          <w:b/>
          <w:color w:val="auto"/>
          <w:szCs w:val="21"/>
          <w:highlight w:val="none"/>
        </w:rPr>
        <w:t>电子交易平台解密后自动生成的“投标（响应）文件签收登记表”名单顺序</w:t>
      </w:r>
      <w:r>
        <w:rPr>
          <w:rFonts w:hint="eastAsia" w:ascii="宋体" w:hAnsi="宋体" w:cs="宋体"/>
          <w:color w:val="auto"/>
          <w:szCs w:val="21"/>
          <w:highlight w:val="none"/>
        </w:rPr>
        <w:t>，并根据审查、澄清、演示（或述标）、样品等情况结合评审办法进行独立打分；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3.2.3各投标人的资信商务及技术得分，为各评审专家对该投标人的评分汇总后的算术平均数。</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3.4通过政采云平台公布各投标人的资信商务及技术得分，开启有效投标人的报价文件。</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3.5 报价文件评审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3.5.1 评审委员会依据招标文件的规定，对各投标人的报价的符合性进行审查，必要时可要求投标人对其报价做出澄清、说明；</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3.5.2报价修正；</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3.5.3政府采购政策价格扣除；</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3.5.4评审委员会根据投标人的报价和评审标准，计算各投标人的报价得分。</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3.6 评标结果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3.6.1 评审结果汇总，投标人结果排序；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3.6.2 起草评标报告，确定中标候选人；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3.6.2.1 评标报告包括以下内容：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（1）招标公告刊登的媒体名称、开标日期和地点；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（2）投标人名单和评审委员会成员名单；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（3）评审方法和标准；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（4）资格审查记录；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（5）开标记录和评审情况及说明，包括无效投标人名单及原因；</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（6）评审结果，确定的中标候选人名单；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（7）其他需要说明的情况，包括评审过程中投标人根据评审委员会要求进行的澄清、说明或者补正，评审委员会成员的更换等。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 评标报告由全体评审委员会成员确认后提交。</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 评审结束后，由电子交易平台自动生成评审结果，采购人确定中标人后2个工作日内，发出中标通知书，并在相关媒体上公告中标结果。</w:t>
      </w:r>
      <w:bookmarkStart w:id="606" w:name="_Toc27258"/>
    </w:p>
    <w:p>
      <w:pPr>
        <w:spacing w:line="400" w:lineRule="exact"/>
        <w:ind w:firstLine="422" w:firstLineChars="200"/>
        <w:outlineLvl w:val="1"/>
        <w:rPr>
          <w:rFonts w:ascii="宋体" w:hAnsi="宋体" w:cs="宋体"/>
          <w:b/>
          <w:bCs/>
          <w:color w:val="auto"/>
          <w:szCs w:val="21"/>
          <w:highlight w:val="none"/>
        </w:rPr>
      </w:pPr>
      <w:bookmarkStart w:id="607" w:name="_Toc27513"/>
      <w:r>
        <w:rPr>
          <w:rFonts w:hint="eastAsia" w:ascii="宋体" w:hAnsi="宋体" w:cs="宋体"/>
          <w:b/>
          <w:bCs/>
          <w:color w:val="auto"/>
          <w:szCs w:val="21"/>
          <w:highlight w:val="none"/>
        </w:rPr>
        <w:t>四、评标一般规定</w:t>
      </w:r>
      <w:bookmarkEnd w:id="606"/>
      <w:bookmarkEnd w:id="607"/>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4.本评标办法采用综合评分法,总分100分。</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4.1资信商务及技术权重为</w:t>
      </w:r>
      <w:r>
        <w:rPr>
          <w:rFonts w:hint="eastAsia" w:ascii="宋体" w:hAnsi="宋体" w:cs="宋体"/>
          <w:b/>
          <w:color w:val="auto"/>
          <w:szCs w:val="21"/>
          <w:highlight w:val="none"/>
          <w:lang w:val="en-US" w:eastAsia="zh-CN"/>
        </w:rPr>
        <w:t>70</w:t>
      </w:r>
      <w:r>
        <w:rPr>
          <w:rFonts w:hint="eastAsia" w:ascii="宋体" w:hAnsi="宋体" w:cs="宋体"/>
          <w:b/>
          <w:color w:val="auto"/>
          <w:szCs w:val="21"/>
          <w:highlight w:val="none"/>
        </w:rPr>
        <w:t>%，分值为</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0分。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4.1.1资信商务及技术部分权重为</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0%，分值为</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0分，评委对各投标文件的技术标经充分审核、讨论后，在规定的分值内由评委单独评定打分。如果某个单项的打分超过所规定的分值范围，则该张打分表无效。</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4.2报价权重为</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0%，分值为</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0分，由评委按各投标人的报价统一计算。</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4.3评审专家在规定的分值范围内独立打分，评分保留两位小数，如某分项评分要素为2分，则评审专家在0.01〜2分内打分。</w:t>
      </w:r>
      <w:bookmarkStart w:id="608" w:name="_Toc8214"/>
    </w:p>
    <w:p>
      <w:pPr>
        <w:spacing w:line="400" w:lineRule="exact"/>
        <w:ind w:firstLine="422" w:firstLineChars="200"/>
        <w:outlineLvl w:val="1"/>
        <w:rPr>
          <w:rFonts w:ascii="宋体" w:hAnsi="宋体" w:cs="宋体"/>
          <w:b/>
          <w:bCs/>
          <w:color w:val="auto"/>
          <w:szCs w:val="21"/>
          <w:highlight w:val="none"/>
        </w:rPr>
      </w:pPr>
      <w:bookmarkStart w:id="609" w:name="_Toc15465"/>
      <w:r>
        <w:rPr>
          <w:rFonts w:hint="eastAsia" w:ascii="宋体" w:hAnsi="宋体" w:cs="宋体"/>
          <w:b/>
          <w:bCs/>
          <w:color w:val="auto"/>
          <w:szCs w:val="21"/>
          <w:highlight w:val="none"/>
        </w:rPr>
        <w:t>五、评标办法和细则</w:t>
      </w:r>
      <w:bookmarkEnd w:id="608"/>
      <w:bookmarkEnd w:id="609"/>
    </w:p>
    <w:p>
      <w:pPr>
        <w:spacing w:line="400" w:lineRule="exact"/>
        <w:ind w:firstLine="422" w:firstLineChars="200"/>
        <w:jc w:val="left"/>
        <w:rPr>
          <w:color w:val="auto"/>
          <w:highlight w:val="none"/>
        </w:rPr>
      </w:pPr>
      <w:bookmarkStart w:id="610" w:name="_Toc8899"/>
      <w:r>
        <w:rPr>
          <w:rFonts w:hint="eastAsia" w:ascii="宋体" w:hAnsi="宋体" w:cs="宋体"/>
          <w:b/>
          <w:color w:val="auto"/>
          <w:szCs w:val="21"/>
          <w:highlight w:val="none"/>
        </w:rPr>
        <w:t>5.1.资信商务及技术分值为</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0分，权重为</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0%。</w:t>
      </w:r>
      <w:bookmarkEnd w:id="610"/>
    </w:p>
    <w:tbl>
      <w:tblPr>
        <w:tblStyle w:val="42"/>
        <w:tblW w:w="937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52"/>
        <w:gridCol w:w="612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ind w:firstLine="0" w:firstLineChars="0"/>
              <w:jc w:val="center"/>
              <w:rPr>
                <w:rFonts w:ascii="宋体" w:hAnsi="宋体"/>
                <w:b/>
                <w:bCs w:val="0"/>
                <w:color w:val="auto"/>
                <w:highlight w:val="none"/>
              </w:rPr>
            </w:pPr>
            <w:bookmarkStart w:id="611" w:name="_Toc14502"/>
            <w:bookmarkStart w:id="612" w:name="_Toc335664301"/>
            <w:bookmarkStart w:id="613" w:name="_Toc494555896"/>
            <w:bookmarkStart w:id="614" w:name="_Toc493956082"/>
            <w:r>
              <w:rPr>
                <w:rFonts w:hint="eastAsia" w:ascii="宋体" w:hAnsi="宋体"/>
                <w:b/>
                <w:bCs w:val="0"/>
                <w:color w:val="auto"/>
                <w:highlight w:val="none"/>
              </w:rPr>
              <w:t>序号</w:t>
            </w:r>
          </w:p>
        </w:tc>
        <w:tc>
          <w:tcPr>
            <w:tcW w:w="1252" w:type="dxa"/>
            <w:noWrap w:val="0"/>
            <w:vAlign w:val="center"/>
          </w:tcPr>
          <w:p>
            <w:pPr>
              <w:tabs>
                <w:tab w:val="left" w:pos="0"/>
              </w:tabs>
              <w:autoSpaceDE w:val="0"/>
              <w:autoSpaceDN w:val="0"/>
              <w:adjustRightInd w:val="0"/>
              <w:ind w:firstLine="0" w:firstLineChars="0"/>
              <w:jc w:val="center"/>
              <w:rPr>
                <w:rFonts w:ascii="宋体" w:hAnsi="宋体"/>
                <w:b/>
                <w:bCs w:val="0"/>
                <w:color w:val="auto"/>
                <w:highlight w:val="none"/>
              </w:rPr>
            </w:pPr>
            <w:r>
              <w:rPr>
                <w:rFonts w:hint="eastAsia" w:ascii="宋体" w:hAnsi="宋体"/>
                <w:b/>
                <w:bCs w:val="0"/>
                <w:color w:val="auto"/>
                <w:highlight w:val="none"/>
              </w:rPr>
              <w:t>评分内容</w:t>
            </w:r>
          </w:p>
        </w:tc>
        <w:tc>
          <w:tcPr>
            <w:tcW w:w="6128" w:type="dxa"/>
            <w:noWrap w:val="0"/>
            <w:vAlign w:val="center"/>
          </w:tcPr>
          <w:p>
            <w:pPr>
              <w:ind w:firstLine="0" w:firstLineChars="0"/>
              <w:jc w:val="center"/>
              <w:rPr>
                <w:rFonts w:ascii="宋体" w:hAnsi="宋体"/>
                <w:b/>
                <w:bCs w:val="0"/>
                <w:color w:val="auto"/>
                <w:highlight w:val="none"/>
              </w:rPr>
            </w:pPr>
            <w:r>
              <w:rPr>
                <w:rFonts w:hint="eastAsia" w:ascii="宋体" w:hAnsi="宋体"/>
                <w:b/>
                <w:bCs w:val="0"/>
                <w:color w:val="auto"/>
                <w:highlight w:val="none"/>
              </w:rPr>
              <w:t>评分标准</w:t>
            </w:r>
          </w:p>
        </w:tc>
        <w:tc>
          <w:tcPr>
            <w:tcW w:w="1317" w:type="dxa"/>
            <w:noWrap w:val="0"/>
            <w:vAlign w:val="center"/>
          </w:tcPr>
          <w:p>
            <w:pPr>
              <w:ind w:firstLine="0" w:firstLineChars="0"/>
              <w:jc w:val="center"/>
              <w:rPr>
                <w:rFonts w:hint="eastAsia" w:ascii="宋体" w:hAnsi="宋体" w:eastAsia="宋体"/>
                <w:b/>
                <w:bCs w:val="0"/>
                <w:color w:val="auto"/>
                <w:highlight w:val="none"/>
                <w:lang w:eastAsia="zh-CN"/>
              </w:rPr>
            </w:pPr>
            <w:r>
              <w:rPr>
                <w:rFonts w:hint="eastAsia" w:ascii="宋体" w:hAnsi="宋体"/>
                <w:b/>
                <w:bCs w:val="0"/>
                <w:color w:val="auto"/>
                <w:highlight w:val="none"/>
                <w:lang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ind w:firstLine="0" w:firstLineChars="0"/>
              <w:jc w:val="center"/>
              <w:rPr>
                <w:rFonts w:hint="eastAsia" w:ascii="宋体" w:hAnsi="宋体"/>
                <w:b w:val="0"/>
                <w:bCs/>
                <w:color w:val="auto"/>
                <w:highlight w:val="none"/>
              </w:rPr>
            </w:pPr>
            <w:r>
              <w:rPr>
                <w:rFonts w:hint="eastAsia" w:ascii="宋体" w:hAnsi="宋体"/>
                <w:b w:val="0"/>
                <w:bCs/>
                <w:color w:val="auto"/>
                <w:highlight w:val="none"/>
              </w:rPr>
              <w:t>1</w:t>
            </w:r>
          </w:p>
        </w:tc>
        <w:tc>
          <w:tcPr>
            <w:tcW w:w="1252" w:type="dxa"/>
            <w:noWrap w:val="0"/>
            <w:vAlign w:val="center"/>
          </w:tcPr>
          <w:p>
            <w:pPr>
              <w:ind w:firstLine="0" w:firstLineChars="0"/>
              <w:jc w:val="center"/>
              <w:rPr>
                <w:rFonts w:ascii="宋体" w:hAnsi="宋体"/>
                <w:b w:val="0"/>
                <w:bCs/>
                <w:color w:val="auto"/>
                <w:highlight w:val="none"/>
              </w:rPr>
            </w:pPr>
            <w:r>
              <w:rPr>
                <w:rFonts w:hint="eastAsia" w:ascii="仿宋_GB2312"/>
                <w:b w:val="0"/>
                <w:bCs/>
                <w:color w:val="auto"/>
                <w:highlight w:val="none"/>
              </w:rPr>
              <w:t>投标人相关认证证书</w:t>
            </w:r>
          </w:p>
        </w:tc>
        <w:tc>
          <w:tcPr>
            <w:tcW w:w="6128" w:type="dxa"/>
            <w:noWrap w:val="0"/>
            <w:vAlign w:val="center"/>
          </w:tcPr>
          <w:p>
            <w:pPr>
              <w:pStyle w:val="41"/>
              <w:spacing w:after="0" w:line="300" w:lineRule="auto"/>
              <w:ind w:left="0" w:leftChars="0" w:firstLine="0" w:firstLineChars="0"/>
              <w:rPr>
                <w:rFonts w:hint="eastAsia" w:ascii="宋体" w:hAnsi="宋体" w:cs="宋体"/>
                <w:bCs/>
                <w:color w:val="auto"/>
                <w:highlight w:val="none"/>
              </w:rPr>
            </w:pPr>
            <w:r>
              <w:rPr>
                <w:rFonts w:hint="eastAsia" w:ascii="宋体" w:hAnsi="宋体" w:cs="宋体"/>
                <w:bCs/>
                <w:color w:val="auto"/>
                <w:highlight w:val="none"/>
              </w:rPr>
              <w:t>投标人具有有效的质量管理体系认证证书、环境管理体系认证证书、ISO27001信息安全管理体系认证证书、ISO20000信息技术服务管理体系认证证书的，每提供一个符合上述要求的认证证书可得1分，最高可得4分。</w:t>
            </w:r>
          </w:p>
          <w:p>
            <w:pPr>
              <w:ind w:firstLine="0" w:firstLineChars="0"/>
              <w:rPr>
                <w:rFonts w:ascii="宋体" w:hAnsi="宋体" w:cs="宋体"/>
                <w:color w:val="auto"/>
                <w:highlight w:val="none"/>
              </w:rPr>
            </w:pPr>
            <w:r>
              <w:rPr>
                <w:rFonts w:hint="eastAsia" w:ascii="宋体" w:hAnsi="宋体" w:cs="宋体"/>
                <w:b/>
                <w:bCs/>
                <w:color w:val="auto"/>
                <w:highlight w:val="none"/>
              </w:rPr>
              <w:t>投标文件中须提供上述有效期内的证书扫</w:t>
            </w:r>
            <w:r>
              <w:rPr>
                <w:rFonts w:hint="eastAsia" w:ascii="宋体" w:hAnsi="宋体" w:cs="宋体"/>
                <w:b/>
                <w:bCs/>
                <w:color w:val="auto"/>
                <w:sz w:val="21"/>
                <w:szCs w:val="21"/>
                <w:highlight w:val="none"/>
              </w:rPr>
              <w:t>描</w:t>
            </w:r>
            <w:r>
              <w:rPr>
                <w:rFonts w:hint="eastAsia" w:ascii="宋体" w:hAnsi="宋体" w:cs="宋体"/>
                <w:b/>
                <w:bCs/>
                <w:color w:val="auto"/>
                <w:highlight w:val="none"/>
              </w:rPr>
              <w:t>件，否则不得分。</w:t>
            </w:r>
          </w:p>
        </w:tc>
        <w:tc>
          <w:tcPr>
            <w:tcW w:w="1317" w:type="dxa"/>
            <w:noWrap w:val="0"/>
            <w:vAlign w:val="center"/>
          </w:tcPr>
          <w:p>
            <w:pPr>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682" w:type="dxa"/>
            <w:noWrap w:val="0"/>
            <w:vAlign w:val="center"/>
          </w:tcPr>
          <w:p>
            <w:pPr>
              <w:ind w:firstLine="0" w:firstLineChars="0"/>
              <w:jc w:val="center"/>
              <w:rPr>
                <w:rFonts w:hint="eastAsia" w:ascii="宋体" w:hAnsi="宋体"/>
                <w:b w:val="0"/>
                <w:bCs/>
                <w:color w:val="auto"/>
                <w:highlight w:val="none"/>
              </w:rPr>
            </w:pPr>
            <w:r>
              <w:rPr>
                <w:rFonts w:hint="eastAsia" w:ascii="宋体" w:hAnsi="宋体"/>
                <w:b w:val="0"/>
                <w:bCs/>
                <w:color w:val="auto"/>
                <w:highlight w:val="none"/>
              </w:rPr>
              <w:t>2</w:t>
            </w:r>
          </w:p>
        </w:tc>
        <w:tc>
          <w:tcPr>
            <w:tcW w:w="1252" w:type="dxa"/>
            <w:noWrap w:val="0"/>
            <w:vAlign w:val="center"/>
          </w:tcPr>
          <w:p>
            <w:pPr>
              <w:pStyle w:val="24"/>
              <w:spacing w:line="240" w:lineRule="auto"/>
              <w:ind w:left="0" w:leftChars="0" w:firstLine="0" w:firstLineChars="0"/>
              <w:jc w:val="center"/>
              <w:rPr>
                <w:rFonts w:hint="eastAsia" w:ascii="仿宋_GB2312"/>
                <w:b w:val="0"/>
                <w:bCs/>
                <w:color w:val="auto"/>
                <w:highlight w:val="none"/>
              </w:rPr>
            </w:pPr>
            <w:r>
              <w:rPr>
                <w:rFonts w:hint="eastAsia" w:ascii="仿宋_GB2312"/>
                <w:b w:val="0"/>
                <w:bCs/>
                <w:color w:val="auto"/>
                <w:highlight w:val="none"/>
              </w:rPr>
              <w:t>成功案例及业绩</w:t>
            </w:r>
          </w:p>
        </w:tc>
        <w:tc>
          <w:tcPr>
            <w:tcW w:w="6128" w:type="dxa"/>
            <w:noWrap w:val="0"/>
            <w:vAlign w:val="center"/>
          </w:tcPr>
          <w:p>
            <w:pPr>
              <w:snapToGrid w:val="0"/>
              <w:spacing w:line="300" w:lineRule="auto"/>
              <w:ind w:firstLine="0" w:firstLineChars="0"/>
              <w:rPr>
                <w:rFonts w:hint="eastAsia" w:ascii="宋体" w:hAnsi="宋体" w:cs="宋体"/>
                <w:b/>
                <w:bCs/>
                <w:color w:val="auto"/>
                <w:highlight w:val="none"/>
              </w:rPr>
            </w:pPr>
            <w:r>
              <w:rPr>
                <w:rFonts w:hint="eastAsia" w:ascii="宋体" w:hAnsi="宋体" w:cs="宋体"/>
                <w:bCs/>
                <w:color w:val="auto"/>
                <w:highlight w:val="none"/>
              </w:rPr>
              <w:t>投标人具有类似业绩，每提供1个业绩得1分，最高可得3分。</w:t>
            </w:r>
            <w:r>
              <w:rPr>
                <w:rFonts w:hint="eastAsia" w:ascii="宋体" w:hAnsi="宋体" w:cs="宋体"/>
                <w:b/>
                <w:bCs/>
                <w:color w:val="auto"/>
                <w:szCs w:val="21"/>
                <w:highlight w:val="none"/>
              </w:rPr>
              <w:t>是否属于类似业绩由评标委员会根据合同的内容、特点等与本项目的类似程度进行认定</w:t>
            </w:r>
            <w:r>
              <w:rPr>
                <w:rFonts w:hint="eastAsia" w:ascii="宋体" w:hAnsi="宋体" w:cs="宋体"/>
                <w:b/>
                <w:bCs/>
                <w:color w:val="auto"/>
                <w:highlight w:val="none"/>
              </w:rPr>
              <w:t>。</w:t>
            </w:r>
          </w:p>
          <w:p>
            <w:pPr>
              <w:pStyle w:val="15"/>
              <w:spacing w:before="120"/>
              <w:ind w:firstLine="0" w:firstLineChars="0"/>
              <w:rPr>
                <w:rFonts w:ascii="宋体" w:hAnsi="宋体" w:cs="宋体"/>
                <w:b/>
                <w:color w:val="auto"/>
                <w:highlight w:val="none"/>
              </w:rPr>
            </w:pPr>
            <w:r>
              <w:rPr>
                <w:rFonts w:hint="eastAsia" w:ascii="仿宋_GB2312"/>
                <w:b/>
                <w:color w:val="auto"/>
                <w:highlight w:val="none"/>
              </w:rPr>
              <w:t>（</w:t>
            </w:r>
            <w:r>
              <w:rPr>
                <w:rFonts w:hint="eastAsia" w:ascii="仿宋_GB2312"/>
                <w:b/>
                <w:bCs/>
                <w:color w:val="auto"/>
                <w:highlight w:val="none"/>
              </w:rPr>
              <w:t>需提供中标（成交）通知书原件扫描件和合同原件扫描件，否则不得分）</w:t>
            </w:r>
          </w:p>
        </w:tc>
        <w:tc>
          <w:tcPr>
            <w:tcW w:w="1317" w:type="dxa"/>
            <w:noWrap w:val="0"/>
            <w:vAlign w:val="center"/>
          </w:tcPr>
          <w:p>
            <w:pPr>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jc w:val="center"/>
              <w:rPr>
                <w:rFonts w:hint="eastAsia" w:ascii="宋体" w:hAnsi="宋体"/>
                <w:b w:val="0"/>
                <w:bCs/>
                <w:color w:val="auto"/>
                <w:highlight w:val="none"/>
              </w:rPr>
            </w:pPr>
            <w:r>
              <w:rPr>
                <w:rFonts w:ascii="宋体" w:hAnsi="宋体"/>
                <w:bCs/>
                <w:color w:val="auto"/>
                <w:highlight w:val="none"/>
              </w:rPr>
              <w:t>3</w:t>
            </w:r>
          </w:p>
        </w:tc>
        <w:tc>
          <w:tcPr>
            <w:tcW w:w="1252" w:type="dxa"/>
            <w:noWrap w:val="0"/>
            <w:vAlign w:val="center"/>
          </w:tcPr>
          <w:p>
            <w:pPr>
              <w:jc w:val="center"/>
              <w:rPr>
                <w:rFonts w:ascii="宋体" w:hAnsi="宋体"/>
                <w:b w:val="0"/>
                <w:bCs/>
                <w:color w:val="auto"/>
                <w:highlight w:val="none"/>
              </w:rPr>
            </w:pPr>
            <w:r>
              <w:rPr>
                <w:rFonts w:hint="eastAsia" w:ascii="宋体" w:hAnsi="宋体"/>
                <w:bCs/>
                <w:color w:val="auto"/>
                <w:highlight w:val="none"/>
              </w:rPr>
              <w:t>服务需求理解</w:t>
            </w:r>
          </w:p>
        </w:tc>
        <w:tc>
          <w:tcPr>
            <w:tcW w:w="6128" w:type="dxa"/>
            <w:noWrap w:val="0"/>
            <w:vAlign w:val="center"/>
          </w:tcPr>
          <w:p>
            <w:pPr>
              <w:rPr>
                <w:rFonts w:hint="default" w:ascii="宋体" w:hAnsi="宋体" w:eastAsia="宋体" w:cs="宋体"/>
                <w:color w:val="auto"/>
                <w:highlight w:val="none"/>
                <w:lang w:val="en-US" w:eastAsia="zh-CN"/>
              </w:rPr>
            </w:pPr>
            <w:r>
              <w:rPr>
                <w:rFonts w:hint="eastAsia" w:ascii="宋体" w:hAnsi="宋体"/>
                <w:color w:val="auto"/>
                <w:highlight w:val="none"/>
              </w:rPr>
              <w:t>供应商阐述本项目的服务需求理解，对项目的现状与不足、服务需求分析、服务目标、服务重难点进行分析，磋商小组根据供应商对项目的服务需求理解程度进行打分；理解方案完整的、清晰的得4分；理解方案欠完整的、模糊的扣0.5分；理解方案不完整的、不清晰的扣1分。</w:t>
            </w:r>
          </w:p>
        </w:tc>
        <w:tc>
          <w:tcPr>
            <w:tcW w:w="1317" w:type="dxa"/>
            <w:noWrap w:val="0"/>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jc w:val="center"/>
              <w:rPr>
                <w:rFonts w:hint="eastAsia" w:ascii="宋体" w:hAnsi="宋体"/>
                <w:b w:val="0"/>
                <w:bCs/>
                <w:color w:val="auto"/>
                <w:highlight w:val="none"/>
              </w:rPr>
            </w:pPr>
            <w:r>
              <w:rPr>
                <w:rFonts w:ascii="宋体" w:hAnsi="宋体"/>
                <w:bCs/>
                <w:color w:val="auto"/>
                <w:highlight w:val="none"/>
              </w:rPr>
              <w:t>4</w:t>
            </w:r>
          </w:p>
        </w:tc>
        <w:tc>
          <w:tcPr>
            <w:tcW w:w="1252" w:type="dxa"/>
            <w:noWrap w:val="0"/>
            <w:vAlign w:val="center"/>
          </w:tcPr>
          <w:p>
            <w:pPr>
              <w:jc w:val="center"/>
              <w:rPr>
                <w:rFonts w:hint="eastAsia" w:ascii="宋体" w:hAnsi="宋体"/>
                <w:b w:val="0"/>
                <w:bCs/>
                <w:color w:val="auto"/>
                <w:highlight w:val="none"/>
              </w:rPr>
            </w:pPr>
            <w:r>
              <w:rPr>
                <w:rFonts w:hint="eastAsia" w:ascii="宋体" w:hAnsi="宋体"/>
                <w:bCs/>
                <w:color w:val="auto"/>
                <w:highlight w:val="none"/>
              </w:rPr>
              <w:t>项目服务总体设计</w:t>
            </w:r>
          </w:p>
        </w:tc>
        <w:tc>
          <w:tcPr>
            <w:tcW w:w="6128" w:type="dxa"/>
            <w:noWrap w:val="0"/>
            <w:vAlign w:val="center"/>
          </w:tcPr>
          <w:p>
            <w:pPr>
              <w:pStyle w:val="15"/>
              <w:spacing w:before="120"/>
              <w:rPr>
                <w:rFonts w:hint="default" w:ascii="宋体" w:hAnsi="宋体" w:eastAsia="宋体" w:cs="宋体"/>
                <w:color w:val="auto"/>
                <w:highlight w:val="none"/>
                <w:lang w:val="en-US" w:eastAsia="zh-CN"/>
              </w:rPr>
            </w:pPr>
            <w:r>
              <w:rPr>
                <w:rFonts w:hint="eastAsia" w:ascii="宋体" w:hAnsi="宋体"/>
                <w:color w:val="auto"/>
                <w:highlight w:val="none"/>
              </w:rPr>
              <w:t>供应商结合项目现状及服务需求，对本项目进行系统架构设计，磋商小组根据供应商总体设计与项目服务需求的符合程度进行打分；设计方案好的、完整的得4分；设计方案一般的 、欠完整的扣0.5分；设计方案不好的、不完整的扣1分。</w:t>
            </w:r>
          </w:p>
        </w:tc>
        <w:tc>
          <w:tcPr>
            <w:tcW w:w="1317" w:type="dxa"/>
            <w:noWrap w:val="0"/>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spacing w:line="380" w:lineRule="exact"/>
              <w:jc w:val="center"/>
              <w:rPr>
                <w:rFonts w:hint="eastAsia" w:ascii="宋体" w:hAnsi="宋体"/>
                <w:b w:val="0"/>
                <w:bCs/>
                <w:color w:val="auto"/>
                <w:highlight w:val="none"/>
              </w:rPr>
            </w:pPr>
            <w:r>
              <w:rPr>
                <w:rFonts w:ascii="宋体" w:hAnsi="宋体"/>
                <w:bCs/>
                <w:color w:val="auto"/>
                <w:highlight w:val="none"/>
              </w:rPr>
              <w:t>5</w:t>
            </w:r>
          </w:p>
        </w:tc>
        <w:tc>
          <w:tcPr>
            <w:tcW w:w="1252" w:type="dxa"/>
            <w:noWrap w:val="0"/>
            <w:vAlign w:val="center"/>
          </w:tcPr>
          <w:p>
            <w:pPr>
              <w:jc w:val="center"/>
              <w:rPr>
                <w:rFonts w:ascii="宋体" w:hAnsi="宋体"/>
                <w:b w:val="0"/>
                <w:bCs/>
                <w:color w:val="auto"/>
                <w:highlight w:val="none"/>
              </w:rPr>
            </w:pPr>
            <w:r>
              <w:rPr>
                <w:rFonts w:hint="eastAsia" w:ascii="宋体" w:hAnsi="宋体" w:cs="仿宋_GB2312"/>
                <w:bCs/>
                <w:color w:val="auto"/>
                <w:highlight w:val="none"/>
              </w:rPr>
              <w:t>技术偏离</w:t>
            </w:r>
          </w:p>
        </w:tc>
        <w:tc>
          <w:tcPr>
            <w:tcW w:w="6128" w:type="dxa"/>
            <w:noWrap w:val="0"/>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GB"/>
              </w:rPr>
              <w:t>供应商对本项目服务需求内容完全响应要求得</w:t>
            </w:r>
            <w:r>
              <w:rPr>
                <w:rFonts w:hint="eastAsia" w:ascii="宋体" w:hAnsi="宋体"/>
                <w:color w:val="auto"/>
                <w:highlight w:val="none"/>
              </w:rPr>
              <w:t>20</w:t>
            </w:r>
            <w:r>
              <w:rPr>
                <w:rFonts w:hint="eastAsia" w:ascii="宋体" w:hAnsi="宋体"/>
                <w:color w:val="auto"/>
                <w:highlight w:val="none"/>
                <w:lang w:val="en-GB"/>
              </w:rPr>
              <w:t>分；所有标注“▲”的技术指标为实质性指标，不允许有负偏离，有实质性负偏离的作无效标处理；标注“◆”的技术指标为关键性指标</w:t>
            </w:r>
            <w:r>
              <w:rPr>
                <w:rFonts w:hint="eastAsia" w:ascii="宋体" w:hAnsi="宋体"/>
                <w:color w:val="auto"/>
                <w:highlight w:val="none"/>
              </w:rPr>
              <w:t>，</w:t>
            </w:r>
            <w:r>
              <w:rPr>
                <w:rFonts w:hint="eastAsia" w:ascii="宋体" w:hAnsi="宋体"/>
                <w:color w:val="auto"/>
                <w:highlight w:val="none"/>
                <w:lang w:val="en-GB"/>
              </w:rPr>
              <w:t>需按参数要求提供</w:t>
            </w:r>
            <w:r>
              <w:rPr>
                <w:rFonts w:hint="eastAsia" w:ascii="宋体" w:hAnsi="宋体"/>
                <w:color w:val="auto"/>
                <w:highlight w:val="none"/>
              </w:rPr>
              <w:t>产品</w:t>
            </w:r>
            <w:r>
              <w:rPr>
                <w:rFonts w:hint="eastAsia" w:ascii="宋体" w:hAnsi="宋体"/>
                <w:color w:val="auto"/>
                <w:highlight w:val="none"/>
                <w:lang w:val="en-GB"/>
              </w:rPr>
              <w:t>检测报告，未提供检测报告的或者关键性技术指标（条款、参数）有存在负偏离的扣</w:t>
            </w:r>
            <w:r>
              <w:rPr>
                <w:rFonts w:hint="eastAsia" w:ascii="宋体" w:hAnsi="宋体"/>
                <w:color w:val="auto"/>
                <w:highlight w:val="none"/>
              </w:rPr>
              <w:t>1</w:t>
            </w:r>
            <w:r>
              <w:rPr>
                <w:rFonts w:hint="eastAsia" w:ascii="宋体" w:hAnsi="宋体"/>
                <w:color w:val="auto"/>
                <w:highlight w:val="none"/>
                <w:lang w:val="en-GB"/>
              </w:rPr>
              <w:t>分；</w:t>
            </w:r>
            <w:r>
              <w:rPr>
                <w:rFonts w:hint="eastAsia" w:ascii="宋体" w:hAnsi="宋体"/>
                <w:color w:val="auto"/>
                <w:highlight w:val="none"/>
              </w:rPr>
              <w:t>其他非实质性负偏离扣0.5分；</w:t>
            </w:r>
            <w:r>
              <w:rPr>
                <w:rFonts w:hint="eastAsia" w:ascii="宋体" w:hAnsi="宋体"/>
                <w:color w:val="auto"/>
                <w:highlight w:val="none"/>
                <w:lang w:val="en-GB"/>
              </w:rPr>
              <w:t>最高</w:t>
            </w:r>
            <w:r>
              <w:rPr>
                <w:rFonts w:hint="eastAsia" w:ascii="宋体" w:hAnsi="宋体"/>
                <w:color w:val="auto"/>
                <w:highlight w:val="none"/>
              </w:rPr>
              <w:t>20分。</w:t>
            </w:r>
          </w:p>
        </w:tc>
        <w:tc>
          <w:tcPr>
            <w:tcW w:w="1317" w:type="dxa"/>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2" w:type="dxa"/>
            <w:vMerge w:val="restart"/>
            <w:noWrap w:val="0"/>
            <w:vAlign w:val="center"/>
          </w:tcPr>
          <w:p>
            <w:pPr>
              <w:spacing w:line="240" w:lineRule="atLeast"/>
              <w:jc w:val="center"/>
              <w:rPr>
                <w:rFonts w:hint="eastAsia" w:ascii="宋体" w:hAnsi="宋体" w:cs="仿宋"/>
                <w:b w:val="0"/>
                <w:bCs/>
                <w:color w:val="auto"/>
                <w:highlight w:val="none"/>
              </w:rPr>
            </w:pPr>
            <w:r>
              <w:rPr>
                <w:rFonts w:ascii="宋体" w:hAnsi="宋体" w:cs="仿宋"/>
                <w:bCs/>
                <w:color w:val="auto"/>
                <w:highlight w:val="none"/>
              </w:rPr>
              <w:t>6</w:t>
            </w:r>
          </w:p>
        </w:tc>
        <w:tc>
          <w:tcPr>
            <w:tcW w:w="1252" w:type="dxa"/>
            <w:vMerge w:val="restart"/>
            <w:noWrap w:val="0"/>
            <w:vAlign w:val="center"/>
          </w:tcPr>
          <w:p>
            <w:pPr>
              <w:tabs>
                <w:tab w:val="left" w:pos="0"/>
              </w:tabs>
              <w:autoSpaceDE w:val="0"/>
              <w:autoSpaceDN w:val="0"/>
              <w:adjustRightInd w:val="0"/>
              <w:spacing w:line="276" w:lineRule="auto"/>
              <w:jc w:val="center"/>
              <w:rPr>
                <w:rFonts w:hint="eastAsia" w:ascii="宋体" w:hAnsi="宋体"/>
                <w:b w:val="0"/>
                <w:bCs/>
                <w:color w:val="auto"/>
                <w:highlight w:val="none"/>
              </w:rPr>
            </w:pPr>
            <w:r>
              <w:rPr>
                <w:rFonts w:hint="eastAsia" w:ascii="宋体" w:hAnsi="宋体"/>
                <w:bCs/>
                <w:color w:val="auto"/>
                <w:highlight w:val="none"/>
              </w:rPr>
              <w:t>项目实施服务方案</w:t>
            </w:r>
          </w:p>
        </w:tc>
        <w:tc>
          <w:tcPr>
            <w:tcW w:w="6128" w:type="dxa"/>
            <w:noWrap w:val="0"/>
            <w:vAlign w:val="center"/>
          </w:tcPr>
          <w:p>
            <w:pPr>
              <w:rPr>
                <w:rFonts w:hint="eastAsia" w:ascii="宋体" w:hAnsi="宋体"/>
                <w:color w:val="auto"/>
                <w:highlight w:val="none"/>
              </w:rPr>
            </w:pPr>
            <w:r>
              <w:rPr>
                <w:rFonts w:hint="eastAsia" w:ascii="宋体" w:hAnsi="宋体"/>
                <w:color w:val="auto"/>
                <w:highlight w:val="none"/>
              </w:rPr>
              <w:t>投标的整体服务实施方案是否满足招标文件要求；内容是否完整齐全、表述准确、条理清晰，内容无前后矛盾，符合招标文件要求，由评审小组判定评分；内容完整的、清晰的、无矛盾的、符合招标文件要求的得5分；内容欠完整的、模糊的、无矛盾的、基本符合招标文件要求的扣0.5分；内容不完整的、不清晰的、矛盾的、不符合招标文件要求的扣1分。</w:t>
            </w:r>
          </w:p>
        </w:tc>
        <w:tc>
          <w:tcPr>
            <w:tcW w:w="1317" w:type="dxa"/>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2" w:type="dxa"/>
            <w:vMerge w:val="continue"/>
            <w:noWrap w:val="0"/>
            <w:vAlign w:val="center"/>
          </w:tcPr>
          <w:p>
            <w:pPr>
              <w:spacing w:line="240" w:lineRule="atLeast"/>
              <w:jc w:val="center"/>
              <w:rPr>
                <w:rFonts w:ascii="宋体" w:hAnsi="宋体" w:cs="仿宋"/>
                <w:b w:val="0"/>
                <w:bCs/>
                <w:color w:val="auto"/>
                <w:highlight w:val="none"/>
              </w:rPr>
            </w:pPr>
          </w:p>
        </w:tc>
        <w:tc>
          <w:tcPr>
            <w:tcW w:w="1252" w:type="dxa"/>
            <w:vMerge w:val="continue"/>
            <w:noWrap w:val="0"/>
            <w:vAlign w:val="center"/>
          </w:tcPr>
          <w:p>
            <w:pPr>
              <w:tabs>
                <w:tab w:val="left" w:pos="0"/>
              </w:tabs>
              <w:autoSpaceDE w:val="0"/>
              <w:autoSpaceDN w:val="0"/>
              <w:adjustRightInd w:val="0"/>
              <w:spacing w:line="276" w:lineRule="auto"/>
              <w:jc w:val="center"/>
              <w:rPr>
                <w:rFonts w:hint="eastAsia" w:ascii="宋体" w:hAnsi="宋体"/>
                <w:b w:val="0"/>
                <w:bCs/>
                <w:color w:val="auto"/>
                <w:highlight w:val="none"/>
              </w:rPr>
            </w:pPr>
          </w:p>
        </w:tc>
        <w:tc>
          <w:tcPr>
            <w:tcW w:w="6128" w:type="dxa"/>
            <w:noWrap w:val="0"/>
            <w:vAlign w:val="center"/>
          </w:tcPr>
          <w:p>
            <w:pPr>
              <w:rPr>
                <w:rFonts w:hint="eastAsia" w:ascii="宋体" w:hAnsi="宋体"/>
                <w:color w:val="auto"/>
                <w:highlight w:val="none"/>
              </w:rPr>
            </w:pPr>
            <w:r>
              <w:rPr>
                <w:rFonts w:hint="eastAsia" w:ascii="宋体" w:hAnsi="宋体"/>
                <w:color w:val="auto"/>
                <w:highlight w:val="none"/>
              </w:rPr>
              <w:t>根据投标人针对本项目服务需求制定设备维护管理方案的合理性，科学性，可行性进行打分；方案合理的、科学的、可行性高的得5分；方案欠合理的、欠科学的、可行性一般的扣0.5分；方案不合理的、不科学的、可行性不高的扣1分。</w:t>
            </w:r>
          </w:p>
        </w:tc>
        <w:tc>
          <w:tcPr>
            <w:tcW w:w="1317" w:type="dxa"/>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2" w:type="dxa"/>
            <w:vMerge w:val="continue"/>
            <w:noWrap w:val="0"/>
            <w:vAlign w:val="center"/>
          </w:tcPr>
          <w:p>
            <w:pPr>
              <w:spacing w:line="240" w:lineRule="atLeast"/>
              <w:jc w:val="center"/>
              <w:rPr>
                <w:rFonts w:ascii="宋体" w:hAnsi="宋体" w:cs="仿宋"/>
                <w:b w:val="0"/>
                <w:bCs/>
                <w:color w:val="auto"/>
                <w:highlight w:val="none"/>
              </w:rPr>
            </w:pPr>
          </w:p>
        </w:tc>
        <w:tc>
          <w:tcPr>
            <w:tcW w:w="1252" w:type="dxa"/>
            <w:vMerge w:val="continue"/>
            <w:noWrap w:val="0"/>
            <w:vAlign w:val="center"/>
          </w:tcPr>
          <w:p>
            <w:pPr>
              <w:tabs>
                <w:tab w:val="left" w:pos="0"/>
              </w:tabs>
              <w:autoSpaceDE w:val="0"/>
              <w:autoSpaceDN w:val="0"/>
              <w:adjustRightInd w:val="0"/>
              <w:spacing w:line="276" w:lineRule="auto"/>
              <w:jc w:val="center"/>
              <w:rPr>
                <w:rFonts w:hint="eastAsia" w:ascii="宋体" w:hAnsi="宋体"/>
                <w:b w:val="0"/>
                <w:bCs/>
                <w:color w:val="auto"/>
                <w:highlight w:val="none"/>
              </w:rPr>
            </w:pPr>
          </w:p>
        </w:tc>
        <w:tc>
          <w:tcPr>
            <w:tcW w:w="6128" w:type="dxa"/>
            <w:noWrap w:val="0"/>
            <w:vAlign w:val="center"/>
          </w:tcPr>
          <w:p>
            <w:pPr>
              <w:rPr>
                <w:rFonts w:hint="eastAsia" w:ascii="宋体" w:hAnsi="宋体"/>
                <w:color w:val="auto"/>
                <w:highlight w:val="none"/>
              </w:rPr>
            </w:pPr>
            <w:r>
              <w:rPr>
                <w:rFonts w:hint="eastAsia" w:ascii="宋体" w:hAnsi="宋体"/>
                <w:color w:val="auto"/>
                <w:highlight w:val="none"/>
              </w:rPr>
              <w:t>根据投标人提供的安装调试服务、试运行服务、验收以及组织机构、工作程序和步骤、管理和协调方法、关键步骤的思路和要点等内容，由评审小组判定评分；步骤清晰的、方法协调性高的、要点清晰的得5分；步骤欠清晰的、方法协调性一般的 、要点欠清晰的扣0.5分；步骤不清晰的、方法协调性差的、要点不清晰的扣1分。</w:t>
            </w:r>
          </w:p>
        </w:tc>
        <w:tc>
          <w:tcPr>
            <w:tcW w:w="1317" w:type="dxa"/>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2" w:type="dxa"/>
            <w:vMerge w:val="continue"/>
            <w:noWrap w:val="0"/>
            <w:vAlign w:val="center"/>
          </w:tcPr>
          <w:p>
            <w:pPr>
              <w:spacing w:line="240" w:lineRule="atLeast"/>
              <w:jc w:val="center"/>
              <w:rPr>
                <w:rFonts w:ascii="宋体" w:hAnsi="宋体" w:cs="仿宋"/>
                <w:b w:val="0"/>
                <w:bCs/>
                <w:color w:val="auto"/>
                <w:highlight w:val="none"/>
              </w:rPr>
            </w:pPr>
          </w:p>
        </w:tc>
        <w:tc>
          <w:tcPr>
            <w:tcW w:w="1252" w:type="dxa"/>
            <w:vMerge w:val="continue"/>
            <w:noWrap w:val="0"/>
            <w:vAlign w:val="center"/>
          </w:tcPr>
          <w:p>
            <w:pPr>
              <w:tabs>
                <w:tab w:val="left" w:pos="0"/>
              </w:tabs>
              <w:autoSpaceDE w:val="0"/>
              <w:autoSpaceDN w:val="0"/>
              <w:adjustRightInd w:val="0"/>
              <w:spacing w:line="276" w:lineRule="auto"/>
              <w:jc w:val="center"/>
              <w:rPr>
                <w:rFonts w:hint="eastAsia" w:ascii="宋体" w:hAnsi="宋体"/>
                <w:b w:val="0"/>
                <w:bCs/>
                <w:color w:val="auto"/>
                <w:highlight w:val="none"/>
              </w:rPr>
            </w:pPr>
          </w:p>
        </w:tc>
        <w:tc>
          <w:tcPr>
            <w:tcW w:w="6128" w:type="dxa"/>
            <w:noWrap w:val="0"/>
            <w:vAlign w:val="center"/>
          </w:tcPr>
          <w:p>
            <w:pPr>
              <w:rPr>
                <w:rFonts w:hint="default" w:ascii="宋体" w:hAnsi="宋体" w:eastAsia="宋体"/>
                <w:color w:val="auto"/>
                <w:highlight w:val="none"/>
                <w:lang w:val="en-US" w:eastAsia="zh-CN"/>
              </w:rPr>
            </w:pPr>
            <w:r>
              <w:rPr>
                <w:rFonts w:hint="eastAsia" w:ascii="宋体" w:hAnsi="宋体"/>
                <w:color w:val="auto"/>
                <w:highlight w:val="none"/>
              </w:rPr>
              <w:t>投标人提供的项目服务建设工期、服务进度计划等完全能满足项目实施要求，由评审小组判定评分；内容全面的、合理的、可行性高的得</w:t>
            </w:r>
            <w:r>
              <w:rPr>
                <w:rFonts w:ascii="宋体" w:hAnsi="宋体"/>
                <w:color w:val="auto"/>
                <w:highlight w:val="none"/>
              </w:rPr>
              <w:t>5</w:t>
            </w:r>
            <w:r>
              <w:rPr>
                <w:rFonts w:hint="eastAsia" w:ascii="宋体" w:hAnsi="宋体"/>
                <w:color w:val="auto"/>
                <w:highlight w:val="none"/>
              </w:rPr>
              <w:t>分；内容欠全面的、欠合理的、可行性一般的扣0.5分；内容不全面的、不合理的、可行性低的扣1分。</w:t>
            </w:r>
          </w:p>
        </w:tc>
        <w:tc>
          <w:tcPr>
            <w:tcW w:w="1317" w:type="dxa"/>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2" w:type="dxa"/>
            <w:noWrap w:val="0"/>
            <w:vAlign w:val="center"/>
          </w:tcPr>
          <w:p>
            <w:pPr>
              <w:spacing w:line="240" w:lineRule="atLeast"/>
              <w:ind w:firstLine="0" w:firstLineChars="0"/>
              <w:jc w:val="center"/>
              <w:rPr>
                <w:rFonts w:hint="eastAsia" w:ascii="宋体" w:hAnsi="宋体" w:cs="仿宋"/>
                <w:b w:val="0"/>
                <w:bCs/>
                <w:color w:val="auto"/>
                <w:highlight w:val="none"/>
              </w:rPr>
            </w:pPr>
            <w:r>
              <w:rPr>
                <w:rFonts w:ascii="宋体" w:hAnsi="宋体" w:cs="仿宋"/>
                <w:b w:val="0"/>
                <w:bCs/>
                <w:color w:val="auto"/>
                <w:highlight w:val="none"/>
              </w:rPr>
              <w:t>7</w:t>
            </w:r>
          </w:p>
        </w:tc>
        <w:tc>
          <w:tcPr>
            <w:tcW w:w="1252" w:type="dxa"/>
            <w:noWrap w:val="0"/>
            <w:vAlign w:val="center"/>
          </w:tcPr>
          <w:p>
            <w:pPr>
              <w:ind w:firstLine="0" w:firstLineChars="0"/>
              <w:jc w:val="center"/>
              <w:rPr>
                <w:rFonts w:ascii="宋体" w:hAnsi="宋体"/>
                <w:b w:val="0"/>
                <w:bCs/>
                <w:color w:val="auto"/>
                <w:highlight w:val="none"/>
              </w:rPr>
            </w:pPr>
            <w:r>
              <w:rPr>
                <w:rFonts w:hint="eastAsia" w:ascii="宋体" w:hAnsi="宋体"/>
                <w:b w:val="0"/>
                <w:bCs/>
                <w:color w:val="auto"/>
                <w:highlight w:val="none"/>
              </w:rPr>
              <w:t>人员配置</w:t>
            </w:r>
          </w:p>
        </w:tc>
        <w:tc>
          <w:tcPr>
            <w:tcW w:w="6128" w:type="dxa"/>
            <w:noWrap w:val="0"/>
            <w:vAlign w:val="center"/>
          </w:tcPr>
          <w:p>
            <w:pPr>
              <w:ind w:firstLine="0" w:firstLineChars="0"/>
              <w:rPr>
                <w:rFonts w:hint="eastAsia" w:ascii="宋体" w:hAnsi="宋体"/>
                <w:color w:val="auto"/>
                <w:highlight w:val="none"/>
              </w:rPr>
            </w:pPr>
            <w:r>
              <w:rPr>
                <w:rFonts w:hint="eastAsia" w:ascii="宋体" w:hAnsi="宋体"/>
                <w:color w:val="auto"/>
                <w:highlight w:val="none"/>
              </w:rPr>
              <w:t>根据投标人对项目组人员投入、人员技术力量（担任本项目经理和技术负责人的技术能力、工作履历、资质、类似项目经验人员配置情况）及人员配置方案，由评审小组判定评分，</w:t>
            </w:r>
            <w:r>
              <w:rPr>
                <w:rFonts w:hint="eastAsia" w:ascii="宋体" w:hAnsi="宋体"/>
                <w:color w:val="auto"/>
                <w:highlight w:val="none"/>
                <w:lang w:eastAsia="zh-CN"/>
              </w:rPr>
              <w:t>全面的、周到的得</w:t>
            </w:r>
            <w:r>
              <w:rPr>
                <w:rFonts w:hint="eastAsia" w:ascii="宋体" w:hAnsi="宋体"/>
                <w:color w:val="auto"/>
                <w:highlight w:val="none"/>
                <w:lang w:val="en-US" w:eastAsia="zh-CN"/>
              </w:rPr>
              <w:t>3分；欠全面、欠周到的扣0.5分；不全面、不周到的扣1分</w:t>
            </w:r>
            <w:r>
              <w:rPr>
                <w:rFonts w:hint="eastAsia" w:ascii="宋体" w:hAnsi="宋体"/>
                <w:color w:val="auto"/>
                <w:highlight w:val="none"/>
              </w:rPr>
              <w:t>。</w:t>
            </w:r>
          </w:p>
        </w:tc>
        <w:tc>
          <w:tcPr>
            <w:tcW w:w="1317" w:type="dxa"/>
            <w:noWrap w:val="0"/>
            <w:vAlign w:val="center"/>
          </w:tcPr>
          <w:p>
            <w:pPr>
              <w:ind w:firstLine="0" w:firstLineChars="0"/>
              <w:jc w:val="center"/>
              <w:rPr>
                <w:rFonts w:hint="eastAsia" w:ascii="宋体" w:hAnsi="宋体" w:eastAsia="宋体"/>
                <w:color w:val="auto"/>
                <w:highlight w:val="none"/>
                <w:lang w:eastAsia="zh-CN"/>
              </w:rPr>
            </w:pPr>
            <w:r>
              <w:rPr>
                <w:rFonts w:hint="eastAsia" w:ascii="宋体" w:hAnsi="宋体"/>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2" w:type="dxa"/>
            <w:noWrap w:val="0"/>
            <w:vAlign w:val="center"/>
          </w:tcPr>
          <w:p>
            <w:pPr>
              <w:spacing w:line="240" w:lineRule="atLeast"/>
              <w:ind w:firstLine="0" w:firstLineChars="0"/>
              <w:jc w:val="center"/>
              <w:rPr>
                <w:rFonts w:hint="eastAsia" w:ascii="宋体" w:hAnsi="宋体" w:cs="仿宋"/>
                <w:b w:val="0"/>
                <w:bCs/>
                <w:color w:val="auto"/>
                <w:highlight w:val="none"/>
              </w:rPr>
            </w:pPr>
            <w:r>
              <w:rPr>
                <w:rFonts w:ascii="宋体" w:hAnsi="宋体" w:cs="仿宋"/>
                <w:b w:val="0"/>
                <w:bCs/>
                <w:color w:val="auto"/>
                <w:highlight w:val="none"/>
              </w:rPr>
              <w:t>8</w:t>
            </w:r>
          </w:p>
        </w:tc>
        <w:tc>
          <w:tcPr>
            <w:tcW w:w="1252" w:type="dxa"/>
            <w:noWrap w:val="0"/>
            <w:vAlign w:val="center"/>
          </w:tcPr>
          <w:p>
            <w:pPr>
              <w:ind w:firstLine="0" w:firstLineChars="0"/>
              <w:jc w:val="center"/>
              <w:rPr>
                <w:rFonts w:ascii="宋体" w:hAnsi="宋体" w:cs="宋体"/>
                <w:b w:val="0"/>
                <w:bCs/>
                <w:color w:val="auto"/>
                <w:highlight w:val="none"/>
              </w:rPr>
            </w:pPr>
            <w:r>
              <w:rPr>
                <w:rFonts w:hint="eastAsia" w:ascii="宋体" w:hAnsi="宋体" w:cs="宋体"/>
                <w:b w:val="0"/>
                <w:bCs/>
                <w:color w:val="auto"/>
                <w:highlight w:val="none"/>
              </w:rPr>
              <w:t>培训方案</w:t>
            </w:r>
          </w:p>
        </w:tc>
        <w:tc>
          <w:tcPr>
            <w:tcW w:w="6128" w:type="dxa"/>
            <w:noWrap w:val="0"/>
            <w:vAlign w:val="center"/>
          </w:tcPr>
          <w:p>
            <w:pPr>
              <w:ind w:firstLine="0" w:firstLineChars="0"/>
              <w:rPr>
                <w:rFonts w:hint="eastAsia" w:ascii="宋体" w:hAnsi="宋体"/>
                <w:color w:val="auto"/>
                <w:highlight w:val="none"/>
              </w:rPr>
            </w:pPr>
            <w:r>
              <w:rPr>
                <w:rFonts w:hint="eastAsia" w:ascii="宋体" w:hAnsi="宋体"/>
                <w:color w:val="auto"/>
                <w:highlight w:val="none"/>
              </w:rPr>
              <w:t>根据投标人提供的技术培训方案（培训的方式、地点、人数、时间等实质性内容）的合理性、科学性由评审小组判定评分</w:t>
            </w:r>
            <w:r>
              <w:rPr>
                <w:rFonts w:hint="eastAsia" w:ascii="宋体" w:hAnsi="宋体"/>
                <w:color w:val="auto"/>
                <w:highlight w:val="none"/>
                <w:lang w:eastAsia="zh-CN"/>
              </w:rPr>
              <w:t>；方案合理的、科学性高的得</w:t>
            </w:r>
            <w:r>
              <w:rPr>
                <w:rFonts w:hint="eastAsia" w:ascii="宋体" w:hAnsi="宋体"/>
                <w:color w:val="auto"/>
                <w:highlight w:val="none"/>
                <w:lang w:val="en-US" w:eastAsia="zh-CN"/>
              </w:rPr>
              <w:t>4分；方案欠合理的、科学性一般的扣0.5分；方案不合理的、科学性不高的扣1分</w:t>
            </w:r>
            <w:r>
              <w:rPr>
                <w:rFonts w:hint="eastAsia" w:ascii="宋体" w:hAnsi="宋体"/>
                <w:color w:val="auto"/>
                <w:highlight w:val="none"/>
              </w:rPr>
              <w:t>。</w:t>
            </w:r>
          </w:p>
        </w:tc>
        <w:tc>
          <w:tcPr>
            <w:tcW w:w="1317" w:type="dxa"/>
            <w:noWrap w:val="0"/>
            <w:vAlign w:val="center"/>
          </w:tcPr>
          <w:p>
            <w:pPr>
              <w:ind w:firstLine="0" w:firstLineChars="0"/>
              <w:jc w:val="center"/>
              <w:rPr>
                <w:rFonts w:hint="eastAsia" w:ascii="宋体" w:hAnsi="宋体" w:eastAsia="宋体"/>
                <w:color w:val="auto"/>
                <w:highlight w:val="none"/>
                <w:lang w:eastAsia="zh-CN"/>
              </w:rPr>
            </w:pPr>
            <w:r>
              <w:rPr>
                <w:rFonts w:hint="eastAsia" w:ascii="宋体" w:hAnsi="宋体"/>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2" w:type="dxa"/>
            <w:noWrap w:val="0"/>
            <w:vAlign w:val="center"/>
          </w:tcPr>
          <w:p>
            <w:pPr>
              <w:spacing w:line="240" w:lineRule="atLeast"/>
              <w:jc w:val="center"/>
              <w:rPr>
                <w:rFonts w:ascii="宋体" w:hAnsi="宋体" w:cs="仿宋"/>
                <w:b w:val="0"/>
                <w:bCs/>
                <w:color w:val="auto"/>
                <w:highlight w:val="none"/>
              </w:rPr>
            </w:pPr>
            <w:r>
              <w:rPr>
                <w:rFonts w:ascii="宋体" w:hAnsi="宋体" w:cs="仿宋"/>
                <w:bCs/>
                <w:color w:val="auto"/>
                <w:highlight w:val="none"/>
              </w:rPr>
              <w:t>9</w:t>
            </w:r>
          </w:p>
        </w:tc>
        <w:tc>
          <w:tcPr>
            <w:tcW w:w="1252" w:type="dxa"/>
            <w:noWrap w:val="0"/>
            <w:vAlign w:val="center"/>
          </w:tcPr>
          <w:p>
            <w:pPr>
              <w:jc w:val="center"/>
              <w:rPr>
                <w:rFonts w:hint="eastAsia" w:ascii="宋体" w:hAnsi="宋体" w:cs="宋体"/>
                <w:b w:val="0"/>
                <w:bCs/>
                <w:color w:val="auto"/>
                <w:highlight w:val="none"/>
              </w:rPr>
            </w:pPr>
            <w:r>
              <w:rPr>
                <w:rFonts w:hint="eastAsia" w:ascii="宋体" w:hAnsi="宋体" w:cs="宋体"/>
                <w:bCs/>
                <w:color w:val="auto"/>
                <w:highlight w:val="none"/>
              </w:rPr>
              <w:t>服务突发事件应急预案</w:t>
            </w:r>
          </w:p>
        </w:tc>
        <w:tc>
          <w:tcPr>
            <w:tcW w:w="6128" w:type="dxa"/>
            <w:noWrap w:val="0"/>
            <w:vAlign w:val="center"/>
          </w:tcPr>
          <w:p>
            <w:pPr>
              <w:rPr>
                <w:rFonts w:hint="eastAsia" w:ascii="宋体" w:hAnsi="宋体"/>
                <w:color w:val="auto"/>
                <w:highlight w:val="none"/>
              </w:rPr>
            </w:pPr>
            <w:r>
              <w:rPr>
                <w:rFonts w:hint="eastAsia" w:ascii="宋体" w:hAnsi="宋体"/>
                <w:color w:val="auto"/>
                <w:highlight w:val="none"/>
              </w:rPr>
              <w:t>投标人对本项目服务过程中突发性事件所采取的相关应急预案是否完善、有效，由评审小组判定评分；预案完整的、有效的得4分；预案欠完整的扣0.5分；预案不完整的、无效的扣1分。</w:t>
            </w:r>
          </w:p>
        </w:tc>
        <w:tc>
          <w:tcPr>
            <w:tcW w:w="1317" w:type="dxa"/>
            <w:noWrap w:val="0"/>
            <w:vAlign w:val="center"/>
          </w:tcPr>
          <w:p>
            <w:pPr>
              <w:ind w:firstLine="0" w:firstLineChars="0"/>
              <w:jc w:val="center"/>
              <w:rPr>
                <w:rFonts w:hint="eastAsia" w:ascii="宋体" w:hAnsi="宋体" w:eastAsia="宋体"/>
                <w:color w:val="auto"/>
                <w:highlight w:val="none"/>
                <w:lang w:eastAsia="zh-CN"/>
              </w:rPr>
            </w:pPr>
            <w:r>
              <w:rPr>
                <w:rFonts w:hint="eastAsia" w:ascii="宋体" w:hAnsi="宋体"/>
                <w:color w:val="auto"/>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2" w:type="dxa"/>
            <w:noWrap w:val="0"/>
            <w:vAlign w:val="center"/>
          </w:tcPr>
          <w:p>
            <w:pPr>
              <w:spacing w:line="240" w:lineRule="atLeast"/>
              <w:ind w:firstLine="0" w:firstLineChars="0"/>
              <w:jc w:val="center"/>
              <w:rPr>
                <w:rFonts w:hint="eastAsia" w:ascii="宋体" w:hAnsi="宋体" w:cs="仿宋"/>
                <w:b w:val="0"/>
                <w:bCs/>
                <w:color w:val="auto"/>
                <w:highlight w:val="none"/>
              </w:rPr>
            </w:pPr>
            <w:r>
              <w:rPr>
                <w:rFonts w:ascii="宋体" w:hAnsi="宋体" w:cs="仿宋"/>
                <w:b w:val="0"/>
                <w:bCs/>
                <w:color w:val="auto"/>
                <w:highlight w:val="none"/>
              </w:rPr>
              <w:t>10</w:t>
            </w:r>
          </w:p>
        </w:tc>
        <w:tc>
          <w:tcPr>
            <w:tcW w:w="1252" w:type="dxa"/>
            <w:noWrap w:val="0"/>
            <w:vAlign w:val="center"/>
          </w:tcPr>
          <w:p>
            <w:pPr>
              <w:ind w:firstLine="0" w:firstLineChars="0"/>
              <w:jc w:val="center"/>
              <w:rPr>
                <w:rFonts w:hint="eastAsia" w:ascii="宋体" w:hAnsi="宋体" w:cs="宋体"/>
                <w:b w:val="0"/>
                <w:bCs/>
                <w:color w:val="auto"/>
                <w:highlight w:val="none"/>
              </w:rPr>
            </w:pPr>
            <w:r>
              <w:rPr>
                <w:rFonts w:hint="eastAsia" w:ascii="宋体" w:hAnsi="宋体" w:cs="宋体"/>
                <w:b w:val="0"/>
                <w:bCs/>
                <w:color w:val="auto"/>
                <w:highlight w:val="none"/>
              </w:rPr>
              <w:t>售后服务方案</w:t>
            </w:r>
          </w:p>
        </w:tc>
        <w:tc>
          <w:tcPr>
            <w:tcW w:w="6128" w:type="dxa"/>
            <w:noWrap w:val="0"/>
            <w:vAlign w:val="center"/>
          </w:tcPr>
          <w:p>
            <w:pPr>
              <w:ind w:firstLine="0" w:firstLineChars="0"/>
              <w:rPr>
                <w:rFonts w:hint="eastAsia" w:ascii="宋体" w:hAnsi="宋体"/>
                <w:color w:val="auto"/>
                <w:highlight w:val="none"/>
              </w:rPr>
            </w:pPr>
            <w:r>
              <w:rPr>
                <w:rFonts w:hint="eastAsia" w:ascii="宋体" w:hAnsi="宋体"/>
                <w:color w:val="auto"/>
                <w:highlight w:val="none"/>
              </w:rPr>
              <w:t>根据投标人提供的售后服务方案安排是否详细、思路是否清晰、服务内容是否针对性，且具有专业服务力量和服务保障方案等内容，由评审小组判定评分</w:t>
            </w:r>
            <w:r>
              <w:rPr>
                <w:rFonts w:hint="eastAsia" w:ascii="宋体" w:hAnsi="宋体"/>
                <w:color w:val="auto"/>
                <w:highlight w:val="none"/>
                <w:lang w:eastAsia="zh-CN"/>
              </w:rPr>
              <w:t>；方案全面的、周到的得</w:t>
            </w:r>
            <w:r>
              <w:rPr>
                <w:rFonts w:hint="eastAsia" w:ascii="宋体" w:hAnsi="宋体"/>
                <w:color w:val="auto"/>
                <w:highlight w:val="none"/>
                <w:lang w:val="en-US" w:eastAsia="zh-CN"/>
              </w:rPr>
              <w:t>4分；方案欠全面的、欠周到的扣0.5分；方案不全面的、不周到的扣1分</w:t>
            </w:r>
            <w:r>
              <w:rPr>
                <w:rFonts w:hint="eastAsia" w:ascii="宋体" w:hAnsi="宋体"/>
                <w:color w:val="auto"/>
                <w:highlight w:val="none"/>
              </w:rPr>
              <w:t>。</w:t>
            </w:r>
          </w:p>
        </w:tc>
        <w:tc>
          <w:tcPr>
            <w:tcW w:w="1317" w:type="dxa"/>
            <w:noWrap w:val="0"/>
            <w:vAlign w:val="center"/>
          </w:tcPr>
          <w:p>
            <w:pPr>
              <w:ind w:firstLine="0" w:firstLineChars="0"/>
              <w:jc w:val="center"/>
              <w:rPr>
                <w:rFonts w:hint="eastAsia" w:ascii="宋体" w:hAnsi="宋体" w:eastAsia="宋体"/>
                <w:color w:val="auto"/>
                <w:highlight w:val="none"/>
                <w:lang w:eastAsia="zh-CN"/>
              </w:rPr>
            </w:pPr>
            <w:r>
              <w:rPr>
                <w:rFonts w:hint="eastAsia" w:ascii="宋体" w:hAnsi="宋体"/>
                <w:color w:val="auto"/>
                <w:highlight w:val="none"/>
                <w:lang w:eastAsia="zh-CN"/>
              </w:rPr>
              <w:t>主观分</w:t>
            </w:r>
          </w:p>
        </w:tc>
      </w:tr>
    </w:tbl>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5.2.报价得分计算：</w:t>
      </w:r>
      <w:bookmarkEnd w:id="611"/>
    </w:p>
    <w:p>
      <w:pPr>
        <w:spacing w:line="400" w:lineRule="exact"/>
        <w:ind w:firstLine="420" w:firstLineChars="200"/>
        <w:rPr>
          <w:rFonts w:ascii="宋体" w:hAnsi="宋体" w:cs="宋体"/>
          <w:color w:val="auto"/>
          <w:szCs w:val="21"/>
          <w:highlight w:val="none"/>
        </w:rPr>
      </w:pPr>
      <w:bookmarkStart w:id="615" w:name="EB217c00f118724f6bb5745c5cec252819"/>
      <w:r>
        <w:rPr>
          <w:rFonts w:hint="eastAsia" w:ascii="宋体" w:hAnsi="宋体" w:cs="宋体"/>
          <w:color w:val="auto"/>
          <w:szCs w:val="21"/>
          <w:highlight w:val="none"/>
        </w:rPr>
        <w:t>1、报价文件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评标基准价=投标报价中的最低报价；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投标报价等于评标基准价的得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0分，其他投标人的报价得分按下列公式计算：</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投标报价得分=（评定基准价/投标报价）×报价权重×100。 </w:t>
      </w:r>
      <w:bookmarkEnd w:id="615"/>
      <w:bookmarkStart w:id="616" w:name="_Toc23610"/>
    </w:p>
    <w:p>
      <w:pPr>
        <w:spacing w:line="400" w:lineRule="exact"/>
        <w:ind w:firstLine="422" w:firstLineChars="200"/>
        <w:outlineLvl w:val="1"/>
        <w:rPr>
          <w:rFonts w:ascii="宋体" w:hAnsi="宋体" w:cs="宋体"/>
          <w:b/>
          <w:bCs/>
          <w:color w:val="auto"/>
          <w:szCs w:val="21"/>
          <w:highlight w:val="none"/>
        </w:rPr>
      </w:pPr>
      <w:bookmarkStart w:id="617" w:name="_Toc24281"/>
      <w:r>
        <w:rPr>
          <w:rFonts w:hint="eastAsia" w:ascii="宋体" w:hAnsi="宋体" w:cs="宋体"/>
          <w:b/>
          <w:bCs/>
          <w:color w:val="auto"/>
          <w:szCs w:val="21"/>
          <w:highlight w:val="none"/>
        </w:rPr>
        <w:t>六 评审纪律和要求</w:t>
      </w:r>
      <w:bookmarkEnd w:id="612"/>
      <w:bookmarkEnd w:id="613"/>
      <w:bookmarkEnd w:id="614"/>
      <w:bookmarkEnd w:id="616"/>
      <w:bookmarkEnd w:id="617"/>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 评审专家必须公平、公正评审，遵纪守法，客观、廉洁地履行职责。</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 评审专家在评审开始前，应关闭并上交随身携带的各种通信工具。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 评审专家在评审过程中，未经许可不得中途离开评审现场，不得迟到早退。</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6.4 评审专家和工作人员不得透露评审过程中的讨论情况和评审结果。</w:t>
      </w:r>
    </w:p>
    <w:p>
      <w:pPr>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6.6 采购人、采购代理机构不得向评审委员会的评审专家作倾向性、误导性的解释或者说明。</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6.8 评审专家在评审过程中不得将自己的观点强加给其他评审专家，评审专家应自主发表见解，对评审意见承担个人责任。</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6.9 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6.11 评审专家应当遵守评审工作纪律，不得泄露评审文件、评审情况和评审中获悉的商业秘密。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评审委员会在评审过程中发现投标人有行贿、提供虚假材料或者串通等违法行为的，应当及时向财政部门报告。</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6.12 招标文件内容违反国家有关强制性规定的，评审委员会应当停止评审并向采购代理机构说明情况。</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6.13 评审专家应当配合采购代理机构答复投标人提出的质疑。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6.14 评审专家应当配合财政部门的投诉处理工作。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6.15评审专家有如下行为之一的，责令改正，给予警告，可以并处一千元以下的罚款：</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6.15.1 明知应当回避而未主动回避的；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6.15.2 在知道自己为评审专家身份后至评审结束前的时段内私下接触投标人的；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6.15.3 在评审过程中擅离职守，影响评审程序正常进行的；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6.15.4 在评审过程有明显不合理或者不正当倾向性的；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6.15.5 未按招标文件规定的评审方法和标准进行评审的。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6.15.6 上述6.15.1至6.15.5行为影响中标结果的，中标结果无效。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6.16 采购代理机构可对各评审专家的专业技术水平和职业道德素质等情况进行评价，并可将评价意见在评审结束后2个工作日内反馈给财政部门，财政部门以此作为对评审专家的考核管理依据。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政府采购评审专家与投标人存在利害关系未回避的，处2万元以上5万元以下的罚款，禁止其参加政府采购评审活动。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政府采购评审专家有上述违法行为的，其评审意见无效，不得获取评审费；有违法所得的，没收违法所得；给他人造成损失的，依法承担民事责任。</w:t>
      </w:r>
    </w:p>
    <w:p>
      <w:pPr>
        <w:pStyle w:val="170"/>
        <w:spacing w:before="0" w:beforeAutospacing="0" w:after="0" w:afterAutospacing="0" w:line="360" w:lineRule="auto"/>
        <w:ind w:firstLine="480" w:firstLineChars="200"/>
        <w:rPr>
          <w:color w:val="auto"/>
          <w:szCs w:val="21"/>
          <w:highlight w:val="none"/>
        </w:rPr>
      </w:pPr>
    </w:p>
    <w:sectPr>
      <w:headerReference r:id="rId7" w:type="first"/>
      <w:headerReference r:id="rId6" w:type="default"/>
      <w:footerReference r:id="rId8" w:type="default"/>
      <w:pgSz w:w="11906" w:h="16838"/>
      <w:pgMar w:top="1417" w:right="1417" w:bottom="1134" w:left="141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Gulim">
    <w:altName w:val="Malgun Gothic"/>
    <w:panose1 w:val="020B0600000101010101"/>
    <w:charset w:val="81"/>
    <w:family w:val="roman"/>
    <w:pitch w:val="default"/>
    <w:sig w:usb0="00000000" w:usb1="00000000" w:usb2="00000030" w:usb3="00000000" w:csb0="4008009F" w:csb1="DFD7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eijing">
    <w:altName w:val="Arial"/>
    <w:panose1 w:val="00000000000000000000"/>
    <w:charset w:val="50"/>
    <w:family w:val="auto"/>
    <w:pitch w:val="default"/>
    <w:sig w:usb0="00000000" w:usb1="00000000" w:usb2="00000000" w:usb3="00000000" w:csb0="00000000" w:csb1="00000000"/>
  </w:font>
  <w:font w:name="Helvetica">
    <w:panose1 w:val="020B0504020202030204"/>
    <w:charset w:val="00"/>
    <w:family w:val="swiss"/>
    <w:pitch w:val="default"/>
    <w:sig w:usb0="00000007" w:usb1="00000000" w:usb2="00000000" w:usb3="00000000" w:csb0="00000093"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招标代理机构：浙江鼎峰工程咨询有限公司     电话：0578-3311234    传真：0578-3311234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eastAsia="宋体" w:cs="宋体"/>
      </w:rPr>
    </w:pPr>
    <w:r>
      <w:rPr>
        <w:rFonts w:hint="eastAsia"/>
      </w:rPr>
      <w:t>招标代理机构：浙江鼎峰工程咨询有限公司       电话：0578-3311234      传真：0578-3311234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jc w:val="left"/>
      <w:rPr>
        <w:rFonts w:ascii="宋体" w:hAnsi="宋体" w:cs="宋体"/>
        <w:sz w:val="20"/>
        <w:szCs w:val="20"/>
      </w:rPr>
    </w:pPr>
    <w:r>
      <w:rPr>
        <w:sz w:val="20"/>
        <w:szCs w:val="1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r>
                            <w:rPr>
                              <w:rFonts w:hint="eastAsia" w:ascii="宋体" w:hAnsi="宋体" w:cs="宋体"/>
                            </w:rPr>
                            <w:t xml:space="preserve"> 页 共 </w:t>
                          </w:r>
                          <w:r>
                            <w:fldChar w:fldCharType="begin"/>
                          </w:r>
                          <w:r>
                            <w:instrText xml:space="preserve"> NUMPAGES  \* MERGEFORMAT </w:instrText>
                          </w:r>
                          <w:r>
                            <w:fldChar w:fldCharType="separate"/>
                          </w:r>
                          <w:r>
                            <w:rPr>
                              <w:rFonts w:ascii="宋体" w:hAnsi="宋体" w:cs="宋体"/>
                            </w:rPr>
                            <w:t>114</w:t>
                          </w:r>
                          <w:r>
                            <w:rPr>
                              <w:rFonts w:ascii="宋体" w:hAnsi="宋体" w:cs="宋体"/>
                            </w:rPr>
                            <w:fldChar w:fldCharType="end"/>
                          </w:r>
                          <w:r>
                            <w:rPr>
                              <w:rFonts w:hint="eastAsia" w:ascii="宋体" w:hAnsi="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r>
                      <w:rPr>
                        <w:rFonts w:hint="eastAsia" w:ascii="宋体" w:hAnsi="宋体" w:cs="宋体"/>
                      </w:rPr>
                      <w:t xml:space="preserve"> 页 共 </w:t>
                    </w:r>
                    <w:r>
                      <w:fldChar w:fldCharType="begin"/>
                    </w:r>
                    <w:r>
                      <w:instrText xml:space="preserve"> NUMPAGES  \* MERGEFORMAT </w:instrText>
                    </w:r>
                    <w:r>
                      <w:fldChar w:fldCharType="separate"/>
                    </w:r>
                    <w:r>
                      <w:rPr>
                        <w:rFonts w:ascii="宋体" w:hAnsi="宋体" w:cs="宋体"/>
                      </w:rPr>
                      <w:t>114</w:t>
                    </w:r>
                    <w:r>
                      <w:rPr>
                        <w:rFonts w:ascii="宋体" w:hAnsi="宋体" w:cs="宋体"/>
                      </w:rPr>
                      <w:fldChar w:fldCharType="end"/>
                    </w:r>
                    <w:r>
                      <w:rPr>
                        <w:rFonts w:hint="eastAsia" w:ascii="宋体" w:hAnsi="宋体" w:cs="宋体"/>
                      </w:rPr>
                      <w:t xml:space="preserve"> 页</w:t>
                    </w:r>
                  </w:p>
                </w:txbxContent>
              </v:textbox>
            </v:shape>
          </w:pict>
        </mc:Fallback>
      </mc:AlternateContent>
    </w:r>
    <w:r>
      <w:rPr>
        <w:rFonts w:hint="eastAsia" w:ascii="宋体" w:hAnsi="宋体" w:cs="宋体"/>
        <w:sz w:val="20"/>
        <w:szCs w:val="20"/>
        <w:lang w:eastAsia="zh-CN"/>
      </w:rPr>
      <w:t>缙云县公安局执法全过程音视频工作平台建设政府采购项目</w:t>
    </w:r>
    <w:r>
      <w:rPr>
        <w:rFonts w:hint="eastAsia" w:ascii="宋体" w:hAnsi="宋体" w:cs="宋体"/>
        <w:sz w:val="20"/>
        <w:szCs w:val="20"/>
      </w:rPr>
      <w:t>竞争性</w:t>
    </w:r>
    <w:r>
      <w:rPr>
        <w:rFonts w:hint="eastAsia" w:ascii="宋体" w:hAnsi="宋体" w:cs="宋体"/>
        <w:sz w:val="20"/>
        <w:szCs w:val="20"/>
        <w:lang w:eastAsia="zh-CN"/>
      </w:rPr>
      <w:t>磋商</w:t>
    </w:r>
    <w:r>
      <w:rPr>
        <w:rFonts w:hint="eastAsia" w:ascii="宋体" w:hAnsi="宋体" w:cs="宋体"/>
        <w:sz w:val="20"/>
        <w:szCs w:val="20"/>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jc w:val="left"/>
      <w:rPr>
        <w:sz w:val="21"/>
        <w:szCs w:val="21"/>
      </w:rPr>
    </w:pPr>
    <w:r>
      <w:rPr>
        <w:rFonts w:hint="eastAsia" w:asciiTheme="minorEastAsia" w:hAnsiTheme="minorEastAsia" w:eastAsiaTheme="minorEastAsia" w:cstheme="minorEastAsia"/>
        <w:sz w:val="21"/>
        <w:szCs w:val="21"/>
        <w:lang w:eastAsia="zh-CN"/>
      </w:rPr>
      <w:t>缙云县公安局执法全过程音视频工作平台建设政府采购项目</w:t>
    </w:r>
    <w:r>
      <w:rPr>
        <w:rFonts w:hint="eastAsia" w:asciiTheme="minorEastAsia" w:hAnsiTheme="minorEastAsia" w:eastAsiaTheme="minorEastAsia" w:cstheme="minorEastAsia"/>
        <w:sz w:val="21"/>
        <w:szCs w:val="21"/>
      </w:rPr>
      <w:t>竞争性磋商文件</w:t>
    </w: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111</w:t>
                          </w:r>
                          <w:r>
                            <w:rPr>
                              <w:rFonts w:hint="eastAsia" w:ascii="宋体" w:hAnsi="宋体" w:cs="宋体"/>
                            </w:rPr>
                            <w:fldChar w:fldCharType="end"/>
                          </w:r>
                          <w:r>
                            <w:rPr>
                              <w:rFonts w:hint="eastAsia" w:ascii="宋体" w:hAnsi="宋体" w:cs="宋体"/>
                            </w:rPr>
                            <w:t xml:space="preserve"> 页 共 </w:t>
                          </w:r>
                          <w:r>
                            <w:fldChar w:fldCharType="begin"/>
                          </w:r>
                          <w:r>
                            <w:instrText xml:space="preserve"> NUMPAGES  \* MERGEFORMAT </w:instrText>
                          </w:r>
                          <w:r>
                            <w:fldChar w:fldCharType="separate"/>
                          </w:r>
                          <w:r>
                            <w:rPr>
                              <w:rFonts w:ascii="宋体" w:hAnsi="宋体" w:cs="宋体"/>
                            </w:rPr>
                            <w:t>114</w:t>
                          </w:r>
                          <w:r>
                            <w:rPr>
                              <w:rFonts w:ascii="宋体" w:hAnsi="宋体" w:cs="宋体"/>
                            </w:rPr>
                            <w:fldChar w:fldCharType="end"/>
                          </w:r>
                          <w:r>
                            <w:rPr>
                              <w:rFonts w:hint="eastAsia" w:ascii="宋体" w:hAnsi="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111</w:t>
                    </w:r>
                    <w:r>
                      <w:rPr>
                        <w:rFonts w:hint="eastAsia" w:ascii="宋体" w:hAnsi="宋体" w:cs="宋体"/>
                      </w:rPr>
                      <w:fldChar w:fldCharType="end"/>
                    </w:r>
                    <w:r>
                      <w:rPr>
                        <w:rFonts w:hint="eastAsia" w:ascii="宋体" w:hAnsi="宋体" w:cs="宋体"/>
                      </w:rPr>
                      <w:t xml:space="preserve"> 页 共 </w:t>
                    </w:r>
                    <w:r>
                      <w:fldChar w:fldCharType="begin"/>
                    </w:r>
                    <w:r>
                      <w:instrText xml:space="preserve"> NUMPAGES  \* MERGEFORMAT </w:instrText>
                    </w:r>
                    <w:r>
                      <w:fldChar w:fldCharType="separate"/>
                    </w:r>
                    <w:r>
                      <w:rPr>
                        <w:rFonts w:ascii="宋体" w:hAnsi="宋体" w:cs="宋体"/>
                      </w:rPr>
                      <w:t>114</w:t>
                    </w:r>
                    <w:r>
                      <w:rPr>
                        <w:rFonts w:ascii="宋体" w:hAnsi="宋体" w:cs="宋体"/>
                      </w:rPr>
                      <w:fldChar w:fldCharType="end"/>
                    </w:r>
                    <w:r>
                      <w:rPr>
                        <w:rFonts w:hint="eastAsia" w:ascii="宋体" w:hAnsi="宋体" w:cs="宋体"/>
                      </w:rPr>
                      <w:t xml:space="preserve"> 页</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asciiTheme="minorEastAsia" w:hAnsiTheme="minorEastAsia" w:eastAsiaTheme="minorEastAsia" w:cstheme="minorEastAsia"/>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v:textbox>
            </v:shape>
          </w:pict>
        </mc:Fallback>
      </mc:AlternateContent>
    </w:r>
    <w:r>
      <w:rPr>
        <w:rFonts w:hint="eastAsia" w:asciiTheme="minorEastAsia" w:hAnsiTheme="minorEastAsia" w:eastAsiaTheme="minorEastAsia" w:cstheme="minorEastAsia"/>
        <w:sz w:val="21"/>
        <w:szCs w:val="21"/>
        <w:lang w:eastAsia="zh-CN"/>
      </w:rPr>
      <w:t>缙云县公安局执法全过程音视频工作平台建设政府采购项目</w:t>
    </w:r>
    <w:r>
      <w:rPr>
        <w:rFonts w:hint="eastAsia" w:asciiTheme="minorEastAsia" w:hAnsiTheme="minorEastAsia" w:eastAsiaTheme="minorEastAsia" w:cstheme="minorEastAsia"/>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6271D"/>
    <w:multiLevelType w:val="singleLevel"/>
    <w:tmpl w:val="9DD6271D"/>
    <w:lvl w:ilvl="0" w:tentative="0">
      <w:start w:val="5"/>
      <w:numFmt w:val="chineseCounting"/>
      <w:suff w:val="space"/>
      <w:lvlText w:val="第%1章"/>
      <w:lvlJc w:val="left"/>
      <w:rPr>
        <w:rFonts w:hint="eastAsia"/>
      </w:rPr>
    </w:lvl>
  </w:abstractNum>
  <w:abstractNum w:abstractNumId="1">
    <w:nsid w:val="DB2FB6B3"/>
    <w:multiLevelType w:val="singleLevel"/>
    <w:tmpl w:val="DB2FB6B3"/>
    <w:lvl w:ilvl="0" w:tentative="0">
      <w:start w:val="1"/>
      <w:numFmt w:val="decimal"/>
      <w:lvlText w:val="%1."/>
      <w:lvlJc w:val="left"/>
      <w:pPr>
        <w:tabs>
          <w:tab w:val="left" w:pos="312"/>
        </w:tabs>
      </w:pPr>
    </w:lvl>
  </w:abstractNum>
  <w:abstractNum w:abstractNumId="2">
    <w:nsid w:val="FB3A87FD"/>
    <w:multiLevelType w:val="singleLevel"/>
    <w:tmpl w:val="FB3A87FD"/>
    <w:lvl w:ilvl="0" w:tentative="0">
      <w:start w:val="11"/>
      <w:numFmt w:val="decimal"/>
      <w:lvlText w:val="%1."/>
      <w:lvlJc w:val="left"/>
      <w:pPr>
        <w:tabs>
          <w:tab w:val="left" w:pos="312"/>
        </w:tabs>
      </w:pPr>
    </w:lvl>
  </w:abstractNum>
  <w:abstractNum w:abstractNumId="3">
    <w:nsid w:val="36272C7A"/>
    <w:multiLevelType w:val="multilevel"/>
    <w:tmpl w:val="36272C7A"/>
    <w:lvl w:ilvl="0" w:tentative="0">
      <w:start w:val="1"/>
      <w:numFmt w:val="koreanDigital2"/>
      <w:suff w:val="space"/>
      <w:lvlText w:val="%1、"/>
      <w:lvlJc w:val="left"/>
      <w:pPr>
        <w:ind w:left="0" w:firstLine="0"/>
      </w:pPr>
      <w:rPr>
        <w:rFonts w:hint="eastAsia"/>
      </w:rPr>
    </w:lvl>
    <w:lvl w:ilvl="1" w:tentative="0">
      <w:start w:val="1"/>
      <w:numFmt w:val="koreanDigital2"/>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EnclosedCircle"/>
      <w:suff w:val="space"/>
      <w:lvlText w:val="%4."/>
      <w:lvlJc w:val="left"/>
      <w:pPr>
        <w:ind w:left="0" w:firstLine="0"/>
      </w:pPr>
      <w:rPr>
        <w:rFonts w:hint="eastAsia"/>
      </w:rPr>
    </w:lvl>
    <w:lvl w:ilvl="4" w:tentative="0">
      <w:start w:val="1"/>
      <w:numFmt w:val="decimal"/>
      <w:suff w:val="nothing"/>
      <w:lvlText w:val="%5、"/>
      <w:lvlJc w:val="left"/>
      <w:pPr>
        <w:ind w:left="0" w:firstLine="238"/>
      </w:pPr>
      <w:rPr>
        <w:rFonts w:hint="eastAsia"/>
      </w:rPr>
    </w:lvl>
    <w:lvl w:ilvl="5" w:tentative="0">
      <w:start w:val="1"/>
      <w:numFmt w:val="upperLetter"/>
      <w:suff w:val="space"/>
      <w:lvlText w:val="%6."/>
      <w:lvlJc w:val="left"/>
      <w:pPr>
        <w:ind w:left="0" w:firstLine="482"/>
      </w:pPr>
      <w:rPr>
        <w:rFonts w:hint="eastAsia"/>
      </w:rPr>
    </w:lvl>
    <w:lvl w:ilvl="6" w:tentative="0">
      <w:start w:val="1"/>
      <w:numFmt w:val="lowerLetter"/>
      <w:suff w:val="space"/>
      <w:lvlText w:val="%7."/>
      <w:lvlJc w:val="left"/>
      <w:pPr>
        <w:ind w:left="0" w:firstLine="482"/>
      </w:pPr>
      <w:rPr>
        <w:rFonts w:hint="eastAsia"/>
      </w:rPr>
    </w:lvl>
    <w:lvl w:ilvl="7" w:tentative="0">
      <w:start w:val="1"/>
      <w:numFmt w:val="decimal"/>
      <w:pStyle w:val="217"/>
      <w:lvlText w:val="%8."/>
      <w:lvlJc w:val="left"/>
      <w:pPr>
        <w:tabs>
          <w:tab w:val="left" w:pos="482"/>
        </w:tabs>
        <w:ind w:left="0" w:firstLine="482"/>
      </w:pPr>
      <w:rPr>
        <w:rFonts w:hint="eastAsia"/>
      </w:rPr>
    </w:lvl>
    <w:lvl w:ilvl="8" w:tentative="0">
      <w:start w:val="1"/>
      <w:numFmt w:val="decimal"/>
      <w:lvlText w:val="%1.%2.%3.%4.%5.%6.%7.%8.%9"/>
      <w:lvlJc w:val="left"/>
      <w:pPr>
        <w:ind w:left="0" w:firstLine="0"/>
      </w:pPr>
      <w:rPr>
        <w:rFonts w:hint="eastAsia"/>
      </w:rPr>
    </w:lvl>
  </w:abstractNum>
  <w:abstractNum w:abstractNumId="4">
    <w:nsid w:val="763060DB"/>
    <w:multiLevelType w:val="multilevel"/>
    <w:tmpl w:val="763060DB"/>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157"/>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OGNhOTQzOWUwMDZmZjg5ZjgwZDNjMWEzOTYyY2IifQ=="/>
  </w:docVars>
  <w:rsids>
    <w:rsidRoot w:val="00172A27"/>
    <w:rsid w:val="0000026E"/>
    <w:rsid w:val="00002901"/>
    <w:rsid w:val="00004BE9"/>
    <w:rsid w:val="00005689"/>
    <w:rsid w:val="00005F2C"/>
    <w:rsid w:val="0000628F"/>
    <w:rsid w:val="000078F3"/>
    <w:rsid w:val="000105B1"/>
    <w:rsid w:val="00012E28"/>
    <w:rsid w:val="000131BB"/>
    <w:rsid w:val="000165E2"/>
    <w:rsid w:val="000169E9"/>
    <w:rsid w:val="00016E9F"/>
    <w:rsid w:val="00017572"/>
    <w:rsid w:val="00017C74"/>
    <w:rsid w:val="000218B1"/>
    <w:rsid w:val="00021E17"/>
    <w:rsid w:val="00022D8A"/>
    <w:rsid w:val="00023144"/>
    <w:rsid w:val="00024A1D"/>
    <w:rsid w:val="000254DF"/>
    <w:rsid w:val="00025EC4"/>
    <w:rsid w:val="00030222"/>
    <w:rsid w:val="0003075A"/>
    <w:rsid w:val="00031EB4"/>
    <w:rsid w:val="00032423"/>
    <w:rsid w:val="00033C2A"/>
    <w:rsid w:val="00035A9E"/>
    <w:rsid w:val="0003693D"/>
    <w:rsid w:val="000375AC"/>
    <w:rsid w:val="00041671"/>
    <w:rsid w:val="0004213C"/>
    <w:rsid w:val="000427F9"/>
    <w:rsid w:val="00046E89"/>
    <w:rsid w:val="00051729"/>
    <w:rsid w:val="0005599A"/>
    <w:rsid w:val="00055BCF"/>
    <w:rsid w:val="00055F1D"/>
    <w:rsid w:val="000572F0"/>
    <w:rsid w:val="0005756F"/>
    <w:rsid w:val="0005793A"/>
    <w:rsid w:val="00061B3B"/>
    <w:rsid w:val="00061F29"/>
    <w:rsid w:val="00062A58"/>
    <w:rsid w:val="000648B8"/>
    <w:rsid w:val="00064B57"/>
    <w:rsid w:val="0006586E"/>
    <w:rsid w:val="0006791B"/>
    <w:rsid w:val="00067FB0"/>
    <w:rsid w:val="000713D6"/>
    <w:rsid w:val="000733F3"/>
    <w:rsid w:val="00075DF4"/>
    <w:rsid w:val="0007771C"/>
    <w:rsid w:val="000809DF"/>
    <w:rsid w:val="00083C30"/>
    <w:rsid w:val="000840B3"/>
    <w:rsid w:val="0008616F"/>
    <w:rsid w:val="000864D0"/>
    <w:rsid w:val="0008712A"/>
    <w:rsid w:val="00087503"/>
    <w:rsid w:val="0009216D"/>
    <w:rsid w:val="00094B9C"/>
    <w:rsid w:val="00094FE7"/>
    <w:rsid w:val="00095AB9"/>
    <w:rsid w:val="00095B3A"/>
    <w:rsid w:val="00096E0A"/>
    <w:rsid w:val="000A078E"/>
    <w:rsid w:val="000A1717"/>
    <w:rsid w:val="000A39FD"/>
    <w:rsid w:val="000A6268"/>
    <w:rsid w:val="000A656E"/>
    <w:rsid w:val="000A7CA5"/>
    <w:rsid w:val="000B014F"/>
    <w:rsid w:val="000B0E00"/>
    <w:rsid w:val="000B1405"/>
    <w:rsid w:val="000B3F16"/>
    <w:rsid w:val="000B5CE6"/>
    <w:rsid w:val="000B6651"/>
    <w:rsid w:val="000B7B11"/>
    <w:rsid w:val="000C1AFF"/>
    <w:rsid w:val="000C3EDC"/>
    <w:rsid w:val="000C4D12"/>
    <w:rsid w:val="000D08D4"/>
    <w:rsid w:val="000D0E1D"/>
    <w:rsid w:val="000D1341"/>
    <w:rsid w:val="000D14A7"/>
    <w:rsid w:val="000D16D1"/>
    <w:rsid w:val="000D17C0"/>
    <w:rsid w:val="000D2228"/>
    <w:rsid w:val="000D3A80"/>
    <w:rsid w:val="000D7BE0"/>
    <w:rsid w:val="000E0D93"/>
    <w:rsid w:val="000E0EE8"/>
    <w:rsid w:val="000E1BD9"/>
    <w:rsid w:val="000E3197"/>
    <w:rsid w:val="000E422F"/>
    <w:rsid w:val="000E4D56"/>
    <w:rsid w:val="000E6DB0"/>
    <w:rsid w:val="000F1CF4"/>
    <w:rsid w:val="000F1D66"/>
    <w:rsid w:val="000F2E9A"/>
    <w:rsid w:val="000F6898"/>
    <w:rsid w:val="00100D6C"/>
    <w:rsid w:val="00100E87"/>
    <w:rsid w:val="00101BB2"/>
    <w:rsid w:val="001034A7"/>
    <w:rsid w:val="001060C2"/>
    <w:rsid w:val="00107071"/>
    <w:rsid w:val="00110130"/>
    <w:rsid w:val="00111104"/>
    <w:rsid w:val="00111D8F"/>
    <w:rsid w:val="00111E1B"/>
    <w:rsid w:val="001122CB"/>
    <w:rsid w:val="00114227"/>
    <w:rsid w:val="00117098"/>
    <w:rsid w:val="001214E7"/>
    <w:rsid w:val="00121A2D"/>
    <w:rsid w:val="00122E67"/>
    <w:rsid w:val="00123B0A"/>
    <w:rsid w:val="0012483C"/>
    <w:rsid w:val="001271F9"/>
    <w:rsid w:val="0013027D"/>
    <w:rsid w:val="00130CBC"/>
    <w:rsid w:val="00131D77"/>
    <w:rsid w:val="001328EF"/>
    <w:rsid w:val="0013569E"/>
    <w:rsid w:val="00136060"/>
    <w:rsid w:val="00137A57"/>
    <w:rsid w:val="0014115A"/>
    <w:rsid w:val="00141C32"/>
    <w:rsid w:val="00143432"/>
    <w:rsid w:val="00145AB3"/>
    <w:rsid w:val="00146E79"/>
    <w:rsid w:val="00151893"/>
    <w:rsid w:val="00151C22"/>
    <w:rsid w:val="001520D0"/>
    <w:rsid w:val="00152BA7"/>
    <w:rsid w:val="00152EC2"/>
    <w:rsid w:val="0015477D"/>
    <w:rsid w:val="00155194"/>
    <w:rsid w:val="001560E6"/>
    <w:rsid w:val="00156A4E"/>
    <w:rsid w:val="0016073F"/>
    <w:rsid w:val="001607F5"/>
    <w:rsid w:val="00161350"/>
    <w:rsid w:val="001617D1"/>
    <w:rsid w:val="00164CF1"/>
    <w:rsid w:val="00165987"/>
    <w:rsid w:val="001662D6"/>
    <w:rsid w:val="00167CB3"/>
    <w:rsid w:val="00171FC9"/>
    <w:rsid w:val="00172A27"/>
    <w:rsid w:val="00172C20"/>
    <w:rsid w:val="001732EF"/>
    <w:rsid w:val="001747FE"/>
    <w:rsid w:val="00175B1A"/>
    <w:rsid w:val="00183F6A"/>
    <w:rsid w:val="001847A5"/>
    <w:rsid w:val="001851CB"/>
    <w:rsid w:val="0018658B"/>
    <w:rsid w:val="00186A6E"/>
    <w:rsid w:val="00187AA8"/>
    <w:rsid w:val="001900DF"/>
    <w:rsid w:val="00193B09"/>
    <w:rsid w:val="001941D4"/>
    <w:rsid w:val="001945E7"/>
    <w:rsid w:val="00194FFE"/>
    <w:rsid w:val="00195613"/>
    <w:rsid w:val="00195A42"/>
    <w:rsid w:val="00195BE3"/>
    <w:rsid w:val="00196442"/>
    <w:rsid w:val="001965BA"/>
    <w:rsid w:val="00197FDC"/>
    <w:rsid w:val="001A0E00"/>
    <w:rsid w:val="001A0F0E"/>
    <w:rsid w:val="001A0FA6"/>
    <w:rsid w:val="001A2B82"/>
    <w:rsid w:val="001A3DC1"/>
    <w:rsid w:val="001A4285"/>
    <w:rsid w:val="001A4A2B"/>
    <w:rsid w:val="001A7BE9"/>
    <w:rsid w:val="001A7E70"/>
    <w:rsid w:val="001B013B"/>
    <w:rsid w:val="001B01C2"/>
    <w:rsid w:val="001B11A9"/>
    <w:rsid w:val="001B1435"/>
    <w:rsid w:val="001B14DE"/>
    <w:rsid w:val="001B18CD"/>
    <w:rsid w:val="001B5FFF"/>
    <w:rsid w:val="001B606B"/>
    <w:rsid w:val="001B60A9"/>
    <w:rsid w:val="001B7657"/>
    <w:rsid w:val="001C0F06"/>
    <w:rsid w:val="001C1020"/>
    <w:rsid w:val="001C3826"/>
    <w:rsid w:val="001C39CA"/>
    <w:rsid w:val="001C4239"/>
    <w:rsid w:val="001C4C64"/>
    <w:rsid w:val="001D0105"/>
    <w:rsid w:val="001D202B"/>
    <w:rsid w:val="001D3883"/>
    <w:rsid w:val="001D65D0"/>
    <w:rsid w:val="001D7206"/>
    <w:rsid w:val="001D7A8A"/>
    <w:rsid w:val="001D7C9E"/>
    <w:rsid w:val="001E1BB8"/>
    <w:rsid w:val="001E5B80"/>
    <w:rsid w:val="001E6054"/>
    <w:rsid w:val="001E71F4"/>
    <w:rsid w:val="001E7385"/>
    <w:rsid w:val="001E7509"/>
    <w:rsid w:val="001F4349"/>
    <w:rsid w:val="001F4F64"/>
    <w:rsid w:val="001F57D2"/>
    <w:rsid w:val="001F7CB2"/>
    <w:rsid w:val="00201F2E"/>
    <w:rsid w:val="00202D13"/>
    <w:rsid w:val="00203D5C"/>
    <w:rsid w:val="00205393"/>
    <w:rsid w:val="00205E03"/>
    <w:rsid w:val="00212372"/>
    <w:rsid w:val="00212E37"/>
    <w:rsid w:val="00213CCB"/>
    <w:rsid w:val="0021772B"/>
    <w:rsid w:val="00217AA9"/>
    <w:rsid w:val="00222D4D"/>
    <w:rsid w:val="002232EE"/>
    <w:rsid w:val="00226732"/>
    <w:rsid w:val="0022690C"/>
    <w:rsid w:val="00227220"/>
    <w:rsid w:val="00227612"/>
    <w:rsid w:val="00230A21"/>
    <w:rsid w:val="002310EA"/>
    <w:rsid w:val="00233CD6"/>
    <w:rsid w:val="00234829"/>
    <w:rsid w:val="002352DC"/>
    <w:rsid w:val="00236389"/>
    <w:rsid w:val="0023695F"/>
    <w:rsid w:val="00236DCD"/>
    <w:rsid w:val="00241630"/>
    <w:rsid w:val="00241CE0"/>
    <w:rsid w:val="00242782"/>
    <w:rsid w:val="00242B9E"/>
    <w:rsid w:val="00243FF7"/>
    <w:rsid w:val="00244404"/>
    <w:rsid w:val="002448DA"/>
    <w:rsid w:val="00247542"/>
    <w:rsid w:val="0025050A"/>
    <w:rsid w:val="002530E8"/>
    <w:rsid w:val="00254C53"/>
    <w:rsid w:val="0025523B"/>
    <w:rsid w:val="002575F5"/>
    <w:rsid w:val="002627B7"/>
    <w:rsid w:val="00271B61"/>
    <w:rsid w:val="00272AF1"/>
    <w:rsid w:val="00272C5A"/>
    <w:rsid w:val="002750A2"/>
    <w:rsid w:val="00275402"/>
    <w:rsid w:val="0027660A"/>
    <w:rsid w:val="00277834"/>
    <w:rsid w:val="0028209B"/>
    <w:rsid w:val="0028494B"/>
    <w:rsid w:val="00286E74"/>
    <w:rsid w:val="002901BC"/>
    <w:rsid w:val="00291FBC"/>
    <w:rsid w:val="00294FE6"/>
    <w:rsid w:val="0029595F"/>
    <w:rsid w:val="00295D70"/>
    <w:rsid w:val="002A0891"/>
    <w:rsid w:val="002A0DB7"/>
    <w:rsid w:val="002A14D8"/>
    <w:rsid w:val="002A1B21"/>
    <w:rsid w:val="002A22E1"/>
    <w:rsid w:val="002A46D7"/>
    <w:rsid w:val="002A5B44"/>
    <w:rsid w:val="002A6AFC"/>
    <w:rsid w:val="002B1CD7"/>
    <w:rsid w:val="002B2708"/>
    <w:rsid w:val="002B2E2A"/>
    <w:rsid w:val="002B39F7"/>
    <w:rsid w:val="002B3F11"/>
    <w:rsid w:val="002B5361"/>
    <w:rsid w:val="002B5B7B"/>
    <w:rsid w:val="002B7635"/>
    <w:rsid w:val="002B7B1D"/>
    <w:rsid w:val="002B7CAD"/>
    <w:rsid w:val="002C02DF"/>
    <w:rsid w:val="002C0A52"/>
    <w:rsid w:val="002C2C97"/>
    <w:rsid w:val="002C3D71"/>
    <w:rsid w:val="002C4473"/>
    <w:rsid w:val="002C6959"/>
    <w:rsid w:val="002D1499"/>
    <w:rsid w:val="002D165C"/>
    <w:rsid w:val="002D1CD7"/>
    <w:rsid w:val="002D1D24"/>
    <w:rsid w:val="002D4126"/>
    <w:rsid w:val="002D4E9C"/>
    <w:rsid w:val="002D5047"/>
    <w:rsid w:val="002D66DB"/>
    <w:rsid w:val="002D72DE"/>
    <w:rsid w:val="002E130E"/>
    <w:rsid w:val="002E1DF8"/>
    <w:rsid w:val="002E2776"/>
    <w:rsid w:val="002E501A"/>
    <w:rsid w:val="002E5D10"/>
    <w:rsid w:val="002E7DEB"/>
    <w:rsid w:val="002F0009"/>
    <w:rsid w:val="002F0BC2"/>
    <w:rsid w:val="002F5552"/>
    <w:rsid w:val="002F6D22"/>
    <w:rsid w:val="002F7B5F"/>
    <w:rsid w:val="0030049B"/>
    <w:rsid w:val="00300DDE"/>
    <w:rsid w:val="003012EC"/>
    <w:rsid w:val="00301920"/>
    <w:rsid w:val="00301FC5"/>
    <w:rsid w:val="00305065"/>
    <w:rsid w:val="00305719"/>
    <w:rsid w:val="003068ED"/>
    <w:rsid w:val="00310D7B"/>
    <w:rsid w:val="00311486"/>
    <w:rsid w:val="00311B5E"/>
    <w:rsid w:val="00311E05"/>
    <w:rsid w:val="0031249E"/>
    <w:rsid w:val="0031314E"/>
    <w:rsid w:val="00313425"/>
    <w:rsid w:val="00313B0A"/>
    <w:rsid w:val="0031568E"/>
    <w:rsid w:val="00317329"/>
    <w:rsid w:val="00322CAB"/>
    <w:rsid w:val="00326BC7"/>
    <w:rsid w:val="003322F5"/>
    <w:rsid w:val="00332E25"/>
    <w:rsid w:val="00333602"/>
    <w:rsid w:val="0033429B"/>
    <w:rsid w:val="00334723"/>
    <w:rsid w:val="00334D81"/>
    <w:rsid w:val="00334E9C"/>
    <w:rsid w:val="00340367"/>
    <w:rsid w:val="00340938"/>
    <w:rsid w:val="00340A8E"/>
    <w:rsid w:val="00340DD4"/>
    <w:rsid w:val="00341E89"/>
    <w:rsid w:val="003431E2"/>
    <w:rsid w:val="00344852"/>
    <w:rsid w:val="003452EF"/>
    <w:rsid w:val="00345466"/>
    <w:rsid w:val="00345C9B"/>
    <w:rsid w:val="00346032"/>
    <w:rsid w:val="003463F4"/>
    <w:rsid w:val="00346828"/>
    <w:rsid w:val="003479E0"/>
    <w:rsid w:val="0035043E"/>
    <w:rsid w:val="00352505"/>
    <w:rsid w:val="00353472"/>
    <w:rsid w:val="003546B4"/>
    <w:rsid w:val="00360999"/>
    <w:rsid w:val="003633B7"/>
    <w:rsid w:val="00363740"/>
    <w:rsid w:val="00363D2C"/>
    <w:rsid w:val="00364114"/>
    <w:rsid w:val="00370B87"/>
    <w:rsid w:val="00371179"/>
    <w:rsid w:val="00372200"/>
    <w:rsid w:val="00372466"/>
    <w:rsid w:val="003725EB"/>
    <w:rsid w:val="00373614"/>
    <w:rsid w:val="00373B97"/>
    <w:rsid w:val="00376AE1"/>
    <w:rsid w:val="00381643"/>
    <w:rsid w:val="003847EB"/>
    <w:rsid w:val="003859AC"/>
    <w:rsid w:val="003903A2"/>
    <w:rsid w:val="00391D1A"/>
    <w:rsid w:val="003966F1"/>
    <w:rsid w:val="003A1A02"/>
    <w:rsid w:val="003A20B2"/>
    <w:rsid w:val="003A24FE"/>
    <w:rsid w:val="003A2735"/>
    <w:rsid w:val="003A34B8"/>
    <w:rsid w:val="003A3D1E"/>
    <w:rsid w:val="003A3F57"/>
    <w:rsid w:val="003A5D2E"/>
    <w:rsid w:val="003B08B3"/>
    <w:rsid w:val="003B3483"/>
    <w:rsid w:val="003B44EA"/>
    <w:rsid w:val="003B45F1"/>
    <w:rsid w:val="003B4B7D"/>
    <w:rsid w:val="003B7CB8"/>
    <w:rsid w:val="003C1E2B"/>
    <w:rsid w:val="003C221D"/>
    <w:rsid w:val="003C3B77"/>
    <w:rsid w:val="003C4978"/>
    <w:rsid w:val="003C6010"/>
    <w:rsid w:val="003C671B"/>
    <w:rsid w:val="003C7C71"/>
    <w:rsid w:val="003D0A56"/>
    <w:rsid w:val="003D1817"/>
    <w:rsid w:val="003D1D4D"/>
    <w:rsid w:val="003D21CC"/>
    <w:rsid w:val="003D582F"/>
    <w:rsid w:val="003D712B"/>
    <w:rsid w:val="003E1BC5"/>
    <w:rsid w:val="003E30BA"/>
    <w:rsid w:val="003E322D"/>
    <w:rsid w:val="003E430C"/>
    <w:rsid w:val="003E64D9"/>
    <w:rsid w:val="003F0198"/>
    <w:rsid w:val="003F061A"/>
    <w:rsid w:val="003F0DDB"/>
    <w:rsid w:val="003F0DE7"/>
    <w:rsid w:val="003F10DC"/>
    <w:rsid w:val="003F14FF"/>
    <w:rsid w:val="003F269C"/>
    <w:rsid w:val="003F2C9B"/>
    <w:rsid w:val="003F2E18"/>
    <w:rsid w:val="003F4650"/>
    <w:rsid w:val="003F6136"/>
    <w:rsid w:val="003F655B"/>
    <w:rsid w:val="003F68B8"/>
    <w:rsid w:val="0040087F"/>
    <w:rsid w:val="00403FB9"/>
    <w:rsid w:val="00404E12"/>
    <w:rsid w:val="0040777F"/>
    <w:rsid w:val="00410E89"/>
    <w:rsid w:val="00410ED2"/>
    <w:rsid w:val="004119FF"/>
    <w:rsid w:val="0041382F"/>
    <w:rsid w:val="00414CDD"/>
    <w:rsid w:val="00416319"/>
    <w:rsid w:val="0041671A"/>
    <w:rsid w:val="00417562"/>
    <w:rsid w:val="00417EE8"/>
    <w:rsid w:val="00420C16"/>
    <w:rsid w:val="00422B79"/>
    <w:rsid w:val="00427065"/>
    <w:rsid w:val="00430184"/>
    <w:rsid w:val="00432320"/>
    <w:rsid w:val="00432C97"/>
    <w:rsid w:val="00441850"/>
    <w:rsid w:val="00441F86"/>
    <w:rsid w:val="00442040"/>
    <w:rsid w:val="0044365D"/>
    <w:rsid w:val="00444592"/>
    <w:rsid w:val="00444D30"/>
    <w:rsid w:val="00444FED"/>
    <w:rsid w:val="0044536E"/>
    <w:rsid w:val="0044543D"/>
    <w:rsid w:val="00451F3A"/>
    <w:rsid w:val="0045216A"/>
    <w:rsid w:val="00454F7A"/>
    <w:rsid w:val="0045671D"/>
    <w:rsid w:val="004606D0"/>
    <w:rsid w:val="00461D2C"/>
    <w:rsid w:val="0046445A"/>
    <w:rsid w:val="00464AAB"/>
    <w:rsid w:val="00465F5D"/>
    <w:rsid w:val="00467EC2"/>
    <w:rsid w:val="00471C76"/>
    <w:rsid w:val="004722F7"/>
    <w:rsid w:val="004728BD"/>
    <w:rsid w:val="00474A69"/>
    <w:rsid w:val="00476AA9"/>
    <w:rsid w:val="004774C3"/>
    <w:rsid w:val="00480FF5"/>
    <w:rsid w:val="0048114C"/>
    <w:rsid w:val="00481A5E"/>
    <w:rsid w:val="00482E5A"/>
    <w:rsid w:val="00483DF4"/>
    <w:rsid w:val="00484518"/>
    <w:rsid w:val="0048531D"/>
    <w:rsid w:val="00485DDB"/>
    <w:rsid w:val="00490D4F"/>
    <w:rsid w:val="004912D4"/>
    <w:rsid w:val="004932E0"/>
    <w:rsid w:val="004948C8"/>
    <w:rsid w:val="00495598"/>
    <w:rsid w:val="004957BB"/>
    <w:rsid w:val="00496F1C"/>
    <w:rsid w:val="004A06BF"/>
    <w:rsid w:val="004A0856"/>
    <w:rsid w:val="004A1542"/>
    <w:rsid w:val="004A1C1B"/>
    <w:rsid w:val="004A348F"/>
    <w:rsid w:val="004A3A22"/>
    <w:rsid w:val="004A7667"/>
    <w:rsid w:val="004A773B"/>
    <w:rsid w:val="004A7A08"/>
    <w:rsid w:val="004B10E4"/>
    <w:rsid w:val="004B1207"/>
    <w:rsid w:val="004B19F4"/>
    <w:rsid w:val="004B52B6"/>
    <w:rsid w:val="004B538D"/>
    <w:rsid w:val="004B6525"/>
    <w:rsid w:val="004C0D18"/>
    <w:rsid w:val="004C1FB6"/>
    <w:rsid w:val="004C3FA6"/>
    <w:rsid w:val="004C50AC"/>
    <w:rsid w:val="004D0BD1"/>
    <w:rsid w:val="004D0F47"/>
    <w:rsid w:val="004D2C1D"/>
    <w:rsid w:val="004D31D7"/>
    <w:rsid w:val="004D5277"/>
    <w:rsid w:val="004D5E0F"/>
    <w:rsid w:val="004D62E5"/>
    <w:rsid w:val="004D69C2"/>
    <w:rsid w:val="004E05BA"/>
    <w:rsid w:val="004E2C09"/>
    <w:rsid w:val="004E40AB"/>
    <w:rsid w:val="004E45DC"/>
    <w:rsid w:val="004E4E07"/>
    <w:rsid w:val="004E51E8"/>
    <w:rsid w:val="004E6E2F"/>
    <w:rsid w:val="004E742E"/>
    <w:rsid w:val="004F1102"/>
    <w:rsid w:val="004F4447"/>
    <w:rsid w:val="004F46BB"/>
    <w:rsid w:val="004F485D"/>
    <w:rsid w:val="004F6589"/>
    <w:rsid w:val="004F6ACD"/>
    <w:rsid w:val="004F78AF"/>
    <w:rsid w:val="004F7EC5"/>
    <w:rsid w:val="005019F5"/>
    <w:rsid w:val="00501E37"/>
    <w:rsid w:val="00501E5A"/>
    <w:rsid w:val="00501FBC"/>
    <w:rsid w:val="005029D8"/>
    <w:rsid w:val="00504650"/>
    <w:rsid w:val="00504665"/>
    <w:rsid w:val="00504B25"/>
    <w:rsid w:val="005068D2"/>
    <w:rsid w:val="005071D1"/>
    <w:rsid w:val="00510ADB"/>
    <w:rsid w:val="00516690"/>
    <w:rsid w:val="0051711B"/>
    <w:rsid w:val="00517FC3"/>
    <w:rsid w:val="00525BE9"/>
    <w:rsid w:val="00527942"/>
    <w:rsid w:val="0053236E"/>
    <w:rsid w:val="0053332B"/>
    <w:rsid w:val="005336BA"/>
    <w:rsid w:val="00534AE3"/>
    <w:rsid w:val="005365EB"/>
    <w:rsid w:val="00536D01"/>
    <w:rsid w:val="005376FC"/>
    <w:rsid w:val="00541DC3"/>
    <w:rsid w:val="00544160"/>
    <w:rsid w:val="00544180"/>
    <w:rsid w:val="005466E6"/>
    <w:rsid w:val="00550629"/>
    <w:rsid w:val="0055087B"/>
    <w:rsid w:val="00552DD4"/>
    <w:rsid w:val="00554078"/>
    <w:rsid w:val="0055459F"/>
    <w:rsid w:val="00555139"/>
    <w:rsid w:val="00555B77"/>
    <w:rsid w:val="00556380"/>
    <w:rsid w:val="00556E21"/>
    <w:rsid w:val="005605BB"/>
    <w:rsid w:val="00563054"/>
    <w:rsid w:val="0056353A"/>
    <w:rsid w:val="0056443D"/>
    <w:rsid w:val="00565CB4"/>
    <w:rsid w:val="00565CE7"/>
    <w:rsid w:val="0056715C"/>
    <w:rsid w:val="0057011A"/>
    <w:rsid w:val="00570328"/>
    <w:rsid w:val="00570759"/>
    <w:rsid w:val="00571891"/>
    <w:rsid w:val="00572BE8"/>
    <w:rsid w:val="00575E79"/>
    <w:rsid w:val="00576ED8"/>
    <w:rsid w:val="005777DF"/>
    <w:rsid w:val="005829AD"/>
    <w:rsid w:val="00582D40"/>
    <w:rsid w:val="00583EF4"/>
    <w:rsid w:val="005846F6"/>
    <w:rsid w:val="00586B1F"/>
    <w:rsid w:val="00590F86"/>
    <w:rsid w:val="00592349"/>
    <w:rsid w:val="0059342D"/>
    <w:rsid w:val="005960BD"/>
    <w:rsid w:val="00597F86"/>
    <w:rsid w:val="005A1541"/>
    <w:rsid w:val="005A1A7D"/>
    <w:rsid w:val="005A35A1"/>
    <w:rsid w:val="005A386D"/>
    <w:rsid w:val="005A3F8C"/>
    <w:rsid w:val="005A4550"/>
    <w:rsid w:val="005A49B1"/>
    <w:rsid w:val="005B1601"/>
    <w:rsid w:val="005B3194"/>
    <w:rsid w:val="005B374D"/>
    <w:rsid w:val="005B4C88"/>
    <w:rsid w:val="005B513C"/>
    <w:rsid w:val="005C1901"/>
    <w:rsid w:val="005C40C3"/>
    <w:rsid w:val="005C4452"/>
    <w:rsid w:val="005C51F8"/>
    <w:rsid w:val="005C5EFF"/>
    <w:rsid w:val="005C634D"/>
    <w:rsid w:val="005C6363"/>
    <w:rsid w:val="005C6FB2"/>
    <w:rsid w:val="005C77C8"/>
    <w:rsid w:val="005D1110"/>
    <w:rsid w:val="005D788C"/>
    <w:rsid w:val="005E0740"/>
    <w:rsid w:val="005E1C32"/>
    <w:rsid w:val="005E36EC"/>
    <w:rsid w:val="005E3B21"/>
    <w:rsid w:val="005E4C81"/>
    <w:rsid w:val="005E5372"/>
    <w:rsid w:val="005E60C0"/>
    <w:rsid w:val="005E6113"/>
    <w:rsid w:val="005E6341"/>
    <w:rsid w:val="005E73D2"/>
    <w:rsid w:val="005F1087"/>
    <w:rsid w:val="005F119C"/>
    <w:rsid w:val="005F1271"/>
    <w:rsid w:val="005F1CE4"/>
    <w:rsid w:val="005F2E90"/>
    <w:rsid w:val="005F3C80"/>
    <w:rsid w:val="005F5458"/>
    <w:rsid w:val="005F601A"/>
    <w:rsid w:val="005F6AC0"/>
    <w:rsid w:val="00601E10"/>
    <w:rsid w:val="00602A1B"/>
    <w:rsid w:val="00604DA8"/>
    <w:rsid w:val="00605D4E"/>
    <w:rsid w:val="0060622A"/>
    <w:rsid w:val="00610F2D"/>
    <w:rsid w:val="00614397"/>
    <w:rsid w:val="00615A7C"/>
    <w:rsid w:val="0061639D"/>
    <w:rsid w:val="00617559"/>
    <w:rsid w:val="00620469"/>
    <w:rsid w:val="00621440"/>
    <w:rsid w:val="006254F8"/>
    <w:rsid w:val="00630D9F"/>
    <w:rsid w:val="006320C8"/>
    <w:rsid w:val="006335FD"/>
    <w:rsid w:val="006337D4"/>
    <w:rsid w:val="00634BED"/>
    <w:rsid w:val="00635F05"/>
    <w:rsid w:val="00641F2A"/>
    <w:rsid w:val="0064381D"/>
    <w:rsid w:val="00643AA1"/>
    <w:rsid w:val="00646B97"/>
    <w:rsid w:val="00655566"/>
    <w:rsid w:val="00656C7D"/>
    <w:rsid w:val="0065706A"/>
    <w:rsid w:val="00657160"/>
    <w:rsid w:val="0066270B"/>
    <w:rsid w:val="0066271B"/>
    <w:rsid w:val="0066695C"/>
    <w:rsid w:val="00667417"/>
    <w:rsid w:val="006745FD"/>
    <w:rsid w:val="006763E4"/>
    <w:rsid w:val="00676452"/>
    <w:rsid w:val="00676AB8"/>
    <w:rsid w:val="006776DC"/>
    <w:rsid w:val="00684EE0"/>
    <w:rsid w:val="006850B2"/>
    <w:rsid w:val="006859FE"/>
    <w:rsid w:val="00686566"/>
    <w:rsid w:val="006916C7"/>
    <w:rsid w:val="00691AC4"/>
    <w:rsid w:val="0069286A"/>
    <w:rsid w:val="006A1B8C"/>
    <w:rsid w:val="006A2B6B"/>
    <w:rsid w:val="006A78AE"/>
    <w:rsid w:val="006A7C3A"/>
    <w:rsid w:val="006B1776"/>
    <w:rsid w:val="006B2406"/>
    <w:rsid w:val="006B3C21"/>
    <w:rsid w:val="006B7225"/>
    <w:rsid w:val="006B7BE9"/>
    <w:rsid w:val="006B7CC1"/>
    <w:rsid w:val="006C0192"/>
    <w:rsid w:val="006C26B4"/>
    <w:rsid w:val="006C359B"/>
    <w:rsid w:val="006D4CA4"/>
    <w:rsid w:val="006D58D6"/>
    <w:rsid w:val="006D5CC2"/>
    <w:rsid w:val="006D62F8"/>
    <w:rsid w:val="006D6631"/>
    <w:rsid w:val="006D6987"/>
    <w:rsid w:val="006D6AE6"/>
    <w:rsid w:val="006D6BA6"/>
    <w:rsid w:val="006D73A6"/>
    <w:rsid w:val="006E1739"/>
    <w:rsid w:val="006E18BB"/>
    <w:rsid w:val="006E27C6"/>
    <w:rsid w:val="006E2F2D"/>
    <w:rsid w:val="006E40E0"/>
    <w:rsid w:val="006E4FE4"/>
    <w:rsid w:val="006E5AE5"/>
    <w:rsid w:val="006E6CBD"/>
    <w:rsid w:val="006E6EE0"/>
    <w:rsid w:val="006E7010"/>
    <w:rsid w:val="006F0263"/>
    <w:rsid w:val="006F4D4E"/>
    <w:rsid w:val="006F5851"/>
    <w:rsid w:val="00700E12"/>
    <w:rsid w:val="00702797"/>
    <w:rsid w:val="0070473B"/>
    <w:rsid w:val="007055F8"/>
    <w:rsid w:val="00706347"/>
    <w:rsid w:val="00707081"/>
    <w:rsid w:val="00707E36"/>
    <w:rsid w:val="007106C6"/>
    <w:rsid w:val="0071165A"/>
    <w:rsid w:val="00712FD3"/>
    <w:rsid w:val="00714647"/>
    <w:rsid w:val="007158B4"/>
    <w:rsid w:val="007168C3"/>
    <w:rsid w:val="0071769B"/>
    <w:rsid w:val="00717741"/>
    <w:rsid w:val="00717763"/>
    <w:rsid w:val="00721098"/>
    <w:rsid w:val="007246AE"/>
    <w:rsid w:val="007246CC"/>
    <w:rsid w:val="00725FEE"/>
    <w:rsid w:val="00726C0B"/>
    <w:rsid w:val="00726CB1"/>
    <w:rsid w:val="007302B2"/>
    <w:rsid w:val="00731D90"/>
    <w:rsid w:val="00731EDF"/>
    <w:rsid w:val="00734133"/>
    <w:rsid w:val="007349D5"/>
    <w:rsid w:val="00734E7F"/>
    <w:rsid w:val="00735717"/>
    <w:rsid w:val="007361E8"/>
    <w:rsid w:val="00736547"/>
    <w:rsid w:val="007367B1"/>
    <w:rsid w:val="007406C3"/>
    <w:rsid w:val="0074394D"/>
    <w:rsid w:val="00745B8C"/>
    <w:rsid w:val="00745C46"/>
    <w:rsid w:val="0075160F"/>
    <w:rsid w:val="00752418"/>
    <w:rsid w:val="00756191"/>
    <w:rsid w:val="00756323"/>
    <w:rsid w:val="0075718A"/>
    <w:rsid w:val="00760738"/>
    <w:rsid w:val="007620BD"/>
    <w:rsid w:val="0076227A"/>
    <w:rsid w:val="00763C12"/>
    <w:rsid w:val="0076449A"/>
    <w:rsid w:val="007649CE"/>
    <w:rsid w:val="00765A82"/>
    <w:rsid w:val="007679FC"/>
    <w:rsid w:val="00772CF3"/>
    <w:rsid w:val="00773385"/>
    <w:rsid w:val="007754E8"/>
    <w:rsid w:val="0077583E"/>
    <w:rsid w:val="007775F2"/>
    <w:rsid w:val="00780236"/>
    <w:rsid w:val="00780802"/>
    <w:rsid w:val="00780813"/>
    <w:rsid w:val="00780E57"/>
    <w:rsid w:val="00781018"/>
    <w:rsid w:val="00781EC3"/>
    <w:rsid w:val="007822A9"/>
    <w:rsid w:val="00782BDB"/>
    <w:rsid w:val="0078345C"/>
    <w:rsid w:val="00785D5B"/>
    <w:rsid w:val="00787276"/>
    <w:rsid w:val="0079207F"/>
    <w:rsid w:val="007928CB"/>
    <w:rsid w:val="007962C8"/>
    <w:rsid w:val="007A0424"/>
    <w:rsid w:val="007A242D"/>
    <w:rsid w:val="007A3513"/>
    <w:rsid w:val="007A4164"/>
    <w:rsid w:val="007A4A87"/>
    <w:rsid w:val="007A721E"/>
    <w:rsid w:val="007B0389"/>
    <w:rsid w:val="007B0C87"/>
    <w:rsid w:val="007B1073"/>
    <w:rsid w:val="007B1997"/>
    <w:rsid w:val="007B2FA0"/>
    <w:rsid w:val="007B6466"/>
    <w:rsid w:val="007C0A6A"/>
    <w:rsid w:val="007C14A3"/>
    <w:rsid w:val="007C205F"/>
    <w:rsid w:val="007C3780"/>
    <w:rsid w:val="007C384F"/>
    <w:rsid w:val="007D072A"/>
    <w:rsid w:val="007D1410"/>
    <w:rsid w:val="007D35B2"/>
    <w:rsid w:val="007D3CC5"/>
    <w:rsid w:val="007D554F"/>
    <w:rsid w:val="007D628F"/>
    <w:rsid w:val="007D7CF2"/>
    <w:rsid w:val="007E3507"/>
    <w:rsid w:val="007E5B0C"/>
    <w:rsid w:val="007E6635"/>
    <w:rsid w:val="007F0F61"/>
    <w:rsid w:val="007F1F34"/>
    <w:rsid w:val="007F216D"/>
    <w:rsid w:val="007F6EAC"/>
    <w:rsid w:val="008027BB"/>
    <w:rsid w:val="00803075"/>
    <w:rsid w:val="0080396B"/>
    <w:rsid w:val="00804BED"/>
    <w:rsid w:val="008051EC"/>
    <w:rsid w:val="008125A3"/>
    <w:rsid w:val="00812D20"/>
    <w:rsid w:val="008133F5"/>
    <w:rsid w:val="00813B7D"/>
    <w:rsid w:val="0081487C"/>
    <w:rsid w:val="008159C2"/>
    <w:rsid w:val="00817D23"/>
    <w:rsid w:val="008214DA"/>
    <w:rsid w:val="008219B8"/>
    <w:rsid w:val="0082514A"/>
    <w:rsid w:val="00825415"/>
    <w:rsid w:val="00825AA1"/>
    <w:rsid w:val="0082745F"/>
    <w:rsid w:val="00827C4D"/>
    <w:rsid w:val="00831D11"/>
    <w:rsid w:val="00832814"/>
    <w:rsid w:val="008342A9"/>
    <w:rsid w:val="00835A67"/>
    <w:rsid w:val="008426D8"/>
    <w:rsid w:val="008463F2"/>
    <w:rsid w:val="00850B37"/>
    <w:rsid w:val="00850C0E"/>
    <w:rsid w:val="00850D3B"/>
    <w:rsid w:val="008560CB"/>
    <w:rsid w:val="00856622"/>
    <w:rsid w:val="00856B50"/>
    <w:rsid w:val="00857AC7"/>
    <w:rsid w:val="00861FB0"/>
    <w:rsid w:val="008621F9"/>
    <w:rsid w:val="00863D75"/>
    <w:rsid w:val="00866816"/>
    <w:rsid w:val="00867C6D"/>
    <w:rsid w:val="008727C7"/>
    <w:rsid w:val="00872BC5"/>
    <w:rsid w:val="008733A6"/>
    <w:rsid w:val="00873434"/>
    <w:rsid w:val="00876D82"/>
    <w:rsid w:val="00880017"/>
    <w:rsid w:val="0088044D"/>
    <w:rsid w:val="00880B48"/>
    <w:rsid w:val="00881243"/>
    <w:rsid w:val="00881ECC"/>
    <w:rsid w:val="00882AFB"/>
    <w:rsid w:val="00882DA1"/>
    <w:rsid w:val="00883A36"/>
    <w:rsid w:val="00884003"/>
    <w:rsid w:val="00884634"/>
    <w:rsid w:val="00885FE2"/>
    <w:rsid w:val="0088697E"/>
    <w:rsid w:val="0088709E"/>
    <w:rsid w:val="00887365"/>
    <w:rsid w:val="00890066"/>
    <w:rsid w:val="00890B99"/>
    <w:rsid w:val="00890CE6"/>
    <w:rsid w:val="00890D23"/>
    <w:rsid w:val="00891AAB"/>
    <w:rsid w:val="00891AD0"/>
    <w:rsid w:val="00893693"/>
    <w:rsid w:val="00893F66"/>
    <w:rsid w:val="00894644"/>
    <w:rsid w:val="00895E50"/>
    <w:rsid w:val="00896272"/>
    <w:rsid w:val="008A01D8"/>
    <w:rsid w:val="008A05CA"/>
    <w:rsid w:val="008A1671"/>
    <w:rsid w:val="008A1EA9"/>
    <w:rsid w:val="008A2AB0"/>
    <w:rsid w:val="008A3580"/>
    <w:rsid w:val="008A3EB6"/>
    <w:rsid w:val="008A4852"/>
    <w:rsid w:val="008A58DD"/>
    <w:rsid w:val="008A6D40"/>
    <w:rsid w:val="008B0B23"/>
    <w:rsid w:val="008B3224"/>
    <w:rsid w:val="008B424C"/>
    <w:rsid w:val="008B5109"/>
    <w:rsid w:val="008B6887"/>
    <w:rsid w:val="008C29C9"/>
    <w:rsid w:val="008C4AD7"/>
    <w:rsid w:val="008C5D5B"/>
    <w:rsid w:val="008D13F7"/>
    <w:rsid w:val="008D2070"/>
    <w:rsid w:val="008D48DE"/>
    <w:rsid w:val="008D5F99"/>
    <w:rsid w:val="008D61F1"/>
    <w:rsid w:val="008D6346"/>
    <w:rsid w:val="008D647B"/>
    <w:rsid w:val="008D6891"/>
    <w:rsid w:val="008D747C"/>
    <w:rsid w:val="008E01E5"/>
    <w:rsid w:val="008E2A60"/>
    <w:rsid w:val="008E3367"/>
    <w:rsid w:val="008E46A5"/>
    <w:rsid w:val="008E51DF"/>
    <w:rsid w:val="008E61FD"/>
    <w:rsid w:val="008E776B"/>
    <w:rsid w:val="008E7ADB"/>
    <w:rsid w:val="008F0E7E"/>
    <w:rsid w:val="008F213F"/>
    <w:rsid w:val="008F5F96"/>
    <w:rsid w:val="008F6882"/>
    <w:rsid w:val="008F6DAF"/>
    <w:rsid w:val="008F7EAF"/>
    <w:rsid w:val="0090062F"/>
    <w:rsid w:val="009036BA"/>
    <w:rsid w:val="009056F4"/>
    <w:rsid w:val="00906E64"/>
    <w:rsid w:val="00911CBF"/>
    <w:rsid w:val="00912E23"/>
    <w:rsid w:val="0091341C"/>
    <w:rsid w:val="00914FED"/>
    <w:rsid w:val="009168E9"/>
    <w:rsid w:val="00917997"/>
    <w:rsid w:val="0092046B"/>
    <w:rsid w:val="00920F33"/>
    <w:rsid w:val="0092435D"/>
    <w:rsid w:val="00924BAA"/>
    <w:rsid w:val="009269DE"/>
    <w:rsid w:val="00930203"/>
    <w:rsid w:val="00931F54"/>
    <w:rsid w:val="00932077"/>
    <w:rsid w:val="00932622"/>
    <w:rsid w:val="009367E1"/>
    <w:rsid w:val="00936D8D"/>
    <w:rsid w:val="00936E5E"/>
    <w:rsid w:val="009378D8"/>
    <w:rsid w:val="00941674"/>
    <w:rsid w:val="00942166"/>
    <w:rsid w:val="00943192"/>
    <w:rsid w:val="0094474E"/>
    <w:rsid w:val="00945E91"/>
    <w:rsid w:val="009462B2"/>
    <w:rsid w:val="00950633"/>
    <w:rsid w:val="00952266"/>
    <w:rsid w:val="00952365"/>
    <w:rsid w:val="00952D76"/>
    <w:rsid w:val="009541A6"/>
    <w:rsid w:val="009544F8"/>
    <w:rsid w:val="00957C39"/>
    <w:rsid w:val="00960F6B"/>
    <w:rsid w:val="0096160B"/>
    <w:rsid w:val="00961FA1"/>
    <w:rsid w:val="00962F86"/>
    <w:rsid w:val="00965494"/>
    <w:rsid w:val="00967A87"/>
    <w:rsid w:val="009700C2"/>
    <w:rsid w:val="0097020E"/>
    <w:rsid w:val="00976E6C"/>
    <w:rsid w:val="00980DB1"/>
    <w:rsid w:val="00980E6E"/>
    <w:rsid w:val="00981DA6"/>
    <w:rsid w:val="009823EB"/>
    <w:rsid w:val="00983498"/>
    <w:rsid w:val="00985908"/>
    <w:rsid w:val="00985C38"/>
    <w:rsid w:val="00985E73"/>
    <w:rsid w:val="00990E3B"/>
    <w:rsid w:val="009911C8"/>
    <w:rsid w:val="00993C2B"/>
    <w:rsid w:val="00994CF3"/>
    <w:rsid w:val="0099718C"/>
    <w:rsid w:val="00997281"/>
    <w:rsid w:val="009A0016"/>
    <w:rsid w:val="009A0AB2"/>
    <w:rsid w:val="009A0BE7"/>
    <w:rsid w:val="009A12FE"/>
    <w:rsid w:val="009A15E7"/>
    <w:rsid w:val="009A4575"/>
    <w:rsid w:val="009A517C"/>
    <w:rsid w:val="009A56E5"/>
    <w:rsid w:val="009A56EA"/>
    <w:rsid w:val="009A5872"/>
    <w:rsid w:val="009A78B8"/>
    <w:rsid w:val="009B13DB"/>
    <w:rsid w:val="009B40F9"/>
    <w:rsid w:val="009B75EA"/>
    <w:rsid w:val="009B7813"/>
    <w:rsid w:val="009C0D9D"/>
    <w:rsid w:val="009C0DD3"/>
    <w:rsid w:val="009C1101"/>
    <w:rsid w:val="009C2154"/>
    <w:rsid w:val="009C228A"/>
    <w:rsid w:val="009C2A53"/>
    <w:rsid w:val="009C3163"/>
    <w:rsid w:val="009C3574"/>
    <w:rsid w:val="009C6B2B"/>
    <w:rsid w:val="009C6E02"/>
    <w:rsid w:val="009D18FE"/>
    <w:rsid w:val="009D1B0E"/>
    <w:rsid w:val="009D270D"/>
    <w:rsid w:val="009D3376"/>
    <w:rsid w:val="009D3E69"/>
    <w:rsid w:val="009D3F31"/>
    <w:rsid w:val="009D4256"/>
    <w:rsid w:val="009D5535"/>
    <w:rsid w:val="009D5BE4"/>
    <w:rsid w:val="009D6F1A"/>
    <w:rsid w:val="009D787D"/>
    <w:rsid w:val="009D7D8C"/>
    <w:rsid w:val="009E03FE"/>
    <w:rsid w:val="009E30ED"/>
    <w:rsid w:val="009E417A"/>
    <w:rsid w:val="009E55E0"/>
    <w:rsid w:val="009E5ECE"/>
    <w:rsid w:val="009F0920"/>
    <w:rsid w:val="009F1620"/>
    <w:rsid w:val="009F24AF"/>
    <w:rsid w:val="009F31AD"/>
    <w:rsid w:val="009F470C"/>
    <w:rsid w:val="009F4BBB"/>
    <w:rsid w:val="009F4DDC"/>
    <w:rsid w:val="009F50CB"/>
    <w:rsid w:val="009F6177"/>
    <w:rsid w:val="009F780E"/>
    <w:rsid w:val="00A02718"/>
    <w:rsid w:val="00A03045"/>
    <w:rsid w:val="00A04C9F"/>
    <w:rsid w:val="00A06B88"/>
    <w:rsid w:val="00A1201A"/>
    <w:rsid w:val="00A15B1C"/>
    <w:rsid w:val="00A15DA4"/>
    <w:rsid w:val="00A1612C"/>
    <w:rsid w:val="00A211C8"/>
    <w:rsid w:val="00A227F4"/>
    <w:rsid w:val="00A2296B"/>
    <w:rsid w:val="00A22EB9"/>
    <w:rsid w:val="00A24239"/>
    <w:rsid w:val="00A2425A"/>
    <w:rsid w:val="00A26B4F"/>
    <w:rsid w:val="00A2755E"/>
    <w:rsid w:val="00A27997"/>
    <w:rsid w:val="00A27E33"/>
    <w:rsid w:val="00A3092F"/>
    <w:rsid w:val="00A31BF9"/>
    <w:rsid w:val="00A334EB"/>
    <w:rsid w:val="00A33732"/>
    <w:rsid w:val="00A3479D"/>
    <w:rsid w:val="00A358F2"/>
    <w:rsid w:val="00A36A8E"/>
    <w:rsid w:val="00A37F7F"/>
    <w:rsid w:val="00A414FF"/>
    <w:rsid w:val="00A41D82"/>
    <w:rsid w:val="00A4259D"/>
    <w:rsid w:val="00A42912"/>
    <w:rsid w:val="00A43866"/>
    <w:rsid w:val="00A450EB"/>
    <w:rsid w:val="00A46051"/>
    <w:rsid w:val="00A466FF"/>
    <w:rsid w:val="00A473BB"/>
    <w:rsid w:val="00A47B36"/>
    <w:rsid w:val="00A504B9"/>
    <w:rsid w:val="00A51866"/>
    <w:rsid w:val="00A52192"/>
    <w:rsid w:val="00A5274B"/>
    <w:rsid w:val="00A52F24"/>
    <w:rsid w:val="00A53E89"/>
    <w:rsid w:val="00A54075"/>
    <w:rsid w:val="00A54411"/>
    <w:rsid w:val="00A576A3"/>
    <w:rsid w:val="00A63004"/>
    <w:rsid w:val="00A637E7"/>
    <w:rsid w:val="00A65160"/>
    <w:rsid w:val="00A66122"/>
    <w:rsid w:val="00A7244F"/>
    <w:rsid w:val="00A724B9"/>
    <w:rsid w:val="00A72BC4"/>
    <w:rsid w:val="00A72DA2"/>
    <w:rsid w:val="00A72F0C"/>
    <w:rsid w:val="00A73CC3"/>
    <w:rsid w:val="00A74359"/>
    <w:rsid w:val="00A747D2"/>
    <w:rsid w:val="00A749CA"/>
    <w:rsid w:val="00A74FCA"/>
    <w:rsid w:val="00A76544"/>
    <w:rsid w:val="00A767E5"/>
    <w:rsid w:val="00A778A0"/>
    <w:rsid w:val="00A80456"/>
    <w:rsid w:val="00A80711"/>
    <w:rsid w:val="00A82C5E"/>
    <w:rsid w:val="00A82D26"/>
    <w:rsid w:val="00A83C77"/>
    <w:rsid w:val="00A843D1"/>
    <w:rsid w:val="00A84F3D"/>
    <w:rsid w:val="00A8589E"/>
    <w:rsid w:val="00A8628A"/>
    <w:rsid w:val="00A876ED"/>
    <w:rsid w:val="00A87C32"/>
    <w:rsid w:val="00A91434"/>
    <w:rsid w:val="00A92CC0"/>
    <w:rsid w:val="00A92DC5"/>
    <w:rsid w:val="00A93AC2"/>
    <w:rsid w:val="00A951F8"/>
    <w:rsid w:val="00A95768"/>
    <w:rsid w:val="00A961B5"/>
    <w:rsid w:val="00A9748F"/>
    <w:rsid w:val="00A97906"/>
    <w:rsid w:val="00A97D4F"/>
    <w:rsid w:val="00A97E5C"/>
    <w:rsid w:val="00AA0A64"/>
    <w:rsid w:val="00AA290A"/>
    <w:rsid w:val="00AA4F98"/>
    <w:rsid w:val="00AA6C1E"/>
    <w:rsid w:val="00AA6FD0"/>
    <w:rsid w:val="00AA7ACF"/>
    <w:rsid w:val="00AB028C"/>
    <w:rsid w:val="00AB1AFC"/>
    <w:rsid w:val="00AB28FD"/>
    <w:rsid w:val="00AB308C"/>
    <w:rsid w:val="00AB577B"/>
    <w:rsid w:val="00AB7832"/>
    <w:rsid w:val="00AC003E"/>
    <w:rsid w:val="00AC235B"/>
    <w:rsid w:val="00AC288E"/>
    <w:rsid w:val="00AC5015"/>
    <w:rsid w:val="00AC5144"/>
    <w:rsid w:val="00AD13BE"/>
    <w:rsid w:val="00AD311A"/>
    <w:rsid w:val="00AD3488"/>
    <w:rsid w:val="00AD4B9E"/>
    <w:rsid w:val="00AD4BE6"/>
    <w:rsid w:val="00AD642C"/>
    <w:rsid w:val="00AD6DCE"/>
    <w:rsid w:val="00AD7876"/>
    <w:rsid w:val="00AD7ABE"/>
    <w:rsid w:val="00AE0484"/>
    <w:rsid w:val="00AE052B"/>
    <w:rsid w:val="00AE06C7"/>
    <w:rsid w:val="00AE444D"/>
    <w:rsid w:val="00AF124A"/>
    <w:rsid w:val="00AF31BB"/>
    <w:rsid w:val="00AF3D47"/>
    <w:rsid w:val="00AF5A60"/>
    <w:rsid w:val="00B01794"/>
    <w:rsid w:val="00B06912"/>
    <w:rsid w:val="00B07A6E"/>
    <w:rsid w:val="00B107CD"/>
    <w:rsid w:val="00B13709"/>
    <w:rsid w:val="00B1494E"/>
    <w:rsid w:val="00B16519"/>
    <w:rsid w:val="00B16573"/>
    <w:rsid w:val="00B16672"/>
    <w:rsid w:val="00B16C61"/>
    <w:rsid w:val="00B16EE8"/>
    <w:rsid w:val="00B17A39"/>
    <w:rsid w:val="00B20E5E"/>
    <w:rsid w:val="00B2179B"/>
    <w:rsid w:val="00B21D24"/>
    <w:rsid w:val="00B220E0"/>
    <w:rsid w:val="00B227DA"/>
    <w:rsid w:val="00B26412"/>
    <w:rsid w:val="00B26B67"/>
    <w:rsid w:val="00B3231A"/>
    <w:rsid w:val="00B329DE"/>
    <w:rsid w:val="00B340C6"/>
    <w:rsid w:val="00B43F2A"/>
    <w:rsid w:val="00B4562C"/>
    <w:rsid w:val="00B4581A"/>
    <w:rsid w:val="00B47B5D"/>
    <w:rsid w:val="00B47CC4"/>
    <w:rsid w:val="00B521C3"/>
    <w:rsid w:val="00B526BD"/>
    <w:rsid w:val="00B52ED7"/>
    <w:rsid w:val="00B547CF"/>
    <w:rsid w:val="00B560F3"/>
    <w:rsid w:val="00B57AB8"/>
    <w:rsid w:val="00B60559"/>
    <w:rsid w:val="00B60634"/>
    <w:rsid w:val="00B610C7"/>
    <w:rsid w:val="00B61583"/>
    <w:rsid w:val="00B616BA"/>
    <w:rsid w:val="00B616C2"/>
    <w:rsid w:val="00B6487B"/>
    <w:rsid w:val="00B67B6F"/>
    <w:rsid w:val="00B70266"/>
    <w:rsid w:val="00B70ABB"/>
    <w:rsid w:val="00B72901"/>
    <w:rsid w:val="00B74D09"/>
    <w:rsid w:val="00B77408"/>
    <w:rsid w:val="00B778AE"/>
    <w:rsid w:val="00B815BA"/>
    <w:rsid w:val="00B826B2"/>
    <w:rsid w:val="00B83FF1"/>
    <w:rsid w:val="00B8634B"/>
    <w:rsid w:val="00B866D1"/>
    <w:rsid w:val="00B9177E"/>
    <w:rsid w:val="00B91B45"/>
    <w:rsid w:val="00B91E9B"/>
    <w:rsid w:val="00B94992"/>
    <w:rsid w:val="00B95D85"/>
    <w:rsid w:val="00B96928"/>
    <w:rsid w:val="00BA075C"/>
    <w:rsid w:val="00BA087D"/>
    <w:rsid w:val="00BA1154"/>
    <w:rsid w:val="00BA1C23"/>
    <w:rsid w:val="00BA20D4"/>
    <w:rsid w:val="00BA2583"/>
    <w:rsid w:val="00BA27AA"/>
    <w:rsid w:val="00BA2997"/>
    <w:rsid w:val="00BA3E52"/>
    <w:rsid w:val="00BA43AF"/>
    <w:rsid w:val="00BA441C"/>
    <w:rsid w:val="00BA5909"/>
    <w:rsid w:val="00BA5F67"/>
    <w:rsid w:val="00BA7041"/>
    <w:rsid w:val="00BA7960"/>
    <w:rsid w:val="00BB0D3D"/>
    <w:rsid w:val="00BB1DD8"/>
    <w:rsid w:val="00BB210F"/>
    <w:rsid w:val="00BB23FD"/>
    <w:rsid w:val="00BB3209"/>
    <w:rsid w:val="00BC1592"/>
    <w:rsid w:val="00BC388A"/>
    <w:rsid w:val="00BC773A"/>
    <w:rsid w:val="00BC7B1D"/>
    <w:rsid w:val="00BC7C34"/>
    <w:rsid w:val="00BD05A8"/>
    <w:rsid w:val="00BD1F5D"/>
    <w:rsid w:val="00BD2379"/>
    <w:rsid w:val="00BD29C8"/>
    <w:rsid w:val="00BD31FB"/>
    <w:rsid w:val="00BD4E02"/>
    <w:rsid w:val="00BE0963"/>
    <w:rsid w:val="00BE0C01"/>
    <w:rsid w:val="00BE0FA7"/>
    <w:rsid w:val="00BE1F29"/>
    <w:rsid w:val="00BE216E"/>
    <w:rsid w:val="00BE34CB"/>
    <w:rsid w:val="00BE3FAB"/>
    <w:rsid w:val="00BE54BB"/>
    <w:rsid w:val="00BE66F6"/>
    <w:rsid w:val="00BE6C34"/>
    <w:rsid w:val="00BE6C89"/>
    <w:rsid w:val="00BE7751"/>
    <w:rsid w:val="00BF00BB"/>
    <w:rsid w:val="00BF2327"/>
    <w:rsid w:val="00BF2D85"/>
    <w:rsid w:val="00BF5CCE"/>
    <w:rsid w:val="00BF62FE"/>
    <w:rsid w:val="00BF783A"/>
    <w:rsid w:val="00BF7A59"/>
    <w:rsid w:val="00C01F95"/>
    <w:rsid w:val="00C01FE7"/>
    <w:rsid w:val="00C02B75"/>
    <w:rsid w:val="00C02F97"/>
    <w:rsid w:val="00C039AF"/>
    <w:rsid w:val="00C04059"/>
    <w:rsid w:val="00C06973"/>
    <w:rsid w:val="00C07AC2"/>
    <w:rsid w:val="00C12439"/>
    <w:rsid w:val="00C128FF"/>
    <w:rsid w:val="00C13849"/>
    <w:rsid w:val="00C13ADE"/>
    <w:rsid w:val="00C14C57"/>
    <w:rsid w:val="00C15130"/>
    <w:rsid w:val="00C15536"/>
    <w:rsid w:val="00C169E9"/>
    <w:rsid w:val="00C210B5"/>
    <w:rsid w:val="00C2204D"/>
    <w:rsid w:val="00C22F62"/>
    <w:rsid w:val="00C22F95"/>
    <w:rsid w:val="00C23CF7"/>
    <w:rsid w:val="00C251D9"/>
    <w:rsid w:val="00C26176"/>
    <w:rsid w:val="00C2797C"/>
    <w:rsid w:val="00C30867"/>
    <w:rsid w:val="00C31863"/>
    <w:rsid w:val="00C37C2D"/>
    <w:rsid w:val="00C45842"/>
    <w:rsid w:val="00C45C29"/>
    <w:rsid w:val="00C5407C"/>
    <w:rsid w:val="00C540B9"/>
    <w:rsid w:val="00C548A6"/>
    <w:rsid w:val="00C5574E"/>
    <w:rsid w:val="00C563C6"/>
    <w:rsid w:val="00C61746"/>
    <w:rsid w:val="00C62D62"/>
    <w:rsid w:val="00C64363"/>
    <w:rsid w:val="00C6448C"/>
    <w:rsid w:val="00C64D1A"/>
    <w:rsid w:val="00C64ED5"/>
    <w:rsid w:val="00C658F7"/>
    <w:rsid w:val="00C66502"/>
    <w:rsid w:val="00C66AE4"/>
    <w:rsid w:val="00C71092"/>
    <w:rsid w:val="00C71360"/>
    <w:rsid w:val="00C72A93"/>
    <w:rsid w:val="00C73455"/>
    <w:rsid w:val="00C7426F"/>
    <w:rsid w:val="00C7477B"/>
    <w:rsid w:val="00C75B2F"/>
    <w:rsid w:val="00C765CC"/>
    <w:rsid w:val="00C76EBF"/>
    <w:rsid w:val="00C809E7"/>
    <w:rsid w:val="00C80D59"/>
    <w:rsid w:val="00C82285"/>
    <w:rsid w:val="00C845D1"/>
    <w:rsid w:val="00C849F7"/>
    <w:rsid w:val="00C872C0"/>
    <w:rsid w:val="00C96591"/>
    <w:rsid w:val="00CA0962"/>
    <w:rsid w:val="00CA1336"/>
    <w:rsid w:val="00CA22E1"/>
    <w:rsid w:val="00CA2BF5"/>
    <w:rsid w:val="00CA3A82"/>
    <w:rsid w:val="00CA577F"/>
    <w:rsid w:val="00CA60DD"/>
    <w:rsid w:val="00CA72F3"/>
    <w:rsid w:val="00CA73B3"/>
    <w:rsid w:val="00CA79BA"/>
    <w:rsid w:val="00CB2238"/>
    <w:rsid w:val="00CB25AD"/>
    <w:rsid w:val="00CB27E0"/>
    <w:rsid w:val="00CB2845"/>
    <w:rsid w:val="00CB672D"/>
    <w:rsid w:val="00CC0538"/>
    <w:rsid w:val="00CC1852"/>
    <w:rsid w:val="00CC29B4"/>
    <w:rsid w:val="00CC49AD"/>
    <w:rsid w:val="00CC6477"/>
    <w:rsid w:val="00CC6C69"/>
    <w:rsid w:val="00CC7B9B"/>
    <w:rsid w:val="00CD0435"/>
    <w:rsid w:val="00CD1577"/>
    <w:rsid w:val="00CD3936"/>
    <w:rsid w:val="00CD5792"/>
    <w:rsid w:val="00CD59DA"/>
    <w:rsid w:val="00CD5C80"/>
    <w:rsid w:val="00CD5CBD"/>
    <w:rsid w:val="00CD6D24"/>
    <w:rsid w:val="00CE0EF2"/>
    <w:rsid w:val="00CE3B28"/>
    <w:rsid w:val="00CE436F"/>
    <w:rsid w:val="00CE4C25"/>
    <w:rsid w:val="00CE60ED"/>
    <w:rsid w:val="00CE7F71"/>
    <w:rsid w:val="00CF011B"/>
    <w:rsid w:val="00CF03C2"/>
    <w:rsid w:val="00CF0E34"/>
    <w:rsid w:val="00CF1110"/>
    <w:rsid w:val="00CF29DE"/>
    <w:rsid w:val="00CF427B"/>
    <w:rsid w:val="00CF6911"/>
    <w:rsid w:val="00D01487"/>
    <w:rsid w:val="00D03152"/>
    <w:rsid w:val="00D03BB4"/>
    <w:rsid w:val="00D05924"/>
    <w:rsid w:val="00D0601B"/>
    <w:rsid w:val="00D07209"/>
    <w:rsid w:val="00D11668"/>
    <w:rsid w:val="00D11887"/>
    <w:rsid w:val="00D13DD0"/>
    <w:rsid w:val="00D14123"/>
    <w:rsid w:val="00D1477A"/>
    <w:rsid w:val="00D157B3"/>
    <w:rsid w:val="00D15893"/>
    <w:rsid w:val="00D161F3"/>
    <w:rsid w:val="00D1723A"/>
    <w:rsid w:val="00D17C27"/>
    <w:rsid w:val="00D24E55"/>
    <w:rsid w:val="00D24FC7"/>
    <w:rsid w:val="00D25450"/>
    <w:rsid w:val="00D25C7B"/>
    <w:rsid w:val="00D26365"/>
    <w:rsid w:val="00D309AE"/>
    <w:rsid w:val="00D31356"/>
    <w:rsid w:val="00D35609"/>
    <w:rsid w:val="00D35668"/>
    <w:rsid w:val="00D35E75"/>
    <w:rsid w:val="00D41169"/>
    <w:rsid w:val="00D41DC9"/>
    <w:rsid w:val="00D41E2C"/>
    <w:rsid w:val="00D4249C"/>
    <w:rsid w:val="00D42909"/>
    <w:rsid w:val="00D4390A"/>
    <w:rsid w:val="00D43AED"/>
    <w:rsid w:val="00D44E7D"/>
    <w:rsid w:val="00D44FF3"/>
    <w:rsid w:val="00D45B14"/>
    <w:rsid w:val="00D500AB"/>
    <w:rsid w:val="00D52CEC"/>
    <w:rsid w:val="00D543B7"/>
    <w:rsid w:val="00D54801"/>
    <w:rsid w:val="00D54B84"/>
    <w:rsid w:val="00D54C7C"/>
    <w:rsid w:val="00D55144"/>
    <w:rsid w:val="00D56142"/>
    <w:rsid w:val="00D56D83"/>
    <w:rsid w:val="00D6018F"/>
    <w:rsid w:val="00D617EE"/>
    <w:rsid w:val="00D61D7A"/>
    <w:rsid w:val="00D638F9"/>
    <w:rsid w:val="00D64AD1"/>
    <w:rsid w:val="00D66CF9"/>
    <w:rsid w:val="00D66E0F"/>
    <w:rsid w:val="00D703B8"/>
    <w:rsid w:val="00D704F2"/>
    <w:rsid w:val="00D71E6C"/>
    <w:rsid w:val="00D729D4"/>
    <w:rsid w:val="00D73F44"/>
    <w:rsid w:val="00D817C6"/>
    <w:rsid w:val="00D84FFF"/>
    <w:rsid w:val="00D873D3"/>
    <w:rsid w:val="00D87AF4"/>
    <w:rsid w:val="00D91A87"/>
    <w:rsid w:val="00D91B28"/>
    <w:rsid w:val="00D91D19"/>
    <w:rsid w:val="00D92616"/>
    <w:rsid w:val="00D92CD4"/>
    <w:rsid w:val="00D934E3"/>
    <w:rsid w:val="00D938C0"/>
    <w:rsid w:val="00D93C72"/>
    <w:rsid w:val="00D94BF5"/>
    <w:rsid w:val="00D960E0"/>
    <w:rsid w:val="00D974EE"/>
    <w:rsid w:val="00DA3A36"/>
    <w:rsid w:val="00DA406B"/>
    <w:rsid w:val="00DA4835"/>
    <w:rsid w:val="00DA65B8"/>
    <w:rsid w:val="00DB03C3"/>
    <w:rsid w:val="00DB0AD1"/>
    <w:rsid w:val="00DB21EC"/>
    <w:rsid w:val="00DB247C"/>
    <w:rsid w:val="00DB337C"/>
    <w:rsid w:val="00DB3DEB"/>
    <w:rsid w:val="00DB440A"/>
    <w:rsid w:val="00DB4E6D"/>
    <w:rsid w:val="00DB5C50"/>
    <w:rsid w:val="00DB62A6"/>
    <w:rsid w:val="00DB6881"/>
    <w:rsid w:val="00DC0908"/>
    <w:rsid w:val="00DC0CB2"/>
    <w:rsid w:val="00DC3CBC"/>
    <w:rsid w:val="00DC3CC2"/>
    <w:rsid w:val="00DC55EA"/>
    <w:rsid w:val="00DC6297"/>
    <w:rsid w:val="00DD1C3C"/>
    <w:rsid w:val="00DD4D56"/>
    <w:rsid w:val="00DD5976"/>
    <w:rsid w:val="00DD6033"/>
    <w:rsid w:val="00DD7BCE"/>
    <w:rsid w:val="00DE59B9"/>
    <w:rsid w:val="00DE6192"/>
    <w:rsid w:val="00DE6437"/>
    <w:rsid w:val="00DE6C26"/>
    <w:rsid w:val="00DE71AF"/>
    <w:rsid w:val="00DF0195"/>
    <w:rsid w:val="00DF115A"/>
    <w:rsid w:val="00DF1B27"/>
    <w:rsid w:val="00DF2B09"/>
    <w:rsid w:val="00DF45C8"/>
    <w:rsid w:val="00DF4711"/>
    <w:rsid w:val="00DF4E18"/>
    <w:rsid w:val="00DF7100"/>
    <w:rsid w:val="00E00243"/>
    <w:rsid w:val="00E052B0"/>
    <w:rsid w:val="00E103FB"/>
    <w:rsid w:val="00E12A28"/>
    <w:rsid w:val="00E13141"/>
    <w:rsid w:val="00E1328F"/>
    <w:rsid w:val="00E13537"/>
    <w:rsid w:val="00E14282"/>
    <w:rsid w:val="00E16424"/>
    <w:rsid w:val="00E16A79"/>
    <w:rsid w:val="00E175A6"/>
    <w:rsid w:val="00E2099D"/>
    <w:rsid w:val="00E21FF7"/>
    <w:rsid w:val="00E22C97"/>
    <w:rsid w:val="00E236CD"/>
    <w:rsid w:val="00E23B92"/>
    <w:rsid w:val="00E23F07"/>
    <w:rsid w:val="00E25EE5"/>
    <w:rsid w:val="00E26507"/>
    <w:rsid w:val="00E30A33"/>
    <w:rsid w:val="00E314FF"/>
    <w:rsid w:val="00E32B49"/>
    <w:rsid w:val="00E32F7E"/>
    <w:rsid w:val="00E332A1"/>
    <w:rsid w:val="00E33687"/>
    <w:rsid w:val="00E33D51"/>
    <w:rsid w:val="00E34472"/>
    <w:rsid w:val="00E3483E"/>
    <w:rsid w:val="00E36A31"/>
    <w:rsid w:val="00E4167E"/>
    <w:rsid w:val="00E43023"/>
    <w:rsid w:val="00E43EF6"/>
    <w:rsid w:val="00E444F6"/>
    <w:rsid w:val="00E448CD"/>
    <w:rsid w:val="00E44B79"/>
    <w:rsid w:val="00E458E8"/>
    <w:rsid w:val="00E51AA9"/>
    <w:rsid w:val="00E51C3E"/>
    <w:rsid w:val="00E5260C"/>
    <w:rsid w:val="00E542B3"/>
    <w:rsid w:val="00E54E2A"/>
    <w:rsid w:val="00E55257"/>
    <w:rsid w:val="00E60710"/>
    <w:rsid w:val="00E6074E"/>
    <w:rsid w:val="00E616D9"/>
    <w:rsid w:val="00E618B3"/>
    <w:rsid w:val="00E631D3"/>
    <w:rsid w:val="00E63D56"/>
    <w:rsid w:val="00E704BF"/>
    <w:rsid w:val="00E71019"/>
    <w:rsid w:val="00E72ACC"/>
    <w:rsid w:val="00E755F7"/>
    <w:rsid w:val="00E767D5"/>
    <w:rsid w:val="00E77CB0"/>
    <w:rsid w:val="00E80419"/>
    <w:rsid w:val="00E81E0F"/>
    <w:rsid w:val="00E8273E"/>
    <w:rsid w:val="00E83325"/>
    <w:rsid w:val="00E8437E"/>
    <w:rsid w:val="00E8455A"/>
    <w:rsid w:val="00E86CDC"/>
    <w:rsid w:val="00E8778E"/>
    <w:rsid w:val="00E908A4"/>
    <w:rsid w:val="00E920F2"/>
    <w:rsid w:val="00E928D3"/>
    <w:rsid w:val="00E92F43"/>
    <w:rsid w:val="00E9466B"/>
    <w:rsid w:val="00E958CC"/>
    <w:rsid w:val="00E96EEB"/>
    <w:rsid w:val="00E96FF2"/>
    <w:rsid w:val="00E9774E"/>
    <w:rsid w:val="00EA05A6"/>
    <w:rsid w:val="00EA0F53"/>
    <w:rsid w:val="00EA2E6D"/>
    <w:rsid w:val="00EA5C9C"/>
    <w:rsid w:val="00EA6903"/>
    <w:rsid w:val="00EA7674"/>
    <w:rsid w:val="00EA7E30"/>
    <w:rsid w:val="00EB2410"/>
    <w:rsid w:val="00EB285B"/>
    <w:rsid w:val="00EB4B13"/>
    <w:rsid w:val="00EB4FAE"/>
    <w:rsid w:val="00EB521F"/>
    <w:rsid w:val="00EB5A86"/>
    <w:rsid w:val="00EB68BE"/>
    <w:rsid w:val="00EB693B"/>
    <w:rsid w:val="00EC02F0"/>
    <w:rsid w:val="00EC200B"/>
    <w:rsid w:val="00EC20D0"/>
    <w:rsid w:val="00EC3D1A"/>
    <w:rsid w:val="00EC4222"/>
    <w:rsid w:val="00EC4D77"/>
    <w:rsid w:val="00EC6E55"/>
    <w:rsid w:val="00EC73D5"/>
    <w:rsid w:val="00ED0006"/>
    <w:rsid w:val="00ED26AE"/>
    <w:rsid w:val="00ED2EAB"/>
    <w:rsid w:val="00ED30A9"/>
    <w:rsid w:val="00ED3441"/>
    <w:rsid w:val="00ED3857"/>
    <w:rsid w:val="00ED7608"/>
    <w:rsid w:val="00EE27BA"/>
    <w:rsid w:val="00EE7129"/>
    <w:rsid w:val="00EF37FA"/>
    <w:rsid w:val="00EF3EAC"/>
    <w:rsid w:val="00EF44E3"/>
    <w:rsid w:val="00EF6D68"/>
    <w:rsid w:val="00F01092"/>
    <w:rsid w:val="00F01B21"/>
    <w:rsid w:val="00F02149"/>
    <w:rsid w:val="00F0260F"/>
    <w:rsid w:val="00F02795"/>
    <w:rsid w:val="00F02BFF"/>
    <w:rsid w:val="00F0476C"/>
    <w:rsid w:val="00F060EA"/>
    <w:rsid w:val="00F063CC"/>
    <w:rsid w:val="00F06476"/>
    <w:rsid w:val="00F1052D"/>
    <w:rsid w:val="00F109B8"/>
    <w:rsid w:val="00F1748D"/>
    <w:rsid w:val="00F205EC"/>
    <w:rsid w:val="00F21445"/>
    <w:rsid w:val="00F2187A"/>
    <w:rsid w:val="00F22F34"/>
    <w:rsid w:val="00F308AF"/>
    <w:rsid w:val="00F30E52"/>
    <w:rsid w:val="00F3135B"/>
    <w:rsid w:val="00F318B6"/>
    <w:rsid w:val="00F31D5F"/>
    <w:rsid w:val="00F33FA9"/>
    <w:rsid w:val="00F34DA5"/>
    <w:rsid w:val="00F366D3"/>
    <w:rsid w:val="00F37034"/>
    <w:rsid w:val="00F400AD"/>
    <w:rsid w:val="00F41646"/>
    <w:rsid w:val="00F4198C"/>
    <w:rsid w:val="00F422E9"/>
    <w:rsid w:val="00F432D1"/>
    <w:rsid w:val="00F4426B"/>
    <w:rsid w:val="00F468FA"/>
    <w:rsid w:val="00F47157"/>
    <w:rsid w:val="00F47A23"/>
    <w:rsid w:val="00F47C43"/>
    <w:rsid w:val="00F50604"/>
    <w:rsid w:val="00F50FE1"/>
    <w:rsid w:val="00F52C2D"/>
    <w:rsid w:val="00F532E9"/>
    <w:rsid w:val="00F5361E"/>
    <w:rsid w:val="00F57495"/>
    <w:rsid w:val="00F57540"/>
    <w:rsid w:val="00F6236C"/>
    <w:rsid w:val="00F6384E"/>
    <w:rsid w:val="00F6446E"/>
    <w:rsid w:val="00F677D0"/>
    <w:rsid w:val="00F67B03"/>
    <w:rsid w:val="00F70384"/>
    <w:rsid w:val="00F7062A"/>
    <w:rsid w:val="00F71751"/>
    <w:rsid w:val="00F72159"/>
    <w:rsid w:val="00F722EC"/>
    <w:rsid w:val="00F76C21"/>
    <w:rsid w:val="00F772DA"/>
    <w:rsid w:val="00F80A22"/>
    <w:rsid w:val="00F8124A"/>
    <w:rsid w:val="00F815B4"/>
    <w:rsid w:val="00F82141"/>
    <w:rsid w:val="00F821B4"/>
    <w:rsid w:val="00F83E7D"/>
    <w:rsid w:val="00F8463F"/>
    <w:rsid w:val="00F87F8F"/>
    <w:rsid w:val="00F91666"/>
    <w:rsid w:val="00F9250F"/>
    <w:rsid w:val="00F94346"/>
    <w:rsid w:val="00F94DBF"/>
    <w:rsid w:val="00F97FBB"/>
    <w:rsid w:val="00FA076C"/>
    <w:rsid w:val="00FA0FEA"/>
    <w:rsid w:val="00FA2B29"/>
    <w:rsid w:val="00FA39F8"/>
    <w:rsid w:val="00FA4350"/>
    <w:rsid w:val="00FA4BCD"/>
    <w:rsid w:val="00FA59C2"/>
    <w:rsid w:val="00FA72E4"/>
    <w:rsid w:val="00FA7EA6"/>
    <w:rsid w:val="00FB082C"/>
    <w:rsid w:val="00FB3EBA"/>
    <w:rsid w:val="00FB734E"/>
    <w:rsid w:val="00FC059D"/>
    <w:rsid w:val="00FC10EC"/>
    <w:rsid w:val="00FC16A0"/>
    <w:rsid w:val="00FC17F6"/>
    <w:rsid w:val="00FC327E"/>
    <w:rsid w:val="00FC36C2"/>
    <w:rsid w:val="00FC4C62"/>
    <w:rsid w:val="00FC4C6E"/>
    <w:rsid w:val="00FC633F"/>
    <w:rsid w:val="00FC6EA8"/>
    <w:rsid w:val="00FD1389"/>
    <w:rsid w:val="00FD1DC8"/>
    <w:rsid w:val="00FD4E7F"/>
    <w:rsid w:val="00FD6B43"/>
    <w:rsid w:val="00FD7603"/>
    <w:rsid w:val="00FE121F"/>
    <w:rsid w:val="00FE275A"/>
    <w:rsid w:val="00FE3143"/>
    <w:rsid w:val="00FE3771"/>
    <w:rsid w:val="00FE3CBD"/>
    <w:rsid w:val="00FE5DE6"/>
    <w:rsid w:val="00FF055A"/>
    <w:rsid w:val="00FF2566"/>
    <w:rsid w:val="00FF4C76"/>
    <w:rsid w:val="00FF5ED2"/>
    <w:rsid w:val="00FF6232"/>
    <w:rsid w:val="00FF79A9"/>
    <w:rsid w:val="00FF7C81"/>
    <w:rsid w:val="00FF7E2A"/>
    <w:rsid w:val="01037EC3"/>
    <w:rsid w:val="010E4C5D"/>
    <w:rsid w:val="011419D2"/>
    <w:rsid w:val="01151973"/>
    <w:rsid w:val="011E457E"/>
    <w:rsid w:val="01260B21"/>
    <w:rsid w:val="012F4A53"/>
    <w:rsid w:val="01382669"/>
    <w:rsid w:val="01395018"/>
    <w:rsid w:val="015C10C4"/>
    <w:rsid w:val="016565E0"/>
    <w:rsid w:val="016E5000"/>
    <w:rsid w:val="01751E00"/>
    <w:rsid w:val="017F323C"/>
    <w:rsid w:val="018C0157"/>
    <w:rsid w:val="019B2A6C"/>
    <w:rsid w:val="019D2150"/>
    <w:rsid w:val="01A47995"/>
    <w:rsid w:val="01B15BC3"/>
    <w:rsid w:val="01B71FC4"/>
    <w:rsid w:val="01B74094"/>
    <w:rsid w:val="01B87FD5"/>
    <w:rsid w:val="01BB5FC7"/>
    <w:rsid w:val="01BE0AD1"/>
    <w:rsid w:val="01D06A8D"/>
    <w:rsid w:val="01D27697"/>
    <w:rsid w:val="01E45C77"/>
    <w:rsid w:val="01E96738"/>
    <w:rsid w:val="020822B3"/>
    <w:rsid w:val="020D2BFE"/>
    <w:rsid w:val="022E2D68"/>
    <w:rsid w:val="023826D0"/>
    <w:rsid w:val="023952A1"/>
    <w:rsid w:val="023B4E7B"/>
    <w:rsid w:val="02496A91"/>
    <w:rsid w:val="02516FD7"/>
    <w:rsid w:val="025C2995"/>
    <w:rsid w:val="026223A4"/>
    <w:rsid w:val="02685C0C"/>
    <w:rsid w:val="028644D3"/>
    <w:rsid w:val="02873A6B"/>
    <w:rsid w:val="028C01C2"/>
    <w:rsid w:val="029770EC"/>
    <w:rsid w:val="029815D7"/>
    <w:rsid w:val="02992350"/>
    <w:rsid w:val="029D6A57"/>
    <w:rsid w:val="02A05E8C"/>
    <w:rsid w:val="02AD119A"/>
    <w:rsid w:val="02AF7331"/>
    <w:rsid w:val="02B16289"/>
    <w:rsid w:val="02C056C9"/>
    <w:rsid w:val="02C3663D"/>
    <w:rsid w:val="02C5676D"/>
    <w:rsid w:val="02CD1F13"/>
    <w:rsid w:val="02CF7A3A"/>
    <w:rsid w:val="02D0202C"/>
    <w:rsid w:val="02E80366"/>
    <w:rsid w:val="02F45ACA"/>
    <w:rsid w:val="02F80FC0"/>
    <w:rsid w:val="02FA438B"/>
    <w:rsid w:val="03047670"/>
    <w:rsid w:val="03076553"/>
    <w:rsid w:val="0314203E"/>
    <w:rsid w:val="03161B57"/>
    <w:rsid w:val="03241BE1"/>
    <w:rsid w:val="03453A3C"/>
    <w:rsid w:val="035110AD"/>
    <w:rsid w:val="035156E0"/>
    <w:rsid w:val="03531A1D"/>
    <w:rsid w:val="0356003D"/>
    <w:rsid w:val="03611F69"/>
    <w:rsid w:val="03622654"/>
    <w:rsid w:val="036672C9"/>
    <w:rsid w:val="0373789E"/>
    <w:rsid w:val="03792968"/>
    <w:rsid w:val="037B0BBB"/>
    <w:rsid w:val="037E09DE"/>
    <w:rsid w:val="037F50CD"/>
    <w:rsid w:val="03862A77"/>
    <w:rsid w:val="038E4997"/>
    <w:rsid w:val="039173E9"/>
    <w:rsid w:val="03947DA7"/>
    <w:rsid w:val="03982047"/>
    <w:rsid w:val="03AB7869"/>
    <w:rsid w:val="03B07A7E"/>
    <w:rsid w:val="03C573B9"/>
    <w:rsid w:val="03CF502B"/>
    <w:rsid w:val="03D755D9"/>
    <w:rsid w:val="03D903A1"/>
    <w:rsid w:val="03DF15D3"/>
    <w:rsid w:val="03ED3C63"/>
    <w:rsid w:val="03F6494A"/>
    <w:rsid w:val="03F7414F"/>
    <w:rsid w:val="04073BE6"/>
    <w:rsid w:val="040F0873"/>
    <w:rsid w:val="040F13A0"/>
    <w:rsid w:val="04212139"/>
    <w:rsid w:val="042B15DB"/>
    <w:rsid w:val="04305A92"/>
    <w:rsid w:val="04391A7E"/>
    <w:rsid w:val="044161D0"/>
    <w:rsid w:val="0446138B"/>
    <w:rsid w:val="0448410B"/>
    <w:rsid w:val="044A30F0"/>
    <w:rsid w:val="04573296"/>
    <w:rsid w:val="045E5922"/>
    <w:rsid w:val="04604A2B"/>
    <w:rsid w:val="04615477"/>
    <w:rsid w:val="046B192D"/>
    <w:rsid w:val="046E5C18"/>
    <w:rsid w:val="048416E6"/>
    <w:rsid w:val="04885D36"/>
    <w:rsid w:val="048D3353"/>
    <w:rsid w:val="04912063"/>
    <w:rsid w:val="049A5EA4"/>
    <w:rsid w:val="04A2438B"/>
    <w:rsid w:val="04A838C7"/>
    <w:rsid w:val="04A84E8C"/>
    <w:rsid w:val="04AB74EA"/>
    <w:rsid w:val="04C512E6"/>
    <w:rsid w:val="04C62C7B"/>
    <w:rsid w:val="04D12363"/>
    <w:rsid w:val="04DA7993"/>
    <w:rsid w:val="04DF1670"/>
    <w:rsid w:val="04DF6742"/>
    <w:rsid w:val="04F30D22"/>
    <w:rsid w:val="050F04DE"/>
    <w:rsid w:val="05163267"/>
    <w:rsid w:val="051660EF"/>
    <w:rsid w:val="052A3C08"/>
    <w:rsid w:val="052D3A02"/>
    <w:rsid w:val="052F6CFA"/>
    <w:rsid w:val="054543D7"/>
    <w:rsid w:val="055521BA"/>
    <w:rsid w:val="05585942"/>
    <w:rsid w:val="05655A24"/>
    <w:rsid w:val="0566578A"/>
    <w:rsid w:val="056D3997"/>
    <w:rsid w:val="056D6047"/>
    <w:rsid w:val="057E34A0"/>
    <w:rsid w:val="057F7BE5"/>
    <w:rsid w:val="05840E9C"/>
    <w:rsid w:val="058C092D"/>
    <w:rsid w:val="058D14E6"/>
    <w:rsid w:val="05A6389D"/>
    <w:rsid w:val="05A65AB5"/>
    <w:rsid w:val="05B9190B"/>
    <w:rsid w:val="05BF6EA2"/>
    <w:rsid w:val="05C13570"/>
    <w:rsid w:val="05DE53F2"/>
    <w:rsid w:val="05DE66BE"/>
    <w:rsid w:val="05DF5CAA"/>
    <w:rsid w:val="05E671F7"/>
    <w:rsid w:val="05EB2603"/>
    <w:rsid w:val="05EE4670"/>
    <w:rsid w:val="05F17846"/>
    <w:rsid w:val="060825C5"/>
    <w:rsid w:val="060A4716"/>
    <w:rsid w:val="061378DD"/>
    <w:rsid w:val="06143FB0"/>
    <w:rsid w:val="06206D4E"/>
    <w:rsid w:val="062525EC"/>
    <w:rsid w:val="06417596"/>
    <w:rsid w:val="064779D4"/>
    <w:rsid w:val="06547860"/>
    <w:rsid w:val="06586EC3"/>
    <w:rsid w:val="06686D84"/>
    <w:rsid w:val="06736728"/>
    <w:rsid w:val="067E3D0F"/>
    <w:rsid w:val="068B0680"/>
    <w:rsid w:val="068C7894"/>
    <w:rsid w:val="069D79CB"/>
    <w:rsid w:val="06A1647A"/>
    <w:rsid w:val="06A3711F"/>
    <w:rsid w:val="06A708EE"/>
    <w:rsid w:val="06AB11B7"/>
    <w:rsid w:val="06B72E50"/>
    <w:rsid w:val="06BE0C16"/>
    <w:rsid w:val="06CD0B44"/>
    <w:rsid w:val="06E00552"/>
    <w:rsid w:val="06EA2F20"/>
    <w:rsid w:val="06EE5A2D"/>
    <w:rsid w:val="06F35A5D"/>
    <w:rsid w:val="070F5D71"/>
    <w:rsid w:val="070F7487"/>
    <w:rsid w:val="07194640"/>
    <w:rsid w:val="071B72C1"/>
    <w:rsid w:val="0727299A"/>
    <w:rsid w:val="07281E6C"/>
    <w:rsid w:val="07290CBE"/>
    <w:rsid w:val="072D607D"/>
    <w:rsid w:val="07301432"/>
    <w:rsid w:val="073E518E"/>
    <w:rsid w:val="07484FAE"/>
    <w:rsid w:val="0749650E"/>
    <w:rsid w:val="07590C16"/>
    <w:rsid w:val="07665311"/>
    <w:rsid w:val="076A196A"/>
    <w:rsid w:val="078D59D2"/>
    <w:rsid w:val="07947E81"/>
    <w:rsid w:val="079C7E1A"/>
    <w:rsid w:val="07A45B0C"/>
    <w:rsid w:val="07A61645"/>
    <w:rsid w:val="07A87CE1"/>
    <w:rsid w:val="07C63AEF"/>
    <w:rsid w:val="07E03D3B"/>
    <w:rsid w:val="07E32246"/>
    <w:rsid w:val="07EE0DAA"/>
    <w:rsid w:val="07F13920"/>
    <w:rsid w:val="07F57A40"/>
    <w:rsid w:val="07FC1C4A"/>
    <w:rsid w:val="07FE1B6A"/>
    <w:rsid w:val="08073184"/>
    <w:rsid w:val="08104BFB"/>
    <w:rsid w:val="08142866"/>
    <w:rsid w:val="08216A16"/>
    <w:rsid w:val="08422707"/>
    <w:rsid w:val="085E35AA"/>
    <w:rsid w:val="08650FA7"/>
    <w:rsid w:val="08872ABC"/>
    <w:rsid w:val="088A1E83"/>
    <w:rsid w:val="08902126"/>
    <w:rsid w:val="089977D8"/>
    <w:rsid w:val="089F6321"/>
    <w:rsid w:val="08AB65BC"/>
    <w:rsid w:val="08B35BF9"/>
    <w:rsid w:val="08B650C6"/>
    <w:rsid w:val="08B74224"/>
    <w:rsid w:val="08C573BE"/>
    <w:rsid w:val="08D61E95"/>
    <w:rsid w:val="08DD3FF1"/>
    <w:rsid w:val="08F04E07"/>
    <w:rsid w:val="08F44A05"/>
    <w:rsid w:val="090048B1"/>
    <w:rsid w:val="09023ED9"/>
    <w:rsid w:val="09025B9F"/>
    <w:rsid w:val="09033A27"/>
    <w:rsid w:val="09110D6F"/>
    <w:rsid w:val="09172F5E"/>
    <w:rsid w:val="09173ACE"/>
    <w:rsid w:val="09292436"/>
    <w:rsid w:val="09375566"/>
    <w:rsid w:val="09457ED1"/>
    <w:rsid w:val="09491428"/>
    <w:rsid w:val="09493C77"/>
    <w:rsid w:val="094C1CA7"/>
    <w:rsid w:val="095004ED"/>
    <w:rsid w:val="095253C7"/>
    <w:rsid w:val="09585C27"/>
    <w:rsid w:val="09623040"/>
    <w:rsid w:val="096315C9"/>
    <w:rsid w:val="096878A0"/>
    <w:rsid w:val="09690A9E"/>
    <w:rsid w:val="096F7758"/>
    <w:rsid w:val="097221BB"/>
    <w:rsid w:val="097C284C"/>
    <w:rsid w:val="097E4761"/>
    <w:rsid w:val="09851D04"/>
    <w:rsid w:val="098F26D8"/>
    <w:rsid w:val="09984B82"/>
    <w:rsid w:val="099B04E0"/>
    <w:rsid w:val="09AB168B"/>
    <w:rsid w:val="09C062F3"/>
    <w:rsid w:val="09C31035"/>
    <w:rsid w:val="09CD631A"/>
    <w:rsid w:val="09D04097"/>
    <w:rsid w:val="09D4382D"/>
    <w:rsid w:val="09D84F28"/>
    <w:rsid w:val="09D85EAB"/>
    <w:rsid w:val="09E14EF2"/>
    <w:rsid w:val="09E50DE3"/>
    <w:rsid w:val="09E54C2D"/>
    <w:rsid w:val="09F342F1"/>
    <w:rsid w:val="09F95D68"/>
    <w:rsid w:val="09FF5685"/>
    <w:rsid w:val="0A027367"/>
    <w:rsid w:val="0A034284"/>
    <w:rsid w:val="0A037803"/>
    <w:rsid w:val="0A0524E6"/>
    <w:rsid w:val="0A0D2C60"/>
    <w:rsid w:val="0A0E14C0"/>
    <w:rsid w:val="0A167B6F"/>
    <w:rsid w:val="0A191C02"/>
    <w:rsid w:val="0A1C36D3"/>
    <w:rsid w:val="0A1C6ACA"/>
    <w:rsid w:val="0A477B56"/>
    <w:rsid w:val="0A4964A0"/>
    <w:rsid w:val="0A496ADC"/>
    <w:rsid w:val="0A53248C"/>
    <w:rsid w:val="0A551699"/>
    <w:rsid w:val="0A627F2E"/>
    <w:rsid w:val="0A64307E"/>
    <w:rsid w:val="0A656D79"/>
    <w:rsid w:val="0A6B6859"/>
    <w:rsid w:val="0A6C0264"/>
    <w:rsid w:val="0A772E76"/>
    <w:rsid w:val="0A92134C"/>
    <w:rsid w:val="0A9D1518"/>
    <w:rsid w:val="0AAA0A53"/>
    <w:rsid w:val="0AB43808"/>
    <w:rsid w:val="0AB865F0"/>
    <w:rsid w:val="0ABD679D"/>
    <w:rsid w:val="0ACD62B4"/>
    <w:rsid w:val="0AED5EC7"/>
    <w:rsid w:val="0AF755D1"/>
    <w:rsid w:val="0AFF18A8"/>
    <w:rsid w:val="0B0A12A5"/>
    <w:rsid w:val="0B0B35D9"/>
    <w:rsid w:val="0B143B8D"/>
    <w:rsid w:val="0B2726DD"/>
    <w:rsid w:val="0B2B4846"/>
    <w:rsid w:val="0B3D6AFD"/>
    <w:rsid w:val="0B431D19"/>
    <w:rsid w:val="0B596729"/>
    <w:rsid w:val="0B5E078C"/>
    <w:rsid w:val="0B622721"/>
    <w:rsid w:val="0B665C63"/>
    <w:rsid w:val="0B682CAB"/>
    <w:rsid w:val="0B6A7787"/>
    <w:rsid w:val="0B847BF9"/>
    <w:rsid w:val="0B8503D3"/>
    <w:rsid w:val="0B8E64DB"/>
    <w:rsid w:val="0B915CDA"/>
    <w:rsid w:val="0B972584"/>
    <w:rsid w:val="0B984D8F"/>
    <w:rsid w:val="0BBE4877"/>
    <w:rsid w:val="0BC155DA"/>
    <w:rsid w:val="0BCE61BD"/>
    <w:rsid w:val="0BCF2526"/>
    <w:rsid w:val="0BD2521C"/>
    <w:rsid w:val="0BD47E6F"/>
    <w:rsid w:val="0BD972DE"/>
    <w:rsid w:val="0BE80927"/>
    <w:rsid w:val="0BFE314C"/>
    <w:rsid w:val="0C100CB6"/>
    <w:rsid w:val="0C152355"/>
    <w:rsid w:val="0C1A2A3A"/>
    <w:rsid w:val="0C1F1AAD"/>
    <w:rsid w:val="0C2331AA"/>
    <w:rsid w:val="0C234ECC"/>
    <w:rsid w:val="0C281B36"/>
    <w:rsid w:val="0C2C0DB3"/>
    <w:rsid w:val="0C2C6A84"/>
    <w:rsid w:val="0C2D5BC2"/>
    <w:rsid w:val="0C335E58"/>
    <w:rsid w:val="0C3E35F3"/>
    <w:rsid w:val="0C431604"/>
    <w:rsid w:val="0C501BE0"/>
    <w:rsid w:val="0C577D4B"/>
    <w:rsid w:val="0C5E2E99"/>
    <w:rsid w:val="0C633773"/>
    <w:rsid w:val="0C680C7A"/>
    <w:rsid w:val="0C6E3D50"/>
    <w:rsid w:val="0C7559B9"/>
    <w:rsid w:val="0C7B653C"/>
    <w:rsid w:val="0C7C2DA5"/>
    <w:rsid w:val="0C832D94"/>
    <w:rsid w:val="0C87217C"/>
    <w:rsid w:val="0C8951D8"/>
    <w:rsid w:val="0C917685"/>
    <w:rsid w:val="0C9763CC"/>
    <w:rsid w:val="0C9E0179"/>
    <w:rsid w:val="0CA5761F"/>
    <w:rsid w:val="0CA74961"/>
    <w:rsid w:val="0CAA1AA7"/>
    <w:rsid w:val="0CAC2533"/>
    <w:rsid w:val="0CBE5C9D"/>
    <w:rsid w:val="0CC6379A"/>
    <w:rsid w:val="0CE06513"/>
    <w:rsid w:val="0CFE0DC7"/>
    <w:rsid w:val="0CFE28C0"/>
    <w:rsid w:val="0D003A74"/>
    <w:rsid w:val="0D0A7152"/>
    <w:rsid w:val="0D0C36E9"/>
    <w:rsid w:val="0D0F1397"/>
    <w:rsid w:val="0D1523BB"/>
    <w:rsid w:val="0D1859DF"/>
    <w:rsid w:val="0D231B0D"/>
    <w:rsid w:val="0D3A1F53"/>
    <w:rsid w:val="0D3E2322"/>
    <w:rsid w:val="0D4106F3"/>
    <w:rsid w:val="0D4F3563"/>
    <w:rsid w:val="0D505F74"/>
    <w:rsid w:val="0D570673"/>
    <w:rsid w:val="0D5B6CDF"/>
    <w:rsid w:val="0D646464"/>
    <w:rsid w:val="0D6F1ACD"/>
    <w:rsid w:val="0D7E2891"/>
    <w:rsid w:val="0D895F1D"/>
    <w:rsid w:val="0D9F2503"/>
    <w:rsid w:val="0DA52F58"/>
    <w:rsid w:val="0DAC3FEE"/>
    <w:rsid w:val="0DB23EF1"/>
    <w:rsid w:val="0DB42479"/>
    <w:rsid w:val="0DB9692C"/>
    <w:rsid w:val="0DC418BD"/>
    <w:rsid w:val="0DC70D2E"/>
    <w:rsid w:val="0DEB3535"/>
    <w:rsid w:val="0DF15F10"/>
    <w:rsid w:val="0DF349B7"/>
    <w:rsid w:val="0DF913EB"/>
    <w:rsid w:val="0DFE5C64"/>
    <w:rsid w:val="0E013110"/>
    <w:rsid w:val="0E024983"/>
    <w:rsid w:val="0E062452"/>
    <w:rsid w:val="0E06374D"/>
    <w:rsid w:val="0E0662D9"/>
    <w:rsid w:val="0E0D6658"/>
    <w:rsid w:val="0E0F0339"/>
    <w:rsid w:val="0E0F6090"/>
    <w:rsid w:val="0E152630"/>
    <w:rsid w:val="0E1B514C"/>
    <w:rsid w:val="0E21193B"/>
    <w:rsid w:val="0E345571"/>
    <w:rsid w:val="0E3502B9"/>
    <w:rsid w:val="0E357AF6"/>
    <w:rsid w:val="0E4232A3"/>
    <w:rsid w:val="0E500F24"/>
    <w:rsid w:val="0E5F5BBD"/>
    <w:rsid w:val="0E733C9C"/>
    <w:rsid w:val="0E76426C"/>
    <w:rsid w:val="0E785E28"/>
    <w:rsid w:val="0E7B2F67"/>
    <w:rsid w:val="0E7F2E79"/>
    <w:rsid w:val="0E823566"/>
    <w:rsid w:val="0E826642"/>
    <w:rsid w:val="0E876E15"/>
    <w:rsid w:val="0E8C2C83"/>
    <w:rsid w:val="0E9440C3"/>
    <w:rsid w:val="0E982BF1"/>
    <w:rsid w:val="0E985263"/>
    <w:rsid w:val="0E9B0C68"/>
    <w:rsid w:val="0EA5702D"/>
    <w:rsid w:val="0EA81EED"/>
    <w:rsid w:val="0EB651CA"/>
    <w:rsid w:val="0EB7275D"/>
    <w:rsid w:val="0ECC1ACA"/>
    <w:rsid w:val="0ED024B0"/>
    <w:rsid w:val="0EDB6696"/>
    <w:rsid w:val="0EE03DDB"/>
    <w:rsid w:val="0EE65678"/>
    <w:rsid w:val="0EEE599D"/>
    <w:rsid w:val="0EFF7C9F"/>
    <w:rsid w:val="0F0E4D4D"/>
    <w:rsid w:val="0F0F2D5A"/>
    <w:rsid w:val="0F133CC6"/>
    <w:rsid w:val="0F1367BD"/>
    <w:rsid w:val="0F165EF6"/>
    <w:rsid w:val="0F3708F3"/>
    <w:rsid w:val="0F3A5C19"/>
    <w:rsid w:val="0F5B2AC5"/>
    <w:rsid w:val="0F651880"/>
    <w:rsid w:val="0F653884"/>
    <w:rsid w:val="0F6C6C38"/>
    <w:rsid w:val="0F7A3F04"/>
    <w:rsid w:val="0F7E31F1"/>
    <w:rsid w:val="0F863303"/>
    <w:rsid w:val="0F8D7C4A"/>
    <w:rsid w:val="0FB369B1"/>
    <w:rsid w:val="0FBC60E1"/>
    <w:rsid w:val="0FBE3403"/>
    <w:rsid w:val="0FC36D85"/>
    <w:rsid w:val="0FD31CC7"/>
    <w:rsid w:val="0FDB16E8"/>
    <w:rsid w:val="0FDD163C"/>
    <w:rsid w:val="0FEC75B7"/>
    <w:rsid w:val="0FEF3319"/>
    <w:rsid w:val="0FF50E73"/>
    <w:rsid w:val="0FF512EB"/>
    <w:rsid w:val="0FF52367"/>
    <w:rsid w:val="0FF944D9"/>
    <w:rsid w:val="10020045"/>
    <w:rsid w:val="10032E77"/>
    <w:rsid w:val="10075DEA"/>
    <w:rsid w:val="10082C82"/>
    <w:rsid w:val="103F33B2"/>
    <w:rsid w:val="104338EF"/>
    <w:rsid w:val="10442618"/>
    <w:rsid w:val="10457700"/>
    <w:rsid w:val="104C5B6F"/>
    <w:rsid w:val="1051273E"/>
    <w:rsid w:val="105B24CF"/>
    <w:rsid w:val="105C0E07"/>
    <w:rsid w:val="105F10BE"/>
    <w:rsid w:val="10666EA1"/>
    <w:rsid w:val="107523C4"/>
    <w:rsid w:val="10776CE9"/>
    <w:rsid w:val="107A36FC"/>
    <w:rsid w:val="107B5111"/>
    <w:rsid w:val="107D0495"/>
    <w:rsid w:val="107E2A9F"/>
    <w:rsid w:val="107F1FB1"/>
    <w:rsid w:val="10850780"/>
    <w:rsid w:val="108E19B6"/>
    <w:rsid w:val="10A064D0"/>
    <w:rsid w:val="10A90FB8"/>
    <w:rsid w:val="10BE57BC"/>
    <w:rsid w:val="10D71A84"/>
    <w:rsid w:val="10DD7C2F"/>
    <w:rsid w:val="10E156F1"/>
    <w:rsid w:val="10E24929"/>
    <w:rsid w:val="10E75605"/>
    <w:rsid w:val="10E838C0"/>
    <w:rsid w:val="10E85DAD"/>
    <w:rsid w:val="10EC058C"/>
    <w:rsid w:val="10F16889"/>
    <w:rsid w:val="10FB724A"/>
    <w:rsid w:val="1103418A"/>
    <w:rsid w:val="11081890"/>
    <w:rsid w:val="111B181B"/>
    <w:rsid w:val="112C3EF0"/>
    <w:rsid w:val="11307CAA"/>
    <w:rsid w:val="1132454C"/>
    <w:rsid w:val="113F356E"/>
    <w:rsid w:val="1142292F"/>
    <w:rsid w:val="1147652C"/>
    <w:rsid w:val="115A456C"/>
    <w:rsid w:val="115F467E"/>
    <w:rsid w:val="11657A71"/>
    <w:rsid w:val="116C1326"/>
    <w:rsid w:val="117201AD"/>
    <w:rsid w:val="117C05FB"/>
    <w:rsid w:val="11801882"/>
    <w:rsid w:val="11A4797D"/>
    <w:rsid w:val="11AC2538"/>
    <w:rsid w:val="11AC58B7"/>
    <w:rsid w:val="11BB3C24"/>
    <w:rsid w:val="11BC6D50"/>
    <w:rsid w:val="11C91AF8"/>
    <w:rsid w:val="11CB0816"/>
    <w:rsid w:val="11CC7BA8"/>
    <w:rsid w:val="11E513D3"/>
    <w:rsid w:val="11E645C3"/>
    <w:rsid w:val="11E97A80"/>
    <w:rsid w:val="11F34199"/>
    <w:rsid w:val="11F5426F"/>
    <w:rsid w:val="11F549EC"/>
    <w:rsid w:val="11F62942"/>
    <w:rsid w:val="12157BD4"/>
    <w:rsid w:val="1216222B"/>
    <w:rsid w:val="121A0562"/>
    <w:rsid w:val="12320E5D"/>
    <w:rsid w:val="123814E5"/>
    <w:rsid w:val="12435582"/>
    <w:rsid w:val="125448A5"/>
    <w:rsid w:val="126C76CB"/>
    <w:rsid w:val="127E4191"/>
    <w:rsid w:val="127F540D"/>
    <w:rsid w:val="129F1F22"/>
    <w:rsid w:val="12A1787B"/>
    <w:rsid w:val="12A60575"/>
    <w:rsid w:val="12A91AC5"/>
    <w:rsid w:val="12B51D58"/>
    <w:rsid w:val="12BD3406"/>
    <w:rsid w:val="12C15E5A"/>
    <w:rsid w:val="12C76AC7"/>
    <w:rsid w:val="12CA2F05"/>
    <w:rsid w:val="12DA72AD"/>
    <w:rsid w:val="12DC3362"/>
    <w:rsid w:val="12E00931"/>
    <w:rsid w:val="12E03311"/>
    <w:rsid w:val="12E459B1"/>
    <w:rsid w:val="12F12A9A"/>
    <w:rsid w:val="12F34107"/>
    <w:rsid w:val="1306255E"/>
    <w:rsid w:val="130A23C8"/>
    <w:rsid w:val="130D1F51"/>
    <w:rsid w:val="130E0EC5"/>
    <w:rsid w:val="13194E9A"/>
    <w:rsid w:val="13227D49"/>
    <w:rsid w:val="13245B47"/>
    <w:rsid w:val="13293503"/>
    <w:rsid w:val="132D21F6"/>
    <w:rsid w:val="132E2AA9"/>
    <w:rsid w:val="13330810"/>
    <w:rsid w:val="1338799A"/>
    <w:rsid w:val="133F6B2B"/>
    <w:rsid w:val="13435DB2"/>
    <w:rsid w:val="1346582A"/>
    <w:rsid w:val="134C5FB3"/>
    <w:rsid w:val="13584CEB"/>
    <w:rsid w:val="136E0A93"/>
    <w:rsid w:val="138707D8"/>
    <w:rsid w:val="138E5768"/>
    <w:rsid w:val="13935DCA"/>
    <w:rsid w:val="139E71E0"/>
    <w:rsid w:val="13A83417"/>
    <w:rsid w:val="13AC12DF"/>
    <w:rsid w:val="13B10B88"/>
    <w:rsid w:val="13B5265C"/>
    <w:rsid w:val="13B862F9"/>
    <w:rsid w:val="13C469A2"/>
    <w:rsid w:val="13D06224"/>
    <w:rsid w:val="13D87E51"/>
    <w:rsid w:val="13DF1849"/>
    <w:rsid w:val="13E93203"/>
    <w:rsid w:val="13ED0597"/>
    <w:rsid w:val="13EF30E1"/>
    <w:rsid w:val="14070298"/>
    <w:rsid w:val="140D22C4"/>
    <w:rsid w:val="1414284B"/>
    <w:rsid w:val="14142E38"/>
    <w:rsid w:val="14143870"/>
    <w:rsid w:val="14221993"/>
    <w:rsid w:val="142319AC"/>
    <w:rsid w:val="142B68D3"/>
    <w:rsid w:val="143771ED"/>
    <w:rsid w:val="143B263C"/>
    <w:rsid w:val="14411F7A"/>
    <w:rsid w:val="144347FA"/>
    <w:rsid w:val="144427A3"/>
    <w:rsid w:val="1446001D"/>
    <w:rsid w:val="1448083C"/>
    <w:rsid w:val="1448527A"/>
    <w:rsid w:val="144F429F"/>
    <w:rsid w:val="14514B1B"/>
    <w:rsid w:val="146B08F3"/>
    <w:rsid w:val="146F07FA"/>
    <w:rsid w:val="1470388E"/>
    <w:rsid w:val="14706A6C"/>
    <w:rsid w:val="148F6512"/>
    <w:rsid w:val="148F6ECD"/>
    <w:rsid w:val="149D0FED"/>
    <w:rsid w:val="14A64372"/>
    <w:rsid w:val="14AA6898"/>
    <w:rsid w:val="14B0017F"/>
    <w:rsid w:val="14B12243"/>
    <w:rsid w:val="14B42DD7"/>
    <w:rsid w:val="14B8049E"/>
    <w:rsid w:val="14C82DCE"/>
    <w:rsid w:val="14CE2294"/>
    <w:rsid w:val="14D01A4F"/>
    <w:rsid w:val="14D12EFC"/>
    <w:rsid w:val="14D7505F"/>
    <w:rsid w:val="14D9162C"/>
    <w:rsid w:val="14DD5F0D"/>
    <w:rsid w:val="14E10753"/>
    <w:rsid w:val="14E84123"/>
    <w:rsid w:val="14E97648"/>
    <w:rsid w:val="14F427BF"/>
    <w:rsid w:val="14FA4934"/>
    <w:rsid w:val="14FF520C"/>
    <w:rsid w:val="15076C44"/>
    <w:rsid w:val="150B27F2"/>
    <w:rsid w:val="15121C84"/>
    <w:rsid w:val="15143661"/>
    <w:rsid w:val="151477CA"/>
    <w:rsid w:val="15167076"/>
    <w:rsid w:val="15404173"/>
    <w:rsid w:val="154A7805"/>
    <w:rsid w:val="1551671F"/>
    <w:rsid w:val="156D4E3B"/>
    <w:rsid w:val="15735598"/>
    <w:rsid w:val="15852081"/>
    <w:rsid w:val="158C2634"/>
    <w:rsid w:val="158C52E3"/>
    <w:rsid w:val="1593314E"/>
    <w:rsid w:val="159361E0"/>
    <w:rsid w:val="15973CBB"/>
    <w:rsid w:val="15AB6BFC"/>
    <w:rsid w:val="15B21EA5"/>
    <w:rsid w:val="15B44CB1"/>
    <w:rsid w:val="15B57A0B"/>
    <w:rsid w:val="15BF67CE"/>
    <w:rsid w:val="15CE655C"/>
    <w:rsid w:val="15D50CA5"/>
    <w:rsid w:val="15E00424"/>
    <w:rsid w:val="15EC04AB"/>
    <w:rsid w:val="15F01320"/>
    <w:rsid w:val="15F14C9F"/>
    <w:rsid w:val="15F82B87"/>
    <w:rsid w:val="160A5520"/>
    <w:rsid w:val="161707CC"/>
    <w:rsid w:val="161A7C62"/>
    <w:rsid w:val="161E52DE"/>
    <w:rsid w:val="16220A1A"/>
    <w:rsid w:val="1627354F"/>
    <w:rsid w:val="163045DC"/>
    <w:rsid w:val="163271A7"/>
    <w:rsid w:val="163429CE"/>
    <w:rsid w:val="163D44DD"/>
    <w:rsid w:val="164011DD"/>
    <w:rsid w:val="164E3846"/>
    <w:rsid w:val="16536F87"/>
    <w:rsid w:val="165463BA"/>
    <w:rsid w:val="16571298"/>
    <w:rsid w:val="16577D3B"/>
    <w:rsid w:val="16581DDD"/>
    <w:rsid w:val="16634935"/>
    <w:rsid w:val="16674F17"/>
    <w:rsid w:val="166838C7"/>
    <w:rsid w:val="166E40BB"/>
    <w:rsid w:val="167361BF"/>
    <w:rsid w:val="16813BBC"/>
    <w:rsid w:val="168530E9"/>
    <w:rsid w:val="168F2B69"/>
    <w:rsid w:val="169556DA"/>
    <w:rsid w:val="169C278D"/>
    <w:rsid w:val="16AD3150"/>
    <w:rsid w:val="16B52931"/>
    <w:rsid w:val="16B54837"/>
    <w:rsid w:val="16B81C10"/>
    <w:rsid w:val="16B94831"/>
    <w:rsid w:val="16BB09CF"/>
    <w:rsid w:val="16BB290C"/>
    <w:rsid w:val="16BB6F4A"/>
    <w:rsid w:val="16BF7A8D"/>
    <w:rsid w:val="16C66B41"/>
    <w:rsid w:val="16D74469"/>
    <w:rsid w:val="16DA3F2E"/>
    <w:rsid w:val="16DD78E1"/>
    <w:rsid w:val="16E24AD0"/>
    <w:rsid w:val="16E37117"/>
    <w:rsid w:val="16E442DC"/>
    <w:rsid w:val="16E514BF"/>
    <w:rsid w:val="16E6508A"/>
    <w:rsid w:val="16F77AE3"/>
    <w:rsid w:val="16FE6377"/>
    <w:rsid w:val="170355EC"/>
    <w:rsid w:val="170701E4"/>
    <w:rsid w:val="170D1FE0"/>
    <w:rsid w:val="17257B4B"/>
    <w:rsid w:val="172B3CAE"/>
    <w:rsid w:val="173375A5"/>
    <w:rsid w:val="173842E0"/>
    <w:rsid w:val="17430E2C"/>
    <w:rsid w:val="17451576"/>
    <w:rsid w:val="175F1A68"/>
    <w:rsid w:val="176355F1"/>
    <w:rsid w:val="176B3D10"/>
    <w:rsid w:val="176F6E21"/>
    <w:rsid w:val="17775A2A"/>
    <w:rsid w:val="178D299C"/>
    <w:rsid w:val="17955FEC"/>
    <w:rsid w:val="17987AA6"/>
    <w:rsid w:val="179A2463"/>
    <w:rsid w:val="17B54DD5"/>
    <w:rsid w:val="17BB5615"/>
    <w:rsid w:val="17BE456A"/>
    <w:rsid w:val="17C2714B"/>
    <w:rsid w:val="17CC0594"/>
    <w:rsid w:val="17DD36F6"/>
    <w:rsid w:val="17F2745E"/>
    <w:rsid w:val="18081E28"/>
    <w:rsid w:val="18107062"/>
    <w:rsid w:val="181D2B9D"/>
    <w:rsid w:val="181E2024"/>
    <w:rsid w:val="182A7D39"/>
    <w:rsid w:val="182F40F7"/>
    <w:rsid w:val="1834363D"/>
    <w:rsid w:val="184438BB"/>
    <w:rsid w:val="18602558"/>
    <w:rsid w:val="18616DB1"/>
    <w:rsid w:val="186259FC"/>
    <w:rsid w:val="18670CA2"/>
    <w:rsid w:val="18700E9F"/>
    <w:rsid w:val="18712819"/>
    <w:rsid w:val="187B4431"/>
    <w:rsid w:val="187C14BE"/>
    <w:rsid w:val="189D3F17"/>
    <w:rsid w:val="18AD0324"/>
    <w:rsid w:val="18AD6FD7"/>
    <w:rsid w:val="18D01299"/>
    <w:rsid w:val="18D27130"/>
    <w:rsid w:val="18D43C2A"/>
    <w:rsid w:val="18E40508"/>
    <w:rsid w:val="18EF0B8A"/>
    <w:rsid w:val="1902569E"/>
    <w:rsid w:val="190810D9"/>
    <w:rsid w:val="190C157A"/>
    <w:rsid w:val="19176B49"/>
    <w:rsid w:val="1932147A"/>
    <w:rsid w:val="193E3971"/>
    <w:rsid w:val="19404316"/>
    <w:rsid w:val="194C73C3"/>
    <w:rsid w:val="19545F91"/>
    <w:rsid w:val="1957425B"/>
    <w:rsid w:val="195A1CD0"/>
    <w:rsid w:val="195B160D"/>
    <w:rsid w:val="1962034E"/>
    <w:rsid w:val="19737B93"/>
    <w:rsid w:val="19746BBB"/>
    <w:rsid w:val="197A43A5"/>
    <w:rsid w:val="197B5221"/>
    <w:rsid w:val="19873F88"/>
    <w:rsid w:val="198C1689"/>
    <w:rsid w:val="199B6335"/>
    <w:rsid w:val="199F5598"/>
    <w:rsid w:val="19AE1CF4"/>
    <w:rsid w:val="19AF01CF"/>
    <w:rsid w:val="19BA3573"/>
    <w:rsid w:val="19BB441C"/>
    <w:rsid w:val="19BB7D00"/>
    <w:rsid w:val="19C21AD8"/>
    <w:rsid w:val="19C91D81"/>
    <w:rsid w:val="19DD082B"/>
    <w:rsid w:val="19E25DE6"/>
    <w:rsid w:val="19E369CF"/>
    <w:rsid w:val="19E40694"/>
    <w:rsid w:val="19EB2E5A"/>
    <w:rsid w:val="19F551BB"/>
    <w:rsid w:val="19F607E6"/>
    <w:rsid w:val="19F609AA"/>
    <w:rsid w:val="19FB5FE8"/>
    <w:rsid w:val="19FC2411"/>
    <w:rsid w:val="19FD44DD"/>
    <w:rsid w:val="1A066314"/>
    <w:rsid w:val="1A1562EF"/>
    <w:rsid w:val="1A1A40D2"/>
    <w:rsid w:val="1A1D6E85"/>
    <w:rsid w:val="1A2541B7"/>
    <w:rsid w:val="1A277D03"/>
    <w:rsid w:val="1A3653C8"/>
    <w:rsid w:val="1A4333BF"/>
    <w:rsid w:val="1A4A6DB2"/>
    <w:rsid w:val="1A4A7ABC"/>
    <w:rsid w:val="1A5763B5"/>
    <w:rsid w:val="1A5A2D60"/>
    <w:rsid w:val="1A5C7169"/>
    <w:rsid w:val="1A701F30"/>
    <w:rsid w:val="1A72379D"/>
    <w:rsid w:val="1A760DA7"/>
    <w:rsid w:val="1A803D0D"/>
    <w:rsid w:val="1A864E68"/>
    <w:rsid w:val="1A872DB7"/>
    <w:rsid w:val="1A8769F4"/>
    <w:rsid w:val="1A8B26F2"/>
    <w:rsid w:val="1A8D2190"/>
    <w:rsid w:val="1A903599"/>
    <w:rsid w:val="1A9A3BD9"/>
    <w:rsid w:val="1A9D1136"/>
    <w:rsid w:val="1AA952EE"/>
    <w:rsid w:val="1AB61698"/>
    <w:rsid w:val="1ABA7787"/>
    <w:rsid w:val="1AC22EB9"/>
    <w:rsid w:val="1AC64E6B"/>
    <w:rsid w:val="1AD03B83"/>
    <w:rsid w:val="1AD6566A"/>
    <w:rsid w:val="1AD761BD"/>
    <w:rsid w:val="1AD93EC8"/>
    <w:rsid w:val="1AE534E4"/>
    <w:rsid w:val="1AE877F9"/>
    <w:rsid w:val="1AF75928"/>
    <w:rsid w:val="1AF86801"/>
    <w:rsid w:val="1AFE5FC8"/>
    <w:rsid w:val="1AFF05A1"/>
    <w:rsid w:val="1B00626A"/>
    <w:rsid w:val="1B091D1E"/>
    <w:rsid w:val="1B124768"/>
    <w:rsid w:val="1B1F09DB"/>
    <w:rsid w:val="1B204254"/>
    <w:rsid w:val="1B215879"/>
    <w:rsid w:val="1B32415D"/>
    <w:rsid w:val="1B395D5D"/>
    <w:rsid w:val="1B4519E2"/>
    <w:rsid w:val="1B452C2D"/>
    <w:rsid w:val="1B484A1B"/>
    <w:rsid w:val="1B4E1440"/>
    <w:rsid w:val="1B525F3E"/>
    <w:rsid w:val="1B7707D7"/>
    <w:rsid w:val="1B77145E"/>
    <w:rsid w:val="1B7B4251"/>
    <w:rsid w:val="1B7E26D0"/>
    <w:rsid w:val="1B7E2F5B"/>
    <w:rsid w:val="1B813A96"/>
    <w:rsid w:val="1B826BF2"/>
    <w:rsid w:val="1B874865"/>
    <w:rsid w:val="1B906601"/>
    <w:rsid w:val="1B935ED2"/>
    <w:rsid w:val="1BA00B86"/>
    <w:rsid w:val="1BA73C31"/>
    <w:rsid w:val="1BB4047C"/>
    <w:rsid w:val="1BBC52C0"/>
    <w:rsid w:val="1BC31BF1"/>
    <w:rsid w:val="1BC57B40"/>
    <w:rsid w:val="1BCA1B18"/>
    <w:rsid w:val="1BE73290"/>
    <w:rsid w:val="1BE86F35"/>
    <w:rsid w:val="1BF56711"/>
    <w:rsid w:val="1C0B0D92"/>
    <w:rsid w:val="1C121CF9"/>
    <w:rsid w:val="1C1464B8"/>
    <w:rsid w:val="1C1553FF"/>
    <w:rsid w:val="1C1F3136"/>
    <w:rsid w:val="1C204E6B"/>
    <w:rsid w:val="1C2341A2"/>
    <w:rsid w:val="1C290566"/>
    <w:rsid w:val="1C2E5294"/>
    <w:rsid w:val="1C3F15D0"/>
    <w:rsid w:val="1C4257E8"/>
    <w:rsid w:val="1C454471"/>
    <w:rsid w:val="1C4A7B21"/>
    <w:rsid w:val="1C6244F3"/>
    <w:rsid w:val="1C6C5EA1"/>
    <w:rsid w:val="1C733F26"/>
    <w:rsid w:val="1C793E97"/>
    <w:rsid w:val="1C837916"/>
    <w:rsid w:val="1C86037E"/>
    <w:rsid w:val="1C897769"/>
    <w:rsid w:val="1C8E247E"/>
    <w:rsid w:val="1C915014"/>
    <w:rsid w:val="1C944AC7"/>
    <w:rsid w:val="1C982038"/>
    <w:rsid w:val="1C982755"/>
    <w:rsid w:val="1C9827B8"/>
    <w:rsid w:val="1CA35CBE"/>
    <w:rsid w:val="1CBE3841"/>
    <w:rsid w:val="1CC25AFF"/>
    <w:rsid w:val="1CC7095D"/>
    <w:rsid w:val="1CC86CA8"/>
    <w:rsid w:val="1CDA26F4"/>
    <w:rsid w:val="1CEE360F"/>
    <w:rsid w:val="1CF30FAA"/>
    <w:rsid w:val="1D045349"/>
    <w:rsid w:val="1D1345B6"/>
    <w:rsid w:val="1D163151"/>
    <w:rsid w:val="1D182676"/>
    <w:rsid w:val="1D1A215A"/>
    <w:rsid w:val="1D1D1EE4"/>
    <w:rsid w:val="1D1E238F"/>
    <w:rsid w:val="1D231173"/>
    <w:rsid w:val="1D2352F9"/>
    <w:rsid w:val="1D2E61D3"/>
    <w:rsid w:val="1D2F109A"/>
    <w:rsid w:val="1D3915A8"/>
    <w:rsid w:val="1D3B76D1"/>
    <w:rsid w:val="1D3F7753"/>
    <w:rsid w:val="1D4110DC"/>
    <w:rsid w:val="1D4B0178"/>
    <w:rsid w:val="1D5047C3"/>
    <w:rsid w:val="1D524481"/>
    <w:rsid w:val="1D5742DD"/>
    <w:rsid w:val="1D691AB6"/>
    <w:rsid w:val="1D6A0694"/>
    <w:rsid w:val="1D6E626E"/>
    <w:rsid w:val="1D753574"/>
    <w:rsid w:val="1D7E6BB9"/>
    <w:rsid w:val="1D7F7593"/>
    <w:rsid w:val="1D7F7692"/>
    <w:rsid w:val="1D8074EB"/>
    <w:rsid w:val="1D81109B"/>
    <w:rsid w:val="1D8B05A9"/>
    <w:rsid w:val="1D8B79E9"/>
    <w:rsid w:val="1D8C5A2B"/>
    <w:rsid w:val="1D8D19BF"/>
    <w:rsid w:val="1D907182"/>
    <w:rsid w:val="1DAC74E1"/>
    <w:rsid w:val="1DBB7050"/>
    <w:rsid w:val="1DBC76D5"/>
    <w:rsid w:val="1DCD19A4"/>
    <w:rsid w:val="1DD16635"/>
    <w:rsid w:val="1DDA6205"/>
    <w:rsid w:val="1DE95B5D"/>
    <w:rsid w:val="1DEC16E8"/>
    <w:rsid w:val="1DED6744"/>
    <w:rsid w:val="1DF44233"/>
    <w:rsid w:val="1DF71F41"/>
    <w:rsid w:val="1E00158C"/>
    <w:rsid w:val="1E120209"/>
    <w:rsid w:val="1E171809"/>
    <w:rsid w:val="1E224814"/>
    <w:rsid w:val="1E2F53D8"/>
    <w:rsid w:val="1E335AF1"/>
    <w:rsid w:val="1E353AAA"/>
    <w:rsid w:val="1E372571"/>
    <w:rsid w:val="1E3D68FC"/>
    <w:rsid w:val="1E4A791F"/>
    <w:rsid w:val="1E521FDB"/>
    <w:rsid w:val="1E5B4563"/>
    <w:rsid w:val="1E5D6F6E"/>
    <w:rsid w:val="1E6F17AA"/>
    <w:rsid w:val="1E74021D"/>
    <w:rsid w:val="1E8C282B"/>
    <w:rsid w:val="1E8E0397"/>
    <w:rsid w:val="1E93768C"/>
    <w:rsid w:val="1E940F64"/>
    <w:rsid w:val="1E9745A4"/>
    <w:rsid w:val="1E9D2609"/>
    <w:rsid w:val="1E9E548D"/>
    <w:rsid w:val="1EA50AF5"/>
    <w:rsid w:val="1EA82EA9"/>
    <w:rsid w:val="1EA95DBC"/>
    <w:rsid w:val="1EAC36B0"/>
    <w:rsid w:val="1EB701D9"/>
    <w:rsid w:val="1EC5013F"/>
    <w:rsid w:val="1ECC629F"/>
    <w:rsid w:val="1EDA2FAC"/>
    <w:rsid w:val="1EEA4C27"/>
    <w:rsid w:val="1EEC69B6"/>
    <w:rsid w:val="1EF135C6"/>
    <w:rsid w:val="1EFF3176"/>
    <w:rsid w:val="1F0A635E"/>
    <w:rsid w:val="1F253AB8"/>
    <w:rsid w:val="1F3D7848"/>
    <w:rsid w:val="1F483ABB"/>
    <w:rsid w:val="1F5323CC"/>
    <w:rsid w:val="1F5C510C"/>
    <w:rsid w:val="1F600A1D"/>
    <w:rsid w:val="1F617FE2"/>
    <w:rsid w:val="1F623370"/>
    <w:rsid w:val="1F6C4E03"/>
    <w:rsid w:val="1F701682"/>
    <w:rsid w:val="1F726924"/>
    <w:rsid w:val="1F773263"/>
    <w:rsid w:val="1F79113C"/>
    <w:rsid w:val="1F7C0FE1"/>
    <w:rsid w:val="1F827800"/>
    <w:rsid w:val="1F8A2A8E"/>
    <w:rsid w:val="1F8F2606"/>
    <w:rsid w:val="1F952763"/>
    <w:rsid w:val="1F9B185B"/>
    <w:rsid w:val="1FA71D51"/>
    <w:rsid w:val="1FB138C9"/>
    <w:rsid w:val="1FBC3245"/>
    <w:rsid w:val="1FC530B3"/>
    <w:rsid w:val="1FD25FAB"/>
    <w:rsid w:val="1FD263B1"/>
    <w:rsid w:val="1FD55D81"/>
    <w:rsid w:val="1FE23DC5"/>
    <w:rsid w:val="1FE26757"/>
    <w:rsid w:val="1FE347F2"/>
    <w:rsid w:val="1FE50008"/>
    <w:rsid w:val="1FEC5510"/>
    <w:rsid w:val="1FFC6F88"/>
    <w:rsid w:val="200900C2"/>
    <w:rsid w:val="200E3981"/>
    <w:rsid w:val="200F61C1"/>
    <w:rsid w:val="2010712C"/>
    <w:rsid w:val="20144DD3"/>
    <w:rsid w:val="201C0987"/>
    <w:rsid w:val="20213C78"/>
    <w:rsid w:val="20271DD4"/>
    <w:rsid w:val="202E3FCA"/>
    <w:rsid w:val="20320EE0"/>
    <w:rsid w:val="2035079E"/>
    <w:rsid w:val="203D5EBD"/>
    <w:rsid w:val="204956F4"/>
    <w:rsid w:val="204E212C"/>
    <w:rsid w:val="20543ECC"/>
    <w:rsid w:val="205451ED"/>
    <w:rsid w:val="205509FD"/>
    <w:rsid w:val="205C66AC"/>
    <w:rsid w:val="205E5502"/>
    <w:rsid w:val="206A3B16"/>
    <w:rsid w:val="20724C71"/>
    <w:rsid w:val="20853D90"/>
    <w:rsid w:val="20891326"/>
    <w:rsid w:val="208D6625"/>
    <w:rsid w:val="2093481C"/>
    <w:rsid w:val="20965A88"/>
    <w:rsid w:val="20997115"/>
    <w:rsid w:val="209B025F"/>
    <w:rsid w:val="20A932A4"/>
    <w:rsid w:val="20B81AB5"/>
    <w:rsid w:val="20B91C67"/>
    <w:rsid w:val="20B95ABE"/>
    <w:rsid w:val="20C41361"/>
    <w:rsid w:val="20C55662"/>
    <w:rsid w:val="20C952D1"/>
    <w:rsid w:val="20E409B0"/>
    <w:rsid w:val="20EA7DBA"/>
    <w:rsid w:val="20F14BC7"/>
    <w:rsid w:val="20F541D9"/>
    <w:rsid w:val="20F87128"/>
    <w:rsid w:val="20FF6F0D"/>
    <w:rsid w:val="210B02E1"/>
    <w:rsid w:val="21143E7B"/>
    <w:rsid w:val="2116489E"/>
    <w:rsid w:val="211F298D"/>
    <w:rsid w:val="21241A2B"/>
    <w:rsid w:val="212C345A"/>
    <w:rsid w:val="212D4152"/>
    <w:rsid w:val="2140389D"/>
    <w:rsid w:val="21444F8B"/>
    <w:rsid w:val="2146200F"/>
    <w:rsid w:val="214E4EE9"/>
    <w:rsid w:val="21520878"/>
    <w:rsid w:val="21522B9A"/>
    <w:rsid w:val="216058D1"/>
    <w:rsid w:val="21680E9A"/>
    <w:rsid w:val="216935BC"/>
    <w:rsid w:val="216D314C"/>
    <w:rsid w:val="216E5043"/>
    <w:rsid w:val="21730876"/>
    <w:rsid w:val="217B3AF9"/>
    <w:rsid w:val="217D55BD"/>
    <w:rsid w:val="218501B7"/>
    <w:rsid w:val="21937D88"/>
    <w:rsid w:val="219C0BE1"/>
    <w:rsid w:val="219D7107"/>
    <w:rsid w:val="21A826E1"/>
    <w:rsid w:val="21AB6BD8"/>
    <w:rsid w:val="21B37B9E"/>
    <w:rsid w:val="21BE0F94"/>
    <w:rsid w:val="21D31AE9"/>
    <w:rsid w:val="21EC7BA8"/>
    <w:rsid w:val="21F625AE"/>
    <w:rsid w:val="21F901D7"/>
    <w:rsid w:val="21FF787E"/>
    <w:rsid w:val="220036B9"/>
    <w:rsid w:val="220431DA"/>
    <w:rsid w:val="220D4FA8"/>
    <w:rsid w:val="22154503"/>
    <w:rsid w:val="22155222"/>
    <w:rsid w:val="22172C3A"/>
    <w:rsid w:val="221A5A4C"/>
    <w:rsid w:val="22232332"/>
    <w:rsid w:val="222421D0"/>
    <w:rsid w:val="222620EF"/>
    <w:rsid w:val="22374F29"/>
    <w:rsid w:val="223B0960"/>
    <w:rsid w:val="22427DEF"/>
    <w:rsid w:val="224F065E"/>
    <w:rsid w:val="225A024E"/>
    <w:rsid w:val="22662B7E"/>
    <w:rsid w:val="226A52F9"/>
    <w:rsid w:val="226E521D"/>
    <w:rsid w:val="22805460"/>
    <w:rsid w:val="228C7D3B"/>
    <w:rsid w:val="228D22E9"/>
    <w:rsid w:val="229E5E33"/>
    <w:rsid w:val="22AC24D1"/>
    <w:rsid w:val="22B540B5"/>
    <w:rsid w:val="22B5567F"/>
    <w:rsid w:val="22C06500"/>
    <w:rsid w:val="22C449B9"/>
    <w:rsid w:val="22C83FDC"/>
    <w:rsid w:val="22CA35C3"/>
    <w:rsid w:val="22CA5FBD"/>
    <w:rsid w:val="22CC0779"/>
    <w:rsid w:val="22D473D4"/>
    <w:rsid w:val="22E51116"/>
    <w:rsid w:val="22E67894"/>
    <w:rsid w:val="22E92354"/>
    <w:rsid w:val="22EC1C2A"/>
    <w:rsid w:val="22F06D15"/>
    <w:rsid w:val="22F222D0"/>
    <w:rsid w:val="22FF3BDC"/>
    <w:rsid w:val="23001690"/>
    <w:rsid w:val="231511F1"/>
    <w:rsid w:val="231E6699"/>
    <w:rsid w:val="2320448D"/>
    <w:rsid w:val="232E6124"/>
    <w:rsid w:val="232F61E4"/>
    <w:rsid w:val="23446E64"/>
    <w:rsid w:val="2351501A"/>
    <w:rsid w:val="23556E96"/>
    <w:rsid w:val="23643E2E"/>
    <w:rsid w:val="237446C2"/>
    <w:rsid w:val="237763BA"/>
    <w:rsid w:val="237B6D69"/>
    <w:rsid w:val="237E2B2C"/>
    <w:rsid w:val="238566B7"/>
    <w:rsid w:val="238761CB"/>
    <w:rsid w:val="238E72F6"/>
    <w:rsid w:val="23994D67"/>
    <w:rsid w:val="23994F01"/>
    <w:rsid w:val="239B4DC7"/>
    <w:rsid w:val="23A76463"/>
    <w:rsid w:val="23B360CE"/>
    <w:rsid w:val="23B80137"/>
    <w:rsid w:val="23C75DC6"/>
    <w:rsid w:val="23C8609F"/>
    <w:rsid w:val="23CB7665"/>
    <w:rsid w:val="23D030B6"/>
    <w:rsid w:val="23D16183"/>
    <w:rsid w:val="23D73232"/>
    <w:rsid w:val="23DB67C0"/>
    <w:rsid w:val="23DF685B"/>
    <w:rsid w:val="23E71185"/>
    <w:rsid w:val="23E80E77"/>
    <w:rsid w:val="23E95DFD"/>
    <w:rsid w:val="23EC18F1"/>
    <w:rsid w:val="23ED576F"/>
    <w:rsid w:val="23F01440"/>
    <w:rsid w:val="24031DD9"/>
    <w:rsid w:val="240550C3"/>
    <w:rsid w:val="24106653"/>
    <w:rsid w:val="24164147"/>
    <w:rsid w:val="24227145"/>
    <w:rsid w:val="24247062"/>
    <w:rsid w:val="243A5559"/>
    <w:rsid w:val="24411BB9"/>
    <w:rsid w:val="24415E0A"/>
    <w:rsid w:val="245A7C32"/>
    <w:rsid w:val="24621365"/>
    <w:rsid w:val="24696B33"/>
    <w:rsid w:val="246A0D24"/>
    <w:rsid w:val="246D523B"/>
    <w:rsid w:val="24727226"/>
    <w:rsid w:val="24750EC8"/>
    <w:rsid w:val="247D6715"/>
    <w:rsid w:val="247E4590"/>
    <w:rsid w:val="24963D9F"/>
    <w:rsid w:val="24967787"/>
    <w:rsid w:val="249C3577"/>
    <w:rsid w:val="24B05ABC"/>
    <w:rsid w:val="24B108F5"/>
    <w:rsid w:val="24B21B8E"/>
    <w:rsid w:val="24B41CFB"/>
    <w:rsid w:val="24B51ECA"/>
    <w:rsid w:val="24B6613E"/>
    <w:rsid w:val="24B75209"/>
    <w:rsid w:val="24B9532A"/>
    <w:rsid w:val="24BA7F4A"/>
    <w:rsid w:val="24C05AD9"/>
    <w:rsid w:val="24C33188"/>
    <w:rsid w:val="24D145FB"/>
    <w:rsid w:val="24D1665E"/>
    <w:rsid w:val="24D53666"/>
    <w:rsid w:val="24D764AD"/>
    <w:rsid w:val="24D83448"/>
    <w:rsid w:val="24E73DD4"/>
    <w:rsid w:val="24F23FC5"/>
    <w:rsid w:val="24F24BEA"/>
    <w:rsid w:val="24FD0D5F"/>
    <w:rsid w:val="25022059"/>
    <w:rsid w:val="250E7655"/>
    <w:rsid w:val="251E0FBB"/>
    <w:rsid w:val="252858EF"/>
    <w:rsid w:val="252D0BCB"/>
    <w:rsid w:val="25387269"/>
    <w:rsid w:val="253913C2"/>
    <w:rsid w:val="2540390D"/>
    <w:rsid w:val="255676EF"/>
    <w:rsid w:val="2557621D"/>
    <w:rsid w:val="255B35D4"/>
    <w:rsid w:val="256C0B5F"/>
    <w:rsid w:val="2576257B"/>
    <w:rsid w:val="257758B0"/>
    <w:rsid w:val="257E064F"/>
    <w:rsid w:val="25840422"/>
    <w:rsid w:val="25851CED"/>
    <w:rsid w:val="2588283E"/>
    <w:rsid w:val="258A47D4"/>
    <w:rsid w:val="258C4C16"/>
    <w:rsid w:val="258E77C0"/>
    <w:rsid w:val="259A239D"/>
    <w:rsid w:val="25A47BA1"/>
    <w:rsid w:val="25C07F21"/>
    <w:rsid w:val="25C77EAF"/>
    <w:rsid w:val="25CA3707"/>
    <w:rsid w:val="25CD5C03"/>
    <w:rsid w:val="25D96B62"/>
    <w:rsid w:val="25DB192E"/>
    <w:rsid w:val="25DC213D"/>
    <w:rsid w:val="25E710EE"/>
    <w:rsid w:val="25F80ACD"/>
    <w:rsid w:val="26056399"/>
    <w:rsid w:val="260678A5"/>
    <w:rsid w:val="260A7605"/>
    <w:rsid w:val="261165A1"/>
    <w:rsid w:val="26193DDF"/>
    <w:rsid w:val="26194F58"/>
    <w:rsid w:val="262323E7"/>
    <w:rsid w:val="2624469E"/>
    <w:rsid w:val="262B1F3D"/>
    <w:rsid w:val="263B3587"/>
    <w:rsid w:val="263E6CD9"/>
    <w:rsid w:val="26425096"/>
    <w:rsid w:val="26453B93"/>
    <w:rsid w:val="26567675"/>
    <w:rsid w:val="265A019D"/>
    <w:rsid w:val="265E675E"/>
    <w:rsid w:val="26602189"/>
    <w:rsid w:val="266A5FD2"/>
    <w:rsid w:val="2673476E"/>
    <w:rsid w:val="26764332"/>
    <w:rsid w:val="267A7CC4"/>
    <w:rsid w:val="267E0F4E"/>
    <w:rsid w:val="268A1E14"/>
    <w:rsid w:val="269B72EA"/>
    <w:rsid w:val="26A2139B"/>
    <w:rsid w:val="26A7453E"/>
    <w:rsid w:val="26A76BB9"/>
    <w:rsid w:val="26BD62EF"/>
    <w:rsid w:val="26C6337C"/>
    <w:rsid w:val="26CD1820"/>
    <w:rsid w:val="26D40BB6"/>
    <w:rsid w:val="26D40CC8"/>
    <w:rsid w:val="26EC3B56"/>
    <w:rsid w:val="26ED31EF"/>
    <w:rsid w:val="27075469"/>
    <w:rsid w:val="270F1450"/>
    <w:rsid w:val="271368F1"/>
    <w:rsid w:val="27206FB3"/>
    <w:rsid w:val="27286E69"/>
    <w:rsid w:val="272B1FD5"/>
    <w:rsid w:val="272E6D1E"/>
    <w:rsid w:val="273570C2"/>
    <w:rsid w:val="2741423D"/>
    <w:rsid w:val="27472100"/>
    <w:rsid w:val="27473793"/>
    <w:rsid w:val="27481268"/>
    <w:rsid w:val="274A1FA1"/>
    <w:rsid w:val="27540E69"/>
    <w:rsid w:val="27565BBB"/>
    <w:rsid w:val="27657641"/>
    <w:rsid w:val="27673A2C"/>
    <w:rsid w:val="27735875"/>
    <w:rsid w:val="27755328"/>
    <w:rsid w:val="27787F6E"/>
    <w:rsid w:val="277A1C97"/>
    <w:rsid w:val="277E6911"/>
    <w:rsid w:val="277F44AE"/>
    <w:rsid w:val="27834B74"/>
    <w:rsid w:val="27A75249"/>
    <w:rsid w:val="27AD7DAF"/>
    <w:rsid w:val="27B060EE"/>
    <w:rsid w:val="27B11360"/>
    <w:rsid w:val="27C96862"/>
    <w:rsid w:val="27CE2FC5"/>
    <w:rsid w:val="27D1537C"/>
    <w:rsid w:val="27DB2DBB"/>
    <w:rsid w:val="27DD1EAF"/>
    <w:rsid w:val="27E160A9"/>
    <w:rsid w:val="27E2469C"/>
    <w:rsid w:val="27E55EA8"/>
    <w:rsid w:val="27ED7587"/>
    <w:rsid w:val="27F85A95"/>
    <w:rsid w:val="27FF4B64"/>
    <w:rsid w:val="28036C1D"/>
    <w:rsid w:val="280B5E14"/>
    <w:rsid w:val="280C26D8"/>
    <w:rsid w:val="280D0467"/>
    <w:rsid w:val="280E1022"/>
    <w:rsid w:val="281239F6"/>
    <w:rsid w:val="28125BB8"/>
    <w:rsid w:val="281E4C7D"/>
    <w:rsid w:val="28245DBB"/>
    <w:rsid w:val="282A18F2"/>
    <w:rsid w:val="28342E65"/>
    <w:rsid w:val="2838393C"/>
    <w:rsid w:val="283C0799"/>
    <w:rsid w:val="2841100D"/>
    <w:rsid w:val="28534F99"/>
    <w:rsid w:val="285A6C44"/>
    <w:rsid w:val="286155E4"/>
    <w:rsid w:val="286D4E71"/>
    <w:rsid w:val="286E4F80"/>
    <w:rsid w:val="286F2AE3"/>
    <w:rsid w:val="28701FC6"/>
    <w:rsid w:val="28716AA0"/>
    <w:rsid w:val="28765326"/>
    <w:rsid w:val="28795BCE"/>
    <w:rsid w:val="28847070"/>
    <w:rsid w:val="28870B4E"/>
    <w:rsid w:val="289327F7"/>
    <w:rsid w:val="28996392"/>
    <w:rsid w:val="28AA4330"/>
    <w:rsid w:val="28AF17CA"/>
    <w:rsid w:val="28B35DA4"/>
    <w:rsid w:val="28B55A7F"/>
    <w:rsid w:val="28BC3E3A"/>
    <w:rsid w:val="28BF3FDB"/>
    <w:rsid w:val="28D206D2"/>
    <w:rsid w:val="28DC304D"/>
    <w:rsid w:val="28E478D8"/>
    <w:rsid w:val="28E92198"/>
    <w:rsid w:val="28EB6F79"/>
    <w:rsid w:val="28F13D9D"/>
    <w:rsid w:val="28F51E9C"/>
    <w:rsid w:val="2909710D"/>
    <w:rsid w:val="29127762"/>
    <w:rsid w:val="29160A91"/>
    <w:rsid w:val="29203C7E"/>
    <w:rsid w:val="292518B2"/>
    <w:rsid w:val="29257B04"/>
    <w:rsid w:val="292E0B92"/>
    <w:rsid w:val="292F727B"/>
    <w:rsid w:val="29371202"/>
    <w:rsid w:val="293A2AD9"/>
    <w:rsid w:val="293B3290"/>
    <w:rsid w:val="293C51FA"/>
    <w:rsid w:val="2940731E"/>
    <w:rsid w:val="29410BD0"/>
    <w:rsid w:val="294F4E8E"/>
    <w:rsid w:val="29616A2E"/>
    <w:rsid w:val="29655E39"/>
    <w:rsid w:val="296D217B"/>
    <w:rsid w:val="296E7335"/>
    <w:rsid w:val="297220CC"/>
    <w:rsid w:val="2973643B"/>
    <w:rsid w:val="29791FD7"/>
    <w:rsid w:val="297A323D"/>
    <w:rsid w:val="29893481"/>
    <w:rsid w:val="29941EAE"/>
    <w:rsid w:val="29A03F05"/>
    <w:rsid w:val="29B11A3D"/>
    <w:rsid w:val="29BC393D"/>
    <w:rsid w:val="29BD0395"/>
    <w:rsid w:val="29C262BB"/>
    <w:rsid w:val="29D3448A"/>
    <w:rsid w:val="29D6404D"/>
    <w:rsid w:val="29DD3332"/>
    <w:rsid w:val="29DF788D"/>
    <w:rsid w:val="29E20F25"/>
    <w:rsid w:val="29E35CC9"/>
    <w:rsid w:val="29E73039"/>
    <w:rsid w:val="29E74A6B"/>
    <w:rsid w:val="29FA5561"/>
    <w:rsid w:val="2A007E94"/>
    <w:rsid w:val="2A0925D8"/>
    <w:rsid w:val="2A1657F3"/>
    <w:rsid w:val="2A1B63C2"/>
    <w:rsid w:val="2A1C3F37"/>
    <w:rsid w:val="2A200C82"/>
    <w:rsid w:val="2A24097C"/>
    <w:rsid w:val="2A2D22C7"/>
    <w:rsid w:val="2A2F0750"/>
    <w:rsid w:val="2A324EC4"/>
    <w:rsid w:val="2A394809"/>
    <w:rsid w:val="2A446E37"/>
    <w:rsid w:val="2A4B26DB"/>
    <w:rsid w:val="2A4E648A"/>
    <w:rsid w:val="2A53019E"/>
    <w:rsid w:val="2A557BBB"/>
    <w:rsid w:val="2A651779"/>
    <w:rsid w:val="2A6D341F"/>
    <w:rsid w:val="2A6F4EFD"/>
    <w:rsid w:val="2A7303CF"/>
    <w:rsid w:val="2A740DCD"/>
    <w:rsid w:val="2A765378"/>
    <w:rsid w:val="2A78364C"/>
    <w:rsid w:val="2A8119E3"/>
    <w:rsid w:val="2A826A75"/>
    <w:rsid w:val="2A8451E2"/>
    <w:rsid w:val="2A857B98"/>
    <w:rsid w:val="2A903B7F"/>
    <w:rsid w:val="2A9C1960"/>
    <w:rsid w:val="2AA61351"/>
    <w:rsid w:val="2AAD52ED"/>
    <w:rsid w:val="2AAF757C"/>
    <w:rsid w:val="2AB90E9E"/>
    <w:rsid w:val="2ABD74FE"/>
    <w:rsid w:val="2AC1796D"/>
    <w:rsid w:val="2ACB3B4E"/>
    <w:rsid w:val="2ACC6941"/>
    <w:rsid w:val="2AD951A2"/>
    <w:rsid w:val="2ADD7936"/>
    <w:rsid w:val="2AE243B2"/>
    <w:rsid w:val="2AE70478"/>
    <w:rsid w:val="2AEB4121"/>
    <w:rsid w:val="2AF73206"/>
    <w:rsid w:val="2AFA3DE8"/>
    <w:rsid w:val="2AFF0153"/>
    <w:rsid w:val="2B025A9F"/>
    <w:rsid w:val="2B033E75"/>
    <w:rsid w:val="2B146D14"/>
    <w:rsid w:val="2B1A1B1E"/>
    <w:rsid w:val="2B1F5024"/>
    <w:rsid w:val="2B261DD7"/>
    <w:rsid w:val="2B2959AE"/>
    <w:rsid w:val="2B3222F2"/>
    <w:rsid w:val="2B373986"/>
    <w:rsid w:val="2B381B9F"/>
    <w:rsid w:val="2B3F244C"/>
    <w:rsid w:val="2B5432CC"/>
    <w:rsid w:val="2B5903D4"/>
    <w:rsid w:val="2B5C3407"/>
    <w:rsid w:val="2B5C3C44"/>
    <w:rsid w:val="2B5C55AC"/>
    <w:rsid w:val="2B667326"/>
    <w:rsid w:val="2B6D169A"/>
    <w:rsid w:val="2B724C67"/>
    <w:rsid w:val="2B782A1F"/>
    <w:rsid w:val="2B7C07F9"/>
    <w:rsid w:val="2B80151A"/>
    <w:rsid w:val="2B81525B"/>
    <w:rsid w:val="2B8876E9"/>
    <w:rsid w:val="2B8A1EA0"/>
    <w:rsid w:val="2B937CDC"/>
    <w:rsid w:val="2B9B64FA"/>
    <w:rsid w:val="2BA11867"/>
    <w:rsid w:val="2BB60730"/>
    <w:rsid w:val="2BBE2458"/>
    <w:rsid w:val="2BBE645F"/>
    <w:rsid w:val="2BBF5FEE"/>
    <w:rsid w:val="2BD32BEB"/>
    <w:rsid w:val="2BD32F8E"/>
    <w:rsid w:val="2BDC76EF"/>
    <w:rsid w:val="2BE44A92"/>
    <w:rsid w:val="2BE76C10"/>
    <w:rsid w:val="2BEA2DDE"/>
    <w:rsid w:val="2BEE7CF9"/>
    <w:rsid w:val="2BF5094B"/>
    <w:rsid w:val="2BF805CA"/>
    <w:rsid w:val="2BFA2B37"/>
    <w:rsid w:val="2C015E10"/>
    <w:rsid w:val="2C022A0F"/>
    <w:rsid w:val="2C03656F"/>
    <w:rsid w:val="2C04259F"/>
    <w:rsid w:val="2C0C0D19"/>
    <w:rsid w:val="2C0C0F54"/>
    <w:rsid w:val="2C116AD1"/>
    <w:rsid w:val="2C122652"/>
    <w:rsid w:val="2C1D3306"/>
    <w:rsid w:val="2C1F4713"/>
    <w:rsid w:val="2C273863"/>
    <w:rsid w:val="2C283019"/>
    <w:rsid w:val="2C2B7F3C"/>
    <w:rsid w:val="2C2F4D9C"/>
    <w:rsid w:val="2C3840B1"/>
    <w:rsid w:val="2C3841C9"/>
    <w:rsid w:val="2C3D7DA5"/>
    <w:rsid w:val="2C4226F6"/>
    <w:rsid w:val="2C466CE1"/>
    <w:rsid w:val="2C473DBF"/>
    <w:rsid w:val="2C546F2A"/>
    <w:rsid w:val="2C697531"/>
    <w:rsid w:val="2C6A4A41"/>
    <w:rsid w:val="2C6A5997"/>
    <w:rsid w:val="2C6E62CA"/>
    <w:rsid w:val="2C711F00"/>
    <w:rsid w:val="2C7232F1"/>
    <w:rsid w:val="2C74498D"/>
    <w:rsid w:val="2C7A4305"/>
    <w:rsid w:val="2C851C3E"/>
    <w:rsid w:val="2C855DAC"/>
    <w:rsid w:val="2C8B2374"/>
    <w:rsid w:val="2C970D19"/>
    <w:rsid w:val="2C9A0BA4"/>
    <w:rsid w:val="2CA46622"/>
    <w:rsid w:val="2CA91024"/>
    <w:rsid w:val="2CB361A5"/>
    <w:rsid w:val="2CC60430"/>
    <w:rsid w:val="2CD80113"/>
    <w:rsid w:val="2CE364B1"/>
    <w:rsid w:val="2CEC0004"/>
    <w:rsid w:val="2D004D07"/>
    <w:rsid w:val="2D012636"/>
    <w:rsid w:val="2D0D7222"/>
    <w:rsid w:val="2D0E0FF4"/>
    <w:rsid w:val="2D0F08AF"/>
    <w:rsid w:val="2D26521F"/>
    <w:rsid w:val="2D3519ED"/>
    <w:rsid w:val="2D443A60"/>
    <w:rsid w:val="2D445E75"/>
    <w:rsid w:val="2D592738"/>
    <w:rsid w:val="2D5D2C5F"/>
    <w:rsid w:val="2D66111E"/>
    <w:rsid w:val="2D6B2B7E"/>
    <w:rsid w:val="2D6C4296"/>
    <w:rsid w:val="2D756D21"/>
    <w:rsid w:val="2D762EC6"/>
    <w:rsid w:val="2D79392A"/>
    <w:rsid w:val="2D7E0705"/>
    <w:rsid w:val="2D7E6359"/>
    <w:rsid w:val="2DA06097"/>
    <w:rsid w:val="2DA43AF9"/>
    <w:rsid w:val="2DAD766F"/>
    <w:rsid w:val="2DAE5282"/>
    <w:rsid w:val="2DB67D65"/>
    <w:rsid w:val="2DC51ADF"/>
    <w:rsid w:val="2DC932F1"/>
    <w:rsid w:val="2DCD5D54"/>
    <w:rsid w:val="2DCE7001"/>
    <w:rsid w:val="2DD41AF8"/>
    <w:rsid w:val="2DE060E7"/>
    <w:rsid w:val="2DE64E6E"/>
    <w:rsid w:val="2DE81822"/>
    <w:rsid w:val="2DF31018"/>
    <w:rsid w:val="2DF61A39"/>
    <w:rsid w:val="2DFE6C08"/>
    <w:rsid w:val="2E0D0910"/>
    <w:rsid w:val="2E0D38E6"/>
    <w:rsid w:val="2E175298"/>
    <w:rsid w:val="2E27089B"/>
    <w:rsid w:val="2E2979C8"/>
    <w:rsid w:val="2E2B5150"/>
    <w:rsid w:val="2E2B5417"/>
    <w:rsid w:val="2E3265B7"/>
    <w:rsid w:val="2E366541"/>
    <w:rsid w:val="2E4219A3"/>
    <w:rsid w:val="2E441C63"/>
    <w:rsid w:val="2E444903"/>
    <w:rsid w:val="2E496043"/>
    <w:rsid w:val="2E4B5344"/>
    <w:rsid w:val="2E513FEB"/>
    <w:rsid w:val="2E52111B"/>
    <w:rsid w:val="2E556066"/>
    <w:rsid w:val="2E557D41"/>
    <w:rsid w:val="2E575CE5"/>
    <w:rsid w:val="2E5E430F"/>
    <w:rsid w:val="2E6544B1"/>
    <w:rsid w:val="2E7368C6"/>
    <w:rsid w:val="2E7552A7"/>
    <w:rsid w:val="2E864FF0"/>
    <w:rsid w:val="2E9845C1"/>
    <w:rsid w:val="2EA541F9"/>
    <w:rsid w:val="2EB86E7E"/>
    <w:rsid w:val="2ED63B48"/>
    <w:rsid w:val="2EE240FD"/>
    <w:rsid w:val="2EFE0CD2"/>
    <w:rsid w:val="2F101406"/>
    <w:rsid w:val="2F1228E1"/>
    <w:rsid w:val="2F1405EB"/>
    <w:rsid w:val="2F144C68"/>
    <w:rsid w:val="2F1A1C1B"/>
    <w:rsid w:val="2F2373E7"/>
    <w:rsid w:val="2F25798D"/>
    <w:rsid w:val="2F2B7701"/>
    <w:rsid w:val="2F3A5581"/>
    <w:rsid w:val="2F3F0889"/>
    <w:rsid w:val="2F3F2E91"/>
    <w:rsid w:val="2F405E38"/>
    <w:rsid w:val="2F431340"/>
    <w:rsid w:val="2F4C1A23"/>
    <w:rsid w:val="2F5164AC"/>
    <w:rsid w:val="2F620958"/>
    <w:rsid w:val="2F6437FA"/>
    <w:rsid w:val="2F65593C"/>
    <w:rsid w:val="2F7073CF"/>
    <w:rsid w:val="2F722771"/>
    <w:rsid w:val="2F770D59"/>
    <w:rsid w:val="2F7A642D"/>
    <w:rsid w:val="2F7D3914"/>
    <w:rsid w:val="2F83797E"/>
    <w:rsid w:val="2F87443F"/>
    <w:rsid w:val="2F880D3B"/>
    <w:rsid w:val="2F8D08C3"/>
    <w:rsid w:val="2F902BAA"/>
    <w:rsid w:val="2F957661"/>
    <w:rsid w:val="2F9673B8"/>
    <w:rsid w:val="2FA5374C"/>
    <w:rsid w:val="2FA771DF"/>
    <w:rsid w:val="2FA867CD"/>
    <w:rsid w:val="2FAD2601"/>
    <w:rsid w:val="2FCA7EE5"/>
    <w:rsid w:val="2FCD0CD8"/>
    <w:rsid w:val="2FD505B1"/>
    <w:rsid w:val="2FD50C59"/>
    <w:rsid w:val="2FD77336"/>
    <w:rsid w:val="2FDA7D84"/>
    <w:rsid w:val="2FDD29B0"/>
    <w:rsid w:val="2FE66D18"/>
    <w:rsid w:val="2FED5B33"/>
    <w:rsid w:val="2FF0550F"/>
    <w:rsid w:val="2FF47073"/>
    <w:rsid w:val="2FF953E8"/>
    <w:rsid w:val="2FF96642"/>
    <w:rsid w:val="30020133"/>
    <w:rsid w:val="300C346B"/>
    <w:rsid w:val="300D2A21"/>
    <w:rsid w:val="3012162E"/>
    <w:rsid w:val="301D02B9"/>
    <w:rsid w:val="302133F3"/>
    <w:rsid w:val="302177F7"/>
    <w:rsid w:val="30366B99"/>
    <w:rsid w:val="3037035F"/>
    <w:rsid w:val="30475E30"/>
    <w:rsid w:val="305158FB"/>
    <w:rsid w:val="30530011"/>
    <w:rsid w:val="30571DAB"/>
    <w:rsid w:val="30592B8D"/>
    <w:rsid w:val="305B3092"/>
    <w:rsid w:val="30640F12"/>
    <w:rsid w:val="3065539F"/>
    <w:rsid w:val="3067240B"/>
    <w:rsid w:val="30751997"/>
    <w:rsid w:val="30837582"/>
    <w:rsid w:val="30931E34"/>
    <w:rsid w:val="30A94B7F"/>
    <w:rsid w:val="30AD075B"/>
    <w:rsid w:val="30B02567"/>
    <w:rsid w:val="30B04E27"/>
    <w:rsid w:val="30B24378"/>
    <w:rsid w:val="30B47711"/>
    <w:rsid w:val="30BC5BB7"/>
    <w:rsid w:val="30C47BC8"/>
    <w:rsid w:val="30C83F49"/>
    <w:rsid w:val="30C93A93"/>
    <w:rsid w:val="30CE1022"/>
    <w:rsid w:val="30CF50E3"/>
    <w:rsid w:val="30D156FE"/>
    <w:rsid w:val="30D276C2"/>
    <w:rsid w:val="30DF6C55"/>
    <w:rsid w:val="30E11543"/>
    <w:rsid w:val="30ED4A3C"/>
    <w:rsid w:val="30FA33DC"/>
    <w:rsid w:val="31030FEC"/>
    <w:rsid w:val="310B7829"/>
    <w:rsid w:val="310C5ADB"/>
    <w:rsid w:val="31166DE3"/>
    <w:rsid w:val="311C7DB5"/>
    <w:rsid w:val="31387F77"/>
    <w:rsid w:val="3144341E"/>
    <w:rsid w:val="314961B6"/>
    <w:rsid w:val="314B32BF"/>
    <w:rsid w:val="314F3376"/>
    <w:rsid w:val="31564C8D"/>
    <w:rsid w:val="315D551A"/>
    <w:rsid w:val="315F36AD"/>
    <w:rsid w:val="31662C71"/>
    <w:rsid w:val="316905A7"/>
    <w:rsid w:val="316D3427"/>
    <w:rsid w:val="317140E5"/>
    <w:rsid w:val="31762E8B"/>
    <w:rsid w:val="318162FD"/>
    <w:rsid w:val="31886E82"/>
    <w:rsid w:val="31894FFC"/>
    <w:rsid w:val="318D42D2"/>
    <w:rsid w:val="31905A3E"/>
    <w:rsid w:val="319834F2"/>
    <w:rsid w:val="31A9067E"/>
    <w:rsid w:val="31B31BE6"/>
    <w:rsid w:val="31B5097C"/>
    <w:rsid w:val="31B56F97"/>
    <w:rsid w:val="31BB4273"/>
    <w:rsid w:val="31C63636"/>
    <w:rsid w:val="31C67850"/>
    <w:rsid w:val="31CA4F64"/>
    <w:rsid w:val="31CE0A51"/>
    <w:rsid w:val="31D36F97"/>
    <w:rsid w:val="31D863C1"/>
    <w:rsid w:val="31E11941"/>
    <w:rsid w:val="31F12B1F"/>
    <w:rsid w:val="320036EF"/>
    <w:rsid w:val="32043258"/>
    <w:rsid w:val="321A667D"/>
    <w:rsid w:val="321E1D8E"/>
    <w:rsid w:val="322E531D"/>
    <w:rsid w:val="323256F6"/>
    <w:rsid w:val="32362973"/>
    <w:rsid w:val="323B50FC"/>
    <w:rsid w:val="323C2A55"/>
    <w:rsid w:val="324011C2"/>
    <w:rsid w:val="32445FFC"/>
    <w:rsid w:val="324C3F22"/>
    <w:rsid w:val="3268332E"/>
    <w:rsid w:val="326A2FB3"/>
    <w:rsid w:val="32755C4A"/>
    <w:rsid w:val="32785411"/>
    <w:rsid w:val="327E4312"/>
    <w:rsid w:val="327E5FB9"/>
    <w:rsid w:val="328C338F"/>
    <w:rsid w:val="32964B09"/>
    <w:rsid w:val="329A0462"/>
    <w:rsid w:val="329B32CA"/>
    <w:rsid w:val="329B4860"/>
    <w:rsid w:val="329C0C4C"/>
    <w:rsid w:val="32A0392B"/>
    <w:rsid w:val="32A874BF"/>
    <w:rsid w:val="32AB3019"/>
    <w:rsid w:val="32AD3782"/>
    <w:rsid w:val="32B53CA7"/>
    <w:rsid w:val="32BE12FB"/>
    <w:rsid w:val="32D85708"/>
    <w:rsid w:val="32DE43A0"/>
    <w:rsid w:val="32E35ECC"/>
    <w:rsid w:val="32EA6D7A"/>
    <w:rsid w:val="32EB2E03"/>
    <w:rsid w:val="32EB6FE9"/>
    <w:rsid w:val="32F21F30"/>
    <w:rsid w:val="32FC735B"/>
    <w:rsid w:val="32FC7740"/>
    <w:rsid w:val="330C7FBD"/>
    <w:rsid w:val="33101F81"/>
    <w:rsid w:val="331E1494"/>
    <w:rsid w:val="332149AD"/>
    <w:rsid w:val="332252C4"/>
    <w:rsid w:val="332579A8"/>
    <w:rsid w:val="33311E1D"/>
    <w:rsid w:val="33356B95"/>
    <w:rsid w:val="333C27E7"/>
    <w:rsid w:val="333D01B9"/>
    <w:rsid w:val="33401C41"/>
    <w:rsid w:val="33404766"/>
    <w:rsid w:val="33431AC2"/>
    <w:rsid w:val="334A5D48"/>
    <w:rsid w:val="33523DDE"/>
    <w:rsid w:val="335970BA"/>
    <w:rsid w:val="3361798A"/>
    <w:rsid w:val="33686F6B"/>
    <w:rsid w:val="336E595D"/>
    <w:rsid w:val="33713745"/>
    <w:rsid w:val="33763C22"/>
    <w:rsid w:val="33796643"/>
    <w:rsid w:val="337F0F6B"/>
    <w:rsid w:val="33801AA9"/>
    <w:rsid w:val="3381316C"/>
    <w:rsid w:val="338752E9"/>
    <w:rsid w:val="33894900"/>
    <w:rsid w:val="339B5E39"/>
    <w:rsid w:val="339E3A3C"/>
    <w:rsid w:val="33A81A86"/>
    <w:rsid w:val="33B07A44"/>
    <w:rsid w:val="33B4667C"/>
    <w:rsid w:val="33BB353F"/>
    <w:rsid w:val="33C702ED"/>
    <w:rsid w:val="33D1062F"/>
    <w:rsid w:val="33DF0711"/>
    <w:rsid w:val="33F12A50"/>
    <w:rsid w:val="33F321BA"/>
    <w:rsid w:val="33F35483"/>
    <w:rsid w:val="33FA2516"/>
    <w:rsid w:val="3400529A"/>
    <w:rsid w:val="34015D1F"/>
    <w:rsid w:val="34057516"/>
    <w:rsid w:val="340D5C9C"/>
    <w:rsid w:val="3411331F"/>
    <w:rsid w:val="3413678E"/>
    <w:rsid w:val="342A3CB4"/>
    <w:rsid w:val="342E0EC7"/>
    <w:rsid w:val="343047D3"/>
    <w:rsid w:val="34335C86"/>
    <w:rsid w:val="34381B90"/>
    <w:rsid w:val="343F14EE"/>
    <w:rsid w:val="34413517"/>
    <w:rsid w:val="344540E4"/>
    <w:rsid w:val="34473B40"/>
    <w:rsid w:val="34480E32"/>
    <w:rsid w:val="344F012B"/>
    <w:rsid w:val="345D645F"/>
    <w:rsid w:val="346D5D12"/>
    <w:rsid w:val="346F4F4A"/>
    <w:rsid w:val="34A96378"/>
    <w:rsid w:val="34BD2CCA"/>
    <w:rsid w:val="34C100BA"/>
    <w:rsid w:val="34D74FDC"/>
    <w:rsid w:val="34E46BB5"/>
    <w:rsid w:val="34E73520"/>
    <w:rsid w:val="34EF2C76"/>
    <w:rsid w:val="34F5115F"/>
    <w:rsid w:val="34FA54B2"/>
    <w:rsid w:val="34FD1935"/>
    <w:rsid w:val="34FF15BB"/>
    <w:rsid w:val="34FF53C5"/>
    <w:rsid w:val="35016038"/>
    <w:rsid w:val="35050F88"/>
    <w:rsid w:val="35090B63"/>
    <w:rsid w:val="350A1DCF"/>
    <w:rsid w:val="35134613"/>
    <w:rsid w:val="35141384"/>
    <w:rsid w:val="35197E42"/>
    <w:rsid w:val="352152C8"/>
    <w:rsid w:val="352A41A8"/>
    <w:rsid w:val="353642AB"/>
    <w:rsid w:val="353D722E"/>
    <w:rsid w:val="35403DE0"/>
    <w:rsid w:val="354562EB"/>
    <w:rsid w:val="3545752B"/>
    <w:rsid w:val="35475891"/>
    <w:rsid w:val="35530079"/>
    <w:rsid w:val="3555517F"/>
    <w:rsid w:val="356717D4"/>
    <w:rsid w:val="356E6CE1"/>
    <w:rsid w:val="35770921"/>
    <w:rsid w:val="357A177D"/>
    <w:rsid w:val="357B36F0"/>
    <w:rsid w:val="357C4031"/>
    <w:rsid w:val="357F677C"/>
    <w:rsid w:val="35833F14"/>
    <w:rsid w:val="358538AB"/>
    <w:rsid w:val="35930C8E"/>
    <w:rsid w:val="35A052CF"/>
    <w:rsid w:val="35A3428A"/>
    <w:rsid w:val="35A52F92"/>
    <w:rsid w:val="35AE79BB"/>
    <w:rsid w:val="35AF0064"/>
    <w:rsid w:val="35B278FC"/>
    <w:rsid w:val="35C03996"/>
    <w:rsid w:val="35C50ABB"/>
    <w:rsid w:val="35C961DE"/>
    <w:rsid w:val="35D801BB"/>
    <w:rsid w:val="35D92FA2"/>
    <w:rsid w:val="35EB5811"/>
    <w:rsid w:val="35EE200F"/>
    <w:rsid w:val="35EE694C"/>
    <w:rsid w:val="35FF44CF"/>
    <w:rsid w:val="36045036"/>
    <w:rsid w:val="36143A97"/>
    <w:rsid w:val="36266B61"/>
    <w:rsid w:val="36274348"/>
    <w:rsid w:val="36285F30"/>
    <w:rsid w:val="36355306"/>
    <w:rsid w:val="36395E3D"/>
    <w:rsid w:val="363E1AEA"/>
    <w:rsid w:val="36473D84"/>
    <w:rsid w:val="364A4D99"/>
    <w:rsid w:val="364B6400"/>
    <w:rsid w:val="367819C0"/>
    <w:rsid w:val="367C49A1"/>
    <w:rsid w:val="369669D9"/>
    <w:rsid w:val="36973A0B"/>
    <w:rsid w:val="369D5712"/>
    <w:rsid w:val="36A5579C"/>
    <w:rsid w:val="36B778B1"/>
    <w:rsid w:val="36BB1878"/>
    <w:rsid w:val="36C344B8"/>
    <w:rsid w:val="36C37415"/>
    <w:rsid w:val="36D27FF3"/>
    <w:rsid w:val="36D57254"/>
    <w:rsid w:val="36D6086F"/>
    <w:rsid w:val="36DA091C"/>
    <w:rsid w:val="36DE73AC"/>
    <w:rsid w:val="36F05BEF"/>
    <w:rsid w:val="36F476F6"/>
    <w:rsid w:val="37033D62"/>
    <w:rsid w:val="37047B9A"/>
    <w:rsid w:val="37115737"/>
    <w:rsid w:val="373339AD"/>
    <w:rsid w:val="37350E90"/>
    <w:rsid w:val="37496F18"/>
    <w:rsid w:val="375210A4"/>
    <w:rsid w:val="37595311"/>
    <w:rsid w:val="375F04D5"/>
    <w:rsid w:val="376042A2"/>
    <w:rsid w:val="376614D0"/>
    <w:rsid w:val="37674BA9"/>
    <w:rsid w:val="37695B54"/>
    <w:rsid w:val="376C4B50"/>
    <w:rsid w:val="376F3D58"/>
    <w:rsid w:val="377157E3"/>
    <w:rsid w:val="37833BE3"/>
    <w:rsid w:val="37861616"/>
    <w:rsid w:val="378958C2"/>
    <w:rsid w:val="379133BF"/>
    <w:rsid w:val="37923A35"/>
    <w:rsid w:val="379903EB"/>
    <w:rsid w:val="379D4B9D"/>
    <w:rsid w:val="37A1136B"/>
    <w:rsid w:val="37C2506F"/>
    <w:rsid w:val="37C60704"/>
    <w:rsid w:val="37CB454D"/>
    <w:rsid w:val="37D45922"/>
    <w:rsid w:val="37D868A7"/>
    <w:rsid w:val="37E22DB7"/>
    <w:rsid w:val="37E26AA1"/>
    <w:rsid w:val="37E312B6"/>
    <w:rsid w:val="37E869F0"/>
    <w:rsid w:val="37EA3EB6"/>
    <w:rsid w:val="37F1019A"/>
    <w:rsid w:val="37F10D3F"/>
    <w:rsid w:val="37F8082F"/>
    <w:rsid w:val="37F92A1F"/>
    <w:rsid w:val="37F947FE"/>
    <w:rsid w:val="37FC411A"/>
    <w:rsid w:val="38015A0D"/>
    <w:rsid w:val="382209C5"/>
    <w:rsid w:val="3828767B"/>
    <w:rsid w:val="382C1FE9"/>
    <w:rsid w:val="38503863"/>
    <w:rsid w:val="385A458B"/>
    <w:rsid w:val="385F2B13"/>
    <w:rsid w:val="38637BAE"/>
    <w:rsid w:val="386862D0"/>
    <w:rsid w:val="38773614"/>
    <w:rsid w:val="38811766"/>
    <w:rsid w:val="3885663A"/>
    <w:rsid w:val="3891694A"/>
    <w:rsid w:val="38AD7D3C"/>
    <w:rsid w:val="38AE462F"/>
    <w:rsid w:val="38B54187"/>
    <w:rsid w:val="38BE2B69"/>
    <w:rsid w:val="38C422D5"/>
    <w:rsid w:val="38CA2742"/>
    <w:rsid w:val="38CA4224"/>
    <w:rsid w:val="38DF05E7"/>
    <w:rsid w:val="38E04B22"/>
    <w:rsid w:val="38E1363B"/>
    <w:rsid w:val="38E3317A"/>
    <w:rsid w:val="38E96AA5"/>
    <w:rsid w:val="38FD4668"/>
    <w:rsid w:val="39024102"/>
    <w:rsid w:val="3906316E"/>
    <w:rsid w:val="39083EAB"/>
    <w:rsid w:val="390973DE"/>
    <w:rsid w:val="39132A9B"/>
    <w:rsid w:val="39142CF2"/>
    <w:rsid w:val="39151F7A"/>
    <w:rsid w:val="392444CA"/>
    <w:rsid w:val="392F4262"/>
    <w:rsid w:val="39413994"/>
    <w:rsid w:val="3947568C"/>
    <w:rsid w:val="394A0BBD"/>
    <w:rsid w:val="39613168"/>
    <w:rsid w:val="39872F22"/>
    <w:rsid w:val="39873CDB"/>
    <w:rsid w:val="398F3254"/>
    <w:rsid w:val="39915A82"/>
    <w:rsid w:val="3995388E"/>
    <w:rsid w:val="39A06546"/>
    <w:rsid w:val="39AB0F30"/>
    <w:rsid w:val="39AF09E0"/>
    <w:rsid w:val="39BC6836"/>
    <w:rsid w:val="39C05339"/>
    <w:rsid w:val="39C71362"/>
    <w:rsid w:val="39C7774A"/>
    <w:rsid w:val="39CB3B9A"/>
    <w:rsid w:val="39CE7593"/>
    <w:rsid w:val="39D81032"/>
    <w:rsid w:val="39DF2EE9"/>
    <w:rsid w:val="39DF4383"/>
    <w:rsid w:val="39E44E71"/>
    <w:rsid w:val="39ED71CB"/>
    <w:rsid w:val="39F4159F"/>
    <w:rsid w:val="39F51828"/>
    <w:rsid w:val="3A0D57E8"/>
    <w:rsid w:val="3A1759FE"/>
    <w:rsid w:val="3A1C460B"/>
    <w:rsid w:val="3A1E40A8"/>
    <w:rsid w:val="3A1F14E8"/>
    <w:rsid w:val="3A215DA4"/>
    <w:rsid w:val="3A237DED"/>
    <w:rsid w:val="3A2A6087"/>
    <w:rsid w:val="3A2E3E1D"/>
    <w:rsid w:val="3A356783"/>
    <w:rsid w:val="3A4B0633"/>
    <w:rsid w:val="3A5C7F6C"/>
    <w:rsid w:val="3A5F717C"/>
    <w:rsid w:val="3A685AA2"/>
    <w:rsid w:val="3A762CD3"/>
    <w:rsid w:val="3A7922AF"/>
    <w:rsid w:val="3A883655"/>
    <w:rsid w:val="3A965CC4"/>
    <w:rsid w:val="3AD63323"/>
    <w:rsid w:val="3AD80B27"/>
    <w:rsid w:val="3AE42F73"/>
    <w:rsid w:val="3AE53B01"/>
    <w:rsid w:val="3AF07B06"/>
    <w:rsid w:val="3AFB5C9C"/>
    <w:rsid w:val="3B037579"/>
    <w:rsid w:val="3B0C3829"/>
    <w:rsid w:val="3B0E755F"/>
    <w:rsid w:val="3B0F3E35"/>
    <w:rsid w:val="3B164849"/>
    <w:rsid w:val="3B226923"/>
    <w:rsid w:val="3B2428F4"/>
    <w:rsid w:val="3B2C0432"/>
    <w:rsid w:val="3B370F6F"/>
    <w:rsid w:val="3B3779E1"/>
    <w:rsid w:val="3B395AAF"/>
    <w:rsid w:val="3B461160"/>
    <w:rsid w:val="3B540C9C"/>
    <w:rsid w:val="3B5A6803"/>
    <w:rsid w:val="3B614276"/>
    <w:rsid w:val="3B657FF1"/>
    <w:rsid w:val="3B67137E"/>
    <w:rsid w:val="3B6B451D"/>
    <w:rsid w:val="3B6E70E8"/>
    <w:rsid w:val="3B90157C"/>
    <w:rsid w:val="3B921974"/>
    <w:rsid w:val="3B942FA4"/>
    <w:rsid w:val="3B9D57F6"/>
    <w:rsid w:val="3BA4440B"/>
    <w:rsid w:val="3BA56A4E"/>
    <w:rsid w:val="3BAF6483"/>
    <w:rsid w:val="3BB00237"/>
    <w:rsid w:val="3BBC19F2"/>
    <w:rsid w:val="3BBF1028"/>
    <w:rsid w:val="3BC36BC5"/>
    <w:rsid w:val="3BCF73DC"/>
    <w:rsid w:val="3BD5188A"/>
    <w:rsid w:val="3BD9422A"/>
    <w:rsid w:val="3BDD33A3"/>
    <w:rsid w:val="3BE8274F"/>
    <w:rsid w:val="3BEF4CB2"/>
    <w:rsid w:val="3BF611BA"/>
    <w:rsid w:val="3BF828E3"/>
    <w:rsid w:val="3C123480"/>
    <w:rsid w:val="3C127211"/>
    <w:rsid w:val="3C15441F"/>
    <w:rsid w:val="3C2317D2"/>
    <w:rsid w:val="3C385A1D"/>
    <w:rsid w:val="3C3E07F0"/>
    <w:rsid w:val="3C403CF2"/>
    <w:rsid w:val="3C414DA5"/>
    <w:rsid w:val="3C4323FF"/>
    <w:rsid w:val="3C43510A"/>
    <w:rsid w:val="3C466358"/>
    <w:rsid w:val="3C4715C1"/>
    <w:rsid w:val="3C602DED"/>
    <w:rsid w:val="3C6333F1"/>
    <w:rsid w:val="3C662FFE"/>
    <w:rsid w:val="3C6D41FE"/>
    <w:rsid w:val="3C6E024A"/>
    <w:rsid w:val="3C7D1B3E"/>
    <w:rsid w:val="3C7D6C7C"/>
    <w:rsid w:val="3C7E24F2"/>
    <w:rsid w:val="3C93083D"/>
    <w:rsid w:val="3C9C6FE7"/>
    <w:rsid w:val="3CA424EB"/>
    <w:rsid w:val="3CAC5CFE"/>
    <w:rsid w:val="3CB04C77"/>
    <w:rsid w:val="3CBB50D5"/>
    <w:rsid w:val="3CC65269"/>
    <w:rsid w:val="3CCD2EEF"/>
    <w:rsid w:val="3CD0064E"/>
    <w:rsid w:val="3CE05C88"/>
    <w:rsid w:val="3CE20AAD"/>
    <w:rsid w:val="3CEB4AD7"/>
    <w:rsid w:val="3CF216D3"/>
    <w:rsid w:val="3CF278A5"/>
    <w:rsid w:val="3CF73F9A"/>
    <w:rsid w:val="3CFE5A5C"/>
    <w:rsid w:val="3D0E6843"/>
    <w:rsid w:val="3D191DAA"/>
    <w:rsid w:val="3D2502C8"/>
    <w:rsid w:val="3D371C50"/>
    <w:rsid w:val="3D3E42D5"/>
    <w:rsid w:val="3D462E65"/>
    <w:rsid w:val="3D490A1B"/>
    <w:rsid w:val="3D4D1D31"/>
    <w:rsid w:val="3D501A9C"/>
    <w:rsid w:val="3D506C30"/>
    <w:rsid w:val="3D532B00"/>
    <w:rsid w:val="3D583E0B"/>
    <w:rsid w:val="3D705C19"/>
    <w:rsid w:val="3D7238DB"/>
    <w:rsid w:val="3D9730E1"/>
    <w:rsid w:val="3DA32A96"/>
    <w:rsid w:val="3DB938EE"/>
    <w:rsid w:val="3DC24854"/>
    <w:rsid w:val="3DD1349B"/>
    <w:rsid w:val="3DE51256"/>
    <w:rsid w:val="3DF45112"/>
    <w:rsid w:val="3DF56140"/>
    <w:rsid w:val="3DFC57FB"/>
    <w:rsid w:val="3E0130BA"/>
    <w:rsid w:val="3E0A6511"/>
    <w:rsid w:val="3E0E2FD5"/>
    <w:rsid w:val="3E134054"/>
    <w:rsid w:val="3E247A20"/>
    <w:rsid w:val="3E2574A0"/>
    <w:rsid w:val="3E2616C1"/>
    <w:rsid w:val="3E310271"/>
    <w:rsid w:val="3E335277"/>
    <w:rsid w:val="3E394E20"/>
    <w:rsid w:val="3E3B4C34"/>
    <w:rsid w:val="3E5018B8"/>
    <w:rsid w:val="3E5978BF"/>
    <w:rsid w:val="3E5D5542"/>
    <w:rsid w:val="3E5E1B99"/>
    <w:rsid w:val="3E601746"/>
    <w:rsid w:val="3E672DAD"/>
    <w:rsid w:val="3E761F02"/>
    <w:rsid w:val="3E774C34"/>
    <w:rsid w:val="3E7A14AF"/>
    <w:rsid w:val="3E8A31E1"/>
    <w:rsid w:val="3E983C64"/>
    <w:rsid w:val="3EA52DC6"/>
    <w:rsid w:val="3EAD1CD6"/>
    <w:rsid w:val="3EB3776D"/>
    <w:rsid w:val="3EBD0D9A"/>
    <w:rsid w:val="3ED15734"/>
    <w:rsid w:val="3ED72927"/>
    <w:rsid w:val="3EE07013"/>
    <w:rsid w:val="3EE65880"/>
    <w:rsid w:val="3EEA4CDA"/>
    <w:rsid w:val="3EEB2CEE"/>
    <w:rsid w:val="3EEB5763"/>
    <w:rsid w:val="3EF1250A"/>
    <w:rsid w:val="3EF15879"/>
    <w:rsid w:val="3EF404CF"/>
    <w:rsid w:val="3EFA4CF0"/>
    <w:rsid w:val="3F001489"/>
    <w:rsid w:val="3F012400"/>
    <w:rsid w:val="3F030E70"/>
    <w:rsid w:val="3F070F45"/>
    <w:rsid w:val="3F075CF5"/>
    <w:rsid w:val="3F094364"/>
    <w:rsid w:val="3F1C75CF"/>
    <w:rsid w:val="3F1E7077"/>
    <w:rsid w:val="3F376DC9"/>
    <w:rsid w:val="3F43318E"/>
    <w:rsid w:val="3F4F57E3"/>
    <w:rsid w:val="3F512FF6"/>
    <w:rsid w:val="3F5354C3"/>
    <w:rsid w:val="3F5F0544"/>
    <w:rsid w:val="3F620BFB"/>
    <w:rsid w:val="3F770324"/>
    <w:rsid w:val="3F7A0CD8"/>
    <w:rsid w:val="3F832409"/>
    <w:rsid w:val="3F842939"/>
    <w:rsid w:val="3F93596D"/>
    <w:rsid w:val="3F9E1081"/>
    <w:rsid w:val="3F9E16ED"/>
    <w:rsid w:val="3F9F3FA7"/>
    <w:rsid w:val="3FA05CDE"/>
    <w:rsid w:val="3FAA0AB2"/>
    <w:rsid w:val="3FAE078D"/>
    <w:rsid w:val="3FB10395"/>
    <w:rsid w:val="3FB27839"/>
    <w:rsid w:val="3FB86B84"/>
    <w:rsid w:val="3FBC57F2"/>
    <w:rsid w:val="3FC93641"/>
    <w:rsid w:val="3FD65AB3"/>
    <w:rsid w:val="3FD74631"/>
    <w:rsid w:val="3FDB177D"/>
    <w:rsid w:val="3FDC23A1"/>
    <w:rsid w:val="4009584A"/>
    <w:rsid w:val="40180C81"/>
    <w:rsid w:val="401E6A87"/>
    <w:rsid w:val="40241E0B"/>
    <w:rsid w:val="402F7D87"/>
    <w:rsid w:val="40392E75"/>
    <w:rsid w:val="404C3734"/>
    <w:rsid w:val="404C539D"/>
    <w:rsid w:val="404E3885"/>
    <w:rsid w:val="404E6E54"/>
    <w:rsid w:val="405215C2"/>
    <w:rsid w:val="407436A1"/>
    <w:rsid w:val="4078565D"/>
    <w:rsid w:val="40824549"/>
    <w:rsid w:val="408562FD"/>
    <w:rsid w:val="40892FE2"/>
    <w:rsid w:val="40985426"/>
    <w:rsid w:val="40A30765"/>
    <w:rsid w:val="40A403A8"/>
    <w:rsid w:val="40A51E9D"/>
    <w:rsid w:val="40A72F9D"/>
    <w:rsid w:val="40B45E9F"/>
    <w:rsid w:val="40B90DA1"/>
    <w:rsid w:val="40C30F41"/>
    <w:rsid w:val="40C37CEF"/>
    <w:rsid w:val="40CA2584"/>
    <w:rsid w:val="40CB1AEF"/>
    <w:rsid w:val="40E00845"/>
    <w:rsid w:val="40E56ECA"/>
    <w:rsid w:val="40E84C83"/>
    <w:rsid w:val="40FF56B8"/>
    <w:rsid w:val="410522E3"/>
    <w:rsid w:val="410561AA"/>
    <w:rsid w:val="41066C94"/>
    <w:rsid w:val="411116CB"/>
    <w:rsid w:val="411150DB"/>
    <w:rsid w:val="4124693A"/>
    <w:rsid w:val="412F08A6"/>
    <w:rsid w:val="413B50A6"/>
    <w:rsid w:val="413C758F"/>
    <w:rsid w:val="413F69B3"/>
    <w:rsid w:val="414F153C"/>
    <w:rsid w:val="41517657"/>
    <w:rsid w:val="4158397F"/>
    <w:rsid w:val="4174093A"/>
    <w:rsid w:val="417C1E33"/>
    <w:rsid w:val="41834CBF"/>
    <w:rsid w:val="41882259"/>
    <w:rsid w:val="41910EF6"/>
    <w:rsid w:val="419541D6"/>
    <w:rsid w:val="41A25BB6"/>
    <w:rsid w:val="41A61DF4"/>
    <w:rsid w:val="41A74794"/>
    <w:rsid w:val="41BC1F4E"/>
    <w:rsid w:val="41CC618F"/>
    <w:rsid w:val="41CE08D6"/>
    <w:rsid w:val="41D059A2"/>
    <w:rsid w:val="41D962F9"/>
    <w:rsid w:val="41DE236A"/>
    <w:rsid w:val="41E06278"/>
    <w:rsid w:val="41E3117C"/>
    <w:rsid w:val="41F11061"/>
    <w:rsid w:val="41F56A74"/>
    <w:rsid w:val="41F67DF1"/>
    <w:rsid w:val="41FA4EFD"/>
    <w:rsid w:val="41FB63F2"/>
    <w:rsid w:val="41FD6096"/>
    <w:rsid w:val="42051E29"/>
    <w:rsid w:val="42062F0F"/>
    <w:rsid w:val="42075A56"/>
    <w:rsid w:val="420C61CC"/>
    <w:rsid w:val="42164C48"/>
    <w:rsid w:val="421B2F82"/>
    <w:rsid w:val="421E57B0"/>
    <w:rsid w:val="4235176C"/>
    <w:rsid w:val="42427976"/>
    <w:rsid w:val="424550A1"/>
    <w:rsid w:val="425B33BA"/>
    <w:rsid w:val="425D457D"/>
    <w:rsid w:val="425E559F"/>
    <w:rsid w:val="42637DC8"/>
    <w:rsid w:val="426A09AA"/>
    <w:rsid w:val="427A51A5"/>
    <w:rsid w:val="42821A19"/>
    <w:rsid w:val="4283791D"/>
    <w:rsid w:val="428C2C05"/>
    <w:rsid w:val="42A13630"/>
    <w:rsid w:val="42A7322A"/>
    <w:rsid w:val="42A9499E"/>
    <w:rsid w:val="42AA1D1F"/>
    <w:rsid w:val="42BA7393"/>
    <w:rsid w:val="42BC10CB"/>
    <w:rsid w:val="42CA288C"/>
    <w:rsid w:val="42D04AEA"/>
    <w:rsid w:val="42D10D5B"/>
    <w:rsid w:val="42D25B81"/>
    <w:rsid w:val="42D31E6E"/>
    <w:rsid w:val="42DD08BF"/>
    <w:rsid w:val="42EC4F17"/>
    <w:rsid w:val="42FC4A6B"/>
    <w:rsid w:val="430867A7"/>
    <w:rsid w:val="431969CB"/>
    <w:rsid w:val="431A0AF5"/>
    <w:rsid w:val="43314AEF"/>
    <w:rsid w:val="43332558"/>
    <w:rsid w:val="433A6249"/>
    <w:rsid w:val="433B28B9"/>
    <w:rsid w:val="43437DA3"/>
    <w:rsid w:val="43445A59"/>
    <w:rsid w:val="43486471"/>
    <w:rsid w:val="43592CA7"/>
    <w:rsid w:val="436902AD"/>
    <w:rsid w:val="436C15B0"/>
    <w:rsid w:val="436E4ACC"/>
    <w:rsid w:val="43716E0C"/>
    <w:rsid w:val="43756195"/>
    <w:rsid w:val="437A5AFE"/>
    <w:rsid w:val="438352F9"/>
    <w:rsid w:val="43863346"/>
    <w:rsid w:val="438C79CF"/>
    <w:rsid w:val="438E300D"/>
    <w:rsid w:val="43922E0F"/>
    <w:rsid w:val="4395664D"/>
    <w:rsid w:val="43A27703"/>
    <w:rsid w:val="43A801E8"/>
    <w:rsid w:val="43AF194F"/>
    <w:rsid w:val="43AF72A0"/>
    <w:rsid w:val="43B20829"/>
    <w:rsid w:val="43B61A64"/>
    <w:rsid w:val="43B80B01"/>
    <w:rsid w:val="43B93392"/>
    <w:rsid w:val="43B93A2D"/>
    <w:rsid w:val="43B940E5"/>
    <w:rsid w:val="43BB4E95"/>
    <w:rsid w:val="43BB5C0C"/>
    <w:rsid w:val="43BC4323"/>
    <w:rsid w:val="43D2655C"/>
    <w:rsid w:val="43D3205C"/>
    <w:rsid w:val="43DC5A15"/>
    <w:rsid w:val="43DE4677"/>
    <w:rsid w:val="43E03D2B"/>
    <w:rsid w:val="43E248C0"/>
    <w:rsid w:val="43ED7E6A"/>
    <w:rsid w:val="43EE75F6"/>
    <w:rsid w:val="43F63370"/>
    <w:rsid w:val="44027CCE"/>
    <w:rsid w:val="441719EB"/>
    <w:rsid w:val="441F7EFA"/>
    <w:rsid w:val="4421198C"/>
    <w:rsid w:val="44240C76"/>
    <w:rsid w:val="442B231B"/>
    <w:rsid w:val="44305CED"/>
    <w:rsid w:val="4431551A"/>
    <w:rsid w:val="444C5BD8"/>
    <w:rsid w:val="444D642D"/>
    <w:rsid w:val="444D7FB7"/>
    <w:rsid w:val="4457071E"/>
    <w:rsid w:val="445A1192"/>
    <w:rsid w:val="445A389E"/>
    <w:rsid w:val="44605AE4"/>
    <w:rsid w:val="44613562"/>
    <w:rsid w:val="446159B6"/>
    <w:rsid w:val="4465660B"/>
    <w:rsid w:val="446A6A10"/>
    <w:rsid w:val="446F5BD8"/>
    <w:rsid w:val="44707DDE"/>
    <w:rsid w:val="44737F63"/>
    <w:rsid w:val="448164C6"/>
    <w:rsid w:val="448F0F7C"/>
    <w:rsid w:val="44911DF8"/>
    <w:rsid w:val="44967BFE"/>
    <w:rsid w:val="449D6DA3"/>
    <w:rsid w:val="44A92F3F"/>
    <w:rsid w:val="44AF0211"/>
    <w:rsid w:val="44C03F74"/>
    <w:rsid w:val="44C22C86"/>
    <w:rsid w:val="44CC2A51"/>
    <w:rsid w:val="44D16F97"/>
    <w:rsid w:val="44D94969"/>
    <w:rsid w:val="44DA29BC"/>
    <w:rsid w:val="44F404F2"/>
    <w:rsid w:val="44F706A6"/>
    <w:rsid w:val="44FE4E97"/>
    <w:rsid w:val="44FF5C81"/>
    <w:rsid w:val="45064F7E"/>
    <w:rsid w:val="45137F7C"/>
    <w:rsid w:val="451A5FCC"/>
    <w:rsid w:val="451F3A0C"/>
    <w:rsid w:val="45213EA8"/>
    <w:rsid w:val="452203B0"/>
    <w:rsid w:val="452A29E2"/>
    <w:rsid w:val="45383F9A"/>
    <w:rsid w:val="45484228"/>
    <w:rsid w:val="455107D6"/>
    <w:rsid w:val="455424C3"/>
    <w:rsid w:val="45686CEA"/>
    <w:rsid w:val="456B795E"/>
    <w:rsid w:val="4573502A"/>
    <w:rsid w:val="45816024"/>
    <w:rsid w:val="458E1D00"/>
    <w:rsid w:val="45921C25"/>
    <w:rsid w:val="45A40CCC"/>
    <w:rsid w:val="45A95269"/>
    <w:rsid w:val="45AC6AE5"/>
    <w:rsid w:val="45B56F4C"/>
    <w:rsid w:val="45B91D98"/>
    <w:rsid w:val="45BA3C32"/>
    <w:rsid w:val="45BD345F"/>
    <w:rsid w:val="45C70037"/>
    <w:rsid w:val="45D60A99"/>
    <w:rsid w:val="45E10D1A"/>
    <w:rsid w:val="45EA09CA"/>
    <w:rsid w:val="45ED1A15"/>
    <w:rsid w:val="45ED462D"/>
    <w:rsid w:val="45F64683"/>
    <w:rsid w:val="45F75B92"/>
    <w:rsid w:val="45FD7B25"/>
    <w:rsid w:val="460613D2"/>
    <w:rsid w:val="4611460E"/>
    <w:rsid w:val="46190276"/>
    <w:rsid w:val="46247BE6"/>
    <w:rsid w:val="463C09D6"/>
    <w:rsid w:val="464907FE"/>
    <w:rsid w:val="464F4C1C"/>
    <w:rsid w:val="465B56DC"/>
    <w:rsid w:val="466758E6"/>
    <w:rsid w:val="467B4672"/>
    <w:rsid w:val="4699597B"/>
    <w:rsid w:val="46A2058E"/>
    <w:rsid w:val="46A3401E"/>
    <w:rsid w:val="46A72CFE"/>
    <w:rsid w:val="46AB0F36"/>
    <w:rsid w:val="46AC242C"/>
    <w:rsid w:val="46BA3992"/>
    <w:rsid w:val="46BB5D92"/>
    <w:rsid w:val="46C439DA"/>
    <w:rsid w:val="46C573D6"/>
    <w:rsid w:val="46CE7109"/>
    <w:rsid w:val="46D86B32"/>
    <w:rsid w:val="46E030F0"/>
    <w:rsid w:val="46E20E31"/>
    <w:rsid w:val="46E44C50"/>
    <w:rsid w:val="46F91C38"/>
    <w:rsid w:val="46FD10DB"/>
    <w:rsid w:val="46FD245E"/>
    <w:rsid w:val="470F63B2"/>
    <w:rsid w:val="47101AA3"/>
    <w:rsid w:val="4717275B"/>
    <w:rsid w:val="471C3305"/>
    <w:rsid w:val="47302A21"/>
    <w:rsid w:val="473070D9"/>
    <w:rsid w:val="47370611"/>
    <w:rsid w:val="473C0F95"/>
    <w:rsid w:val="47413903"/>
    <w:rsid w:val="474915C6"/>
    <w:rsid w:val="47496C41"/>
    <w:rsid w:val="474F28FD"/>
    <w:rsid w:val="47554967"/>
    <w:rsid w:val="475A57C4"/>
    <w:rsid w:val="47625972"/>
    <w:rsid w:val="47667F7D"/>
    <w:rsid w:val="476819A7"/>
    <w:rsid w:val="4779678C"/>
    <w:rsid w:val="477A708F"/>
    <w:rsid w:val="478203C0"/>
    <w:rsid w:val="47953F3F"/>
    <w:rsid w:val="479868D5"/>
    <w:rsid w:val="479F0B4C"/>
    <w:rsid w:val="479F1D17"/>
    <w:rsid w:val="47A63131"/>
    <w:rsid w:val="47AC7CE1"/>
    <w:rsid w:val="47CA3CF4"/>
    <w:rsid w:val="47E265B6"/>
    <w:rsid w:val="47EB4DE7"/>
    <w:rsid w:val="47F975A2"/>
    <w:rsid w:val="47FA3407"/>
    <w:rsid w:val="47FF2206"/>
    <w:rsid w:val="48013227"/>
    <w:rsid w:val="480D6D33"/>
    <w:rsid w:val="480E5EDB"/>
    <w:rsid w:val="481559A3"/>
    <w:rsid w:val="481C2C29"/>
    <w:rsid w:val="481F0AAE"/>
    <w:rsid w:val="482368FF"/>
    <w:rsid w:val="48243349"/>
    <w:rsid w:val="48275236"/>
    <w:rsid w:val="48293A81"/>
    <w:rsid w:val="482B1AC5"/>
    <w:rsid w:val="482B6784"/>
    <w:rsid w:val="482F25FC"/>
    <w:rsid w:val="483F0081"/>
    <w:rsid w:val="48427BA9"/>
    <w:rsid w:val="48434575"/>
    <w:rsid w:val="484A2C8B"/>
    <w:rsid w:val="484B6B33"/>
    <w:rsid w:val="485B4474"/>
    <w:rsid w:val="48641537"/>
    <w:rsid w:val="4864199A"/>
    <w:rsid w:val="4869728F"/>
    <w:rsid w:val="486A4D86"/>
    <w:rsid w:val="486C3DF4"/>
    <w:rsid w:val="48724CD7"/>
    <w:rsid w:val="489575E0"/>
    <w:rsid w:val="48997109"/>
    <w:rsid w:val="489D0455"/>
    <w:rsid w:val="48A66DA7"/>
    <w:rsid w:val="48A760EA"/>
    <w:rsid w:val="48AC661B"/>
    <w:rsid w:val="48BA0713"/>
    <w:rsid w:val="48C33D54"/>
    <w:rsid w:val="48C87844"/>
    <w:rsid w:val="48CC2963"/>
    <w:rsid w:val="48D14163"/>
    <w:rsid w:val="48DB6D5A"/>
    <w:rsid w:val="48E62261"/>
    <w:rsid w:val="48E82175"/>
    <w:rsid w:val="48E834DC"/>
    <w:rsid w:val="48E870E7"/>
    <w:rsid w:val="48F8587B"/>
    <w:rsid w:val="49025338"/>
    <w:rsid w:val="49064D95"/>
    <w:rsid w:val="4908737E"/>
    <w:rsid w:val="491938EE"/>
    <w:rsid w:val="492023FE"/>
    <w:rsid w:val="49227198"/>
    <w:rsid w:val="49253D95"/>
    <w:rsid w:val="492A6E99"/>
    <w:rsid w:val="492E734A"/>
    <w:rsid w:val="49364091"/>
    <w:rsid w:val="49386F50"/>
    <w:rsid w:val="493E4B43"/>
    <w:rsid w:val="49474EA9"/>
    <w:rsid w:val="494B5FDF"/>
    <w:rsid w:val="494F284F"/>
    <w:rsid w:val="49531363"/>
    <w:rsid w:val="49543BE6"/>
    <w:rsid w:val="495A6647"/>
    <w:rsid w:val="495A6CBC"/>
    <w:rsid w:val="495C4980"/>
    <w:rsid w:val="49626449"/>
    <w:rsid w:val="49724388"/>
    <w:rsid w:val="49822DDB"/>
    <w:rsid w:val="498463E6"/>
    <w:rsid w:val="49871D8E"/>
    <w:rsid w:val="49884F4C"/>
    <w:rsid w:val="498A77E3"/>
    <w:rsid w:val="49A364EA"/>
    <w:rsid w:val="49A548D8"/>
    <w:rsid w:val="49A623D7"/>
    <w:rsid w:val="49A94645"/>
    <w:rsid w:val="49A95BC3"/>
    <w:rsid w:val="49C837F4"/>
    <w:rsid w:val="49D43B9F"/>
    <w:rsid w:val="49D776CB"/>
    <w:rsid w:val="49E30E31"/>
    <w:rsid w:val="49E54FED"/>
    <w:rsid w:val="49F5275A"/>
    <w:rsid w:val="49F94354"/>
    <w:rsid w:val="49FC5A51"/>
    <w:rsid w:val="4A035C2C"/>
    <w:rsid w:val="4A061444"/>
    <w:rsid w:val="4A0F5F3A"/>
    <w:rsid w:val="4A100743"/>
    <w:rsid w:val="4A1F35A9"/>
    <w:rsid w:val="4A2238B2"/>
    <w:rsid w:val="4A2B1C94"/>
    <w:rsid w:val="4A2E6920"/>
    <w:rsid w:val="4A3426A9"/>
    <w:rsid w:val="4A366346"/>
    <w:rsid w:val="4A386146"/>
    <w:rsid w:val="4A3A4C36"/>
    <w:rsid w:val="4A410448"/>
    <w:rsid w:val="4A45552A"/>
    <w:rsid w:val="4A4A4D53"/>
    <w:rsid w:val="4A4C4A99"/>
    <w:rsid w:val="4A512227"/>
    <w:rsid w:val="4A512F9E"/>
    <w:rsid w:val="4A594E71"/>
    <w:rsid w:val="4A68505D"/>
    <w:rsid w:val="4A745066"/>
    <w:rsid w:val="4A777B9B"/>
    <w:rsid w:val="4A79448B"/>
    <w:rsid w:val="4A851ECD"/>
    <w:rsid w:val="4A8D238C"/>
    <w:rsid w:val="4A8D5139"/>
    <w:rsid w:val="4A973CB1"/>
    <w:rsid w:val="4AA476FB"/>
    <w:rsid w:val="4AAB11CD"/>
    <w:rsid w:val="4AAE7155"/>
    <w:rsid w:val="4AB356AE"/>
    <w:rsid w:val="4AC52385"/>
    <w:rsid w:val="4ACE4959"/>
    <w:rsid w:val="4ACF5222"/>
    <w:rsid w:val="4ADA7CE1"/>
    <w:rsid w:val="4AE20F42"/>
    <w:rsid w:val="4AE303F0"/>
    <w:rsid w:val="4AFA4343"/>
    <w:rsid w:val="4AFC02F6"/>
    <w:rsid w:val="4B156F97"/>
    <w:rsid w:val="4B3008FB"/>
    <w:rsid w:val="4B460AE7"/>
    <w:rsid w:val="4B4A1078"/>
    <w:rsid w:val="4B4C2865"/>
    <w:rsid w:val="4B4C799B"/>
    <w:rsid w:val="4B597090"/>
    <w:rsid w:val="4B597F92"/>
    <w:rsid w:val="4B5A03D5"/>
    <w:rsid w:val="4B5C6F5D"/>
    <w:rsid w:val="4B66054D"/>
    <w:rsid w:val="4B913121"/>
    <w:rsid w:val="4BA70BA4"/>
    <w:rsid w:val="4BB0030E"/>
    <w:rsid w:val="4BB36149"/>
    <w:rsid w:val="4BB97A78"/>
    <w:rsid w:val="4BBE40D7"/>
    <w:rsid w:val="4BC1288C"/>
    <w:rsid w:val="4BC23FAE"/>
    <w:rsid w:val="4BC45398"/>
    <w:rsid w:val="4BD36108"/>
    <w:rsid w:val="4BD74AC0"/>
    <w:rsid w:val="4BDD4510"/>
    <w:rsid w:val="4BDE1BD7"/>
    <w:rsid w:val="4BE6529B"/>
    <w:rsid w:val="4BE7434B"/>
    <w:rsid w:val="4BE81894"/>
    <w:rsid w:val="4BEA4A2D"/>
    <w:rsid w:val="4BEC4180"/>
    <w:rsid w:val="4BF25D2E"/>
    <w:rsid w:val="4BF74963"/>
    <w:rsid w:val="4BFE07B2"/>
    <w:rsid w:val="4BFF51AF"/>
    <w:rsid w:val="4C0949C2"/>
    <w:rsid w:val="4C2A61ED"/>
    <w:rsid w:val="4C30578A"/>
    <w:rsid w:val="4C355A01"/>
    <w:rsid w:val="4C485612"/>
    <w:rsid w:val="4C556AD2"/>
    <w:rsid w:val="4C591B55"/>
    <w:rsid w:val="4C635A85"/>
    <w:rsid w:val="4C637161"/>
    <w:rsid w:val="4C6A51E6"/>
    <w:rsid w:val="4C6C24FF"/>
    <w:rsid w:val="4C6F5919"/>
    <w:rsid w:val="4C716889"/>
    <w:rsid w:val="4C793455"/>
    <w:rsid w:val="4C86529F"/>
    <w:rsid w:val="4C942A4A"/>
    <w:rsid w:val="4C94647F"/>
    <w:rsid w:val="4C9778BC"/>
    <w:rsid w:val="4C9C23DD"/>
    <w:rsid w:val="4CA26813"/>
    <w:rsid w:val="4CA47573"/>
    <w:rsid w:val="4CA740C2"/>
    <w:rsid w:val="4CA76C01"/>
    <w:rsid w:val="4CA813AA"/>
    <w:rsid w:val="4CAA54B7"/>
    <w:rsid w:val="4CC51726"/>
    <w:rsid w:val="4CD5009D"/>
    <w:rsid w:val="4CD57FBE"/>
    <w:rsid w:val="4CDC5428"/>
    <w:rsid w:val="4CDE6E75"/>
    <w:rsid w:val="4CEF0CF6"/>
    <w:rsid w:val="4CF35613"/>
    <w:rsid w:val="4CF66575"/>
    <w:rsid w:val="4D091C4E"/>
    <w:rsid w:val="4D0E072B"/>
    <w:rsid w:val="4D155677"/>
    <w:rsid w:val="4D230977"/>
    <w:rsid w:val="4D232FD6"/>
    <w:rsid w:val="4D2F42E9"/>
    <w:rsid w:val="4D3326EB"/>
    <w:rsid w:val="4D3675BC"/>
    <w:rsid w:val="4D37311E"/>
    <w:rsid w:val="4D587E21"/>
    <w:rsid w:val="4D591707"/>
    <w:rsid w:val="4D6E145A"/>
    <w:rsid w:val="4D776661"/>
    <w:rsid w:val="4D7D0607"/>
    <w:rsid w:val="4D7D7120"/>
    <w:rsid w:val="4D8009C6"/>
    <w:rsid w:val="4D820863"/>
    <w:rsid w:val="4D8D46B1"/>
    <w:rsid w:val="4D9A02CA"/>
    <w:rsid w:val="4D9C654A"/>
    <w:rsid w:val="4DAD4D79"/>
    <w:rsid w:val="4DB3504A"/>
    <w:rsid w:val="4DB52CE0"/>
    <w:rsid w:val="4DBC3764"/>
    <w:rsid w:val="4DBE31D7"/>
    <w:rsid w:val="4DC0174B"/>
    <w:rsid w:val="4DC26901"/>
    <w:rsid w:val="4DC404CD"/>
    <w:rsid w:val="4DC77F2C"/>
    <w:rsid w:val="4DCC1578"/>
    <w:rsid w:val="4DCD69BF"/>
    <w:rsid w:val="4DD22D04"/>
    <w:rsid w:val="4DDA4CE5"/>
    <w:rsid w:val="4DE2123E"/>
    <w:rsid w:val="4DEB0029"/>
    <w:rsid w:val="4DEE0304"/>
    <w:rsid w:val="4E046C99"/>
    <w:rsid w:val="4E0535C0"/>
    <w:rsid w:val="4E1B2451"/>
    <w:rsid w:val="4E1D175A"/>
    <w:rsid w:val="4E1E460B"/>
    <w:rsid w:val="4E25741C"/>
    <w:rsid w:val="4E2E21EC"/>
    <w:rsid w:val="4E3A2BBF"/>
    <w:rsid w:val="4E3C2EAA"/>
    <w:rsid w:val="4E451E6C"/>
    <w:rsid w:val="4E4E70CE"/>
    <w:rsid w:val="4E5169E2"/>
    <w:rsid w:val="4E62289F"/>
    <w:rsid w:val="4E716678"/>
    <w:rsid w:val="4E735A79"/>
    <w:rsid w:val="4E7C4AEF"/>
    <w:rsid w:val="4E7E6E87"/>
    <w:rsid w:val="4E806936"/>
    <w:rsid w:val="4E865E1F"/>
    <w:rsid w:val="4E8D2DBE"/>
    <w:rsid w:val="4E8E3AAE"/>
    <w:rsid w:val="4E9D491C"/>
    <w:rsid w:val="4EA222B8"/>
    <w:rsid w:val="4EA63E59"/>
    <w:rsid w:val="4EB479E4"/>
    <w:rsid w:val="4EB66438"/>
    <w:rsid w:val="4EBC7BA4"/>
    <w:rsid w:val="4EC66288"/>
    <w:rsid w:val="4ED42FB1"/>
    <w:rsid w:val="4ED51F16"/>
    <w:rsid w:val="4EE60AA3"/>
    <w:rsid w:val="4EE95ABC"/>
    <w:rsid w:val="4EF4550F"/>
    <w:rsid w:val="4F0F3DCE"/>
    <w:rsid w:val="4F164CFA"/>
    <w:rsid w:val="4F232E8B"/>
    <w:rsid w:val="4F2A18F9"/>
    <w:rsid w:val="4F2A51C4"/>
    <w:rsid w:val="4F2E4867"/>
    <w:rsid w:val="4F3609A6"/>
    <w:rsid w:val="4F391364"/>
    <w:rsid w:val="4F4C4C75"/>
    <w:rsid w:val="4F533D48"/>
    <w:rsid w:val="4F5A6570"/>
    <w:rsid w:val="4F612D60"/>
    <w:rsid w:val="4F621137"/>
    <w:rsid w:val="4F755A9B"/>
    <w:rsid w:val="4F755F07"/>
    <w:rsid w:val="4F785119"/>
    <w:rsid w:val="4F7F6611"/>
    <w:rsid w:val="4F80204D"/>
    <w:rsid w:val="4F8056E8"/>
    <w:rsid w:val="4F82619A"/>
    <w:rsid w:val="4F8F0F0D"/>
    <w:rsid w:val="4F907A4E"/>
    <w:rsid w:val="4F927079"/>
    <w:rsid w:val="4F9A06D3"/>
    <w:rsid w:val="4FA268FD"/>
    <w:rsid w:val="4FBA7CD6"/>
    <w:rsid w:val="4FC82315"/>
    <w:rsid w:val="4FD05638"/>
    <w:rsid w:val="4FD87E22"/>
    <w:rsid w:val="4FDA6CCD"/>
    <w:rsid w:val="4FDB632E"/>
    <w:rsid w:val="4FDC2D5B"/>
    <w:rsid w:val="4FDD4DBE"/>
    <w:rsid w:val="4FDD6516"/>
    <w:rsid w:val="4FEC179E"/>
    <w:rsid w:val="4FED3FC0"/>
    <w:rsid w:val="4FEE38A6"/>
    <w:rsid w:val="4FF55AFA"/>
    <w:rsid w:val="500115A3"/>
    <w:rsid w:val="5002169D"/>
    <w:rsid w:val="50071467"/>
    <w:rsid w:val="500B2D41"/>
    <w:rsid w:val="500B5A98"/>
    <w:rsid w:val="50111506"/>
    <w:rsid w:val="501C3ECE"/>
    <w:rsid w:val="50301EF2"/>
    <w:rsid w:val="503442AC"/>
    <w:rsid w:val="503A5CD0"/>
    <w:rsid w:val="50553C73"/>
    <w:rsid w:val="505C57C5"/>
    <w:rsid w:val="50603411"/>
    <w:rsid w:val="50620B0F"/>
    <w:rsid w:val="50631FBD"/>
    <w:rsid w:val="506B4447"/>
    <w:rsid w:val="507132C3"/>
    <w:rsid w:val="507D586F"/>
    <w:rsid w:val="50885C3C"/>
    <w:rsid w:val="50932C85"/>
    <w:rsid w:val="50A05B3E"/>
    <w:rsid w:val="50A47C77"/>
    <w:rsid w:val="50AA4201"/>
    <w:rsid w:val="50AB5B9F"/>
    <w:rsid w:val="50B92FED"/>
    <w:rsid w:val="50BF6AC2"/>
    <w:rsid w:val="50C41590"/>
    <w:rsid w:val="50C61AF8"/>
    <w:rsid w:val="50C633E9"/>
    <w:rsid w:val="50C84AB4"/>
    <w:rsid w:val="50CC253A"/>
    <w:rsid w:val="50D25760"/>
    <w:rsid w:val="50D72740"/>
    <w:rsid w:val="50E170A2"/>
    <w:rsid w:val="50E76785"/>
    <w:rsid w:val="50E77B88"/>
    <w:rsid w:val="50F6301B"/>
    <w:rsid w:val="50FD5FE0"/>
    <w:rsid w:val="512C420C"/>
    <w:rsid w:val="512C6F4C"/>
    <w:rsid w:val="512D4DA1"/>
    <w:rsid w:val="512E5FA5"/>
    <w:rsid w:val="5137612B"/>
    <w:rsid w:val="513854E7"/>
    <w:rsid w:val="514101E2"/>
    <w:rsid w:val="51426326"/>
    <w:rsid w:val="514352F7"/>
    <w:rsid w:val="515172CA"/>
    <w:rsid w:val="515925CF"/>
    <w:rsid w:val="51651532"/>
    <w:rsid w:val="51691A00"/>
    <w:rsid w:val="51701BAE"/>
    <w:rsid w:val="51751F0F"/>
    <w:rsid w:val="51773D2B"/>
    <w:rsid w:val="517A5EA1"/>
    <w:rsid w:val="518B1CAD"/>
    <w:rsid w:val="519365B9"/>
    <w:rsid w:val="519810AA"/>
    <w:rsid w:val="519828A7"/>
    <w:rsid w:val="5198532A"/>
    <w:rsid w:val="519E6C32"/>
    <w:rsid w:val="51B518BD"/>
    <w:rsid w:val="51B72FA5"/>
    <w:rsid w:val="51BA35A7"/>
    <w:rsid w:val="51C36C3F"/>
    <w:rsid w:val="51E2686B"/>
    <w:rsid w:val="51E8766F"/>
    <w:rsid w:val="51F10DCE"/>
    <w:rsid w:val="51F44856"/>
    <w:rsid w:val="51F4715A"/>
    <w:rsid w:val="51FD35E2"/>
    <w:rsid w:val="52082B33"/>
    <w:rsid w:val="52137D0E"/>
    <w:rsid w:val="52341332"/>
    <w:rsid w:val="523972F2"/>
    <w:rsid w:val="523F6E50"/>
    <w:rsid w:val="52505313"/>
    <w:rsid w:val="525435D7"/>
    <w:rsid w:val="52742DDF"/>
    <w:rsid w:val="527F703D"/>
    <w:rsid w:val="528F5047"/>
    <w:rsid w:val="52913DAF"/>
    <w:rsid w:val="52961FB9"/>
    <w:rsid w:val="529800DC"/>
    <w:rsid w:val="529A3F2C"/>
    <w:rsid w:val="52A826F7"/>
    <w:rsid w:val="52AA6E83"/>
    <w:rsid w:val="52AD36E4"/>
    <w:rsid w:val="52BB15D0"/>
    <w:rsid w:val="52BB28DC"/>
    <w:rsid w:val="52C53B9D"/>
    <w:rsid w:val="52C855E8"/>
    <w:rsid w:val="52E7541B"/>
    <w:rsid w:val="52F073C5"/>
    <w:rsid w:val="53052F13"/>
    <w:rsid w:val="53065AAA"/>
    <w:rsid w:val="53122FAE"/>
    <w:rsid w:val="53296276"/>
    <w:rsid w:val="53356E1A"/>
    <w:rsid w:val="533A4AA1"/>
    <w:rsid w:val="5344091B"/>
    <w:rsid w:val="53770A35"/>
    <w:rsid w:val="5379073A"/>
    <w:rsid w:val="537E55A7"/>
    <w:rsid w:val="537F7C63"/>
    <w:rsid w:val="53853869"/>
    <w:rsid w:val="538A6D90"/>
    <w:rsid w:val="538C3904"/>
    <w:rsid w:val="538F54F6"/>
    <w:rsid w:val="53955B4C"/>
    <w:rsid w:val="539B0803"/>
    <w:rsid w:val="53AE355F"/>
    <w:rsid w:val="53BB50AC"/>
    <w:rsid w:val="53C07187"/>
    <w:rsid w:val="53C65909"/>
    <w:rsid w:val="53D511A6"/>
    <w:rsid w:val="53D64BCB"/>
    <w:rsid w:val="53D74570"/>
    <w:rsid w:val="53EC0BD9"/>
    <w:rsid w:val="54041B2C"/>
    <w:rsid w:val="540956A3"/>
    <w:rsid w:val="5413091F"/>
    <w:rsid w:val="54143A3A"/>
    <w:rsid w:val="541E54CB"/>
    <w:rsid w:val="54211871"/>
    <w:rsid w:val="542E16B3"/>
    <w:rsid w:val="542E68AD"/>
    <w:rsid w:val="54397FB7"/>
    <w:rsid w:val="5443213D"/>
    <w:rsid w:val="544A6DB4"/>
    <w:rsid w:val="544F55EE"/>
    <w:rsid w:val="546B1B8B"/>
    <w:rsid w:val="54845B20"/>
    <w:rsid w:val="54866DF9"/>
    <w:rsid w:val="548F103B"/>
    <w:rsid w:val="54907CF5"/>
    <w:rsid w:val="54927FDC"/>
    <w:rsid w:val="54933219"/>
    <w:rsid w:val="549E4844"/>
    <w:rsid w:val="54A354B4"/>
    <w:rsid w:val="54A529FA"/>
    <w:rsid w:val="54A77B63"/>
    <w:rsid w:val="54AA0D3A"/>
    <w:rsid w:val="54AA4C87"/>
    <w:rsid w:val="54B4091C"/>
    <w:rsid w:val="54B67B86"/>
    <w:rsid w:val="54C5698F"/>
    <w:rsid w:val="54D658E7"/>
    <w:rsid w:val="54DA6330"/>
    <w:rsid w:val="54DD5A7F"/>
    <w:rsid w:val="54E01F6A"/>
    <w:rsid w:val="54E473F5"/>
    <w:rsid w:val="54E51762"/>
    <w:rsid w:val="54F324AC"/>
    <w:rsid w:val="54F845A7"/>
    <w:rsid w:val="54FD5F5A"/>
    <w:rsid w:val="54FE5688"/>
    <w:rsid w:val="55052CC3"/>
    <w:rsid w:val="550728D9"/>
    <w:rsid w:val="550B1FA2"/>
    <w:rsid w:val="550B4597"/>
    <w:rsid w:val="5516017D"/>
    <w:rsid w:val="553B449B"/>
    <w:rsid w:val="553E17BB"/>
    <w:rsid w:val="55441857"/>
    <w:rsid w:val="554C2D96"/>
    <w:rsid w:val="554D5B69"/>
    <w:rsid w:val="555E0A5F"/>
    <w:rsid w:val="556709D9"/>
    <w:rsid w:val="55744BF0"/>
    <w:rsid w:val="55813304"/>
    <w:rsid w:val="55833B3E"/>
    <w:rsid w:val="55845D3B"/>
    <w:rsid w:val="558943D7"/>
    <w:rsid w:val="55910011"/>
    <w:rsid w:val="559A7000"/>
    <w:rsid w:val="559C2307"/>
    <w:rsid w:val="559C3590"/>
    <w:rsid w:val="559E19D9"/>
    <w:rsid w:val="55A67AAC"/>
    <w:rsid w:val="55A860E4"/>
    <w:rsid w:val="55AC79AC"/>
    <w:rsid w:val="55B14967"/>
    <w:rsid w:val="55B2673A"/>
    <w:rsid w:val="55C018F1"/>
    <w:rsid w:val="55C33F14"/>
    <w:rsid w:val="55C51D6D"/>
    <w:rsid w:val="55C67DF5"/>
    <w:rsid w:val="55C74577"/>
    <w:rsid w:val="55CD1F6F"/>
    <w:rsid w:val="55CF7A91"/>
    <w:rsid w:val="55E20FD9"/>
    <w:rsid w:val="55EE10FA"/>
    <w:rsid w:val="56205EBA"/>
    <w:rsid w:val="56213224"/>
    <w:rsid w:val="56244555"/>
    <w:rsid w:val="56277430"/>
    <w:rsid w:val="562E599A"/>
    <w:rsid w:val="562F04C3"/>
    <w:rsid w:val="56313ED1"/>
    <w:rsid w:val="5639469D"/>
    <w:rsid w:val="56487FFB"/>
    <w:rsid w:val="564C6CE0"/>
    <w:rsid w:val="564F1DD0"/>
    <w:rsid w:val="565D31A8"/>
    <w:rsid w:val="56650FBB"/>
    <w:rsid w:val="56694C24"/>
    <w:rsid w:val="5671356F"/>
    <w:rsid w:val="56751058"/>
    <w:rsid w:val="567F297D"/>
    <w:rsid w:val="568B3C8D"/>
    <w:rsid w:val="56963F1B"/>
    <w:rsid w:val="56964D1D"/>
    <w:rsid w:val="569F5B9C"/>
    <w:rsid w:val="56A43C0D"/>
    <w:rsid w:val="56AF28F7"/>
    <w:rsid w:val="56B179DD"/>
    <w:rsid w:val="56B52F1D"/>
    <w:rsid w:val="56CC174A"/>
    <w:rsid w:val="56D47DAA"/>
    <w:rsid w:val="56E76D43"/>
    <w:rsid w:val="56F04877"/>
    <w:rsid w:val="56F43B79"/>
    <w:rsid w:val="56F4656B"/>
    <w:rsid w:val="56FD22AA"/>
    <w:rsid w:val="57066AA7"/>
    <w:rsid w:val="570E6A90"/>
    <w:rsid w:val="57240988"/>
    <w:rsid w:val="572C1D4D"/>
    <w:rsid w:val="5732255E"/>
    <w:rsid w:val="5738520C"/>
    <w:rsid w:val="57392044"/>
    <w:rsid w:val="573B14C2"/>
    <w:rsid w:val="573C5F8B"/>
    <w:rsid w:val="57417A0B"/>
    <w:rsid w:val="574B4B48"/>
    <w:rsid w:val="574B7272"/>
    <w:rsid w:val="57587E7C"/>
    <w:rsid w:val="57613FE3"/>
    <w:rsid w:val="57675A05"/>
    <w:rsid w:val="5769323C"/>
    <w:rsid w:val="577A0E21"/>
    <w:rsid w:val="57807FEA"/>
    <w:rsid w:val="57833DCE"/>
    <w:rsid w:val="57884A60"/>
    <w:rsid w:val="578B2EAF"/>
    <w:rsid w:val="57A529AE"/>
    <w:rsid w:val="57B90B24"/>
    <w:rsid w:val="57C52852"/>
    <w:rsid w:val="57CB63E7"/>
    <w:rsid w:val="57CD1561"/>
    <w:rsid w:val="57D51E20"/>
    <w:rsid w:val="57DA78C0"/>
    <w:rsid w:val="57E02C93"/>
    <w:rsid w:val="57E44D88"/>
    <w:rsid w:val="57E611E8"/>
    <w:rsid w:val="57F145CA"/>
    <w:rsid w:val="57F65D5C"/>
    <w:rsid w:val="57F80D12"/>
    <w:rsid w:val="57F94CA0"/>
    <w:rsid w:val="580044F4"/>
    <w:rsid w:val="58042EB6"/>
    <w:rsid w:val="58087351"/>
    <w:rsid w:val="581A1322"/>
    <w:rsid w:val="58244E33"/>
    <w:rsid w:val="58300776"/>
    <w:rsid w:val="58300E4A"/>
    <w:rsid w:val="5832169E"/>
    <w:rsid w:val="583E3225"/>
    <w:rsid w:val="58420F9B"/>
    <w:rsid w:val="584B6339"/>
    <w:rsid w:val="58521F9E"/>
    <w:rsid w:val="585711A2"/>
    <w:rsid w:val="585B059D"/>
    <w:rsid w:val="58621F7E"/>
    <w:rsid w:val="5869138A"/>
    <w:rsid w:val="58692147"/>
    <w:rsid w:val="586B42FC"/>
    <w:rsid w:val="587246E1"/>
    <w:rsid w:val="587271C1"/>
    <w:rsid w:val="588562F7"/>
    <w:rsid w:val="588E4E09"/>
    <w:rsid w:val="589936D6"/>
    <w:rsid w:val="58B02697"/>
    <w:rsid w:val="58B34857"/>
    <w:rsid w:val="58BE6380"/>
    <w:rsid w:val="58C800C8"/>
    <w:rsid w:val="58E8129F"/>
    <w:rsid w:val="58F717F7"/>
    <w:rsid w:val="58F740FA"/>
    <w:rsid w:val="58FB58BB"/>
    <w:rsid w:val="5902195F"/>
    <w:rsid w:val="59124F2C"/>
    <w:rsid w:val="5918350F"/>
    <w:rsid w:val="591C41D0"/>
    <w:rsid w:val="591D7A0A"/>
    <w:rsid w:val="59295DAB"/>
    <w:rsid w:val="593A697F"/>
    <w:rsid w:val="59422BBB"/>
    <w:rsid w:val="59440359"/>
    <w:rsid w:val="5944340C"/>
    <w:rsid w:val="594B1005"/>
    <w:rsid w:val="59625B5B"/>
    <w:rsid w:val="596E41C9"/>
    <w:rsid w:val="59737535"/>
    <w:rsid w:val="59816F10"/>
    <w:rsid w:val="598335D5"/>
    <w:rsid w:val="59927FEE"/>
    <w:rsid w:val="599454E3"/>
    <w:rsid w:val="5998521B"/>
    <w:rsid w:val="59A903FD"/>
    <w:rsid w:val="59C10E3B"/>
    <w:rsid w:val="59C261CB"/>
    <w:rsid w:val="59C94729"/>
    <w:rsid w:val="59C96E8A"/>
    <w:rsid w:val="59CA2CED"/>
    <w:rsid w:val="59D3626A"/>
    <w:rsid w:val="59DB3E39"/>
    <w:rsid w:val="59DD4851"/>
    <w:rsid w:val="59DF0B89"/>
    <w:rsid w:val="59F32F2D"/>
    <w:rsid w:val="59F56F34"/>
    <w:rsid w:val="59FB3A4A"/>
    <w:rsid w:val="5A17494B"/>
    <w:rsid w:val="5A1841B6"/>
    <w:rsid w:val="5A1C2BD5"/>
    <w:rsid w:val="5A2C066C"/>
    <w:rsid w:val="5A315424"/>
    <w:rsid w:val="5A31629C"/>
    <w:rsid w:val="5A3648CB"/>
    <w:rsid w:val="5A3F466D"/>
    <w:rsid w:val="5A4B3CAE"/>
    <w:rsid w:val="5A650FC0"/>
    <w:rsid w:val="5A673932"/>
    <w:rsid w:val="5A796880"/>
    <w:rsid w:val="5A8072DC"/>
    <w:rsid w:val="5A8D0F14"/>
    <w:rsid w:val="5A9756BD"/>
    <w:rsid w:val="5A9C5EA1"/>
    <w:rsid w:val="5AA2476F"/>
    <w:rsid w:val="5AB7537F"/>
    <w:rsid w:val="5ABD4B43"/>
    <w:rsid w:val="5ABD62CE"/>
    <w:rsid w:val="5ABE7E1B"/>
    <w:rsid w:val="5AC95939"/>
    <w:rsid w:val="5ACA2DC6"/>
    <w:rsid w:val="5AD0086E"/>
    <w:rsid w:val="5AD7316F"/>
    <w:rsid w:val="5ADB005D"/>
    <w:rsid w:val="5ADD2038"/>
    <w:rsid w:val="5AEC0BE8"/>
    <w:rsid w:val="5AF86ED4"/>
    <w:rsid w:val="5B055788"/>
    <w:rsid w:val="5B103576"/>
    <w:rsid w:val="5B1274C8"/>
    <w:rsid w:val="5B1647AE"/>
    <w:rsid w:val="5B2568B6"/>
    <w:rsid w:val="5B263BC0"/>
    <w:rsid w:val="5B280010"/>
    <w:rsid w:val="5B303DC6"/>
    <w:rsid w:val="5B4C7D76"/>
    <w:rsid w:val="5B574D68"/>
    <w:rsid w:val="5B5C1FB2"/>
    <w:rsid w:val="5B62573A"/>
    <w:rsid w:val="5B6D4370"/>
    <w:rsid w:val="5B763768"/>
    <w:rsid w:val="5B854564"/>
    <w:rsid w:val="5B8552D4"/>
    <w:rsid w:val="5B8829D5"/>
    <w:rsid w:val="5B8A78C3"/>
    <w:rsid w:val="5B8B4149"/>
    <w:rsid w:val="5B8C4224"/>
    <w:rsid w:val="5B8D1FD6"/>
    <w:rsid w:val="5B904078"/>
    <w:rsid w:val="5B912F28"/>
    <w:rsid w:val="5B9143C6"/>
    <w:rsid w:val="5B950720"/>
    <w:rsid w:val="5B983002"/>
    <w:rsid w:val="5BAA1356"/>
    <w:rsid w:val="5BB055E7"/>
    <w:rsid w:val="5BB64E0F"/>
    <w:rsid w:val="5BB9179D"/>
    <w:rsid w:val="5BCD7313"/>
    <w:rsid w:val="5BCF180A"/>
    <w:rsid w:val="5BD21D4F"/>
    <w:rsid w:val="5BD934E5"/>
    <w:rsid w:val="5BDC4A3D"/>
    <w:rsid w:val="5BDD5AA5"/>
    <w:rsid w:val="5BDF37E0"/>
    <w:rsid w:val="5BE135B0"/>
    <w:rsid w:val="5BE5738E"/>
    <w:rsid w:val="5BE57919"/>
    <w:rsid w:val="5BE91B7A"/>
    <w:rsid w:val="5BF02FC3"/>
    <w:rsid w:val="5BF20804"/>
    <w:rsid w:val="5BF96315"/>
    <w:rsid w:val="5C007A19"/>
    <w:rsid w:val="5C061599"/>
    <w:rsid w:val="5C075A36"/>
    <w:rsid w:val="5C0A3FE8"/>
    <w:rsid w:val="5C0C69DD"/>
    <w:rsid w:val="5C0F7CEF"/>
    <w:rsid w:val="5C192F91"/>
    <w:rsid w:val="5C28782A"/>
    <w:rsid w:val="5C29499E"/>
    <w:rsid w:val="5C2A09D3"/>
    <w:rsid w:val="5C3435DF"/>
    <w:rsid w:val="5C366A07"/>
    <w:rsid w:val="5C413AF6"/>
    <w:rsid w:val="5C4902AA"/>
    <w:rsid w:val="5C4921B5"/>
    <w:rsid w:val="5C493933"/>
    <w:rsid w:val="5C531C4F"/>
    <w:rsid w:val="5C564DB9"/>
    <w:rsid w:val="5C5820A8"/>
    <w:rsid w:val="5C697295"/>
    <w:rsid w:val="5C6E2BA7"/>
    <w:rsid w:val="5C713A4E"/>
    <w:rsid w:val="5C7A5843"/>
    <w:rsid w:val="5C7B26FA"/>
    <w:rsid w:val="5C8B3CE0"/>
    <w:rsid w:val="5C8C7C2E"/>
    <w:rsid w:val="5C8E31C1"/>
    <w:rsid w:val="5C915592"/>
    <w:rsid w:val="5CA27F25"/>
    <w:rsid w:val="5CA87005"/>
    <w:rsid w:val="5CB76F4D"/>
    <w:rsid w:val="5CB9021B"/>
    <w:rsid w:val="5CBE507C"/>
    <w:rsid w:val="5CC4696B"/>
    <w:rsid w:val="5CC679CD"/>
    <w:rsid w:val="5CCA3F23"/>
    <w:rsid w:val="5CCA4E85"/>
    <w:rsid w:val="5CD01F00"/>
    <w:rsid w:val="5CE96177"/>
    <w:rsid w:val="5CEC6D18"/>
    <w:rsid w:val="5CF357A4"/>
    <w:rsid w:val="5CF834E9"/>
    <w:rsid w:val="5D014A4B"/>
    <w:rsid w:val="5D094C2B"/>
    <w:rsid w:val="5D1E62BE"/>
    <w:rsid w:val="5D2240FB"/>
    <w:rsid w:val="5D394E1E"/>
    <w:rsid w:val="5D3A0316"/>
    <w:rsid w:val="5D3F27BC"/>
    <w:rsid w:val="5D405402"/>
    <w:rsid w:val="5D41329E"/>
    <w:rsid w:val="5D4C6B10"/>
    <w:rsid w:val="5D573CAE"/>
    <w:rsid w:val="5D5D7ED7"/>
    <w:rsid w:val="5D64347F"/>
    <w:rsid w:val="5D67366C"/>
    <w:rsid w:val="5D6D6F6B"/>
    <w:rsid w:val="5D753156"/>
    <w:rsid w:val="5D80303B"/>
    <w:rsid w:val="5D824E2D"/>
    <w:rsid w:val="5D8916F9"/>
    <w:rsid w:val="5D946F77"/>
    <w:rsid w:val="5DA2115E"/>
    <w:rsid w:val="5DA24670"/>
    <w:rsid w:val="5DA440D0"/>
    <w:rsid w:val="5DA46F33"/>
    <w:rsid w:val="5DA87E54"/>
    <w:rsid w:val="5DAD4973"/>
    <w:rsid w:val="5DB815B7"/>
    <w:rsid w:val="5DB828EB"/>
    <w:rsid w:val="5DC726D6"/>
    <w:rsid w:val="5DC91CAB"/>
    <w:rsid w:val="5DDB0240"/>
    <w:rsid w:val="5DE51A4E"/>
    <w:rsid w:val="5DE6209F"/>
    <w:rsid w:val="5DEB6DAA"/>
    <w:rsid w:val="5DF30008"/>
    <w:rsid w:val="5DFC414B"/>
    <w:rsid w:val="5E0303E5"/>
    <w:rsid w:val="5E112E3A"/>
    <w:rsid w:val="5E144C9F"/>
    <w:rsid w:val="5E272270"/>
    <w:rsid w:val="5E2D6D72"/>
    <w:rsid w:val="5E32322F"/>
    <w:rsid w:val="5E327113"/>
    <w:rsid w:val="5E407C7E"/>
    <w:rsid w:val="5E451DC5"/>
    <w:rsid w:val="5E492982"/>
    <w:rsid w:val="5E4E1292"/>
    <w:rsid w:val="5E501D1F"/>
    <w:rsid w:val="5E5E1542"/>
    <w:rsid w:val="5E602996"/>
    <w:rsid w:val="5E607523"/>
    <w:rsid w:val="5E6120B7"/>
    <w:rsid w:val="5E61260F"/>
    <w:rsid w:val="5E6647E7"/>
    <w:rsid w:val="5E682BDC"/>
    <w:rsid w:val="5E6914BF"/>
    <w:rsid w:val="5E701BB1"/>
    <w:rsid w:val="5E723751"/>
    <w:rsid w:val="5E7319AD"/>
    <w:rsid w:val="5E801BC7"/>
    <w:rsid w:val="5E853A63"/>
    <w:rsid w:val="5E853E15"/>
    <w:rsid w:val="5E861119"/>
    <w:rsid w:val="5E92224E"/>
    <w:rsid w:val="5E9D6C98"/>
    <w:rsid w:val="5EA855E4"/>
    <w:rsid w:val="5EC842E9"/>
    <w:rsid w:val="5ED12057"/>
    <w:rsid w:val="5ED1337F"/>
    <w:rsid w:val="5ED30052"/>
    <w:rsid w:val="5EE05CDC"/>
    <w:rsid w:val="5EEF38FF"/>
    <w:rsid w:val="5EF255A8"/>
    <w:rsid w:val="5EFA3673"/>
    <w:rsid w:val="5EFE2AC0"/>
    <w:rsid w:val="5F0020CC"/>
    <w:rsid w:val="5F0420CC"/>
    <w:rsid w:val="5F0C4F19"/>
    <w:rsid w:val="5F13572D"/>
    <w:rsid w:val="5F2111B6"/>
    <w:rsid w:val="5F3061A5"/>
    <w:rsid w:val="5F340F19"/>
    <w:rsid w:val="5F356E98"/>
    <w:rsid w:val="5F373469"/>
    <w:rsid w:val="5F497FAD"/>
    <w:rsid w:val="5F4A0DD7"/>
    <w:rsid w:val="5F5879C9"/>
    <w:rsid w:val="5F6863F8"/>
    <w:rsid w:val="5F726337"/>
    <w:rsid w:val="5F7A3694"/>
    <w:rsid w:val="5F7C4067"/>
    <w:rsid w:val="5F907269"/>
    <w:rsid w:val="5F97792E"/>
    <w:rsid w:val="5F993E2F"/>
    <w:rsid w:val="5F9C6526"/>
    <w:rsid w:val="5FA50C64"/>
    <w:rsid w:val="5FA63D9C"/>
    <w:rsid w:val="5FAC6581"/>
    <w:rsid w:val="5FAD3AEA"/>
    <w:rsid w:val="5FB00978"/>
    <w:rsid w:val="5FB16D7D"/>
    <w:rsid w:val="5FB707AE"/>
    <w:rsid w:val="5FD4282A"/>
    <w:rsid w:val="5FD6373B"/>
    <w:rsid w:val="5FDB03C6"/>
    <w:rsid w:val="5FEE7A29"/>
    <w:rsid w:val="5FEF7737"/>
    <w:rsid w:val="60001F80"/>
    <w:rsid w:val="60157BC5"/>
    <w:rsid w:val="601D4F9E"/>
    <w:rsid w:val="602A619A"/>
    <w:rsid w:val="60312D7B"/>
    <w:rsid w:val="60430D8F"/>
    <w:rsid w:val="604443B0"/>
    <w:rsid w:val="60464497"/>
    <w:rsid w:val="60506E95"/>
    <w:rsid w:val="60537357"/>
    <w:rsid w:val="606478AE"/>
    <w:rsid w:val="60697C8D"/>
    <w:rsid w:val="607656AE"/>
    <w:rsid w:val="60777F4B"/>
    <w:rsid w:val="607A64DA"/>
    <w:rsid w:val="60884EB9"/>
    <w:rsid w:val="608B3797"/>
    <w:rsid w:val="60902A86"/>
    <w:rsid w:val="60A55C79"/>
    <w:rsid w:val="60C520E0"/>
    <w:rsid w:val="60CB7A76"/>
    <w:rsid w:val="60CF3392"/>
    <w:rsid w:val="60CF4F43"/>
    <w:rsid w:val="60D050D9"/>
    <w:rsid w:val="60D1519C"/>
    <w:rsid w:val="60D30B01"/>
    <w:rsid w:val="60D60457"/>
    <w:rsid w:val="60DA71BB"/>
    <w:rsid w:val="60DD3862"/>
    <w:rsid w:val="60E7548A"/>
    <w:rsid w:val="60EB314B"/>
    <w:rsid w:val="60F50A49"/>
    <w:rsid w:val="60F6247C"/>
    <w:rsid w:val="60FD43BF"/>
    <w:rsid w:val="6102390F"/>
    <w:rsid w:val="610A03BD"/>
    <w:rsid w:val="610E2650"/>
    <w:rsid w:val="611D2541"/>
    <w:rsid w:val="6123315D"/>
    <w:rsid w:val="612B5363"/>
    <w:rsid w:val="61306D4F"/>
    <w:rsid w:val="61353D4A"/>
    <w:rsid w:val="613D73D3"/>
    <w:rsid w:val="613F224D"/>
    <w:rsid w:val="61484C0F"/>
    <w:rsid w:val="61655B26"/>
    <w:rsid w:val="61874A08"/>
    <w:rsid w:val="618A57FE"/>
    <w:rsid w:val="619A1C39"/>
    <w:rsid w:val="619C5EAE"/>
    <w:rsid w:val="61A52EA9"/>
    <w:rsid w:val="61A5314A"/>
    <w:rsid w:val="61AA552C"/>
    <w:rsid w:val="61DF3461"/>
    <w:rsid w:val="61E46D57"/>
    <w:rsid w:val="61F37242"/>
    <w:rsid w:val="61F61542"/>
    <w:rsid w:val="61F649E3"/>
    <w:rsid w:val="61F85543"/>
    <w:rsid w:val="61FA6816"/>
    <w:rsid w:val="61FF4C7C"/>
    <w:rsid w:val="62075528"/>
    <w:rsid w:val="62122B7D"/>
    <w:rsid w:val="621B03CC"/>
    <w:rsid w:val="621D79A3"/>
    <w:rsid w:val="621E4D5E"/>
    <w:rsid w:val="621F5761"/>
    <w:rsid w:val="622327B8"/>
    <w:rsid w:val="623657B8"/>
    <w:rsid w:val="6238661A"/>
    <w:rsid w:val="62415132"/>
    <w:rsid w:val="62444B97"/>
    <w:rsid w:val="624721BC"/>
    <w:rsid w:val="624E2191"/>
    <w:rsid w:val="62554F9C"/>
    <w:rsid w:val="6256562A"/>
    <w:rsid w:val="625B2FC4"/>
    <w:rsid w:val="625B7BB1"/>
    <w:rsid w:val="625C5B39"/>
    <w:rsid w:val="626F5DF9"/>
    <w:rsid w:val="627A4A82"/>
    <w:rsid w:val="627B74AB"/>
    <w:rsid w:val="62862020"/>
    <w:rsid w:val="629B73AC"/>
    <w:rsid w:val="62A464DE"/>
    <w:rsid w:val="62AA4ADD"/>
    <w:rsid w:val="62AE1283"/>
    <w:rsid w:val="62B87CBC"/>
    <w:rsid w:val="62C250A2"/>
    <w:rsid w:val="62CE765A"/>
    <w:rsid w:val="62D600AD"/>
    <w:rsid w:val="62DF7C4F"/>
    <w:rsid w:val="62E21E92"/>
    <w:rsid w:val="62E319FD"/>
    <w:rsid w:val="62EB776E"/>
    <w:rsid w:val="62F822B8"/>
    <w:rsid w:val="630C0BB5"/>
    <w:rsid w:val="630E6ED4"/>
    <w:rsid w:val="6310345E"/>
    <w:rsid w:val="631A66BE"/>
    <w:rsid w:val="631E7E42"/>
    <w:rsid w:val="63264190"/>
    <w:rsid w:val="632C751D"/>
    <w:rsid w:val="6331107E"/>
    <w:rsid w:val="63394B25"/>
    <w:rsid w:val="633A74F8"/>
    <w:rsid w:val="634436DA"/>
    <w:rsid w:val="634761CF"/>
    <w:rsid w:val="63503374"/>
    <w:rsid w:val="63627B28"/>
    <w:rsid w:val="636367F6"/>
    <w:rsid w:val="636B7B77"/>
    <w:rsid w:val="63705E01"/>
    <w:rsid w:val="63766080"/>
    <w:rsid w:val="6388305A"/>
    <w:rsid w:val="639D7752"/>
    <w:rsid w:val="639F596D"/>
    <w:rsid w:val="63A32BE6"/>
    <w:rsid w:val="63A6317B"/>
    <w:rsid w:val="63AC41F0"/>
    <w:rsid w:val="63B3794F"/>
    <w:rsid w:val="63B42878"/>
    <w:rsid w:val="63B81B91"/>
    <w:rsid w:val="63C61AA5"/>
    <w:rsid w:val="63CA4565"/>
    <w:rsid w:val="63D8429F"/>
    <w:rsid w:val="63DF1127"/>
    <w:rsid w:val="63E201FF"/>
    <w:rsid w:val="63EA78E2"/>
    <w:rsid w:val="63ED6D21"/>
    <w:rsid w:val="63F253AA"/>
    <w:rsid w:val="63FE67A4"/>
    <w:rsid w:val="63FF13EF"/>
    <w:rsid w:val="63FF7190"/>
    <w:rsid w:val="64002FB4"/>
    <w:rsid w:val="640B491E"/>
    <w:rsid w:val="641259E3"/>
    <w:rsid w:val="64203AB5"/>
    <w:rsid w:val="642F149C"/>
    <w:rsid w:val="643B4E3B"/>
    <w:rsid w:val="64490F42"/>
    <w:rsid w:val="64552344"/>
    <w:rsid w:val="645A632F"/>
    <w:rsid w:val="646D0626"/>
    <w:rsid w:val="646D42FB"/>
    <w:rsid w:val="647F655C"/>
    <w:rsid w:val="649E5385"/>
    <w:rsid w:val="649E796C"/>
    <w:rsid w:val="64AE1B7C"/>
    <w:rsid w:val="64AF31D6"/>
    <w:rsid w:val="64B21EF7"/>
    <w:rsid w:val="64B30426"/>
    <w:rsid w:val="64C17A83"/>
    <w:rsid w:val="64C5315D"/>
    <w:rsid w:val="64C56ADD"/>
    <w:rsid w:val="64CF7B00"/>
    <w:rsid w:val="64D46D4B"/>
    <w:rsid w:val="64E723A4"/>
    <w:rsid w:val="64E77A56"/>
    <w:rsid w:val="64F3053C"/>
    <w:rsid w:val="64F362C3"/>
    <w:rsid w:val="65085608"/>
    <w:rsid w:val="650B3B7E"/>
    <w:rsid w:val="650C2246"/>
    <w:rsid w:val="650D45DC"/>
    <w:rsid w:val="65125098"/>
    <w:rsid w:val="65136487"/>
    <w:rsid w:val="651D78E2"/>
    <w:rsid w:val="65283356"/>
    <w:rsid w:val="65287AF6"/>
    <w:rsid w:val="652E420B"/>
    <w:rsid w:val="65354B29"/>
    <w:rsid w:val="653D07D8"/>
    <w:rsid w:val="654620A4"/>
    <w:rsid w:val="65465F20"/>
    <w:rsid w:val="654E7B30"/>
    <w:rsid w:val="6559178C"/>
    <w:rsid w:val="655D3287"/>
    <w:rsid w:val="65640929"/>
    <w:rsid w:val="65792FD8"/>
    <w:rsid w:val="65812033"/>
    <w:rsid w:val="659165D8"/>
    <w:rsid w:val="659264E6"/>
    <w:rsid w:val="65971923"/>
    <w:rsid w:val="659943C1"/>
    <w:rsid w:val="65996D67"/>
    <w:rsid w:val="659A4C69"/>
    <w:rsid w:val="65A920E1"/>
    <w:rsid w:val="65A93985"/>
    <w:rsid w:val="65AE6280"/>
    <w:rsid w:val="65B61A11"/>
    <w:rsid w:val="65B85280"/>
    <w:rsid w:val="65B9781F"/>
    <w:rsid w:val="65BA1670"/>
    <w:rsid w:val="65BD07FC"/>
    <w:rsid w:val="65BF666A"/>
    <w:rsid w:val="65C82055"/>
    <w:rsid w:val="65C8677F"/>
    <w:rsid w:val="65CC4882"/>
    <w:rsid w:val="65D01AC7"/>
    <w:rsid w:val="65DA35DE"/>
    <w:rsid w:val="65DA5B91"/>
    <w:rsid w:val="65DC7380"/>
    <w:rsid w:val="65DF525A"/>
    <w:rsid w:val="65E064BA"/>
    <w:rsid w:val="65EB77B3"/>
    <w:rsid w:val="65F964E7"/>
    <w:rsid w:val="65FB66B6"/>
    <w:rsid w:val="65FC7CE6"/>
    <w:rsid w:val="66012783"/>
    <w:rsid w:val="6605194F"/>
    <w:rsid w:val="66070306"/>
    <w:rsid w:val="662238A4"/>
    <w:rsid w:val="66265EE1"/>
    <w:rsid w:val="662B6476"/>
    <w:rsid w:val="66382EC7"/>
    <w:rsid w:val="66451336"/>
    <w:rsid w:val="664A7B65"/>
    <w:rsid w:val="664F24CC"/>
    <w:rsid w:val="665B55DD"/>
    <w:rsid w:val="665C7523"/>
    <w:rsid w:val="666040F8"/>
    <w:rsid w:val="66666CE6"/>
    <w:rsid w:val="66745BD9"/>
    <w:rsid w:val="667F061F"/>
    <w:rsid w:val="667F52BD"/>
    <w:rsid w:val="66814D52"/>
    <w:rsid w:val="66887883"/>
    <w:rsid w:val="668D4E5B"/>
    <w:rsid w:val="668F17F1"/>
    <w:rsid w:val="668F4BCC"/>
    <w:rsid w:val="66903C84"/>
    <w:rsid w:val="66A57E7A"/>
    <w:rsid w:val="66AA2E1B"/>
    <w:rsid w:val="66AA3789"/>
    <w:rsid w:val="66AD7DF2"/>
    <w:rsid w:val="66B84BED"/>
    <w:rsid w:val="66B94565"/>
    <w:rsid w:val="66BC4EDD"/>
    <w:rsid w:val="66C50DC3"/>
    <w:rsid w:val="66C76EAF"/>
    <w:rsid w:val="66D16214"/>
    <w:rsid w:val="66D22DDC"/>
    <w:rsid w:val="66D25ECE"/>
    <w:rsid w:val="66D86216"/>
    <w:rsid w:val="66D947DA"/>
    <w:rsid w:val="66D94921"/>
    <w:rsid w:val="66EA7A2D"/>
    <w:rsid w:val="67017F95"/>
    <w:rsid w:val="6707201B"/>
    <w:rsid w:val="672162C1"/>
    <w:rsid w:val="67270E61"/>
    <w:rsid w:val="67272774"/>
    <w:rsid w:val="672F1572"/>
    <w:rsid w:val="67301B70"/>
    <w:rsid w:val="67444DE7"/>
    <w:rsid w:val="67452C80"/>
    <w:rsid w:val="6765673D"/>
    <w:rsid w:val="677D0917"/>
    <w:rsid w:val="67810DF0"/>
    <w:rsid w:val="678C7530"/>
    <w:rsid w:val="678C75D6"/>
    <w:rsid w:val="67947BE6"/>
    <w:rsid w:val="67A16D3E"/>
    <w:rsid w:val="67AC19E7"/>
    <w:rsid w:val="67AE470C"/>
    <w:rsid w:val="67B13A34"/>
    <w:rsid w:val="67B760C0"/>
    <w:rsid w:val="67C66474"/>
    <w:rsid w:val="67C761C4"/>
    <w:rsid w:val="67CB32B7"/>
    <w:rsid w:val="67EE2F7F"/>
    <w:rsid w:val="67F52791"/>
    <w:rsid w:val="67F64D7B"/>
    <w:rsid w:val="67FC0B42"/>
    <w:rsid w:val="68091278"/>
    <w:rsid w:val="6816694D"/>
    <w:rsid w:val="681C4628"/>
    <w:rsid w:val="681D0B01"/>
    <w:rsid w:val="68215539"/>
    <w:rsid w:val="68451EFB"/>
    <w:rsid w:val="68464DC5"/>
    <w:rsid w:val="68496680"/>
    <w:rsid w:val="684A3EDE"/>
    <w:rsid w:val="68502B43"/>
    <w:rsid w:val="68503C5F"/>
    <w:rsid w:val="68511587"/>
    <w:rsid w:val="685662AA"/>
    <w:rsid w:val="6858720E"/>
    <w:rsid w:val="68675A2B"/>
    <w:rsid w:val="686E7C18"/>
    <w:rsid w:val="6871070A"/>
    <w:rsid w:val="68841906"/>
    <w:rsid w:val="68860406"/>
    <w:rsid w:val="6886382E"/>
    <w:rsid w:val="688867E2"/>
    <w:rsid w:val="68936EA6"/>
    <w:rsid w:val="68951BC0"/>
    <w:rsid w:val="689A7E1A"/>
    <w:rsid w:val="689E1749"/>
    <w:rsid w:val="68A45244"/>
    <w:rsid w:val="68A742ED"/>
    <w:rsid w:val="68AA2317"/>
    <w:rsid w:val="68AF57CA"/>
    <w:rsid w:val="68B27663"/>
    <w:rsid w:val="68B63D46"/>
    <w:rsid w:val="68B71517"/>
    <w:rsid w:val="68B91026"/>
    <w:rsid w:val="68CA6CF5"/>
    <w:rsid w:val="68D31C2B"/>
    <w:rsid w:val="68EE0AE2"/>
    <w:rsid w:val="68EE4FFF"/>
    <w:rsid w:val="68F175E3"/>
    <w:rsid w:val="69004988"/>
    <w:rsid w:val="69180FED"/>
    <w:rsid w:val="693F3A06"/>
    <w:rsid w:val="694C640B"/>
    <w:rsid w:val="6956463D"/>
    <w:rsid w:val="695A0B14"/>
    <w:rsid w:val="695B173F"/>
    <w:rsid w:val="69662796"/>
    <w:rsid w:val="69780E8E"/>
    <w:rsid w:val="69787545"/>
    <w:rsid w:val="699F351D"/>
    <w:rsid w:val="69B06122"/>
    <w:rsid w:val="69C277E9"/>
    <w:rsid w:val="69C8369D"/>
    <w:rsid w:val="69CA4EF9"/>
    <w:rsid w:val="69D31D5A"/>
    <w:rsid w:val="69F111F5"/>
    <w:rsid w:val="69F41EE8"/>
    <w:rsid w:val="69F616D6"/>
    <w:rsid w:val="69F74F22"/>
    <w:rsid w:val="6A083C46"/>
    <w:rsid w:val="6A102F95"/>
    <w:rsid w:val="6A1457FA"/>
    <w:rsid w:val="6A1975F8"/>
    <w:rsid w:val="6A272403"/>
    <w:rsid w:val="6A3F454C"/>
    <w:rsid w:val="6A3F68F3"/>
    <w:rsid w:val="6A412B25"/>
    <w:rsid w:val="6A460625"/>
    <w:rsid w:val="6A46361D"/>
    <w:rsid w:val="6A4F2F78"/>
    <w:rsid w:val="6A4F3A53"/>
    <w:rsid w:val="6A5B4F4E"/>
    <w:rsid w:val="6A7D13B5"/>
    <w:rsid w:val="6A7E784C"/>
    <w:rsid w:val="6A834460"/>
    <w:rsid w:val="6A8B5C19"/>
    <w:rsid w:val="6A8D5266"/>
    <w:rsid w:val="6AA74886"/>
    <w:rsid w:val="6AA869A2"/>
    <w:rsid w:val="6AAC5A3C"/>
    <w:rsid w:val="6AAC6016"/>
    <w:rsid w:val="6ACB4713"/>
    <w:rsid w:val="6ADF0BB9"/>
    <w:rsid w:val="6AEF6322"/>
    <w:rsid w:val="6AF50AB2"/>
    <w:rsid w:val="6AF91610"/>
    <w:rsid w:val="6AFE54AF"/>
    <w:rsid w:val="6B04596C"/>
    <w:rsid w:val="6B065121"/>
    <w:rsid w:val="6B066542"/>
    <w:rsid w:val="6B073CBA"/>
    <w:rsid w:val="6B0A6AC7"/>
    <w:rsid w:val="6B0F5DCE"/>
    <w:rsid w:val="6B164D96"/>
    <w:rsid w:val="6B1F4057"/>
    <w:rsid w:val="6B202BE8"/>
    <w:rsid w:val="6B2205DC"/>
    <w:rsid w:val="6B366EC8"/>
    <w:rsid w:val="6B3875FD"/>
    <w:rsid w:val="6B387DF8"/>
    <w:rsid w:val="6B3D58CD"/>
    <w:rsid w:val="6B47528C"/>
    <w:rsid w:val="6B4B3F8A"/>
    <w:rsid w:val="6B574A9F"/>
    <w:rsid w:val="6B5A22FA"/>
    <w:rsid w:val="6B6A2BA7"/>
    <w:rsid w:val="6B762CC0"/>
    <w:rsid w:val="6B8046B7"/>
    <w:rsid w:val="6B84372A"/>
    <w:rsid w:val="6B8A6784"/>
    <w:rsid w:val="6B965409"/>
    <w:rsid w:val="6BA76C48"/>
    <w:rsid w:val="6BA7744F"/>
    <w:rsid w:val="6BA9067C"/>
    <w:rsid w:val="6BB556C1"/>
    <w:rsid w:val="6BB838E4"/>
    <w:rsid w:val="6BB93380"/>
    <w:rsid w:val="6BBC11E2"/>
    <w:rsid w:val="6BC541E0"/>
    <w:rsid w:val="6BC5783D"/>
    <w:rsid w:val="6BDB1118"/>
    <w:rsid w:val="6BDC5B59"/>
    <w:rsid w:val="6BDD2AC9"/>
    <w:rsid w:val="6BE44BFB"/>
    <w:rsid w:val="6BF06994"/>
    <w:rsid w:val="6BF44B49"/>
    <w:rsid w:val="6BFE2B33"/>
    <w:rsid w:val="6BFE34C5"/>
    <w:rsid w:val="6C026B38"/>
    <w:rsid w:val="6C067803"/>
    <w:rsid w:val="6C080E98"/>
    <w:rsid w:val="6C0A0CE6"/>
    <w:rsid w:val="6C0F45CE"/>
    <w:rsid w:val="6C2213CC"/>
    <w:rsid w:val="6C2878F8"/>
    <w:rsid w:val="6C4443DB"/>
    <w:rsid w:val="6C45780A"/>
    <w:rsid w:val="6C4D0C93"/>
    <w:rsid w:val="6C5F4A0C"/>
    <w:rsid w:val="6C6226CE"/>
    <w:rsid w:val="6C6440D1"/>
    <w:rsid w:val="6C6A54BB"/>
    <w:rsid w:val="6C7A6553"/>
    <w:rsid w:val="6C7B26E0"/>
    <w:rsid w:val="6C82376B"/>
    <w:rsid w:val="6C863D15"/>
    <w:rsid w:val="6C877A70"/>
    <w:rsid w:val="6C8A543D"/>
    <w:rsid w:val="6C8F2770"/>
    <w:rsid w:val="6C8F396D"/>
    <w:rsid w:val="6C937955"/>
    <w:rsid w:val="6C9736F1"/>
    <w:rsid w:val="6C9A1B93"/>
    <w:rsid w:val="6CA918BA"/>
    <w:rsid w:val="6CBB5414"/>
    <w:rsid w:val="6CC04222"/>
    <w:rsid w:val="6CC52FAB"/>
    <w:rsid w:val="6CDA2D92"/>
    <w:rsid w:val="6CDF4428"/>
    <w:rsid w:val="6CE711D1"/>
    <w:rsid w:val="6CEA6DDF"/>
    <w:rsid w:val="6CEE5C86"/>
    <w:rsid w:val="6CF163C2"/>
    <w:rsid w:val="6CF555B0"/>
    <w:rsid w:val="6D023972"/>
    <w:rsid w:val="6D127C0D"/>
    <w:rsid w:val="6D151CC7"/>
    <w:rsid w:val="6D171E64"/>
    <w:rsid w:val="6D1E3E67"/>
    <w:rsid w:val="6D283B0F"/>
    <w:rsid w:val="6D2A2C7F"/>
    <w:rsid w:val="6D2D5F6A"/>
    <w:rsid w:val="6D3131F0"/>
    <w:rsid w:val="6D34557B"/>
    <w:rsid w:val="6D396E69"/>
    <w:rsid w:val="6D416750"/>
    <w:rsid w:val="6D4260C2"/>
    <w:rsid w:val="6D4E25B3"/>
    <w:rsid w:val="6D575167"/>
    <w:rsid w:val="6D580EDE"/>
    <w:rsid w:val="6D5A3A66"/>
    <w:rsid w:val="6D5F34A8"/>
    <w:rsid w:val="6D810EED"/>
    <w:rsid w:val="6D8C4F88"/>
    <w:rsid w:val="6D935989"/>
    <w:rsid w:val="6D9F1D42"/>
    <w:rsid w:val="6DA16A2E"/>
    <w:rsid w:val="6DA37F1E"/>
    <w:rsid w:val="6DA43467"/>
    <w:rsid w:val="6DAC5011"/>
    <w:rsid w:val="6DB374DF"/>
    <w:rsid w:val="6DB67DAC"/>
    <w:rsid w:val="6DBD75DB"/>
    <w:rsid w:val="6DCA03CE"/>
    <w:rsid w:val="6DEB3A0D"/>
    <w:rsid w:val="6DEC3D19"/>
    <w:rsid w:val="6DF528CD"/>
    <w:rsid w:val="6DFB4E16"/>
    <w:rsid w:val="6DFE10C6"/>
    <w:rsid w:val="6E013D12"/>
    <w:rsid w:val="6E041B89"/>
    <w:rsid w:val="6E1B63AC"/>
    <w:rsid w:val="6E23714C"/>
    <w:rsid w:val="6E263F66"/>
    <w:rsid w:val="6E2C1522"/>
    <w:rsid w:val="6E2D011E"/>
    <w:rsid w:val="6E310B8E"/>
    <w:rsid w:val="6E3A0AC0"/>
    <w:rsid w:val="6E3B07FD"/>
    <w:rsid w:val="6E3D1064"/>
    <w:rsid w:val="6E450A66"/>
    <w:rsid w:val="6E455150"/>
    <w:rsid w:val="6E456907"/>
    <w:rsid w:val="6E4F22DD"/>
    <w:rsid w:val="6E516A6D"/>
    <w:rsid w:val="6E590FD0"/>
    <w:rsid w:val="6E6209D6"/>
    <w:rsid w:val="6E654A29"/>
    <w:rsid w:val="6E6B2E90"/>
    <w:rsid w:val="6E773F5F"/>
    <w:rsid w:val="6E781D7D"/>
    <w:rsid w:val="6E7B0E75"/>
    <w:rsid w:val="6E85511B"/>
    <w:rsid w:val="6E8D44D0"/>
    <w:rsid w:val="6E8E59C8"/>
    <w:rsid w:val="6E8F6AB7"/>
    <w:rsid w:val="6E9D1075"/>
    <w:rsid w:val="6E9D3265"/>
    <w:rsid w:val="6E9F20B7"/>
    <w:rsid w:val="6EA10E7C"/>
    <w:rsid w:val="6EA2729E"/>
    <w:rsid w:val="6EA27DB2"/>
    <w:rsid w:val="6EAC2091"/>
    <w:rsid w:val="6EC04D6D"/>
    <w:rsid w:val="6EC620FB"/>
    <w:rsid w:val="6EC8180A"/>
    <w:rsid w:val="6ED42267"/>
    <w:rsid w:val="6ED8604B"/>
    <w:rsid w:val="6EDD36BA"/>
    <w:rsid w:val="6EE7256D"/>
    <w:rsid w:val="6EEA1357"/>
    <w:rsid w:val="6EEA4AA3"/>
    <w:rsid w:val="6EF006A0"/>
    <w:rsid w:val="6EFF6BB4"/>
    <w:rsid w:val="6F005670"/>
    <w:rsid w:val="6F046E28"/>
    <w:rsid w:val="6F097FB5"/>
    <w:rsid w:val="6F1E1834"/>
    <w:rsid w:val="6F207A32"/>
    <w:rsid w:val="6F33286B"/>
    <w:rsid w:val="6F342E0D"/>
    <w:rsid w:val="6F370C5A"/>
    <w:rsid w:val="6F3A64AC"/>
    <w:rsid w:val="6F3C79CA"/>
    <w:rsid w:val="6F462E5B"/>
    <w:rsid w:val="6F4E5777"/>
    <w:rsid w:val="6F5C3ED1"/>
    <w:rsid w:val="6F5E37F8"/>
    <w:rsid w:val="6F5F0032"/>
    <w:rsid w:val="6F5F65E6"/>
    <w:rsid w:val="6F68774B"/>
    <w:rsid w:val="6F696BD0"/>
    <w:rsid w:val="6F6E72BF"/>
    <w:rsid w:val="6F6F26EE"/>
    <w:rsid w:val="6F712ACE"/>
    <w:rsid w:val="6F721A1D"/>
    <w:rsid w:val="6F8751AE"/>
    <w:rsid w:val="6F885493"/>
    <w:rsid w:val="6F990006"/>
    <w:rsid w:val="6F9E5B7A"/>
    <w:rsid w:val="6F9F7969"/>
    <w:rsid w:val="6FA15F8D"/>
    <w:rsid w:val="6FA57D10"/>
    <w:rsid w:val="6FBB52CE"/>
    <w:rsid w:val="6FC10258"/>
    <w:rsid w:val="6FC82564"/>
    <w:rsid w:val="6FC83DE4"/>
    <w:rsid w:val="6FCA0CA1"/>
    <w:rsid w:val="6FCA17FB"/>
    <w:rsid w:val="6FD74CAA"/>
    <w:rsid w:val="6FE82DDD"/>
    <w:rsid w:val="6FEE0771"/>
    <w:rsid w:val="6FF6672A"/>
    <w:rsid w:val="6FFE4EBC"/>
    <w:rsid w:val="700621B2"/>
    <w:rsid w:val="700C4AC7"/>
    <w:rsid w:val="70140382"/>
    <w:rsid w:val="70152A9A"/>
    <w:rsid w:val="70153446"/>
    <w:rsid w:val="701B3E96"/>
    <w:rsid w:val="701F1568"/>
    <w:rsid w:val="70256598"/>
    <w:rsid w:val="7028351B"/>
    <w:rsid w:val="702978D9"/>
    <w:rsid w:val="702E6AA4"/>
    <w:rsid w:val="70352FF4"/>
    <w:rsid w:val="703640BF"/>
    <w:rsid w:val="70392103"/>
    <w:rsid w:val="704961CB"/>
    <w:rsid w:val="705108E7"/>
    <w:rsid w:val="705155E7"/>
    <w:rsid w:val="70543F27"/>
    <w:rsid w:val="70593D07"/>
    <w:rsid w:val="706169BF"/>
    <w:rsid w:val="70696D35"/>
    <w:rsid w:val="706F6FB6"/>
    <w:rsid w:val="707029DF"/>
    <w:rsid w:val="70765B1C"/>
    <w:rsid w:val="707E42B2"/>
    <w:rsid w:val="708F23E0"/>
    <w:rsid w:val="709E20B7"/>
    <w:rsid w:val="70A923EE"/>
    <w:rsid w:val="70B222D6"/>
    <w:rsid w:val="70B42B92"/>
    <w:rsid w:val="70B42C80"/>
    <w:rsid w:val="70B61689"/>
    <w:rsid w:val="70B667EF"/>
    <w:rsid w:val="70B778B4"/>
    <w:rsid w:val="70B94982"/>
    <w:rsid w:val="70BB200E"/>
    <w:rsid w:val="70BF6BE9"/>
    <w:rsid w:val="70C34D81"/>
    <w:rsid w:val="70C55BFC"/>
    <w:rsid w:val="70C56EDC"/>
    <w:rsid w:val="70CB2A7C"/>
    <w:rsid w:val="70DE3125"/>
    <w:rsid w:val="70E44655"/>
    <w:rsid w:val="70E63138"/>
    <w:rsid w:val="70EA5177"/>
    <w:rsid w:val="70EA53DD"/>
    <w:rsid w:val="70EB622C"/>
    <w:rsid w:val="70ED6A0E"/>
    <w:rsid w:val="70ED6EE1"/>
    <w:rsid w:val="70EF19C0"/>
    <w:rsid w:val="70F44AB2"/>
    <w:rsid w:val="71002FFA"/>
    <w:rsid w:val="71045367"/>
    <w:rsid w:val="710464C7"/>
    <w:rsid w:val="710650F2"/>
    <w:rsid w:val="710C79B5"/>
    <w:rsid w:val="710E7D3D"/>
    <w:rsid w:val="71153587"/>
    <w:rsid w:val="711D3A76"/>
    <w:rsid w:val="711E5F98"/>
    <w:rsid w:val="711F7F62"/>
    <w:rsid w:val="7120760A"/>
    <w:rsid w:val="7135700E"/>
    <w:rsid w:val="713C2F89"/>
    <w:rsid w:val="7150636D"/>
    <w:rsid w:val="717A5AA7"/>
    <w:rsid w:val="717A7D1B"/>
    <w:rsid w:val="717D7A04"/>
    <w:rsid w:val="71850DCB"/>
    <w:rsid w:val="7186176B"/>
    <w:rsid w:val="719018FB"/>
    <w:rsid w:val="719466DA"/>
    <w:rsid w:val="719873B6"/>
    <w:rsid w:val="719B0488"/>
    <w:rsid w:val="71A94A2A"/>
    <w:rsid w:val="71BA02E1"/>
    <w:rsid w:val="71CB4950"/>
    <w:rsid w:val="71CE6050"/>
    <w:rsid w:val="71CF2FF9"/>
    <w:rsid w:val="71D73E5A"/>
    <w:rsid w:val="71DD533C"/>
    <w:rsid w:val="71EB1699"/>
    <w:rsid w:val="71F24A43"/>
    <w:rsid w:val="71F313DD"/>
    <w:rsid w:val="71F34E40"/>
    <w:rsid w:val="71F72600"/>
    <w:rsid w:val="71FE1047"/>
    <w:rsid w:val="72104551"/>
    <w:rsid w:val="721714AB"/>
    <w:rsid w:val="72171998"/>
    <w:rsid w:val="72180310"/>
    <w:rsid w:val="721D31A6"/>
    <w:rsid w:val="722332F3"/>
    <w:rsid w:val="723D06D0"/>
    <w:rsid w:val="723D0FE7"/>
    <w:rsid w:val="724B6551"/>
    <w:rsid w:val="724B6EAE"/>
    <w:rsid w:val="724E0FB5"/>
    <w:rsid w:val="72511E69"/>
    <w:rsid w:val="72597649"/>
    <w:rsid w:val="725D421B"/>
    <w:rsid w:val="72685701"/>
    <w:rsid w:val="72833999"/>
    <w:rsid w:val="728564EA"/>
    <w:rsid w:val="7287629D"/>
    <w:rsid w:val="72906405"/>
    <w:rsid w:val="72916B7F"/>
    <w:rsid w:val="72920998"/>
    <w:rsid w:val="729C2E11"/>
    <w:rsid w:val="72A032FE"/>
    <w:rsid w:val="72A037B9"/>
    <w:rsid w:val="72A83C28"/>
    <w:rsid w:val="72AB4D76"/>
    <w:rsid w:val="72AB53A5"/>
    <w:rsid w:val="72B172DF"/>
    <w:rsid w:val="72B9339D"/>
    <w:rsid w:val="72C07BB3"/>
    <w:rsid w:val="72D03618"/>
    <w:rsid w:val="72E2468B"/>
    <w:rsid w:val="72E42667"/>
    <w:rsid w:val="72E77059"/>
    <w:rsid w:val="72E97965"/>
    <w:rsid w:val="72F17548"/>
    <w:rsid w:val="72FB10B5"/>
    <w:rsid w:val="72FD2105"/>
    <w:rsid w:val="73062C09"/>
    <w:rsid w:val="73091E6F"/>
    <w:rsid w:val="73092A4F"/>
    <w:rsid w:val="732B7F0D"/>
    <w:rsid w:val="73406B38"/>
    <w:rsid w:val="7342612F"/>
    <w:rsid w:val="73450F08"/>
    <w:rsid w:val="734B14B4"/>
    <w:rsid w:val="73563A14"/>
    <w:rsid w:val="73571FD5"/>
    <w:rsid w:val="736B0067"/>
    <w:rsid w:val="73757C23"/>
    <w:rsid w:val="73765B39"/>
    <w:rsid w:val="738619C1"/>
    <w:rsid w:val="738A200A"/>
    <w:rsid w:val="738A42F1"/>
    <w:rsid w:val="738E3AB9"/>
    <w:rsid w:val="739065BC"/>
    <w:rsid w:val="73923409"/>
    <w:rsid w:val="739B0E90"/>
    <w:rsid w:val="739B168F"/>
    <w:rsid w:val="73A16CFB"/>
    <w:rsid w:val="73A255C1"/>
    <w:rsid w:val="73B334AF"/>
    <w:rsid w:val="73B86888"/>
    <w:rsid w:val="73D82E38"/>
    <w:rsid w:val="73E379A7"/>
    <w:rsid w:val="73F314E3"/>
    <w:rsid w:val="73FD6108"/>
    <w:rsid w:val="740336B5"/>
    <w:rsid w:val="740833C6"/>
    <w:rsid w:val="740B33DB"/>
    <w:rsid w:val="7420620D"/>
    <w:rsid w:val="74340423"/>
    <w:rsid w:val="74367C9A"/>
    <w:rsid w:val="744646C9"/>
    <w:rsid w:val="744C627E"/>
    <w:rsid w:val="745042EC"/>
    <w:rsid w:val="74505862"/>
    <w:rsid w:val="745132C7"/>
    <w:rsid w:val="74577DD0"/>
    <w:rsid w:val="746621ED"/>
    <w:rsid w:val="74676B45"/>
    <w:rsid w:val="746D5F5D"/>
    <w:rsid w:val="748B22B6"/>
    <w:rsid w:val="749173C8"/>
    <w:rsid w:val="74921493"/>
    <w:rsid w:val="74A36E05"/>
    <w:rsid w:val="74AF13CC"/>
    <w:rsid w:val="74B10AB0"/>
    <w:rsid w:val="74B51313"/>
    <w:rsid w:val="74BB0C08"/>
    <w:rsid w:val="74E37335"/>
    <w:rsid w:val="74E91888"/>
    <w:rsid w:val="74EB2FFE"/>
    <w:rsid w:val="75053818"/>
    <w:rsid w:val="75107E41"/>
    <w:rsid w:val="7514475E"/>
    <w:rsid w:val="75193067"/>
    <w:rsid w:val="7520013D"/>
    <w:rsid w:val="752D5510"/>
    <w:rsid w:val="754674E3"/>
    <w:rsid w:val="75485924"/>
    <w:rsid w:val="75547528"/>
    <w:rsid w:val="755E1D00"/>
    <w:rsid w:val="75685E27"/>
    <w:rsid w:val="757137F2"/>
    <w:rsid w:val="758F19AF"/>
    <w:rsid w:val="759167FC"/>
    <w:rsid w:val="759430D6"/>
    <w:rsid w:val="75955D0A"/>
    <w:rsid w:val="75984F37"/>
    <w:rsid w:val="75AE38BE"/>
    <w:rsid w:val="75B36542"/>
    <w:rsid w:val="75BA79F6"/>
    <w:rsid w:val="75BB05C3"/>
    <w:rsid w:val="75C43331"/>
    <w:rsid w:val="75C91039"/>
    <w:rsid w:val="75CE15BB"/>
    <w:rsid w:val="75CF553F"/>
    <w:rsid w:val="75E45F38"/>
    <w:rsid w:val="75EC7E9C"/>
    <w:rsid w:val="75F01F05"/>
    <w:rsid w:val="75FB0F9D"/>
    <w:rsid w:val="75FE6FB3"/>
    <w:rsid w:val="76085578"/>
    <w:rsid w:val="760C61B1"/>
    <w:rsid w:val="761A5134"/>
    <w:rsid w:val="761C0E19"/>
    <w:rsid w:val="7620726A"/>
    <w:rsid w:val="76236070"/>
    <w:rsid w:val="76283A21"/>
    <w:rsid w:val="762A1217"/>
    <w:rsid w:val="76302A7E"/>
    <w:rsid w:val="763040B0"/>
    <w:rsid w:val="763B1BDB"/>
    <w:rsid w:val="764A31E0"/>
    <w:rsid w:val="76520BEB"/>
    <w:rsid w:val="76527DD2"/>
    <w:rsid w:val="76563BF7"/>
    <w:rsid w:val="765F070B"/>
    <w:rsid w:val="766E602B"/>
    <w:rsid w:val="767A7900"/>
    <w:rsid w:val="76805E30"/>
    <w:rsid w:val="768A1200"/>
    <w:rsid w:val="7692076A"/>
    <w:rsid w:val="76946CFC"/>
    <w:rsid w:val="769B3628"/>
    <w:rsid w:val="769C05DC"/>
    <w:rsid w:val="76A11A98"/>
    <w:rsid w:val="76A52E1C"/>
    <w:rsid w:val="76A6331F"/>
    <w:rsid w:val="76B2657C"/>
    <w:rsid w:val="76C009DB"/>
    <w:rsid w:val="76C143D4"/>
    <w:rsid w:val="76C75180"/>
    <w:rsid w:val="76C832F2"/>
    <w:rsid w:val="76D9371F"/>
    <w:rsid w:val="76E35DC4"/>
    <w:rsid w:val="76E73652"/>
    <w:rsid w:val="76F73D82"/>
    <w:rsid w:val="76F9035F"/>
    <w:rsid w:val="76F9356A"/>
    <w:rsid w:val="76FA7664"/>
    <w:rsid w:val="770C453C"/>
    <w:rsid w:val="77111E60"/>
    <w:rsid w:val="77144FD9"/>
    <w:rsid w:val="771568A5"/>
    <w:rsid w:val="77483CC4"/>
    <w:rsid w:val="775F0ADE"/>
    <w:rsid w:val="775F6961"/>
    <w:rsid w:val="776D4BF6"/>
    <w:rsid w:val="77807600"/>
    <w:rsid w:val="7789446C"/>
    <w:rsid w:val="7793325C"/>
    <w:rsid w:val="779730C6"/>
    <w:rsid w:val="7798054D"/>
    <w:rsid w:val="77AC296D"/>
    <w:rsid w:val="77B6528F"/>
    <w:rsid w:val="77C04CAE"/>
    <w:rsid w:val="77C91F54"/>
    <w:rsid w:val="77CF71D3"/>
    <w:rsid w:val="77D520FE"/>
    <w:rsid w:val="77D73344"/>
    <w:rsid w:val="77DE4AC8"/>
    <w:rsid w:val="77E03354"/>
    <w:rsid w:val="77E05745"/>
    <w:rsid w:val="77E72FC5"/>
    <w:rsid w:val="77E76C4F"/>
    <w:rsid w:val="77EA06D4"/>
    <w:rsid w:val="77F73701"/>
    <w:rsid w:val="780743F5"/>
    <w:rsid w:val="780B759B"/>
    <w:rsid w:val="780B7DB7"/>
    <w:rsid w:val="780D503B"/>
    <w:rsid w:val="781173A2"/>
    <w:rsid w:val="7823153E"/>
    <w:rsid w:val="78272AD2"/>
    <w:rsid w:val="782759CE"/>
    <w:rsid w:val="782C4112"/>
    <w:rsid w:val="7831284C"/>
    <w:rsid w:val="783764D9"/>
    <w:rsid w:val="78434743"/>
    <w:rsid w:val="78450BF6"/>
    <w:rsid w:val="784756B4"/>
    <w:rsid w:val="784A61BA"/>
    <w:rsid w:val="785F5D9A"/>
    <w:rsid w:val="786B12EF"/>
    <w:rsid w:val="786C35A6"/>
    <w:rsid w:val="786C791F"/>
    <w:rsid w:val="78747991"/>
    <w:rsid w:val="789C178C"/>
    <w:rsid w:val="78A0481B"/>
    <w:rsid w:val="78A37082"/>
    <w:rsid w:val="78A62FD0"/>
    <w:rsid w:val="78A87484"/>
    <w:rsid w:val="78B258F0"/>
    <w:rsid w:val="78B4713E"/>
    <w:rsid w:val="78C82570"/>
    <w:rsid w:val="78D46946"/>
    <w:rsid w:val="78D94A34"/>
    <w:rsid w:val="78DB1BC9"/>
    <w:rsid w:val="78E12E6A"/>
    <w:rsid w:val="78FB3062"/>
    <w:rsid w:val="79004525"/>
    <w:rsid w:val="79137E3E"/>
    <w:rsid w:val="791B709B"/>
    <w:rsid w:val="792518C1"/>
    <w:rsid w:val="793624A8"/>
    <w:rsid w:val="793B697A"/>
    <w:rsid w:val="79444E65"/>
    <w:rsid w:val="79507852"/>
    <w:rsid w:val="795127E8"/>
    <w:rsid w:val="79530561"/>
    <w:rsid w:val="79565203"/>
    <w:rsid w:val="795D4643"/>
    <w:rsid w:val="79643EB4"/>
    <w:rsid w:val="797178C2"/>
    <w:rsid w:val="79787E08"/>
    <w:rsid w:val="797D0EFA"/>
    <w:rsid w:val="79883F94"/>
    <w:rsid w:val="79913163"/>
    <w:rsid w:val="79921906"/>
    <w:rsid w:val="799B1BAA"/>
    <w:rsid w:val="799E5249"/>
    <w:rsid w:val="79A47D7B"/>
    <w:rsid w:val="79B624C0"/>
    <w:rsid w:val="79BC160D"/>
    <w:rsid w:val="79C869D8"/>
    <w:rsid w:val="79CC70CC"/>
    <w:rsid w:val="79CD6CC2"/>
    <w:rsid w:val="79DB3867"/>
    <w:rsid w:val="79F92B5A"/>
    <w:rsid w:val="79FC2F6B"/>
    <w:rsid w:val="79FF4D98"/>
    <w:rsid w:val="7A056508"/>
    <w:rsid w:val="7A0E7234"/>
    <w:rsid w:val="7A0F25A2"/>
    <w:rsid w:val="7A1730C3"/>
    <w:rsid w:val="7A205476"/>
    <w:rsid w:val="7A216A47"/>
    <w:rsid w:val="7A3A208F"/>
    <w:rsid w:val="7A3A6FC1"/>
    <w:rsid w:val="7A3B7146"/>
    <w:rsid w:val="7A406FE4"/>
    <w:rsid w:val="7A444D55"/>
    <w:rsid w:val="7A4814FB"/>
    <w:rsid w:val="7A513FB6"/>
    <w:rsid w:val="7A5502B8"/>
    <w:rsid w:val="7A553ABC"/>
    <w:rsid w:val="7A597DBE"/>
    <w:rsid w:val="7A5F69CC"/>
    <w:rsid w:val="7A9262BD"/>
    <w:rsid w:val="7A9A127E"/>
    <w:rsid w:val="7A9E2EB4"/>
    <w:rsid w:val="7AA563B7"/>
    <w:rsid w:val="7AA90E83"/>
    <w:rsid w:val="7AAB270A"/>
    <w:rsid w:val="7AB07079"/>
    <w:rsid w:val="7ABA5186"/>
    <w:rsid w:val="7ABD3A5A"/>
    <w:rsid w:val="7AC43368"/>
    <w:rsid w:val="7ACA7190"/>
    <w:rsid w:val="7ACB31FB"/>
    <w:rsid w:val="7ACB51A4"/>
    <w:rsid w:val="7ACC3C99"/>
    <w:rsid w:val="7AD2380C"/>
    <w:rsid w:val="7AD635D1"/>
    <w:rsid w:val="7ADB2991"/>
    <w:rsid w:val="7ADB62FC"/>
    <w:rsid w:val="7ADD4701"/>
    <w:rsid w:val="7AE419D8"/>
    <w:rsid w:val="7AE61E7C"/>
    <w:rsid w:val="7AE661A6"/>
    <w:rsid w:val="7AE8102A"/>
    <w:rsid w:val="7AED4A83"/>
    <w:rsid w:val="7AF76EB1"/>
    <w:rsid w:val="7AF91823"/>
    <w:rsid w:val="7B0A12DE"/>
    <w:rsid w:val="7B1038BA"/>
    <w:rsid w:val="7B1509F2"/>
    <w:rsid w:val="7B2A12DA"/>
    <w:rsid w:val="7B2E70E7"/>
    <w:rsid w:val="7B34756A"/>
    <w:rsid w:val="7B3B22DE"/>
    <w:rsid w:val="7B4754A4"/>
    <w:rsid w:val="7B536A19"/>
    <w:rsid w:val="7B5A6870"/>
    <w:rsid w:val="7B5D715B"/>
    <w:rsid w:val="7B602807"/>
    <w:rsid w:val="7B624DB3"/>
    <w:rsid w:val="7B645BD1"/>
    <w:rsid w:val="7B793739"/>
    <w:rsid w:val="7B7D3FA1"/>
    <w:rsid w:val="7B907B7C"/>
    <w:rsid w:val="7B947F77"/>
    <w:rsid w:val="7B9664B7"/>
    <w:rsid w:val="7BAB0EF2"/>
    <w:rsid w:val="7BB96C8D"/>
    <w:rsid w:val="7BC063F8"/>
    <w:rsid w:val="7BC801EF"/>
    <w:rsid w:val="7BD85994"/>
    <w:rsid w:val="7BE06CB6"/>
    <w:rsid w:val="7BE5250D"/>
    <w:rsid w:val="7BE725A8"/>
    <w:rsid w:val="7BE905FB"/>
    <w:rsid w:val="7BF56B78"/>
    <w:rsid w:val="7C062B72"/>
    <w:rsid w:val="7C0C3966"/>
    <w:rsid w:val="7C0C7827"/>
    <w:rsid w:val="7C152B1A"/>
    <w:rsid w:val="7C1831CF"/>
    <w:rsid w:val="7C2567FC"/>
    <w:rsid w:val="7C2B02E0"/>
    <w:rsid w:val="7C2D3667"/>
    <w:rsid w:val="7C312183"/>
    <w:rsid w:val="7C312A12"/>
    <w:rsid w:val="7C32169D"/>
    <w:rsid w:val="7C3E167A"/>
    <w:rsid w:val="7C60629D"/>
    <w:rsid w:val="7C6747B5"/>
    <w:rsid w:val="7C726333"/>
    <w:rsid w:val="7C776EA4"/>
    <w:rsid w:val="7C790298"/>
    <w:rsid w:val="7C80291E"/>
    <w:rsid w:val="7C8F3CC3"/>
    <w:rsid w:val="7C906E80"/>
    <w:rsid w:val="7CAA2585"/>
    <w:rsid w:val="7CAE066F"/>
    <w:rsid w:val="7CAF6554"/>
    <w:rsid w:val="7CB035A9"/>
    <w:rsid w:val="7CB30B03"/>
    <w:rsid w:val="7CB628C0"/>
    <w:rsid w:val="7CB71EC4"/>
    <w:rsid w:val="7CBE15FE"/>
    <w:rsid w:val="7CC80EA4"/>
    <w:rsid w:val="7CCA0125"/>
    <w:rsid w:val="7CCD55CF"/>
    <w:rsid w:val="7CD21FCC"/>
    <w:rsid w:val="7CE3569C"/>
    <w:rsid w:val="7CF4470B"/>
    <w:rsid w:val="7D0A1C7E"/>
    <w:rsid w:val="7D0E7F32"/>
    <w:rsid w:val="7D1E2D83"/>
    <w:rsid w:val="7D2A0678"/>
    <w:rsid w:val="7D33335B"/>
    <w:rsid w:val="7D437647"/>
    <w:rsid w:val="7D452921"/>
    <w:rsid w:val="7D456622"/>
    <w:rsid w:val="7D5865FD"/>
    <w:rsid w:val="7D624041"/>
    <w:rsid w:val="7D6D601C"/>
    <w:rsid w:val="7D6E545C"/>
    <w:rsid w:val="7D853519"/>
    <w:rsid w:val="7D8C08D9"/>
    <w:rsid w:val="7D9B3F1E"/>
    <w:rsid w:val="7DA06484"/>
    <w:rsid w:val="7DA82296"/>
    <w:rsid w:val="7DB149CD"/>
    <w:rsid w:val="7DB766B7"/>
    <w:rsid w:val="7DBE5657"/>
    <w:rsid w:val="7DC8626C"/>
    <w:rsid w:val="7DD94F0B"/>
    <w:rsid w:val="7DE253DF"/>
    <w:rsid w:val="7DE50961"/>
    <w:rsid w:val="7DE82A43"/>
    <w:rsid w:val="7DEB4663"/>
    <w:rsid w:val="7DF74F04"/>
    <w:rsid w:val="7DFF04D3"/>
    <w:rsid w:val="7E0465B8"/>
    <w:rsid w:val="7E0832DF"/>
    <w:rsid w:val="7E1A7AA1"/>
    <w:rsid w:val="7E2750F0"/>
    <w:rsid w:val="7E2D125A"/>
    <w:rsid w:val="7E35729A"/>
    <w:rsid w:val="7E363475"/>
    <w:rsid w:val="7E453946"/>
    <w:rsid w:val="7E682493"/>
    <w:rsid w:val="7E684DAB"/>
    <w:rsid w:val="7E6C149C"/>
    <w:rsid w:val="7E7057F6"/>
    <w:rsid w:val="7E723DC7"/>
    <w:rsid w:val="7E822261"/>
    <w:rsid w:val="7E8245A2"/>
    <w:rsid w:val="7E8655A5"/>
    <w:rsid w:val="7E947774"/>
    <w:rsid w:val="7E965555"/>
    <w:rsid w:val="7E980E05"/>
    <w:rsid w:val="7E9D2395"/>
    <w:rsid w:val="7E9D29D3"/>
    <w:rsid w:val="7EA402EC"/>
    <w:rsid w:val="7EB85B2F"/>
    <w:rsid w:val="7EC71C88"/>
    <w:rsid w:val="7EC940BF"/>
    <w:rsid w:val="7ECF6F64"/>
    <w:rsid w:val="7EDA7C1F"/>
    <w:rsid w:val="7EEB432E"/>
    <w:rsid w:val="7EF80085"/>
    <w:rsid w:val="7F087EE6"/>
    <w:rsid w:val="7F0B7D77"/>
    <w:rsid w:val="7F145E5A"/>
    <w:rsid w:val="7F173E6E"/>
    <w:rsid w:val="7F1B5C9C"/>
    <w:rsid w:val="7F296E2C"/>
    <w:rsid w:val="7F2A0AA3"/>
    <w:rsid w:val="7F380944"/>
    <w:rsid w:val="7F453289"/>
    <w:rsid w:val="7F455D29"/>
    <w:rsid w:val="7F502FB5"/>
    <w:rsid w:val="7F507E7E"/>
    <w:rsid w:val="7F536167"/>
    <w:rsid w:val="7F551D4B"/>
    <w:rsid w:val="7F56130A"/>
    <w:rsid w:val="7F592236"/>
    <w:rsid w:val="7F635E92"/>
    <w:rsid w:val="7F727B89"/>
    <w:rsid w:val="7F817BC2"/>
    <w:rsid w:val="7F942CCD"/>
    <w:rsid w:val="7F956B58"/>
    <w:rsid w:val="7F9962A7"/>
    <w:rsid w:val="7FA0195B"/>
    <w:rsid w:val="7FA038B7"/>
    <w:rsid w:val="7FA676B9"/>
    <w:rsid w:val="7FAA3F16"/>
    <w:rsid w:val="7FAE1A0C"/>
    <w:rsid w:val="7FD91B3E"/>
    <w:rsid w:val="7FE77193"/>
    <w:rsid w:val="7FF355F3"/>
    <w:rsid w:val="7FF5542B"/>
    <w:rsid w:val="7FF63CCA"/>
    <w:rsid w:val="7FFE03C3"/>
    <w:rsid w:val="7FFF6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autoRedefine/>
    <w:qFormat/>
    <w:uiPriority w:val="0"/>
    <w:pPr>
      <w:keepNext/>
      <w:keepLines/>
      <w:adjustRightInd w:val="0"/>
      <w:spacing w:before="120" w:line="360" w:lineRule="auto"/>
      <w:jc w:val="center"/>
      <w:textAlignment w:val="baseline"/>
      <w:outlineLvl w:val="0"/>
    </w:pPr>
    <w:rPr>
      <w:b/>
      <w:bCs/>
      <w:kern w:val="44"/>
      <w:sz w:val="32"/>
      <w:szCs w:val="20"/>
    </w:rPr>
  </w:style>
  <w:style w:type="paragraph" w:styleId="3">
    <w:name w:val="heading 2"/>
    <w:basedOn w:val="1"/>
    <w:next w:val="1"/>
    <w:link w:val="100"/>
    <w:autoRedefine/>
    <w:qFormat/>
    <w:uiPriority w:val="0"/>
    <w:pPr>
      <w:keepNext/>
      <w:keepLines/>
      <w:spacing w:line="416" w:lineRule="auto"/>
      <w:outlineLvl w:val="1"/>
    </w:pPr>
    <w:rPr>
      <w:rFonts w:ascii="Arial" w:hAnsi="Arial"/>
      <w:b/>
      <w:bCs/>
      <w:szCs w:val="32"/>
    </w:rPr>
  </w:style>
  <w:style w:type="paragraph" w:styleId="4">
    <w:name w:val="heading 3"/>
    <w:basedOn w:val="1"/>
    <w:next w:val="5"/>
    <w:autoRedefine/>
    <w:qFormat/>
    <w:uiPriority w:val="0"/>
    <w:pPr>
      <w:keepNext/>
      <w:keepLines/>
      <w:snapToGrid w:val="0"/>
      <w:spacing w:line="360" w:lineRule="auto"/>
      <w:jc w:val="left"/>
      <w:outlineLvl w:val="2"/>
    </w:pPr>
    <w:rPr>
      <w:b/>
      <w:bCs/>
      <w:sz w:val="24"/>
      <w:szCs w:val="32"/>
    </w:rPr>
  </w:style>
  <w:style w:type="paragraph" w:styleId="6">
    <w:name w:val="heading 4"/>
    <w:basedOn w:val="1"/>
    <w:next w:val="1"/>
    <w:link w:val="63"/>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64"/>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65"/>
    <w:autoRedefine/>
    <w:qFormat/>
    <w:uiPriority w:val="0"/>
    <w:pPr>
      <w:keepNext/>
      <w:keepLines/>
      <w:spacing w:before="240" w:after="64" w:line="320" w:lineRule="auto"/>
      <w:outlineLvl w:val="5"/>
    </w:pPr>
    <w:rPr>
      <w:rFonts w:ascii="Cambria" w:hAnsi="Cambria"/>
      <w:b/>
      <w:bCs/>
      <w:sz w:val="24"/>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62"/>
    <w:autoRedefine/>
    <w:qFormat/>
    <w:uiPriority w:val="0"/>
    <w:pPr>
      <w:ind w:firstLine="420"/>
    </w:pPr>
    <w:rPr>
      <w:szCs w:val="20"/>
    </w:rPr>
  </w:style>
  <w:style w:type="paragraph" w:styleId="9">
    <w:name w:val="toc 7"/>
    <w:basedOn w:val="1"/>
    <w:next w:val="1"/>
    <w:autoRedefine/>
    <w:qFormat/>
    <w:uiPriority w:val="0"/>
    <w:pPr>
      <w:ind w:left="2520" w:leftChars="1200"/>
    </w:pPr>
    <w:rPr>
      <w:rFonts w:ascii="Calibri" w:hAnsi="Calibri"/>
      <w:szCs w:val="22"/>
    </w:rPr>
  </w:style>
  <w:style w:type="paragraph" w:styleId="10">
    <w:name w:val="List Number"/>
    <w:basedOn w:val="1"/>
    <w:autoRedefine/>
    <w:qFormat/>
    <w:uiPriority w:val="0"/>
    <w:pPr>
      <w:widowControl/>
      <w:tabs>
        <w:tab w:val="left" w:pos="454"/>
        <w:tab w:val="left" w:pos="525"/>
        <w:tab w:val="left" w:pos="720"/>
      </w:tabs>
      <w:spacing w:afterLines="50"/>
      <w:ind w:left="454" w:hanging="284"/>
      <w:jc w:val="left"/>
    </w:pPr>
    <w:rPr>
      <w:kern w:val="0"/>
      <w:sz w:val="24"/>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66"/>
    <w:autoRedefine/>
    <w:qFormat/>
    <w:uiPriority w:val="0"/>
    <w:rPr>
      <w:rFonts w:ascii="宋体"/>
      <w:sz w:val="18"/>
      <w:szCs w:val="18"/>
    </w:rPr>
  </w:style>
  <w:style w:type="paragraph" w:styleId="13">
    <w:name w:val="annotation text"/>
    <w:basedOn w:val="1"/>
    <w:link w:val="67"/>
    <w:autoRedefine/>
    <w:qFormat/>
    <w:uiPriority w:val="0"/>
    <w:pPr>
      <w:jc w:val="left"/>
    </w:pPr>
  </w:style>
  <w:style w:type="paragraph" w:styleId="14">
    <w:name w:val="Body Text 3"/>
    <w:basedOn w:val="1"/>
    <w:link w:val="68"/>
    <w:autoRedefine/>
    <w:qFormat/>
    <w:uiPriority w:val="0"/>
    <w:pPr>
      <w:spacing w:after="120"/>
    </w:pPr>
    <w:rPr>
      <w:sz w:val="16"/>
      <w:szCs w:val="16"/>
    </w:rPr>
  </w:style>
  <w:style w:type="paragraph" w:styleId="15">
    <w:name w:val="Body Text"/>
    <w:basedOn w:val="1"/>
    <w:next w:val="16"/>
    <w:link w:val="69"/>
    <w:autoRedefine/>
    <w:qFormat/>
    <w:uiPriority w:val="0"/>
    <w:pPr>
      <w:spacing w:after="120"/>
    </w:pPr>
  </w:style>
  <w:style w:type="paragraph" w:styleId="16">
    <w:name w:val="toc 4"/>
    <w:basedOn w:val="1"/>
    <w:next w:val="1"/>
    <w:autoRedefine/>
    <w:qFormat/>
    <w:uiPriority w:val="0"/>
    <w:pPr>
      <w:ind w:left="1260" w:leftChars="600"/>
    </w:pPr>
    <w:rPr>
      <w:rFonts w:ascii="Calibri" w:hAnsi="Calibri"/>
      <w:szCs w:val="22"/>
    </w:rPr>
  </w:style>
  <w:style w:type="paragraph" w:styleId="17">
    <w:name w:val="Body Text Indent"/>
    <w:basedOn w:val="1"/>
    <w:next w:val="1"/>
    <w:link w:val="70"/>
    <w:autoRedefine/>
    <w:qFormat/>
    <w:uiPriority w:val="0"/>
    <w:pPr>
      <w:spacing w:after="120"/>
      <w:ind w:left="420" w:leftChars="200"/>
    </w:p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qFormat/>
    <w:uiPriority w:val="0"/>
    <w:pPr>
      <w:ind w:left="1680" w:leftChars="800"/>
    </w:pPr>
    <w:rPr>
      <w:rFonts w:ascii="Calibri" w:hAnsi="Calibri"/>
      <w:szCs w:val="22"/>
    </w:rPr>
  </w:style>
  <w:style w:type="paragraph" w:styleId="20">
    <w:name w:val="toc 3"/>
    <w:basedOn w:val="1"/>
    <w:next w:val="1"/>
    <w:autoRedefine/>
    <w:qFormat/>
    <w:uiPriority w:val="39"/>
    <w:pPr>
      <w:ind w:left="840" w:leftChars="400"/>
    </w:pPr>
  </w:style>
  <w:style w:type="paragraph" w:styleId="21">
    <w:name w:val="Plain Text"/>
    <w:basedOn w:val="1"/>
    <w:next w:val="15"/>
    <w:link w:val="71"/>
    <w:autoRedefine/>
    <w:qFormat/>
    <w:uiPriority w:val="0"/>
    <w:pPr>
      <w:spacing w:beforeLines="50" w:afterLines="50" w:line="400" w:lineRule="exact"/>
    </w:pPr>
    <w:rPr>
      <w:rFonts w:ascii="宋体" w:hAnsi="Courier New"/>
      <w:sz w:val="24"/>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72"/>
    <w:autoRedefine/>
    <w:qFormat/>
    <w:uiPriority w:val="0"/>
    <w:pPr>
      <w:ind w:left="100" w:leftChars="2500"/>
    </w:pPr>
  </w:style>
  <w:style w:type="paragraph" w:styleId="24">
    <w:name w:val="Body Text Indent 2"/>
    <w:basedOn w:val="1"/>
    <w:link w:val="73"/>
    <w:autoRedefine/>
    <w:qFormat/>
    <w:uiPriority w:val="0"/>
    <w:pPr>
      <w:snapToGrid w:val="0"/>
      <w:ind w:firstLine="542" w:firstLineChars="225"/>
    </w:pPr>
    <w:rPr>
      <w:rFonts w:ascii="仿宋_GB2312" w:hAnsi="宋体"/>
      <w:b/>
      <w:bCs/>
      <w:color w:val="000000"/>
      <w:sz w:val="24"/>
    </w:rPr>
  </w:style>
  <w:style w:type="paragraph" w:styleId="25">
    <w:name w:val="Balloon Text"/>
    <w:basedOn w:val="1"/>
    <w:link w:val="74"/>
    <w:autoRedefine/>
    <w:qFormat/>
    <w:uiPriority w:val="0"/>
    <w:rPr>
      <w:sz w:val="18"/>
      <w:szCs w:val="18"/>
    </w:rPr>
  </w:style>
  <w:style w:type="paragraph" w:styleId="26">
    <w:name w:val="footer"/>
    <w:basedOn w:val="1"/>
    <w:link w:val="75"/>
    <w:autoRedefine/>
    <w:qFormat/>
    <w:uiPriority w:val="0"/>
    <w:pPr>
      <w:tabs>
        <w:tab w:val="center" w:pos="4153"/>
        <w:tab w:val="right" w:pos="8306"/>
      </w:tabs>
      <w:snapToGrid w:val="0"/>
      <w:jc w:val="left"/>
    </w:pPr>
    <w:rPr>
      <w:rFonts w:eastAsia="黑体"/>
      <w:snapToGrid w:val="0"/>
      <w:kern w:val="0"/>
      <w:sz w:val="18"/>
      <w:szCs w:val="18"/>
    </w:rPr>
  </w:style>
  <w:style w:type="paragraph" w:styleId="27">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28">
    <w:name w:val="header"/>
    <w:basedOn w:val="1"/>
    <w:link w:val="76"/>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right" w:leader="dot" w:pos="9060"/>
      </w:tabs>
      <w:spacing w:before="10" w:after="10"/>
    </w:pPr>
  </w:style>
  <w:style w:type="paragraph" w:styleId="30">
    <w:name w:val="List"/>
    <w:basedOn w:val="1"/>
    <w:autoRedefine/>
    <w:qFormat/>
    <w:uiPriority w:val="0"/>
    <w:pPr>
      <w:ind w:left="200" w:hanging="200" w:hangingChars="200"/>
    </w:pPr>
  </w:style>
  <w:style w:type="paragraph" w:styleId="31">
    <w:name w:val="footnote text"/>
    <w:basedOn w:val="1"/>
    <w:link w:val="77"/>
    <w:autoRedefine/>
    <w:qFormat/>
    <w:uiPriority w:val="0"/>
    <w:pPr>
      <w:snapToGrid w:val="0"/>
      <w:jc w:val="left"/>
    </w:pPr>
    <w:rPr>
      <w:rFonts w:ascii="Tahoma" w:hAnsi="Tahoma"/>
      <w:sz w:val="18"/>
      <w:szCs w:val="18"/>
    </w:rPr>
  </w:style>
  <w:style w:type="paragraph" w:styleId="32">
    <w:name w:val="toc 6"/>
    <w:basedOn w:val="1"/>
    <w:next w:val="1"/>
    <w:autoRedefine/>
    <w:qFormat/>
    <w:uiPriority w:val="0"/>
    <w:pPr>
      <w:ind w:left="2100" w:leftChars="1000"/>
    </w:pPr>
    <w:rPr>
      <w:rFonts w:ascii="Calibri" w:hAnsi="Calibri"/>
      <w:szCs w:val="22"/>
    </w:rPr>
  </w:style>
  <w:style w:type="paragraph" w:styleId="33">
    <w:name w:val="Body Text Indent 3"/>
    <w:basedOn w:val="1"/>
    <w:link w:val="78"/>
    <w:autoRedefine/>
    <w:qFormat/>
    <w:uiPriority w:val="0"/>
    <w:pPr>
      <w:spacing w:line="360" w:lineRule="auto"/>
      <w:ind w:firstLine="420" w:firstLineChars="200"/>
    </w:pPr>
    <w:rPr>
      <w:szCs w:val="20"/>
    </w:rPr>
  </w:style>
  <w:style w:type="paragraph" w:styleId="34">
    <w:name w:val="toc 2"/>
    <w:basedOn w:val="1"/>
    <w:next w:val="1"/>
    <w:autoRedefine/>
    <w:qFormat/>
    <w:uiPriority w:val="39"/>
    <w:pPr>
      <w:tabs>
        <w:tab w:val="left" w:pos="1470"/>
        <w:tab w:val="right" w:leader="dot" w:pos="9060"/>
      </w:tabs>
      <w:ind w:left="420" w:leftChars="200" w:firstLine="430" w:firstLineChars="205"/>
    </w:pPr>
  </w:style>
  <w:style w:type="paragraph" w:styleId="35">
    <w:name w:val="toc 9"/>
    <w:basedOn w:val="1"/>
    <w:next w:val="1"/>
    <w:autoRedefine/>
    <w:qFormat/>
    <w:uiPriority w:val="0"/>
    <w:pPr>
      <w:ind w:left="3360" w:leftChars="1600"/>
    </w:pPr>
    <w:rPr>
      <w:rFonts w:ascii="Calibri" w:hAnsi="Calibri"/>
      <w:szCs w:val="22"/>
    </w:rPr>
  </w:style>
  <w:style w:type="paragraph" w:styleId="36">
    <w:name w:val="HTML Preformatted"/>
    <w:basedOn w:val="1"/>
    <w:link w:val="7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7">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link w:val="59"/>
    <w:autoRedefine/>
    <w:qFormat/>
    <w:uiPriority w:val="0"/>
    <w:pPr>
      <w:spacing w:before="240" w:after="60"/>
      <w:jc w:val="center"/>
      <w:outlineLvl w:val="0"/>
    </w:pPr>
    <w:rPr>
      <w:rFonts w:ascii="Arial" w:hAnsi="Arial"/>
      <w:b/>
      <w:bCs/>
      <w:sz w:val="32"/>
      <w:szCs w:val="32"/>
    </w:rPr>
  </w:style>
  <w:style w:type="paragraph" w:styleId="39">
    <w:name w:val="annotation subject"/>
    <w:basedOn w:val="13"/>
    <w:next w:val="13"/>
    <w:link w:val="80"/>
    <w:autoRedefine/>
    <w:qFormat/>
    <w:uiPriority w:val="0"/>
    <w:rPr>
      <w:b/>
      <w:bCs/>
    </w:rPr>
  </w:style>
  <w:style w:type="paragraph" w:styleId="40">
    <w:name w:val="Body Text First Indent"/>
    <w:basedOn w:val="15"/>
    <w:next w:val="1"/>
    <w:link w:val="81"/>
    <w:autoRedefine/>
    <w:qFormat/>
    <w:uiPriority w:val="0"/>
    <w:pPr>
      <w:ind w:firstLine="420" w:firstLineChars="100"/>
    </w:pPr>
    <w:rPr>
      <w:szCs w:val="22"/>
    </w:rPr>
  </w:style>
  <w:style w:type="paragraph" w:styleId="41">
    <w:name w:val="Body Text First Indent 2"/>
    <w:basedOn w:val="17"/>
    <w:next w:val="1"/>
    <w:link w:val="82"/>
    <w:autoRedefine/>
    <w:qFormat/>
    <w:uiPriority w:val="0"/>
    <w:pPr>
      <w:ind w:firstLine="420"/>
    </w:pPr>
    <w:rPr>
      <w:rFonts w:cs="宋体"/>
      <w:szCs w:val="21"/>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autoRedefine/>
    <w:qFormat/>
    <w:uiPriority w:val="22"/>
  </w:style>
  <w:style w:type="character" w:styleId="46">
    <w:name w:val="page number"/>
    <w:autoRedefine/>
    <w:qFormat/>
    <w:uiPriority w:val="0"/>
    <w:rPr>
      <w:rFonts w:ascii="Times New Roman" w:hAnsi="Times New Roman" w:eastAsia="宋体" w:cs="Times New Roman"/>
    </w:rPr>
  </w:style>
  <w:style w:type="character" w:styleId="47">
    <w:name w:val="FollowedHyperlink"/>
    <w:autoRedefine/>
    <w:qFormat/>
    <w:uiPriority w:val="0"/>
    <w:rPr>
      <w:rFonts w:ascii="Times New Roman" w:hAnsi="Times New Roman" w:eastAsia="宋体" w:cs="Times New Roman"/>
      <w:color w:val="000000"/>
      <w:u w:val="none"/>
    </w:rPr>
  </w:style>
  <w:style w:type="character" w:styleId="48">
    <w:name w:val="Emphasis"/>
    <w:autoRedefine/>
    <w:qFormat/>
    <w:uiPriority w:val="0"/>
    <w:rPr>
      <w:rFonts w:ascii="Times New Roman" w:hAnsi="Times New Roman" w:eastAsia="幼圆" w:cs="Times New Roman"/>
      <w:b/>
      <w:caps/>
      <w:spacing w:val="10"/>
      <w:sz w:val="18"/>
    </w:rPr>
  </w:style>
  <w:style w:type="character" w:styleId="49">
    <w:name w:val="Hyperlink"/>
    <w:autoRedefine/>
    <w:qFormat/>
    <w:uiPriority w:val="99"/>
    <w:rPr>
      <w:rFonts w:ascii="Times New Roman" w:hAnsi="Times New Roman" w:eastAsia="宋体" w:cs="Times New Roman"/>
      <w:color w:val="000000"/>
      <w:u w:val="none"/>
    </w:rPr>
  </w:style>
  <w:style w:type="character" w:styleId="50">
    <w:name w:val="HTML Code"/>
    <w:basedOn w:val="44"/>
    <w:autoRedefine/>
    <w:unhideWhenUsed/>
    <w:qFormat/>
    <w:uiPriority w:val="99"/>
    <w:rPr>
      <w:rFonts w:ascii="Courier New" w:hAnsi="Courier New"/>
      <w:sz w:val="20"/>
    </w:rPr>
  </w:style>
  <w:style w:type="character" w:styleId="51">
    <w:name w:val="annotation reference"/>
    <w:autoRedefine/>
    <w:qFormat/>
    <w:uiPriority w:val="0"/>
    <w:rPr>
      <w:rFonts w:ascii="Times New Roman" w:hAnsi="Times New Roman" w:eastAsia="宋体" w:cs="Times New Roman"/>
      <w:sz w:val="21"/>
      <w:szCs w:val="21"/>
    </w:rPr>
  </w:style>
  <w:style w:type="character" w:styleId="52">
    <w:name w:val="HTML Cite"/>
    <w:basedOn w:val="44"/>
    <w:autoRedefine/>
    <w:unhideWhenUsed/>
    <w:qFormat/>
    <w:uiPriority w:val="99"/>
  </w:style>
  <w:style w:type="character" w:styleId="53">
    <w:name w:val="footnote reference"/>
    <w:autoRedefine/>
    <w:qFormat/>
    <w:uiPriority w:val="0"/>
    <w:rPr>
      <w:rFonts w:ascii="Tahoma" w:hAnsi="Tahoma" w:eastAsia="宋体" w:cs="Times New Roman"/>
      <w:kern w:val="2"/>
      <w:sz w:val="24"/>
      <w:szCs w:val="24"/>
      <w:vertAlign w:val="superscript"/>
      <w:lang w:val="en-US" w:eastAsia="zh-CN" w:bidi="ar-SA"/>
    </w:rPr>
  </w:style>
  <w:style w:type="paragraph" w:customStyle="1" w:styleId="5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55">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57">
    <w:name w:val="目录 62"/>
    <w:next w:val="1"/>
    <w:autoRedefine/>
    <w:qFormat/>
    <w:uiPriority w:val="0"/>
    <w:rPr>
      <w:rFonts w:ascii="Times New Roman" w:hAnsi="Times New Roman" w:eastAsia="宋体" w:cs="Times New Roman"/>
      <w:sz w:val="21"/>
      <w:lang w:val="en-US" w:eastAsia="zh-CN" w:bidi="ar-SA"/>
    </w:rPr>
  </w:style>
  <w:style w:type="paragraph" w:customStyle="1" w:styleId="58">
    <w:name w:val="Char"/>
    <w:basedOn w:val="1"/>
    <w:autoRedefine/>
    <w:qFormat/>
    <w:uiPriority w:val="0"/>
    <w:rPr>
      <w:rFonts w:ascii="仿宋_GB2312" w:eastAsia="仿宋_GB2312"/>
      <w:b/>
      <w:sz w:val="32"/>
      <w:szCs w:val="32"/>
    </w:rPr>
  </w:style>
  <w:style w:type="character" w:customStyle="1" w:styleId="59">
    <w:name w:val="标题 Char"/>
    <w:link w:val="38"/>
    <w:autoRedefine/>
    <w:qFormat/>
    <w:uiPriority w:val="0"/>
    <w:rPr>
      <w:rFonts w:ascii="Arial" w:hAnsi="Arial" w:eastAsia="宋体" w:cs="Arial"/>
      <w:b/>
      <w:bCs/>
      <w:kern w:val="2"/>
      <w:sz w:val="32"/>
      <w:szCs w:val="32"/>
    </w:rPr>
  </w:style>
  <w:style w:type="character" w:customStyle="1" w:styleId="60">
    <w:name w:val="标题 1 Char1"/>
    <w:autoRedefine/>
    <w:qFormat/>
    <w:uiPriority w:val="0"/>
    <w:rPr>
      <w:rFonts w:ascii="Times New Roman" w:hAnsi="Times New Roman" w:eastAsia="宋体" w:cs="Times New Roman"/>
      <w:b/>
      <w:bCs/>
      <w:kern w:val="44"/>
      <w:sz w:val="32"/>
      <w:lang w:val="en-US" w:eastAsia="zh-CN" w:bidi="ar-SA"/>
    </w:rPr>
  </w:style>
  <w:style w:type="character" w:customStyle="1" w:styleId="61">
    <w:name w:val="标题 2 字符"/>
    <w:link w:val="3"/>
    <w:autoRedefine/>
    <w:qFormat/>
    <w:uiPriority w:val="0"/>
    <w:rPr>
      <w:rFonts w:ascii="Arial" w:hAnsi="Arial" w:eastAsia="宋体" w:cs="Times New Roman"/>
      <w:b/>
      <w:bCs/>
      <w:kern w:val="2"/>
      <w:sz w:val="21"/>
      <w:szCs w:val="32"/>
    </w:rPr>
  </w:style>
  <w:style w:type="character" w:customStyle="1" w:styleId="62">
    <w:name w:val="正文缩进 Char"/>
    <w:link w:val="5"/>
    <w:autoRedefine/>
    <w:qFormat/>
    <w:uiPriority w:val="0"/>
    <w:rPr>
      <w:rFonts w:ascii="Times New Roman" w:hAnsi="Times New Roman" w:eastAsia="宋体" w:cs="Times New Roman"/>
      <w:kern w:val="2"/>
      <w:sz w:val="21"/>
      <w:lang w:val="en-US" w:eastAsia="zh-CN" w:bidi="ar-SA"/>
    </w:rPr>
  </w:style>
  <w:style w:type="character" w:customStyle="1" w:styleId="63">
    <w:name w:val="标题 4 Char"/>
    <w:link w:val="6"/>
    <w:autoRedefine/>
    <w:qFormat/>
    <w:uiPriority w:val="0"/>
    <w:rPr>
      <w:rFonts w:ascii="Cambria" w:hAnsi="Cambria" w:eastAsia="宋体" w:cs="Times New Roman"/>
      <w:b/>
      <w:bCs/>
      <w:kern w:val="2"/>
      <w:sz w:val="28"/>
      <w:szCs w:val="28"/>
    </w:rPr>
  </w:style>
  <w:style w:type="character" w:customStyle="1" w:styleId="64">
    <w:name w:val="标题 5 Char"/>
    <w:link w:val="7"/>
    <w:autoRedefine/>
    <w:qFormat/>
    <w:uiPriority w:val="0"/>
    <w:rPr>
      <w:rFonts w:ascii="Times New Roman" w:hAnsi="Times New Roman" w:eastAsia="宋体" w:cs="Times New Roman"/>
      <w:b/>
      <w:bCs/>
      <w:kern w:val="2"/>
      <w:sz w:val="28"/>
      <w:szCs w:val="28"/>
    </w:rPr>
  </w:style>
  <w:style w:type="character" w:customStyle="1" w:styleId="65">
    <w:name w:val="标题 6 Char"/>
    <w:link w:val="8"/>
    <w:autoRedefine/>
    <w:qFormat/>
    <w:uiPriority w:val="0"/>
    <w:rPr>
      <w:rFonts w:ascii="Cambria" w:hAnsi="Cambria" w:eastAsia="宋体" w:cs="Times New Roman"/>
      <w:b/>
      <w:bCs/>
      <w:kern w:val="2"/>
      <w:sz w:val="24"/>
      <w:szCs w:val="24"/>
    </w:rPr>
  </w:style>
  <w:style w:type="character" w:customStyle="1" w:styleId="66">
    <w:name w:val="文档结构图 Char1"/>
    <w:link w:val="12"/>
    <w:autoRedefine/>
    <w:qFormat/>
    <w:uiPriority w:val="0"/>
    <w:rPr>
      <w:rFonts w:ascii="宋体" w:hAnsi="Times New Roman" w:eastAsia="宋体" w:cs="Times New Roman"/>
      <w:kern w:val="2"/>
      <w:sz w:val="18"/>
      <w:szCs w:val="18"/>
    </w:rPr>
  </w:style>
  <w:style w:type="character" w:customStyle="1" w:styleId="67">
    <w:name w:val="批注文字 Char"/>
    <w:link w:val="13"/>
    <w:autoRedefine/>
    <w:qFormat/>
    <w:uiPriority w:val="0"/>
    <w:rPr>
      <w:rFonts w:ascii="Times New Roman" w:hAnsi="Times New Roman" w:eastAsia="宋体" w:cs="Times New Roman"/>
      <w:kern w:val="2"/>
      <w:sz w:val="21"/>
      <w:szCs w:val="24"/>
    </w:rPr>
  </w:style>
  <w:style w:type="character" w:customStyle="1" w:styleId="68">
    <w:name w:val="正文文本 3 Char"/>
    <w:link w:val="14"/>
    <w:autoRedefine/>
    <w:qFormat/>
    <w:uiPriority w:val="0"/>
    <w:rPr>
      <w:rFonts w:ascii="Times New Roman" w:hAnsi="Times New Roman" w:eastAsia="宋体" w:cs="Times New Roman"/>
      <w:kern w:val="2"/>
      <w:sz w:val="16"/>
      <w:szCs w:val="16"/>
    </w:rPr>
  </w:style>
  <w:style w:type="character" w:customStyle="1" w:styleId="69">
    <w:name w:val="正文文本 Char1"/>
    <w:link w:val="15"/>
    <w:autoRedefine/>
    <w:qFormat/>
    <w:uiPriority w:val="0"/>
    <w:rPr>
      <w:rFonts w:ascii="Times New Roman" w:hAnsi="Times New Roman" w:eastAsia="宋体" w:cs="Times New Roman"/>
      <w:kern w:val="2"/>
      <w:sz w:val="21"/>
      <w:szCs w:val="24"/>
    </w:rPr>
  </w:style>
  <w:style w:type="character" w:customStyle="1" w:styleId="70">
    <w:name w:val="正文文本缩进 Char"/>
    <w:link w:val="17"/>
    <w:autoRedefine/>
    <w:qFormat/>
    <w:uiPriority w:val="0"/>
    <w:rPr>
      <w:rFonts w:ascii="Times New Roman" w:hAnsi="Times New Roman" w:eastAsia="宋体" w:cs="Times New Roman"/>
      <w:kern w:val="2"/>
      <w:sz w:val="21"/>
      <w:szCs w:val="24"/>
    </w:rPr>
  </w:style>
  <w:style w:type="character" w:customStyle="1" w:styleId="71">
    <w:name w:val="纯文本 Char"/>
    <w:link w:val="21"/>
    <w:autoRedefine/>
    <w:qFormat/>
    <w:uiPriority w:val="0"/>
    <w:rPr>
      <w:rFonts w:ascii="宋体" w:hAnsi="Courier New" w:eastAsia="宋体" w:cs="Times New Roman"/>
      <w:kern w:val="2"/>
      <w:sz w:val="24"/>
      <w:szCs w:val="24"/>
      <w:lang w:val="en-US" w:eastAsia="zh-CN" w:bidi="ar-SA"/>
    </w:rPr>
  </w:style>
  <w:style w:type="character" w:customStyle="1" w:styleId="72">
    <w:name w:val="日期 Char1"/>
    <w:link w:val="23"/>
    <w:autoRedefine/>
    <w:qFormat/>
    <w:uiPriority w:val="0"/>
    <w:rPr>
      <w:rFonts w:ascii="Times New Roman" w:hAnsi="Times New Roman" w:eastAsia="宋体" w:cs="Times New Roman"/>
      <w:kern w:val="2"/>
      <w:sz w:val="21"/>
      <w:szCs w:val="24"/>
    </w:rPr>
  </w:style>
  <w:style w:type="character" w:customStyle="1" w:styleId="73">
    <w:name w:val="正文文本缩进 2 Char"/>
    <w:link w:val="24"/>
    <w:autoRedefine/>
    <w:qFormat/>
    <w:uiPriority w:val="0"/>
    <w:rPr>
      <w:rFonts w:ascii="仿宋_GB2312" w:hAnsi="宋体" w:eastAsia="宋体" w:cs="Arial"/>
      <w:b/>
      <w:bCs/>
      <w:color w:val="000000"/>
      <w:kern w:val="2"/>
      <w:sz w:val="24"/>
      <w:szCs w:val="24"/>
    </w:rPr>
  </w:style>
  <w:style w:type="character" w:customStyle="1" w:styleId="74">
    <w:name w:val="批注框文本 Char"/>
    <w:link w:val="25"/>
    <w:autoRedefine/>
    <w:qFormat/>
    <w:uiPriority w:val="0"/>
    <w:rPr>
      <w:rFonts w:ascii="Times New Roman" w:hAnsi="Times New Roman" w:eastAsia="宋体" w:cs="Times New Roman"/>
      <w:kern w:val="2"/>
      <w:sz w:val="18"/>
      <w:szCs w:val="18"/>
    </w:rPr>
  </w:style>
  <w:style w:type="character" w:customStyle="1" w:styleId="75">
    <w:name w:val="页脚 Char"/>
    <w:link w:val="26"/>
    <w:autoRedefine/>
    <w:qFormat/>
    <w:uiPriority w:val="0"/>
    <w:rPr>
      <w:rFonts w:ascii="Times New Roman" w:hAnsi="Times New Roman" w:eastAsia="黑体" w:cs="Times New Roman"/>
      <w:snapToGrid w:val="0"/>
      <w:sz w:val="18"/>
      <w:szCs w:val="18"/>
    </w:rPr>
  </w:style>
  <w:style w:type="character" w:customStyle="1" w:styleId="76">
    <w:name w:val="页眉 Char"/>
    <w:link w:val="28"/>
    <w:autoRedefine/>
    <w:qFormat/>
    <w:uiPriority w:val="0"/>
    <w:rPr>
      <w:rFonts w:ascii="Times New Roman" w:hAnsi="Times New Roman" w:eastAsia="宋体" w:cs="Times New Roman"/>
      <w:kern w:val="2"/>
      <w:sz w:val="18"/>
      <w:szCs w:val="18"/>
    </w:rPr>
  </w:style>
  <w:style w:type="character" w:customStyle="1" w:styleId="77">
    <w:name w:val="脚注文本 Char"/>
    <w:link w:val="31"/>
    <w:autoRedefine/>
    <w:qFormat/>
    <w:uiPriority w:val="0"/>
    <w:rPr>
      <w:rFonts w:ascii="Tahoma" w:hAnsi="Tahoma" w:eastAsia="宋体" w:cs="Times New Roman"/>
      <w:kern w:val="2"/>
      <w:sz w:val="18"/>
      <w:szCs w:val="18"/>
    </w:rPr>
  </w:style>
  <w:style w:type="character" w:customStyle="1" w:styleId="78">
    <w:name w:val="正文文本缩进 3 Char"/>
    <w:link w:val="33"/>
    <w:autoRedefine/>
    <w:qFormat/>
    <w:uiPriority w:val="0"/>
    <w:rPr>
      <w:rFonts w:ascii="Times New Roman" w:hAnsi="Times New Roman" w:eastAsia="宋体" w:cs="Times New Roman"/>
      <w:kern w:val="2"/>
      <w:sz w:val="21"/>
    </w:rPr>
  </w:style>
  <w:style w:type="character" w:customStyle="1" w:styleId="79">
    <w:name w:val="HTML 预设格式 Char"/>
    <w:link w:val="36"/>
    <w:autoRedefine/>
    <w:qFormat/>
    <w:uiPriority w:val="0"/>
    <w:rPr>
      <w:rFonts w:ascii="Arial" w:hAnsi="Arial" w:eastAsia="宋体" w:cs="Arial"/>
      <w:sz w:val="24"/>
      <w:szCs w:val="24"/>
    </w:rPr>
  </w:style>
  <w:style w:type="character" w:customStyle="1" w:styleId="80">
    <w:name w:val="批注主题 Char"/>
    <w:link w:val="39"/>
    <w:autoRedefine/>
    <w:qFormat/>
    <w:uiPriority w:val="0"/>
    <w:rPr>
      <w:rFonts w:ascii="Times New Roman" w:hAnsi="Times New Roman" w:eastAsia="宋体" w:cs="Times New Roman"/>
      <w:kern w:val="2"/>
      <w:sz w:val="21"/>
      <w:szCs w:val="24"/>
    </w:rPr>
  </w:style>
  <w:style w:type="character" w:customStyle="1" w:styleId="81">
    <w:name w:val="正文首行缩进 Char"/>
    <w:link w:val="40"/>
    <w:autoRedefine/>
    <w:qFormat/>
    <w:uiPriority w:val="0"/>
    <w:rPr>
      <w:rFonts w:ascii="Times New Roman" w:hAnsi="Times New Roman" w:eastAsia="宋体" w:cs="Times New Roman"/>
      <w:kern w:val="2"/>
      <w:sz w:val="21"/>
      <w:szCs w:val="22"/>
    </w:rPr>
  </w:style>
  <w:style w:type="character" w:customStyle="1" w:styleId="82">
    <w:name w:val="正文首行缩进 2 Char"/>
    <w:basedOn w:val="44"/>
    <w:link w:val="41"/>
    <w:autoRedefine/>
    <w:qFormat/>
    <w:uiPriority w:val="0"/>
    <w:rPr>
      <w:rFonts w:hint="default" w:ascii="Calibri" w:hAnsi="Calibri" w:eastAsia="宋体" w:cs="Calibri"/>
      <w:kern w:val="2"/>
      <w:sz w:val="21"/>
      <w:szCs w:val="24"/>
      <w:lang w:val="en-US" w:eastAsia="zh-CN"/>
    </w:rPr>
  </w:style>
  <w:style w:type="character" w:customStyle="1" w:styleId="83">
    <w:name w:val="标题 1 Char"/>
    <w:link w:val="2"/>
    <w:autoRedefine/>
    <w:qFormat/>
    <w:uiPriority w:val="0"/>
    <w:rPr>
      <w:rFonts w:ascii="Times New Roman" w:hAnsi="Times New Roman" w:eastAsia="宋体" w:cs="Times New Roman"/>
      <w:b/>
      <w:bCs/>
      <w:kern w:val="44"/>
      <w:sz w:val="32"/>
      <w:lang w:val="en-US" w:eastAsia="zh-CN" w:bidi="ar-SA"/>
    </w:rPr>
  </w:style>
  <w:style w:type="character" w:customStyle="1" w:styleId="84">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5">
    <w:name w:val="标题 Char1"/>
    <w:autoRedefine/>
    <w:qFormat/>
    <w:uiPriority w:val="0"/>
    <w:rPr>
      <w:rFonts w:ascii="Cambria" w:hAnsi="Cambria" w:eastAsia="宋体" w:cs="Times New Roman"/>
      <w:b/>
      <w:bCs/>
      <w:kern w:val="2"/>
      <w:sz w:val="32"/>
      <w:szCs w:val="32"/>
    </w:rPr>
  </w:style>
  <w:style w:type="character" w:customStyle="1" w:styleId="86">
    <w:name w:val="ca-39"/>
    <w:autoRedefine/>
    <w:qFormat/>
    <w:uiPriority w:val="0"/>
    <w:rPr>
      <w:rFonts w:ascii="Times New Roman" w:hAnsi="Times New Roman" w:eastAsia="宋体" w:cs="Times New Roman"/>
    </w:rPr>
  </w:style>
  <w:style w:type="character" w:customStyle="1" w:styleId="87">
    <w:name w:val="apple-converted-space"/>
    <w:autoRedefine/>
    <w:qFormat/>
    <w:uiPriority w:val="0"/>
    <w:rPr>
      <w:rFonts w:ascii="Times New Roman" w:hAnsi="Times New Roman" w:eastAsia="宋体" w:cs="Times New Roman"/>
    </w:rPr>
  </w:style>
  <w:style w:type="character" w:customStyle="1" w:styleId="88">
    <w:name w:val="样式 首行缩进:  0.74 厘米 Char"/>
    <w:link w:val="89"/>
    <w:autoRedefine/>
    <w:qFormat/>
    <w:uiPriority w:val="0"/>
    <w:rPr>
      <w:rFonts w:ascii="宋体" w:hAnsi="宋体" w:eastAsia="宋体" w:cs="宋体"/>
      <w:b/>
      <w:kern w:val="2"/>
      <w:sz w:val="24"/>
      <w:szCs w:val="24"/>
    </w:rPr>
  </w:style>
  <w:style w:type="paragraph" w:customStyle="1" w:styleId="89">
    <w:name w:val="样式 首行缩进:  0.74 厘米"/>
    <w:basedOn w:val="1"/>
    <w:link w:val="88"/>
    <w:autoRedefine/>
    <w:qFormat/>
    <w:uiPriority w:val="0"/>
    <w:pPr>
      <w:tabs>
        <w:tab w:val="left" w:pos="851"/>
      </w:tabs>
      <w:spacing w:line="360" w:lineRule="auto"/>
    </w:pPr>
    <w:rPr>
      <w:rFonts w:ascii="宋体" w:hAnsi="宋体"/>
      <w:b/>
      <w:sz w:val="24"/>
    </w:rPr>
  </w:style>
  <w:style w:type="character" w:customStyle="1" w:styleId="90">
    <w:name w:val="脚注文本 Char1"/>
    <w:autoRedefine/>
    <w:qFormat/>
    <w:uiPriority w:val="0"/>
    <w:rPr>
      <w:rFonts w:ascii="Times New Roman" w:hAnsi="Times New Roman" w:eastAsia="宋体" w:cs="Times New Roman"/>
      <w:kern w:val="2"/>
      <w:sz w:val="18"/>
      <w:szCs w:val="18"/>
    </w:rPr>
  </w:style>
  <w:style w:type="character" w:customStyle="1" w:styleId="91">
    <w:name w:val="Heading 2 Hidden Char2"/>
    <w:autoRedefine/>
    <w:qFormat/>
    <w:uiPriority w:val="0"/>
    <w:rPr>
      <w:rFonts w:ascii="Arial" w:hAnsi="Arial" w:eastAsia="黑体" w:cs="Times New Roman"/>
      <w:b/>
      <w:bCs/>
      <w:kern w:val="2"/>
      <w:sz w:val="32"/>
      <w:szCs w:val="32"/>
      <w:lang w:val="en-US" w:eastAsia="zh-CN" w:bidi="ar-SA"/>
    </w:rPr>
  </w:style>
  <w:style w:type="character" w:customStyle="1" w:styleId="92">
    <w:name w:val="List Paragraph Char"/>
    <w:link w:val="93"/>
    <w:autoRedefine/>
    <w:qFormat/>
    <w:uiPriority w:val="0"/>
    <w:rPr>
      <w:rFonts w:ascii="Calibri" w:hAnsi="Calibri" w:eastAsia="宋体" w:cs="Times New Roman"/>
      <w:kern w:val="2"/>
      <w:sz w:val="21"/>
      <w:szCs w:val="22"/>
    </w:rPr>
  </w:style>
  <w:style w:type="paragraph" w:customStyle="1" w:styleId="93">
    <w:name w:val="列出段落1"/>
    <w:basedOn w:val="1"/>
    <w:link w:val="92"/>
    <w:autoRedefine/>
    <w:qFormat/>
    <w:uiPriority w:val="0"/>
    <w:pPr>
      <w:ind w:firstLine="420" w:firstLineChars="200"/>
    </w:pPr>
    <w:rPr>
      <w:rFonts w:ascii="Calibri" w:hAnsi="Calibri"/>
      <w:szCs w:val="22"/>
    </w:rPr>
  </w:style>
  <w:style w:type="character" w:customStyle="1" w:styleId="94">
    <w:name w:val="font61"/>
    <w:autoRedefine/>
    <w:qFormat/>
    <w:uiPriority w:val="0"/>
    <w:rPr>
      <w:rFonts w:hint="eastAsia" w:ascii="微软雅黑" w:hAnsi="微软雅黑" w:eastAsia="微软雅黑" w:cs="微软雅黑"/>
      <w:color w:val="000000"/>
      <w:sz w:val="20"/>
      <w:szCs w:val="20"/>
      <w:u w:val="none"/>
    </w:rPr>
  </w:style>
  <w:style w:type="character" w:customStyle="1" w:styleId="95">
    <w:name w:val="文档结构图 Char"/>
    <w:link w:val="96"/>
    <w:autoRedefine/>
    <w:qFormat/>
    <w:uiPriority w:val="0"/>
    <w:rPr>
      <w:rFonts w:ascii="宋体" w:hAnsi="Times New Roman" w:eastAsia="宋体" w:cs="Times New Roman"/>
      <w:sz w:val="18"/>
      <w:szCs w:val="18"/>
    </w:rPr>
  </w:style>
  <w:style w:type="paragraph" w:customStyle="1" w:styleId="96">
    <w:name w:val="文档结构图1"/>
    <w:basedOn w:val="1"/>
    <w:link w:val="95"/>
    <w:autoRedefine/>
    <w:qFormat/>
    <w:uiPriority w:val="0"/>
    <w:rPr>
      <w:rFonts w:ascii="宋体"/>
      <w:kern w:val="0"/>
      <w:sz w:val="18"/>
      <w:szCs w:val="18"/>
    </w:rPr>
  </w:style>
  <w:style w:type="character" w:customStyle="1" w:styleId="97">
    <w:name w:val="正文文本缩进 3 Char1"/>
    <w:autoRedefine/>
    <w:qFormat/>
    <w:uiPriority w:val="0"/>
    <w:rPr>
      <w:rFonts w:ascii="Times New Roman" w:hAnsi="Times New Roman" w:eastAsia="宋体" w:cs="Times New Roman"/>
      <w:kern w:val="2"/>
      <w:sz w:val="16"/>
      <w:szCs w:val="16"/>
    </w:rPr>
  </w:style>
  <w:style w:type="character" w:customStyle="1" w:styleId="98">
    <w:name w:val="h2 Char"/>
    <w:autoRedefine/>
    <w:qFormat/>
    <w:uiPriority w:val="0"/>
    <w:rPr>
      <w:rFonts w:ascii="Arial" w:hAnsi="Arial" w:eastAsia="黑体" w:cs="Times New Roman"/>
      <w:b/>
      <w:bCs/>
      <w:kern w:val="2"/>
      <w:sz w:val="32"/>
      <w:szCs w:val="32"/>
      <w:lang w:val="en-US" w:eastAsia="zh-CN" w:bidi="ar-SA"/>
    </w:rPr>
  </w:style>
  <w:style w:type="character" w:styleId="99">
    <w:name w:val="Placeholder Text"/>
    <w:autoRedefine/>
    <w:qFormat/>
    <w:uiPriority w:val="0"/>
    <w:rPr>
      <w:rFonts w:ascii="Times New Roman" w:hAnsi="Times New Roman" w:eastAsia="宋体" w:cs="Times New Roman"/>
      <w:color w:val="808080"/>
    </w:rPr>
  </w:style>
  <w:style w:type="character" w:customStyle="1" w:styleId="100">
    <w:name w:val="标题 2 Char"/>
    <w:link w:val="3"/>
    <w:autoRedefine/>
    <w:qFormat/>
    <w:uiPriority w:val="0"/>
    <w:rPr>
      <w:rFonts w:hint="eastAsia" w:ascii="文鼎小标宋简" w:hAnsi="Times New Roman" w:eastAsia="文鼎小标宋简" w:cs="Times New Roman"/>
      <w:b/>
      <w:sz w:val="36"/>
      <w:lang w:val="en-US" w:eastAsia="zh-CN" w:bidi="ar-SA"/>
    </w:rPr>
  </w:style>
  <w:style w:type="character" w:customStyle="1" w:styleId="101">
    <w:name w:val="标题 3 Char"/>
    <w:autoRedefine/>
    <w:qFormat/>
    <w:uiPriority w:val="0"/>
    <w:rPr>
      <w:rFonts w:ascii="Times New Roman" w:hAnsi="Times New Roman" w:eastAsia="黑体" w:cs="Times New Roman"/>
      <w:b/>
      <w:sz w:val="28"/>
      <w:lang w:val="en-US" w:eastAsia="zh-CN" w:bidi="ar-SA"/>
    </w:rPr>
  </w:style>
  <w:style w:type="character" w:customStyle="1" w:styleId="102">
    <w:name w:val="正文文本 Char"/>
    <w:autoRedefine/>
    <w:qFormat/>
    <w:uiPriority w:val="0"/>
    <w:rPr>
      <w:rFonts w:ascii="Times New Roman" w:hAnsi="Times New Roman" w:eastAsia="宋体" w:cs="Times New Roman"/>
      <w:kern w:val="2"/>
      <w:sz w:val="21"/>
      <w:szCs w:val="24"/>
    </w:rPr>
  </w:style>
  <w:style w:type="character" w:customStyle="1" w:styleId="103">
    <w:name w:val="无间距字符"/>
    <w:link w:val="104"/>
    <w:autoRedefine/>
    <w:qFormat/>
    <w:uiPriority w:val="0"/>
    <w:rPr>
      <w:rFonts w:ascii="Calibri" w:hAnsi="Calibri"/>
      <w:sz w:val="22"/>
      <w:szCs w:val="22"/>
      <w:lang w:val="en-US" w:eastAsia="zh-CN" w:bidi="ar-SA"/>
    </w:rPr>
  </w:style>
  <w:style w:type="paragraph" w:customStyle="1" w:styleId="104">
    <w:name w:val="无间距"/>
    <w:link w:val="103"/>
    <w:autoRedefine/>
    <w:qFormat/>
    <w:uiPriority w:val="0"/>
    <w:rPr>
      <w:rFonts w:ascii="Calibri" w:hAnsi="Calibri" w:eastAsia="宋体" w:cs="Times New Roman"/>
      <w:sz w:val="22"/>
      <w:szCs w:val="22"/>
      <w:lang w:val="en-US" w:eastAsia="zh-CN" w:bidi="ar-SA"/>
    </w:rPr>
  </w:style>
  <w:style w:type="character" w:customStyle="1" w:styleId="105">
    <w:name w:val="日期 Char"/>
    <w:autoRedefine/>
    <w:qFormat/>
    <w:uiPriority w:val="0"/>
    <w:rPr>
      <w:rFonts w:ascii="Times New Roman" w:hAnsi="Times New Roman" w:eastAsia="宋体" w:cs="Times New Roman"/>
      <w:kern w:val="2"/>
      <w:sz w:val="24"/>
    </w:rPr>
  </w:style>
  <w:style w:type="character" w:customStyle="1" w:styleId="106">
    <w:name w:val="NormalCharacter"/>
    <w:link w:val="107"/>
    <w:autoRedefine/>
    <w:qFormat/>
    <w:uiPriority w:val="0"/>
    <w:rPr>
      <w:rFonts w:ascii="仿宋_GB2312" w:hAnsi="宋体" w:eastAsia="仿宋_GB2312"/>
      <w:color w:val="000000"/>
      <w:kern w:val="2"/>
      <w:sz w:val="24"/>
      <w:szCs w:val="24"/>
      <w:lang w:val="en-US" w:eastAsia="zh-CN" w:bidi="ar-SA"/>
    </w:rPr>
  </w:style>
  <w:style w:type="paragraph" w:customStyle="1" w:styleId="107">
    <w:name w:val="UserStyle_73"/>
    <w:basedOn w:val="1"/>
    <w:link w:val="106"/>
    <w:autoRedefine/>
    <w:qFormat/>
    <w:uiPriority w:val="0"/>
    <w:pPr>
      <w:jc w:val="both"/>
      <w:textAlignment w:val="baseline"/>
    </w:pPr>
    <w:rPr>
      <w:rFonts w:ascii="仿宋_GB2312" w:hAnsi="宋体" w:eastAsia="仿宋_GB2312"/>
      <w:color w:val="000000"/>
      <w:kern w:val="2"/>
      <w:sz w:val="24"/>
      <w:szCs w:val="24"/>
      <w:lang w:val="en-US" w:eastAsia="zh-CN" w:bidi="ar-SA"/>
    </w:rPr>
  </w:style>
  <w:style w:type="character" w:customStyle="1" w:styleId="108">
    <w:name w:val="font01"/>
    <w:autoRedefine/>
    <w:qFormat/>
    <w:uiPriority w:val="0"/>
    <w:rPr>
      <w:rFonts w:hint="eastAsia" w:ascii="宋体" w:hAnsi="宋体" w:eastAsia="宋体" w:cs="宋体"/>
      <w:color w:val="000000"/>
      <w:kern w:val="0"/>
      <w:sz w:val="24"/>
      <w:szCs w:val="24"/>
      <w:u w:val="none"/>
    </w:rPr>
  </w:style>
  <w:style w:type="character" w:customStyle="1" w:styleId="109">
    <w:name w:val="列出段落 Char"/>
    <w:link w:val="110"/>
    <w:autoRedefine/>
    <w:qFormat/>
    <w:uiPriority w:val="0"/>
    <w:rPr>
      <w:rFonts w:ascii="Times New Roman" w:hAnsi="Times New Roman" w:eastAsia="宋体" w:cs="Times New Roman"/>
      <w:kern w:val="2"/>
      <w:sz w:val="21"/>
      <w:szCs w:val="24"/>
    </w:rPr>
  </w:style>
  <w:style w:type="paragraph" w:customStyle="1" w:styleId="110">
    <w:name w:val="列出段落2"/>
    <w:basedOn w:val="1"/>
    <w:link w:val="109"/>
    <w:autoRedefine/>
    <w:qFormat/>
    <w:uiPriority w:val="0"/>
    <w:pPr>
      <w:ind w:firstLine="420" w:firstLineChars="200"/>
    </w:pPr>
  </w:style>
  <w:style w:type="character" w:customStyle="1" w:styleId="111">
    <w:name w:val="apple-style-span"/>
    <w:autoRedefine/>
    <w:qFormat/>
    <w:uiPriority w:val="0"/>
    <w:rPr>
      <w:rFonts w:ascii="Times New Roman" w:hAnsi="Times New Roman" w:eastAsia="宋体" w:cs="Times New Roman"/>
    </w:rPr>
  </w:style>
  <w:style w:type="character" w:customStyle="1" w:styleId="112">
    <w:name w:val="普通文字 Char Char1"/>
    <w:autoRedefine/>
    <w:qFormat/>
    <w:uiPriority w:val="0"/>
    <w:rPr>
      <w:rFonts w:hint="eastAsia" w:ascii="宋体" w:hAnsi="Courier New" w:eastAsia="宋体" w:cs="宋体"/>
      <w:kern w:val="2"/>
      <w:sz w:val="24"/>
      <w:szCs w:val="24"/>
      <w:lang w:val="en-US" w:eastAsia="zh-CN"/>
    </w:rPr>
  </w:style>
  <w:style w:type="character" w:customStyle="1" w:styleId="113">
    <w:name w:val="p141"/>
    <w:autoRedefine/>
    <w:qFormat/>
    <w:uiPriority w:val="0"/>
    <w:rPr>
      <w:rFonts w:ascii="Times New Roman" w:hAnsi="Times New Roman" w:eastAsia="宋体" w:cs="Times New Roman"/>
      <w:sz w:val="21"/>
      <w:szCs w:val="21"/>
      <w:u w:val="none"/>
    </w:rPr>
  </w:style>
  <w:style w:type="character" w:customStyle="1" w:styleId="114">
    <w:name w:val="cpxl1"/>
    <w:autoRedefine/>
    <w:qFormat/>
    <w:uiPriority w:val="0"/>
    <w:rPr>
      <w:rFonts w:ascii="Times New Roman" w:hAnsi="Times New Roman" w:eastAsia="宋体" w:cs="Times New Roman"/>
      <w:color w:val="000000"/>
      <w:sz w:val="24"/>
      <w:szCs w:val="24"/>
      <w:u w:val="none"/>
    </w:rPr>
  </w:style>
  <w:style w:type="character" w:customStyle="1" w:styleId="115">
    <w:name w:val="正文二级标题 Char"/>
    <w:autoRedefine/>
    <w:qFormat/>
    <w:uiPriority w:val="0"/>
    <w:rPr>
      <w:rFonts w:hint="default" w:ascii="Arial" w:hAnsi="Arial" w:eastAsia="黑体" w:cs="Arial"/>
      <w:b/>
      <w:kern w:val="2"/>
      <w:sz w:val="32"/>
      <w:szCs w:val="32"/>
      <w:lang w:val="en-US" w:eastAsia="zh-CN"/>
    </w:rPr>
  </w:style>
  <w:style w:type="character" w:customStyle="1" w:styleId="116">
    <w:name w:val="标书1 Char"/>
    <w:autoRedefine/>
    <w:qFormat/>
    <w:uiPriority w:val="0"/>
    <w:rPr>
      <w:rFonts w:hint="eastAsia" w:ascii="宋体" w:hAnsi="宋体" w:eastAsia="宋体" w:cs="宋体"/>
      <w:bCs/>
      <w:kern w:val="44"/>
      <w:sz w:val="44"/>
      <w:lang w:val="en-US" w:eastAsia="zh-CN"/>
    </w:rPr>
  </w:style>
  <w:style w:type="character" w:customStyle="1" w:styleId="117">
    <w:name w:val="正文小标题 Char"/>
    <w:autoRedefine/>
    <w:qFormat/>
    <w:uiPriority w:val="0"/>
    <w:rPr>
      <w:rFonts w:ascii="Times New Roman" w:hAnsi="Times New Roman" w:eastAsia="宋体" w:cs="Times New Roman"/>
      <w:kern w:val="2"/>
      <w:sz w:val="21"/>
      <w:szCs w:val="24"/>
    </w:rPr>
  </w:style>
  <w:style w:type="character" w:customStyle="1" w:styleId="118">
    <w:name w:val="hui"/>
    <w:autoRedefine/>
    <w:qFormat/>
    <w:uiPriority w:val="0"/>
    <w:rPr>
      <w:rFonts w:ascii="Times New Roman" w:hAnsi="Times New Roman" w:eastAsia="宋体" w:cs="Times New Roman"/>
    </w:rPr>
  </w:style>
  <w:style w:type="character" w:customStyle="1" w:styleId="119">
    <w:name w:val="批注主题 Char1"/>
    <w:autoRedefine/>
    <w:qFormat/>
    <w:uiPriority w:val="0"/>
    <w:rPr>
      <w:rFonts w:ascii="Times New Roman" w:hAnsi="Times New Roman" w:eastAsia="宋体" w:cs="Times New Roman"/>
      <w:b/>
      <w:bCs/>
      <w:kern w:val="2"/>
      <w:sz w:val="21"/>
      <w:szCs w:val="24"/>
    </w:rPr>
  </w:style>
  <w:style w:type="character" w:customStyle="1" w:styleId="120">
    <w:name w:val="纯文本 Char1"/>
    <w:autoRedefine/>
    <w:qFormat/>
    <w:uiPriority w:val="0"/>
    <w:rPr>
      <w:rFonts w:ascii="宋体" w:hAnsi="Courier New" w:eastAsia="宋体" w:cs="Times New Roman"/>
      <w:szCs w:val="20"/>
    </w:rPr>
  </w:style>
  <w:style w:type="character" w:customStyle="1" w:styleId="121">
    <w:name w:val="正文缩进 Char1"/>
    <w:link w:val="122"/>
    <w:autoRedefine/>
    <w:qFormat/>
    <w:uiPriority w:val="0"/>
    <w:rPr>
      <w:rFonts w:ascii="Times New Roman" w:hAnsi="Times New Roman" w:eastAsia="宋体" w:cs="Times New Roman"/>
    </w:rPr>
  </w:style>
  <w:style w:type="paragraph" w:customStyle="1" w:styleId="122">
    <w:name w:val="正文缩进1"/>
    <w:basedOn w:val="1"/>
    <w:link w:val="121"/>
    <w:autoRedefine/>
    <w:qFormat/>
    <w:uiPriority w:val="0"/>
    <w:pPr>
      <w:widowControl/>
      <w:ind w:firstLine="420"/>
      <w:jc w:val="left"/>
    </w:pPr>
    <w:rPr>
      <w:kern w:val="0"/>
      <w:sz w:val="20"/>
      <w:szCs w:val="20"/>
    </w:rPr>
  </w:style>
  <w:style w:type="paragraph" w:customStyle="1" w:styleId="123">
    <w:name w:val="xl85"/>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24">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20"/>
      <w:szCs w:val="20"/>
    </w:rPr>
  </w:style>
  <w:style w:type="paragraph" w:customStyle="1" w:styleId="125">
    <w:name w:val="GP标题2"/>
    <w:basedOn w:val="1"/>
    <w:next w:val="1"/>
    <w:autoRedefine/>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126">
    <w:name w:val="列出段落3"/>
    <w:basedOn w:val="1"/>
    <w:autoRedefine/>
    <w:qFormat/>
    <w:uiPriority w:val="0"/>
    <w:pPr>
      <w:ind w:firstLine="420" w:firstLineChars="200"/>
    </w:pPr>
    <w:rPr>
      <w:rFonts w:ascii="Calibri" w:hAnsi="Calibri"/>
      <w:szCs w:val="22"/>
    </w:rPr>
  </w:style>
  <w:style w:type="paragraph" w:customStyle="1" w:styleId="12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8">
    <w:name w:val="Normal_21"/>
    <w:autoRedefine/>
    <w:qFormat/>
    <w:uiPriority w:val="0"/>
    <w:rPr>
      <w:rFonts w:ascii="黑体" w:hAnsi="黑体" w:eastAsia="黑体" w:cs="Times New Roman"/>
      <w:b/>
      <w:sz w:val="32"/>
      <w:szCs w:val="24"/>
      <w:lang w:val="en-US" w:eastAsia="zh-CN" w:bidi="ar-SA"/>
    </w:rPr>
  </w:style>
  <w:style w:type="paragraph" w:customStyle="1" w:styleId="129">
    <w:name w:val="普通(网站)1"/>
    <w:basedOn w:val="1"/>
    <w:autoRedefine/>
    <w:qFormat/>
    <w:uiPriority w:val="0"/>
    <w:pPr>
      <w:jc w:val="left"/>
    </w:pPr>
    <w:rPr>
      <w:rFonts w:ascii="Calibri" w:hAnsi="Calibri"/>
      <w:kern w:val="0"/>
      <w:sz w:val="24"/>
    </w:rPr>
  </w:style>
  <w:style w:type="paragraph" w:customStyle="1" w:styleId="13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2">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33">
    <w:name w:val="font11"/>
    <w:basedOn w:val="1"/>
    <w:autoRedefine/>
    <w:qFormat/>
    <w:uiPriority w:val="0"/>
    <w:pPr>
      <w:widowControl/>
      <w:spacing w:before="100" w:beforeAutospacing="1" w:after="100" w:afterAutospacing="1"/>
      <w:jc w:val="left"/>
    </w:pPr>
    <w:rPr>
      <w:rFonts w:ascii="新宋体" w:hAnsi="新宋体" w:eastAsia="新宋体" w:cs="宋体"/>
      <w:b/>
      <w:bCs/>
      <w:kern w:val="0"/>
      <w:sz w:val="20"/>
      <w:szCs w:val="20"/>
    </w:rPr>
  </w:style>
  <w:style w:type="paragraph" w:customStyle="1" w:styleId="134">
    <w:name w:val="正文文字缩进 2"/>
    <w:basedOn w:val="1"/>
    <w:next w:val="1"/>
    <w:autoRedefine/>
    <w:qFormat/>
    <w:uiPriority w:val="0"/>
    <w:pPr>
      <w:widowControl/>
      <w:spacing w:after="120" w:line="480" w:lineRule="auto"/>
      <w:ind w:left="420"/>
    </w:pPr>
    <w:rPr>
      <w:color w:val="000000"/>
      <w:szCs w:val="20"/>
    </w:rPr>
  </w:style>
  <w:style w:type="paragraph" w:customStyle="1" w:styleId="13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136">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40">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
    <w:name w:val="文档正文"/>
    <w:basedOn w:val="1"/>
    <w:autoRedefine/>
    <w:qFormat/>
    <w:uiPriority w:val="0"/>
    <w:pPr>
      <w:adjustRightInd w:val="0"/>
      <w:spacing w:line="480" w:lineRule="atLeast"/>
      <w:ind w:firstLine="567"/>
      <w:textAlignment w:val="baseline"/>
    </w:pPr>
    <w:rPr>
      <w:rFonts w:ascii="长城仿宋"/>
      <w:kern w:val="0"/>
      <w:sz w:val="24"/>
      <w:szCs w:val="20"/>
    </w:rPr>
  </w:style>
  <w:style w:type="paragraph" w:customStyle="1" w:styleId="143">
    <w:name w:val="彩色列表 - 强调文字颜色 11"/>
    <w:basedOn w:val="1"/>
    <w:autoRedefine/>
    <w:qFormat/>
    <w:uiPriority w:val="0"/>
    <w:pPr>
      <w:ind w:firstLine="420" w:firstLineChars="200"/>
    </w:pPr>
    <w:rPr>
      <w:rFonts w:ascii="Calibri" w:hAnsi="Calibri"/>
      <w:sz w:val="24"/>
    </w:rPr>
  </w:style>
  <w:style w:type="paragraph" w:customStyle="1" w:styleId="144">
    <w:name w:val="Table Paragraph"/>
    <w:basedOn w:val="1"/>
    <w:autoRedefine/>
    <w:unhideWhenUsed/>
    <w:qFormat/>
    <w:uiPriority w:val="1"/>
    <w:pPr>
      <w:spacing w:before="120"/>
      <w:jc w:val="center"/>
    </w:pPr>
    <w:rPr>
      <w:rFonts w:hint="eastAsia"/>
      <w:sz w:val="24"/>
    </w:rPr>
  </w:style>
  <w:style w:type="paragraph" w:customStyle="1" w:styleId="145">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xl8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48">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50">
    <w:name w:val="HT_列表项目编号2"/>
    <w:basedOn w:val="1"/>
    <w:next w:val="1"/>
    <w:autoRedefine/>
    <w:qFormat/>
    <w:uiPriority w:val="0"/>
    <w:pPr>
      <w:spacing w:beforeLines="50" w:line="360" w:lineRule="auto"/>
      <w:contextualSpacing/>
    </w:pPr>
    <w:rPr>
      <w:b/>
      <w:sz w:val="24"/>
      <w:szCs w:val="20"/>
    </w:rPr>
  </w:style>
  <w:style w:type="paragraph" w:customStyle="1" w:styleId="15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20"/>
      <w:szCs w:val="20"/>
    </w:rPr>
  </w:style>
  <w:style w:type="paragraph" w:customStyle="1" w:styleId="152">
    <w:name w:val="font8"/>
    <w:basedOn w:val="1"/>
    <w:autoRedefine/>
    <w:qFormat/>
    <w:uiPriority w:val="0"/>
    <w:pPr>
      <w:widowControl/>
      <w:spacing w:before="100" w:beforeAutospacing="1" w:after="100" w:afterAutospacing="1"/>
      <w:jc w:val="left"/>
    </w:pPr>
    <w:rPr>
      <w:rFonts w:ascii="Gulim" w:hAnsi="Gulim" w:eastAsia="Gulim" w:cs="宋体"/>
      <w:kern w:val="0"/>
      <w:sz w:val="20"/>
      <w:szCs w:val="20"/>
    </w:rPr>
  </w:style>
  <w:style w:type="paragraph" w:customStyle="1" w:styleId="153">
    <w:name w:val="xl9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5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5">
    <w:name w:val="paragraph1"/>
    <w:basedOn w:val="1"/>
    <w:autoRedefine/>
    <w:qFormat/>
    <w:uiPriority w:val="0"/>
    <w:pPr>
      <w:spacing w:afterLines="30" w:line="360" w:lineRule="auto"/>
      <w:ind w:firstLine="480" w:firstLineChars="200"/>
    </w:pPr>
    <w:rPr>
      <w:rFonts w:ascii="Arial" w:hAnsi="Arial"/>
      <w:sz w:val="24"/>
    </w:rPr>
  </w:style>
  <w:style w:type="paragraph" w:customStyle="1" w:styleId="15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二级条标题"/>
    <w:basedOn w:val="1"/>
    <w:next w:val="1"/>
    <w:autoRedefine/>
    <w:qFormat/>
    <w:uiPriority w:val="0"/>
    <w:pPr>
      <w:widowControl/>
      <w:numPr>
        <w:ilvl w:val="2"/>
        <w:numId w:val="1"/>
      </w:numPr>
      <w:spacing w:before="50" w:after="50"/>
      <w:jc w:val="left"/>
      <w:outlineLvl w:val="3"/>
    </w:pPr>
    <w:rPr>
      <w:rFonts w:ascii="黑体" w:eastAsia="黑体"/>
      <w:kern w:val="0"/>
      <w:szCs w:val="21"/>
    </w:rPr>
  </w:style>
  <w:style w:type="paragraph" w:customStyle="1" w:styleId="15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UserStyle_61"/>
    <w:autoRedefine/>
    <w:qFormat/>
    <w:uiPriority w:val="0"/>
    <w:pPr>
      <w:textAlignment w:val="baseline"/>
    </w:pPr>
    <w:rPr>
      <w:rFonts w:ascii="宋体" w:hAnsi="Calibri" w:eastAsia="等线" w:cs="Times New Roman"/>
      <w:color w:val="000000"/>
      <w:sz w:val="24"/>
      <w:szCs w:val="24"/>
      <w:lang w:val="en-US" w:eastAsia="zh-CN" w:bidi="ar-SA"/>
    </w:rPr>
  </w:style>
  <w:style w:type="paragraph" w:customStyle="1" w:styleId="161">
    <w:name w:val="样式1"/>
    <w:basedOn w:val="1"/>
    <w:autoRedefine/>
    <w:qFormat/>
    <w:uiPriority w:val="0"/>
    <w:pPr>
      <w:tabs>
        <w:tab w:val="left" w:pos="960"/>
      </w:tabs>
      <w:adjustRightInd w:val="0"/>
      <w:ind w:left="960" w:hanging="420"/>
      <w:textAlignment w:val="baseline"/>
    </w:pPr>
    <w:rPr>
      <w:rFonts w:ascii="宋体" w:hAnsi="宋体"/>
      <w:kern w:val="0"/>
      <w:szCs w:val="20"/>
    </w:rPr>
  </w:style>
  <w:style w:type="paragraph" w:customStyle="1" w:styleId="162">
    <w:name w:val="xl10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63">
    <w:name w:val="def正文"/>
    <w:basedOn w:val="15"/>
    <w:autoRedefine/>
    <w:qFormat/>
    <w:uiPriority w:val="0"/>
    <w:pPr>
      <w:widowControl/>
      <w:spacing w:after="0" w:line="360" w:lineRule="auto"/>
      <w:ind w:firstLine="510"/>
      <w:jc w:val="left"/>
    </w:pPr>
    <w:rPr>
      <w:rFonts w:hAnsi="Calibri"/>
      <w:kern w:val="0"/>
      <w:sz w:val="24"/>
      <w:szCs w:val="22"/>
    </w:rPr>
  </w:style>
  <w:style w:type="paragraph" w:customStyle="1" w:styleId="16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65">
    <w:name w:val="Char Char Char1 Char"/>
    <w:basedOn w:val="1"/>
    <w:autoRedefine/>
    <w:qFormat/>
    <w:uiPriority w:val="0"/>
    <w:rPr>
      <w:szCs w:val="20"/>
    </w:rPr>
  </w:style>
  <w:style w:type="paragraph" w:customStyle="1" w:styleId="166">
    <w:name w:val="Table - Text"/>
    <w:basedOn w:val="1"/>
    <w:autoRedefine/>
    <w:qFormat/>
    <w:uiPriority w:val="0"/>
    <w:pPr>
      <w:widowControl/>
      <w:spacing w:before="60" w:afterLines="50"/>
      <w:jc w:val="left"/>
    </w:pPr>
    <w:rPr>
      <w:kern w:val="0"/>
      <w:szCs w:val="20"/>
      <w:lang w:eastAsia="en-US"/>
    </w:rPr>
  </w:style>
  <w:style w:type="paragraph" w:customStyle="1" w:styleId="167">
    <w:name w:val="纯文本1"/>
    <w:basedOn w:val="1"/>
    <w:autoRedefine/>
    <w:qFormat/>
    <w:uiPriority w:val="0"/>
    <w:pPr>
      <w:adjustRightInd w:val="0"/>
      <w:jc w:val="left"/>
      <w:textAlignment w:val="baseline"/>
    </w:pPr>
    <w:rPr>
      <w:rFonts w:ascii="宋体" w:hAnsi="Courier New"/>
      <w:sz w:val="24"/>
      <w:szCs w:val="20"/>
    </w:rPr>
  </w:style>
  <w:style w:type="paragraph" w:customStyle="1" w:styleId="168">
    <w:name w:val="Other|1"/>
    <w:basedOn w:val="1"/>
    <w:autoRedefine/>
    <w:qFormat/>
    <w:uiPriority w:val="0"/>
    <w:rPr>
      <w:rFonts w:ascii="宋体" w:hAnsi="宋体" w:cs="宋体"/>
      <w:sz w:val="19"/>
      <w:szCs w:val="19"/>
      <w:lang w:val="zh-CN" w:bidi="zh-CN"/>
    </w:rPr>
  </w:style>
  <w:style w:type="paragraph" w:customStyle="1" w:styleId="169">
    <w:name w:val="Char Char Char Char"/>
    <w:basedOn w:val="1"/>
    <w:autoRedefine/>
    <w:qFormat/>
    <w:uiPriority w:val="0"/>
    <w:pPr>
      <w:ind w:left="-48"/>
    </w:pPr>
  </w:style>
  <w:style w:type="paragraph" w:customStyle="1" w:styleId="17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1">
    <w:name w:val="Char2"/>
    <w:basedOn w:val="1"/>
    <w:autoRedefine/>
    <w:qFormat/>
    <w:uiPriority w:val="0"/>
    <w:rPr>
      <w:rFonts w:ascii="仿宋_GB2312" w:eastAsia="仿宋_GB2312"/>
      <w:b/>
      <w:sz w:val="32"/>
      <w:szCs w:val="32"/>
    </w:rPr>
  </w:style>
  <w:style w:type="paragraph" w:customStyle="1" w:styleId="172">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74">
    <w:name w:val="默认段落字体 Para Char Char Char Char"/>
    <w:basedOn w:val="1"/>
    <w:autoRedefine/>
    <w:qFormat/>
    <w:uiPriority w:val="0"/>
  </w:style>
  <w:style w:type="paragraph" w:customStyle="1" w:styleId="175">
    <w:name w:val="xl8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76">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7">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178">
    <w:name w:val="xl8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79">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Gulim" w:hAnsi="Gulim" w:eastAsia="Gulim" w:cs="宋体"/>
      <w:kern w:val="0"/>
      <w:sz w:val="20"/>
      <w:szCs w:val="20"/>
    </w:rPr>
  </w:style>
  <w:style w:type="paragraph" w:customStyle="1" w:styleId="18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b/>
      <w:bCs/>
      <w:kern w:val="0"/>
      <w:sz w:val="20"/>
      <w:szCs w:val="20"/>
    </w:rPr>
  </w:style>
  <w:style w:type="paragraph" w:customStyle="1" w:styleId="182">
    <w:name w:val="xl108"/>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83">
    <w:name w:val="默认段落字体 Para Char Char Char Char Char Char Char Char Char1 Char Char Char Char"/>
    <w:basedOn w:val="1"/>
    <w:autoRedefine/>
    <w:qFormat/>
    <w:uiPriority w:val="0"/>
    <w:rPr>
      <w:rFonts w:ascii="Tahoma" w:hAnsi="Tahoma"/>
      <w:sz w:val="24"/>
      <w:szCs w:val="20"/>
    </w:rPr>
  </w:style>
  <w:style w:type="paragraph" w:customStyle="1" w:styleId="184">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b/>
      <w:bCs/>
      <w:kern w:val="0"/>
      <w:sz w:val="20"/>
      <w:szCs w:val="20"/>
    </w:rPr>
  </w:style>
  <w:style w:type="paragraph" w:customStyle="1" w:styleId="185">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TableText"/>
    <w:basedOn w:val="1"/>
    <w:autoRedefine/>
    <w:qFormat/>
    <w:uiPriority w:val="0"/>
    <w:pPr>
      <w:snapToGrid w:val="0"/>
      <w:spacing w:beforeLines="20" w:afterLines="20"/>
      <w:jc w:val="center"/>
    </w:pPr>
    <w:rPr>
      <w:rFonts w:hint="eastAsia"/>
      <w:szCs w:val="20"/>
    </w:rPr>
  </w:style>
  <w:style w:type="paragraph" w:customStyle="1" w:styleId="187">
    <w:name w:val="font9"/>
    <w:basedOn w:val="1"/>
    <w:autoRedefine/>
    <w:qFormat/>
    <w:uiPriority w:val="0"/>
    <w:pPr>
      <w:widowControl/>
      <w:spacing w:before="100" w:beforeAutospacing="1" w:after="100" w:afterAutospacing="1"/>
      <w:jc w:val="left"/>
    </w:pPr>
    <w:rPr>
      <w:rFonts w:ascii="新宋体" w:hAnsi="新宋体" w:eastAsia="新宋体" w:cs="宋体"/>
      <w:kern w:val="0"/>
      <w:sz w:val="20"/>
      <w:szCs w:val="20"/>
    </w:rPr>
  </w:style>
  <w:style w:type="paragraph" w:customStyle="1" w:styleId="18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89">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91">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92">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段"/>
    <w:basedOn w:val="1"/>
    <w:autoRedefine/>
    <w:qFormat/>
    <w:uiPriority w:val="0"/>
    <w:pPr>
      <w:widowControl/>
      <w:snapToGrid w:val="0"/>
      <w:spacing w:afterLines="50"/>
      <w:ind w:firstLine="200" w:firstLineChars="200"/>
    </w:pPr>
    <w:rPr>
      <w:kern w:val="0"/>
      <w:sz w:val="24"/>
      <w:szCs w:val="20"/>
    </w:rPr>
  </w:style>
  <w:style w:type="paragraph" w:customStyle="1" w:styleId="195">
    <w:name w:val="标题3333"/>
    <w:basedOn w:val="1"/>
    <w:autoRedefine/>
    <w:qFormat/>
    <w:uiPriority w:val="0"/>
    <w:pPr>
      <w:ind w:left="-171" w:leftChars="-171" w:hanging="359" w:hangingChars="149"/>
    </w:pPr>
    <w:rPr>
      <w:rFonts w:ascii="宋体" w:hAnsi="宋体"/>
      <w:b/>
      <w:sz w:val="24"/>
      <w:szCs w:val="20"/>
    </w:rPr>
  </w:style>
  <w:style w:type="paragraph" w:customStyle="1" w:styleId="196">
    <w:name w:val="pa-18"/>
    <w:basedOn w:val="1"/>
    <w:autoRedefine/>
    <w:qFormat/>
    <w:uiPriority w:val="0"/>
    <w:pPr>
      <w:widowControl/>
      <w:spacing w:before="150" w:after="150"/>
      <w:jc w:val="left"/>
    </w:pPr>
    <w:rPr>
      <w:rFonts w:ascii="宋体" w:hAnsi="宋体" w:cs="宋体"/>
      <w:kern w:val="0"/>
      <w:sz w:val="24"/>
    </w:rPr>
  </w:style>
  <w:style w:type="paragraph" w:customStyle="1" w:styleId="197">
    <w:name w:val="a正文"/>
    <w:basedOn w:val="1"/>
    <w:autoRedefine/>
    <w:qFormat/>
    <w:uiPriority w:val="0"/>
    <w:pPr>
      <w:spacing w:line="360" w:lineRule="auto"/>
      <w:ind w:firstLine="480" w:firstLineChars="200"/>
    </w:pPr>
    <w:rPr>
      <w:rFonts w:ascii="宋体" w:hAnsi="宋体"/>
      <w:kern w:val="0"/>
      <w:sz w:val="24"/>
      <w:szCs w:val="20"/>
    </w:rPr>
  </w:style>
  <w:style w:type="paragraph" w:customStyle="1" w:styleId="19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99">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20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20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styleId="202">
    <w:name w:val="No Spacing"/>
    <w:autoRedefine/>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203">
    <w:name w:val="xl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204">
    <w:name w:val="正文2"/>
    <w:basedOn w:val="1"/>
    <w:autoRedefine/>
    <w:qFormat/>
    <w:uiPriority w:val="0"/>
    <w:pPr>
      <w:spacing w:before="156" w:line="360" w:lineRule="auto"/>
      <w:ind w:firstLine="510" w:firstLineChars="200"/>
    </w:pPr>
    <w:rPr>
      <w:sz w:val="24"/>
      <w:szCs w:val="20"/>
    </w:rPr>
  </w:style>
  <w:style w:type="paragraph" w:customStyle="1" w:styleId="205">
    <w:name w:val="Char Char1 Char Char Char Char Char Char Char"/>
    <w:basedOn w:val="1"/>
    <w:autoRedefine/>
    <w:qFormat/>
    <w:uiPriority w:val="0"/>
    <w:rPr>
      <w:rFonts w:ascii="Tahoma" w:hAnsi="Tahoma"/>
      <w:sz w:val="24"/>
    </w:rPr>
  </w:style>
  <w:style w:type="paragraph" w:customStyle="1" w:styleId="206">
    <w:name w:val="Paragraph Text"/>
    <w:basedOn w:val="1"/>
    <w:autoRedefine/>
    <w:qFormat/>
    <w:uiPriority w:val="0"/>
    <w:pPr>
      <w:widowControl/>
      <w:spacing w:line="320" w:lineRule="exact"/>
      <w:jc w:val="left"/>
    </w:pPr>
    <w:rPr>
      <w:rFonts w:ascii="Beijing" w:eastAsia="Times New Roman"/>
      <w:kern w:val="0"/>
      <w:sz w:val="18"/>
      <w:szCs w:val="18"/>
    </w:rPr>
  </w:style>
  <w:style w:type="paragraph" w:customStyle="1" w:styleId="207">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08">
    <w:name w:val="彩色底纹 - 强调文字颜色 61"/>
    <w:basedOn w:val="2"/>
    <w:next w:val="1"/>
    <w:autoRedefine/>
    <w:qFormat/>
    <w:uiPriority w:val="0"/>
    <w:pPr>
      <w:widowControl/>
      <w:adjustRightInd/>
      <w:spacing w:before="480" w:line="276" w:lineRule="auto"/>
      <w:jc w:val="left"/>
      <w:textAlignment w:val="auto"/>
      <w:outlineLvl w:val="9"/>
    </w:pPr>
    <w:rPr>
      <w:rFonts w:ascii="Cambria" w:hAnsi="Cambria"/>
      <w:b w:val="0"/>
      <w:color w:val="365F91"/>
      <w:kern w:val="0"/>
      <w:sz w:val="28"/>
      <w:szCs w:val="28"/>
    </w:rPr>
  </w:style>
  <w:style w:type="paragraph" w:customStyle="1" w:styleId="209">
    <w:name w:val="GP正文(首行缩进)"/>
    <w:basedOn w:val="1"/>
    <w:autoRedefine/>
    <w:qFormat/>
    <w:uiPriority w:val="0"/>
    <w:pPr>
      <w:spacing w:line="360" w:lineRule="auto"/>
      <w:ind w:firstLine="200" w:firstLineChars="200"/>
      <w:jc w:val="left"/>
    </w:pPr>
    <w:rPr>
      <w:sz w:val="24"/>
      <w:szCs w:val="21"/>
    </w:rPr>
  </w:style>
  <w:style w:type="paragraph" w:customStyle="1" w:styleId="210">
    <w:name w:val="font10"/>
    <w:basedOn w:val="1"/>
    <w:autoRedefine/>
    <w:qFormat/>
    <w:uiPriority w:val="0"/>
    <w:pPr>
      <w:widowControl/>
      <w:spacing w:before="100" w:beforeAutospacing="1" w:after="100" w:afterAutospacing="1"/>
      <w:jc w:val="left"/>
    </w:pPr>
    <w:rPr>
      <w:rFonts w:ascii="Gulim" w:hAnsi="Gulim" w:eastAsia="Gulim" w:cs="宋体"/>
      <w:b/>
      <w:bCs/>
      <w:kern w:val="0"/>
      <w:sz w:val="20"/>
      <w:szCs w:val="20"/>
    </w:rPr>
  </w:style>
  <w:style w:type="paragraph" w:customStyle="1" w:styleId="211">
    <w:name w:val="普通文字"/>
    <w:basedOn w:val="1"/>
    <w:next w:val="1"/>
    <w:autoRedefine/>
    <w:qFormat/>
    <w:uiPriority w:val="0"/>
    <w:rPr>
      <w:rFonts w:ascii="宋体"/>
    </w:rPr>
  </w:style>
  <w:style w:type="paragraph" w:customStyle="1" w:styleId="212">
    <w:name w:val="S4-L15-C"/>
    <w:basedOn w:val="1"/>
    <w:autoRedefine/>
    <w:qFormat/>
    <w:uiPriority w:val="0"/>
    <w:pPr>
      <w:spacing w:after="120" w:line="360" w:lineRule="auto"/>
      <w:jc w:val="center"/>
    </w:pPr>
    <w:rPr>
      <w:szCs w:val="20"/>
    </w:rPr>
  </w:style>
  <w:style w:type="paragraph" w:customStyle="1" w:styleId="213">
    <w:name w:val="Char Char Char"/>
    <w:basedOn w:val="12"/>
    <w:autoRedefine/>
    <w:qFormat/>
    <w:uiPriority w:val="0"/>
    <w:pPr>
      <w:shd w:val="clear" w:color="auto" w:fill="000080"/>
    </w:pPr>
    <w:rPr>
      <w:rFonts w:ascii="Times New Roman"/>
      <w:sz w:val="21"/>
      <w:szCs w:val="24"/>
    </w:rPr>
  </w:style>
  <w:style w:type="paragraph" w:customStyle="1" w:styleId="214">
    <w:name w:val="HT_正文缩进"/>
    <w:basedOn w:val="1"/>
    <w:autoRedefine/>
    <w:qFormat/>
    <w:uiPriority w:val="0"/>
    <w:pPr>
      <w:spacing w:beforeLines="50" w:line="300" w:lineRule="auto"/>
      <w:ind w:firstLine="480" w:firstLineChars="200"/>
    </w:pPr>
    <w:rPr>
      <w:sz w:val="24"/>
      <w:szCs w:val="20"/>
    </w:rPr>
  </w:style>
  <w:style w:type="paragraph" w:customStyle="1" w:styleId="215">
    <w:name w:val="表格内容"/>
    <w:basedOn w:val="1"/>
    <w:autoRedefine/>
    <w:qFormat/>
    <w:uiPriority w:val="99"/>
    <w:pPr>
      <w:widowControl/>
      <w:jc w:val="center"/>
    </w:pPr>
    <w:rPr>
      <w:kern w:val="0"/>
      <w:sz w:val="24"/>
      <w:szCs w:val="28"/>
    </w:rPr>
  </w:style>
  <w:style w:type="paragraph" w:customStyle="1" w:styleId="216">
    <w:name w:val="正文首行缩进2字符"/>
    <w:basedOn w:val="1"/>
    <w:autoRedefine/>
    <w:qFormat/>
    <w:locked/>
    <w:uiPriority w:val="99"/>
    <w:pPr>
      <w:widowControl/>
      <w:adjustRightInd w:val="0"/>
      <w:snapToGrid w:val="0"/>
      <w:spacing w:line="360" w:lineRule="auto"/>
      <w:ind w:firstLine="200" w:firstLineChars="200"/>
    </w:pPr>
    <w:rPr>
      <w:sz w:val="24"/>
      <w:szCs w:val="21"/>
    </w:rPr>
  </w:style>
  <w:style w:type="paragraph" w:customStyle="1" w:styleId="217">
    <w:name w:val="列出序号"/>
    <w:basedOn w:val="1"/>
    <w:autoRedefine/>
    <w:qFormat/>
    <w:uiPriority w:val="0"/>
    <w:pPr>
      <w:widowControl/>
      <w:numPr>
        <w:ilvl w:val="7"/>
        <w:numId w:val="2"/>
      </w:numPr>
      <w:adjustRightInd w:val="0"/>
      <w:snapToGrid w:val="0"/>
      <w:spacing w:line="360" w:lineRule="auto"/>
    </w:pPr>
    <w:rPr>
      <w:sz w:val="24"/>
    </w:rPr>
  </w:style>
  <w:style w:type="paragraph" w:customStyle="1" w:styleId="21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普通(网站)_0"/>
    <w:basedOn w:val="218"/>
    <w:autoRedefine/>
    <w:unhideWhenUsed/>
    <w:qFormat/>
    <w:uiPriority w:val="0"/>
    <w:pPr>
      <w:spacing w:before="100" w:beforeAutospacing="1" w:after="100" w:afterAutospacing="1"/>
    </w:pPr>
    <w:rPr>
      <w:rFonts w:ascii="宋体"/>
      <w:sz w:val="24"/>
      <w:szCs w:val="22"/>
    </w:rPr>
  </w:style>
  <w:style w:type="paragraph" w:customStyle="1" w:styleId="220">
    <w:name w:val="cjk"/>
    <w:basedOn w:val="1"/>
    <w:autoRedefine/>
    <w:qFormat/>
    <w:uiPriority w:val="0"/>
    <w:pPr>
      <w:jc w:val="left"/>
    </w:pPr>
    <w:rPr>
      <w:rFonts w:hint="eastAsia" w:ascii="宋体" w:hAnsi="宋体"/>
      <w:kern w:val="0"/>
      <w:sz w:val="24"/>
    </w:rPr>
  </w:style>
  <w:style w:type="paragraph" w:customStyle="1" w:styleId="221">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_1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3">
    <w:name w:val="font21"/>
    <w:basedOn w:val="44"/>
    <w:autoRedefine/>
    <w:qFormat/>
    <w:uiPriority w:val="0"/>
    <w:rPr>
      <w:rFonts w:hint="eastAsia" w:ascii="宋体" w:hAnsi="宋体" w:eastAsia="宋体" w:cs="宋体"/>
      <w:color w:val="000000"/>
      <w:sz w:val="21"/>
      <w:szCs w:val="21"/>
      <w:u w:val="none"/>
    </w:rPr>
  </w:style>
  <w:style w:type="character" w:customStyle="1" w:styleId="224">
    <w:name w:val="font31"/>
    <w:basedOn w:val="44"/>
    <w:autoRedefine/>
    <w:qFormat/>
    <w:uiPriority w:val="0"/>
    <w:rPr>
      <w:rFonts w:hint="eastAsia" w:ascii="宋体" w:hAnsi="宋体" w:eastAsia="宋体" w:cs="宋体"/>
      <w:color w:val="000000"/>
      <w:sz w:val="24"/>
      <w:szCs w:val="24"/>
      <w:u w:val="none"/>
    </w:rPr>
  </w:style>
  <w:style w:type="paragraph" w:customStyle="1" w:styleId="225">
    <w:name w:val="BodyText"/>
    <w:basedOn w:val="1"/>
    <w:next w:val="226"/>
    <w:autoRedefine/>
    <w:qFormat/>
    <w:uiPriority w:val="0"/>
    <w:pPr>
      <w:spacing w:after="120"/>
    </w:pPr>
    <w:rPr>
      <w:sz w:val="28"/>
    </w:rPr>
  </w:style>
  <w:style w:type="paragraph" w:customStyle="1" w:styleId="226">
    <w:name w:val="BodyText1I"/>
    <w:basedOn w:val="225"/>
    <w:next w:val="1"/>
    <w:autoRedefine/>
    <w:qFormat/>
    <w:uiPriority w:val="0"/>
    <w:pPr>
      <w:spacing w:line="360" w:lineRule="auto"/>
      <w:ind w:firstLine="200" w:firstLineChars="200"/>
      <w:jc w:val="left"/>
    </w:pPr>
    <w:rPr>
      <w:bCs/>
      <w:sz w:val="24"/>
    </w:rPr>
  </w:style>
  <w:style w:type="paragraph" w:customStyle="1" w:styleId="227">
    <w:name w:val="章正文"/>
    <w:basedOn w:val="1"/>
    <w:autoRedefine/>
    <w:qFormat/>
    <w:locked/>
    <w:uiPriority w:val="0"/>
    <w:pPr>
      <w:spacing w:beforeLines="50" w:after="120" w:line="300" w:lineRule="auto"/>
      <w:ind w:firstLine="480"/>
    </w:pPr>
    <w:rPr>
      <w:rFonts w:ascii="Helvetica" w:hAnsi="Helvetica"/>
      <w:kern w:val="0"/>
    </w:rPr>
  </w:style>
  <w:style w:type="paragraph" w:customStyle="1" w:styleId="228">
    <w:name w:val="纯文本_3"/>
    <w:basedOn w:val="156"/>
    <w:autoRedefine/>
    <w:qFormat/>
    <w:uiPriority w:val="0"/>
    <w:rPr>
      <w:rFonts w:ascii="宋体" w:hAnsi="Courier New"/>
      <w:szCs w:val="20"/>
    </w:rPr>
  </w:style>
  <w:style w:type="paragraph" w:customStyle="1" w:styleId="229">
    <w:name w:val="纯文本_5_0"/>
    <w:basedOn w:val="230"/>
    <w:autoRedefine/>
    <w:qFormat/>
    <w:uiPriority w:val="0"/>
    <w:rPr>
      <w:rFonts w:ascii="宋体" w:hAnsi="Courier New"/>
      <w:szCs w:val="20"/>
    </w:rPr>
  </w:style>
  <w:style w:type="paragraph" w:customStyle="1" w:styleId="230">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_Style 2"/>
    <w:basedOn w:val="1"/>
    <w:autoRedefine/>
    <w:qFormat/>
    <w:uiPriority w:val="0"/>
    <w:pPr>
      <w:ind w:firstLine="200" w:firstLineChars="200"/>
    </w:pPr>
    <w:rPr>
      <w:rFonts w:ascii="Calibri" w:hAnsi="Calibri"/>
      <w:sz w:val="28"/>
      <w:szCs w:val="22"/>
    </w:rPr>
  </w:style>
  <w:style w:type="paragraph" w:customStyle="1" w:styleId="23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33">
    <w:name w:val="列出段落4"/>
    <w:basedOn w:val="1"/>
    <w:autoRedefine/>
    <w:qFormat/>
    <w:uiPriority w:val="0"/>
    <w:pPr>
      <w:ind w:firstLine="420" w:firstLineChars="200"/>
    </w:pPr>
    <w:rPr>
      <w:rFonts w:ascii="Calibri" w:hAnsi="Calibri"/>
      <w:szCs w:val="22"/>
    </w:rPr>
  </w:style>
  <w:style w:type="paragraph" w:customStyle="1" w:styleId="234">
    <w:name w:val="正文缩进2"/>
    <w:basedOn w:val="1"/>
    <w:autoRedefine/>
    <w:qFormat/>
    <w:uiPriority w:val="0"/>
    <w:pPr>
      <w:widowControl/>
      <w:ind w:firstLine="420"/>
      <w:jc w:val="left"/>
    </w:pPr>
    <w:rPr>
      <w:kern w:val="0"/>
      <w:szCs w:val="20"/>
    </w:rPr>
  </w:style>
  <w:style w:type="paragraph" w:customStyle="1" w:styleId="235">
    <w:name w:val="WPSOffice手动目录 1"/>
    <w:autoRedefine/>
    <w:qFormat/>
    <w:uiPriority w:val="0"/>
    <w:rPr>
      <w:rFonts w:ascii="Times New Roman" w:hAnsi="Times New Roman" w:eastAsia="宋体" w:cs="Times New Roman"/>
      <w:lang w:val="en-US" w:eastAsia="zh-CN" w:bidi="ar-SA"/>
    </w:rPr>
  </w:style>
  <w:style w:type="paragraph" w:customStyle="1" w:styleId="236">
    <w:name w:val="纯文本_0_0"/>
    <w:basedOn w:val="146"/>
    <w:autoRedefine/>
    <w:qFormat/>
    <w:uiPriority w:val="0"/>
    <w:rPr>
      <w:rFonts w:ascii="宋体" w:hAnsi="Courier New"/>
      <w:szCs w:val="21"/>
    </w:rPr>
  </w:style>
  <w:style w:type="paragraph" w:customStyle="1" w:styleId="237">
    <w:name w:val="纯文本_0"/>
    <w:basedOn w:val="238"/>
    <w:autoRedefine/>
    <w:unhideWhenUsed/>
    <w:qFormat/>
    <w:uiPriority w:val="0"/>
    <w:rPr>
      <w:rFonts w:ascii="宋体" w:hAnsi="Courier New"/>
      <w:kern w:val="0"/>
      <w:sz w:val="20"/>
      <w:szCs w:val="20"/>
    </w:rPr>
  </w:style>
  <w:style w:type="paragraph" w:customStyle="1" w:styleId="23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9">
    <w:name w:val="纯文本_1"/>
    <w:basedOn w:val="240"/>
    <w:autoRedefine/>
    <w:qFormat/>
    <w:uiPriority w:val="0"/>
    <w:rPr>
      <w:rFonts w:ascii="宋体" w:hAnsi="Courier New"/>
      <w:szCs w:val="20"/>
    </w:rPr>
  </w:style>
  <w:style w:type="paragraph" w:customStyle="1" w:styleId="240">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45">
    <w:name w:val="List Paragraph"/>
    <w:basedOn w:val="1"/>
    <w:autoRedefine/>
    <w:qFormat/>
    <w:uiPriority w:val="1"/>
    <w:pPr>
      <w:spacing w:before="161"/>
      <w:ind w:left="1357" w:hanging="421"/>
    </w:pPr>
    <w:rPr>
      <w:rFonts w:ascii="宋体" w:hAnsi="宋体" w:cs="宋体"/>
      <w:lang w:val="zh-CN" w:bidi="zh-CN"/>
    </w:rPr>
  </w:style>
  <w:style w:type="paragraph" w:customStyle="1" w:styleId="246">
    <w:name w:val="正文样式1"/>
    <w:basedOn w:val="1"/>
    <w:autoRedefine/>
    <w:qFormat/>
    <w:uiPriority w:val="0"/>
    <w:pPr>
      <w:spacing w:beforeLines="50" w:afterLines="50" w:line="360" w:lineRule="auto"/>
      <w:ind w:firstLine="200" w:firstLineChars="200"/>
    </w:pPr>
    <w:rPr>
      <w:szCs w:val="20"/>
    </w:rPr>
  </w:style>
  <w:style w:type="paragraph" w:customStyle="1" w:styleId="247">
    <w:name w:val="列表段落1"/>
    <w:basedOn w:val="1"/>
    <w:autoRedefine/>
    <w:qFormat/>
    <w:uiPriority w:val="34"/>
    <w:pPr>
      <w:ind w:firstLine="420" w:firstLineChars="200"/>
    </w:pPr>
    <w:rPr>
      <w:rFonts w:ascii="Calibri" w:hAnsi="Calibri"/>
      <w:szCs w:val="22"/>
    </w:rPr>
  </w:style>
  <w:style w:type="paragraph" w:customStyle="1" w:styleId="248">
    <w:name w:val="正文首行缩进 21"/>
    <w:basedOn w:val="249"/>
    <w:autoRedefine/>
    <w:qFormat/>
    <w:uiPriority w:val="0"/>
    <w:pPr>
      <w:ind w:firstLine="420"/>
    </w:pPr>
    <w:rPr>
      <w:rFonts w:cs="宋体"/>
    </w:rPr>
  </w:style>
  <w:style w:type="paragraph" w:customStyle="1" w:styleId="249">
    <w:name w:val="正文文本缩进1"/>
    <w:basedOn w:val="1"/>
    <w:next w:val="1"/>
    <w:autoRedefine/>
    <w:qFormat/>
    <w:uiPriority w:val="0"/>
    <w:pPr>
      <w:ind w:left="420" w:leftChars="200"/>
    </w:pPr>
    <w:rPr>
      <w:color w:val="000000"/>
      <w:szCs w:val="21"/>
    </w:rPr>
  </w:style>
  <w:style w:type="paragraph" w:customStyle="1" w:styleId="250">
    <w:name w:val="PlainText"/>
    <w:basedOn w:val="1"/>
    <w:next w:val="225"/>
    <w:autoRedefine/>
    <w:qFormat/>
    <w:uiPriority w:val="0"/>
    <w:pPr>
      <w:jc w:val="both"/>
      <w:textAlignment w:val="baseline"/>
    </w:pPr>
    <w:rPr>
      <w:rFonts w:ascii="宋体" w:hAnsi="Courier New"/>
      <w:kern w:val="2"/>
      <w:sz w:val="21"/>
      <w:szCs w:val="20"/>
      <w:lang w:val="en-US" w:eastAsia="zh-CN" w:bidi="ar-SA"/>
    </w:rPr>
  </w:style>
  <w:style w:type="paragraph" w:customStyle="1" w:styleId="251">
    <w:name w:val="_Style 13"/>
    <w:basedOn w:val="15"/>
    <w:next w:val="40"/>
    <w:autoRedefine/>
    <w:qFormat/>
    <w:uiPriority w:val="0"/>
    <w:pPr>
      <w:ind w:firstLine="420" w:firstLineChars="100"/>
    </w:pPr>
  </w:style>
  <w:style w:type="paragraph" w:customStyle="1" w:styleId="252">
    <w:name w:val="_Style 1"/>
    <w:autoRedefine/>
    <w:qFormat/>
    <w:uiPriority w:val="0"/>
    <w:rPr>
      <w:rFonts w:ascii="Calibri" w:hAnsi="Calibri" w:eastAsia="宋体" w:cs="Times New Roman"/>
      <w:sz w:val="22"/>
      <w:szCs w:val="22"/>
      <w:lang w:val="en-US" w:eastAsia="zh-CN" w:bidi="ar-SA"/>
    </w:rPr>
  </w:style>
  <w:style w:type="paragraph" w:customStyle="1" w:styleId="253">
    <w:name w:val="HIK正文"/>
    <w:basedOn w:val="1"/>
    <w:autoRedefine/>
    <w:qFormat/>
    <w:uiPriority w:val="0"/>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CMCC</Company>
  <Pages>114</Pages>
  <Words>13715</Words>
  <Characters>78176</Characters>
  <Lines>651</Lines>
  <Paragraphs>183</Paragraphs>
  <TotalTime>19</TotalTime>
  <ScaleCrop>false</ScaleCrop>
  <LinksUpToDate>false</LinksUpToDate>
  <CharactersWithSpaces>91708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2023-05-12T09:52:00Z</dcterms:created>
  <dc:creator>oempc</dc:creator>
  <cp:lastModifiedBy>傻蜜</cp:lastModifiedBy>
  <cp:lastPrinted>2021-08-04T06:25:00Z</cp:lastPrinted>
  <dcterms:modified xsi:type="dcterms:W3CDTF">2024-04-18T00:48:54Z</dcterms:modified>
  <dc:title>缙云县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6D4640E5E4BC455F8075439C0B3B384F_13</vt:lpwstr>
  </property>
</Properties>
</file>