
<file path=[Content_Types].xml><?xml version="1.0" encoding="utf-8"?>
<Types xmlns="http://schemas.openxmlformats.org/package/2006/content-types">
  <Default ContentType="image/x-emf" Extension="emf"/>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0"/>
        <w:ind w:firstLine="480"/>
        <w:rPr>
          <w:rFonts w:hint="eastAsia" w:ascii="宋体" w:hAnsi="宋体" w:cs="宋体"/>
          <w:highlight w:val="none"/>
          <w:lang w:val="zh-CN"/>
        </w:rPr>
      </w:pPr>
      <w:bookmarkStart w:id="0" w:name="_Toc303756353"/>
      <w:bookmarkStart w:id="1" w:name="_Toc301187513"/>
      <w:bookmarkStart w:id="2" w:name="_Toc499904867"/>
      <w:bookmarkStart w:id="658" w:name="_GoBack"/>
      <w:bookmarkEnd w:id="658"/>
    </w:p>
    <w:p>
      <w:pPr>
        <w:pStyle w:val="6"/>
        <w:rPr>
          <w:rFonts w:hint="eastAsia" w:ascii="宋体" w:hAnsi="宋体" w:cs="宋体"/>
          <w:highlight w:val="none"/>
          <w:lang w:val="zh-CN"/>
        </w:rPr>
      </w:pPr>
    </w:p>
    <w:p>
      <w:pPr>
        <w:pStyle w:val="7"/>
        <w:rPr>
          <w:rFonts w:hint="eastAsia"/>
          <w:highlight w:val="none"/>
          <w:lang w:val="zh-CN"/>
        </w:rPr>
      </w:pPr>
    </w:p>
    <w:p>
      <w:pPr>
        <w:rPr>
          <w:rFonts w:hint="eastAsia" w:ascii="宋体" w:hAnsi="宋体" w:cs="宋体"/>
          <w:highlight w:val="none"/>
          <w:lang w:val="zh-CN"/>
        </w:rPr>
      </w:pPr>
    </w:p>
    <w:p>
      <w:pPr>
        <w:jc w:val="center"/>
        <w:rPr>
          <w:rFonts w:hint="eastAsia" w:ascii="宋体" w:hAnsi="宋体" w:cs="宋体"/>
          <w:b/>
          <w:bCs/>
          <w:color w:val="000000"/>
          <w:spacing w:val="20"/>
          <w:sz w:val="72"/>
          <w:szCs w:val="72"/>
          <w:highlight w:val="none"/>
          <w:lang w:val="zh-CN"/>
        </w:rPr>
      </w:pPr>
    </w:p>
    <w:p>
      <w:pPr>
        <w:jc w:val="center"/>
        <w:rPr>
          <w:rFonts w:hint="eastAsia" w:ascii="宋体" w:hAnsi="宋体" w:cs="宋体"/>
          <w:b/>
          <w:bCs/>
          <w:color w:val="000000"/>
          <w:spacing w:val="20"/>
          <w:sz w:val="96"/>
          <w:szCs w:val="96"/>
          <w:highlight w:val="none"/>
          <w:lang w:val="zh-CN"/>
        </w:rPr>
      </w:pPr>
      <w:r>
        <w:rPr>
          <w:rFonts w:hint="eastAsia" w:ascii="宋体" w:hAnsi="宋体" w:cs="宋体"/>
          <w:b/>
          <w:bCs/>
          <w:color w:val="000000"/>
          <w:spacing w:val="20"/>
          <w:sz w:val="72"/>
          <w:szCs w:val="72"/>
          <w:highlight w:val="none"/>
          <w:lang w:val="zh-CN"/>
        </w:rPr>
        <w:t>竞争性磋商文件</w:t>
      </w:r>
    </w:p>
    <w:p>
      <w:pPr>
        <w:spacing w:line="160" w:lineRule="exact"/>
        <w:rPr>
          <w:rFonts w:hint="eastAsia" w:ascii="宋体" w:hAnsi="宋体" w:cs="宋体"/>
          <w:b/>
          <w:bCs/>
          <w:color w:val="000000"/>
          <w:sz w:val="48"/>
          <w:highlight w:val="none"/>
        </w:rPr>
      </w:pPr>
    </w:p>
    <w:p>
      <w:pPr>
        <w:adjustRightInd w:val="0"/>
        <w:snapToGrid w:val="0"/>
        <w:spacing w:line="600" w:lineRule="exact"/>
        <w:ind w:firstLine="422" w:firstLineChars="150"/>
        <w:jc w:val="center"/>
        <w:rPr>
          <w:rFonts w:hint="eastAsia" w:ascii="宋体" w:hAnsi="宋体" w:cs="宋体"/>
          <w:b/>
          <w:snapToGrid w:val="0"/>
          <w:color w:val="000000"/>
          <w:sz w:val="28"/>
          <w:szCs w:val="28"/>
          <w:highlight w:val="none"/>
        </w:rPr>
      </w:pPr>
    </w:p>
    <w:p>
      <w:pPr>
        <w:pStyle w:val="171"/>
        <w:rPr>
          <w:rFonts w:hint="eastAsia" w:ascii="宋体" w:hAnsi="宋体" w:cs="宋体"/>
          <w:highlight w:val="none"/>
        </w:rPr>
      </w:pPr>
    </w:p>
    <w:p>
      <w:pPr>
        <w:spacing w:line="160" w:lineRule="exact"/>
        <w:rPr>
          <w:rFonts w:ascii="宋体" w:hAnsi="宋体" w:cs="宋体"/>
          <w:b/>
          <w:bCs/>
          <w:sz w:val="48"/>
          <w:highlight w:val="none"/>
        </w:rPr>
      </w:pPr>
    </w:p>
    <w:p>
      <w:pPr>
        <w:adjustRightInd w:val="0"/>
        <w:snapToGrid w:val="0"/>
        <w:spacing w:line="600" w:lineRule="exact"/>
        <w:ind w:firstLine="422" w:firstLineChars="150"/>
        <w:jc w:val="center"/>
        <w:rPr>
          <w:rFonts w:ascii="宋体" w:hAnsi="宋体" w:cs="宋体"/>
          <w:b/>
          <w:snapToGrid w:val="0"/>
          <w:sz w:val="28"/>
          <w:szCs w:val="28"/>
          <w:highlight w:val="none"/>
        </w:rPr>
      </w:pPr>
    </w:p>
    <w:p>
      <w:pPr>
        <w:pStyle w:val="18"/>
        <w:rPr>
          <w:rFonts w:ascii="宋体" w:hAnsi="宋体" w:cs="宋体"/>
          <w:b/>
          <w:snapToGrid w:val="0"/>
          <w:sz w:val="32"/>
          <w:szCs w:val="32"/>
          <w:highlight w:val="none"/>
        </w:rPr>
      </w:pPr>
    </w:p>
    <w:p>
      <w:pPr>
        <w:rPr>
          <w:rFonts w:ascii="宋体" w:hAnsi="宋体" w:cs="宋体"/>
          <w:highlight w:val="none"/>
        </w:rPr>
      </w:pPr>
    </w:p>
    <w:tbl>
      <w:tblPr>
        <w:tblStyle w:val="43"/>
        <w:tblW w:w="0" w:type="auto"/>
        <w:jc w:val="center"/>
        <w:tblLayout w:type="fixed"/>
        <w:tblCellMar>
          <w:top w:w="0" w:type="dxa"/>
          <w:left w:w="108" w:type="dxa"/>
          <w:bottom w:w="0" w:type="dxa"/>
          <w:right w:w="108" w:type="dxa"/>
        </w:tblCellMar>
      </w:tblPr>
      <w:tblGrid>
        <w:gridCol w:w="2311"/>
        <w:gridCol w:w="5749"/>
      </w:tblGrid>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ascii="宋体" w:hAnsi="宋体" w:cs="宋体"/>
                <w:color w:val="000000"/>
                <w:sz w:val="32"/>
                <w:szCs w:val="32"/>
                <w:highlight w:val="none"/>
              </w:rPr>
            </w:pPr>
            <w:bookmarkStart w:id="3" w:name="_Toc493928402"/>
            <w:bookmarkStart w:id="4" w:name="_Toc493956012"/>
            <w:r>
              <w:rPr>
                <w:rFonts w:hint="eastAsia" w:ascii="宋体" w:hAnsi="宋体" w:cs="宋体"/>
                <w:color w:val="000000"/>
                <w:sz w:val="32"/>
                <w:szCs w:val="32"/>
                <w:highlight w:val="none"/>
              </w:rPr>
              <w:t>项目编号：</w:t>
            </w:r>
            <w:bookmarkEnd w:id="3"/>
            <w:bookmarkEnd w:id="4"/>
          </w:p>
        </w:tc>
        <w:tc>
          <w:tcPr>
            <w:tcW w:w="5749" w:type="dxa"/>
            <w:noWrap w:val="0"/>
            <w:vAlign w:val="center"/>
          </w:tcPr>
          <w:p>
            <w:pPr>
              <w:ind w:left="-103" w:leftChars="-49"/>
              <w:jc w:val="left"/>
              <w:rPr>
                <w:rFonts w:hint="default" w:ascii="宋体" w:hAnsi="宋体" w:eastAsia="宋体" w:cs="宋体"/>
                <w:color w:val="000000"/>
                <w:sz w:val="32"/>
                <w:szCs w:val="32"/>
                <w:highlight w:val="none"/>
                <w:lang w:val="en-US" w:eastAsia="zh-CN"/>
              </w:rPr>
            </w:pPr>
            <w:r>
              <w:rPr>
                <w:rFonts w:hint="eastAsia" w:ascii="宋体" w:hAnsi="宋体" w:eastAsia="宋体" w:cs="宋体"/>
                <w:color w:val="000000"/>
                <w:sz w:val="32"/>
                <w:szCs w:val="32"/>
                <w:highlight w:val="none"/>
                <w:lang w:val="en-US" w:eastAsia="zh-CN"/>
              </w:rPr>
              <w:t>JYZFCG分散磋商2023-123</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ascii="宋体" w:hAnsi="宋体" w:cs="宋体"/>
                <w:color w:val="000000"/>
                <w:sz w:val="32"/>
                <w:szCs w:val="32"/>
                <w:highlight w:val="none"/>
              </w:rPr>
            </w:pPr>
            <w:bookmarkStart w:id="5" w:name="_Toc493928404"/>
            <w:bookmarkStart w:id="6" w:name="_Toc493956014"/>
            <w:r>
              <w:rPr>
                <w:rFonts w:hint="eastAsia" w:ascii="宋体" w:hAnsi="宋体" w:cs="宋体"/>
                <w:color w:val="000000"/>
                <w:sz w:val="32"/>
                <w:szCs w:val="32"/>
                <w:highlight w:val="none"/>
              </w:rPr>
              <w:t>项目名称：</w:t>
            </w:r>
            <w:bookmarkEnd w:id="5"/>
            <w:bookmarkEnd w:id="6"/>
          </w:p>
        </w:tc>
        <w:tc>
          <w:tcPr>
            <w:tcW w:w="5749" w:type="dxa"/>
            <w:noWrap w:val="0"/>
            <w:vAlign w:val="center"/>
          </w:tcPr>
          <w:p>
            <w:pPr>
              <w:ind w:left="-103" w:leftChars="-49"/>
              <w:jc w:val="left"/>
              <w:rPr>
                <w:rFonts w:hint="eastAsia" w:ascii="宋体" w:hAnsi="宋体" w:eastAsia="宋体" w:cs="宋体"/>
                <w:color w:val="000000"/>
                <w:sz w:val="32"/>
                <w:szCs w:val="32"/>
                <w:highlight w:val="none"/>
                <w:lang w:eastAsia="zh-CN"/>
              </w:rPr>
            </w:pPr>
            <w:r>
              <w:rPr>
                <w:rFonts w:hint="eastAsia" w:ascii="宋体" w:hAnsi="宋体" w:cs="宋体"/>
                <w:color w:val="000000"/>
                <w:sz w:val="32"/>
                <w:szCs w:val="32"/>
                <w:highlight w:val="none"/>
                <w:lang w:eastAsia="zh-CN"/>
              </w:rPr>
              <w:t>缙云县中医医院迁建工程项目污水处理设备采购项目</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ascii="宋体" w:hAnsi="宋体" w:cs="宋体"/>
                <w:color w:val="000000"/>
                <w:sz w:val="32"/>
                <w:szCs w:val="32"/>
                <w:highlight w:val="none"/>
              </w:rPr>
            </w:pPr>
            <w:bookmarkStart w:id="7" w:name="_Toc493956016"/>
            <w:bookmarkStart w:id="8" w:name="_Toc493928406"/>
            <w:r>
              <w:rPr>
                <w:rFonts w:hint="eastAsia" w:ascii="宋体" w:hAnsi="宋体" w:cs="宋体"/>
                <w:color w:val="000000"/>
                <w:sz w:val="32"/>
                <w:szCs w:val="32"/>
                <w:highlight w:val="none"/>
              </w:rPr>
              <w:t>采 购 人：</w:t>
            </w:r>
            <w:bookmarkEnd w:id="7"/>
            <w:bookmarkEnd w:id="8"/>
          </w:p>
        </w:tc>
        <w:tc>
          <w:tcPr>
            <w:tcW w:w="5749" w:type="dxa"/>
            <w:noWrap w:val="0"/>
            <w:vAlign w:val="center"/>
          </w:tcPr>
          <w:p>
            <w:pPr>
              <w:ind w:left="-103" w:leftChars="-49"/>
              <w:jc w:val="left"/>
              <w:rPr>
                <w:rFonts w:hint="eastAsia" w:ascii="宋体" w:hAnsi="宋体" w:eastAsia="宋体" w:cs="宋体"/>
                <w:color w:val="000000"/>
                <w:sz w:val="32"/>
                <w:szCs w:val="32"/>
                <w:highlight w:val="none"/>
                <w:lang w:eastAsia="zh-CN"/>
              </w:rPr>
            </w:pPr>
            <w:r>
              <w:rPr>
                <w:rFonts w:hint="eastAsia" w:ascii="宋体" w:hAnsi="宋体" w:cs="宋体"/>
                <w:color w:val="000000"/>
                <w:sz w:val="32"/>
                <w:szCs w:val="32"/>
                <w:highlight w:val="none"/>
                <w:lang w:eastAsia="zh-CN"/>
              </w:rPr>
              <w:t>缙云县卫生健康局</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ascii="宋体" w:hAnsi="宋体" w:cs="宋体"/>
                <w:color w:val="000000"/>
                <w:sz w:val="32"/>
                <w:szCs w:val="32"/>
                <w:highlight w:val="none"/>
              </w:rPr>
            </w:pPr>
          </w:p>
        </w:tc>
        <w:tc>
          <w:tcPr>
            <w:tcW w:w="5749" w:type="dxa"/>
            <w:noWrap w:val="0"/>
            <w:vAlign w:val="center"/>
          </w:tcPr>
          <w:p>
            <w:pPr>
              <w:ind w:left="-103" w:leftChars="-49"/>
              <w:jc w:val="left"/>
              <w:rPr>
                <w:rFonts w:ascii="宋体" w:hAnsi="宋体" w:cs="宋体"/>
                <w:color w:val="000000"/>
                <w:sz w:val="32"/>
                <w:szCs w:val="32"/>
                <w:highlight w:val="non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ascii="宋体" w:hAnsi="宋体" w:cs="宋体"/>
                <w:color w:val="000000"/>
                <w:sz w:val="32"/>
                <w:szCs w:val="32"/>
                <w:highlight w:val="none"/>
              </w:rPr>
            </w:pPr>
            <w:r>
              <w:rPr>
                <w:rFonts w:hint="eastAsia" w:ascii="宋体" w:hAnsi="宋体" w:cs="宋体"/>
                <w:color w:val="000000"/>
                <w:sz w:val="32"/>
                <w:szCs w:val="32"/>
                <w:highlight w:val="none"/>
              </w:rPr>
              <w:t>采购代理机构：</w:t>
            </w:r>
          </w:p>
        </w:tc>
        <w:tc>
          <w:tcPr>
            <w:tcW w:w="5749" w:type="dxa"/>
            <w:noWrap w:val="0"/>
            <w:vAlign w:val="center"/>
          </w:tcPr>
          <w:p>
            <w:pPr>
              <w:ind w:left="-103" w:leftChars="-49"/>
              <w:jc w:val="left"/>
              <w:rPr>
                <w:rFonts w:ascii="宋体" w:hAnsi="宋体" w:cs="宋体"/>
                <w:color w:val="000000"/>
                <w:sz w:val="32"/>
                <w:szCs w:val="32"/>
                <w:highlight w:val="none"/>
              </w:rPr>
            </w:pPr>
            <w:r>
              <w:rPr>
                <w:rFonts w:hint="eastAsia" w:ascii="宋体" w:hAnsi="宋体" w:cs="宋体"/>
                <w:color w:val="000000"/>
                <w:sz w:val="32"/>
                <w:szCs w:val="32"/>
                <w:highlight w:val="none"/>
              </w:rPr>
              <w:t>浙江鼎峰工程咨询有限公司</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ascii="宋体" w:hAnsi="宋体" w:cs="宋体"/>
                <w:color w:val="000000"/>
                <w:sz w:val="32"/>
                <w:szCs w:val="32"/>
                <w:highlight w:val="none"/>
              </w:rPr>
            </w:pPr>
            <w:r>
              <w:rPr>
                <w:rFonts w:hint="eastAsia" w:ascii="宋体" w:hAnsi="宋体" w:cs="宋体"/>
                <w:color w:val="000000"/>
                <w:sz w:val="32"/>
                <w:szCs w:val="32"/>
                <w:highlight w:val="none"/>
              </w:rPr>
              <w:t>地        址：</w:t>
            </w:r>
          </w:p>
        </w:tc>
        <w:tc>
          <w:tcPr>
            <w:tcW w:w="5749" w:type="dxa"/>
            <w:noWrap w:val="0"/>
            <w:vAlign w:val="center"/>
          </w:tcPr>
          <w:p>
            <w:pPr>
              <w:ind w:left="-103" w:leftChars="-49"/>
              <w:jc w:val="left"/>
              <w:rPr>
                <w:rFonts w:ascii="宋体" w:hAnsi="宋体" w:cs="宋体"/>
                <w:color w:val="000000"/>
                <w:sz w:val="32"/>
                <w:szCs w:val="32"/>
                <w:highlight w:val="none"/>
              </w:rPr>
            </w:pPr>
            <w:r>
              <w:rPr>
                <w:rFonts w:hint="eastAsia" w:ascii="宋体" w:hAnsi="宋体" w:cs="宋体"/>
                <w:color w:val="000000"/>
                <w:sz w:val="32"/>
                <w:szCs w:val="32"/>
                <w:highlight w:val="none"/>
              </w:rPr>
              <w:t>缙云县新区江滨巷17号301室</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84" w:rightChars="-40"/>
              <w:rPr>
                <w:rFonts w:ascii="宋体" w:hAnsi="宋体" w:cs="宋体"/>
                <w:color w:val="000000"/>
                <w:sz w:val="32"/>
                <w:szCs w:val="32"/>
                <w:highlight w:val="none"/>
              </w:rPr>
            </w:pPr>
          </w:p>
        </w:tc>
        <w:tc>
          <w:tcPr>
            <w:tcW w:w="5749" w:type="dxa"/>
            <w:noWrap w:val="0"/>
            <w:vAlign w:val="center"/>
          </w:tcPr>
          <w:p>
            <w:pPr>
              <w:ind w:left="-103" w:leftChars="-49"/>
              <w:rPr>
                <w:rFonts w:ascii="宋体" w:hAnsi="宋体" w:cs="宋体"/>
                <w:color w:val="000000"/>
                <w:sz w:val="32"/>
                <w:szCs w:val="32"/>
                <w:highlight w:val="none"/>
              </w:rPr>
            </w:pPr>
          </w:p>
        </w:tc>
      </w:tr>
      <w:tr>
        <w:tblPrEx>
          <w:tblCellMar>
            <w:top w:w="0" w:type="dxa"/>
            <w:left w:w="108" w:type="dxa"/>
            <w:bottom w:w="0" w:type="dxa"/>
            <w:right w:w="108" w:type="dxa"/>
          </w:tblCellMar>
        </w:tblPrEx>
        <w:trPr>
          <w:trHeight w:val="737" w:hRule="atLeast"/>
          <w:jc w:val="center"/>
        </w:trPr>
        <w:tc>
          <w:tcPr>
            <w:tcW w:w="8060" w:type="dxa"/>
            <w:gridSpan w:val="2"/>
            <w:noWrap w:val="0"/>
            <w:vAlign w:val="center"/>
          </w:tcPr>
          <w:p>
            <w:pPr>
              <w:jc w:val="center"/>
              <w:rPr>
                <w:rFonts w:ascii="宋体" w:hAnsi="宋体" w:cs="宋体"/>
                <w:color w:val="000000"/>
                <w:sz w:val="32"/>
                <w:szCs w:val="32"/>
                <w:highlight w:val="none"/>
              </w:rPr>
            </w:pPr>
            <w:r>
              <w:rPr>
                <w:rFonts w:hint="eastAsia" w:ascii="宋体" w:hAnsi="宋体" w:cs="宋体"/>
                <w:color w:val="000000"/>
                <w:sz w:val="32"/>
                <w:szCs w:val="32"/>
                <w:highlight w:val="none"/>
              </w:rPr>
              <w:t>202</w:t>
            </w:r>
            <w:r>
              <w:rPr>
                <w:rFonts w:hint="eastAsia" w:ascii="宋体" w:hAnsi="宋体" w:cs="宋体"/>
                <w:color w:val="000000"/>
                <w:sz w:val="32"/>
                <w:szCs w:val="32"/>
                <w:highlight w:val="none"/>
                <w:lang w:val="en-US" w:eastAsia="zh-CN"/>
              </w:rPr>
              <w:t>3</w:t>
            </w:r>
            <w:r>
              <w:rPr>
                <w:rFonts w:hint="eastAsia" w:ascii="宋体" w:hAnsi="宋体" w:cs="宋体"/>
                <w:color w:val="000000"/>
                <w:sz w:val="32"/>
                <w:szCs w:val="32"/>
                <w:highlight w:val="none"/>
              </w:rPr>
              <w:t>年</w:t>
            </w:r>
            <w:r>
              <w:rPr>
                <w:rFonts w:hint="eastAsia" w:ascii="宋体" w:hAnsi="宋体" w:cs="宋体"/>
                <w:color w:val="000000"/>
                <w:sz w:val="32"/>
                <w:szCs w:val="32"/>
                <w:highlight w:val="none"/>
                <w:lang w:val="en-US" w:eastAsia="zh-CN"/>
              </w:rPr>
              <w:t>11</w:t>
            </w:r>
            <w:r>
              <w:rPr>
                <w:rFonts w:hint="eastAsia" w:ascii="宋体" w:hAnsi="宋体" w:cs="宋体"/>
                <w:color w:val="000000"/>
                <w:sz w:val="32"/>
                <w:szCs w:val="32"/>
                <w:highlight w:val="none"/>
              </w:rPr>
              <w:t>月</w:t>
            </w:r>
          </w:p>
        </w:tc>
      </w:tr>
    </w:tbl>
    <w:p>
      <w:pPr>
        <w:pStyle w:val="6"/>
        <w:rPr>
          <w:rFonts w:hint="eastAsia" w:ascii="宋体" w:hAnsi="宋体" w:cs="宋体"/>
          <w:b/>
          <w:snapToGrid w:val="0"/>
          <w:color w:val="000000"/>
          <w:sz w:val="28"/>
          <w:szCs w:val="28"/>
          <w:highlight w:val="none"/>
        </w:rPr>
      </w:pPr>
    </w:p>
    <w:p>
      <w:pPr>
        <w:pStyle w:val="145"/>
        <w:widowControl w:val="0"/>
        <w:spacing w:after="0" w:afterLines="0" w:line="360" w:lineRule="auto"/>
        <w:ind w:left="0" w:leftChars="0" w:firstLine="0" w:firstLineChars="0"/>
        <w:jc w:val="center"/>
        <w:rPr>
          <w:rFonts w:hint="eastAsia" w:ascii="宋体" w:hAnsi="宋体" w:cs="宋体"/>
          <w:b/>
          <w:sz w:val="36"/>
          <w:szCs w:val="36"/>
          <w:highlight w:val="none"/>
        </w:rPr>
        <w:sectPr>
          <w:headerReference r:id="rId3" w:type="default"/>
          <w:footerReference r:id="rId4" w:type="default"/>
          <w:type w:val="continuous"/>
          <w:pgSz w:w="11910" w:h="16840"/>
          <w:pgMar w:top="1440" w:right="1080" w:bottom="1440" w:left="1080" w:header="1247" w:footer="1191" w:gutter="0"/>
          <w:pgNumType w:fmt="decimal"/>
          <w:cols w:space="720" w:num="1"/>
        </w:sectPr>
      </w:pPr>
    </w:p>
    <w:p>
      <w:pPr>
        <w:pStyle w:val="145"/>
        <w:widowControl w:val="0"/>
        <w:spacing w:after="0" w:afterLines="0" w:line="360" w:lineRule="auto"/>
        <w:ind w:left="0" w:leftChars="0" w:firstLine="0" w:firstLineChars="0"/>
        <w:jc w:val="center"/>
        <w:rPr>
          <w:rFonts w:hint="eastAsia" w:ascii="宋体" w:hAnsi="宋体" w:cs="宋体"/>
          <w:b/>
          <w:sz w:val="30"/>
          <w:szCs w:val="30"/>
          <w:highlight w:val="none"/>
        </w:rPr>
      </w:pPr>
      <w:r>
        <w:rPr>
          <w:rFonts w:hint="eastAsia" w:ascii="宋体" w:hAnsi="宋体" w:cs="宋体"/>
          <w:b/>
          <w:sz w:val="36"/>
          <w:szCs w:val="36"/>
          <w:highlight w:val="none"/>
        </w:rPr>
        <w:t>目  录</w:t>
      </w:r>
    </w:p>
    <w:bookmarkEnd w:id="0"/>
    <w:bookmarkEnd w:id="1"/>
    <w:bookmarkEnd w:id="2"/>
    <w:p>
      <w:pPr>
        <w:pStyle w:val="2"/>
        <w:keepNext w:val="0"/>
        <w:keepLines w:val="0"/>
        <w:pageBreakBefore w:val="0"/>
        <w:widowControl w:val="0"/>
        <w:tabs>
          <w:tab w:val="right" w:leader="dot" w:pos="9750"/>
          <w:tab w:val="clear" w:pos="9060"/>
        </w:tabs>
        <w:kinsoku/>
        <w:wordWrap/>
        <w:overflowPunct/>
        <w:topLinePunct w:val="0"/>
        <w:autoSpaceDE/>
        <w:autoSpaceDN/>
        <w:bidi w:val="0"/>
        <w:spacing w:before="0" w:after="0" w:line="480" w:lineRule="exact"/>
        <w:ind w:left="0" w:leftChars="0" w:firstLine="0" w:firstLineChars="0"/>
        <w:jc w:val="center"/>
        <w:rPr>
          <w:rFonts w:hint="eastAsia" w:ascii="宋体" w:hAnsi="宋体" w:eastAsia="宋体" w:cs="宋体"/>
          <w:sz w:val="28"/>
          <w:szCs w:val="28"/>
          <w:highlight w:val="none"/>
        </w:rPr>
      </w:pPr>
      <w:bookmarkStart w:id="9" w:name="_Toc303756354"/>
      <w:bookmarkStart w:id="10" w:name="_Toc301187514"/>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TOC \o "1-2" \h \u </w:instrText>
      </w:r>
      <w:r>
        <w:rPr>
          <w:rFonts w:hint="eastAsia" w:ascii="宋体" w:hAnsi="宋体" w:eastAsia="宋体" w:cs="宋体"/>
          <w:bCs/>
          <w:sz w:val="28"/>
          <w:szCs w:val="28"/>
          <w:highlight w:val="none"/>
        </w:rPr>
        <w:fldChar w:fldCharType="separate"/>
      </w: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_Toc10813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第一章 竞争性磋商</w:t>
      </w:r>
      <w:r>
        <w:rPr>
          <w:rFonts w:hint="eastAsia" w:ascii="宋体" w:hAnsi="宋体" w:eastAsia="宋体" w:cs="宋体"/>
          <w:bCs/>
          <w:sz w:val="28"/>
          <w:szCs w:val="28"/>
          <w:highlight w:val="none"/>
        </w:rPr>
        <w:t>公告</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_Toc10813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2"/>
        <w:keepNext w:val="0"/>
        <w:keepLines w:val="0"/>
        <w:pageBreakBefore w:val="0"/>
        <w:widowControl w:val="0"/>
        <w:tabs>
          <w:tab w:val="right" w:leader="dot" w:pos="9750"/>
          <w:tab w:val="clear" w:pos="9060"/>
        </w:tabs>
        <w:kinsoku/>
        <w:wordWrap/>
        <w:overflowPunct/>
        <w:topLinePunct w:val="0"/>
        <w:autoSpaceDE/>
        <w:autoSpaceDN/>
        <w:bidi w:val="0"/>
        <w:spacing w:before="0" w:after="0"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_Toc21616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第二章 采购需求</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_Toc21616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5</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2"/>
        <w:keepNext w:val="0"/>
        <w:keepLines w:val="0"/>
        <w:pageBreakBefore w:val="0"/>
        <w:widowControl w:val="0"/>
        <w:tabs>
          <w:tab w:val="right" w:leader="dot" w:pos="9750"/>
          <w:tab w:val="clear" w:pos="9060"/>
        </w:tabs>
        <w:kinsoku/>
        <w:wordWrap/>
        <w:overflowPunct/>
        <w:topLinePunct w:val="0"/>
        <w:autoSpaceDE/>
        <w:autoSpaceDN/>
        <w:bidi w:val="0"/>
        <w:spacing w:before="0" w:after="0"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_Toc23743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第三章 供应商须知</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_Toc23743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13</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_Toc18250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1．总则</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_Toc18250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16</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_Toc29877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2．竞争性磋商文件</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_Toc29877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20</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_Toc32516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3．响应文件的组成</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_Toc32516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20</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_Toc23383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4．响应文件的编制</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_Toc23383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21</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_Toc31692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5．响应文件的递交</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_Toc31692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22</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_Toc17549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6．磋商无效情形</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_Toc17549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22</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_Toc19610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7．磋商、磋商评审及定标</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_Toc19610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23</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_Toc11126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8．成交和合同</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_Toc11126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27</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_Toc4104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9．履约保证金和质保</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_Toc4104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28</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_Toc27731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10．其他事项</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_Toc27731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28</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2"/>
        <w:keepNext w:val="0"/>
        <w:keepLines w:val="0"/>
        <w:pageBreakBefore w:val="0"/>
        <w:widowControl w:val="0"/>
        <w:tabs>
          <w:tab w:val="right" w:leader="dot" w:pos="9750"/>
          <w:tab w:val="clear" w:pos="9060"/>
        </w:tabs>
        <w:kinsoku/>
        <w:wordWrap/>
        <w:overflowPunct/>
        <w:topLinePunct w:val="0"/>
        <w:autoSpaceDE/>
        <w:autoSpaceDN/>
        <w:bidi w:val="0"/>
        <w:spacing w:before="0" w:after="0"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_Toc20764 </w:instrText>
      </w:r>
      <w:r>
        <w:rPr>
          <w:rFonts w:hint="eastAsia" w:ascii="宋体" w:hAnsi="宋体" w:eastAsia="宋体" w:cs="宋体"/>
          <w:bCs/>
          <w:sz w:val="28"/>
          <w:szCs w:val="28"/>
          <w:highlight w:val="none"/>
        </w:rPr>
        <w:fldChar w:fldCharType="separate"/>
      </w:r>
      <w:r>
        <w:rPr>
          <w:rFonts w:hint="eastAsia" w:ascii="宋体" w:hAnsi="宋体" w:eastAsia="宋体" w:cs="宋体"/>
          <w:bCs/>
          <w:sz w:val="28"/>
          <w:szCs w:val="28"/>
          <w:highlight w:val="none"/>
        </w:rPr>
        <w:t>第四章</w:t>
      </w:r>
      <w:r>
        <w:rPr>
          <w:rFonts w:hint="eastAsia" w:ascii="宋体" w:hAnsi="宋体" w:eastAsia="宋体" w:cs="宋体"/>
          <w:bCs/>
          <w:sz w:val="28"/>
          <w:szCs w:val="28"/>
          <w:highlight w:val="none"/>
          <w:lang w:val="en-US"/>
        </w:rPr>
        <w:t xml:space="preserve"> </w:t>
      </w:r>
      <w:r>
        <w:rPr>
          <w:rFonts w:hint="eastAsia" w:ascii="宋体" w:hAnsi="宋体" w:eastAsia="宋体" w:cs="宋体"/>
          <w:sz w:val="28"/>
          <w:szCs w:val="28"/>
          <w:highlight w:val="none"/>
          <w:lang w:eastAsia="zh-CN"/>
        </w:rPr>
        <w:t>合同格式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_Toc20764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29</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2"/>
        <w:keepNext w:val="0"/>
        <w:keepLines w:val="0"/>
        <w:pageBreakBefore w:val="0"/>
        <w:widowControl w:val="0"/>
        <w:tabs>
          <w:tab w:val="right" w:leader="dot" w:pos="9750"/>
          <w:tab w:val="clear" w:pos="9060"/>
        </w:tabs>
        <w:kinsoku/>
        <w:wordWrap/>
        <w:overflowPunct/>
        <w:topLinePunct w:val="0"/>
        <w:autoSpaceDE/>
        <w:autoSpaceDN/>
        <w:bidi w:val="0"/>
        <w:spacing w:before="0" w:after="0"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_Toc11958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第五章 响应文件格式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_Toc11958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29</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_Toc18236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一、响应文件格式说明</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_Toc18236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38</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_Toc10776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二、资格审查文件格式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_Toc10776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39</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_Toc31461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三、商务技术文件格式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_Toc31461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50</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_Toc24655 </w:instrText>
      </w:r>
      <w:r>
        <w:rPr>
          <w:rFonts w:hint="eastAsia" w:ascii="宋体" w:hAnsi="宋体" w:eastAsia="宋体" w:cs="宋体"/>
          <w:bCs/>
          <w:sz w:val="28"/>
          <w:szCs w:val="28"/>
          <w:highlight w:val="none"/>
        </w:rPr>
        <w:fldChar w:fldCharType="separate"/>
      </w:r>
      <w:r>
        <w:rPr>
          <w:rFonts w:hint="eastAsia" w:ascii="宋体" w:hAnsi="宋体" w:eastAsia="宋体" w:cs="宋体"/>
          <w:sz w:val="28"/>
          <w:szCs w:val="28"/>
          <w:highlight w:val="none"/>
        </w:rPr>
        <w:t>四、报价文件格式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_Toc24655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59</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35"/>
        <w:keepNext w:val="0"/>
        <w:keepLines w:val="0"/>
        <w:pageBreakBefore w:val="0"/>
        <w:widowControl w:val="0"/>
        <w:tabs>
          <w:tab w:val="right" w:leader="dot" w:pos="9750"/>
          <w:tab w:val="clear" w:pos="1470"/>
          <w:tab w:val="clear" w:pos="9060"/>
        </w:tabs>
        <w:kinsoku/>
        <w:wordWrap/>
        <w:overflowPunct/>
        <w:topLinePunct w:val="0"/>
        <w:autoSpaceDE/>
        <w:autoSpaceDN/>
        <w:bidi w:val="0"/>
        <w:spacing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_Toc7377 </w:instrText>
      </w:r>
      <w:r>
        <w:rPr>
          <w:rFonts w:hint="eastAsia" w:ascii="宋体" w:hAnsi="宋体" w:eastAsia="宋体" w:cs="宋体"/>
          <w:bCs/>
          <w:sz w:val="28"/>
          <w:szCs w:val="28"/>
          <w:highlight w:val="none"/>
        </w:rPr>
        <w:fldChar w:fldCharType="separate"/>
      </w:r>
      <w:r>
        <w:rPr>
          <w:rFonts w:hint="eastAsia" w:ascii="宋体" w:hAnsi="宋体" w:eastAsia="宋体" w:cs="宋体"/>
          <w:bCs/>
          <w:sz w:val="28"/>
          <w:szCs w:val="28"/>
          <w:highlight w:val="none"/>
        </w:rPr>
        <w:t>五</w:t>
      </w:r>
      <w:r>
        <w:rPr>
          <w:rFonts w:hint="eastAsia" w:ascii="宋体" w:hAnsi="宋体" w:eastAsia="宋体" w:cs="宋体"/>
          <w:sz w:val="28"/>
          <w:szCs w:val="28"/>
          <w:highlight w:val="none"/>
        </w:rPr>
        <w:t>、</w:t>
      </w:r>
      <w:r>
        <w:rPr>
          <w:rFonts w:hint="eastAsia" w:ascii="宋体" w:hAnsi="宋体" w:eastAsia="宋体" w:cs="宋体"/>
          <w:bCs/>
          <w:sz w:val="28"/>
          <w:szCs w:val="28"/>
          <w:highlight w:val="none"/>
        </w:rPr>
        <w:t>政府采购活动现场确认声明书</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_Toc7377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63</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pStyle w:val="2"/>
        <w:keepNext w:val="0"/>
        <w:keepLines w:val="0"/>
        <w:pageBreakBefore w:val="0"/>
        <w:widowControl w:val="0"/>
        <w:tabs>
          <w:tab w:val="right" w:leader="dot" w:pos="9750"/>
          <w:tab w:val="clear" w:pos="9060"/>
        </w:tabs>
        <w:kinsoku/>
        <w:wordWrap/>
        <w:overflowPunct/>
        <w:topLinePunct w:val="0"/>
        <w:autoSpaceDE/>
        <w:autoSpaceDN/>
        <w:bidi w:val="0"/>
        <w:spacing w:before="0" w:after="0" w:line="480" w:lineRule="exact"/>
        <w:ind w:left="0" w:leftChars="0" w:firstLine="0" w:firstLineChars="0"/>
        <w:jc w:val="center"/>
        <w:rPr>
          <w:rFonts w:hint="eastAsia" w:ascii="宋体" w:hAnsi="宋体" w:eastAsia="宋体" w:cs="宋体"/>
          <w:sz w:val="28"/>
          <w:szCs w:val="28"/>
          <w:highlight w:val="none"/>
        </w:rPr>
      </w:pPr>
      <w:r>
        <w:rPr>
          <w:rFonts w:hint="eastAsia" w:ascii="宋体" w:hAnsi="宋体" w:eastAsia="宋体" w:cs="宋体"/>
          <w:bCs/>
          <w:sz w:val="28"/>
          <w:szCs w:val="28"/>
          <w:highlight w:val="none"/>
        </w:rPr>
        <w:fldChar w:fldCharType="begin"/>
      </w:r>
      <w:r>
        <w:rPr>
          <w:rFonts w:hint="eastAsia" w:ascii="宋体" w:hAnsi="宋体" w:eastAsia="宋体" w:cs="宋体"/>
          <w:bCs/>
          <w:sz w:val="28"/>
          <w:szCs w:val="28"/>
          <w:highlight w:val="none"/>
        </w:rPr>
        <w:instrText xml:space="preserve"> HYPERLINK \l _Toc1141 </w:instrText>
      </w:r>
      <w:r>
        <w:rPr>
          <w:rFonts w:hint="eastAsia" w:ascii="宋体" w:hAnsi="宋体" w:eastAsia="宋体" w:cs="宋体"/>
          <w:bCs/>
          <w:sz w:val="28"/>
          <w:szCs w:val="28"/>
          <w:highlight w:val="none"/>
        </w:rPr>
        <w:fldChar w:fldCharType="separate"/>
      </w:r>
      <w:r>
        <w:rPr>
          <w:rFonts w:hint="eastAsia" w:ascii="宋体" w:hAnsi="宋体" w:eastAsia="宋体" w:cs="宋体"/>
          <w:bCs/>
          <w:sz w:val="28"/>
          <w:szCs w:val="28"/>
          <w:highlight w:val="none"/>
        </w:rPr>
        <w:t>第六章 磋商评审办法及评分标准</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_Toc1141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64</w:t>
      </w:r>
      <w:r>
        <w:rPr>
          <w:rFonts w:hint="eastAsia" w:ascii="宋体" w:hAnsi="宋体" w:eastAsia="宋体" w:cs="宋体"/>
          <w:sz w:val="28"/>
          <w:szCs w:val="28"/>
          <w:highlight w:val="none"/>
        </w:rPr>
        <w:fldChar w:fldCharType="end"/>
      </w:r>
      <w:r>
        <w:rPr>
          <w:rFonts w:hint="eastAsia" w:ascii="宋体" w:hAnsi="宋体" w:eastAsia="宋体" w:cs="宋体"/>
          <w:bCs/>
          <w:sz w:val="28"/>
          <w:szCs w:val="28"/>
          <w:highlight w:val="none"/>
        </w:rPr>
        <w:fldChar w:fldCharType="end"/>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baseline"/>
        <w:rPr>
          <w:rFonts w:hint="eastAsia" w:ascii="宋体" w:hAnsi="宋体" w:eastAsia="宋体" w:cs="宋体"/>
          <w:bCs/>
          <w:sz w:val="28"/>
          <w:szCs w:val="28"/>
          <w:highlight w:val="none"/>
        </w:rPr>
      </w:pPr>
      <w:r>
        <w:rPr>
          <w:rFonts w:hint="eastAsia" w:ascii="宋体" w:hAnsi="宋体" w:eastAsia="宋体" w:cs="宋体"/>
          <w:bCs/>
          <w:sz w:val="28"/>
          <w:szCs w:val="28"/>
          <w:highlight w:val="none"/>
        </w:rPr>
        <w:fldChar w:fldCharType="end"/>
      </w:r>
    </w:p>
    <w:bookmarkEnd w:id="9"/>
    <w:bookmarkEnd w:id="10"/>
    <w:p>
      <w:pPr>
        <w:pStyle w:val="3"/>
        <w:keepNext w:val="0"/>
        <w:keepLines w:val="0"/>
        <w:snapToGrid w:val="0"/>
        <w:spacing w:before="0" w:line="360" w:lineRule="exact"/>
        <w:rPr>
          <w:rFonts w:hint="eastAsia" w:ascii="宋体" w:hAnsi="宋体" w:cs="宋体"/>
          <w:highlight w:val="none"/>
        </w:rPr>
        <w:sectPr>
          <w:headerReference r:id="rId5" w:type="default"/>
          <w:pgSz w:w="11910" w:h="16840"/>
          <w:pgMar w:top="1440" w:right="1080" w:bottom="1440" w:left="1080" w:header="1247" w:footer="1191" w:gutter="0"/>
          <w:pgNumType w:fmt="decimal" w:start="1"/>
          <w:cols w:space="720" w:num="1"/>
        </w:sectPr>
      </w:pPr>
      <w:bookmarkStart w:id="11" w:name="_Toc10813"/>
      <w:bookmarkStart w:id="12" w:name="_Toc23077"/>
    </w:p>
    <w:p>
      <w:pPr>
        <w:pStyle w:val="3"/>
        <w:keepNext w:val="0"/>
        <w:keepLines w:val="0"/>
        <w:snapToGrid w:val="0"/>
        <w:spacing w:before="0" w:line="360" w:lineRule="exact"/>
        <w:rPr>
          <w:rStyle w:val="80"/>
          <w:rFonts w:hint="eastAsia" w:ascii="宋体" w:hAnsi="宋体" w:cs="宋体"/>
          <w:b/>
          <w:bCs/>
          <w:highlight w:val="none"/>
        </w:rPr>
      </w:pPr>
      <w:r>
        <w:rPr>
          <w:rFonts w:hint="eastAsia" w:ascii="宋体" w:hAnsi="宋体" w:cs="宋体"/>
          <w:highlight w:val="none"/>
        </w:rPr>
        <w:t>第一章 竞争性磋商</w:t>
      </w:r>
      <w:r>
        <w:rPr>
          <w:rStyle w:val="80"/>
          <w:rFonts w:hint="eastAsia" w:ascii="宋体" w:hAnsi="宋体" w:cs="宋体"/>
          <w:b/>
          <w:bCs/>
          <w:highlight w:val="none"/>
        </w:rPr>
        <w:t>公告</w:t>
      </w:r>
      <w:bookmarkEnd w:id="11"/>
      <w:bookmarkEnd w:id="12"/>
    </w:p>
    <w:p>
      <w:pPr>
        <w:rPr>
          <w:rFonts w:hint="eastAsia"/>
          <w:highlight w:val="none"/>
        </w:rPr>
      </w:pP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6" w:type="dxa"/>
            <w:noWrap w:val="0"/>
            <w:vAlign w:val="top"/>
          </w:tcPr>
          <w:p>
            <w:pPr>
              <w:pStyle w:val="38"/>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textAlignment w:val="auto"/>
              <w:rPr>
                <w:rFonts w:hint="eastAsia"/>
                <w:color w:val="000000"/>
                <w:sz w:val="21"/>
                <w:szCs w:val="21"/>
                <w:highlight w:val="none"/>
              </w:rPr>
            </w:pPr>
            <w:r>
              <w:rPr>
                <w:rFonts w:hint="eastAsia"/>
                <w:color w:val="000000"/>
                <w:sz w:val="21"/>
                <w:szCs w:val="21"/>
                <w:highlight w:val="none"/>
              </w:rPr>
              <w:t>项目概况:</w:t>
            </w:r>
          </w:p>
          <w:p>
            <w:pPr>
              <w:pStyle w:val="38"/>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firstLine="420" w:firstLineChars="200"/>
              <w:textAlignment w:val="auto"/>
              <w:rPr>
                <w:rFonts w:hint="eastAsia"/>
                <w:sz w:val="21"/>
                <w:szCs w:val="21"/>
                <w:highlight w:val="none"/>
              </w:rPr>
            </w:pPr>
            <w:r>
              <w:rPr>
                <w:rFonts w:hint="eastAsia"/>
                <w:sz w:val="21"/>
                <w:szCs w:val="21"/>
                <w:highlight w:val="none"/>
                <w:u w:val="single"/>
                <w:lang w:eastAsia="zh-CN"/>
              </w:rPr>
              <w:t>缙云县中医医院迁建工程项目污水处理设备采购项目</w:t>
            </w:r>
            <w:r>
              <w:rPr>
                <w:rFonts w:hint="eastAsia"/>
                <w:sz w:val="21"/>
                <w:szCs w:val="21"/>
                <w:highlight w:val="none"/>
              </w:rPr>
              <w:t>的潜在供应商应在浙江省政府采购网（https://zfcg.czt.zj.gov.cn/），丽水市公共资源交易网（https://lssggzy.lishui.gov.cn/）获取（下载）采购文件，并于202</w:t>
            </w:r>
            <w:r>
              <w:rPr>
                <w:rFonts w:hint="eastAsia"/>
                <w:sz w:val="21"/>
                <w:szCs w:val="21"/>
                <w:highlight w:val="none"/>
                <w:lang w:val="en-US" w:eastAsia="zh-CN"/>
              </w:rPr>
              <w:t>3</w:t>
            </w:r>
            <w:r>
              <w:rPr>
                <w:rFonts w:hint="eastAsia"/>
                <w:sz w:val="21"/>
                <w:szCs w:val="21"/>
                <w:highlight w:val="none"/>
              </w:rPr>
              <w:t>年</w:t>
            </w:r>
            <w:r>
              <w:rPr>
                <w:rFonts w:hint="eastAsia"/>
                <w:sz w:val="21"/>
                <w:szCs w:val="21"/>
                <w:highlight w:val="none"/>
                <w:lang w:val="en-US" w:eastAsia="zh-CN"/>
              </w:rPr>
              <w:t>12</w:t>
            </w:r>
            <w:r>
              <w:rPr>
                <w:rFonts w:hint="eastAsia"/>
                <w:sz w:val="21"/>
                <w:szCs w:val="21"/>
                <w:highlight w:val="none"/>
              </w:rPr>
              <w:t>月</w:t>
            </w:r>
            <w:r>
              <w:rPr>
                <w:rFonts w:hint="eastAsia"/>
                <w:sz w:val="21"/>
                <w:szCs w:val="21"/>
                <w:highlight w:val="none"/>
                <w:lang w:val="en-US" w:eastAsia="zh-CN"/>
              </w:rPr>
              <w:t>5</w:t>
            </w:r>
            <w:r>
              <w:rPr>
                <w:rFonts w:hint="eastAsia"/>
                <w:sz w:val="21"/>
                <w:szCs w:val="21"/>
                <w:highlight w:val="none"/>
              </w:rPr>
              <w:t>日</w:t>
            </w:r>
            <w:r>
              <w:rPr>
                <w:rFonts w:hint="eastAsia"/>
                <w:sz w:val="21"/>
                <w:szCs w:val="21"/>
                <w:highlight w:val="none"/>
                <w:lang w:val="en-US" w:eastAsia="zh-CN"/>
              </w:rPr>
              <w:t>14</w:t>
            </w:r>
            <w:r>
              <w:rPr>
                <w:rFonts w:hint="eastAsia"/>
                <w:sz w:val="21"/>
                <w:szCs w:val="21"/>
                <w:highlight w:val="none"/>
              </w:rPr>
              <w:t>:00（北京时间）前提交（上传）响应文件。 </w:t>
            </w:r>
          </w:p>
        </w:tc>
      </w:tr>
    </w:tbl>
    <w:p>
      <w:pPr>
        <w:keepNext w:val="0"/>
        <w:keepLines w:val="0"/>
        <w:pageBreakBefore w:val="0"/>
        <w:kinsoku/>
        <w:overflowPunct/>
        <w:topLinePunct w:val="0"/>
        <w:autoSpaceDE/>
        <w:autoSpaceDN/>
        <w:bidi w:val="0"/>
        <w:adjustRightInd/>
        <w:snapToGrid w:val="0"/>
        <w:spacing w:line="360" w:lineRule="exact"/>
        <w:ind w:right="0" w:rightChars="0" w:firstLine="422" w:firstLineChars="200"/>
        <w:jc w:val="left"/>
        <w:textAlignment w:val="auto"/>
        <w:rPr>
          <w:rStyle w:val="47"/>
          <w:rFonts w:hint="eastAsia" w:ascii="宋体" w:hAnsi="宋体" w:cs="宋体"/>
          <w:color w:val="000000"/>
          <w:szCs w:val="21"/>
          <w:highlight w:val="none"/>
        </w:rPr>
      </w:pPr>
      <w:r>
        <w:rPr>
          <w:rStyle w:val="47"/>
          <w:rFonts w:hint="eastAsia" w:ascii="宋体" w:hAnsi="宋体" w:cs="宋体"/>
          <w:b/>
          <w:bCs/>
          <w:color w:val="000000"/>
          <w:szCs w:val="21"/>
          <w:highlight w:val="none"/>
        </w:rPr>
        <w:t>一、项目基本情况</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cs="宋体"/>
          <w:color w:val="000000"/>
          <w:kern w:val="0"/>
          <w:szCs w:val="21"/>
          <w:highlight w:val="none"/>
        </w:rPr>
      </w:pPr>
      <w:r>
        <w:rPr>
          <w:rFonts w:hint="eastAsia" w:ascii="宋体" w:hAnsi="宋体" w:cs="宋体"/>
          <w:color w:val="000000"/>
          <w:kern w:val="0"/>
          <w:szCs w:val="21"/>
          <w:highlight w:val="none"/>
        </w:rPr>
        <w:t>项目编号：</w:t>
      </w:r>
      <w:r>
        <w:rPr>
          <w:rFonts w:hint="eastAsia" w:ascii="宋体" w:hAnsi="宋体" w:cs="宋体"/>
          <w:color w:val="000000"/>
          <w:kern w:val="0"/>
          <w:szCs w:val="21"/>
          <w:highlight w:val="none"/>
          <w:lang w:val="en-US" w:eastAsia="zh-CN"/>
        </w:rPr>
        <w:t xml:space="preserve">JYZFCG分散磋商2023-123   </w:t>
      </w:r>
      <w:r>
        <w:rPr>
          <w:rFonts w:hint="eastAsia" w:ascii="宋体" w:hAnsi="宋体" w:cs="宋体"/>
          <w:color w:val="000000"/>
          <w:kern w:val="0"/>
          <w:szCs w:val="21"/>
          <w:highlight w:val="none"/>
        </w:rPr>
        <w:t xml:space="preserve">                 </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cs="宋体"/>
          <w:color w:val="000000"/>
          <w:kern w:val="0"/>
          <w:szCs w:val="21"/>
          <w:highlight w:val="none"/>
        </w:rPr>
      </w:pPr>
      <w:r>
        <w:rPr>
          <w:rFonts w:hint="eastAsia" w:ascii="宋体" w:hAnsi="宋体" w:cs="宋体"/>
          <w:color w:val="000000"/>
          <w:kern w:val="0"/>
          <w:szCs w:val="21"/>
          <w:highlight w:val="none"/>
        </w:rPr>
        <w:t>项</w:t>
      </w:r>
      <w:r>
        <w:rPr>
          <w:rFonts w:hint="eastAsia" w:ascii="宋体" w:hAnsi="宋体" w:cs="宋体"/>
          <w:kern w:val="0"/>
          <w:szCs w:val="21"/>
          <w:highlight w:val="none"/>
        </w:rPr>
        <w:t>目名称：</w:t>
      </w:r>
      <w:r>
        <w:rPr>
          <w:rFonts w:hint="eastAsia" w:ascii="宋体" w:hAnsi="宋体" w:cs="宋体"/>
          <w:color w:val="000000"/>
          <w:kern w:val="0"/>
          <w:szCs w:val="21"/>
          <w:highlight w:val="none"/>
          <w:lang w:eastAsia="zh-CN"/>
        </w:rPr>
        <w:t>缙云县中医医院迁建工程项目污水处理设备采购项目</w:t>
      </w:r>
      <w:r>
        <w:rPr>
          <w:rFonts w:hint="eastAsia" w:ascii="宋体" w:hAnsi="宋体" w:cs="宋体"/>
          <w:color w:val="000000"/>
          <w:kern w:val="0"/>
          <w:szCs w:val="21"/>
          <w:highlight w:val="none"/>
        </w:rPr>
        <w:t> </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cs="宋体"/>
          <w:color w:val="000000"/>
          <w:kern w:val="0"/>
          <w:szCs w:val="21"/>
          <w:highlight w:val="none"/>
        </w:rPr>
      </w:pPr>
      <w:r>
        <w:rPr>
          <w:rFonts w:hint="eastAsia" w:ascii="宋体" w:hAnsi="宋体" w:cs="宋体"/>
          <w:color w:val="000000"/>
          <w:kern w:val="0"/>
          <w:szCs w:val="21"/>
          <w:highlight w:val="none"/>
        </w:rPr>
        <w:t>采购方式：竞争性磋商 </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预算金额：</w:t>
      </w:r>
      <w:r>
        <w:rPr>
          <w:rFonts w:hint="eastAsia" w:ascii="宋体" w:hAnsi="宋体" w:eastAsia="宋体" w:cs="宋体"/>
          <w:i w:val="0"/>
          <w:iCs w:val="0"/>
          <w:color w:val="auto"/>
          <w:sz w:val="21"/>
          <w:szCs w:val="21"/>
          <w:highlight w:val="none"/>
          <w:lang w:val="en-US" w:eastAsia="zh-CN"/>
        </w:rPr>
        <w:t>90</w:t>
      </w:r>
      <w:r>
        <w:rPr>
          <w:rFonts w:hint="eastAsia" w:ascii="宋体" w:hAnsi="宋体" w:eastAsia="宋体" w:cs="宋体"/>
          <w:i w:val="0"/>
          <w:iCs w:val="0"/>
          <w:color w:val="auto"/>
          <w:sz w:val="21"/>
          <w:szCs w:val="21"/>
          <w:highlight w:val="none"/>
          <w:lang w:eastAsia="zh-CN"/>
        </w:rPr>
        <w:t>万元</w:t>
      </w:r>
    </w:p>
    <w:p>
      <w:pPr>
        <w:keepNext w:val="0"/>
        <w:keepLines w:val="0"/>
        <w:pageBreakBefore w:val="0"/>
        <w:widowControl w:val="0"/>
        <w:kinsoku/>
        <w:overflowPunct/>
        <w:topLinePunct w:val="0"/>
        <w:autoSpaceDE/>
        <w:autoSpaceDN/>
        <w:bidi w:val="0"/>
        <w:spacing w:line="400" w:lineRule="exact"/>
        <w:ind w:firstLine="422" w:firstLineChars="200"/>
        <w:textAlignment w:val="auto"/>
        <w:rPr>
          <w:rFonts w:hint="eastAsia" w:ascii="宋体" w:hAnsi="宋体" w:eastAsia="宋体" w:cs="宋体"/>
          <w:b/>
          <w:i w:val="0"/>
          <w:iCs w:val="0"/>
          <w:color w:val="auto"/>
          <w:sz w:val="21"/>
          <w:szCs w:val="21"/>
          <w:highlight w:val="none"/>
        </w:rPr>
      </w:pPr>
      <w:r>
        <w:rPr>
          <w:rFonts w:hint="eastAsia" w:ascii="宋体" w:hAnsi="宋体" w:eastAsia="宋体" w:cs="宋体"/>
          <w:b/>
          <w:i w:val="0"/>
          <w:iCs w:val="0"/>
          <w:color w:val="auto"/>
          <w:sz w:val="21"/>
          <w:szCs w:val="21"/>
          <w:highlight w:val="none"/>
        </w:rPr>
        <w:t>标项一：</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数量：</w:t>
      </w:r>
      <w:r>
        <w:rPr>
          <w:rFonts w:hint="eastAsia" w:ascii="宋体" w:hAnsi="宋体" w:eastAsia="宋体" w:cs="宋体"/>
          <w:bCs/>
          <w:i w:val="0"/>
          <w:iCs w:val="0"/>
          <w:snapToGrid w:val="0"/>
          <w:color w:val="auto"/>
          <w:sz w:val="21"/>
          <w:szCs w:val="21"/>
          <w:highlight w:val="none"/>
          <w:lang w:val="en-US" w:eastAsia="zh-CN"/>
        </w:rPr>
        <w:t>1</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t>单位：</w:t>
      </w:r>
      <w:r>
        <w:rPr>
          <w:rFonts w:hint="eastAsia" w:ascii="宋体" w:hAnsi="宋体" w:eastAsia="宋体" w:cs="宋体"/>
          <w:i w:val="0"/>
          <w:iCs w:val="0"/>
          <w:color w:val="auto"/>
          <w:sz w:val="21"/>
          <w:szCs w:val="21"/>
          <w:highlight w:val="none"/>
          <w:lang w:eastAsia="zh-CN"/>
        </w:rPr>
        <w:t>项</w:t>
      </w:r>
    </w:p>
    <w:p>
      <w:pPr>
        <w:keepNext w:val="0"/>
        <w:keepLines w:val="0"/>
        <w:pageBreakBefore w:val="0"/>
        <w:widowControl w:val="0"/>
        <w:tabs>
          <w:tab w:val="left" w:pos="4541"/>
        </w:tabs>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预算金额：</w:t>
      </w:r>
      <w:r>
        <w:rPr>
          <w:rFonts w:hint="eastAsia" w:cs="宋体"/>
          <w:color w:val="auto"/>
          <w:sz w:val="21"/>
          <w:szCs w:val="21"/>
          <w:highlight w:val="none"/>
          <w:lang w:val="en-US" w:eastAsia="zh-CN"/>
        </w:rPr>
        <w:t>900000</w:t>
      </w:r>
      <w:r>
        <w:rPr>
          <w:rFonts w:hint="eastAsia" w:ascii="宋体" w:hAnsi="宋体" w:eastAsia="宋体" w:cs="宋体"/>
          <w:i w:val="0"/>
          <w:iCs w:val="0"/>
          <w:color w:val="auto"/>
          <w:sz w:val="21"/>
          <w:szCs w:val="21"/>
          <w:highlight w:val="none"/>
          <w:lang w:val="en-US" w:eastAsia="zh-CN"/>
        </w:rPr>
        <w:t>元</w:t>
      </w:r>
      <w:r>
        <w:rPr>
          <w:rFonts w:hint="eastAsia" w:ascii="宋体" w:hAnsi="宋体" w:eastAsia="宋体" w:cs="宋体"/>
          <w:i w:val="0"/>
          <w:iCs w:val="0"/>
          <w:color w:val="auto"/>
          <w:sz w:val="21"/>
          <w:szCs w:val="21"/>
          <w:highlight w:val="none"/>
        </w:rPr>
        <w:t xml:space="preserve"> </w:t>
      </w:r>
      <w:r>
        <w:rPr>
          <w:rFonts w:hint="eastAsia" w:ascii="宋体" w:hAnsi="宋体" w:eastAsia="宋体" w:cs="宋体"/>
          <w:i w:val="0"/>
          <w:iCs w:val="0"/>
          <w:color w:val="auto"/>
          <w:sz w:val="21"/>
          <w:szCs w:val="21"/>
          <w:highlight w:val="none"/>
          <w:lang w:eastAsia="zh-CN"/>
        </w:rPr>
        <w:tab/>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最高限价：</w:t>
      </w:r>
      <w:r>
        <w:rPr>
          <w:rFonts w:hint="eastAsia" w:cs="宋体"/>
          <w:color w:val="auto"/>
          <w:sz w:val="21"/>
          <w:szCs w:val="21"/>
          <w:highlight w:val="none"/>
          <w:lang w:val="en-US" w:eastAsia="zh-CN"/>
        </w:rPr>
        <w:t>900000</w:t>
      </w:r>
      <w:r>
        <w:rPr>
          <w:rFonts w:hint="eastAsia" w:ascii="宋体" w:hAnsi="宋体" w:eastAsia="宋体" w:cs="宋体"/>
          <w:i w:val="0"/>
          <w:iCs w:val="0"/>
          <w:color w:val="auto"/>
          <w:sz w:val="21"/>
          <w:szCs w:val="21"/>
          <w:highlight w:val="none"/>
          <w:lang w:val="en-US" w:eastAsia="zh-CN"/>
        </w:rPr>
        <w:t>元</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简要规格描述：详见</w:t>
      </w:r>
      <w:r>
        <w:rPr>
          <w:rFonts w:hint="eastAsia" w:ascii="宋体" w:hAnsi="宋体" w:eastAsia="宋体" w:cs="宋体"/>
          <w:i w:val="0"/>
          <w:iCs w:val="0"/>
          <w:color w:val="auto"/>
          <w:sz w:val="21"/>
          <w:szCs w:val="21"/>
          <w:highlight w:val="none"/>
          <w:lang w:val="en-US" w:eastAsia="zh-CN"/>
        </w:rPr>
        <w:t>磋商文件</w:t>
      </w:r>
      <w:r>
        <w:rPr>
          <w:rFonts w:hint="eastAsia" w:ascii="宋体" w:hAnsi="宋体" w:eastAsia="宋体" w:cs="宋体"/>
          <w:i w:val="0"/>
          <w:iCs w:val="0"/>
          <w:color w:val="auto"/>
          <w:sz w:val="21"/>
          <w:szCs w:val="21"/>
          <w:highlight w:val="none"/>
        </w:rPr>
        <w:t xml:space="preserve"> 第</w:t>
      </w:r>
      <w:r>
        <w:rPr>
          <w:rFonts w:hint="eastAsia" w:ascii="宋体" w:hAnsi="宋体" w:eastAsia="宋体" w:cs="宋体"/>
          <w:i w:val="0"/>
          <w:iCs w:val="0"/>
          <w:color w:val="auto"/>
          <w:sz w:val="21"/>
          <w:szCs w:val="21"/>
          <w:highlight w:val="none"/>
          <w:lang w:eastAsia="zh-CN"/>
        </w:rPr>
        <w:t>二</w:t>
      </w:r>
      <w:r>
        <w:rPr>
          <w:rFonts w:hint="eastAsia" w:ascii="宋体" w:hAnsi="宋体" w:eastAsia="宋体" w:cs="宋体"/>
          <w:i w:val="0"/>
          <w:iCs w:val="0"/>
          <w:color w:val="auto"/>
          <w:sz w:val="21"/>
          <w:szCs w:val="21"/>
          <w:highlight w:val="none"/>
        </w:rPr>
        <w:t>章 采购需求</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备注：无</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合同履行期限：详见</w:t>
      </w:r>
      <w:r>
        <w:rPr>
          <w:rFonts w:hint="eastAsia" w:ascii="宋体" w:hAnsi="宋体" w:eastAsia="宋体" w:cs="宋体"/>
          <w:i w:val="0"/>
          <w:iCs w:val="0"/>
          <w:color w:val="auto"/>
          <w:sz w:val="21"/>
          <w:szCs w:val="21"/>
          <w:highlight w:val="none"/>
          <w:lang w:val="en-US" w:eastAsia="zh-CN"/>
        </w:rPr>
        <w:t>磋商文件</w:t>
      </w:r>
      <w:r>
        <w:rPr>
          <w:rFonts w:hint="eastAsia" w:ascii="宋体" w:hAnsi="宋体" w:eastAsia="宋体" w:cs="宋体"/>
          <w:i w:val="0"/>
          <w:iCs w:val="0"/>
          <w:color w:val="auto"/>
          <w:sz w:val="21"/>
          <w:szCs w:val="21"/>
          <w:highlight w:val="none"/>
        </w:rPr>
        <w:t xml:space="preserve"> 第</w:t>
      </w:r>
      <w:r>
        <w:rPr>
          <w:rFonts w:hint="eastAsia" w:ascii="宋体" w:hAnsi="宋体" w:eastAsia="宋体" w:cs="宋体"/>
          <w:i w:val="0"/>
          <w:iCs w:val="0"/>
          <w:color w:val="auto"/>
          <w:sz w:val="21"/>
          <w:szCs w:val="21"/>
          <w:highlight w:val="none"/>
          <w:lang w:eastAsia="zh-CN"/>
        </w:rPr>
        <w:t>二</w:t>
      </w:r>
      <w:r>
        <w:rPr>
          <w:rFonts w:hint="eastAsia" w:ascii="宋体" w:hAnsi="宋体" w:eastAsia="宋体" w:cs="宋体"/>
          <w:i w:val="0"/>
          <w:iCs w:val="0"/>
          <w:color w:val="auto"/>
          <w:sz w:val="21"/>
          <w:szCs w:val="21"/>
          <w:highlight w:val="none"/>
        </w:rPr>
        <w:t>章 采购需求</w:t>
      </w:r>
    </w:p>
    <w:p>
      <w:pPr>
        <w:keepNext w:val="0"/>
        <w:keepLines w:val="0"/>
        <w:pageBreakBefore w:val="0"/>
        <w:widowControl w:val="0"/>
        <w:kinsoku/>
        <w:overflowPunct/>
        <w:topLinePunct w:val="0"/>
        <w:autoSpaceDE/>
        <w:autoSpaceDN/>
        <w:bidi w:val="0"/>
        <w:spacing w:line="400" w:lineRule="exact"/>
        <w:ind w:firstLine="42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val="0"/>
          <w:bCs/>
          <w:color w:val="auto"/>
          <w:sz w:val="21"/>
          <w:szCs w:val="21"/>
          <w:highlight w:val="none"/>
        </w:rPr>
        <w:t>本项目</w:t>
      </w:r>
      <w:r>
        <w:rPr>
          <w:rFonts w:hint="eastAsia" w:ascii="宋体" w:hAnsi="宋体" w:eastAsia="宋体" w:cs="宋体"/>
          <w:b w:val="0"/>
          <w:bCs/>
          <w:color w:val="auto"/>
          <w:sz w:val="21"/>
          <w:szCs w:val="21"/>
          <w:highlight w:val="none"/>
          <w:u w:val="none"/>
          <w:lang w:val="en-US" w:eastAsia="zh-CN"/>
        </w:rPr>
        <w:t>（否）</w:t>
      </w:r>
      <w:r>
        <w:rPr>
          <w:rFonts w:hint="eastAsia" w:ascii="宋体" w:hAnsi="宋体" w:eastAsia="宋体" w:cs="宋体"/>
          <w:b w:val="0"/>
          <w:bCs/>
          <w:color w:val="auto"/>
          <w:sz w:val="21"/>
          <w:szCs w:val="21"/>
          <w:highlight w:val="none"/>
        </w:rPr>
        <w:t>接受联合体投标</w:t>
      </w:r>
      <w:r>
        <w:rPr>
          <w:rFonts w:hint="eastAsia" w:ascii="宋体" w:hAnsi="宋体" w:eastAsia="宋体" w:cs="宋体"/>
          <w:b w:val="0"/>
          <w:bCs/>
          <w:color w:val="auto"/>
          <w:kern w:val="0"/>
          <w:sz w:val="21"/>
          <w:szCs w:val="21"/>
          <w:highlight w:val="none"/>
        </w:rPr>
        <w:t>。</w:t>
      </w:r>
    </w:p>
    <w:p>
      <w:pPr>
        <w:keepNext w:val="0"/>
        <w:keepLines w:val="0"/>
        <w:pageBreakBefore w:val="0"/>
        <w:kinsoku/>
        <w:overflowPunct/>
        <w:topLinePunct w:val="0"/>
        <w:autoSpaceDE/>
        <w:autoSpaceDN/>
        <w:bidi w:val="0"/>
        <w:adjustRightInd/>
        <w:snapToGrid w:val="0"/>
        <w:spacing w:line="360" w:lineRule="exact"/>
        <w:ind w:right="0" w:rightChars="0" w:firstLine="422" w:firstLineChars="200"/>
        <w:jc w:val="left"/>
        <w:textAlignment w:val="auto"/>
        <w:rPr>
          <w:rStyle w:val="47"/>
          <w:rFonts w:hint="eastAsia" w:ascii="宋体" w:hAnsi="宋体" w:cs="宋体"/>
          <w:color w:val="000000"/>
          <w:szCs w:val="21"/>
          <w:highlight w:val="none"/>
        </w:rPr>
      </w:pPr>
      <w:r>
        <w:rPr>
          <w:rStyle w:val="47"/>
          <w:rFonts w:hint="eastAsia" w:ascii="宋体" w:hAnsi="宋体" w:cs="宋体"/>
          <w:b/>
          <w:bCs/>
          <w:color w:val="000000"/>
          <w:szCs w:val="21"/>
          <w:highlight w:val="none"/>
        </w:rPr>
        <w:t>二、申请人的资格要求</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bookmarkStart w:id="13" w:name="_Toc28359081"/>
      <w:bookmarkStart w:id="14" w:name="_Toc28359004"/>
      <w:bookmarkStart w:id="15" w:name="_Toc35393792"/>
      <w:bookmarkStart w:id="16" w:name="_Toc35393623"/>
      <w:r>
        <w:rPr>
          <w:rFonts w:hint="eastAsia" w:ascii="宋体" w:hAnsi="宋体" w:eastAsia="宋体" w:cs="宋体"/>
          <w:i w:val="0"/>
          <w:iCs w:val="0"/>
          <w:color w:val="auto"/>
          <w:sz w:val="21"/>
          <w:szCs w:val="21"/>
          <w:highlight w:val="none"/>
        </w:rPr>
        <w:t>1.满足《中华人民共和国政府采购法》第二十二条规定；</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2.未被“信用中国”网站（</w:t>
      </w:r>
      <w:r>
        <w:rPr>
          <w:rFonts w:hint="eastAsia" w:ascii="宋体" w:hAnsi="宋体" w:eastAsia="宋体" w:cs="宋体"/>
          <w:b/>
          <w:i w:val="0"/>
          <w:iCs w:val="0"/>
          <w:color w:val="auto"/>
          <w:sz w:val="21"/>
          <w:szCs w:val="21"/>
          <w:highlight w:val="none"/>
          <w:u w:val="single"/>
        </w:rPr>
        <w:t>www.creditchina.gov.cn</w:t>
      </w:r>
      <w:r>
        <w:rPr>
          <w:rFonts w:hint="eastAsia" w:ascii="宋体" w:hAnsi="宋体" w:eastAsia="宋体" w:cs="宋体"/>
          <w:i w:val="0"/>
          <w:iCs w:val="0"/>
          <w:color w:val="auto"/>
          <w:sz w:val="21"/>
          <w:szCs w:val="21"/>
          <w:highlight w:val="none"/>
        </w:rPr>
        <w:t>）、中国政府采购网（</w:t>
      </w:r>
      <w:r>
        <w:rPr>
          <w:rFonts w:hint="eastAsia" w:ascii="宋体" w:hAnsi="宋体" w:eastAsia="宋体" w:cs="宋体"/>
          <w:b/>
          <w:i w:val="0"/>
          <w:iCs w:val="0"/>
          <w:color w:val="auto"/>
          <w:sz w:val="21"/>
          <w:szCs w:val="21"/>
          <w:highlight w:val="none"/>
          <w:u w:val="single"/>
        </w:rPr>
        <w:t>www.ccgp.gov.cn</w:t>
      </w:r>
      <w:r>
        <w:rPr>
          <w:rFonts w:hint="eastAsia" w:ascii="宋体" w:hAnsi="宋体" w:eastAsia="宋体" w:cs="宋体"/>
          <w:i w:val="0"/>
          <w:iCs w:val="0"/>
          <w:color w:val="auto"/>
          <w:sz w:val="21"/>
          <w:szCs w:val="21"/>
          <w:highlight w:val="none"/>
        </w:rPr>
        <w:t>）列入失信被执行人、重大税收违法当事人名单、政府采购严重违法失信行为记录名单。</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.落实政府采购政策需满足的资格要求：</w:t>
      </w:r>
    </w:p>
    <w:p>
      <w:pPr>
        <w:keepNext w:val="0"/>
        <w:keepLines w:val="0"/>
        <w:pageBreakBefore w:val="0"/>
        <w:widowControl w:val="0"/>
        <w:kinsoku/>
        <w:overflowPunct/>
        <w:topLinePunct w:val="0"/>
        <w:autoSpaceDE/>
        <w:autoSpaceDN/>
        <w:bidi w:val="0"/>
        <w:spacing w:line="400" w:lineRule="exact"/>
        <w:ind w:firstLine="422" w:firstLineChars="200"/>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本项目</w:t>
      </w:r>
      <w:r>
        <w:rPr>
          <w:rFonts w:hint="eastAsia" w:ascii="宋体" w:hAnsi="宋体" w:eastAsia="宋体" w:cs="宋体"/>
          <w:b/>
          <w:bCs/>
          <w:i w:val="0"/>
          <w:iCs w:val="0"/>
          <w:color w:val="auto"/>
          <w:sz w:val="21"/>
          <w:szCs w:val="21"/>
          <w:highlight w:val="none"/>
          <w:u w:val="single"/>
          <w:lang w:val="en-US" w:eastAsia="zh-CN"/>
        </w:rPr>
        <w:t xml:space="preserve"> </w:t>
      </w:r>
      <w:r>
        <w:rPr>
          <w:rFonts w:hint="eastAsia" w:ascii="宋体" w:hAnsi="宋体" w:eastAsia="宋体" w:cs="宋体"/>
          <w:b/>
          <w:bCs/>
          <w:i w:val="0"/>
          <w:iCs w:val="0"/>
          <w:color w:val="auto"/>
          <w:sz w:val="21"/>
          <w:szCs w:val="21"/>
          <w:highlight w:val="none"/>
          <w:u w:val="single"/>
          <w:lang w:eastAsia="zh-CN"/>
        </w:rPr>
        <w:t>是</w:t>
      </w:r>
      <w:r>
        <w:rPr>
          <w:rFonts w:hint="eastAsia" w:ascii="宋体" w:hAnsi="宋体" w:eastAsia="宋体" w:cs="宋体"/>
          <w:b/>
          <w:bCs/>
          <w:i w:val="0"/>
          <w:iCs w:val="0"/>
          <w:color w:val="auto"/>
          <w:sz w:val="21"/>
          <w:szCs w:val="21"/>
          <w:highlight w:val="none"/>
          <w:u w:val="single"/>
          <w:lang w:val="en-US" w:eastAsia="zh-CN"/>
        </w:rPr>
        <w:t xml:space="preserve"> </w:t>
      </w:r>
      <w:r>
        <w:rPr>
          <w:rFonts w:hint="eastAsia" w:ascii="宋体" w:hAnsi="宋体" w:eastAsia="宋体" w:cs="宋体"/>
          <w:b/>
          <w:bCs/>
          <w:i w:val="0"/>
          <w:iCs w:val="0"/>
          <w:color w:val="auto"/>
          <w:sz w:val="21"/>
          <w:szCs w:val="21"/>
          <w:highlight w:val="none"/>
          <w:lang w:eastAsia="zh-CN"/>
        </w:rPr>
        <w:t>专门面向中小企业</w:t>
      </w:r>
      <w:r>
        <w:rPr>
          <w:rFonts w:hint="eastAsia" w:ascii="宋体" w:hAnsi="宋体" w:eastAsia="宋体" w:cs="宋体"/>
          <w:b/>
          <w:bCs/>
          <w:i w:val="0"/>
          <w:iCs w:val="0"/>
          <w:color w:val="auto"/>
          <w:sz w:val="21"/>
          <w:szCs w:val="21"/>
          <w:highlight w:val="none"/>
          <w:lang w:val="en-US" w:eastAsia="zh-CN"/>
        </w:rPr>
        <w:t>/小微企业</w:t>
      </w:r>
      <w:r>
        <w:rPr>
          <w:rFonts w:hint="eastAsia" w:ascii="宋体" w:hAnsi="宋体" w:eastAsia="宋体" w:cs="宋体"/>
          <w:i w:val="0"/>
          <w:iCs w:val="0"/>
          <w:color w:val="auto"/>
          <w:sz w:val="21"/>
          <w:szCs w:val="21"/>
          <w:highlight w:val="none"/>
          <w:lang w:eastAsia="zh-CN"/>
        </w:rPr>
        <w:t>。</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rPr>
        <w:t>本项目的特定资格要求：</w:t>
      </w:r>
      <w:bookmarkEnd w:id="13"/>
      <w:bookmarkEnd w:id="14"/>
      <w:bookmarkEnd w:id="15"/>
      <w:bookmarkEnd w:id="16"/>
      <w:r>
        <w:rPr>
          <w:rFonts w:hint="eastAsia" w:ascii="宋体" w:hAnsi="宋体" w:eastAsia="宋体" w:cs="宋体"/>
          <w:i w:val="0"/>
          <w:iCs w:val="0"/>
          <w:color w:val="auto"/>
          <w:sz w:val="21"/>
          <w:szCs w:val="21"/>
          <w:highlight w:val="none"/>
          <w:lang w:eastAsia="zh-CN"/>
        </w:rPr>
        <w:t>无</w:t>
      </w:r>
      <w:r>
        <w:rPr>
          <w:rFonts w:hint="eastAsia" w:ascii="宋体" w:hAnsi="宋体" w:eastAsia="宋体" w:cs="宋体"/>
          <w:i w:val="0"/>
          <w:iCs w:val="0"/>
          <w:color w:val="auto"/>
          <w:sz w:val="21"/>
          <w:szCs w:val="21"/>
          <w:highlight w:val="none"/>
          <w:lang w:val="en-US" w:eastAsia="zh-CN"/>
        </w:rPr>
        <w:t>。</w:t>
      </w:r>
    </w:p>
    <w:p>
      <w:pPr>
        <w:keepNext w:val="0"/>
        <w:keepLines w:val="0"/>
        <w:pageBreakBefore w:val="0"/>
        <w:kinsoku/>
        <w:wordWrap w:val="0"/>
        <w:overflowPunct/>
        <w:topLinePunct w:val="0"/>
        <w:autoSpaceDE/>
        <w:autoSpaceDN/>
        <w:bidi w:val="0"/>
        <w:adjustRightInd/>
        <w:spacing w:line="360" w:lineRule="exact"/>
        <w:ind w:right="0" w:rightChars="0" w:firstLine="422" w:firstLineChars="200"/>
        <w:textAlignment w:val="auto"/>
        <w:rPr>
          <w:rFonts w:hint="eastAsia" w:ascii="宋体" w:hAnsi="宋体" w:cs="宋体"/>
          <w:color w:val="000000"/>
          <w:kern w:val="0"/>
          <w:szCs w:val="21"/>
          <w:highlight w:val="none"/>
        </w:rPr>
      </w:pPr>
      <w:r>
        <w:rPr>
          <w:rFonts w:hint="eastAsia" w:ascii="宋体" w:hAnsi="宋体" w:cs="宋体"/>
          <w:b/>
          <w:bCs/>
          <w:color w:val="000000"/>
          <w:kern w:val="0"/>
          <w:szCs w:val="21"/>
          <w:highlight w:val="none"/>
        </w:rPr>
        <w:t>三、获取（下载）采购文件</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1. 时间：发布公告之日至</w:t>
      </w:r>
      <w:r>
        <w:rPr>
          <w:rFonts w:hint="eastAsia" w:ascii="宋体" w:hAnsi="宋体" w:eastAsia="宋体" w:cs="宋体"/>
          <w:bCs/>
          <w:i w:val="0"/>
          <w:iCs w:val="0"/>
          <w:snapToGrid w:val="0"/>
          <w:color w:val="auto"/>
          <w:sz w:val="21"/>
          <w:szCs w:val="21"/>
          <w:highlight w:val="none"/>
          <w:u w:val="single"/>
        </w:rPr>
        <w:t>202</w:t>
      </w:r>
      <w:r>
        <w:rPr>
          <w:rFonts w:hint="eastAsia" w:ascii="宋体" w:hAnsi="宋体" w:eastAsia="宋体" w:cs="宋体"/>
          <w:bCs/>
          <w:i w:val="0"/>
          <w:iCs w:val="0"/>
          <w:snapToGrid w:val="0"/>
          <w:color w:val="auto"/>
          <w:sz w:val="21"/>
          <w:szCs w:val="21"/>
          <w:highlight w:val="none"/>
          <w:u w:val="single"/>
          <w:lang w:val="en-US" w:eastAsia="zh-CN"/>
        </w:rPr>
        <w:t>3</w:t>
      </w:r>
      <w:r>
        <w:rPr>
          <w:rFonts w:hint="eastAsia" w:ascii="宋体" w:hAnsi="宋体" w:eastAsia="宋体" w:cs="宋体"/>
          <w:bCs/>
          <w:i w:val="0"/>
          <w:iCs w:val="0"/>
          <w:color w:val="auto"/>
          <w:sz w:val="21"/>
          <w:szCs w:val="21"/>
          <w:highlight w:val="none"/>
        </w:rPr>
        <w:t>年</w:t>
      </w:r>
      <w:r>
        <w:rPr>
          <w:rFonts w:hint="eastAsia" w:ascii="宋体" w:hAnsi="宋体" w:eastAsia="宋体" w:cs="宋体"/>
          <w:bCs/>
          <w:i w:val="0"/>
          <w:iCs w:val="0"/>
          <w:snapToGrid w:val="0"/>
          <w:color w:val="auto"/>
          <w:sz w:val="21"/>
          <w:szCs w:val="21"/>
          <w:highlight w:val="none"/>
          <w:u w:val="single"/>
          <w:lang w:val="en-US" w:eastAsia="zh-CN"/>
        </w:rPr>
        <w:t>12</w:t>
      </w:r>
      <w:r>
        <w:rPr>
          <w:rFonts w:hint="eastAsia" w:ascii="宋体" w:hAnsi="宋体" w:eastAsia="宋体" w:cs="宋体"/>
          <w:bCs/>
          <w:i w:val="0"/>
          <w:iCs w:val="0"/>
          <w:color w:val="auto"/>
          <w:sz w:val="21"/>
          <w:szCs w:val="21"/>
          <w:highlight w:val="none"/>
        </w:rPr>
        <w:t>月</w:t>
      </w:r>
      <w:r>
        <w:rPr>
          <w:rFonts w:hint="eastAsia" w:ascii="宋体" w:hAnsi="宋体" w:eastAsia="宋体" w:cs="宋体"/>
          <w:bCs/>
          <w:i w:val="0"/>
          <w:iCs w:val="0"/>
          <w:color w:val="auto"/>
          <w:sz w:val="21"/>
          <w:szCs w:val="21"/>
          <w:highlight w:val="none"/>
          <w:u w:val="single"/>
          <w:lang w:val="en-US" w:eastAsia="zh-CN"/>
        </w:rPr>
        <w:t>5</w:t>
      </w:r>
      <w:r>
        <w:rPr>
          <w:rFonts w:hint="eastAsia" w:ascii="宋体" w:hAnsi="宋体" w:eastAsia="宋体" w:cs="宋体"/>
          <w:bCs/>
          <w:i w:val="0"/>
          <w:iCs w:val="0"/>
          <w:color w:val="auto"/>
          <w:sz w:val="21"/>
          <w:szCs w:val="21"/>
          <w:highlight w:val="none"/>
        </w:rPr>
        <w:t>日</w:t>
      </w:r>
      <w:r>
        <w:rPr>
          <w:rFonts w:hint="eastAsia" w:ascii="宋体" w:hAnsi="宋体" w:eastAsia="宋体" w:cs="宋体"/>
          <w:bCs/>
          <w:i w:val="0"/>
          <w:iCs w:val="0"/>
          <w:snapToGrid w:val="0"/>
          <w:color w:val="auto"/>
          <w:sz w:val="21"/>
          <w:szCs w:val="21"/>
          <w:highlight w:val="none"/>
          <w:u w:val="single"/>
          <w:lang w:val="en-US" w:eastAsia="zh-CN"/>
        </w:rPr>
        <w:t>14</w:t>
      </w:r>
      <w:r>
        <w:rPr>
          <w:rFonts w:hint="eastAsia" w:ascii="宋体" w:hAnsi="宋体" w:eastAsia="宋体" w:cs="宋体"/>
          <w:bCs/>
          <w:i w:val="0"/>
          <w:iCs w:val="0"/>
          <w:snapToGrid w:val="0"/>
          <w:color w:val="auto"/>
          <w:sz w:val="21"/>
          <w:szCs w:val="21"/>
          <w:highlight w:val="none"/>
          <w:u w:val="single"/>
        </w:rPr>
        <w:t>:00</w:t>
      </w:r>
      <w:r>
        <w:rPr>
          <w:rFonts w:hint="eastAsia" w:ascii="宋体" w:hAnsi="宋体" w:eastAsia="宋体" w:cs="宋体"/>
          <w:i w:val="0"/>
          <w:iCs w:val="0"/>
          <w:color w:val="auto"/>
          <w:sz w:val="21"/>
          <w:szCs w:val="21"/>
          <w:highlight w:val="none"/>
        </w:rPr>
        <w:t>，每天上午00:00至12:00，下午12:00至23:59（北京时间，线上获取法定节假日均可，线下获取文件法定节假日除外）</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2. 地点（网址）：浙江政府采购网（</w:t>
      </w:r>
      <w:r>
        <w:rPr>
          <w:rFonts w:hint="eastAsia" w:ascii="宋体" w:hAnsi="宋体" w:eastAsia="宋体" w:cs="宋体"/>
          <w:i w:val="0"/>
          <w:iCs w:val="0"/>
          <w:color w:val="auto"/>
          <w:sz w:val="21"/>
          <w:szCs w:val="21"/>
          <w:highlight w:val="none"/>
          <w:u w:val="single"/>
        </w:rPr>
        <w:t>http://zfcg.czt.zj.gov.cn</w:t>
      </w:r>
      <w:r>
        <w:rPr>
          <w:rFonts w:hint="eastAsia" w:ascii="宋体" w:hAnsi="宋体" w:eastAsia="宋体" w:cs="宋体"/>
          <w:i w:val="0"/>
          <w:iCs w:val="0"/>
          <w:color w:val="auto"/>
          <w:sz w:val="21"/>
          <w:szCs w:val="21"/>
          <w:highlight w:val="none"/>
        </w:rPr>
        <w:t>），丽水市公共资源交易网</w:t>
      </w:r>
      <w:r>
        <w:rPr>
          <w:rFonts w:hint="eastAsia" w:ascii="宋体" w:hAnsi="宋体" w:eastAsia="宋体" w:cs="宋体"/>
          <w:i w:val="0"/>
          <w:iCs w:val="0"/>
          <w:color w:val="auto"/>
          <w:sz w:val="21"/>
          <w:szCs w:val="21"/>
          <w:highlight w:val="none"/>
          <w:u w:val="single"/>
        </w:rPr>
        <w:t>（</w:t>
      </w:r>
      <w:r>
        <w:rPr>
          <w:rFonts w:hint="eastAsia" w:ascii="宋体" w:hAnsi="宋体" w:eastAsia="宋体" w:cs="宋体"/>
          <w:i w:val="0"/>
          <w:iCs w:val="0"/>
          <w:color w:val="auto"/>
          <w:sz w:val="21"/>
          <w:szCs w:val="21"/>
          <w:highlight w:val="none"/>
          <w:u w:val="single"/>
        </w:rPr>
        <w:fldChar w:fldCharType="begin"/>
      </w:r>
      <w:r>
        <w:rPr>
          <w:rFonts w:hint="eastAsia" w:ascii="宋体" w:hAnsi="宋体" w:eastAsia="宋体" w:cs="宋体"/>
          <w:i w:val="0"/>
          <w:iCs w:val="0"/>
          <w:color w:val="auto"/>
          <w:sz w:val="21"/>
          <w:szCs w:val="21"/>
          <w:highlight w:val="none"/>
          <w:u w:val="single"/>
        </w:rPr>
        <w:instrText xml:space="preserve"> HYPERLINK "http://sy.lssggzy.com/syweb/" </w:instrText>
      </w:r>
      <w:r>
        <w:rPr>
          <w:rFonts w:hint="eastAsia" w:ascii="宋体" w:hAnsi="宋体" w:eastAsia="宋体" w:cs="宋体"/>
          <w:i w:val="0"/>
          <w:iCs w:val="0"/>
          <w:color w:val="auto"/>
          <w:sz w:val="21"/>
          <w:szCs w:val="21"/>
          <w:highlight w:val="none"/>
          <w:u w:val="single"/>
        </w:rPr>
        <w:fldChar w:fldCharType="separate"/>
      </w:r>
      <w:r>
        <w:rPr>
          <w:rFonts w:hint="eastAsia" w:ascii="宋体" w:hAnsi="宋体" w:eastAsia="宋体" w:cs="宋体"/>
          <w:i w:val="0"/>
          <w:iCs w:val="0"/>
          <w:color w:val="auto"/>
          <w:sz w:val="21"/>
          <w:szCs w:val="21"/>
          <w:highlight w:val="none"/>
          <w:u w:val="single"/>
        </w:rPr>
        <w:t>http://lssggzy.lishui.gov.cn/lsweb/</w:t>
      </w:r>
      <w:r>
        <w:rPr>
          <w:rFonts w:hint="eastAsia" w:ascii="宋体" w:hAnsi="宋体" w:eastAsia="宋体" w:cs="宋体"/>
          <w:i w:val="0"/>
          <w:iCs w:val="0"/>
          <w:color w:val="auto"/>
          <w:sz w:val="21"/>
          <w:szCs w:val="21"/>
          <w:highlight w:val="none"/>
          <w:u w:val="single"/>
        </w:rPr>
        <w:fldChar w:fldCharType="end"/>
      </w:r>
      <w:r>
        <w:rPr>
          <w:rFonts w:hint="eastAsia" w:ascii="宋体" w:hAnsi="宋体" w:eastAsia="宋体" w:cs="宋体"/>
          <w:i w:val="0"/>
          <w:iCs w:val="0"/>
          <w:color w:val="auto"/>
          <w:sz w:val="21"/>
          <w:szCs w:val="21"/>
          <w:highlight w:val="none"/>
          <w:u w:val="single"/>
        </w:rPr>
        <w:t>）</w:t>
      </w:r>
      <w:r>
        <w:rPr>
          <w:rFonts w:hint="eastAsia" w:ascii="宋体" w:hAnsi="宋体" w:eastAsia="宋体" w:cs="宋体"/>
          <w:i w:val="0"/>
          <w:iCs w:val="0"/>
          <w:color w:val="auto"/>
          <w:sz w:val="21"/>
          <w:szCs w:val="21"/>
          <w:highlight w:val="none"/>
        </w:rPr>
        <w:t>公告附件</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3. 方式：自行下载获取。</w:t>
      </w: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 1 \* GB2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⑴</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rPr>
        <w:t>获取流程：浙江政府采购网—用户入驻/登录—用户登录—项目采购—获取招标文件管理；</w:t>
      </w: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 2 \* GB2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⑵</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rPr>
        <w:t>未在浙江省政府采购网注册成为正式供应商的，请注册完成审核成功后登录获取；</w:t>
      </w: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 3 \* GB2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⑶</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rPr>
        <w:t>在浙江政府采购网采购公告附件中以“游客”身份（或丽水市公共资源交易网）获取的招标文件在仅供阅览；潜在供应商未按上述第</w:t>
      </w: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 1 \* GB2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⑴</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rPr>
        <w:t>条方式获取招标文件的不得对招标文件提起质疑投诉；</w:t>
      </w:r>
    </w:p>
    <w:p>
      <w:pPr>
        <w:keepNext w:val="0"/>
        <w:keepLines w:val="0"/>
        <w:pageBreakBefore w:val="0"/>
        <w:widowControl w:val="0"/>
        <w:kinsoku/>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4. 售价：0元</w:t>
      </w:r>
    </w:p>
    <w:p>
      <w:pPr>
        <w:keepNext w:val="0"/>
        <w:keepLines w:val="0"/>
        <w:pageBreakBefore w:val="0"/>
        <w:kinsoku/>
        <w:overflowPunct/>
        <w:topLinePunct w:val="0"/>
        <w:autoSpaceDE/>
        <w:autoSpaceDN/>
        <w:bidi w:val="0"/>
        <w:adjustRightInd/>
        <w:snapToGrid w:val="0"/>
        <w:spacing w:line="360" w:lineRule="exact"/>
        <w:ind w:right="0" w:rightChars="0" w:firstLine="422" w:firstLineChars="200"/>
        <w:jc w:val="left"/>
        <w:textAlignment w:val="auto"/>
        <w:rPr>
          <w:rStyle w:val="47"/>
          <w:rFonts w:hint="eastAsia" w:ascii="宋体" w:hAnsi="宋体" w:cs="宋体"/>
          <w:color w:val="000000"/>
          <w:szCs w:val="21"/>
          <w:highlight w:val="none"/>
        </w:rPr>
      </w:pPr>
      <w:r>
        <w:rPr>
          <w:rStyle w:val="47"/>
          <w:rFonts w:hint="eastAsia" w:ascii="宋体" w:hAnsi="宋体" w:cs="宋体"/>
          <w:b/>
          <w:bCs/>
          <w:color w:val="000000"/>
          <w:szCs w:val="21"/>
          <w:highlight w:val="none"/>
        </w:rPr>
        <w:t>四、响应文件提交（上传）</w:t>
      </w:r>
      <w:r>
        <w:rPr>
          <w:rStyle w:val="47"/>
          <w:rFonts w:hint="eastAsia" w:ascii="宋体" w:hAnsi="宋体" w:cs="宋体"/>
          <w:color w:val="000000"/>
          <w:szCs w:val="21"/>
          <w:highlight w:val="none"/>
        </w:rPr>
        <w:t> </w:t>
      </w:r>
    </w:p>
    <w:p>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eastAsia="宋体" w:cs="宋体"/>
          <w:bCs/>
          <w:i w:val="0"/>
          <w:iCs w:val="0"/>
          <w:color w:val="auto"/>
          <w:sz w:val="21"/>
          <w:szCs w:val="21"/>
          <w:highlight w:val="none"/>
          <w:u w:val="single"/>
        </w:rPr>
      </w:pPr>
      <w:r>
        <w:rPr>
          <w:rFonts w:hint="eastAsia" w:ascii="宋体" w:hAnsi="宋体" w:eastAsia="宋体" w:cs="宋体"/>
          <w:bCs/>
          <w:i w:val="0"/>
          <w:iCs w:val="0"/>
          <w:color w:val="auto"/>
          <w:sz w:val="21"/>
          <w:szCs w:val="21"/>
          <w:highlight w:val="none"/>
        </w:rPr>
        <w:t>1</w:t>
      </w:r>
      <w:r>
        <w:rPr>
          <w:rFonts w:hint="eastAsia" w:ascii="宋体" w:hAnsi="宋体" w:eastAsia="宋体" w:cs="宋体"/>
          <w:i w:val="0"/>
          <w:iCs w:val="0"/>
          <w:color w:val="auto"/>
          <w:sz w:val="21"/>
          <w:szCs w:val="21"/>
          <w:highlight w:val="none"/>
        </w:rPr>
        <w:t xml:space="preserve">. </w:t>
      </w:r>
      <w:r>
        <w:rPr>
          <w:rFonts w:hint="eastAsia" w:ascii="宋体" w:hAnsi="宋体" w:eastAsia="宋体" w:cs="宋体"/>
          <w:bCs/>
          <w:i w:val="0"/>
          <w:iCs w:val="0"/>
          <w:color w:val="auto"/>
          <w:sz w:val="21"/>
          <w:szCs w:val="21"/>
          <w:highlight w:val="none"/>
        </w:rPr>
        <w:t>提交投标文件截止时间：</w:t>
      </w:r>
      <w:r>
        <w:rPr>
          <w:rFonts w:hint="eastAsia" w:ascii="宋体" w:hAnsi="宋体" w:eastAsia="宋体" w:cs="宋体"/>
          <w:bCs/>
          <w:i w:val="0"/>
          <w:iCs w:val="0"/>
          <w:snapToGrid w:val="0"/>
          <w:color w:val="auto"/>
          <w:sz w:val="21"/>
          <w:szCs w:val="21"/>
          <w:highlight w:val="none"/>
          <w:u w:val="single"/>
        </w:rPr>
        <w:t>202</w:t>
      </w:r>
      <w:r>
        <w:rPr>
          <w:rFonts w:hint="eastAsia" w:ascii="宋体" w:hAnsi="宋体" w:eastAsia="宋体" w:cs="宋体"/>
          <w:bCs/>
          <w:i w:val="0"/>
          <w:iCs w:val="0"/>
          <w:snapToGrid w:val="0"/>
          <w:color w:val="auto"/>
          <w:sz w:val="21"/>
          <w:szCs w:val="21"/>
          <w:highlight w:val="none"/>
          <w:u w:val="single"/>
          <w:lang w:val="en-US" w:eastAsia="zh-CN"/>
        </w:rPr>
        <w:t>3</w:t>
      </w:r>
      <w:r>
        <w:rPr>
          <w:rFonts w:hint="eastAsia" w:ascii="宋体" w:hAnsi="宋体" w:eastAsia="宋体" w:cs="宋体"/>
          <w:bCs/>
          <w:i w:val="0"/>
          <w:iCs w:val="0"/>
          <w:color w:val="auto"/>
          <w:sz w:val="21"/>
          <w:szCs w:val="21"/>
          <w:highlight w:val="none"/>
        </w:rPr>
        <w:t>年</w:t>
      </w:r>
      <w:r>
        <w:rPr>
          <w:rFonts w:hint="eastAsia" w:ascii="宋体" w:hAnsi="宋体" w:eastAsia="宋体" w:cs="宋体"/>
          <w:bCs/>
          <w:i w:val="0"/>
          <w:iCs w:val="0"/>
          <w:snapToGrid w:val="0"/>
          <w:color w:val="auto"/>
          <w:sz w:val="21"/>
          <w:szCs w:val="21"/>
          <w:highlight w:val="none"/>
          <w:u w:val="single"/>
          <w:lang w:val="en-US" w:eastAsia="zh-CN"/>
        </w:rPr>
        <w:t>12</w:t>
      </w:r>
      <w:r>
        <w:rPr>
          <w:rFonts w:hint="eastAsia" w:ascii="宋体" w:hAnsi="宋体" w:eastAsia="宋体" w:cs="宋体"/>
          <w:bCs/>
          <w:i w:val="0"/>
          <w:iCs w:val="0"/>
          <w:snapToGrid w:val="0"/>
          <w:color w:val="auto"/>
          <w:sz w:val="21"/>
          <w:szCs w:val="21"/>
          <w:highlight w:val="none"/>
          <w:u w:val="none"/>
          <w:lang w:eastAsia="zh-CN"/>
        </w:rPr>
        <w:t>月</w:t>
      </w:r>
      <w:r>
        <w:rPr>
          <w:rFonts w:hint="eastAsia" w:ascii="宋体" w:hAnsi="宋体" w:eastAsia="宋体" w:cs="宋体"/>
          <w:bCs/>
          <w:i w:val="0"/>
          <w:iCs w:val="0"/>
          <w:snapToGrid w:val="0"/>
          <w:color w:val="auto"/>
          <w:sz w:val="21"/>
          <w:szCs w:val="21"/>
          <w:highlight w:val="none"/>
          <w:u w:val="single"/>
          <w:lang w:val="en-US" w:eastAsia="zh-CN"/>
        </w:rPr>
        <w:t>5</w:t>
      </w:r>
      <w:r>
        <w:rPr>
          <w:rFonts w:hint="eastAsia" w:ascii="宋体" w:hAnsi="宋体" w:eastAsia="宋体" w:cs="宋体"/>
          <w:bCs/>
          <w:i w:val="0"/>
          <w:iCs w:val="0"/>
          <w:snapToGrid w:val="0"/>
          <w:color w:val="auto"/>
          <w:sz w:val="21"/>
          <w:szCs w:val="21"/>
          <w:highlight w:val="none"/>
          <w:u w:val="none"/>
          <w:lang w:eastAsia="zh-CN"/>
        </w:rPr>
        <w:t>日</w:t>
      </w:r>
      <w:r>
        <w:rPr>
          <w:rFonts w:hint="eastAsia" w:ascii="宋体" w:hAnsi="宋体" w:eastAsia="宋体" w:cs="宋体"/>
          <w:bCs/>
          <w:i w:val="0"/>
          <w:iCs w:val="0"/>
          <w:color w:val="auto"/>
          <w:sz w:val="21"/>
          <w:szCs w:val="21"/>
          <w:highlight w:val="none"/>
          <w:u w:val="single"/>
          <w:lang w:val="en-US" w:eastAsia="zh-CN"/>
        </w:rPr>
        <w:t>14</w:t>
      </w:r>
      <w:r>
        <w:rPr>
          <w:rFonts w:hint="eastAsia" w:ascii="宋体" w:hAnsi="宋体" w:eastAsia="宋体" w:cs="宋体"/>
          <w:bCs/>
          <w:i w:val="0"/>
          <w:iCs w:val="0"/>
          <w:color w:val="auto"/>
          <w:sz w:val="21"/>
          <w:szCs w:val="21"/>
          <w:highlight w:val="none"/>
        </w:rPr>
        <w:t>:</w:t>
      </w:r>
      <w:r>
        <w:rPr>
          <w:rFonts w:hint="eastAsia" w:ascii="宋体" w:hAnsi="宋体" w:eastAsia="宋体" w:cs="宋体"/>
          <w:bCs/>
          <w:i w:val="0"/>
          <w:iCs w:val="0"/>
          <w:snapToGrid w:val="0"/>
          <w:color w:val="auto"/>
          <w:sz w:val="21"/>
          <w:szCs w:val="21"/>
          <w:highlight w:val="none"/>
          <w:u w:val="single"/>
        </w:rPr>
        <w:t>00</w:t>
      </w:r>
      <w:r>
        <w:rPr>
          <w:rFonts w:hint="eastAsia" w:ascii="宋体" w:hAnsi="宋体" w:eastAsia="宋体" w:cs="宋体"/>
          <w:bCs/>
          <w:i w:val="0"/>
          <w:iCs w:val="0"/>
          <w:color w:val="auto"/>
          <w:sz w:val="21"/>
          <w:szCs w:val="21"/>
          <w:highlight w:val="none"/>
        </w:rPr>
        <w:t>（北京时间）</w:t>
      </w:r>
    </w:p>
    <w:p>
      <w:pPr>
        <w:keepNext w:val="0"/>
        <w:keepLines w:val="0"/>
        <w:pageBreakBefore w:val="0"/>
        <w:widowControl w:val="0"/>
        <w:kinsoku/>
        <w:wordWrap/>
        <w:overflowPunct/>
        <w:topLinePunct w:val="0"/>
        <w:autoSpaceDE/>
        <w:autoSpaceDN/>
        <w:bidi w:val="0"/>
        <w:spacing w:line="400" w:lineRule="exact"/>
        <w:ind w:firstLine="422" w:firstLineChars="200"/>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2. 投标地点（网址）：</w:t>
      </w:r>
    </w:p>
    <w:p>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 1 \* GB2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⑴</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rPr>
        <w:t xml:space="preserve"> 电子加密投标文件：在“政府采购云平台”上传提交，“电子加密投标文件”成功上传提交后，投标人自行打印投标文件接收回执；</w:t>
      </w:r>
    </w:p>
    <w:p>
      <w:pPr>
        <w:pStyle w:val="22"/>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 2 \* GB2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⑵</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rPr>
        <w:t xml:space="preserve"> 备份投标文件：</w:t>
      </w:r>
    </w:p>
    <w:p>
      <w:pPr>
        <w:pStyle w:val="22"/>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20" w:firstLineChars="200"/>
        <w:textAlignment w:val="auto"/>
        <w:rPr>
          <w:rFonts w:hint="eastAsia" w:ascii="宋体" w:hAnsi="宋体" w:eastAsia="宋体" w:cs="宋体"/>
          <w:bCs/>
          <w:i w:val="0"/>
          <w:iCs w:val="0"/>
          <w:color w:val="auto"/>
          <w:sz w:val="21"/>
          <w:szCs w:val="21"/>
          <w:highlight w:val="none"/>
        </w:rPr>
      </w:pPr>
      <w:r>
        <w:rPr>
          <w:rFonts w:hint="eastAsia" w:ascii="宋体" w:hAnsi="宋体" w:eastAsia="宋体" w:cs="宋体"/>
          <w:bCs/>
          <w:i w:val="0"/>
          <w:iCs w:val="0"/>
          <w:color w:val="auto"/>
          <w:sz w:val="21"/>
          <w:szCs w:val="21"/>
          <w:highlight w:val="none"/>
        </w:rPr>
        <w:t>备份投标文件是否提交由投标人自行决定，如不提交的，当电子投标文件无法解密时，将导致无备份投标文件而失去投标资格。</w:t>
      </w:r>
    </w:p>
    <w:p>
      <w:pPr>
        <w:pStyle w:val="22"/>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20" w:firstLineChars="200"/>
        <w:textAlignment w:val="auto"/>
        <w:rPr>
          <w:rFonts w:hint="eastAsia" w:ascii="宋体" w:hAnsi="宋体" w:eastAsia="宋体" w:cs="宋体"/>
          <w:bCs/>
          <w:i w:val="0"/>
          <w:iCs w:val="0"/>
          <w:color w:val="auto"/>
          <w:sz w:val="21"/>
          <w:szCs w:val="21"/>
          <w:highlight w:val="none"/>
        </w:rPr>
      </w:pPr>
      <w:r>
        <w:rPr>
          <w:rFonts w:hint="eastAsia" w:ascii="宋体" w:hAnsi="宋体" w:eastAsia="宋体" w:cs="宋体"/>
          <w:bCs/>
          <w:i w:val="0"/>
          <w:iCs w:val="0"/>
          <w:color w:val="auto"/>
          <w:sz w:val="21"/>
          <w:szCs w:val="21"/>
          <w:highlight w:val="none"/>
        </w:rPr>
        <w:t>如提交备份投标文件的，应在投标截止时间前将最后生成的具有电子签章的备份投标文件通过电子邮件方式传送至代理机构邮箱（</w:t>
      </w:r>
      <w:r>
        <w:rPr>
          <w:rFonts w:hint="eastAsia" w:hAnsi="宋体" w:eastAsia="宋体" w:cs="宋体"/>
          <w:bCs/>
          <w:i w:val="0"/>
          <w:iCs w:val="0"/>
          <w:color w:val="auto"/>
          <w:sz w:val="21"/>
          <w:szCs w:val="21"/>
          <w:highlight w:val="none"/>
          <w:lang w:eastAsia="zh-CN"/>
        </w:rPr>
        <w:t>532760896</w:t>
      </w:r>
      <w:r>
        <w:rPr>
          <w:rFonts w:hint="eastAsia" w:ascii="宋体" w:hAnsi="宋体" w:eastAsia="宋体" w:cs="宋体"/>
          <w:bCs/>
          <w:i w:val="0"/>
          <w:iCs w:val="0"/>
          <w:color w:val="auto"/>
          <w:sz w:val="21"/>
          <w:szCs w:val="21"/>
          <w:highlight w:val="none"/>
        </w:rPr>
        <w:t>@qq.com），传送的备份投标文件须打包压缩并加密，</w:t>
      </w:r>
      <w:r>
        <w:rPr>
          <w:rFonts w:hint="eastAsia" w:ascii="宋体" w:hAnsi="宋体" w:eastAsia="宋体" w:cs="宋体"/>
          <w:i w:val="0"/>
          <w:iCs w:val="0"/>
          <w:color w:val="auto"/>
          <w:sz w:val="21"/>
          <w:szCs w:val="21"/>
          <w:highlight w:val="none"/>
        </w:rPr>
        <w:t>密码由投标人自行保管，</w:t>
      </w:r>
      <w:r>
        <w:rPr>
          <w:rFonts w:hint="eastAsia" w:ascii="宋体" w:hAnsi="宋体" w:eastAsia="宋体" w:cs="宋体"/>
          <w:b/>
          <w:i w:val="0"/>
          <w:iCs w:val="0"/>
          <w:color w:val="auto"/>
          <w:sz w:val="21"/>
          <w:szCs w:val="21"/>
          <w:highlight w:val="none"/>
        </w:rPr>
        <w:t>压缩包命名为“备份投标文件”</w:t>
      </w:r>
      <w:r>
        <w:rPr>
          <w:rFonts w:hint="eastAsia" w:ascii="宋体" w:hAnsi="宋体" w:eastAsia="宋体" w:cs="宋体"/>
          <w:i w:val="0"/>
          <w:iCs w:val="0"/>
          <w:color w:val="auto"/>
          <w:sz w:val="21"/>
          <w:szCs w:val="21"/>
          <w:highlight w:val="none"/>
        </w:rPr>
        <w:t>，并在邮件中注明项目名称及投标人名称。</w:t>
      </w:r>
    </w:p>
    <w:p>
      <w:pPr>
        <w:keepNext w:val="0"/>
        <w:keepLines w:val="0"/>
        <w:pageBreakBefore w:val="0"/>
        <w:widowControl w:val="0"/>
        <w:kinsoku/>
        <w:wordWrap/>
        <w:overflowPunct/>
        <w:topLinePunct w:val="0"/>
        <w:autoSpaceDE/>
        <w:autoSpaceDN/>
        <w:bidi w:val="0"/>
        <w:spacing w:line="400" w:lineRule="exact"/>
        <w:ind w:firstLine="420" w:firstLineChars="200"/>
        <w:textAlignment w:val="auto"/>
        <w:rPr>
          <w:rFonts w:hint="eastAsia" w:ascii="宋体" w:hAnsi="宋体" w:eastAsia="宋体" w:cs="宋体"/>
          <w:bCs/>
          <w:i w:val="0"/>
          <w:iCs w:val="0"/>
          <w:color w:val="auto"/>
          <w:sz w:val="21"/>
          <w:szCs w:val="21"/>
          <w:highlight w:val="none"/>
        </w:rPr>
      </w:pPr>
      <w:r>
        <w:rPr>
          <w:rFonts w:hint="eastAsia" w:ascii="宋体" w:hAnsi="宋体" w:eastAsia="宋体" w:cs="宋体"/>
          <w:i w:val="0"/>
          <w:iCs w:val="0"/>
          <w:color w:val="auto"/>
          <w:sz w:val="21"/>
          <w:szCs w:val="21"/>
          <w:highlight w:val="none"/>
        </w:rPr>
        <w:t>3. 开标时间：</w:t>
      </w:r>
      <w:r>
        <w:rPr>
          <w:rFonts w:hint="eastAsia" w:ascii="宋体" w:hAnsi="宋体" w:eastAsia="宋体" w:cs="宋体"/>
          <w:bCs/>
          <w:i w:val="0"/>
          <w:iCs w:val="0"/>
          <w:snapToGrid w:val="0"/>
          <w:color w:val="auto"/>
          <w:sz w:val="21"/>
          <w:szCs w:val="21"/>
          <w:highlight w:val="none"/>
          <w:u w:val="single"/>
        </w:rPr>
        <w:t>202</w:t>
      </w:r>
      <w:r>
        <w:rPr>
          <w:rFonts w:hint="eastAsia" w:ascii="宋体" w:hAnsi="宋体" w:eastAsia="宋体" w:cs="宋体"/>
          <w:bCs/>
          <w:i w:val="0"/>
          <w:iCs w:val="0"/>
          <w:snapToGrid w:val="0"/>
          <w:color w:val="auto"/>
          <w:sz w:val="21"/>
          <w:szCs w:val="21"/>
          <w:highlight w:val="none"/>
          <w:u w:val="single"/>
          <w:lang w:val="en-US" w:eastAsia="zh-CN"/>
        </w:rPr>
        <w:t>3</w:t>
      </w:r>
      <w:r>
        <w:rPr>
          <w:rFonts w:hint="eastAsia" w:ascii="宋体" w:hAnsi="宋体" w:eastAsia="宋体" w:cs="宋体"/>
          <w:bCs/>
          <w:i w:val="0"/>
          <w:iCs w:val="0"/>
          <w:color w:val="auto"/>
          <w:sz w:val="21"/>
          <w:szCs w:val="21"/>
          <w:highlight w:val="none"/>
        </w:rPr>
        <w:t>年</w:t>
      </w:r>
      <w:r>
        <w:rPr>
          <w:rFonts w:hint="eastAsia" w:ascii="宋体" w:hAnsi="宋体" w:eastAsia="宋体" w:cs="宋体"/>
          <w:bCs/>
          <w:i w:val="0"/>
          <w:iCs w:val="0"/>
          <w:snapToGrid w:val="0"/>
          <w:color w:val="auto"/>
          <w:sz w:val="21"/>
          <w:szCs w:val="21"/>
          <w:highlight w:val="none"/>
          <w:u w:val="single"/>
          <w:lang w:val="en-US" w:eastAsia="zh-CN"/>
        </w:rPr>
        <w:t>12</w:t>
      </w:r>
      <w:r>
        <w:rPr>
          <w:rFonts w:hint="eastAsia" w:ascii="宋体" w:hAnsi="宋体" w:eastAsia="宋体" w:cs="宋体"/>
          <w:bCs/>
          <w:i w:val="0"/>
          <w:iCs w:val="0"/>
          <w:snapToGrid w:val="0"/>
          <w:color w:val="auto"/>
          <w:sz w:val="21"/>
          <w:szCs w:val="21"/>
          <w:highlight w:val="none"/>
          <w:u w:val="none"/>
          <w:lang w:eastAsia="zh-CN"/>
        </w:rPr>
        <w:t>月</w:t>
      </w:r>
      <w:r>
        <w:rPr>
          <w:rFonts w:hint="eastAsia" w:ascii="宋体" w:hAnsi="宋体" w:eastAsia="宋体" w:cs="宋体"/>
          <w:bCs/>
          <w:i w:val="0"/>
          <w:iCs w:val="0"/>
          <w:snapToGrid w:val="0"/>
          <w:color w:val="auto"/>
          <w:sz w:val="21"/>
          <w:szCs w:val="21"/>
          <w:highlight w:val="none"/>
          <w:u w:val="single"/>
          <w:lang w:val="en-US" w:eastAsia="zh-CN"/>
        </w:rPr>
        <w:t>5</w:t>
      </w:r>
      <w:r>
        <w:rPr>
          <w:rFonts w:hint="eastAsia" w:ascii="宋体" w:hAnsi="宋体" w:eastAsia="宋体" w:cs="宋体"/>
          <w:bCs/>
          <w:i w:val="0"/>
          <w:iCs w:val="0"/>
          <w:snapToGrid w:val="0"/>
          <w:color w:val="auto"/>
          <w:sz w:val="21"/>
          <w:szCs w:val="21"/>
          <w:highlight w:val="none"/>
          <w:u w:val="none"/>
          <w:lang w:eastAsia="zh-CN"/>
        </w:rPr>
        <w:t>日</w:t>
      </w:r>
      <w:r>
        <w:rPr>
          <w:rFonts w:hint="eastAsia" w:ascii="宋体" w:hAnsi="宋体" w:eastAsia="宋体" w:cs="宋体"/>
          <w:bCs/>
          <w:i w:val="0"/>
          <w:iCs w:val="0"/>
          <w:snapToGrid w:val="0"/>
          <w:color w:val="auto"/>
          <w:sz w:val="21"/>
          <w:szCs w:val="21"/>
          <w:highlight w:val="none"/>
          <w:u w:val="single"/>
          <w:lang w:val="en-US" w:eastAsia="zh-CN"/>
        </w:rPr>
        <w:t>14</w:t>
      </w:r>
      <w:r>
        <w:rPr>
          <w:rFonts w:hint="eastAsia" w:ascii="宋体" w:hAnsi="宋体" w:eastAsia="宋体" w:cs="宋体"/>
          <w:bCs/>
          <w:i w:val="0"/>
          <w:iCs w:val="0"/>
          <w:color w:val="auto"/>
          <w:sz w:val="21"/>
          <w:szCs w:val="21"/>
          <w:highlight w:val="none"/>
        </w:rPr>
        <w:t>:</w:t>
      </w:r>
      <w:r>
        <w:rPr>
          <w:rFonts w:hint="eastAsia" w:ascii="宋体" w:hAnsi="宋体" w:eastAsia="宋体" w:cs="宋体"/>
          <w:bCs/>
          <w:i w:val="0"/>
          <w:iCs w:val="0"/>
          <w:snapToGrid w:val="0"/>
          <w:color w:val="auto"/>
          <w:sz w:val="21"/>
          <w:szCs w:val="21"/>
          <w:highlight w:val="none"/>
          <w:u w:val="single"/>
        </w:rPr>
        <w:t>00</w:t>
      </w:r>
      <w:r>
        <w:rPr>
          <w:rFonts w:hint="eastAsia" w:ascii="宋体" w:hAnsi="宋体" w:eastAsia="宋体" w:cs="宋体"/>
          <w:bCs/>
          <w:i w:val="0"/>
          <w:iCs w:val="0"/>
          <w:color w:val="auto"/>
          <w:sz w:val="21"/>
          <w:szCs w:val="21"/>
          <w:highlight w:val="none"/>
        </w:rPr>
        <w:t>（北京时间）</w:t>
      </w:r>
    </w:p>
    <w:p>
      <w:pPr>
        <w:keepNext w:val="0"/>
        <w:keepLines w:val="0"/>
        <w:pageBreakBefore w:val="0"/>
        <w:kinsoku/>
        <w:wordWrap/>
        <w:overflowPunct/>
        <w:topLinePunct w:val="0"/>
        <w:autoSpaceDE/>
        <w:autoSpaceDN/>
        <w:bidi w:val="0"/>
        <w:adjustRightInd/>
        <w:snapToGrid w:val="0"/>
        <w:spacing w:line="400" w:lineRule="exact"/>
        <w:ind w:right="0" w:rightChars="0" w:firstLine="420" w:firstLineChars="200"/>
        <w:jc w:val="left"/>
        <w:textAlignment w:val="auto"/>
        <w:rPr>
          <w:rFonts w:hint="eastAsia" w:ascii="宋体" w:hAnsi="宋体" w:eastAsia="宋体" w:cs="宋体"/>
          <w:bCs/>
          <w:i w:val="0"/>
          <w:iCs w:val="0"/>
          <w:color w:val="auto"/>
          <w:sz w:val="21"/>
          <w:szCs w:val="21"/>
          <w:highlight w:val="none"/>
          <w:lang w:eastAsia="zh-CN"/>
        </w:rPr>
      </w:pPr>
      <w:r>
        <w:rPr>
          <w:rFonts w:hint="eastAsia" w:ascii="宋体" w:hAnsi="宋体" w:eastAsia="宋体" w:cs="宋体"/>
          <w:bCs/>
          <w:i w:val="0"/>
          <w:iCs w:val="0"/>
          <w:color w:val="auto"/>
          <w:sz w:val="21"/>
          <w:szCs w:val="21"/>
          <w:highlight w:val="none"/>
        </w:rPr>
        <w:t>4. 开标地点（网址）：</w:t>
      </w:r>
      <w:r>
        <w:rPr>
          <w:rFonts w:hint="eastAsia" w:ascii="宋体" w:hAnsi="宋体" w:eastAsia="宋体" w:cs="宋体"/>
          <w:bCs/>
          <w:i w:val="0"/>
          <w:iCs w:val="0"/>
          <w:color w:val="auto"/>
          <w:sz w:val="21"/>
          <w:szCs w:val="21"/>
          <w:highlight w:val="none"/>
          <w:lang w:eastAsia="zh-CN"/>
        </w:rPr>
        <w:t>缙云县公共资源交易中心</w:t>
      </w:r>
      <w:r>
        <w:rPr>
          <w:rFonts w:hint="eastAsia" w:ascii="宋体" w:hAnsi="宋体" w:eastAsia="宋体" w:cs="宋体"/>
          <w:bCs/>
          <w:i w:val="0"/>
          <w:iCs w:val="0"/>
          <w:color w:val="auto"/>
          <w:sz w:val="21"/>
          <w:szCs w:val="21"/>
          <w:highlight w:val="none"/>
        </w:rPr>
        <w:t>（</w:t>
      </w:r>
      <w:r>
        <w:rPr>
          <w:rFonts w:hint="eastAsia" w:ascii="宋体" w:hAnsi="宋体" w:eastAsia="宋体" w:cs="宋体"/>
          <w:bCs/>
          <w:i w:val="0"/>
          <w:iCs w:val="0"/>
          <w:color w:val="auto"/>
          <w:sz w:val="21"/>
          <w:szCs w:val="21"/>
          <w:highlight w:val="none"/>
          <w:lang w:eastAsia="zh-CN"/>
        </w:rPr>
        <w:t>缙云县五云街道新区黄龙路广电大楼六楼</w:t>
      </w:r>
      <w:r>
        <w:rPr>
          <w:rFonts w:hint="eastAsia" w:ascii="宋体" w:hAnsi="宋体" w:eastAsia="宋体" w:cs="宋体"/>
          <w:bCs/>
          <w:i w:val="0"/>
          <w:iCs w:val="0"/>
          <w:color w:val="auto"/>
          <w:sz w:val="21"/>
          <w:szCs w:val="21"/>
          <w:highlight w:val="none"/>
        </w:rPr>
        <w:t>），浙江政府采购网—用户入驻/登录—用户登录—项目采购—开标评标—进入开标大厅</w:t>
      </w:r>
      <w:r>
        <w:rPr>
          <w:rFonts w:hint="eastAsia" w:ascii="宋体" w:hAnsi="宋体" w:eastAsia="宋体" w:cs="宋体"/>
          <w:bCs/>
          <w:i w:val="0"/>
          <w:iCs w:val="0"/>
          <w:color w:val="auto"/>
          <w:sz w:val="21"/>
          <w:szCs w:val="21"/>
          <w:highlight w:val="none"/>
          <w:lang w:eastAsia="zh-CN"/>
        </w:rPr>
        <w:t>。</w:t>
      </w:r>
    </w:p>
    <w:p>
      <w:pPr>
        <w:keepNext w:val="0"/>
        <w:keepLines w:val="0"/>
        <w:pageBreakBefore w:val="0"/>
        <w:kinsoku/>
        <w:wordWrap/>
        <w:overflowPunct/>
        <w:topLinePunct w:val="0"/>
        <w:autoSpaceDE/>
        <w:autoSpaceDN/>
        <w:bidi w:val="0"/>
        <w:adjustRightInd/>
        <w:snapToGrid w:val="0"/>
        <w:spacing w:line="400" w:lineRule="exact"/>
        <w:ind w:right="0" w:rightChars="0" w:firstLine="422" w:firstLineChars="200"/>
        <w:jc w:val="left"/>
        <w:textAlignment w:val="auto"/>
        <w:rPr>
          <w:rStyle w:val="47"/>
          <w:rFonts w:hint="eastAsia" w:ascii="宋体" w:hAnsi="宋体" w:cs="宋体"/>
          <w:color w:val="000000"/>
          <w:szCs w:val="21"/>
          <w:highlight w:val="none"/>
        </w:rPr>
      </w:pPr>
      <w:r>
        <w:rPr>
          <w:rStyle w:val="47"/>
          <w:rFonts w:hint="eastAsia" w:ascii="宋体" w:hAnsi="宋体" w:cs="宋体"/>
          <w:b/>
          <w:bCs/>
          <w:color w:val="000000"/>
          <w:szCs w:val="21"/>
          <w:highlight w:val="none"/>
        </w:rPr>
        <w:t>五、公告期限</w:t>
      </w:r>
    </w:p>
    <w:p>
      <w:pPr>
        <w:pStyle w:val="38"/>
        <w:keepNext w:val="0"/>
        <w:keepLines w:val="0"/>
        <w:pageBreakBefore w:val="0"/>
        <w:kinsoku/>
        <w:wordWrap/>
        <w:overflowPunct/>
        <w:topLinePunct w:val="0"/>
        <w:autoSpaceDE/>
        <w:autoSpaceDN/>
        <w:bidi w:val="0"/>
        <w:adjustRightInd/>
        <w:spacing w:before="0" w:beforeAutospacing="0" w:after="0" w:afterAutospacing="0" w:line="400" w:lineRule="exact"/>
        <w:ind w:right="0" w:rightChars="0" w:firstLine="420" w:firstLineChars="200"/>
        <w:textAlignment w:val="auto"/>
        <w:rPr>
          <w:rFonts w:hint="eastAsia"/>
          <w:color w:val="000000"/>
          <w:sz w:val="21"/>
          <w:szCs w:val="21"/>
          <w:highlight w:val="none"/>
        </w:rPr>
      </w:pPr>
      <w:r>
        <w:rPr>
          <w:rFonts w:hint="eastAsia"/>
          <w:color w:val="000000"/>
          <w:sz w:val="21"/>
          <w:szCs w:val="21"/>
          <w:highlight w:val="none"/>
        </w:rPr>
        <w:t>自本公告发布之日起3个工作日。</w:t>
      </w:r>
    </w:p>
    <w:p>
      <w:pPr>
        <w:keepNext w:val="0"/>
        <w:keepLines w:val="0"/>
        <w:pageBreakBefore w:val="0"/>
        <w:kinsoku/>
        <w:overflowPunct/>
        <w:topLinePunct w:val="0"/>
        <w:autoSpaceDE/>
        <w:autoSpaceDN/>
        <w:bidi w:val="0"/>
        <w:adjustRightInd/>
        <w:snapToGrid w:val="0"/>
        <w:spacing w:line="360" w:lineRule="exact"/>
        <w:ind w:right="0" w:rightChars="0" w:firstLine="422" w:firstLineChars="200"/>
        <w:jc w:val="left"/>
        <w:textAlignment w:val="auto"/>
        <w:rPr>
          <w:rStyle w:val="47"/>
          <w:rFonts w:hint="eastAsia" w:ascii="宋体" w:hAnsi="宋体" w:cs="宋体"/>
          <w:color w:val="000000"/>
          <w:szCs w:val="21"/>
          <w:highlight w:val="none"/>
        </w:rPr>
      </w:pPr>
      <w:r>
        <w:rPr>
          <w:rStyle w:val="47"/>
          <w:rFonts w:hint="eastAsia" w:ascii="宋体" w:hAnsi="宋体" w:cs="宋体"/>
          <w:b/>
          <w:bCs/>
          <w:color w:val="000000"/>
          <w:szCs w:val="21"/>
          <w:highlight w:val="none"/>
        </w:rPr>
        <w:t>六、其他补充事宜</w:t>
      </w:r>
      <w:r>
        <w:rPr>
          <w:rStyle w:val="47"/>
          <w:rFonts w:hint="eastAsia" w:ascii="宋体" w:hAnsi="宋体" w:cs="宋体"/>
          <w:color w:val="000000"/>
          <w:szCs w:val="21"/>
          <w:highlight w:val="none"/>
        </w:rPr>
        <w:t> </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eastAsia="宋体" w:cs="宋体"/>
          <w:color w:val="000000"/>
          <w:kern w:val="0"/>
          <w:szCs w:val="21"/>
          <w:highlight w:val="none"/>
        </w:rPr>
      </w:pPr>
      <w:r>
        <w:rPr>
          <w:rFonts w:hint="eastAsia" w:ascii="宋体" w:hAnsi="宋体" w:eastAsia="宋体" w:cs="宋体"/>
          <w:color w:val="000000"/>
          <w:kern w:val="0"/>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eastAsia="宋体" w:cs="宋体"/>
          <w:color w:val="000000"/>
          <w:kern w:val="0"/>
          <w:szCs w:val="21"/>
          <w:highlight w:val="none"/>
        </w:rPr>
      </w:pPr>
      <w:r>
        <w:rPr>
          <w:rFonts w:hint="eastAsia" w:ascii="宋体" w:hAnsi="宋体" w:eastAsia="宋体" w:cs="宋体"/>
          <w:color w:val="000000"/>
          <w:kern w:val="0"/>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eastAsia="宋体" w:cs="宋体"/>
          <w:color w:val="000000"/>
          <w:kern w:val="0"/>
          <w:szCs w:val="21"/>
          <w:highlight w:val="none"/>
        </w:rPr>
      </w:pPr>
      <w:r>
        <w:rPr>
          <w:rFonts w:hint="eastAsia" w:ascii="宋体" w:hAnsi="宋体" w:eastAsia="宋体" w:cs="宋体"/>
          <w:color w:val="000000"/>
          <w:kern w:val="0"/>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val="0"/>
        <w:overflowPunct/>
        <w:topLinePunct w:val="0"/>
        <w:autoSpaceDE/>
        <w:autoSpaceDN/>
        <w:bidi w:val="0"/>
        <w:adjustRightInd/>
        <w:spacing w:line="360" w:lineRule="exact"/>
        <w:ind w:right="0" w:rightChars="0" w:firstLine="420" w:firstLineChars="200"/>
        <w:textAlignment w:val="auto"/>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rPr>
        <w:t>4.其他事项：</w:t>
      </w:r>
      <w:r>
        <w:rPr>
          <w:rFonts w:hint="eastAsia" w:ascii="宋体" w:hAnsi="宋体" w:eastAsia="宋体" w:cs="宋体"/>
          <w:color w:val="000000"/>
          <w:kern w:val="0"/>
          <w:szCs w:val="21"/>
          <w:highlight w:val="none"/>
          <w:lang w:eastAsia="zh-CN"/>
        </w:rPr>
        <w:t>无</w:t>
      </w:r>
    </w:p>
    <w:p>
      <w:pPr>
        <w:keepNext w:val="0"/>
        <w:keepLines w:val="0"/>
        <w:pageBreakBefore w:val="0"/>
        <w:kinsoku/>
        <w:overflowPunct/>
        <w:topLinePunct w:val="0"/>
        <w:autoSpaceDE/>
        <w:autoSpaceDN/>
        <w:bidi w:val="0"/>
        <w:adjustRightInd/>
        <w:snapToGrid w:val="0"/>
        <w:spacing w:line="360" w:lineRule="exact"/>
        <w:ind w:right="0" w:rightChars="0" w:firstLine="422" w:firstLineChars="200"/>
        <w:jc w:val="left"/>
        <w:textAlignment w:val="auto"/>
        <w:rPr>
          <w:rFonts w:hint="eastAsia" w:ascii="宋体" w:hAnsi="宋体" w:cs="宋体"/>
          <w:b/>
          <w:bCs/>
          <w:szCs w:val="21"/>
          <w:highlight w:val="none"/>
        </w:rPr>
      </w:pPr>
      <w:r>
        <w:rPr>
          <w:rStyle w:val="47"/>
          <w:rFonts w:hint="eastAsia" w:ascii="宋体" w:hAnsi="宋体" w:cs="宋体"/>
          <w:b/>
          <w:bCs/>
          <w:color w:val="000000"/>
          <w:szCs w:val="21"/>
          <w:highlight w:val="none"/>
        </w:rPr>
        <w:t>七、</w:t>
      </w:r>
      <w:r>
        <w:rPr>
          <w:rStyle w:val="47"/>
          <w:rFonts w:hint="eastAsia" w:ascii="宋体" w:hAnsi="宋体" w:cs="宋体"/>
          <w:b/>
          <w:bCs/>
          <w:szCs w:val="21"/>
          <w:highlight w:val="none"/>
        </w:rPr>
        <w:t>凡对本次招标提出询问，请按以下方式联系</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rPr>
      </w:pPr>
      <w:bookmarkStart w:id="17" w:name="_Toc303756355"/>
      <w:bookmarkStart w:id="18" w:name="_Toc342654505"/>
      <w:bookmarkStart w:id="19" w:name="_Toc22550"/>
      <w:bookmarkStart w:id="20" w:name="_Toc301187515"/>
      <w:r>
        <w:rPr>
          <w:rFonts w:hint="eastAsia" w:ascii="宋体" w:hAnsi="宋体" w:eastAsia="宋体" w:cs="宋体"/>
          <w:i w:val="0"/>
          <w:iCs w:val="0"/>
          <w:color w:val="auto"/>
          <w:sz w:val="21"/>
          <w:szCs w:val="21"/>
          <w:highlight w:val="none"/>
        </w:rPr>
        <w:t>1. 采购人信息</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采购人名称：</w:t>
      </w:r>
      <w:r>
        <w:rPr>
          <w:rFonts w:hint="eastAsia" w:ascii="宋体" w:hAnsi="宋体" w:eastAsia="宋体" w:cs="宋体"/>
          <w:i w:val="0"/>
          <w:iCs w:val="0"/>
          <w:color w:val="auto"/>
          <w:sz w:val="21"/>
          <w:szCs w:val="21"/>
          <w:highlight w:val="none"/>
          <w:lang w:eastAsia="zh-CN"/>
        </w:rPr>
        <w:t>缙云县卫生健康局</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项目联系人：李先生</w:t>
      </w:r>
      <w:r>
        <w:rPr>
          <w:rFonts w:hint="eastAsia" w:ascii="宋体" w:hAnsi="宋体" w:eastAsia="宋体" w:cs="宋体"/>
          <w:i w:val="0"/>
          <w:iCs w:val="0"/>
          <w:color w:val="auto"/>
          <w:sz w:val="21"/>
          <w:szCs w:val="21"/>
          <w:highlight w:val="none"/>
          <w:lang w:val="en-US" w:eastAsia="zh-CN"/>
        </w:rPr>
        <w:t xml:space="preserve">  </w:t>
      </w:r>
      <w:r>
        <w:rPr>
          <w:rFonts w:hint="eastAsia" w:ascii="宋体" w:hAnsi="宋体" w:eastAsia="宋体" w:cs="宋体"/>
          <w:i w:val="0"/>
          <w:iCs w:val="0"/>
          <w:color w:val="auto"/>
          <w:sz w:val="21"/>
          <w:szCs w:val="21"/>
          <w:highlight w:val="none"/>
          <w:lang w:eastAsia="zh-CN"/>
        </w:rPr>
        <w:t xml:space="preserve">  </w:t>
      </w:r>
      <w:r>
        <w:rPr>
          <w:rFonts w:hint="eastAsia" w:ascii="宋体" w:hAnsi="宋体" w:eastAsia="宋体" w:cs="宋体"/>
          <w:i w:val="0"/>
          <w:iCs w:val="0"/>
          <w:color w:val="auto"/>
          <w:sz w:val="21"/>
          <w:szCs w:val="21"/>
          <w:highlight w:val="none"/>
          <w:lang w:val="en-US" w:eastAsia="zh-CN"/>
        </w:rPr>
        <w:t xml:space="preserve">   </w:t>
      </w:r>
      <w:r>
        <w:rPr>
          <w:rFonts w:hint="eastAsia" w:ascii="宋体" w:hAnsi="宋体" w:eastAsia="宋体" w:cs="宋体"/>
          <w:i w:val="0"/>
          <w:iCs w:val="0"/>
          <w:color w:val="auto"/>
          <w:sz w:val="21"/>
          <w:szCs w:val="21"/>
          <w:highlight w:val="none"/>
          <w:lang w:eastAsia="zh-CN"/>
        </w:rPr>
        <w:t xml:space="preserve">   </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eastAsia="zh-CN"/>
        </w:rPr>
        <w:t>联系电话：0578-3146530</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质疑联系人：</w:t>
      </w:r>
      <w:r>
        <w:rPr>
          <w:rFonts w:hint="eastAsia" w:ascii="宋体" w:hAnsi="宋体" w:eastAsia="宋体" w:cs="宋体"/>
          <w:i w:val="0"/>
          <w:iCs w:val="0"/>
          <w:color w:val="auto"/>
          <w:sz w:val="21"/>
          <w:szCs w:val="21"/>
          <w:highlight w:val="none"/>
          <w:lang w:eastAsia="zh-CN"/>
        </w:rPr>
        <w:t>李先生</w:t>
      </w:r>
      <w:r>
        <w:rPr>
          <w:rFonts w:hint="eastAsia" w:ascii="宋体" w:hAnsi="宋体" w:eastAsia="宋体" w:cs="宋体"/>
          <w:i w:val="0"/>
          <w:iCs w:val="0"/>
          <w:color w:val="auto"/>
          <w:sz w:val="21"/>
          <w:szCs w:val="21"/>
          <w:highlight w:val="none"/>
          <w:lang w:eastAsia="zh-CN"/>
        </w:rPr>
        <w:t xml:space="preserve">    </w:t>
      </w:r>
      <w:r>
        <w:rPr>
          <w:rFonts w:hint="eastAsia" w:ascii="宋体" w:hAnsi="宋体" w:eastAsia="宋体" w:cs="宋体"/>
          <w:i w:val="0"/>
          <w:iCs w:val="0"/>
          <w:color w:val="auto"/>
          <w:sz w:val="21"/>
          <w:szCs w:val="21"/>
          <w:highlight w:val="none"/>
          <w:lang w:val="en-US" w:eastAsia="zh-CN"/>
        </w:rPr>
        <w:t xml:space="preserve">   </w:t>
      </w:r>
      <w:r>
        <w:rPr>
          <w:rFonts w:hint="eastAsia" w:ascii="宋体" w:hAnsi="宋体" w:eastAsia="宋体" w:cs="宋体"/>
          <w:i w:val="0"/>
          <w:iCs w:val="0"/>
          <w:color w:val="auto"/>
          <w:sz w:val="21"/>
          <w:szCs w:val="21"/>
          <w:highlight w:val="none"/>
          <w:lang w:eastAsia="zh-CN"/>
        </w:rPr>
        <w:t xml:space="preserve"> </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eastAsia="zh-CN"/>
        </w:rPr>
        <w:t>联系电话：0578-3146530</w:t>
      </w:r>
      <w:r>
        <w:rPr>
          <w:rFonts w:hint="eastAsia" w:ascii="宋体" w:hAnsi="宋体" w:eastAsia="宋体" w:cs="宋体"/>
          <w:i w:val="0"/>
          <w:iCs w:val="0"/>
          <w:color w:val="auto"/>
          <w:sz w:val="21"/>
          <w:szCs w:val="21"/>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t>地址：</w:t>
      </w:r>
      <w:r>
        <w:rPr>
          <w:rFonts w:hint="eastAsia" w:ascii="宋体" w:hAnsi="宋体" w:eastAsia="宋体" w:cs="宋体"/>
          <w:i w:val="0"/>
          <w:iCs w:val="0"/>
          <w:color w:val="auto"/>
          <w:sz w:val="21"/>
          <w:szCs w:val="21"/>
          <w:highlight w:val="none"/>
          <w:lang w:eastAsia="zh-CN"/>
        </w:rPr>
        <w:t>缙云县五云街道大桥北路290号</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2. 采购代理机构信息</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采购代理机构名称：</w:t>
      </w:r>
      <w:r>
        <w:rPr>
          <w:rFonts w:hint="eastAsia" w:ascii="宋体" w:hAnsi="宋体" w:eastAsia="宋体" w:cs="宋体"/>
          <w:i w:val="0"/>
          <w:iCs w:val="0"/>
          <w:color w:val="auto"/>
          <w:sz w:val="21"/>
          <w:szCs w:val="21"/>
          <w:highlight w:val="none"/>
          <w:lang w:eastAsia="zh-CN"/>
        </w:rPr>
        <w:t>浙江鼎峰工程咨询有限公司</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t>项目负责人：</w:t>
      </w:r>
      <w:r>
        <w:rPr>
          <w:rFonts w:hint="eastAsia" w:ascii="宋体" w:hAnsi="宋体" w:eastAsia="宋体" w:cs="宋体"/>
          <w:i w:val="0"/>
          <w:iCs w:val="0"/>
          <w:color w:val="auto"/>
          <w:sz w:val="21"/>
          <w:szCs w:val="21"/>
          <w:highlight w:val="none"/>
          <w:lang w:val="en-US" w:eastAsia="zh-CN"/>
        </w:rPr>
        <w:t>陈杰烽</w:t>
      </w:r>
      <w:r>
        <w:rPr>
          <w:rFonts w:hint="eastAsia" w:ascii="宋体" w:hAnsi="宋体" w:eastAsia="宋体" w:cs="宋体"/>
          <w:i w:val="0"/>
          <w:iCs w:val="0"/>
          <w:color w:val="auto"/>
          <w:sz w:val="21"/>
          <w:szCs w:val="21"/>
          <w:highlight w:val="none"/>
        </w:rPr>
        <w:t xml:space="preserve"> </w:t>
      </w:r>
      <w:r>
        <w:rPr>
          <w:rFonts w:hint="eastAsia" w:ascii="宋体" w:hAnsi="宋体" w:eastAsia="宋体" w:cs="宋体"/>
          <w:i w:val="0"/>
          <w:iCs w:val="0"/>
          <w:color w:val="auto"/>
          <w:sz w:val="21"/>
          <w:szCs w:val="21"/>
          <w:highlight w:val="none"/>
          <w:lang w:val="en-US" w:eastAsia="zh-CN"/>
        </w:rPr>
        <w:t xml:space="preserve">  </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t>联系电话：</w:t>
      </w:r>
      <w:r>
        <w:rPr>
          <w:rFonts w:hint="eastAsia" w:ascii="宋体" w:hAnsi="宋体" w:eastAsia="宋体" w:cs="宋体"/>
          <w:i w:val="0"/>
          <w:iCs w:val="0"/>
          <w:color w:val="auto"/>
          <w:sz w:val="21"/>
          <w:szCs w:val="21"/>
          <w:highlight w:val="none"/>
          <w:lang w:eastAsia="zh-CN"/>
        </w:rPr>
        <w:t>0578-3311234</w:t>
      </w:r>
      <w:r>
        <w:rPr>
          <w:rFonts w:hint="eastAsia" w:ascii="宋体" w:hAnsi="宋体" w:eastAsia="宋体" w:cs="宋体"/>
          <w:i w:val="0"/>
          <w:iCs w:val="0"/>
          <w:color w:val="auto"/>
          <w:sz w:val="21"/>
          <w:szCs w:val="21"/>
          <w:highlight w:val="none"/>
        </w:rPr>
        <w:t xml:space="preserve">    </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t>质疑联系人</w:t>
      </w:r>
      <w:r>
        <w:rPr>
          <w:rFonts w:hint="eastAsia" w:ascii="宋体" w:hAnsi="宋体" w:eastAsia="宋体" w:cs="宋体"/>
          <w:i w:val="0"/>
          <w:iCs w:val="0"/>
          <w:color w:val="auto"/>
          <w:sz w:val="21"/>
          <w:szCs w:val="21"/>
          <w:highlight w:val="none"/>
          <w:lang w:eastAsia="zh-CN"/>
        </w:rPr>
        <w:t>：徐如锐</w:t>
      </w:r>
      <w:r>
        <w:rPr>
          <w:rFonts w:hint="eastAsia" w:ascii="宋体" w:hAnsi="宋体" w:eastAsia="宋体" w:cs="宋体"/>
          <w:i w:val="0"/>
          <w:iCs w:val="0"/>
          <w:color w:val="auto"/>
          <w:sz w:val="21"/>
          <w:szCs w:val="21"/>
          <w:highlight w:val="none"/>
        </w:rPr>
        <w:t xml:space="preserve"> </w:t>
      </w:r>
      <w:r>
        <w:rPr>
          <w:rFonts w:hint="eastAsia" w:ascii="宋体" w:hAnsi="宋体" w:eastAsia="宋体" w:cs="宋体"/>
          <w:i w:val="0"/>
          <w:iCs w:val="0"/>
          <w:color w:val="auto"/>
          <w:sz w:val="21"/>
          <w:szCs w:val="21"/>
          <w:highlight w:val="none"/>
          <w:lang w:val="en-US" w:eastAsia="zh-CN"/>
        </w:rPr>
        <w:t xml:space="preserve">    </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联系电话：</w:t>
      </w:r>
      <w:r>
        <w:rPr>
          <w:rFonts w:hint="eastAsia" w:ascii="宋体" w:hAnsi="宋体" w:eastAsia="宋体" w:cs="宋体"/>
          <w:i w:val="0"/>
          <w:iCs w:val="0"/>
          <w:color w:val="auto"/>
          <w:sz w:val="21"/>
          <w:szCs w:val="21"/>
          <w:highlight w:val="none"/>
          <w:lang w:eastAsia="zh-CN"/>
        </w:rPr>
        <w:t>0578-3311234</w:t>
      </w:r>
      <w:r>
        <w:rPr>
          <w:rFonts w:hint="eastAsia" w:ascii="宋体" w:hAnsi="宋体" w:eastAsia="宋体" w:cs="宋体"/>
          <w:i w:val="0"/>
          <w:iCs w:val="0"/>
          <w:color w:val="auto"/>
          <w:sz w:val="21"/>
          <w:szCs w:val="21"/>
          <w:highlight w:val="none"/>
        </w:rPr>
        <w:t xml:space="preserve">    </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地址：</w:t>
      </w:r>
      <w:r>
        <w:rPr>
          <w:rFonts w:hint="eastAsia" w:ascii="宋体" w:hAnsi="宋体" w:eastAsia="宋体" w:cs="宋体"/>
          <w:i w:val="0"/>
          <w:iCs w:val="0"/>
          <w:color w:val="auto"/>
          <w:sz w:val="21"/>
          <w:szCs w:val="21"/>
          <w:highlight w:val="none"/>
          <w:lang w:eastAsia="zh-CN"/>
        </w:rPr>
        <w:t>缙云县五云街道江滨巷17号301室</w:t>
      </w:r>
    </w:p>
    <w:p>
      <w:pPr>
        <w:pStyle w:val="22"/>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20" w:firstLineChars="200"/>
        <w:textAlignment w:val="auto"/>
        <w:rPr>
          <w:rFonts w:hint="eastAsia" w:ascii="宋体" w:hAnsi="宋体" w:eastAsia="宋体" w:cs="宋体"/>
          <w:bCs/>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3. 同级政府采购监督管理部门名称：</w:t>
      </w:r>
      <w:r>
        <w:rPr>
          <w:rFonts w:hint="eastAsia" w:ascii="宋体" w:hAnsi="宋体" w:eastAsia="宋体" w:cs="宋体"/>
          <w:bCs/>
          <w:i w:val="0"/>
          <w:iCs w:val="0"/>
          <w:color w:val="auto"/>
          <w:sz w:val="21"/>
          <w:szCs w:val="21"/>
          <w:highlight w:val="none"/>
          <w:lang w:eastAsia="zh-CN"/>
        </w:rPr>
        <w:t>缙云县财政局政府采购监管科</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t>联系人：</w:t>
      </w:r>
      <w:r>
        <w:rPr>
          <w:rFonts w:hint="eastAsia" w:ascii="宋体" w:hAnsi="宋体" w:eastAsia="宋体" w:cs="宋体"/>
          <w:i w:val="0"/>
          <w:iCs w:val="0"/>
          <w:color w:val="auto"/>
          <w:sz w:val="21"/>
          <w:szCs w:val="21"/>
          <w:highlight w:val="none"/>
          <w:lang w:eastAsia="zh-CN"/>
        </w:rPr>
        <w:t>朱航</w:t>
      </w:r>
      <w:r>
        <w:rPr>
          <w:rFonts w:hint="eastAsia" w:ascii="宋体" w:hAnsi="宋体" w:eastAsia="宋体" w:cs="宋体"/>
          <w:i w:val="0"/>
          <w:iCs w:val="0"/>
          <w:color w:val="auto"/>
          <w:sz w:val="21"/>
          <w:szCs w:val="21"/>
          <w:highlight w:val="none"/>
        </w:rPr>
        <w:t xml:space="preserve">  </w:t>
      </w:r>
      <w:r>
        <w:rPr>
          <w:rFonts w:hint="eastAsia" w:ascii="宋体" w:hAnsi="宋体" w:eastAsia="宋体" w:cs="宋体"/>
          <w:i w:val="0"/>
          <w:iCs w:val="0"/>
          <w:color w:val="auto"/>
          <w:sz w:val="21"/>
          <w:szCs w:val="21"/>
          <w:highlight w:val="none"/>
          <w:lang w:val="en-US" w:eastAsia="zh-CN"/>
        </w:rPr>
        <w:t xml:space="preserve">  </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监督投诉电话：</w:t>
      </w:r>
      <w:r>
        <w:rPr>
          <w:rFonts w:hint="eastAsia" w:ascii="宋体" w:hAnsi="宋体" w:eastAsia="宋体" w:cs="宋体"/>
          <w:i w:val="0"/>
          <w:iCs w:val="0"/>
          <w:color w:val="auto"/>
          <w:sz w:val="21"/>
          <w:szCs w:val="21"/>
          <w:highlight w:val="none"/>
          <w:lang w:eastAsia="zh-CN"/>
        </w:rPr>
        <w:t>0578-3318985</w:t>
      </w:r>
      <w:r>
        <w:rPr>
          <w:rFonts w:hint="eastAsia" w:ascii="宋体" w:hAnsi="宋体" w:eastAsia="宋体" w:cs="宋体"/>
          <w:i w:val="0"/>
          <w:iCs w:val="0"/>
          <w:color w:val="auto"/>
          <w:sz w:val="21"/>
          <w:szCs w:val="21"/>
          <w:highlight w:val="none"/>
        </w:rPr>
        <w:t xml:space="preserve">   </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传真：</w:t>
      </w:r>
      <w:r>
        <w:rPr>
          <w:rFonts w:hint="eastAsia" w:ascii="宋体" w:hAnsi="宋体" w:eastAsia="宋体" w:cs="宋体"/>
          <w:i w:val="0"/>
          <w:iCs w:val="0"/>
          <w:color w:val="auto"/>
          <w:sz w:val="21"/>
          <w:szCs w:val="21"/>
          <w:highlight w:val="none"/>
          <w:lang w:eastAsia="zh-CN"/>
        </w:rPr>
        <w:t>0578-3318985</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地 址：</w:t>
      </w:r>
      <w:r>
        <w:rPr>
          <w:rFonts w:hint="eastAsia" w:ascii="宋体" w:hAnsi="宋体" w:eastAsia="宋体" w:cs="宋体"/>
          <w:i w:val="0"/>
          <w:iCs w:val="0"/>
          <w:color w:val="auto"/>
          <w:sz w:val="21"/>
          <w:szCs w:val="21"/>
          <w:highlight w:val="none"/>
          <w:lang w:eastAsia="zh-CN"/>
        </w:rPr>
        <w:t>缙云县财政局</w:t>
      </w:r>
      <w:r>
        <w:rPr>
          <w:rFonts w:hint="eastAsia" w:ascii="宋体" w:hAnsi="宋体" w:eastAsia="宋体" w:cs="宋体"/>
          <w:i w:val="0"/>
          <w:iCs w:val="0"/>
          <w:color w:val="auto"/>
          <w:sz w:val="21"/>
          <w:szCs w:val="21"/>
          <w:highlight w:val="none"/>
          <w:lang w:val="en-US" w:eastAsia="zh-CN"/>
        </w:rPr>
        <w:t>7</w:t>
      </w:r>
      <w:r>
        <w:rPr>
          <w:rFonts w:hint="eastAsia" w:ascii="宋体" w:hAnsi="宋体" w:eastAsia="宋体" w:cs="宋体"/>
          <w:i w:val="0"/>
          <w:iCs w:val="0"/>
          <w:color w:val="auto"/>
          <w:sz w:val="21"/>
          <w:szCs w:val="21"/>
          <w:highlight w:val="none"/>
          <w:lang w:eastAsia="zh-CN"/>
        </w:rPr>
        <w:t>楼</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若对项目采购电子交易系统操作有疑问，可登录政采云（https://www.zcygov.cn/），点击右侧咨询小采，获取采小蜜智能服务管家帮助，或拨打政采云服务热线</w:t>
      </w:r>
      <w:r>
        <w:rPr>
          <w:rFonts w:hint="eastAsia" w:ascii="宋体" w:hAnsi="宋体" w:eastAsia="宋体" w:cs="宋体"/>
          <w:i w:val="0"/>
          <w:iCs w:val="0"/>
          <w:color w:val="auto"/>
          <w:sz w:val="21"/>
          <w:szCs w:val="21"/>
          <w:highlight w:val="none"/>
        </w:rPr>
        <w:t>95763</w:t>
      </w:r>
      <w:r>
        <w:rPr>
          <w:rFonts w:hint="eastAsia" w:ascii="宋体" w:hAnsi="宋体" w:eastAsia="宋体" w:cs="宋体"/>
          <w:i w:val="0"/>
          <w:iCs w:val="0"/>
          <w:color w:val="auto"/>
          <w:sz w:val="21"/>
          <w:szCs w:val="21"/>
          <w:highlight w:val="none"/>
        </w:rPr>
        <w:t>获取热线服务帮助。</w:t>
      </w:r>
    </w:p>
    <w:p>
      <w:pPr>
        <w:pStyle w:val="145"/>
        <w:keepNext w:val="0"/>
        <w:keepLines w:val="0"/>
        <w:pageBreakBefore w:val="0"/>
        <w:widowControl w:val="0"/>
        <w:kinsoku/>
        <w:wordWrap/>
        <w:overflowPunct/>
        <w:topLinePunct w:val="0"/>
        <w:autoSpaceDE/>
        <w:autoSpaceDN/>
        <w:bidi w:val="0"/>
        <w:adjustRightInd/>
        <w:snapToGrid w:val="0"/>
        <w:spacing w:after="0" w:afterLines="0" w:line="400" w:lineRule="exact"/>
        <w:ind w:firstLine="643"/>
        <w:jc w:val="both"/>
        <w:textAlignment w:val="auto"/>
        <w:outlineLvl w:val="9"/>
        <w:rPr>
          <w:rStyle w:val="80"/>
          <w:rFonts w:hint="eastAsia" w:ascii="宋体" w:hAnsi="宋体" w:cs="宋体"/>
          <w:szCs w:val="22"/>
          <w:highlight w:val="none"/>
        </w:rPr>
      </w:pPr>
      <w:r>
        <w:rPr>
          <w:rFonts w:hint="eastAsia" w:ascii="宋体" w:hAnsi="宋体" w:eastAsia="宋体" w:cs="宋体"/>
          <w:i w:val="0"/>
          <w:iCs w:val="0"/>
          <w:color w:val="auto"/>
          <w:sz w:val="21"/>
          <w:szCs w:val="21"/>
          <w:highlight w:val="none"/>
        </w:rPr>
        <w:t>政采云热线人工客服咨询电话：95763（工作时间：工作日08:00~20：00）。</w:t>
      </w:r>
      <w:bookmarkStart w:id="21" w:name="_Toc21616"/>
      <w:bookmarkStart w:id="22" w:name="_Toc9591"/>
    </w:p>
    <w:bookmarkEnd w:id="17"/>
    <w:bookmarkEnd w:id="18"/>
    <w:bookmarkEnd w:id="19"/>
    <w:bookmarkEnd w:id="20"/>
    <w:p>
      <w:pPr>
        <w:pStyle w:val="145"/>
        <w:keepNext w:val="0"/>
        <w:keepLines w:val="0"/>
        <w:pageBreakBefore w:val="0"/>
        <w:widowControl w:val="0"/>
        <w:numPr>
          <w:ilvl w:val="0"/>
          <w:numId w:val="0"/>
        </w:numPr>
        <w:kinsoku/>
        <w:wordWrap/>
        <w:overflowPunct/>
        <w:topLinePunct w:val="0"/>
        <w:autoSpaceDE/>
        <w:autoSpaceDN/>
        <w:bidi w:val="0"/>
        <w:adjustRightInd/>
        <w:snapToGrid w:val="0"/>
        <w:spacing w:after="0" w:afterLines="0" w:line="400" w:lineRule="exact"/>
        <w:ind w:left="0" w:leftChars="0" w:firstLine="0" w:firstLineChars="0"/>
        <w:jc w:val="center"/>
        <w:textAlignment w:val="auto"/>
        <w:outlineLvl w:val="0"/>
        <w:rPr>
          <w:rFonts w:hint="eastAsia" w:ascii="宋体" w:hAnsi="宋体" w:eastAsia="宋体" w:cs="宋体"/>
          <w:b/>
          <w:bCs/>
          <w:kern w:val="44"/>
          <w:sz w:val="32"/>
          <w:szCs w:val="22"/>
          <w:highlight w:val="none"/>
          <w:lang w:val="en-US" w:eastAsia="zh-CN" w:bidi="ar-SA"/>
        </w:rPr>
        <w:sectPr>
          <w:headerReference r:id="rId7" w:type="first"/>
          <w:footerReference r:id="rId9" w:type="first"/>
          <w:headerReference r:id="rId6" w:type="default"/>
          <w:footerReference r:id="rId8" w:type="default"/>
          <w:pgSz w:w="11905" w:h="16838"/>
          <w:pgMar w:top="1440" w:right="1083" w:bottom="1440" w:left="1083" w:header="1134" w:footer="1134" w:gutter="0"/>
          <w:paperSrc/>
          <w:pgNumType w:fmt="decimal"/>
          <w:cols w:space="720" w:num="1"/>
          <w:titlePg/>
          <w:rtlGutter w:val="0"/>
          <w:docGrid w:linePitch="312" w:charSpace="0"/>
        </w:sectPr>
      </w:pPr>
    </w:p>
    <w:p>
      <w:pPr>
        <w:pStyle w:val="145"/>
        <w:keepNext w:val="0"/>
        <w:keepLines w:val="0"/>
        <w:pageBreakBefore w:val="0"/>
        <w:widowControl w:val="0"/>
        <w:numPr>
          <w:ilvl w:val="0"/>
          <w:numId w:val="0"/>
        </w:numPr>
        <w:kinsoku/>
        <w:wordWrap/>
        <w:overflowPunct/>
        <w:topLinePunct w:val="0"/>
        <w:autoSpaceDE/>
        <w:autoSpaceDN/>
        <w:bidi w:val="0"/>
        <w:adjustRightInd/>
        <w:snapToGrid w:val="0"/>
        <w:spacing w:after="0" w:afterLines="0" w:line="400" w:lineRule="exact"/>
        <w:ind w:left="0" w:leftChars="0" w:firstLine="0" w:firstLineChars="0"/>
        <w:jc w:val="center"/>
        <w:textAlignment w:val="auto"/>
        <w:outlineLvl w:val="0"/>
        <w:rPr>
          <w:rStyle w:val="80"/>
          <w:rFonts w:hint="eastAsia" w:ascii="宋体" w:hAnsi="宋体" w:cs="宋体"/>
          <w:szCs w:val="22"/>
          <w:highlight w:val="none"/>
        </w:rPr>
      </w:pPr>
      <w:r>
        <w:rPr>
          <w:rFonts w:hint="eastAsia" w:ascii="宋体" w:hAnsi="宋体" w:eastAsia="宋体" w:cs="宋体"/>
          <w:b/>
          <w:bCs/>
          <w:kern w:val="44"/>
          <w:sz w:val="32"/>
          <w:szCs w:val="22"/>
          <w:highlight w:val="none"/>
          <w:lang w:val="en-US" w:eastAsia="zh-CN" w:bidi="ar-SA"/>
        </w:rPr>
        <w:t>第二章</w:t>
      </w:r>
      <w:r>
        <w:rPr>
          <w:rFonts w:hint="eastAsia" w:ascii="宋体" w:hAnsi="宋体" w:cs="宋体"/>
          <w:b/>
          <w:bCs/>
          <w:kern w:val="44"/>
          <w:sz w:val="32"/>
          <w:szCs w:val="22"/>
          <w:highlight w:val="none"/>
          <w:lang w:val="en-US" w:eastAsia="zh-CN" w:bidi="ar-SA"/>
        </w:rPr>
        <w:t xml:space="preserve"> </w:t>
      </w:r>
      <w:r>
        <w:rPr>
          <w:rStyle w:val="80"/>
          <w:rFonts w:hint="eastAsia" w:ascii="宋体" w:hAnsi="宋体" w:cs="宋体"/>
          <w:szCs w:val="22"/>
          <w:highlight w:val="none"/>
        </w:rPr>
        <w:t>采购需求</w:t>
      </w:r>
      <w:bookmarkEnd w:id="21"/>
      <w:bookmarkEnd w:id="22"/>
    </w:p>
    <w:p>
      <w:pPr>
        <w:pStyle w:val="30"/>
        <w:keepNext w:val="0"/>
        <w:keepLines w:val="0"/>
        <w:pageBreakBefore w:val="0"/>
        <w:widowControl w:val="0"/>
        <w:kinsoku/>
        <w:wordWrap/>
        <w:overflowPunct/>
        <w:topLinePunct w:val="0"/>
        <w:autoSpaceDE/>
        <w:autoSpaceDN/>
        <w:bidi w:val="0"/>
        <w:adjustRightInd/>
        <w:snapToGrid/>
        <w:spacing w:before="0" w:beforeLines="0" w:after="0" w:afterLines="0" w:line="480" w:lineRule="exact"/>
        <w:ind w:left="0" w:leftChars="0" w:firstLine="422" w:firstLineChars="200"/>
        <w:jc w:val="both"/>
        <w:textAlignment w:val="auto"/>
        <w:outlineLvl w:val="9"/>
        <w:rPr>
          <w:rFonts w:hint="eastAsia" w:ascii="宋体" w:hAnsi="宋体" w:eastAsia="宋体" w:cs="宋体"/>
          <w:color w:val="000000"/>
          <w:sz w:val="21"/>
          <w:szCs w:val="21"/>
          <w:highlight w:val="none"/>
        </w:rPr>
      </w:pPr>
      <w:bookmarkStart w:id="23" w:name="_Toc21034"/>
      <w:bookmarkStart w:id="24" w:name="_Toc31973"/>
      <w:bookmarkStart w:id="25" w:name="_Toc303756362"/>
      <w:bookmarkStart w:id="26" w:name="_Toc5219"/>
      <w:bookmarkStart w:id="27" w:name="_Toc359934557"/>
      <w:bookmarkStart w:id="28" w:name="_Toc301187521"/>
      <w:r>
        <w:rPr>
          <w:rFonts w:hint="eastAsia" w:ascii="宋体" w:hAnsi="宋体" w:eastAsia="宋体" w:cs="宋体"/>
          <w:color w:val="000000"/>
          <w:sz w:val="21"/>
          <w:szCs w:val="21"/>
          <w:highlight w:val="none"/>
        </w:rPr>
        <w:t>一、标准规范</w:t>
      </w:r>
    </w:p>
    <w:p>
      <w:pPr>
        <w:keepNext w:val="0"/>
        <w:keepLines w:val="0"/>
        <w:pageBreakBefore w:val="0"/>
        <w:widowControl w:val="0"/>
        <w:kinsoku/>
        <w:wordWrap/>
        <w:overflowPunct/>
        <w:topLinePunct w:val="0"/>
        <w:autoSpaceDE/>
        <w:autoSpaceDN/>
        <w:bidi w:val="0"/>
        <w:adjustRightInd/>
        <w:snapToGrid w:val="0"/>
        <w:spacing w:line="480" w:lineRule="exac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本工程的材料、设备、施工作业必须符合现行国家、行业及工程所在地地方标准、规范的要求。对于同一类标准、规范应以最新版本或最新颁发者为准。</w:t>
      </w:r>
    </w:p>
    <w:p>
      <w:pPr>
        <w:keepNext w:val="0"/>
        <w:keepLines w:val="0"/>
        <w:pageBreakBefore w:val="0"/>
        <w:widowControl w:val="0"/>
        <w:kinsoku/>
        <w:wordWrap/>
        <w:overflowPunct/>
        <w:topLinePunct w:val="0"/>
        <w:autoSpaceDE/>
        <w:autoSpaceDN/>
        <w:bidi w:val="0"/>
        <w:adjustRightInd/>
        <w:snapToGrid w:val="0"/>
        <w:spacing w:line="480" w:lineRule="exac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国家、行业及工程所在地地方标准、规范存在不一致时，约定选用的标准、规范名称：如果工程所在地地方标准、规范低于国家、行业标准的，则按国家、行业标准执行；如果工程所在地地方标准、规范高于国家、行业标准的，则按工程所在地地方标准、规范执行；如果工程所在地地方标准、规范与国家、行业的标准出现矛盾或歧义的，在满足国家、行业标准的基础上按合同约定的标准、规范执行。 </w:t>
      </w:r>
    </w:p>
    <w:p>
      <w:pPr>
        <w:pStyle w:val="30"/>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480" w:lineRule="exact"/>
        <w:ind w:left="0" w:leftChars="0" w:firstLine="422" w:firstLineChars="200"/>
        <w:jc w:val="both"/>
        <w:textAlignment w:val="auto"/>
        <w:outlineLvl w:val="9"/>
        <w:rPr>
          <w:rFonts w:hint="eastAsia" w:ascii="宋体" w:hAnsi="宋体" w:eastAsia="宋体" w:cs="宋体"/>
          <w:color w:val="000000"/>
          <w:sz w:val="21"/>
          <w:szCs w:val="21"/>
          <w:highlight w:val="none"/>
        </w:rPr>
      </w:pPr>
      <w:r>
        <w:rPr>
          <w:rFonts w:hint="eastAsia" w:ascii="宋体" w:hAnsi="宋体" w:eastAsia="宋体" w:cs="宋体"/>
          <w:b/>
          <w:bCs/>
          <w:color w:val="000000"/>
          <w:kern w:val="28"/>
          <w:sz w:val="21"/>
          <w:szCs w:val="21"/>
          <w:lang w:val="en-US" w:eastAsia="zh-CN" w:bidi="ar-SA"/>
        </w:rPr>
        <w:t>二、</w:t>
      </w:r>
      <w:r>
        <w:rPr>
          <w:rFonts w:hint="eastAsia" w:ascii="宋体" w:hAnsi="宋体" w:eastAsia="宋体" w:cs="宋体"/>
          <w:color w:val="000000"/>
          <w:sz w:val="21"/>
          <w:szCs w:val="21"/>
          <w:highlight w:val="none"/>
        </w:rPr>
        <w:t>工程概况</w:t>
      </w:r>
    </w:p>
    <w:p>
      <w:pPr>
        <w:keepNext w:val="0"/>
        <w:keepLines w:val="0"/>
        <w:pageBreakBefore w:val="0"/>
        <w:widowControl w:val="0"/>
        <w:kinsoku/>
        <w:wordWrap/>
        <w:overflowPunct/>
        <w:topLinePunct w:val="0"/>
        <w:autoSpaceDE/>
        <w:autoSpaceDN/>
        <w:bidi w:val="0"/>
        <w:adjustRightInd/>
        <w:snapToGrid w:val="0"/>
        <w:spacing w:line="480" w:lineRule="exac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1）建设地点：位于</w:t>
      </w:r>
      <w:r>
        <w:rPr>
          <w:rFonts w:hint="eastAsia" w:ascii="宋体" w:hAnsi="宋体" w:eastAsia="宋体" w:cs="宋体"/>
          <w:color w:val="000000"/>
          <w:sz w:val="21"/>
          <w:szCs w:val="21"/>
          <w:highlight w:val="none"/>
          <w:lang w:val="en-US" w:eastAsia="zh-CN"/>
        </w:rPr>
        <w:t>缙云县五云街道溪滨南路南侧,谢山路东侧</w:t>
      </w:r>
      <w:r>
        <w:rPr>
          <w:rFonts w:hint="eastAsia" w:ascii="宋体" w:hAnsi="宋体" w:eastAsia="宋体" w:cs="宋体"/>
          <w:color w:val="000000"/>
          <w:sz w:val="21"/>
          <w:szCs w:val="21"/>
          <w:highlight w:val="none"/>
        </w:rPr>
        <w:t xml:space="preserve">。    </w:t>
      </w:r>
    </w:p>
    <w:p>
      <w:pPr>
        <w:keepNext w:val="0"/>
        <w:keepLines w:val="0"/>
        <w:pageBreakBefore w:val="0"/>
        <w:widowControl w:val="0"/>
        <w:kinsoku/>
        <w:wordWrap/>
        <w:overflowPunct/>
        <w:topLinePunct w:val="0"/>
        <w:autoSpaceDE/>
        <w:autoSpaceDN/>
        <w:bidi w:val="0"/>
        <w:adjustRightInd/>
        <w:snapToGrid w:val="0"/>
        <w:spacing w:line="480" w:lineRule="exac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r>
        <w:rPr>
          <w:rFonts w:hint="eastAsia" w:ascii="宋体" w:hAnsi="宋体" w:eastAsia="宋体" w:cs="宋体"/>
          <w:color w:val="000000"/>
          <w:sz w:val="21"/>
          <w:szCs w:val="21"/>
          <w:highlight w:val="none"/>
          <w:lang w:eastAsia="zh-CN"/>
        </w:rPr>
        <w:t>采购</w:t>
      </w:r>
      <w:r>
        <w:rPr>
          <w:rFonts w:hint="eastAsia" w:ascii="宋体" w:hAnsi="宋体" w:eastAsia="宋体" w:cs="宋体"/>
          <w:color w:val="000000"/>
          <w:sz w:val="21"/>
          <w:szCs w:val="21"/>
          <w:highlight w:val="none"/>
        </w:rPr>
        <w:t>范围</w:t>
      </w:r>
      <w:r>
        <w:rPr>
          <w:rFonts w:hint="eastAsia"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本项目包括1#处理池、2#处理池、3#处理池、感染楼预处理池设备管道安装、设备安装等内容</w:t>
      </w:r>
      <w:r>
        <w:rPr>
          <w:rFonts w:hint="eastAsia" w:ascii="宋体" w:hAnsi="宋体" w:eastAsia="宋体" w:cs="宋体"/>
          <w:color w:val="000000"/>
          <w:sz w:val="21"/>
          <w:szCs w:val="21"/>
          <w:highlight w:val="none"/>
        </w:rPr>
        <w:t>（具体详见工程量清单）。</w:t>
      </w:r>
    </w:p>
    <w:p>
      <w:pPr>
        <w:pStyle w:val="30"/>
        <w:keepNext w:val="0"/>
        <w:keepLines w:val="0"/>
        <w:pageBreakBefore w:val="0"/>
        <w:widowControl w:val="0"/>
        <w:kinsoku/>
        <w:wordWrap/>
        <w:overflowPunct/>
        <w:topLinePunct w:val="0"/>
        <w:autoSpaceDE/>
        <w:autoSpaceDN/>
        <w:bidi w:val="0"/>
        <w:adjustRightInd/>
        <w:snapToGrid/>
        <w:spacing w:before="0" w:beforeLines="0" w:after="0" w:afterLines="0" w:line="480" w:lineRule="exact"/>
        <w:ind w:left="0" w:leftChars="0" w:firstLine="422" w:firstLineChars="200"/>
        <w:jc w:val="both"/>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三、技术参数</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22"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b/>
          <w:color w:val="000000"/>
          <w:sz w:val="21"/>
          <w:szCs w:val="21"/>
          <w:highlight w:val="none"/>
        </w:rPr>
        <w:t>1、污水水质</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根据《缙云县中医医院迁建工程项目迁建工程环境影响报告书》和同类医院水污染分析，</w:t>
      </w:r>
      <w:r>
        <w:rPr>
          <w:rFonts w:hint="eastAsia" w:ascii="宋体" w:hAnsi="宋体" w:eastAsia="宋体" w:cs="宋体"/>
          <w:color w:val="000000"/>
          <w:spacing w:val="5"/>
          <w:sz w:val="21"/>
          <w:szCs w:val="21"/>
          <w:highlight w:val="none"/>
        </w:rPr>
        <w:t>污水中主要含污染物为：SS、CODcr、BOD</w:t>
      </w:r>
      <w:r>
        <w:rPr>
          <w:rFonts w:hint="eastAsia" w:ascii="宋体" w:hAnsi="宋体" w:eastAsia="宋体" w:cs="宋体"/>
          <w:color w:val="000000"/>
          <w:spacing w:val="5"/>
          <w:sz w:val="21"/>
          <w:szCs w:val="21"/>
          <w:highlight w:val="none"/>
          <w:vertAlign w:val="subscript"/>
        </w:rPr>
        <w:t>5</w:t>
      </w:r>
      <w:r>
        <w:rPr>
          <w:rFonts w:hint="eastAsia" w:ascii="宋体" w:hAnsi="宋体" w:eastAsia="宋体" w:cs="宋体"/>
          <w:color w:val="000000"/>
          <w:spacing w:val="5"/>
          <w:sz w:val="21"/>
          <w:szCs w:val="21"/>
          <w:highlight w:val="none"/>
        </w:rPr>
        <w:t>、</w:t>
      </w:r>
      <w:r>
        <w:rPr>
          <w:rFonts w:hint="eastAsia" w:ascii="宋体" w:hAnsi="宋体" w:eastAsia="宋体" w:cs="宋体"/>
          <w:color w:val="000000"/>
          <w:sz w:val="21"/>
          <w:szCs w:val="21"/>
          <w:highlight w:val="none"/>
        </w:rPr>
        <w:t>NH</w:t>
      </w:r>
      <w:r>
        <w:rPr>
          <w:rFonts w:hint="eastAsia" w:ascii="宋体" w:hAnsi="宋体" w:eastAsia="宋体" w:cs="宋体"/>
          <w:color w:val="000000"/>
          <w:sz w:val="21"/>
          <w:szCs w:val="21"/>
          <w:highlight w:val="none"/>
          <w:vertAlign w:val="subscript"/>
        </w:rPr>
        <w:t>3</w:t>
      </w:r>
      <w:r>
        <w:rPr>
          <w:rFonts w:hint="eastAsia" w:ascii="宋体" w:hAnsi="宋体" w:eastAsia="宋体" w:cs="宋体"/>
          <w:color w:val="000000"/>
          <w:sz w:val="21"/>
          <w:szCs w:val="21"/>
          <w:highlight w:val="none"/>
        </w:rPr>
        <w:t>-N</w:t>
      </w:r>
      <w:r>
        <w:rPr>
          <w:rFonts w:hint="eastAsia" w:ascii="宋体" w:hAnsi="宋体" w:eastAsia="宋体" w:cs="宋体"/>
          <w:color w:val="000000"/>
          <w:spacing w:val="5"/>
          <w:sz w:val="21"/>
          <w:szCs w:val="21"/>
          <w:highlight w:val="none"/>
        </w:rPr>
        <w:t>、粪大肠菌群数，</w:t>
      </w:r>
      <w:r>
        <w:rPr>
          <w:rFonts w:hint="eastAsia" w:ascii="宋体" w:hAnsi="宋体" w:eastAsia="宋体" w:cs="宋体"/>
          <w:color w:val="000000"/>
          <w:sz w:val="21"/>
          <w:szCs w:val="21"/>
          <w:highlight w:val="none"/>
        </w:rPr>
        <w:t>类比调查资料，预计项目产生废水的污染物浓度见下表：</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1"/>
        <w:gridCol w:w="1122"/>
        <w:gridCol w:w="1122"/>
        <w:gridCol w:w="1122"/>
        <w:gridCol w:w="1122"/>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221" w:type="dxa"/>
            <w:noWrap w:val="0"/>
            <w:vAlign w:val="center"/>
          </w:tcPr>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污染物</w:t>
            </w:r>
          </w:p>
        </w:tc>
        <w:tc>
          <w:tcPr>
            <w:tcW w:w="1122" w:type="dxa"/>
            <w:noWrap w:val="0"/>
            <w:vAlign w:val="center"/>
          </w:tcPr>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COD</w:t>
            </w:r>
            <w:r>
              <w:rPr>
                <w:rFonts w:hint="eastAsia" w:ascii="宋体" w:hAnsi="宋体" w:eastAsia="宋体" w:cs="宋体"/>
                <w:color w:val="000000"/>
                <w:sz w:val="21"/>
                <w:szCs w:val="21"/>
                <w:highlight w:val="none"/>
                <w:vertAlign w:val="subscript"/>
              </w:rPr>
              <w:t>cr</w:t>
            </w:r>
            <w:r>
              <w:rPr>
                <w:rFonts w:hint="eastAsia" w:ascii="宋体" w:hAnsi="宋体" w:eastAsia="宋体" w:cs="宋体"/>
                <w:color w:val="000000"/>
                <w:sz w:val="21"/>
                <w:szCs w:val="21"/>
                <w:highlight w:val="none"/>
              </w:rPr>
              <w:t xml:space="preserve"> mg/l</w:t>
            </w:r>
          </w:p>
        </w:tc>
        <w:tc>
          <w:tcPr>
            <w:tcW w:w="1122" w:type="dxa"/>
            <w:noWrap w:val="0"/>
            <w:vAlign w:val="center"/>
          </w:tcPr>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BOD</w:t>
            </w:r>
            <w:r>
              <w:rPr>
                <w:rFonts w:hint="eastAsia" w:ascii="宋体" w:hAnsi="宋体" w:eastAsia="宋体" w:cs="宋体"/>
                <w:color w:val="000000"/>
                <w:sz w:val="21"/>
                <w:szCs w:val="21"/>
                <w:highlight w:val="none"/>
                <w:vertAlign w:val="subscript"/>
              </w:rPr>
              <w:t>5</w:t>
            </w:r>
            <w:r>
              <w:rPr>
                <w:rFonts w:hint="eastAsia" w:ascii="宋体" w:hAnsi="宋体" w:eastAsia="宋体" w:cs="宋体"/>
                <w:color w:val="000000"/>
                <w:sz w:val="21"/>
                <w:szCs w:val="21"/>
                <w:highlight w:val="none"/>
              </w:rPr>
              <w:t xml:space="preserve"> mg/l</w:t>
            </w:r>
          </w:p>
        </w:tc>
        <w:tc>
          <w:tcPr>
            <w:tcW w:w="1122" w:type="dxa"/>
            <w:noWrap w:val="0"/>
            <w:vAlign w:val="center"/>
          </w:tcPr>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SS </w:t>
            </w:r>
          </w:p>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mg/l</w:t>
            </w:r>
          </w:p>
        </w:tc>
        <w:tc>
          <w:tcPr>
            <w:tcW w:w="1122" w:type="dxa"/>
            <w:noWrap w:val="0"/>
            <w:vAlign w:val="center"/>
          </w:tcPr>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NH</w:t>
            </w:r>
            <w:r>
              <w:rPr>
                <w:rFonts w:hint="eastAsia" w:ascii="宋体" w:hAnsi="宋体" w:eastAsia="宋体" w:cs="宋体"/>
                <w:color w:val="000000"/>
                <w:sz w:val="21"/>
                <w:szCs w:val="21"/>
                <w:highlight w:val="none"/>
                <w:vertAlign w:val="subscript"/>
              </w:rPr>
              <w:t>3</w:t>
            </w:r>
            <w:r>
              <w:rPr>
                <w:rFonts w:hint="eastAsia" w:ascii="宋体" w:hAnsi="宋体" w:eastAsia="宋体" w:cs="宋体"/>
                <w:color w:val="000000"/>
                <w:sz w:val="21"/>
                <w:szCs w:val="21"/>
                <w:highlight w:val="none"/>
              </w:rPr>
              <w:t>-N</w:t>
            </w:r>
          </w:p>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mg/l</w:t>
            </w:r>
          </w:p>
        </w:tc>
        <w:tc>
          <w:tcPr>
            <w:tcW w:w="2050" w:type="dxa"/>
            <w:noWrap w:val="0"/>
            <w:vAlign w:val="center"/>
          </w:tcPr>
          <w:p>
            <w:pPr>
              <w:pageBreakBefore w:val="0"/>
              <w:widowControl w:val="0"/>
              <w:kinsoku/>
              <w:wordWrap/>
              <w:overflowPunct/>
              <w:topLinePunct w:val="0"/>
              <w:autoSpaceDE/>
              <w:autoSpaceDN/>
              <w:bidi w:val="0"/>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pacing w:val="5"/>
                <w:sz w:val="21"/>
                <w:szCs w:val="21"/>
                <w:highlight w:val="none"/>
              </w:rPr>
              <w:t>粪大肠菌群数</w:t>
            </w:r>
            <w:r>
              <w:rPr>
                <w:rFonts w:hint="eastAsia" w:ascii="宋体" w:hAnsi="宋体" w:eastAsia="宋体" w:cs="宋体"/>
                <w:color w:val="000000"/>
                <w:sz w:val="21"/>
                <w:szCs w:val="21"/>
                <w:highlight w:val="none"/>
              </w:rPr>
              <w:t>个/L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exact"/>
          <w:jc w:val="center"/>
        </w:trPr>
        <w:tc>
          <w:tcPr>
            <w:tcW w:w="1221" w:type="dxa"/>
            <w:noWrap w:val="0"/>
            <w:vAlign w:val="center"/>
          </w:tcPr>
          <w:p>
            <w:pPr>
              <w:pStyle w:val="231"/>
              <w:pageBreakBefore w:val="0"/>
              <w:widowControl w:val="0"/>
              <w:kinsoku/>
              <w:wordWrap/>
              <w:overflowPunct/>
              <w:topLinePunct w:val="0"/>
              <w:autoSpaceDE/>
              <w:autoSpaceDN/>
              <w:bidi w:val="0"/>
              <w:ind w:left="67" w:leftChars="0" w:hanging="9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浓度</w:t>
            </w:r>
          </w:p>
        </w:tc>
        <w:tc>
          <w:tcPr>
            <w:tcW w:w="1122" w:type="dxa"/>
            <w:noWrap w:val="0"/>
            <w:vAlign w:val="center"/>
          </w:tcPr>
          <w:p>
            <w:pPr>
              <w:pStyle w:val="231"/>
              <w:pageBreakBefore w:val="0"/>
              <w:widowControl w:val="0"/>
              <w:kinsoku/>
              <w:wordWrap/>
              <w:overflowPunct/>
              <w:topLinePunct w:val="0"/>
              <w:autoSpaceDE/>
              <w:autoSpaceDN/>
              <w:bidi w:val="0"/>
              <w:ind w:left="67" w:leftChars="0" w:hanging="9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350</w:t>
            </w:r>
          </w:p>
        </w:tc>
        <w:tc>
          <w:tcPr>
            <w:tcW w:w="1122" w:type="dxa"/>
            <w:noWrap w:val="0"/>
            <w:vAlign w:val="center"/>
          </w:tcPr>
          <w:p>
            <w:pPr>
              <w:pStyle w:val="231"/>
              <w:pageBreakBefore w:val="0"/>
              <w:widowControl w:val="0"/>
              <w:kinsoku/>
              <w:wordWrap/>
              <w:overflowPunct/>
              <w:topLinePunct w:val="0"/>
              <w:autoSpaceDE/>
              <w:autoSpaceDN/>
              <w:bidi w:val="0"/>
              <w:ind w:left="67" w:leftChars="0" w:hanging="9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200</w:t>
            </w:r>
          </w:p>
        </w:tc>
        <w:tc>
          <w:tcPr>
            <w:tcW w:w="1122" w:type="dxa"/>
            <w:noWrap w:val="0"/>
            <w:vAlign w:val="center"/>
          </w:tcPr>
          <w:p>
            <w:pPr>
              <w:pStyle w:val="231"/>
              <w:pageBreakBefore w:val="0"/>
              <w:widowControl w:val="0"/>
              <w:kinsoku/>
              <w:wordWrap/>
              <w:overflowPunct/>
              <w:topLinePunct w:val="0"/>
              <w:autoSpaceDE/>
              <w:autoSpaceDN/>
              <w:bidi w:val="0"/>
              <w:ind w:left="67" w:leftChars="0" w:hanging="9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120</w:t>
            </w:r>
          </w:p>
        </w:tc>
        <w:tc>
          <w:tcPr>
            <w:tcW w:w="1122" w:type="dxa"/>
            <w:noWrap w:val="0"/>
            <w:vAlign w:val="center"/>
          </w:tcPr>
          <w:p>
            <w:pPr>
              <w:pStyle w:val="231"/>
              <w:pageBreakBefore w:val="0"/>
              <w:widowControl w:val="0"/>
              <w:kinsoku/>
              <w:wordWrap/>
              <w:overflowPunct/>
              <w:topLinePunct w:val="0"/>
              <w:autoSpaceDE/>
              <w:autoSpaceDN/>
              <w:bidi w:val="0"/>
              <w:ind w:left="67" w:leftChars="0" w:hanging="9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w:t>
            </w:r>
          </w:p>
        </w:tc>
        <w:tc>
          <w:tcPr>
            <w:tcW w:w="2050" w:type="dxa"/>
            <w:noWrap w:val="0"/>
            <w:vAlign w:val="center"/>
          </w:tcPr>
          <w:p>
            <w:pPr>
              <w:pStyle w:val="231"/>
              <w:pageBreakBefore w:val="0"/>
              <w:widowControl w:val="0"/>
              <w:kinsoku/>
              <w:wordWrap/>
              <w:overflowPunct/>
              <w:topLinePunct w:val="0"/>
              <w:autoSpaceDE/>
              <w:autoSpaceDN/>
              <w:bidi w:val="0"/>
              <w:ind w:left="67" w:leftChars="0" w:hanging="90"/>
              <w:textAlignment w:val="auto"/>
              <w:outlineLvl w:val="9"/>
              <w:rPr>
                <w:rFonts w:hint="eastAsia" w:ascii="宋体" w:hAnsi="宋体" w:eastAsia="宋体" w:cs="宋体"/>
                <w:color w:val="000000"/>
                <w:sz w:val="21"/>
                <w:szCs w:val="21"/>
                <w:highlight w:val="none"/>
                <w:vertAlign w:val="superscript"/>
              </w:rPr>
            </w:pPr>
            <w:r>
              <w:rPr>
                <w:rFonts w:hint="eastAsia" w:ascii="宋体" w:hAnsi="宋体" w:eastAsia="宋体" w:cs="宋体"/>
                <w:color w:val="000000"/>
                <w:sz w:val="21"/>
                <w:szCs w:val="21"/>
                <w:highlight w:val="none"/>
              </w:rPr>
              <w:t>1.6×10</w:t>
            </w:r>
            <w:r>
              <w:rPr>
                <w:rFonts w:hint="eastAsia" w:ascii="宋体" w:hAnsi="宋体" w:eastAsia="宋体" w:cs="宋体"/>
                <w:color w:val="000000"/>
                <w:sz w:val="21"/>
                <w:szCs w:val="21"/>
                <w:highlight w:val="none"/>
                <w:vertAlign w:val="superscript"/>
              </w:rPr>
              <w:t>8</w:t>
            </w:r>
          </w:p>
        </w:tc>
      </w:tr>
    </w:tbl>
    <w:p>
      <w:pPr>
        <w:keepNext w:val="0"/>
        <w:keepLines w:val="0"/>
        <w:pageBreakBefore w:val="0"/>
        <w:widowControl w:val="0"/>
        <w:kinsoku/>
        <w:wordWrap/>
        <w:overflowPunct/>
        <w:topLinePunct w:val="0"/>
        <w:autoSpaceDE/>
        <w:autoSpaceDN/>
        <w:bidi w:val="0"/>
        <w:adjustRightInd/>
        <w:snapToGrid/>
        <w:spacing w:line="480" w:lineRule="atLeast"/>
        <w:ind w:left="0" w:leftChars="0" w:firstLine="422" w:firstLineChars="200"/>
        <w:textAlignment w:val="auto"/>
        <w:outlineLvl w:val="9"/>
        <w:rPr>
          <w:rFonts w:hint="eastAsia" w:ascii="宋体" w:hAnsi="宋体" w:eastAsia="宋体" w:cs="宋体"/>
          <w:b w:val="0"/>
          <w:color w:val="000000"/>
          <w:sz w:val="21"/>
          <w:szCs w:val="21"/>
          <w:highlight w:val="none"/>
        </w:rPr>
      </w:pPr>
      <w:r>
        <w:rPr>
          <w:rFonts w:hint="eastAsia" w:ascii="宋体" w:hAnsi="宋体" w:eastAsia="宋体" w:cs="宋体"/>
          <w:b/>
          <w:bCs/>
          <w:color w:val="000000"/>
          <w:sz w:val="21"/>
          <w:szCs w:val="21"/>
          <w:highlight w:val="none"/>
        </w:rPr>
        <w:t>2、污水水量</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缙云县中医医院迁建工程项目建成后拥有床位258张，根据《医院污水处理工程技术规范》，拥有100张到499张床位的中型医院，日平均污水量为q=300—400L/床.d；日变化系数K</w:t>
      </w:r>
      <w:r>
        <w:rPr>
          <w:rFonts w:hint="eastAsia" w:ascii="宋体" w:hAnsi="宋体" w:eastAsia="宋体" w:cs="宋体"/>
          <w:color w:val="000000"/>
          <w:sz w:val="21"/>
          <w:szCs w:val="21"/>
          <w:highlight w:val="none"/>
          <w:vertAlign w:val="subscript"/>
        </w:rPr>
        <w:t>d</w:t>
      </w:r>
      <w:r>
        <w:rPr>
          <w:rFonts w:hint="eastAsia" w:ascii="宋体" w:hAnsi="宋体" w:eastAsia="宋体" w:cs="宋体"/>
          <w:color w:val="000000"/>
          <w:sz w:val="21"/>
          <w:szCs w:val="21"/>
          <w:highlight w:val="none"/>
        </w:rPr>
        <w:t>=2.2—2.5。按该院规划，尚有一定的发展空间，废水处理应预留相应的处理能力，根据该项目环境影响报告书并结合《医院污水处理工程技术规范》，则该院日最大排水量为400L/床.d×2.5×258床=258m</w:t>
      </w:r>
      <w:r>
        <w:rPr>
          <w:rFonts w:hint="eastAsia" w:ascii="宋体" w:hAnsi="宋体" w:eastAsia="宋体" w:cs="宋体"/>
          <w:color w:val="000000"/>
          <w:sz w:val="21"/>
          <w:szCs w:val="21"/>
          <w:highlight w:val="none"/>
          <w:vertAlign w:val="superscript"/>
        </w:rPr>
        <w:t>3</w:t>
      </w:r>
      <w:r>
        <w:rPr>
          <w:rFonts w:hint="eastAsia" w:ascii="宋体" w:hAnsi="宋体" w:eastAsia="宋体" w:cs="宋体"/>
          <w:color w:val="000000"/>
          <w:sz w:val="21"/>
          <w:szCs w:val="21"/>
          <w:highlight w:val="none"/>
        </w:rPr>
        <w:t>。根据院方要求结合综上所述，本设计处理能力为11.5m</w:t>
      </w:r>
      <w:r>
        <w:rPr>
          <w:rFonts w:hint="eastAsia" w:ascii="宋体" w:hAnsi="宋体" w:eastAsia="宋体" w:cs="宋体"/>
          <w:color w:val="000000"/>
          <w:sz w:val="21"/>
          <w:szCs w:val="21"/>
          <w:highlight w:val="none"/>
          <w:vertAlign w:val="superscript"/>
        </w:rPr>
        <w:t>3</w:t>
      </w:r>
      <w:r>
        <w:rPr>
          <w:rFonts w:hint="eastAsia" w:ascii="宋体" w:hAnsi="宋体" w:eastAsia="宋体" w:cs="宋体"/>
          <w:color w:val="000000"/>
          <w:sz w:val="21"/>
          <w:szCs w:val="21"/>
          <w:highlight w:val="none"/>
        </w:rPr>
        <w:t>/h，最大日处理量为280m</w:t>
      </w:r>
      <w:r>
        <w:rPr>
          <w:rFonts w:hint="eastAsia" w:ascii="宋体" w:hAnsi="宋体" w:eastAsia="宋体" w:cs="宋体"/>
          <w:color w:val="000000"/>
          <w:sz w:val="21"/>
          <w:szCs w:val="21"/>
          <w:highlight w:val="none"/>
          <w:vertAlign w:val="superscript"/>
        </w:rPr>
        <w:t>3</w:t>
      </w:r>
      <w:r>
        <w:rPr>
          <w:rFonts w:hint="eastAsia" w:ascii="宋体" w:hAnsi="宋体" w:eastAsia="宋体" w:cs="宋体"/>
          <w:color w:val="000000"/>
          <w:sz w:val="21"/>
          <w:szCs w:val="21"/>
          <w:highlight w:val="none"/>
        </w:rPr>
        <w:t>。</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2" w:firstLineChars="200"/>
        <w:textAlignment w:val="auto"/>
        <w:outlineLvl w:val="9"/>
        <w:rPr>
          <w:rFonts w:hint="eastAsia" w:ascii="宋体" w:hAnsi="宋体" w:eastAsia="宋体" w:cs="宋体"/>
          <w:b w:val="0"/>
          <w:color w:val="000000"/>
          <w:sz w:val="21"/>
          <w:szCs w:val="21"/>
          <w:highlight w:val="none"/>
        </w:rPr>
      </w:pPr>
      <w:r>
        <w:rPr>
          <w:rFonts w:hint="eastAsia" w:ascii="宋体" w:hAnsi="宋体" w:eastAsia="宋体" w:cs="宋体"/>
          <w:b/>
          <w:bCs/>
          <w:color w:val="000000"/>
          <w:sz w:val="21"/>
          <w:szCs w:val="21"/>
          <w:highlight w:val="none"/>
        </w:rPr>
        <w:t>3、处理工艺</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根据《医院污水处理工程技术规范》及环评，该院废水处理采用“分质预处理+集中处理”的方式进行。</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3.1分质预处理</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对不能直接纳入污水处理站统一处理的废水，如传染病区废水、放射性废水，应按废水水质，采取单独预处理、回收、委托处理等方法进行。具体方法为：</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default" w:ascii="宋体" w:hAnsi="宋体" w:eastAsia="宋体" w:cs="宋体"/>
          <w:color w:val="000000"/>
          <w:kern w:val="2"/>
          <w:sz w:val="21"/>
          <w:szCs w:val="21"/>
          <w:highlight w:val="none"/>
          <w:lang w:val="en-US" w:eastAsia="zh-CN" w:bidi="ar-SA"/>
        </w:rPr>
        <w:t>a.</w:t>
      </w:r>
      <w:r>
        <w:rPr>
          <w:rFonts w:hint="eastAsia" w:ascii="宋体" w:hAnsi="宋体" w:eastAsia="宋体" w:cs="宋体"/>
          <w:color w:val="000000"/>
          <w:sz w:val="21"/>
          <w:szCs w:val="21"/>
          <w:highlight w:val="none"/>
        </w:rPr>
        <w:t>化验室废水</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水量少，酸液中和处理后，纳入废水处理系统。</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default" w:ascii="宋体" w:hAnsi="宋体" w:eastAsia="宋体" w:cs="宋体"/>
          <w:color w:val="000000"/>
          <w:kern w:val="2"/>
          <w:sz w:val="21"/>
          <w:szCs w:val="21"/>
          <w:highlight w:val="none"/>
          <w:lang w:val="en-US" w:eastAsia="zh-CN" w:bidi="ar-SA"/>
        </w:rPr>
        <w:t>b.</w:t>
      </w:r>
      <w:r>
        <w:rPr>
          <w:rFonts w:hint="eastAsia" w:ascii="宋体" w:hAnsi="宋体" w:eastAsia="宋体" w:cs="宋体"/>
          <w:color w:val="000000"/>
          <w:sz w:val="21"/>
          <w:szCs w:val="21"/>
          <w:highlight w:val="none"/>
        </w:rPr>
        <w:t>放射性废水</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采用衰变池（地埋式、钢砼），按放射元素种类及半衰期设计池体大小及停留时间。</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default" w:ascii="宋体" w:hAnsi="宋体" w:eastAsia="宋体" w:cs="宋体"/>
          <w:color w:val="000000"/>
          <w:kern w:val="2"/>
          <w:sz w:val="21"/>
          <w:szCs w:val="21"/>
          <w:highlight w:val="none"/>
          <w:lang w:val="en-US" w:eastAsia="zh-CN" w:bidi="ar-SA"/>
        </w:rPr>
        <w:t>c.</w:t>
      </w:r>
      <w:r>
        <w:rPr>
          <w:rFonts w:hint="eastAsia" w:ascii="宋体" w:hAnsi="宋体" w:eastAsia="宋体" w:cs="宋体"/>
          <w:color w:val="000000"/>
          <w:sz w:val="21"/>
          <w:szCs w:val="21"/>
          <w:highlight w:val="none"/>
        </w:rPr>
        <w:t>过期废药剂、药液</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不能直接倒入污水收集管道，应收集后送有资质的专业危险废物处理公司处理。</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d.食堂废水</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经格栅、隔油后纳入废水处理系统。</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e.传染病房废水</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废水量约为20 m</w:t>
      </w:r>
      <w:r>
        <w:rPr>
          <w:rFonts w:hint="eastAsia" w:ascii="宋体" w:hAnsi="宋体" w:eastAsia="宋体" w:cs="宋体"/>
          <w:color w:val="000000"/>
          <w:sz w:val="21"/>
          <w:szCs w:val="21"/>
          <w:highlight w:val="none"/>
          <w:vertAlign w:val="superscript"/>
        </w:rPr>
        <w:t>3</w:t>
      </w:r>
      <w:r>
        <w:rPr>
          <w:rFonts w:hint="eastAsia" w:ascii="宋体" w:hAnsi="宋体" w:eastAsia="宋体" w:cs="宋体"/>
          <w:color w:val="000000"/>
          <w:sz w:val="21"/>
          <w:szCs w:val="21"/>
          <w:highlight w:val="none"/>
        </w:rPr>
        <w:t>/d,就地建预处理池，并设应急池，采用臭氧消毒，设计停留时间大于2小时，经预处理后纳入废水处理系统。</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3.2 集中处理工艺</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根据该院的水量、水质及排放标准，结合《缙云县中医医院迁建工程项目工程项目影响报告书》，参考同类型医院处理经验，采用《医院污水处理工程技术规范》中二级处理工艺，具体如下所示：</w:t>
      </w:r>
    </w:p>
    <w:p>
      <w:pPr>
        <w:pageBreakBefore w:val="0"/>
        <w:widowControl w:val="0"/>
        <w:kinsoku/>
        <w:wordWrap/>
        <w:overflowPunct/>
        <w:topLinePunct w:val="0"/>
        <w:autoSpaceDE/>
        <w:autoSpaceDN/>
        <w:bidi w:val="0"/>
        <w:spacing w:line="360" w:lineRule="auto"/>
        <w:ind w:left="213" w:leftChars="0" w:hanging="213" w:hangingChars="97"/>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drawing>
          <wp:inline distT="0" distB="0" distL="114300" distR="114300">
            <wp:extent cx="5836285" cy="3133090"/>
            <wp:effectExtent l="0" t="0" r="0" b="0"/>
            <wp:docPr id="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2"/>
                    <pic:cNvPicPr>
                      <a:picLocks noChangeAspect="1"/>
                    </pic:cNvPicPr>
                  </pic:nvPicPr>
                  <pic:blipFill>
                    <a:blip r:embed="rId12"/>
                    <a:stretch>
                      <a:fillRect/>
                    </a:stretch>
                  </pic:blipFill>
                  <pic:spPr>
                    <a:xfrm>
                      <a:off x="0" y="0"/>
                      <a:ext cx="5836285" cy="313309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z w:val="21"/>
          <w:szCs w:val="21"/>
          <w:highlight w:val="none"/>
        </w:rPr>
        <w:t>3.3 工艺流程说明</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z w:val="21"/>
          <w:szCs w:val="21"/>
          <w:highlight w:val="none"/>
        </w:rPr>
        <w:t>不需特殊处理的所有医疗</w:t>
      </w:r>
      <w:r>
        <w:rPr>
          <w:rFonts w:hint="eastAsia" w:ascii="宋体" w:hAnsi="宋体" w:eastAsia="宋体" w:cs="宋体"/>
          <w:color w:val="000000"/>
          <w:spacing w:val="5"/>
          <w:sz w:val="21"/>
          <w:szCs w:val="21"/>
          <w:highlight w:val="none"/>
        </w:rPr>
        <w:t>污水经化粪池消化后，出水经格栅去除大颗粒悬浮物，流入调节池，与预处理后的特殊废水（感染楼、检验科、食堂）一并混合均衡水质水量；污水经泵提升至水解酸化池，在缺氧菌的作用下，污水中的一些高分子有机物被分解成为小分子易降解的有机物，并将硝基氮转化为氮气；出水自流至好氧池，经液下曝气机充分曝气，在好氧菌的作用下，污水中的绝大部分有机物被吸收、转化或分解为CO</w:t>
      </w:r>
      <w:r>
        <w:rPr>
          <w:rFonts w:hint="eastAsia" w:ascii="宋体" w:hAnsi="宋体" w:eastAsia="宋体" w:cs="宋体"/>
          <w:color w:val="000000"/>
          <w:spacing w:val="5"/>
          <w:sz w:val="21"/>
          <w:szCs w:val="21"/>
          <w:highlight w:val="none"/>
          <w:vertAlign w:val="subscript"/>
        </w:rPr>
        <w:t>2</w:t>
      </w:r>
      <w:r>
        <w:rPr>
          <w:rFonts w:hint="eastAsia" w:ascii="宋体" w:hAnsi="宋体" w:eastAsia="宋体" w:cs="宋体"/>
          <w:color w:val="000000"/>
          <w:spacing w:val="5"/>
          <w:sz w:val="21"/>
          <w:szCs w:val="21"/>
          <w:highlight w:val="none"/>
        </w:rPr>
        <w:t>和H</w:t>
      </w:r>
      <w:r>
        <w:rPr>
          <w:rFonts w:hint="eastAsia" w:ascii="宋体" w:hAnsi="宋体" w:eastAsia="宋体" w:cs="宋体"/>
          <w:color w:val="000000"/>
          <w:spacing w:val="5"/>
          <w:sz w:val="21"/>
          <w:szCs w:val="21"/>
          <w:highlight w:val="none"/>
          <w:vertAlign w:val="subscript"/>
        </w:rPr>
        <w:t>2</w:t>
      </w:r>
      <w:r>
        <w:rPr>
          <w:rFonts w:hint="eastAsia" w:ascii="宋体" w:hAnsi="宋体" w:eastAsia="宋体" w:cs="宋体"/>
          <w:color w:val="000000"/>
          <w:spacing w:val="5"/>
          <w:sz w:val="21"/>
          <w:szCs w:val="21"/>
          <w:highlight w:val="none"/>
        </w:rPr>
        <w:t>O，从而使有机物得到降解；污水中的老化细菌随出水流入二沉池，利用沉淀池进行泥水分离，上清液自流进入消毒池，通过定量投加单过硫酸氢钾杀菌后达标排放。</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多余污泥除回流至生化池前端外，剩余污泥排至污泥池，经浓缩消毒处理后，定期由吸粪车抽走与化粪池污泥统一处理，污泥的消毒使用石灰等为消毒剂。</w:t>
      </w:r>
    </w:p>
    <w:p>
      <w:pPr>
        <w:keepNext w:val="0"/>
        <w:keepLines w:val="0"/>
        <w:pageBreakBefore w:val="0"/>
        <w:widowControl w:val="0"/>
        <w:kinsoku/>
        <w:wordWrap/>
        <w:overflowPunct/>
        <w:topLinePunct w:val="0"/>
        <w:autoSpaceDE/>
        <w:autoSpaceDN/>
        <w:bidi w:val="0"/>
        <w:adjustRightInd/>
        <w:snapToGrid/>
        <w:spacing w:line="480" w:lineRule="atLeast"/>
        <w:ind w:left="0" w:leftChars="0" w:firstLine="420" w:firstLineChars="200"/>
        <w:textAlignment w:val="auto"/>
        <w:outlineLvl w:val="9"/>
        <w:rPr>
          <w:rFonts w:hint="eastAsia" w:ascii="宋体" w:hAnsi="宋体" w:eastAsia="宋体" w:cs="宋体"/>
          <w:b w:val="0"/>
          <w:color w:val="000000"/>
          <w:sz w:val="21"/>
          <w:szCs w:val="21"/>
          <w:highlight w:val="none"/>
        </w:rPr>
      </w:pPr>
      <w:r>
        <w:rPr>
          <w:rFonts w:hint="eastAsia" w:ascii="宋体" w:hAnsi="宋体" w:eastAsia="宋体" w:cs="宋体"/>
          <w:b w:val="0"/>
          <w:color w:val="000000"/>
          <w:sz w:val="21"/>
          <w:szCs w:val="21"/>
          <w:highlight w:val="none"/>
        </w:rPr>
        <w:t>3.4预期处理效果</w:t>
      </w:r>
    </w:p>
    <w:tbl>
      <w:tblPr>
        <w:tblStyle w:val="43"/>
        <w:tblW w:w="0" w:type="auto"/>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83"/>
        <w:gridCol w:w="1745"/>
        <w:gridCol w:w="1800"/>
        <w:gridCol w:w="1835"/>
        <w:gridCol w:w="1693"/>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Pr>
        <w:tc>
          <w:tcPr>
            <w:tcW w:w="178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p>
        </w:tc>
        <w:tc>
          <w:tcPr>
            <w:tcW w:w="174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调节池</w:t>
            </w:r>
          </w:p>
        </w:tc>
        <w:tc>
          <w:tcPr>
            <w:tcW w:w="180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水解池</w:t>
            </w:r>
          </w:p>
        </w:tc>
        <w:tc>
          <w:tcPr>
            <w:tcW w:w="18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好氧池</w:t>
            </w:r>
          </w:p>
        </w:tc>
        <w:tc>
          <w:tcPr>
            <w:tcW w:w="16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沉淀池</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Pr>
        <w:tc>
          <w:tcPr>
            <w:tcW w:w="178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COD</w:t>
            </w:r>
            <w:r>
              <w:rPr>
                <w:rFonts w:hint="eastAsia" w:ascii="宋体" w:hAnsi="宋体" w:eastAsia="宋体" w:cs="宋体"/>
                <w:bCs/>
                <w:color w:val="000000"/>
                <w:spacing w:val="5"/>
                <w:sz w:val="21"/>
                <w:szCs w:val="21"/>
                <w:highlight w:val="none"/>
                <w:vertAlign w:val="subscript"/>
              </w:rPr>
              <w:t>cr</w:t>
            </w:r>
            <w:r>
              <w:rPr>
                <w:rFonts w:hint="eastAsia" w:ascii="宋体" w:hAnsi="宋体" w:eastAsia="宋体" w:cs="宋体"/>
                <w:bCs/>
                <w:color w:val="000000"/>
                <w:spacing w:val="5"/>
                <w:sz w:val="21"/>
                <w:szCs w:val="21"/>
                <w:highlight w:val="none"/>
              </w:rPr>
              <w:t>(mg/L)</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bCs/>
                <w:color w:val="000000"/>
                <w:spacing w:val="5"/>
                <w:sz w:val="21"/>
                <w:szCs w:val="21"/>
                <w:highlight w:val="none"/>
              </w:rPr>
              <w:t>去除率（％）</w:t>
            </w:r>
          </w:p>
        </w:tc>
        <w:tc>
          <w:tcPr>
            <w:tcW w:w="174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350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p>
        </w:tc>
        <w:tc>
          <w:tcPr>
            <w:tcW w:w="180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210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40</w:t>
            </w:r>
          </w:p>
        </w:tc>
        <w:tc>
          <w:tcPr>
            <w:tcW w:w="18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63</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70</w:t>
            </w:r>
          </w:p>
        </w:tc>
        <w:tc>
          <w:tcPr>
            <w:tcW w:w="16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57</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Pr>
        <w:tc>
          <w:tcPr>
            <w:tcW w:w="178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BOD</w:t>
            </w:r>
            <w:r>
              <w:rPr>
                <w:rFonts w:hint="eastAsia" w:ascii="宋体" w:hAnsi="宋体" w:eastAsia="宋体" w:cs="宋体"/>
                <w:bCs/>
                <w:color w:val="000000"/>
                <w:spacing w:val="5"/>
                <w:sz w:val="21"/>
                <w:szCs w:val="21"/>
                <w:highlight w:val="none"/>
                <w:vertAlign w:val="subscript"/>
              </w:rPr>
              <w:t xml:space="preserve">5 </w:t>
            </w:r>
            <w:r>
              <w:rPr>
                <w:rFonts w:hint="eastAsia" w:ascii="宋体" w:hAnsi="宋体" w:eastAsia="宋体" w:cs="宋体"/>
                <w:bCs/>
                <w:color w:val="000000"/>
                <w:spacing w:val="5"/>
                <w:sz w:val="21"/>
                <w:szCs w:val="21"/>
                <w:highlight w:val="none"/>
              </w:rPr>
              <w:t>(mg/L)</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bCs/>
                <w:color w:val="000000"/>
                <w:spacing w:val="5"/>
                <w:sz w:val="21"/>
                <w:szCs w:val="21"/>
                <w:highlight w:val="none"/>
              </w:rPr>
              <w:t>去除率（％）</w:t>
            </w:r>
          </w:p>
        </w:tc>
        <w:tc>
          <w:tcPr>
            <w:tcW w:w="174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200</w:t>
            </w:r>
          </w:p>
        </w:tc>
        <w:tc>
          <w:tcPr>
            <w:tcW w:w="180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120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40</w:t>
            </w:r>
          </w:p>
        </w:tc>
        <w:tc>
          <w:tcPr>
            <w:tcW w:w="18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24</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80</w:t>
            </w:r>
          </w:p>
        </w:tc>
        <w:tc>
          <w:tcPr>
            <w:tcW w:w="16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19</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20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Pr>
        <w:tc>
          <w:tcPr>
            <w:tcW w:w="178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bCs/>
                <w:color w:val="000000"/>
                <w:spacing w:val="5"/>
                <w:sz w:val="21"/>
                <w:szCs w:val="21"/>
                <w:highlight w:val="none"/>
              </w:rPr>
              <w:t>SS（mg/L）</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bCs/>
                <w:color w:val="000000"/>
                <w:spacing w:val="5"/>
                <w:sz w:val="21"/>
                <w:szCs w:val="21"/>
                <w:highlight w:val="none"/>
              </w:rPr>
              <w:t>去除率（％）</w:t>
            </w:r>
          </w:p>
        </w:tc>
        <w:tc>
          <w:tcPr>
            <w:tcW w:w="174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120</w:t>
            </w:r>
          </w:p>
        </w:tc>
        <w:tc>
          <w:tcPr>
            <w:tcW w:w="180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p>
        </w:tc>
        <w:tc>
          <w:tcPr>
            <w:tcW w:w="18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p>
        </w:tc>
        <w:tc>
          <w:tcPr>
            <w:tcW w:w="16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12</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90</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cantSplit/>
        </w:trPr>
        <w:tc>
          <w:tcPr>
            <w:tcW w:w="178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color w:val="000000"/>
                <w:sz w:val="21"/>
                <w:szCs w:val="21"/>
                <w:highlight w:val="none"/>
              </w:rPr>
              <w:t>NH</w:t>
            </w:r>
            <w:r>
              <w:rPr>
                <w:rFonts w:hint="eastAsia" w:ascii="宋体" w:hAnsi="宋体" w:eastAsia="宋体" w:cs="宋体"/>
                <w:color w:val="000000"/>
                <w:sz w:val="21"/>
                <w:szCs w:val="21"/>
                <w:highlight w:val="none"/>
                <w:vertAlign w:val="subscript"/>
              </w:rPr>
              <w:t>3</w:t>
            </w:r>
            <w:r>
              <w:rPr>
                <w:rFonts w:hint="eastAsia" w:ascii="宋体" w:hAnsi="宋体" w:eastAsia="宋体" w:cs="宋体"/>
                <w:color w:val="000000"/>
                <w:sz w:val="21"/>
                <w:szCs w:val="21"/>
                <w:highlight w:val="none"/>
              </w:rPr>
              <w:t>-N</w:t>
            </w:r>
            <w:r>
              <w:rPr>
                <w:rFonts w:hint="eastAsia" w:ascii="宋体" w:hAnsi="宋体" w:eastAsia="宋体" w:cs="宋体"/>
                <w:bCs/>
                <w:color w:val="000000"/>
                <w:spacing w:val="5"/>
                <w:sz w:val="21"/>
                <w:szCs w:val="21"/>
                <w:highlight w:val="none"/>
              </w:rPr>
              <w:t>（mg/L）</w:t>
            </w:r>
          </w:p>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bCs/>
                <w:color w:val="000000"/>
                <w:spacing w:val="5"/>
                <w:sz w:val="21"/>
                <w:szCs w:val="21"/>
                <w:highlight w:val="none"/>
              </w:rPr>
              <w:t>去除率（％）</w:t>
            </w:r>
          </w:p>
        </w:tc>
        <w:tc>
          <w:tcPr>
            <w:tcW w:w="174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30</w:t>
            </w:r>
          </w:p>
        </w:tc>
        <w:tc>
          <w:tcPr>
            <w:tcW w:w="180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24</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20</w:t>
            </w:r>
          </w:p>
        </w:tc>
        <w:tc>
          <w:tcPr>
            <w:tcW w:w="18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12</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50</w:t>
            </w:r>
          </w:p>
        </w:tc>
        <w:tc>
          <w:tcPr>
            <w:tcW w:w="16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pacing w:val="5"/>
                <w:sz w:val="21"/>
                <w:szCs w:val="21"/>
                <w:highlight w:val="none"/>
              </w:rPr>
              <w:t>12</w:t>
            </w:r>
          </w:p>
        </w:tc>
      </w:tr>
    </w:tbl>
    <w:p>
      <w:pPr>
        <w:keepNext w:val="0"/>
        <w:keepLines w:val="0"/>
        <w:pageBreakBefore w:val="0"/>
        <w:widowControl w:val="0"/>
        <w:kinsoku/>
        <w:wordWrap/>
        <w:overflowPunct/>
        <w:topLinePunct w:val="0"/>
        <w:autoSpaceDE/>
        <w:autoSpaceDN/>
        <w:bidi w:val="0"/>
        <w:adjustRightInd/>
        <w:spacing w:line="480" w:lineRule="atLeast"/>
        <w:ind w:left="0" w:leftChars="0" w:firstLine="420" w:firstLineChars="200"/>
        <w:textAlignment w:val="auto"/>
        <w:outlineLvl w:val="9"/>
        <w:rPr>
          <w:rFonts w:hint="eastAsia" w:ascii="宋体" w:hAnsi="宋体" w:eastAsia="宋体" w:cs="宋体"/>
          <w:b w:val="0"/>
          <w:color w:val="000000"/>
          <w:sz w:val="21"/>
          <w:szCs w:val="21"/>
          <w:highlight w:val="none"/>
        </w:rPr>
      </w:pPr>
      <w:r>
        <w:rPr>
          <w:rFonts w:hint="eastAsia" w:ascii="宋体" w:hAnsi="宋体" w:eastAsia="宋体" w:cs="宋体"/>
          <w:b w:val="0"/>
          <w:color w:val="000000"/>
          <w:sz w:val="21"/>
          <w:szCs w:val="21"/>
          <w:highlight w:val="none"/>
        </w:rPr>
        <w:t>3.5排放标准</w:t>
      </w:r>
    </w:p>
    <w:p>
      <w:pPr>
        <w:keepNext w:val="0"/>
        <w:keepLines w:val="0"/>
        <w:pageBreakBefore w:val="0"/>
        <w:widowControl w:val="0"/>
        <w:kinsoku/>
        <w:wordWrap/>
        <w:overflowPunct/>
        <w:topLinePunct w:val="0"/>
        <w:autoSpaceDE/>
        <w:autoSpaceDN/>
        <w:bidi w:val="0"/>
        <w:adjustRightInd/>
        <w:snapToGrid w:val="0"/>
        <w:spacing w:line="480" w:lineRule="atLeast"/>
        <w:ind w:left="0" w:leftChars="0"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根据</w:t>
      </w:r>
      <w:r>
        <w:rPr>
          <w:rFonts w:hint="eastAsia" w:ascii="宋体" w:hAnsi="宋体" w:eastAsia="宋体" w:cs="宋体"/>
          <w:color w:val="000000"/>
          <w:spacing w:val="5"/>
          <w:sz w:val="21"/>
          <w:szCs w:val="21"/>
          <w:highlight w:val="none"/>
        </w:rPr>
        <w:t>当地环保部门的要求及环评批复，缙云县中医医院迁建工程项目产生的综合废水经处理达到</w:t>
      </w:r>
      <w:r>
        <w:rPr>
          <w:rFonts w:hint="eastAsia" w:ascii="宋体" w:hAnsi="宋体" w:eastAsia="宋体" w:cs="宋体"/>
          <w:color w:val="000000"/>
          <w:sz w:val="21"/>
          <w:szCs w:val="21"/>
          <w:highlight w:val="none"/>
        </w:rPr>
        <w:t>《医疗机构水污染物排放标准》</w:t>
      </w:r>
      <w:r>
        <w:rPr>
          <w:rFonts w:hint="eastAsia" w:ascii="宋体" w:hAnsi="宋体" w:eastAsia="宋体" w:cs="宋体"/>
          <w:color w:val="000000"/>
          <w:spacing w:val="5"/>
          <w:sz w:val="21"/>
          <w:szCs w:val="21"/>
          <w:highlight w:val="none"/>
        </w:rPr>
        <w:t>（</w:t>
      </w:r>
      <w:r>
        <w:rPr>
          <w:rFonts w:hint="eastAsia" w:ascii="宋体" w:hAnsi="宋体" w:eastAsia="宋体" w:cs="宋体"/>
          <w:color w:val="000000"/>
          <w:sz w:val="21"/>
          <w:szCs w:val="21"/>
          <w:highlight w:val="none"/>
        </w:rPr>
        <w:t>GB18466-2005）表2的预处理标准后</w:t>
      </w:r>
      <w:r>
        <w:rPr>
          <w:rFonts w:hint="eastAsia" w:ascii="宋体" w:hAnsi="宋体" w:eastAsia="宋体" w:cs="宋体"/>
          <w:color w:val="000000"/>
          <w:spacing w:val="5"/>
          <w:sz w:val="21"/>
          <w:szCs w:val="21"/>
          <w:highlight w:val="none"/>
        </w:rPr>
        <w:t>, 纳入城市污水管网，最终经缙云县城市污水处理厂统一处理达到《城镇污水处理厂污染物排放标准》（GB18918-2002）中的一级A标准后达标排放。</w:t>
      </w:r>
    </w:p>
    <w:p>
      <w:pPr>
        <w:keepLines w:val="0"/>
        <w:pageBreakBefore w:val="0"/>
        <w:widowControl w:val="0"/>
        <w:kinsoku/>
        <w:wordWrap/>
        <w:overflowPunct/>
        <w:topLinePunct w:val="0"/>
        <w:autoSpaceDE/>
        <w:autoSpaceDN/>
        <w:bidi w:val="0"/>
        <w:adjustRightInd/>
        <w:snapToGrid w:val="0"/>
        <w:spacing w:line="480" w:lineRule="atLeast"/>
        <w:ind w:left="0" w:leftChars="0" w:firstLine="420" w:firstLineChars="200"/>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z w:val="21"/>
          <w:szCs w:val="21"/>
          <w:highlight w:val="none"/>
        </w:rPr>
        <w:t>《医疗机构水污染物排放标准》（GB18466-2005）表2</w:t>
      </w:r>
      <w:r>
        <w:rPr>
          <w:rFonts w:hint="eastAsia" w:ascii="宋体" w:hAnsi="宋体" w:eastAsia="宋体" w:cs="宋体"/>
          <w:color w:val="000000"/>
          <w:spacing w:val="5"/>
          <w:sz w:val="21"/>
          <w:szCs w:val="21"/>
          <w:highlight w:val="none"/>
        </w:rPr>
        <w:t>预处理标准的相关水质指标如下：</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980"/>
        <w:gridCol w:w="1980"/>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序号</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指标</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限值</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CODcr</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≤250</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BOD</w:t>
            </w:r>
            <w:r>
              <w:rPr>
                <w:rFonts w:hint="eastAsia" w:ascii="宋体" w:hAnsi="宋体" w:eastAsia="宋体" w:cs="宋体"/>
                <w:color w:val="000000"/>
                <w:sz w:val="21"/>
                <w:szCs w:val="21"/>
                <w:highlight w:val="none"/>
                <w:vertAlign w:val="subscript"/>
              </w:rPr>
              <w:t>5</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SS</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≤60</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bCs/>
                <w:color w:val="000000"/>
                <w:spacing w:val="5"/>
                <w:sz w:val="21"/>
                <w:szCs w:val="21"/>
                <w:highlight w:val="none"/>
              </w:rPr>
            </w:pPr>
            <w:r>
              <w:rPr>
                <w:rFonts w:hint="eastAsia" w:ascii="宋体" w:hAnsi="宋体" w:eastAsia="宋体" w:cs="宋体"/>
                <w:color w:val="000000"/>
                <w:sz w:val="21"/>
                <w:szCs w:val="21"/>
                <w:highlight w:val="none"/>
              </w:rPr>
              <w:t>NH</w:t>
            </w:r>
            <w:r>
              <w:rPr>
                <w:rFonts w:hint="eastAsia" w:ascii="宋体" w:hAnsi="宋体" w:eastAsia="宋体" w:cs="宋体"/>
                <w:color w:val="000000"/>
                <w:sz w:val="21"/>
                <w:szCs w:val="21"/>
                <w:highlight w:val="none"/>
                <w:vertAlign w:val="subscript"/>
              </w:rPr>
              <w:t>3</w:t>
            </w:r>
            <w:r>
              <w:rPr>
                <w:rFonts w:hint="eastAsia" w:ascii="宋体" w:hAnsi="宋体" w:eastAsia="宋体" w:cs="宋体"/>
                <w:color w:val="000000"/>
                <w:sz w:val="21"/>
                <w:szCs w:val="21"/>
                <w:highlight w:val="none"/>
              </w:rPr>
              <w:t>-N</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≤35</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粪大肠菌群数</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≤5000</w:t>
            </w:r>
          </w:p>
        </w:tc>
        <w:tc>
          <w:tcPr>
            <w:tcW w:w="19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个/L</w:t>
            </w:r>
          </w:p>
        </w:tc>
      </w:tr>
    </w:tbl>
    <w:p>
      <w:pPr>
        <w:keepNext/>
        <w:keepLines/>
        <w:pageBreakBefore w:val="0"/>
        <w:widowControl w:val="0"/>
        <w:kinsoku/>
        <w:wordWrap/>
        <w:overflowPunct/>
        <w:topLinePunct w:val="0"/>
        <w:autoSpaceDE/>
        <w:autoSpaceDN/>
        <w:bidi w:val="0"/>
        <w:adjustRightInd/>
        <w:snapToGrid/>
        <w:spacing w:line="480" w:lineRule="exact"/>
        <w:ind w:left="0" w:leftChars="0" w:firstLine="422" w:firstLineChars="200"/>
        <w:textAlignment w:val="auto"/>
        <w:outlineLvl w:val="9"/>
        <w:rPr>
          <w:rFonts w:hint="eastAsia" w:cs="宋体"/>
          <w:color w:val="auto"/>
          <w:sz w:val="21"/>
          <w:szCs w:val="21"/>
          <w:highlight w:val="none"/>
        </w:rPr>
      </w:pPr>
      <w:r>
        <w:rPr>
          <w:rFonts w:hint="eastAsia" w:cs="宋体"/>
          <w:b/>
          <w:bCs/>
          <w:color w:val="auto"/>
          <w:sz w:val="21"/>
          <w:szCs w:val="21"/>
          <w:highlight w:val="none"/>
          <w:lang w:eastAsia="zh-CN"/>
        </w:rPr>
        <w:t>四</w:t>
      </w:r>
      <w:r>
        <w:rPr>
          <w:rFonts w:hint="eastAsia" w:cs="宋体"/>
          <w:b/>
          <w:bCs/>
          <w:color w:val="auto"/>
          <w:sz w:val="21"/>
          <w:szCs w:val="21"/>
          <w:highlight w:val="none"/>
        </w:rPr>
        <w:t>、主要设备材料配置清单</w:t>
      </w:r>
    </w:p>
    <w:tbl>
      <w:tblPr>
        <w:tblStyle w:val="44"/>
        <w:tblW w:w="90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331"/>
        <w:gridCol w:w="3986"/>
        <w:gridCol w:w="875"/>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bookmarkStart w:id="29" w:name="_Toc536370142"/>
            <w:r>
              <w:rPr>
                <w:rFonts w:hint="eastAsia" w:ascii="宋体" w:hAnsi="宋体" w:eastAsia="宋体" w:cs="宋体"/>
                <w:color w:val="000000"/>
                <w:sz w:val="21"/>
                <w:szCs w:val="21"/>
                <w:highlight w:val="none"/>
              </w:rPr>
              <w:t>序号</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名称</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bCs/>
                <w:caps/>
                <w:color w:val="000000"/>
                <w:sz w:val="21"/>
                <w:szCs w:val="21"/>
                <w:highlight w:val="none"/>
              </w:rPr>
              <w:t>型号</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bCs/>
                <w:caps/>
                <w:color w:val="000000"/>
                <w:sz w:val="21"/>
                <w:szCs w:val="21"/>
                <w:highlight w:val="none"/>
              </w:rPr>
              <w:t>数量</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一</w:t>
            </w:r>
          </w:p>
        </w:tc>
        <w:tc>
          <w:tcPr>
            <w:tcW w:w="7192" w:type="dxa"/>
            <w:gridSpan w:val="3"/>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预处理系统（感染楼）</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粗格栅</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1000mm×800mm×10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304不锈钢（含支座，碳钢）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格栅池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细格栅</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1000 mm×800mm×5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304不锈钢（含支座，碳钢）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格栅池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提升泵</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QW25-10-3-0.75；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N=0.75kw；扬程：10m；流量：3m³/h；调节池内提升泵与臭氧消毒系统联动控制</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调节池</w:t>
            </w:r>
          </w:p>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应急池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液位控制器</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**-2型</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调节池</w:t>
            </w:r>
          </w:p>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应急池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臭氧消毒系统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HMS—200（氧气源）；与调节池提升泵联动控制；消毒管接至消毒池</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操作房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配电控制系统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非标（含电缆、电控设备及1个304不锈钢配电箱700×600×250）</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操作房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二</w:t>
            </w:r>
          </w:p>
        </w:tc>
        <w:tc>
          <w:tcPr>
            <w:tcW w:w="7192"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预处理系统（检验科）</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粗格栅</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1000mm×800mm×10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304不锈钢（含支座，碳钢）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格栅池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细格栅</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1000 mm×800mm×5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304不锈钢（含支座，碳钢）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格栅池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提升泵</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QW25-10-3-0.75；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N=0.75kw；扬程：10m；流量：3m³/h；与处理系统联动控制</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调节池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液位控制器</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**-2型</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调节池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处理系统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LSTD—SY—100（一体化：收集＋加药＋沉淀）；</w:t>
            </w:r>
            <w:r>
              <w:rPr>
                <w:rFonts w:hint="eastAsia" w:ascii="宋体" w:hAnsi="宋体" w:eastAsia="宋体" w:cs="宋体"/>
                <w:color w:val="000000"/>
                <w:sz w:val="21"/>
                <w:szCs w:val="21"/>
                <w:highlight w:val="none"/>
              </w:rPr>
              <w:t>与提升泵联动控制，处理后出水接至终端处理池</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操作房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配电控制系统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非标（含电缆、电控设备及1个304不锈钢配电箱700×600×250）</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操作房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三</w:t>
            </w:r>
          </w:p>
        </w:tc>
        <w:tc>
          <w:tcPr>
            <w:tcW w:w="7192" w:type="dxa"/>
            <w:gridSpan w:val="3"/>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终端系统</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粗格栅</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1000mm×800mm×10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304不锈钢（含支座，碳钢）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格栅池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细格栅</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1000 mm×800mm×3</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304不锈钢（含支座，碳钢）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格栅池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提升泵</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QW50-15-10-1.5；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N=1.5kw；扬程：10m；流量：15 m³/h；调节池提升泵与消毒系统联动控制</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调节池</w:t>
            </w:r>
          </w:p>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应急池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液位控制器</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**-2型</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调节池</w:t>
            </w:r>
          </w:p>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应急池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污泥泵</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QW50-15-10-1.5；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N=1.5kw；扬程：10m；流量：15 m³/h；含时控操作系统</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沉淀池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污泥回流泵</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QW65-30-7-2.2；</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N=2.2kw；扬程：7m；流量：30 m³/h；含时控操作系统</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好氧池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潜水搅拌机</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QJB1.5</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N=1.5kw（带不锈钢导管）；含时控操作系统</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水解酸化池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pacing w:val="5"/>
                <w:sz w:val="21"/>
                <w:szCs w:val="21"/>
                <w:highlight w:val="none"/>
              </w:rPr>
              <w:t>8</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液下曝气机</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QXB4.0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N=4.0kw；含时控操作系统</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好氧池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pacing w:val="5"/>
                <w:sz w:val="21"/>
                <w:szCs w:val="21"/>
                <w:highlight w:val="none"/>
              </w:rPr>
            </w:pPr>
            <w:r>
              <w:rPr>
                <w:rFonts w:hint="eastAsia" w:ascii="宋体" w:hAnsi="宋体" w:eastAsia="宋体" w:cs="宋体"/>
                <w:color w:val="000000"/>
                <w:sz w:val="21"/>
                <w:szCs w:val="21"/>
                <w:highlight w:val="none"/>
              </w:rPr>
              <w:t>9</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pacing w:val="5"/>
                <w:sz w:val="21"/>
                <w:szCs w:val="21"/>
                <w:highlight w:val="none"/>
              </w:rPr>
              <w:t>消毒</w:t>
            </w:r>
            <w:r>
              <w:rPr>
                <w:rFonts w:hint="eastAsia" w:ascii="宋体" w:hAnsi="宋体" w:eastAsia="宋体" w:cs="宋体"/>
                <w:color w:val="000000"/>
                <w:sz w:val="21"/>
                <w:szCs w:val="21"/>
                <w:highlight w:val="none"/>
              </w:rPr>
              <w:t>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LSTD—XD—200（一体化设备）；与调节池提升泵联动控制</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操作房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组合填料</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Φ160mm</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200m</w:t>
            </w:r>
            <w:r>
              <w:rPr>
                <w:rFonts w:hint="eastAsia" w:ascii="宋体" w:hAnsi="宋体" w:eastAsia="宋体" w:cs="宋体"/>
                <w:color w:val="000000"/>
                <w:sz w:val="21"/>
                <w:szCs w:val="21"/>
                <w:highlight w:val="none"/>
                <w:vertAlign w:val="superscript"/>
              </w:rPr>
              <w:t>3</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水解酸化池、好氧池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填料支架</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非标（碳钢）</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水解酸化池、好氧池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12</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废气收集系统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Ø200UPVC（含外接、法兰、阀门等）</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终端处理池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13</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废气处理系统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活性炭吸附＋引风机（7.5KW）</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终端处理池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14</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安装配件</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国标</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污水处理系统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15</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配电控制系统</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非标（含电缆、电控设备及2个304不锈钢配电箱1800×800×400）</w:t>
            </w: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1套</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操作房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5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16</w:t>
            </w:r>
          </w:p>
        </w:tc>
        <w:tc>
          <w:tcPr>
            <w:tcW w:w="233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菌    种</w:t>
            </w:r>
          </w:p>
        </w:tc>
        <w:tc>
          <w:tcPr>
            <w:tcW w:w="39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p>
        </w:tc>
        <w:tc>
          <w:tcPr>
            <w:tcW w:w="87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1批</w:t>
            </w:r>
          </w:p>
        </w:tc>
        <w:tc>
          <w:tcPr>
            <w:tcW w:w="1134" w:type="dxa"/>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水解酸化池、好氧池</w:t>
            </w:r>
          </w:p>
        </w:tc>
      </w:tr>
      <w:bookmarkEnd w:id="29"/>
    </w:tbl>
    <w:p>
      <w:pPr>
        <w:keepNext/>
        <w:keepLines/>
        <w:pageBreakBefore w:val="0"/>
        <w:widowControl w:val="0"/>
        <w:kinsoku/>
        <w:wordWrap/>
        <w:overflowPunct/>
        <w:topLinePunct w:val="0"/>
        <w:autoSpaceDE/>
        <w:autoSpaceDN/>
        <w:bidi w:val="0"/>
        <w:spacing w:line="480" w:lineRule="exact"/>
        <w:ind w:left="0" w:leftChars="0" w:firstLine="422" w:firstLineChars="200"/>
        <w:textAlignment w:val="auto"/>
        <w:outlineLvl w:val="9"/>
        <w:rPr>
          <w:rFonts w:hint="eastAsia" w:cs="宋体"/>
          <w:b/>
          <w:bCs/>
          <w:color w:val="auto"/>
          <w:sz w:val="21"/>
          <w:szCs w:val="21"/>
          <w:highlight w:val="none"/>
        </w:rPr>
      </w:pPr>
      <w:r>
        <w:rPr>
          <w:rFonts w:hint="eastAsia" w:cs="宋体"/>
          <w:b/>
          <w:bCs/>
          <w:color w:val="auto"/>
          <w:sz w:val="21"/>
          <w:szCs w:val="21"/>
          <w:highlight w:val="none"/>
          <w:lang w:val="en-US" w:eastAsia="zh-CN"/>
        </w:rPr>
        <w:t>五</w:t>
      </w:r>
      <w:r>
        <w:rPr>
          <w:rFonts w:hint="eastAsia" w:cs="宋体"/>
          <w:b/>
          <w:bCs/>
          <w:color w:val="auto"/>
          <w:sz w:val="21"/>
          <w:szCs w:val="21"/>
          <w:highlight w:val="none"/>
        </w:rPr>
        <w:t>、工程实施要求</w:t>
      </w:r>
    </w:p>
    <w:p>
      <w:pPr>
        <w:pageBreakBefore w:val="0"/>
        <w:widowControl w:val="0"/>
        <w:kinsoku/>
        <w:wordWrap/>
        <w:overflowPunct/>
        <w:topLinePunct w:val="0"/>
        <w:autoSpaceDE/>
        <w:autoSpaceDN/>
        <w:bidi w:val="0"/>
        <w:spacing w:line="480" w:lineRule="exact"/>
        <w:ind w:left="0" w:leftChars="0" w:firstLine="422" w:firstLineChars="200"/>
        <w:textAlignment w:val="auto"/>
        <w:outlineLvl w:val="9"/>
        <w:rPr>
          <w:rFonts w:hint="eastAsia" w:cs="宋体"/>
          <w:b/>
          <w:bCs/>
          <w:color w:val="auto"/>
          <w:sz w:val="21"/>
          <w:szCs w:val="21"/>
          <w:highlight w:val="none"/>
        </w:rPr>
      </w:pPr>
      <w:r>
        <w:rPr>
          <w:rFonts w:hint="eastAsia" w:cs="宋体"/>
          <w:b/>
          <w:bCs/>
          <w:color w:val="auto"/>
          <w:sz w:val="21"/>
          <w:szCs w:val="21"/>
          <w:highlight w:val="none"/>
        </w:rPr>
        <w:t>1、设备的质量检验和试验</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1.1在设备制造期间，招标人有权在适当的时间到货物制造地质量检验和试验，但招标人监制并不解除</w:t>
      </w:r>
      <w:r>
        <w:rPr>
          <w:rFonts w:hint="eastAsia" w:cs="宋体"/>
          <w:color w:val="auto"/>
          <w:sz w:val="21"/>
          <w:szCs w:val="21"/>
          <w:highlight w:val="none"/>
          <w:lang w:eastAsia="zh-CN"/>
        </w:rPr>
        <w:t>供应商</w:t>
      </w:r>
      <w:r>
        <w:rPr>
          <w:rFonts w:hint="eastAsia" w:cs="宋体"/>
          <w:color w:val="auto"/>
          <w:sz w:val="21"/>
          <w:szCs w:val="21"/>
          <w:highlight w:val="none"/>
        </w:rPr>
        <w:t>对所有产品在制造质量上应负的全部责任，也不作为招标人的最终验收。在检验和试验期间，货物</w:t>
      </w:r>
      <w:r>
        <w:rPr>
          <w:rFonts w:hint="eastAsia" w:cs="宋体"/>
          <w:color w:val="auto"/>
          <w:sz w:val="21"/>
          <w:szCs w:val="21"/>
          <w:highlight w:val="none"/>
          <w:lang w:eastAsia="zh-CN"/>
        </w:rPr>
        <w:t>供应商</w:t>
      </w:r>
      <w:r>
        <w:rPr>
          <w:rFonts w:hint="eastAsia" w:cs="宋体"/>
          <w:color w:val="auto"/>
          <w:sz w:val="21"/>
          <w:szCs w:val="21"/>
          <w:highlight w:val="none"/>
        </w:rPr>
        <w:t>有责任提供有关设备包括各种数据、设备结构图和部件图的详细中文数据。</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 中标人须提供由招标人工程师认可的一整套检验标准和计划。所有检验应严格地按照认可的方式进行。在检验结束后，中标</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须提供必要的技术数据和图纸，并提交一份测试报告给招标人，但招标人的工厂检验并不解除</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对所有产品在制造质量上应负的全部责任。</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1.3主要部件和电气部件及设备总体的检验都应在工厂内结束。在检验结束后，</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须提供必要的技术数据和图纸。</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 当系统和设备需试验时，</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应至少在试验前14天以正式的书面形式通知招标人：何种试验将在何时何地进行。若招标人不能在指定的时间赶赴现场，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将进行试验并被视为招标人在现场进行，同时必须及时将试验报告副本送达招标人。</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1.5根据合同条款要求，所有检验和试验等费用都被认为包括在合同价中。若招标人需要，供货人应解释所有的试验事项，直至招标人满意，若系统在试验中未通过，二次试验费用将由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承担。</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2</w:t>
      </w:r>
      <w:r>
        <w:rPr>
          <w:rFonts w:hint="eastAsia" w:cs="宋体"/>
          <w:b/>
          <w:color w:val="auto"/>
          <w:sz w:val="21"/>
          <w:szCs w:val="21"/>
          <w:highlight w:val="none"/>
        </w:rPr>
        <w:t>、设备铭牌及标记</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每台设备都</w:t>
      </w:r>
      <w:r>
        <w:rPr>
          <w:rFonts w:hint="eastAsia" w:ascii="宋体" w:hAnsi="宋体" w:eastAsia="宋体" w:cs="宋体"/>
          <w:color w:val="auto"/>
          <w:sz w:val="21"/>
          <w:szCs w:val="21"/>
          <w:highlight w:val="none"/>
        </w:rPr>
        <w:t>应有</w:t>
      </w:r>
      <w:r>
        <w:rPr>
          <w:rFonts w:hint="eastAsia" w:cs="宋体"/>
          <w:color w:val="auto"/>
          <w:sz w:val="21"/>
          <w:szCs w:val="21"/>
          <w:highlight w:val="none"/>
        </w:rPr>
        <w:t>铭牌，其应标明在金属板上，并牢固地置于设备上，其应清楚的标明至少下列内容：制造商名称、设备名称及型号、制造年月、主要技术规格和参数、制造编号等。供货人提供的设备，其铭牌、使用标记、警示标记都应表示清楚。</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3</w:t>
      </w:r>
      <w:r>
        <w:rPr>
          <w:rFonts w:hint="eastAsia" w:cs="宋体"/>
          <w:b/>
          <w:color w:val="auto"/>
          <w:sz w:val="21"/>
          <w:szCs w:val="21"/>
          <w:highlight w:val="none"/>
        </w:rPr>
        <w:t>、工程质量标准</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3</w:t>
      </w:r>
      <w:r>
        <w:rPr>
          <w:rFonts w:hint="eastAsia" w:cs="宋体"/>
          <w:color w:val="auto"/>
          <w:sz w:val="21"/>
          <w:szCs w:val="21"/>
          <w:highlight w:val="none"/>
        </w:rPr>
        <w:t>.1工程质量符合</w:t>
      </w:r>
      <w:r>
        <w:rPr>
          <w:rFonts w:hint="eastAsia" w:ascii="宋体" w:hAnsi="宋体" w:eastAsia="宋体" w:cs="宋体"/>
          <w:color w:val="auto"/>
          <w:sz w:val="21"/>
          <w:szCs w:val="21"/>
          <w:highlight w:val="none"/>
        </w:rPr>
        <w:t>国家</w:t>
      </w:r>
      <w:r>
        <w:rPr>
          <w:rFonts w:hint="eastAsia" w:cs="宋体"/>
          <w:color w:val="auto"/>
          <w:sz w:val="21"/>
          <w:szCs w:val="21"/>
          <w:highlight w:val="none"/>
        </w:rPr>
        <w:t>相关最新标准的要求。</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、安全生产要求</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 xml:space="preserve">.1杜绝发生死亡事故；杜绝发生重伤及以上事故； </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 xml:space="preserve">.2隐患整改率100％；  </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5</w:t>
      </w:r>
      <w:r>
        <w:rPr>
          <w:rFonts w:hint="eastAsia" w:cs="宋体"/>
          <w:b/>
          <w:color w:val="auto"/>
          <w:sz w:val="21"/>
          <w:szCs w:val="21"/>
          <w:highlight w:val="none"/>
        </w:rPr>
        <w:t>、测试和试运行</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5</w:t>
      </w:r>
      <w:r>
        <w:rPr>
          <w:rFonts w:hint="eastAsia" w:cs="宋体"/>
          <w:color w:val="auto"/>
          <w:sz w:val="21"/>
          <w:szCs w:val="21"/>
          <w:highlight w:val="none"/>
        </w:rPr>
        <w:t>.l</w:t>
      </w:r>
      <w:r>
        <w:rPr>
          <w:rFonts w:hint="eastAsia" w:ascii="宋体" w:hAnsi="宋体" w:eastAsia="宋体" w:cs="宋体"/>
          <w:color w:val="auto"/>
          <w:sz w:val="21"/>
          <w:szCs w:val="21"/>
          <w:highlight w:val="none"/>
        </w:rPr>
        <w:t>工具</w:t>
      </w:r>
      <w:r>
        <w:rPr>
          <w:rFonts w:hint="eastAsia" w:cs="宋体"/>
          <w:color w:val="auto"/>
          <w:sz w:val="21"/>
          <w:szCs w:val="21"/>
          <w:highlight w:val="none"/>
        </w:rPr>
        <w:t>、</w:t>
      </w:r>
      <w:r>
        <w:rPr>
          <w:rFonts w:hint="eastAsia" w:ascii="宋体" w:hAnsi="宋体" w:eastAsia="宋体" w:cs="宋体"/>
          <w:color w:val="auto"/>
          <w:sz w:val="21"/>
          <w:szCs w:val="21"/>
          <w:highlight w:val="none"/>
        </w:rPr>
        <w:t>材料</w:t>
      </w:r>
      <w:r>
        <w:rPr>
          <w:rFonts w:hint="eastAsia" w:cs="宋体"/>
          <w:color w:val="auto"/>
          <w:sz w:val="21"/>
          <w:szCs w:val="21"/>
          <w:highlight w:val="none"/>
        </w:rPr>
        <w:t>、仪器设备和劳务人员</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应派有</w:t>
      </w:r>
      <w:r>
        <w:rPr>
          <w:rFonts w:hint="eastAsia" w:ascii="宋体" w:hAnsi="宋体" w:eastAsia="宋体" w:cs="宋体"/>
          <w:color w:val="auto"/>
          <w:sz w:val="21"/>
          <w:szCs w:val="21"/>
          <w:highlight w:val="none"/>
        </w:rPr>
        <w:t>五</w:t>
      </w:r>
      <w:r>
        <w:rPr>
          <w:rFonts w:hint="eastAsia" w:cs="宋体"/>
          <w:color w:val="auto"/>
          <w:sz w:val="21"/>
          <w:szCs w:val="21"/>
          <w:highlight w:val="none"/>
        </w:rPr>
        <w:t>年以上工作经验的工程师在现场负责调试和调试，以检测其设计、制造、运行效果等。并提供所有测试和调试所需的工具、材料、仪器和劳务人员。</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5</w:t>
      </w:r>
      <w:r>
        <w:rPr>
          <w:rFonts w:hint="eastAsia" w:cs="宋体"/>
          <w:color w:val="auto"/>
          <w:sz w:val="21"/>
          <w:szCs w:val="21"/>
          <w:highlight w:val="none"/>
        </w:rPr>
        <w:t>.2</w:t>
      </w:r>
      <w:r>
        <w:rPr>
          <w:rFonts w:hint="eastAsia" w:ascii="宋体" w:hAnsi="宋体" w:eastAsia="宋体" w:cs="宋体"/>
          <w:color w:val="auto"/>
          <w:sz w:val="21"/>
          <w:szCs w:val="21"/>
          <w:highlight w:val="none"/>
        </w:rPr>
        <w:t>程序</w:t>
      </w:r>
      <w:r>
        <w:rPr>
          <w:rFonts w:hint="eastAsia" w:cs="宋体"/>
          <w:color w:val="auto"/>
          <w:sz w:val="21"/>
          <w:szCs w:val="21"/>
          <w:highlight w:val="none"/>
        </w:rPr>
        <w:t>和表格</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投标</w:t>
      </w:r>
      <w:r>
        <w:rPr>
          <w:rFonts w:hint="eastAsia" w:ascii="宋体" w:hAnsi="宋体" w:eastAsia="宋体" w:cs="宋体"/>
          <w:color w:val="auto"/>
          <w:sz w:val="21"/>
          <w:szCs w:val="21"/>
          <w:highlight w:val="none"/>
        </w:rPr>
        <w:t>人</w:t>
      </w:r>
      <w:r>
        <w:rPr>
          <w:rFonts w:hint="eastAsia" w:cs="宋体"/>
          <w:color w:val="auto"/>
          <w:sz w:val="21"/>
          <w:szCs w:val="21"/>
          <w:highlight w:val="none"/>
        </w:rPr>
        <w:t>须在安装结束前2个星期，提交测试和调试方法及记录表格等全套完整资料给招标人，且得到招标人的认可和接受。</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5</w:t>
      </w:r>
      <w:r>
        <w:rPr>
          <w:rFonts w:hint="eastAsia" w:cs="宋体"/>
          <w:color w:val="auto"/>
          <w:sz w:val="21"/>
          <w:szCs w:val="21"/>
          <w:highlight w:val="none"/>
        </w:rPr>
        <w:t>.</w:t>
      </w:r>
      <w:r>
        <w:rPr>
          <w:rFonts w:hint="eastAsia" w:ascii="宋体" w:hAnsi="宋体" w:eastAsia="宋体" w:cs="宋体"/>
          <w:color w:val="auto"/>
          <w:sz w:val="21"/>
          <w:szCs w:val="21"/>
          <w:highlight w:val="none"/>
        </w:rPr>
        <w:t>3</w:t>
      </w:r>
      <w:r>
        <w:rPr>
          <w:rFonts w:hint="eastAsia" w:cs="宋体"/>
          <w:color w:val="auto"/>
          <w:sz w:val="21"/>
          <w:szCs w:val="21"/>
          <w:highlight w:val="none"/>
        </w:rPr>
        <w:t>测试</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当所有设备、材料和附件安装、施工完成后应进行现场测试以证明设备正确地安装、连接。所有测试和校正错误用仪器。设备应由投标人提供，所有费用应包括在投标报价内。</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所用这些仪器和设备需经</w:t>
      </w:r>
      <w:r>
        <w:rPr>
          <w:rFonts w:hint="eastAsia" w:ascii="宋体" w:hAnsi="宋体" w:eastAsia="宋体" w:cs="宋体"/>
          <w:color w:val="auto"/>
          <w:sz w:val="21"/>
          <w:szCs w:val="21"/>
          <w:highlight w:val="none"/>
          <w:lang w:eastAsia="zh-CN"/>
        </w:rPr>
        <w:t>招标人</w:t>
      </w:r>
      <w:r>
        <w:rPr>
          <w:rFonts w:hint="eastAsia" w:ascii="宋体" w:hAnsi="宋体" w:eastAsia="宋体" w:cs="宋体"/>
          <w:color w:val="auto"/>
          <w:sz w:val="21"/>
          <w:szCs w:val="21"/>
          <w:highlight w:val="none"/>
        </w:rPr>
        <w:t>和设计单位认可。</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所有在测试时所需地更换件、消耗件等应由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提供及装配。</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现场</w:t>
      </w:r>
      <w:r>
        <w:rPr>
          <w:rFonts w:hint="eastAsia" w:ascii="宋体" w:hAnsi="宋体" w:eastAsia="宋体" w:cs="宋体"/>
          <w:color w:val="auto"/>
          <w:sz w:val="21"/>
          <w:szCs w:val="21"/>
          <w:highlight w:val="none"/>
        </w:rPr>
        <w:t>测试</w:t>
      </w:r>
      <w:r>
        <w:rPr>
          <w:rFonts w:hint="eastAsia" w:cs="宋体"/>
          <w:color w:val="auto"/>
          <w:sz w:val="21"/>
          <w:szCs w:val="21"/>
          <w:highlight w:val="none"/>
        </w:rPr>
        <w:t>和试运行结柬后，</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向招标人提供详细自检报告，其结果必须符合验收标准地规定。</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5</w:t>
      </w:r>
      <w:r>
        <w:rPr>
          <w:rFonts w:hint="eastAsia" w:cs="宋体"/>
          <w:color w:val="auto"/>
          <w:sz w:val="21"/>
          <w:szCs w:val="21"/>
          <w:highlight w:val="none"/>
        </w:rPr>
        <w:t>.</w:t>
      </w:r>
      <w:r>
        <w:rPr>
          <w:rFonts w:hint="eastAsia" w:ascii="宋体" w:hAnsi="宋体" w:eastAsia="宋体" w:cs="宋体"/>
          <w:color w:val="auto"/>
          <w:sz w:val="21"/>
          <w:szCs w:val="21"/>
          <w:highlight w:val="none"/>
        </w:rPr>
        <w:t>4试运行</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在试运行</w:t>
      </w:r>
      <w:r>
        <w:rPr>
          <w:rFonts w:hint="eastAsia" w:ascii="宋体" w:hAnsi="宋体" w:eastAsia="宋体" w:cs="宋体"/>
          <w:color w:val="auto"/>
          <w:sz w:val="21"/>
          <w:szCs w:val="21"/>
          <w:highlight w:val="none"/>
        </w:rPr>
        <w:t>开始</w:t>
      </w:r>
      <w:r>
        <w:rPr>
          <w:rFonts w:hint="eastAsia" w:cs="宋体"/>
          <w:color w:val="auto"/>
          <w:sz w:val="21"/>
          <w:szCs w:val="21"/>
          <w:highlight w:val="none"/>
        </w:rPr>
        <w:t>前应提供试运行安排计划或工作流程，必须在有关部门及招标人、监理有关人员地监督下进行。试运行期间</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需常驻现场。</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6</w:t>
      </w:r>
      <w:r>
        <w:rPr>
          <w:rFonts w:hint="eastAsia" w:cs="宋体"/>
          <w:b/>
          <w:color w:val="auto"/>
          <w:sz w:val="21"/>
          <w:szCs w:val="21"/>
          <w:highlight w:val="none"/>
        </w:rPr>
        <w:t>、验收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为保证</w:t>
      </w:r>
      <w:r>
        <w:rPr>
          <w:rFonts w:hint="eastAsia" w:ascii="宋体" w:hAnsi="宋体" w:eastAsia="宋体" w:cs="宋体"/>
          <w:color w:val="auto"/>
          <w:sz w:val="21"/>
          <w:szCs w:val="21"/>
          <w:highlight w:val="none"/>
        </w:rPr>
        <w:t>工程质量</w:t>
      </w:r>
      <w:r>
        <w:rPr>
          <w:rFonts w:hint="eastAsia" w:cs="宋体"/>
          <w:color w:val="auto"/>
          <w:sz w:val="21"/>
          <w:szCs w:val="21"/>
          <w:highlight w:val="none"/>
        </w:rPr>
        <w:t>，验收按国家有关规范、标准及当地政府主管部门要求进行。</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验收</w:t>
      </w:r>
      <w:r>
        <w:rPr>
          <w:rFonts w:hint="eastAsia" w:ascii="宋体" w:hAnsi="宋体" w:eastAsia="宋体" w:cs="宋体"/>
          <w:color w:val="auto"/>
          <w:sz w:val="21"/>
          <w:szCs w:val="21"/>
          <w:highlight w:val="none"/>
        </w:rPr>
        <w:t>合格条件</w:t>
      </w:r>
      <w:r>
        <w:rPr>
          <w:rFonts w:hint="eastAsia" w:cs="宋体"/>
          <w:color w:val="auto"/>
          <w:sz w:val="21"/>
          <w:szCs w:val="21"/>
          <w:highlight w:val="none"/>
        </w:rPr>
        <w:t>为：</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（1）</w:t>
      </w:r>
      <w:r>
        <w:rPr>
          <w:rFonts w:hint="eastAsia" w:ascii="宋体" w:hAnsi="宋体" w:eastAsia="宋体" w:cs="宋体"/>
          <w:color w:val="auto"/>
          <w:sz w:val="21"/>
          <w:szCs w:val="21"/>
          <w:highlight w:val="none"/>
        </w:rPr>
        <w:t>运行</w:t>
      </w:r>
      <w:r>
        <w:rPr>
          <w:rFonts w:hint="eastAsia" w:cs="宋体"/>
          <w:color w:val="auto"/>
          <w:sz w:val="21"/>
          <w:szCs w:val="21"/>
          <w:highlight w:val="none"/>
        </w:rPr>
        <w:t>结果符合产品标准。技术规范和招标文件及合同要求：</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（2）所有规定的货物、材料、整套没备图纸及投术文件、竣工资料等都己提交并得到业主接受；</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（3）</w:t>
      </w:r>
      <w:r>
        <w:rPr>
          <w:rFonts w:hint="eastAsia" w:ascii="宋体" w:hAnsi="宋体" w:eastAsia="宋体" w:cs="宋体"/>
          <w:color w:val="auto"/>
          <w:sz w:val="21"/>
          <w:szCs w:val="21"/>
          <w:highlight w:val="none"/>
        </w:rPr>
        <w:t>整套</w:t>
      </w:r>
      <w:r>
        <w:rPr>
          <w:rFonts w:hint="eastAsia" w:cs="宋体"/>
          <w:color w:val="auto"/>
          <w:sz w:val="21"/>
          <w:szCs w:val="21"/>
          <w:highlight w:val="none"/>
        </w:rPr>
        <w:t>设备图纸及技术文档都已提交并得到接受；</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eastAsia="zh-CN"/>
        </w:rPr>
        <w:t>（</w:t>
      </w:r>
      <w:r>
        <w:rPr>
          <w:rFonts w:hint="eastAsia" w:cs="宋体"/>
          <w:color w:val="auto"/>
          <w:sz w:val="21"/>
          <w:szCs w:val="21"/>
          <w:highlight w:val="none"/>
        </w:rPr>
        <w:t>4）</w:t>
      </w:r>
      <w:r>
        <w:rPr>
          <w:rFonts w:hint="eastAsia" w:ascii="宋体" w:hAnsi="宋体" w:eastAsia="宋体" w:cs="宋体"/>
          <w:color w:val="auto"/>
          <w:sz w:val="21"/>
          <w:szCs w:val="21"/>
          <w:highlight w:val="none"/>
        </w:rPr>
        <w:t>整套</w:t>
      </w:r>
      <w:r>
        <w:rPr>
          <w:rFonts w:hint="eastAsia" w:cs="宋体"/>
          <w:color w:val="auto"/>
          <w:sz w:val="21"/>
          <w:szCs w:val="21"/>
          <w:highlight w:val="none"/>
        </w:rPr>
        <w:t>设备在交由使用人之前已通过试运行且验收合格。</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7</w:t>
      </w:r>
      <w:r>
        <w:rPr>
          <w:rFonts w:hint="eastAsia" w:cs="宋体"/>
          <w:b/>
          <w:color w:val="auto"/>
          <w:sz w:val="21"/>
          <w:szCs w:val="21"/>
          <w:highlight w:val="none"/>
        </w:rPr>
        <w:t>、技术培训</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7</w:t>
      </w:r>
      <w:r>
        <w:rPr>
          <w:rFonts w:hint="eastAsia" w:cs="宋体"/>
          <w:color w:val="auto"/>
          <w:sz w:val="21"/>
          <w:szCs w:val="21"/>
          <w:highlight w:val="none"/>
        </w:rPr>
        <w:t>.1</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须对招标人的技术人员，维修人员及操作人员进行免费培训，人数不少于10人。</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须在投标文件中提供详细地培训计划，包括培训内容、培训时间等。</w:t>
      </w:r>
    </w:p>
    <w:p>
      <w:pPr>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7</w:t>
      </w:r>
      <w:r>
        <w:rPr>
          <w:rFonts w:hint="eastAsia" w:cs="宋体"/>
          <w:color w:val="auto"/>
          <w:sz w:val="21"/>
          <w:szCs w:val="21"/>
          <w:highlight w:val="none"/>
        </w:rPr>
        <w:t xml:space="preserve">.2 </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提供的负责培训人员应具备同类产品5年以上的维修经验。</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8</w:t>
      </w:r>
      <w:r>
        <w:rPr>
          <w:rFonts w:hint="eastAsia" w:cs="宋体"/>
          <w:b/>
          <w:color w:val="auto"/>
          <w:sz w:val="21"/>
          <w:szCs w:val="21"/>
          <w:highlight w:val="none"/>
        </w:rPr>
        <w:t>、工程质量保证</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8</w:t>
      </w:r>
      <w:r>
        <w:rPr>
          <w:rFonts w:hint="eastAsia" w:cs="宋体"/>
          <w:color w:val="auto"/>
          <w:sz w:val="21"/>
          <w:szCs w:val="21"/>
          <w:highlight w:val="none"/>
        </w:rPr>
        <w:t>.1本</w:t>
      </w:r>
      <w:r>
        <w:rPr>
          <w:rFonts w:hint="eastAsia" w:ascii="宋体" w:hAnsi="宋体" w:eastAsia="宋体" w:cs="宋体"/>
          <w:color w:val="auto"/>
          <w:sz w:val="21"/>
          <w:szCs w:val="21"/>
          <w:highlight w:val="none"/>
        </w:rPr>
        <w:t>工程</w:t>
      </w:r>
      <w:r>
        <w:rPr>
          <w:rFonts w:hint="eastAsia" w:cs="宋体"/>
          <w:color w:val="auto"/>
          <w:sz w:val="21"/>
          <w:szCs w:val="21"/>
          <w:highlight w:val="none"/>
        </w:rPr>
        <w:t>的质量保修期不少于</w:t>
      </w:r>
      <w:r>
        <w:rPr>
          <w:rFonts w:hint="eastAsia" w:cs="宋体"/>
          <w:b/>
          <w:bCs/>
          <w:color w:val="auto"/>
          <w:sz w:val="21"/>
          <w:szCs w:val="21"/>
          <w:highlight w:val="none"/>
          <w:u w:val="single"/>
        </w:rPr>
        <w:t>24</w:t>
      </w:r>
      <w:r>
        <w:rPr>
          <w:rFonts w:hint="eastAsia" w:cs="宋体"/>
          <w:color w:val="auto"/>
          <w:sz w:val="21"/>
          <w:szCs w:val="21"/>
          <w:highlight w:val="none"/>
        </w:rPr>
        <w:t>个月（具体以承包人承诺时间为准），自验收合格并签署验收文件后开始计算。在质保期内发生的投标人责任范围内的一切部件更换及设备维修费用由投标人承担。</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8</w:t>
      </w:r>
      <w:r>
        <w:rPr>
          <w:rFonts w:hint="eastAsia" w:cs="宋体"/>
          <w:color w:val="auto"/>
          <w:sz w:val="21"/>
          <w:szCs w:val="21"/>
          <w:highlight w:val="none"/>
        </w:rPr>
        <w:t>.2在保修期内</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应保证所提供设备无故障开机运行，如达不到要求，保修期应顺延，并且投标人应赔偿招标人</w:t>
      </w:r>
      <w:r>
        <w:rPr>
          <w:rFonts w:hint="eastAsia" w:ascii="宋体" w:hAnsi="宋体" w:eastAsia="宋体" w:cs="宋体"/>
          <w:color w:val="auto"/>
          <w:sz w:val="21"/>
          <w:szCs w:val="21"/>
          <w:highlight w:val="none"/>
        </w:rPr>
        <w:t>经济</w:t>
      </w:r>
      <w:r>
        <w:rPr>
          <w:rFonts w:hint="eastAsia" w:cs="宋体"/>
          <w:color w:val="auto"/>
          <w:sz w:val="21"/>
          <w:szCs w:val="21"/>
          <w:highlight w:val="none"/>
        </w:rPr>
        <w:t>损失。对保修期内的维修服务，</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应在接到买方通知后2小时内赶到现场，无偿负责设备的调试、</w:t>
      </w:r>
      <w:r>
        <w:rPr>
          <w:rFonts w:hint="eastAsia" w:ascii="宋体" w:hAnsi="宋体" w:eastAsia="宋体" w:cs="宋体"/>
          <w:color w:val="auto"/>
          <w:sz w:val="21"/>
          <w:szCs w:val="21"/>
          <w:highlight w:val="none"/>
        </w:rPr>
        <w:t>更换</w:t>
      </w:r>
      <w:r>
        <w:rPr>
          <w:rFonts w:hint="eastAsia" w:cs="宋体"/>
          <w:color w:val="auto"/>
          <w:sz w:val="21"/>
          <w:szCs w:val="21"/>
          <w:highlight w:val="none"/>
        </w:rPr>
        <w:t>已损坏的零部件；保修期以后的维修服务，</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应做到在招标人发出维修通知后24小时内赶到现场进行设备维修，更换已损坏的零部件。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8</w:t>
      </w:r>
      <w:r>
        <w:rPr>
          <w:rFonts w:hint="eastAsia" w:cs="宋体"/>
          <w:color w:val="auto"/>
          <w:sz w:val="21"/>
          <w:szCs w:val="21"/>
          <w:highlight w:val="none"/>
        </w:rPr>
        <w:t>.3中标</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须</w:t>
      </w:r>
      <w:r>
        <w:rPr>
          <w:rFonts w:hint="eastAsia" w:cs="宋体"/>
          <w:color w:val="auto"/>
          <w:sz w:val="21"/>
          <w:szCs w:val="21"/>
          <w:highlight w:val="none"/>
        </w:rPr>
        <w:t>自行付费负责修理和更换任何由于设备自身的质量问题造成的损坏及故障。修好后，</w:t>
      </w:r>
      <w:r>
        <w:rPr>
          <w:rFonts w:hint="eastAsia" w:cs="宋体"/>
          <w:color w:val="auto"/>
          <w:sz w:val="21"/>
          <w:szCs w:val="21"/>
          <w:highlight w:val="none"/>
          <w:lang w:eastAsia="zh-CN"/>
        </w:rPr>
        <w:t>中标</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需一式两份报告给招标人，包括故障原因，解决措施，完成修理所需时间及恢复正常运行日期。</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lang w:val="en-US" w:eastAsia="zh-CN"/>
        </w:rPr>
        <w:t>9</w:t>
      </w:r>
      <w:r>
        <w:rPr>
          <w:rFonts w:hint="eastAsia" w:cs="宋体"/>
          <w:b/>
          <w:color w:val="auto"/>
          <w:sz w:val="21"/>
          <w:szCs w:val="21"/>
          <w:highlight w:val="none"/>
        </w:rPr>
        <w:t>、 工程实施文件资料</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.1</w:t>
      </w:r>
      <w:r>
        <w:rPr>
          <w:rFonts w:hint="eastAsia" w:ascii="宋体" w:hAnsi="宋体" w:eastAsia="宋体" w:cs="宋体"/>
          <w:color w:val="auto"/>
          <w:sz w:val="21"/>
          <w:szCs w:val="21"/>
          <w:highlight w:val="none"/>
        </w:rPr>
        <w:t>全套工程</w:t>
      </w:r>
      <w:r>
        <w:rPr>
          <w:rFonts w:hint="eastAsia" w:cs="宋体"/>
          <w:color w:val="auto"/>
          <w:sz w:val="21"/>
          <w:szCs w:val="21"/>
          <w:highlight w:val="none"/>
        </w:rPr>
        <w:t>实施文档(包括设备、材料、安装、竣工资料等文件)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w:t>
      </w:r>
      <w:r>
        <w:rPr>
          <w:rFonts w:hint="eastAsia" w:ascii="宋体" w:hAnsi="宋体" w:eastAsia="宋体" w:cs="宋体"/>
          <w:color w:val="auto"/>
          <w:sz w:val="21"/>
          <w:szCs w:val="21"/>
          <w:highlight w:val="none"/>
        </w:rPr>
        <w:t>2</w:t>
      </w:r>
      <w:r>
        <w:rPr>
          <w:rFonts w:hint="eastAsia" w:cs="宋体"/>
          <w:color w:val="auto"/>
          <w:sz w:val="21"/>
          <w:szCs w:val="21"/>
          <w:highlight w:val="none"/>
        </w:rPr>
        <w:t>系统测试文件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.3用户培训文件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w:t>
      </w:r>
      <w:r>
        <w:rPr>
          <w:rFonts w:hint="eastAsia" w:ascii="宋体" w:hAnsi="宋体" w:eastAsia="宋体" w:cs="宋体"/>
          <w:color w:val="auto"/>
          <w:sz w:val="21"/>
          <w:szCs w:val="21"/>
          <w:highlight w:val="none"/>
        </w:rPr>
        <w:t>4</w:t>
      </w:r>
      <w:r>
        <w:rPr>
          <w:rFonts w:hint="eastAsia" w:cs="宋体"/>
          <w:color w:val="auto"/>
          <w:sz w:val="21"/>
          <w:szCs w:val="21"/>
          <w:highlight w:val="none"/>
        </w:rPr>
        <w:t>系统维护文件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w:t>
      </w:r>
      <w:r>
        <w:rPr>
          <w:rFonts w:hint="eastAsia" w:ascii="宋体" w:hAnsi="宋体" w:eastAsia="宋体" w:cs="宋体"/>
          <w:color w:val="auto"/>
          <w:sz w:val="21"/>
          <w:szCs w:val="21"/>
          <w:highlight w:val="none"/>
        </w:rPr>
        <w:t>5</w:t>
      </w:r>
      <w:r>
        <w:rPr>
          <w:rFonts w:hint="eastAsia" w:cs="宋体"/>
          <w:color w:val="auto"/>
          <w:sz w:val="21"/>
          <w:szCs w:val="21"/>
          <w:highlight w:val="none"/>
        </w:rPr>
        <w:t>质量保证文件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.6</w:t>
      </w:r>
      <w:r>
        <w:rPr>
          <w:rFonts w:hint="eastAsia" w:ascii="宋体" w:hAnsi="宋体" w:eastAsia="宋体" w:cs="宋体"/>
          <w:color w:val="auto"/>
          <w:sz w:val="21"/>
          <w:szCs w:val="21"/>
          <w:highlight w:val="none"/>
        </w:rPr>
        <w:t>竣工</w:t>
      </w:r>
      <w:r>
        <w:rPr>
          <w:rFonts w:hint="eastAsia" w:cs="宋体"/>
          <w:color w:val="auto"/>
          <w:sz w:val="21"/>
          <w:szCs w:val="21"/>
          <w:highlight w:val="none"/>
        </w:rPr>
        <w:t>验收文件</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.7</w:t>
      </w:r>
      <w:r>
        <w:rPr>
          <w:rFonts w:hint="eastAsia" w:ascii="宋体" w:hAnsi="宋体" w:eastAsia="宋体" w:cs="宋体"/>
          <w:color w:val="auto"/>
          <w:sz w:val="21"/>
          <w:szCs w:val="21"/>
          <w:highlight w:val="none"/>
        </w:rPr>
        <w:t>工程</w:t>
      </w:r>
      <w:r>
        <w:rPr>
          <w:rFonts w:hint="eastAsia" w:cs="宋体"/>
          <w:color w:val="auto"/>
          <w:sz w:val="21"/>
          <w:szCs w:val="21"/>
          <w:highlight w:val="none"/>
        </w:rPr>
        <w:t>维修保养</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9</w:t>
      </w:r>
      <w:r>
        <w:rPr>
          <w:rFonts w:hint="eastAsia" w:cs="宋体"/>
          <w:color w:val="auto"/>
          <w:sz w:val="21"/>
          <w:szCs w:val="21"/>
          <w:highlight w:val="none"/>
        </w:rPr>
        <w:t>.8</w:t>
      </w:r>
      <w:r>
        <w:rPr>
          <w:rFonts w:hint="eastAsia" w:ascii="宋体" w:hAnsi="宋体" w:eastAsia="宋体" w:cs="宋体"/>
          <w:color w:val="auto"/>
          <w:sz w:val="21"/>
          <w:szCs w:val="21"/>
          <w:highlight w:val="none"/>
        </w:rPr>
        <w:t>招标</w:t>
      </w:r>
      <w:r>
        <w:rPr>
          <w:rFonts w:hint="eastAsia" w:cs="宋体"/>
          <w:color w:val="auto"/>
          <w:sz w:val="21"/>
          <w:szCs w:val="21"/>
          <w:highlight w:val="none"/>
        </w:rPr>
        <w:t>人认为有必要提供的其他文件和技术资料：</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在培训</w:t>
      </w:r>
      <w:r>
        <w:rPr>
          <w:rFonts w:hint="eastAsia" w:ascii="宋体" w:hAnsi="宋体" w:eastAsia="宋体" w:cs="宋体"/>
          <w:color w:val="auto"/>
          <w:sz w:val="21"/>
          <w:szCs w:val="21"/>
          <w:highlight w:val="none"/>
        </w:rPr>
        <w:t>期间</w:t>
      </w:r>
      <w:r>
        <w:rPr>
          <w:rFonts w:hint="eastAsia" w:cs="宋体"/>
          <w:color w:val="auto"/>
          <w:sz w:val="21"/>
          <w:szCs w:val="21"/>
          <w:highlight w:val="none"/>
        </w:rPr>
        <w:t>，</w:t>
      </w:r>
      <w:r>
        <w:rPr>
          <w:rFonts w:hint="eastAsia" w:ascii="宋体" w:hAnsi="宋体" w:eastAsia="宋体" w:cs="宋体"/>
          <w:color w:val="auto"/>
          <w:sz w:val="21"/>
          <w:szCs w:val="21"/>
          <w:highlight w:val="none"/>
          <w:lang w:eastAsia="zh-CN"/>
        </w:rPr>
        <w:t>供应商</w:t>
      </w:r>
      <w:r>
        <w:rPr>
          <w:rFonts w:hint="eastAsia" w:cs="宋体"/>
          <w:color w:val="auto"/>
          <w:sz w:val="21"/>
          <w:szCs w:val="21"/>
          <w:highlight w:val="none"/>
        </w:rPr>
        <w:t>须免费提供中文培训材料给招标人。</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在</w:t>
      </w:r>
      <w:r>
        <w:rPr>
          <w:rFonts w:hint="eastAsia" w:ascii="宋体" w:hAnsi="宋体" w:eastAsia="宋体" w:cs="宋体"/>
          <w:color w:val="auto"/>
          <w:sz w:val="21"/>
          <w:szCs w:val="21"/>
          <w:highlight w:val="none"/>
        </w:rPr>
        <w:t>试运行四周</w:t>
      </w:r>
      <w:r>
        <w:rPr>
          <w:rFonts w:hint="eastAsia" w:cs="宋体"/>
          <w:color w:val="auto"/>
          <w:sz w:val="21"/>
          <w:szCs w:val="21"/>
          <w:highlight w:val="none"/>
        </w:rPr>
        <w:t>内，投标人须提交包括竣工图、控制、操作和维护手册一式六份，以便招标人和相关人员能预先对将要运行的设备和系统有所了解。每本手册应包括下列基本材料；</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所有设备规格和详细操作说明；</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主要部件常见故障说明，包括零部件图和总图，说明书应包括备品备件的清单、操作和维修方法。</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例行维修保养项目和期限建议；</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紧急安全</w:t>
      </w:r>
      <w:r>
        <w:rPr>
          <w:rFonts w:hint="eastAsia" w:ascii="宋体" w:hAnsi="宋体" w:eastAsia="宋体" w:cs="宋体"/>
          <w:color w:val="auto"/>
          <w:sz w:val="21"/>
          <w:szCs w:val="21"/>
          <w:highlight w:val="none"/>
        </w:rPr>
        <w:t>措施</w:t>
      </w:r>
      <w:r>
        <w:rPr>
          <w:rFonts w:hint="eastAsia" w:cs="宋体"/>
          <w:color w:val="auto"/>
          <w:sz w:val="21"/>
          <w:szCs w:val="21"/>
          <w:highlight w:val="none"/>
        </w:rPr>
        <w:t>的建议；</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紧急维修</w:t>
      </w:r>
      <w:r>
        <w:rPr>
          <w:rFonts w:hint="eastAsia" w:ascii="宋体" w:hAnsi="宋体" w:eastAsia="宋体" w:cs="宋体"/>
          <w:color w:val="auto"/>
          <w:sz w:val="21"/>
          <w:szCs w:val="21"/>
          <w:highlight w:val="none"/>
        </w:rPr>
        <w:t>中心</w:t>
      </w:r>
      <w:r>
        <w:rPr>
          <w:rFonts w:hint="eastAsia" w:cs="宋体"/>
          <w:color w:val="auto"/>
          <w:sz w:val="21"/>
          <w:szCs w:val="21"/>
          <w:highlight w:val="none"/>
        </w:rPr>
        <w:t>电话号码、地址、维修人员电话号码。</w:t>
      </w:r>
    </w:p>
    <w:p>
      <w:pPr>
        <w:pageBreakBefore w:val="0"/>
        <w:widowControl w:val="0"/>
        <w:kinsoku/>
        <w:wordWrap/>
        <w:overflowPunct/>
        <w:topLinePunct w:val="0"/>
        <w:autoSpaceDE/>
        <w:autoSpaceDN/>
        <w:bidi w:val="0"/>
        <w:adjustRightInd w:val="0"/>
        <w:snapToGrid w:val="0"/>
        <w:spacing w:line="480" w:lineRule="exact"/>
        <w:ind w:left="0" w:leftChars="0" w:firstLine="422" w:firstLineChars="200"/>
        <w:textAlignment w:val="auto"/>
        <w:outlineLvl w:val="9"/>
        <w:rPr>
          <w:rFonts w:hint="eastAsia" w:cs="宋体"/>
          <w:b/>
          <w:color w:val="auto"/>
          <w:sz w:val="21"/>
          <w:szCs w:val="21"/>
          <w:highlight w:val="none"/>
        </w:rPr>
      </w:pPr>
      <w:r>
        <w:rPr>
          <w:rFonts w:hint="eastAsia" w:cs="宋体"/>
          <w:b/>
          <w:color w:val="auto"/>
          <w:sz w:val="21"/>
          <w:szCs w:val="21"/>
          <w:highlight w:val="none"/>
        </w:rPr>
        <w:t xml:space="preserve"> 1</w:t>
      </w:r>
      <w:r>
        <w:rPr>
          <w:rFonts w:hint="eastAsia" w:cs="宋体"/>
          <w:b/>
          <w:color w:val="auto"/>
          <w:sz w:val="21"/>
          <w:szCs w:val="21"/>
          <w:highlight w:val="none"/>
          <w:lang w:val="en-US" w:eastAsia="zh-CN"/>
        </w:rPr>
        <w:t>0</w:t>
      </w:r>
      <w:r>
        <w:rPr>
          <w:rFonts w:hint="eastAsia" w:cs="宋体"/>
          <w:b/>
          <w:color w:val="auto"/>
          <w:sz w:val="21"/>
          <w:szCs w:val="21"/>
          <w:highlight w:val="none"/>
        </w:rPr>
        <w:t>、现场施工管理</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1</w:t>
      </w:r>
      <w:r>
        <w:rPr>
          <w:rFonts w:hint="eastAsia" w:cs="宋体"/>
          <w:color w:val="auto"/>
          <w:sz w:val="21"/>
          <w:szCs w:val="21"/>
          <w:highlight w:val="none"/>
          <w:lang w:val="en-US" w:eastAsia="zh-CN"/>
        </w:rPr>
        <w:t>0</w:t>
      </w:r>
      <w:r>
        <w:rPr>
          <w:rFonts w:hint="eastAsia" w:cs="宋体"/>
          <w:color w:val="auto"/>
          <w:sz w:val="21"/>
          <w:szCs w:val="21"/>
          <w:highlight w:val="none"/>
        </w:rPr>
        <w:t>.1承包人应对设备及材料的采购、安装、调试等各个环节进行严格的质量管理，保证工程质量具有使发包方满意的使用性能。</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10</w:t>
      </w:r>
      <w:r>
        <w:rPr>
          <w:rFonts w:hint="eastAsia" w:cs="宋体"/>
          <w:color w:val="auto"/>
          <w:sz w:val="21"/>
          <w:szCs w:val="21"/>
          <w:highlight w:val="none"/>
        </w:rPr>
        <w:t>.2承包人应严格按国家现行施工验收规范等有关规定，精心组织施工，严格把好每道工序的质量关，保证本项目按时通过验收及投入运行。</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10</w:t>
      </w:r>
      <w:r>
        <w:rPr>
          <w:rFonts w:hint="eastAsia" w:cs="宋体"/>
          <w:color w:val="auto"/>
          <w:sz w:val="21"/>
          <w:szCs w:val="21"/>
          <w:highlight w:val="none"/>
        </w:rPr>
        <w:t>.3承包人在施工中如发现设计、质量、材料等问题，应及时与发包人联系，共同协商处理。发包人如发现施工不符合技术、质量要求的，有权通知承包人暂停施工，并要求整改。</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10</w:t>
      </w:r>
      <w:r>
        <w:rPr>
          <w:rFonts w:hint="eastAsia" w:cs="宋体"/>
          <w:color w:val="auto"/>
          <w:sz w:val="21"/>
          <w:szCs w:val="21"/>
          <w:highlight w:val="none"/>
        </w:rPr>
        <w:t>.4承包人应</w:t>
      </w:r>
      <w:r>
        <w:rPr>
          <w:rFonts w:hint="eastAsia" w:ascii="宋体" w:hAnsi="宋体" w:eastAsia="宋体" w:cs="宋体"/>
          <w:color w:val="auto"/>
          <w:sz w:val="21"/>
          <w:szCs w:val="21"/>
          <w:highlight w:val="none"/>
        </w:rPr>
        <w:t>遵守</w:t>
      </w:r>
      <w:r>
        <w:rPr>
          <w:rFonts w:hint="eastAsia" w:cs="宋体"/>
          <w:color w:val="auto"/>
          <w:sz w:val="21"/>
          <w:szCs w:val="21"/>
          <w:highlight w:val="none"/>
        </w:rPr>
        <w:t>工程建设安全生产有关管理规定，严格按安全标准组织施工，并随时接受安全检查人员依法实施的监督检查，采取必要的安全防护措施，消除事故隐患。由于承包人安全措施不力造成事故的责任和因此发生的费用由承包人承担。</w:t>
      </w:r>
    </w:p>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lang w:val="en-US" w:eastAsia="zh-CN"/>
        </w:rPr>
        <w:t>10</w:t>
      </w:r>
      <w:r>
        <w:rPr>
          <w:rFonts w:hint="eastAsia" w:cs="宋体"/>
          <w:color w:val="auto"/>
          <w:sz w:val="21"/>
          <w:szCs w:val="21"/>
          <w:highlight w:val="none"/>
        </w:rPr>
        <w:t>.5承包人负责对涉及本工程施工的财产和人员安全进行保险。</w:t>
      </w:r>
    </w:p>
    <w:p>
      <w:pPr>
        <w:pageBreakBefore w:val="0"/>
        <w:widowControl w:val="0"/>
        <w:numPr>
          <w:ilvl w:val="0"/>
          <w:numId w:val="0"/>
        </w:numPr>
        <w:kinsoku/>
        <w:wordWrap/>
        <w:overflowPunct/>
        <w:topLinePunct w:val="0"/>
        <w:autoSpaceDE/>
        <w:autoSpaceDN/>
        <w:bidi w:val="0"/>
        <w:adjustRightInd/>
        <w:snapToGrid/>
        <w:spacing w:line="480" w:lineRule="exact"/>
        <w:ind w:left="0" w:leftChars="0" w:right="0" w:rightChars="0" w:firstLine="420" w:firstLineChars="200"/>
        <w:textAlignment w:val="auto"/>
        <w:outlineLvl w:val="9"/>
        <w:rPr>
          <w:rFonts w:hint="eastAsia" w:cs="宋体"/>
          <w:color w:val="auto"/>
          <w:sz w:val="21"/>
          <w:szCs w:val="21"/>
          <w:highlight w:val="none"/>
        </w:rPr>
      </w:pPr>
      <w:r>
        <w:rPr>
          <w:rFonts w:hint="eastAsia" w:cs="宋体"/>
          <w:color w:val="auto"/>
          <w:sz w:val="21"/>
          <w:szCs w:val="21"/>
          <w:highlight w:val="none"/>
        </w:rPr>
        <w:t>1</w:t>
      </w:r>
      <w:r>
        <w:rPr>
          <w:rFonts w:hint="eastAsia" w:cs="宋体"/>
          <w:color w:val="auto"/>
          <w:sz w:val="21"/>
          <w:szCs w:val="21"/>
          <w:highlight w:val="none"/>
          <w:lang w:val="en-US" w:eastAsia="zh-CN"/>
        </w:rPr>
        <w:t>0</w:t>
      </w:r>
      <w:r>
        <w:rPr>
          <w:rFonts w:hint="eastAsia" w:cs="宋体"/>
          <w:color w:val="auto"/>
          <w:sz w:val="21"/>
          <w:szCs w:val="21"/>
          <w:highlight w:val="none"/>
        </w:rPr>
        <w:t>.</w:t>
      </w:r>
      <w:r>
        <w:rPr>
          <w:rFonts w:hint="eastAsia" w:cs="宋体"/>
          <w:color w:val="auto"/>
          <w:sz w:val="21"/>
          <w:szCs w:val="21"/>
          <w:highlight w:val="none"/>
          <w:lang w:val="en-US" w:eastAsia="zh-CN"/>
        </w:rPr>
        <w:t>6</w:t>
      </w:r>
      <w:r>
        <w:rPr>
          <w:rFonts w:hint="eastAsia" w:cs="宋体"/>
          <w:color w:val="auto"/>
          <w:sz w:val="21"/>
          <w:szCs w:val="21"/>
          <w:highlight w:val="none"/>
        </w:rPr>
        <w:t>本招标</w:t>
      </w:r>
      <w:r>
        <w:rPr>
          <w:rFonts w:hint="eastAsia" w:ascii="宋体" w:hAnsi="宋体" w:eastAsia="宋体" w:cs="宋体"/>
          <w:color w:val="auto"/>
          <w:sz w:val="21"/>
          <w:szCs w:val="21"/>
          <w:highlight w:val="none"/>
        </w:rPr>
        <w:t>项目</w:t>
      </w:r>
      <w:r>
        <w:rPr>
          <w:rFonts w:hint="eastAsia" w:cs="宋体"/>
          <w:color w:val="auto"/>
          <w:sz w:val="21"/>
          <w:szCs w:val="21"/>
          <w:highlight w:val="none"/>
        </w:rPr>
        <w:t>未正式通过验收或未办理验收移交手续前的现场成品保护工作均由承包人负责。</w:t>
      </w:r>
    </w:p>
    <w:p>
      <w:pPr>
        <w:pageBreakBefore w:val="0"/>
        <w:widowControl w:val="0"/>
        <w:numPr>
          <w:ilvl w:val="0"/>
          <w:numId w:val="0"/>
        </w:numPr>
        <w:kinsoku/>
        <w:wordWrap/>
        <w:overflowPunct/>
        <w:topLinePunct w:val="0"/>
        <w:autoSpaceDE/>
        <w:autoSpaceDN/>
        <w:bidi w:val="0"/>
        <w:adjustRightInd/>
        <w:snapToGrid/>
        <w:spacing w:line="480" w:lineRule="exact"/>
        <w:ind w:left="0" w:leftChars="0" w:right="0" w:rightChars="0" w:firstLine="422" w:firstLineChars="200"/>
        <w:textAlignment w:val="auto"/>
        <w:outlineLvl w:val="9"/>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lang w:eastAsia="zh-CN"/>
        </w:rPr>
        <w:t>六、</w:t>
      </w:r>
      <w:r>
        <w:rPr>
          <w:rFonts w:hint="eastAsia" w:ascii="宋体" w:hAnsi="宋体" w:eastAsia="宋体" w:cs="宋体"/>
          <w:b/>
          <w:bCs/>
          <w:color w:val="000000"/>
          <w:sz w:val="21"/>
          <w:szCs w:val="21"/>
          <w:highlight w:val="none"/>
        </w:rPr>
        <w:t>商务要求</w:t>
      </w:r>
    </w:p>
    <w:p>
      <w:pPr>
        <w:pStyle w:val="15"/>
        <w:keepNext w:val="0"/>
        <w:keepLines w:val="0"/>
        <w:pageBreakBefore w:val="0"/>
        <w:widowControl w:val="0"/>
        <w:kinsoku/>
        <w:wordWrap/>
        <w:overflowPunct/>
        <w:topLinePunct w:val="0"/>
        <w:autoSpaceDE/>
        <w:autoSpaceDN/>
        <w:bidi w:val="0"/>
        <w:adjustRightInd/>
        <w:snapToGrid/>
        <w:spacing w:line="48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付款方式：</w:t>
      </w:r>
    </w:p>
    <w:p>
      <w:pPr>
        <w:pStyle w:val="15"/>
        <w:keepNext w:val="0"/>
        <w:keepLines w:val="0"/>
        <w:pageBreakBefore w:val="0"/>
        <w:widowControl w:val="0"/>
        <w:kinsoku/>
        <w:wordWrap/>
        <w:overflowPunct/>
        <w:topLinePunct w:val="0"/>
        <w:autoSpaceDE/>
        <w:autoSpaceDN/>
        <w:bidi w:val="0"/>
        <w:adjustRightInd/>
        <w:snapToGrid/>
        <w:spacing w:line="48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1.1</w:t>
      </w:r>
      <w:r>
        <w:rPr>
          <w:rFonts w:hint="eastAsia" w:ascii="宋体" w:hAnsi="宋体" w:eastAsia="宋体" w:cs="宋体"/>
          <w:sz w:val="21"/>
          <w:szCs w:val="21"/>
          <w:highlight w:val="none"/>
        </w:rPr>
        <w:t>合同签订后</w:t>
      </w:r>
      <w:r>
        <w:rPr>
          <w:rFonts w:hint="eastAsia" w:ascii="宋体" w:hAnsi="宋体" w:eastAsia="宋体" w:cs="宋体"/>
          <w:sz w:val="21"/>
          <w:szCs w:val="21"/>
          <w:highlight w:val="none"/>
          <w:lang w:val="en-US" w:eastAsia="zh-CN"/>
        </w:rPr>
        <w:t>7个工作日内</w:t>
      </w:r>
      <w:r>
        <w:rPr>
          <w:rFonts w:hint="eastAsia" w:ascii="宋体" w:hAnsi="宋体" w:eastAsia="宋体" w:cs="宋体"/>
          <w:sz w:val="21"/>
          <w:szCs w:val="21"/>
          <w:highlight w:val="none"/>
        </w:rPr>
        <w:t>支付合同</w:t>
      </w:r>
      <w:r>
        <w:rPr>
          <w:rFonts w:hint="eastAsia" w:ascii="宋体" w:hAnsi="宋体" w:eastAsia="宋体" w:cs="宋体"/>
          <w:sz w:val="21"/>
          <w:szCs w:val="21"/>
          <w:highlight w:val="none"/>
          <w:lang w:eastAsia="zh-CN"/>
        </w:rPr>
        <w:t>金额</w:t>
      </w:r>
      <w:r>
        <w:rPr>
          <w:rFonts w:hint="eastAsia" w:ascii="宋体" w:hAnsi="宋体" w:eastAsia="宋体" w:cs="宋体"/>
          <w:sz w:val="21"/>
          <w:szCs w:val="21"/>
          <w:highlight w:val="none"/>
        </w:rPr>
        <w:t>的</w:t>
      </w:r>
      <w:r>
        <w:rPr>
          <w:rFonts w:hint="eastAsia" w:ascii="宋体" w:hAnsi="宋体" w:eastAsia="宋体" w:cs="宋体"/>
          <w:sz w:val="21"/>
          <w:szCs w:val="21"/>
          <w:highlight w:val="none"/>
          <w:lang w:val="en-US" w:eastAsia="zh-CN"/>
        </w:rPr>
        <w:t>40</w:t>
      </w:r>
      <w:r>
        <w:rPr>
          <w:rFonts w:hint="eastAsia" w:ascii="宋体" w:hAnsi="宋体" w:eastAsia="宋体" w:cs="宋体"/>
          <w:sz w:val="21"/>
          <w:szCs w:val="21"/>
          <w:highlight w:val="none"/>
        </w:rPr>
        <w:t>%作为预付款，</w:t>
      </w:r>
      <w:r>
        <w:rPr>
          <w:rFonts w:hint="eastAsia" w:ascii="宋体" w:hAnsi="宋体" w:eastAsia="宋体" w:cs="宋体"/>
          <w:sz w:val="21"/>
          <w:szCs w:val="21"/>
          <w:highlight w:val="none"/>
        </w:rPr>
        <w:t>供应商应</w:t>
      </w:r>
      <w:r>
        <w:rPr>
          <w:rFonts w:hint="eastAsia" w:ascii="宋体" w:hAnsi="宋体" w:eastAsia="宋体" w:cs="宋体"/>
          <w:sz w:val="21"/>
          <w:szCs w:val="21"/>
          <w:highlight w:val="none"/>
          <w:lang w:eastAsia="zh-CN"/>
        </w:rPr>
        <w:t>同时</w:t>
      </w:r>
      <w:r>
        <w:rPr>
          <w:rFonts w:hint="eastAsia" w:ascii="宋体" w:hAnsi="宋体" w:eastAsia="宋体" w:cs="宋体"/>
          <w:sz w:val="21"/>
          <w:szCs w:val="21"/>
          <w:highlight w:val="none"/>
        </w:rPr>
        <w:t>提交银行、保险公司等金融机构出具同等金额的预付款保函</w:t>
      </w:r>
      <w:r>
        <w:rPr>
          <w:rFonts w:hint="eastAsia" w:ascii="宋体" w:hAnsi="宋体" w:eastAsia="宋体" w:cs="宋体"/>
          <w:sz w:val="21"/>
          <w:szCs w:val="21"/>
          <w:highlight w:val="none"/>
        </w:rPr>
        <w:t>；</w:t>
      </w:r>
    </w:p>
    <w:p>
      <w:pPr>
        <w:pStyle w:val="15"/>
        <w:keepNext w:val="0"/>
        <w:keepLines w:val="0"/>
        <w:pageBreakBefore w:val="0"/>
        <w:widowControl w:val="0"/>
        <w:kinsoku/>
        <w:wordWrap/>
        <w:overflowPunct/>
        <w:topLinePunct w:val="0"/>
        <w:autoSpaceDE/>
        <w:autoSpaceDN/>
        <w:bidi w:val="0"/>
        <w:adjustRightInd/>
        <w:snapToGrid/>
        <w:spacing w:line="48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1.2</w:t>
      </w:r>
      <w:r>
        <w:rPr>
          <w:rFonts w:hint="eastAsia" w:ascii="宋体" w:hAnsi="宋体" w:eastAsia="宋体" w:cs="宋体"/>
          <w:sz w:val="21"/>
          <w:szCs w:val="21"/>
          <w:highlight w:val="none"/>
        </w:rPr>
        <w:t>安装完毕并经验收合格后</w:t>
      </w:r>
      <w:r>
        <w:rPr>
          <w:rFonts w:hint="eastAsia" w:ascii="宋体" w:hAnsi="宋体" w:eastAsia="宋体" w:cs="宋体"/>
          <w:sz w:val="21"/>
          <w:szCs w:val="21"/>
          <w:highlight w:val="none"/>
          <w:lang w:val="en-US" w:eastAsia="zh-CN"/>
        </w:rPr>
        <w:t>7个工作日内</w:t>
      </w:r>
      <w:r>
        <w:rPr>
          <w:rFonts w:hint="eastAsia" w:ascii="宋体" w:hAnsi="宋体" w:eastAsia="宋体" w:cs="宋体"/>
          <w:sz w:val="21"/>
          <w:szCs w:val="21"/>
          <w:highlight w:val="none"/>
        </w:rPr>
        <w:t>支付</w:t>
      </w:r>
      <w:r>
        <w:rPr>
          <w:rFonts w:hint="eastAsia" w:ascii="宋体" w:hAnsi="宋体" w:eastAsia="宋体" w:cs="宋体"/>
          <w:sz w:val="21"/>
          <w:szCs w:val="21"/>
          <w:highlight w:val="none"/>
          <w:lang w:eastAsia="zh-CN"/>
        </w:rPr>
        <w:t>剩余合同金额</w:t>
      </w:r>
      <w:r>
        <w:rPr>
          <w:rFonts w:hint="eastAsia" w:ascii="宋体" w:hAnsi="宋体" w:eastAsia="宋体" w:cs="宋体"/>
          <w:sz w:val="21"/>
          <w:szCs w:val="21"/>
          <w:highlight w:val="none"/>
        </w:rPr>
        <w:t>。</w:t>
      </w:r>
    </w:p>
    <w:p>
      <w:pPr>
        <w:pStyle w:val="15"/>
        <w:pageBreakBefore w:val="0"/>
        <w:widowControl w:val="0"/>
        <w:kinsoku/>
        <w:wordWrap/>
        <w:overflowPunct/>
        <w:topLinePunct w:val="0"/>
        <w:autoSpaceDE/>
        <w:autoSpaceDN/>
        <w:bidi w:val="0"/>
        <w:adjustRightInd/>
        <w:snapToGrid/>
        <w:spacing w:line="480" w:lineRule="exact"/>
        <w:ind w:left="0" w:leftChars="0" w:right="0" w:firstLine="420" w:firstLineChars="200"/>
        <w:textAlignment w:val="auto"/>
        <w:outlineLvl w:val="9"/>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2、履约保证金</w:t>
      </w:r>
    </w:p>
    <w:p>
      <w:pPr>
        <w:pStyle w:val="15"/>
        <w:pageBreakBefore w:val="0"/>
        <w:widowControl w:val="0"/>
        <w:kinsoku/>
        <w:wordWrap/>
        <w:overflowPunct/>
        <w:topLinePunct w:val="0"/>
        <w:autoSpaceDE/>
        <w:autoSpaceDN/>
        <w:bidi w:val="0"/>
        <w:adjustRightInd/>
        <w:snapToGrid/>
        <w:spacing w:line="480" w:lineRule="exact"/>
        <w:ind w:left="0" w:leftChars="0" w:right="0" w:firstLine="420" w:firstLineChars="200"/>
        <w:textAlignment w:val="auto"/>
        <w:outlineLvl w:val="9"/>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本项目不收取履约保证金。</w:t>
      </w:r>
    </w:p>
    <w:bookmarkEnd w:id="23"/>
    <w:bookmarkEnd w:id="24"/>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Style w:val="80"/>
          <w:rFonts w:hint="eastAsia" w:ascii="宋体" w:hAnsi="宋体" w:cs="宋体"/>
          <w:szCs w:val="22"/>
          <w:highlight w:val="none"/>
        </w:rPr>
      </w:pPr>
      <w:bookmarkStart w:id="30" w:name="_Toc23743"/>
      <w:bookmarkStart w:id="31" w:name="_Toc29644"/>
      <w:r>
        <w:rPr>
          <w:rStyle w:val="80"/>
          <w:rFonts w:hint="eastAsia" w:ascii="宋体" w:hAnsi="宋体" w:cs="宋体"/>
          <w:szCs w:val="22"/>
          <w:highlight w:val="none"/>
        </w:rPr>
        <w:br w:type="page"/>
      </w:r>
      <w:r>
        <w:rPr>
          <w:rStyle w:val="80"/>
          <w:rFonts w:hint="eastAsia" w:ascii="宋体" w:hAnsi="宋体" w:cs="宋体"/>
          <w:szCs w:val="22"/>
          <w:highlight w:val="none"/>
        </w:rPr>
        <w:t>第三章 供应商须知</w:t>
      </w:r>
      <w:bookmarkEnd w:id="25"/>
      <w:bookmarkEnd w:id="26"/>
      <w:bookmarkEnd w:id="27"/>
      <w:bookmarkEnd w:id="28"/>
      <w:bookmarkEnd w:id="30"/>
      <w:bookmarkEnd w:id="31"/>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bCs/>
          <w:sz w:val="24"/>
          <w:highlight w:val="none"/>
        </w:rPr>
      </w:pPr>
      <w:r>
        <w:rPr>
          <w:rFonts w:hint="eastAsia" w:ascii="宋体" w:hAnsi="宋体" w:cs="宋体"/>
          <w:b/>
          <w:bCs/>
          <w:sz w:val="24"/>
          <w:highlight w:val="none"/>
        </w:rPr>
        <w:t>供应商须知（附表）</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2115"/>
        <w:gridCol w:w="6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条款号</w:t>
            </w:r>
          </w:p>
        </w:tc>
        <w:tc>
          <w:tcPr>
            <w:tcW w:w="2115" w:type="dxa"/>
            <w:noWrap w:val="0"/>
            <w:vAlign w:val="center"/>
          </w:tcPr>
          <w:p>
            <w:pPr>
              <w:snapToGrid w:val="0"/>
              <w:spacing w:line="28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条款名称</w:t>
            </w:r>
          </w:p>
        </w:tc>
        <w:tc>
          <w:tcPr>
            <w:tcW w:w="6495" w:type="dxa"/>
            <w:noWrap w:val="0"/>
            <w:vAlign w:val="center"/>
          </w:tcPr>
          <w:p>
            <w:pPr>
              <w:snapToGrid w:val="0"/>
              <w:spacing w:line="280" w:lineRule="exact"/>
              <w:jc w:val="center"/>
              <w:rPr>
                <w:rFonts w:hint="eastAsia" w:ascii="宋体" w:hAnsi="宋体" w:eastAsia="宋体" w:cs="宋体"/>
                <w:b/>
                <w:szCs w:val="21"/>
                <w:highlight w:val="none"/>
              </w:rPr>
            </w:pPr>
            <w:r>
              <w:rPr>
                <w:rFonts w:hint="eastAsia" w:ascii="宋体" w:hAnsi="宋体" w:eastAsia="宋体" w:cs="宋体"/>
                <w:b/>
                <w:szCs w:val="21"/>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1.2.1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采购人</w:t>
            </w:r>
          </w:p>
        </w:tc>
        <w:tc>
          <w:tcPr>
            <w:tcW w:w="6495" w:type="dxa"/>
            <w:noWrap w:val="0"/>
            <w:vAlign w:val="center"/>
          </w:tcPr>
          <w:p>
            <w:pPr>
              <w:adjustRightInd w:val="0"/>
              <w:snapToGrid w:val="0"/>
              <w:spacing w:line="280" w:lineRule="exact"/>
              <w:rPr>
                <w:rFonts w:hint="eastAsia" w:ascii="宋体" w:hAnsi="宋体" w:eastAsia="宋体" w:cs="宋体"/>
                <w:bCs/>
                <w:szCs w:val="21"/>
                <w:highlight w:val="none"/>
                <w:lang w:eastAsia="zh-CN"/>
              </w:rPr>
            </w:pPr>
            <w:r>
              <w:rPr>
                <w:rFonts w:hint="eastAsia" w:ascii="宋体" w:hAnsi="宋体" w:eastAsia="宋体" w:cs="宋体"/>
                <w:bCs/>
                <w:szCs w:val="21"/>
                <w:highlight w:val="none"/>
                <w:lang w:eastAsia="zh-CN"/>
              </w:rPr>
              <w:t>缙云县卫生健康局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1.2.2</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采购代理机构</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浙江鼎峰工程咨询有限公司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1.3</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资金来源</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1.4</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合格的供应商</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见磋商公告中供应商资格要求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1.5</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联合体磋商</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fldChar w:fldCharType="begin"/>
            </w:r>
            <w:r>
              <w:rPr>
                <w:rFonts w:hint="eastAsia" w:ascii="宋体" w:hAnsi="宋体" w:eastAsia="宋体" w:cs="宋体"/>
                <w:bCs/>
                <w:szCs w:val="21"/>
                <w:highlight w:val="none"/>
              </w:rPr>
              <w:instrText xml:space="preserve"> eq \o\ac(</w:instrText>
            </w:r>
            <w:r>
              <w:rPr>
                <w:rFonts w:hint="eastAsia" w:ascii="宋体" w:hAnsi="宋体" w:eastAsia="宋体" w:cs="宋体"/>
                <w:bCs/>
                <w:position w:val="-4"/>
                <w:sz w:val="31"/>
                <w:szCs w:val="21"/>
                <w:highlight w:val="none"/>
              </w:rPr>
              <w:instrText xml:space="preserve">□</w:instrText>
            </w:r>
            <w:r>
              <w:rPr>
                <w:rFonts w:hint="eastAsia" w:ascii="宋体" w:hAnsi="宋体" w:eastAsia="宋体" w:cs="宋体"/>
                <w:bCs/>
                <w:position w:val="-4"/>
                <w:sz w:val="31"/>
                <w:szCs w:val="21"/>
                <w:highlight w:val="none"/>
                <w:lang w:eastAsia="zh-CN"/>
              </w:rPr>
              <w:instrText xml:space="preserve">,</w:instrText>
            </w:r>
            <w:r>
              <w:rPr>
                <w:rFonts w:hint="eastAsia" w:ascii="宋体" w:hAnsi="宋体" w:eastAsia="宋体" w:cs="宋体"/>
                <w:bCs/>
                <w:position w:val="0"/>
                <w:sz w:val="21"/>
                <w:szCs w:val="21"/>
                <w:highlight w:val="none"/>
                <w:lang w:eastAsia="zh-CN"/>
              </w:rPr>
              <w:instrText xml:space="preserve">√</w:instrText>
            </w:r>
            <w:r>
              <w:rPr>
                <w:rFonts w:hint="eastAsia" w:ascii="宋体" w:hAnsi="宋体" w:eastAsia="宋体" w:cs="宋体"/>
                <w:bCs/>
                <w:szCs w:val="21"/>
                <w:highlight w:val="none"/>
              </w:rPr>
              <w:instrText xml:space="preserve">)</w:instrText>
            </w:r>
            <w:r>
              <w:rPr>
                <w:rFonts w:hint="eastAsia" w:ascii="宋体" w:hAnsi="宋体" w:eastAsia="宋体" w:cs="宋体"/>
                <w:bCs/>
                <w:szCs w:val="21"/>
                <w:highlight w:val="none"/>
              </w:rPr>
              <w:fldChar w:fldCharType="end"/>
            </w:r>
            <w:r>
              <w:rPr>
                <w:rFonts w:hint="eastAsia" w:ascii="宋体" w:hAnsi="宋体" w:eastAsia="宋体" w:cs="宋体"/>
                <w:bCs/>
                <w:szCs w:val="21"/>
                <w:highlight w:val="none"/>
              </w:rPr>
              <w:t>不接受</w:t>
            </w:r>
          </w:p>
          <w:p>
            <w:pPr>
              <w:snapToGrid w:val="0"/>
              <w:spacing w:line="280" w:lineRule="exact"/>
              <w:rPr>
                <w:rFonts w:hint="eastAsia" w:ascii="宋体" w:hAnsi="宋体" w:eastAsia="宋体" w:cs="宋体"/>
                <w:bCs/>
                <w:szCs w:val="21"/>
                <w:highlight w:val="none"/>
              </w:rPr>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eq \o\ac(</w:instrText>
            </w:r>
            <w:r>
              <w:rPr>
                <w:rFonts w:hint="eastAsia" w:ascii="宋体" w:hAnsi="宋体" w:eastAsia="宋体" w:cs="宋体"/>
                <w:position w:val="-4"/>
                <w:sz w:val="31"/>
                <w:szCs w:val="21"/>
                <w:highlight w:val="none"/>
              </w:rPr>
              <w:instrText xml:space="preserve">□</w:instrText>
            </w:r>
            <w:r>
              <w:rPr>
                <w:rFonts w:hint="eastAsia" w:ascii="宋体" w:hAnsi="宋体" w:eastAsia="宋体" w:cs="宋体"/>
                <w:szCs w:val="21"/>
                <w:highlight w:val="none"/>
              </w:rPr>
              <w:instrText xml:space="preserve">)</w:instrText>
            </w:r>
            <w:r>
              <w:rPr>
                <w:rFonts w:hint="eastAsia" w:ascii="宋体" w:hAnsi="宋体" w:eastAsia="宋体" w:cs="宋体"/>
                <w:szCs w:val="21"/>
                <w:highlight w:val="none"/>
              </w:rPr>
              <w:fldChar w:fldCharType="end"/>
            </w:r>
            <w:r>
              <w:rPr>
                <w:rFonts w:hint="eastAsia" w:ascii="宋体" w:hAnsi="宋体" w:eastAsia="宋体" w:cs="宋体"/>
                <w:bCs/>
                <w:szCs w:val="21"/>
                <w:highlight w:val="none"/>
              </w:rPr>
              <w:t>接受</w:t>
            </w:r>
            <w:r>
              <w:rPr>
                <w:rFonts w:hint="eastAsia" w:ascii="宋体" w:hAnsi="宋体" w:eastAsia="宋体" w:cs="宋体"/>
                <w:bCs/>
                <w:szCs w:val="21"/>
                <w:highlight w:val="none"/>
                <w:lang w:eastAsia="zh-CN"/>
              </w:rPr>
              <w:t>（</w:t>
            </w:r>
            <w:r>
              <w:rPr>
                <w:rFonts w:hint="eastAsia" w:ascii="宋体" w:hAnsi="宋体" w:eastAsia="宋体" w:cs="宋体"/>
                <w:i w:val="0"/>
                <w:iCs w:val="0"/>
                <w:color w:val="auto"/>
                <w:sz w:val="21"/>
                <w:szCs w:val="21"/>
                <w:highlight w:val="none"/>
                <w:lang w:val="en-US" w:eastAsia="zh-CN"/>
              </w:rPr>
              <w:t>以联合体形式投标的，提供联合协议</w:t>
            </w:r>
            <w:r>
              <w:rPr>
                <w:rFonts w:hint="eastAsia" w:ascii="宋体" w:hAnsi="宋体" w:eastAsia="宋体" w:cs="宋体"/>
                <w:i w:val="0"/>
                <w:iCs w:val="0"/>
                <w:color w:val="auto"/>
                <w:sz w:val="21"/>
                <w:szCs w:val="21"/>
                <w:highlight w:val="none"/>
              </w:rPr>
              <w:t>和中小企业声明函</w:t>
            </w:r>
            <w:r>
              <w:rPr>
                <w:rFonts w:hint="eastAsia" w:ascii="宋体" w:hAnsi="宋体" w:eastAsia="宋体" w:cs="宋体"/>
                <w:i w:val="0"/>
                <w:iCs w:val="0"/>
                <w:color w:val="auto"/>
                <w:sz w:val="21"/>
                <w:szCs w:val="21"/>
                <w:highlight w:val="none"/>
                <w:lang w:eastAsia="zh-CN"/>
              </w:rPr>
              <w:t>，联</w:t>
            </w:r>
            <w:r>
              <w:rPr>
                <w:rFonts w:hint="eastAsia" w:ascii="宋体" w:hAnsi="宋体" w:eastAsia="宋体" w:cs="宋体"/>
                <w:i w:val="0"/>
                <w:iCs w:val="0"/>
                <w:color w:val="auto"/>
                <w:sz w:val="21"/>
                <w:szCs w:val="21"/>
                <w:highlight w:val="none"/>
              </w:rPr>
              <w:t>合体组成需符合《浙江省政府采购禁止行为清单指引（一）》等政府</w:t>
            </w:r>
            <w:r>
              <w:rPr>
                <w:rFonts w:hint="eastAsia" w:ascii="宋体" w:hAnsi="宋体" w:eastAsia="宋体" w:cs="宋体"/>
                <w:i w:val="0"/>
                <w:iCs w:val="0"/>
                <w:color w:val="auto"/>
                <w:sz w:val="21"/>
                <w:szCs w:val="21"/>
                <w:highlight w:val="none"/>
                <w:lang w:eastAsia="zh-CN"/>
              </w:rPr>
              <w:t>采购</w:t>
            </w:r>
            <w:r>
              <w:rPr>
                <w:rFonts w:hint="eastAsia" w:ascii="宋体" w:hAnsi="宋体" w:eastAsia="宋体" w:cs="宋体"/>
                <w:i w:val="0"/>
                <w:iCs w:val="0"/>
                <w:color w:val="auto"/>
                <w:sz w:val="21"/>
                <w:szCs w:val="21"/>
                <w:highlight w:val="none"/>
              </w:rPr>
              <w:t>相关文件的规定</w:t>
            </w:r>
            <w:r>
              <w:rPr>
                <w:rFonts w:hint="eastAsia" w:ascii="宋体" w:hAnsi="宋体" w:eastAsia="宋体" w:cs="宋体"/>
                <w:bCs/>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7"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1.6</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转包与分包</w:t>
            </w:r>
          </w:p>
        </w:tc>
        <w:tc>
          <w:tcPr>
            <w:tcW w:w="6495" w:type="dxa"/>
            <w:noWrap w:val="0"/>
            <w:vAlign w:val="center"/>
          </w:tcPr>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eq \o\ac(</w:instrText>
            </w:r>
            <w:r>
              <w:rPr>
                <w:rFonts w:hint="eastAsia" w:ascii="宋体" w:hAnsi="宋体" w:eastAsia="宋体" w:cs="宋体"/>
                <w:position w:val="-4"/>
                <w:sz w:val="31"/>
                <w:szCs w:val="21"/>
                <w:highlight w:val="none"/>
              </w:rPr>
              <w:instrText xml:space="preserve">□</w:instrText>
            </w:r>
            <w:r>
              <w:rPr>
                <w:rFonts w:hint="eastAsia" w:ascii="宋体" w:hAnsi="宋体" w:eastAsia="宋体" w:cs="宋体"/>
                <w:szCs w:val="21"/>
                <w:highlight w:val="none"/>
              </w:rPr>
              <w:instrText xml:space="preserve">,√)</w:instrText>
            </w:r>
            <w:r>
              <w:rPr>
                <w:rFonts w:hint="eastAsia" w:ascii="宋体" w:hAnsi="宋体" w:eastAsia="宋体" w:cs="宋体"/>
                <w:szCs w:val="21"/>
                <w:highlight w:val="none"/>
              </w:rPr>
              <w:fldChar w:fldCharType="end"/>
            </w:r>
            <w:r>
              <w:rPr>
                <w:rFonts w:hint="eastAsia" w:ascii="宋体" w:hAnsi="宋体" w:eastAsia="宋体" w:cs="宋体"/>
                <w:szCs w:val="21"/>
                <w:highlight w:val="none"/>
              </w:rPr>
              <w:t>1.本项目不允许转包。</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eq \o\ac(</w:instrText>
            </w:r>
            <w:r>
              <w:rPr>
                <w:rFonts w:hint="eastAsia" w:ascii="宋体" w:hAnsi="宋体" w:eastAsia="宋体" w:cs="宋体"/>
                <w:position w:val="-4"/>
                <w:sz w:val="31"/>
                <w:szCs w:val="21"/>
                <w:highlight w:val="none"/>
              </w:rPr>
              <w:instrText xml:space="preserve">□</w:instrText>
            </w:r>
            <w:r>
              <w:rPr>
                <w:rFonts w:hint="eastAsia" w:ascii="宋体" w:hAnsi="宋体" w:eastAsia="宋体" w:cs="宋体"/>
                <w:szCs w:val="21"/>
                <w:highlight w:val="none"/>
              </w:rPr>
              <w:instrText xml:space="preserve">,√)</w:instrText>
            </w:r>
            <w:r>
              <w:rPr>
                <w:rFonts w:hint="eastAsia" w:ascii="宋体" w:hAnsi="宋体" w:eastAsia="宋体" w:cs="宋体"/>
                <w:szCs w:val="21"/>
                <w:highlight w:val="none"/>
              </w:rPr>
              <w:fldChar w:fldCharType="end"/>
            </w:r>
            <w:r>
              <w:rPr>
                <w:rFonts w:hint="eastAsia" w:ascii="宋体" w:hAnsi="宋体" w:eastAsia="宋体" w:cs="宋体"/>
                <w:szCs w:val="21"/>
                <w:highlight w:val="none"/>
              </w:rPr>
              <w:t>2.1本项目不可以分包。</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fldChar w:fldCharType="begin"/>
            </w:r>
            <w:r>
              <w:rPr>
                <w:rFonts w:hint="eastAsia" w:ascii="宋体" w:hAnsi="宋体" w:eastAsia="宋体" w:cs="宋体"/>
                <w:szCs w:val="21"/>
                <w:highlight w:val="none"/>
              </w:rPr>
              <w:instrText xml:space="preserve"> eq \o\ac(</w:instrText>
            </w:r>
            <w:r>
              <w:rPr>
                <w:rFonts w:hint="eastAsia" w:ascii="宋体" w:hAnsi="宋体" w:eastAsia="宋体" w:cs="宋体"/>
                <w:position w:val="-4"/>
                <w:sz w:val="31"/>
                <w:szCs w:val="21"/>
                <w:highlight w:val="none"/>
              </w:rPr>
              <w:instrText xml:space="preserve">□</w:instrText>
            </w:r>
            <w:r>
              <w:rPr>
                <w:rFonts w:hint="eastAsia" w:ascii="宋体" w:hAnsi="宋体" w:eastAsia="宋体" w:cs="宋体"/>
                <w:szCs w:val="21"/>
                <w:highlight w:val="none"/>
              </w:rPr>
              <w:instrText xml:space="preserve">)</w:instrText>
            </w:r>
            <w:r>
              <w:rPr>
                <w:rFonts w:hint="eastAsia" w:ascii="宋体" w:hAnsi="宋体" w:eastAsia="宋体" w:cs="宋体"/>
                <w:szCs w:val="21"/>
                <w:highlight w:val="none"/>
              </w:rPr>
              <w:fldChar w:fldCharType="end"/>
            </w:r>
            <w:r>
              <w:rPr>
                <w:rFonts w:hint="eastAsia" w:ascii="宋体" w:hAnsi="宋体" w:eastAsia="宋体" w:cs="宋体"/>
                <w:szCs w:val="21"/>
                <w:highlight w:val="none"/>
              </w:rPr>
              <w:t>2.2本项目可以分包，但主体部分不得分包。本项目“主体部分”是指：/（根据项目具体情况确定）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1.11.2</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信用信息记录查询</w:t>
            </w:r>
          </w:p>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截止时间</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同</w:t>
            </w:r>
            <w:r>
              <w:rPr>
                <w:rFonts w:hint="eastAsia" w:ascii="宋体" w:hAnsi="宋体" w:eastAsia="宋体" w:cs="宋体"/>
                <w:szCs w:val="21"/>
                <w:highlight w:val="none"/>
              </w:rPr>
              <w:t>响应文件递交截止时间。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1.12.2</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节能环保产品品目 清单</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财库〔2019〕19号《节能产品政府采购品目清单》</w:t>
            </w:r>
          </w:p>
          <w:p>
            <w:pPr>
              <w:snapToGrid w:val="0"/>
              <w:spacing w:line="280" w:lineRule="exact"/>
              <w:rPr>
                <w:rFonts w:hint="eastAsia" w:ascii="宋体" w:hAnsi="宋体" w:eastAsia="宋体" w:cs="宋体"/>
                <w:szCs w:val="21"/>
                <w:highlight w:val="none"/>
              </w:rPr>
            </w:pPr>
            <w:r>
              <w:rPr>
                <w:rFonts w:hint="eastAsia" w:ascii="宋体" w:hAnsi="宋体" w:eastAsia="宋体" w:cs="宋体"/>
                <w:bCs/>
                <w:szCs w:val="21"/>
                <w:highlight w:val="none"/>
              </w:rPr>
              <w:t>财库〔2019〕18号《环境标志产品政府采购品目清单》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1.12.3</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节能环保产品认证</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有效的节能产品、环境标志产品认证证书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1.12.4</w:t>
            </w:r>
          </w:p>
        </w:tc>
        <w:tc>
          <w:tcPr>
            <w:tcW w:w="2115" w:type="dxa"/>
            <w:noWrap w:val="0"/>
            <w:vAlign w:val="center"/>
          </w:tcPr>
          <w:p>
            <w:pPr>
              <w:snapToGrid w:val="0"/>
              <w:spacing w:line="280" w:lineRule="exact"/>
              <w:jc w:val="center"/>
              <w:rPr>
                <w:rFonts w:hint="eastAsia" w:ascii="宋体" w:hAnsi="宋体" w:eastAsia="宋体" w:cs="宋体"/>
                <w:bCs/>
                <w:szCs w:val="21"/>
                <w:highlight w:val="none"/>
                <w:lang w:bidi="ar"/>
              </w:rPr>
            </w:pPr>
            <w:r>
              <w:rPr>
                <w:rFonts w:hint="eastAsia" w:ascii="宋体" w:hAnsi="宋体" w:eastAsia="宋体" w:cs="宋体"/>
                <w:bCs/>
                <w:szCs w:val="21"/>
                <w:highlight w:val="none"/>
                <w:lang w:bidi="ar"/>
              </w:rPr>
              <w:t>政府强制采购的节能产品清单品目</w:t>
            </w:r>
          </w:p>
        </w:tc>
        <w:tc>
          <w:tcPr>
            <w:tcW w:w="6495" w:type="dxa"/>
            <w:noWrap w:val="0"/>
            <w:vAlign w:val="center"/>
          </w:tcPr>
          <w:p>
            <w:pPr>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□台式计算机  □便携式计算机  □平板式微型计算机</w:t>
            </w:r>
          </w:p>
          <w:p>
            <w:pPr>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□激光打印机  □针式打印机    □液晶显示设备  □水嘴</w:t>
            </w:r>
          </w:p>
          <w:p>
            <w:pPr>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□制冷压缩机  □空调机组      □专用制冷、空调设备</w:t>
            </w:r>
          </w:p>
          <w:p>
            <w:pPr>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□镇流器      □视频设备      □电热水器      □便器</w:t>
            </w:r>
          </w:p>
          <w:p>
            <w:pPr>
              <w:snapToGrid w:val="0"/>
              <w:spacing w:line="280" w:lineRule="exact"/>
              <w:rPr>
                <w:rFonts w:hint="eastAsia" w:ascii="宋体" w:hAnsi="宋体" w:eastAsia="宋体" w:cs="宋体"/>
                <w:bCs/>
                <w:szCs w:val="21"/>
                <w:highlight w:val="none"/>
                <w:lang w:bidi="ar"/>
              </w:rPr>
            </w:pPr>
            <w:r>
              <w:rPr>
                <w:rFonts w:hint="eastAsia" w:ascii="宋体" w:hAnsi="宋体" w:eastAsia="宋体" w:cs="宋体"/>
                <w:bCs/>
                <w:szCs w:val="21"/>
                <w:highlight w:val="none"/>
              </w:rPr>
              <w:t>□普通照明用双端荧光灯        □电视设备      □空调机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1.12.5</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小型、微型企业的  价格扣除</w:t>
            </w:r>
          </w:p>
        </w:tc>
        <w:tc>
          <w:tcPr>
            <w:tcW w:w="6495"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0" w:leftChars="0" w:right="0" w:rightChars="0" w:firstLine="0" w:firstLineChars="0"/>
              <w:textAlignment w:val="auto"/>
              <w:rPr>
                <w:rFonts w:hint="eastAsia" w:ascii="宋体" w:hAnsi="宋体" w:eastAsia="宋体" w:cs="宋体"/>
                <w:bCs/>
                <w:i w:val="0"/>
                <w:iCs w:val="0"/>
                <w:color w:val="auto"/>
                <w:sz w:val="21"/>
                <w:szCs w:val="21"/>
                <w:highlight w:val="none"/>
                <w:lang w:eastAsia="zh-CN"/>
              </w:rPr>
            </w:pPr>
            <w:r>
              <w:rPr>
                <w:rFonts w:hint="eastAsia" w:ascii="宋体" w:hAnsi="宋体" w:eastAsia="宋体" w:cs="宋体"/>
                <w:bCs/>
                <w:i w:val="0"/>
                <w:iCs w:val="0"/>
                <w:color w:val="auto"/>
                <w:sz w:val="21"/>
                <w:szCs w:val="21"/>
                <w:highlight w:val="none"/>
                <w:lang w:val="en-US" w:eastAsia="zh-CN"/>
              </w:rPr>
              <w:t>1.</w:t>
            </w:r>
            <w:r>
              <w:rPr>
                <w:rFonts w:hint="eastAsia" w:ascii="宋体" w:hAnsi="宋体" w:eastAsia="宋体" w:cs="宋体"/>
                <w:bCs/>
                <w:i w:val="0"/>
                <w:iCs w:val="0"/>
                <w:color w:val="auto"/>
                <w:sz w:val="21"/>
                <w:szCs w:val="21"/>
                <w:highlight w:val="none"/>
              </w:rPr>
              <w:t>落实政府采购政策需满足的资格要求：根据《政府采购促进中小企业发展管理办法》（财库﹝2020﹞46号）规定，本项目</w:t>
            </w:r>
            <w:r>
              <w:rPr>
                <w:rFonts w:hint="eastAsia" w:ascii="宋体" w:hAnsi="宋体" w:eastAsia="宋体" w:cs="宋体"/>
                <w:bCs/>
                <w:i w:val="0"/>
                <w:iCs w:val="0"/>
                <w:color w:val="auto"/>
                <w:sz w:val="21"/>
                <w:szCs w:val="21"/>
                <w:highlight w:val="none"/>
                <w:u w:val="single"/>
                <w:lang w:val="en-US" w:eastAsia="zh-CN"/>
              </w:rPr>
              <w:t xml:space="preserve"> </w:t>
            </w:r>
            <w:r>
              <w:rPr>
                <w:rFonts w:hint="eastAsia" w:ascii="宋体" w:hAnsi="宋体" w:eastAsia="宋体" w:cs="宋体"/>
                <w:b/>
                <w:bCs w:val="0"/>
                <w:i w:val="0"/>
                <w:iCs w:val="0"/>
                <w:color w:val="auto"/>
                <w:sz w:val="21"/>
                <w:szCs w:val="21"/>
                <w:highlight w:val="none"/>
                <w:u w:val="single"/>
                <w:lang w:eastAsia="zh-CN"/>
              </w:rPr>
              <w:t>是</w:t>
            </w:r>
            <w:r>
              <w:rPr>
                <w:rFonts w:hint="eastAsia" w:ascii="宋体" w:hAnsi="宋体" w:eastAsia="宋体" w:cs="宋体"/>
                <w:b/>
                <w:bCs w:val="0"/>
                <w:i w:val="0"/>
                <w:iCs w:val="0"/>
                <w:color w:val="auto"/>
                <w:sz w:val="21"/>
                <w:szCs w:val="21"/>
                <w:highlight w:val="none"/>
                <w:u w:val="single"/>
                <w:lang w:val="en-US" w:eastAsia="zh-CN"/>
              </w:rPr>
              <w:t xml:space="preserve"> </w:t>
            </w:r>
            <w:r>
              <w:rPr>
                <w:rFonts w:hint="eastAsia" w:ascii="宋体" w:hAnsi="宋体" w:eastAsia="宋体" w:cs="宋体"/>
                <w:bCs/>
                <w:i w:val="0"/>
                <w:iCs w:val="0"/>
                <w:color w:val="auto"/>
                <w:sz w:val="21"/>
                <w:szCs w:val="21"/>
                <w:highlight w:val="none"/>
              </w:rPr>
              <w:t>专门面向中小企业采购</w:t>
            </w:r>
            <w:r>
              <w:rPr>
                <w:rFonts w:hint="eastAsia" w:ascii="宋体" w:hAnsi="宋体" w:eastAsia="宋体" w:cs="宋体"/>
                <w:bCs/>
                <w:i w:val="0"/>
                <w:iCs w:val="0"/>
                <w:color w:val="auto"/>
                <w:sz w:val="21"/>
                <w:szCs w:val="21"/>
                <w:highlight w:val="none"/>
                <w:lang w:eastAsia="zh-CN"/>
              </w:rPr>
              <w:t>。</w:t>
            </w:r>
          </w:p>
          <w:p>
            <w:pPr>
              <w:widowControl w:val="0"/>
              <w:autoSpaceDE w:val="0"/>
              <w:autoSpaceDN w:val="0"/>
              <w:spacing w:before="0" w:after="0" w:line="322" w:lineRule="exact"/>
              <w:ind w:left="0" w:right="0"/>
              <w:jc w:val="left"/>
              <w:rPr>
                <w:rFonts w:hint="eastAsia" w:ascii="宋体" w:hAnsi="宋体" w:eastAsia="宋体" w:cs="宋体"/>
                <w:bCs/>
                <w:i w:val="0"/>
                <w:iCs w:val="0"/>
                <w:color w:val="auto"/>
                <w:sz w:val="21"/>
                <w:szCs w:val="21"/>
                <w:highlight w:val="none"/>
              </w:rPr>
            </w:pPr>
            <w:r>
              <w:rPr>
                <w:rFonts w:hint="eastAsia" w:ascii="宋体" w:hAnsi="宋体" w:eastAsia="宋体" w:cs="宋体"/>
                <w:bCs/>
                <w:i w:val="0"/>
                <w:iCs w:val="0"/>
                <w:color w:val="auto"/>
                <w:sz w:val="21"/>
                <w:szCs w:val="21"/>
                <w:highlight w:val="none"/>
                <w:lang w:val="en-US" w:eastAsia="zh-CN"/>
              </w:rPr>
              <w:t>2.</w:t>
            </w:r>
            <w:r>
              <w:rPr>
                <w:rFonts w:hint="eastAsia" w:ascii="宋体" w:hAnsi="宋体" w:eastAsia="宋体" w:cs="宋体"/>
                <w:bCs/>
                <w:i w:val="0"/>
                <w:iCs w:val="0"/>
                <w:color w:val="auto"/>
                <w:sz w:val="21"/>
                <w:szCs w:val="21"/>
                <w:highlight w:val="none"/>
              </w:rPr>
              <w:t>本项目所属行业：</w:t>
            </w:r>
            <w:r>
              <w:rPr>
                <w:rFonts w:hint="eastAsia" w:ascii="宋体" w:hAnsi="宋体" w:eastAsia="宋体" w:cs="宋体"/>
                <w:bCs/>
                <w:i w:val="0"/>
                <w:iCs w:val="0"/>
                <w:color w:val="auto"/>
                <w:sz w:val="21"/>
                <w:szCs w:val="21"/>
                <w:highlight w:val="none"/>
                <w:u w:val="single"/>
                <w:lang w:eastAsia="zh-CN"/>
              </w:rPr>
              <w:t>工业</w:t>
            </w:r>
            <w:r>
              <w:rPr>
                <w:rFonts w:hint="eastAsia" w:ascii="宋体" w:hAnsi="宋体" w:eastAsia="宋体" w:cs="宋体"/>
                <w:bCs/>
                <w:i w:val="0"/>
                <w:iCs w:val="0"/>
                <w:color w:val="auto"/>
                <w:sz w:val="21"/>
                <w:szCs w:val="21"/>
                <w:highlight w:val="none"/>
              </w:rPr>
              <w:t xml:space="preserve">。(中小微型企业划分标准参照国家统计局印发的《统计上大中小微型企业划分办法（2017）》，上述填写的所属行业详见《统计上大中小微型企业划分办法（2017）》附件)。 </w:t>
            </w:r>
          </w:p>
          <w:p>
            <w:pPr>
              <w:widowControl w:val="0"/>
              <w:autoSpaceDE w:val="0"/>
              <w:autoSpaceDN w:val="0"/>
              <w:spacing w:before="0" w:after="0" w:line="322" w:lineRule="exact"/>
              <w:ind w:left="0" w:right="0"/>
              <w:jc w:val="left"/>
              <w:rPr>
                <w:rFonts w:hint="eastAsia" w:ascii="宋体" w:hAnsi="宋体" w:eastAsia="宋体" w:cs="宋体"/>
                <w:bCs/>
                <w:i w:val="0"/>
                <w:iCs w:val="0"/>
                <w:color w:val="auto"/>
                <w:sz w:val="21"/>
                <w:szCs w:val="21"/>
                <w:highlight w:val="none"/>
                <w:lang w:val="en-US" w:eastAsia="zh-CN"/>
              </w:rPr>
            </w:pPr>
            <w:r>
              <w:rPr>
                <w:rFonts w:hint="eastAsia" w:ascii="宋体" w:hAnsi="宋体" w:eastAsia="宋体" w:cs="宋体"/>
                <w:bCs/>
                <w:i w:val="0"/>
                <w:iCs w:val="0"/>
                <w:color w:val="auto"/>
                <w:sz w:val="21"/>
                <w:szCs w:val="21"/>
                <w:highlight w:val="none"/>
                <w:lang w:val="en-US" w:eastAsia="zh-CN"/>
              </w:rPr>
              <w:t>3.对于未预留份额专门面向中小企业采购的采购项目，以及预留份额项目中的非预留部分采购包，对小型和微型企业产品（服务）给予20%的价格扣除；小型、微型企业的协议合同金额占到联合协议合同总金额30%以上的，给予联合体6%的价格扣除；</w:t>
            </w:r>
            <w:r>
              <w:rPr>
                <w:rFonts w:hint="eastAsia" w:ascii="宋体" w:hAnsi="宋体" w:eastAsia="宋体" w:cs="宋体"/>
                <w:color w:val="auto"/>
                <w:sz w:val="21"/>
                <w:szCs w:val="21"/>
                <w:highlight w:val="none"/>
              </w:rPr>
              <w:t>（本项目不适用）</w:t>
            </w:r>
          </w:p>
          <w:p>
            <w:pPr>
              <w:widowControl w:val="0"/>
              <w:autoSpaceDE w:val="0"/>
              <w:autoSpaceDN w:val="0"/>
              <w:spacing w:before="0" w:after="0" w:line="322" w:lineRule="exact"/>
              <w:ind w:left="0" w:right="0"/>
              <w:jc w:val="left"/>
              <w:rPr>
                <w:rFonts w:hint="default" w:ascii="宋体" w:hAnsi="宋体" w:eastAsia="宋体" w:cs="宋体"/>
                <w:bCs/>
                <w:i w:val="0"/>
                <w:iCs w:val="0"/>
                <w:color w:val="auto"/>
                <w:sz w:val="21"/>
                <w:szCs w:val="21"/>
                <w:highlight w:val="none"/>
                <w:lang w:val="en-US" w:eastAsia="zh-CN"/>
              </w:rPr>
            </w:pPr>
            <w:r>
              <w:rPr>
                <w:rFonts w:hint="default" w:ascii="宋体" w:hAnsi="宋体" w:eastAsia="宋体" w:cs="宋体"/>
                <w:bCs/>
                <w:i w:val="0"/>
                <w:iCs w:val="0"/>
                <w:color w:val="auto"/>
                <w:sz w:val="21"/>
                <w:szCs w:val="21"/>
                <w:highlight w:val="none"/>
                <w:lang w:val="en-US" w:eastAsia="zh-CN"/>
              </w:rPr>
              <w:t>监狱企业、残疾人福利性单位视同小型、微型企业，享受价格扣除。</w:t>
            </w:r>
          </w:p>
          <w:p>
            <w:pPr>
              <w:widowControl w:val="0"/>
              <w:autoSpaceDE w:val="0"/>
              <w:autoSpaceDN w:val="0"/>
              <w:spacing w:before="0" w:after="0" w:line="322" w:lineRule="exact"/>
              <w:ind w:left="0" w:right="0"/>
              <w:jc w:val="left"/>
              <w:rPr>
                <w:rFonts w:hint="default" w:eastAsia="宋体"/>
                <w:highlight w:val="none"/>
                <w:lang w:val="en-US" w:eastAsia="zh-CN"/>
              </w:rPr>
            </w:pPr>
            <w:r>
              <w:rPr>
                <w:rFonts w:hint="default" w:ascii="宋体" w:hAnsi="宋体" w:eastAsia="宋体" w:cs="宋体"/>
                <w:bCs/>
                <w:i w:val="0"/>
                <w:iCs w:val="0"/>
                <w:color w:val="auto"/>
                <w:sz w:val="21"/>
                <w:szCs w:val="21"/>
                <w:highlight w:val="none"/>
                <w:lang w:val="en-US" w:eastAsia="zh-CN"/>
              </w:rPr>
              <w:t>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1.12.8</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采购进口产品</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fldChar w:fldCharType="begin"/>
            </w:r>
            <w:r>
              <w:rPr>
                <w:rFonts w:hint="eastAsia" w:ascii="宋体" w:hAnsi="宋体" w:eastAsia="宋体" w:cs="宋体"/>
                <w:bCs/>
                <w:szCs w:val="21"/>
                <w:highlight w:val="none"/>
              </w:rPr>
              <w:instrText xml:space="preserve"> eq \o\ac(</w:instrText>
            </w:r>
            <w:r>
              <w:rPr>
                <w:rFonts w:hint="eastAsia" w:ascii="宋体" w:hAnsi="宋体" w:eastAsia="宋体" w:cs="宋体"/>
                <w:bCs/>
                <w:position w:val="-4"/>
                <w:sz w:val="31"/>
                <w:szCs w:val="21"/>
                <w:highlight w:val="none"/>
              </w:rPr>
              <w:instrText xml:space="preserve">□,</w:instrText>
            </w:r>
            <w:r>
              <w:rPr>
                <w:rFonts w:hint="eastAsia" w:ascii="宋体" w:hAnsi="宋体" w:eastAsia="宋体" w:cs="宋体"/>
                <w:bCs/>
                <w:szCs w:val="21"/>
                <w:highlight w:val="none"/>
              </w:rPr>
              <w:instrText xml:space="preserve">√)</w:instrText>
            </w:r>
            <w:r>
              <w:rPr>
                <w:rFonts w:hint="eastAsia" w:ascii="宋体" w:hAnsi="宋体" w:eastAsia="宋体" w:cs="宋体"/>
                <w:bCs/>
                <w:szCs w:val="21"/>
                <w:highlight w:val="none"/>
              </w:rPr>
              <w:fldChar w:fldCharType="end"/>
            </w:r>
            <w:r>
              <w:rPr>
                <w:rFonts w:hint="eastAsia" w:ascii="宋体" w:hAnsi="宋体" w:eastAsia="宋体" w:cs="宋体"/>
                <w:bCs/>
                <w:szCs w:val="21"/>
                <w:highlight w:val="none"/>
              </w:rPr>
              <w:t>不允许采购进口产品</w:t>
            </w:r>
          </w:p>
          <w:p>
            <w:pPr>
              <w:snapToGrid w:val="0"/>
              <w:spacing w:line="280" w:lineRule="exact"/>
              <w:rPr>
                <w:rFonts w:hint="eastAsia" w:ascii="宋体" w:hAnsi="宋体" w:eastAsia="宋体" w:cs="宋体"/>
                <w:szCs w:val="21"/>
                <w:highlight w:val="none"/>
              </w:rPr>
            </w:pPr>
            <w:r>
              <w:rPr>
                <w:rFonts w:hint="eastAsia" w:ascii="宋体" w:hAnsi="宋体" w:eastAsia="宋体" w:cs="宋体"/>
                <w:bCs/>
                <w:szCs w:val="21"/>
                <w:highlight w:val="none"/>
              </w:rPr>
              <w:fldChar w:fldCharType="begin"/>
            </w:r>
            <w:r>
              <w:rPr>
                <w:rFonts w:hint="eastAsia" w:ascii="宋体" w:hAnsi="宋体" w:eastAsia="宋体" w:cs="宋体"/>
                <w:bCs/>
                <w:szCs w:val="21"/>
                <w:highlight w:val="none"/>
              </w:rPr>
              <w:instrText xml:space="preserve"> eq \o\ac(</w:instrText>
            </w:r>
            <w:r>
              <w:rPr>
                <w:rFonts w:hint="eastAsia" w:ascii="宋体" w:hAnsi="宋体" w:eastAsia="宋体" w:cs="宋体"/>
                <w:bCs/>
                <w:position w:val="-4"/>
                <w:sz w:val="31"/>
                <w:szCs w:val="21"/>
                <w:highlight w:val="none"/>
              </w:rPr>
              <w:instrText xml:space="preserve">□</w:instrText>
            </w:r>
            <w:r>
              <w:rPr>
                <w:rFonts w:hint="eastAsia" w:ascii="宋体" w:hAnsi="宋体" w:eastAsia="宋体" w:cs="宋体"/>
                <w:bCs/>
                <w:szCs w:val="21"/>
                <w:highlight w:val="none"/>
              </w:rPr>
              <w:instrText xml:space="preserve">)</w:instrText>
            </w:r>
            <w:r>
              <w:rPr>
                <w:rFonts w:hint="eastAsia" w:ascii="宋体" w:hAnsi="宋体" w:eastAsia="宋体" w:cs="宋体"/>
                <w:bCs/>
                <w:szCs w:val="21"/>
                <w:highlight w:val="none"/>
              </w:rPr>
              <w:fldChar w:fldCharType="end"/>
            </w:r>
            <w:r>
              <w:rPr>
                <w:rFonts w:hint="eastAsia" w:ascii="宋体" w:hAnsi="宋体" w:eastAsia="宋体" w:cs="宋体"/>
                <w:bCs/>
                <w:szCs w:val="21"/>
                <w:highlight w:val="none"/>
              </w:rPr>
              <w:t>允许采购进口产品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1.13.3</w:t>
            </w:r>
          </w:p>
        </w:tc>
        <w:tc>
          <w:tcPr>
            <w:tcW w:w="2115" w:type="dxa"/>
            <w:noWrap w:val="0"/>
            <w:vAlign w:val="center"/>
          </w:tcPr>
          <w:p>
            <w:pPr>
              <w:snapToGrid w:val="0"/>
              <w:spacing w:line="280" w:lineRule="exact"/>
              <w:jc w:val="center"/>
              <w:rPr>
                <w:rFonts w:hint="eastAsia" w:ascii="宋体" w:hAnsi="宋体" w:eastAsia="宋体" w:cs="宋体"/>
                <w:b/>
                <w:szCs w:val="21"/>
                <w:highlight w:val="none"/>
              </w:rPr>
            </w:pPr>
            <w:r>
              <w:rPr>
                <w:rFonts w:hint="eastAsia" w:ascii="宋体" w:hAnsi="宋体" w:eastAsia="宋体" w:cs="宋体"/>
                <w:bCs/>
                <w:szCs w:val="21"/>
                <w:highlight w:val="none"/>
              </w:rPr>
              <w:t>核心产品</w:t>
            </w:r>
          </w:p>
        </w:tc>
        <w:tc>
          <w:tcPr>
            <w:tcW w:w="6495" w:type="dxa"/>
            <w:noWrap w:val="0"/>
            <w:vAlign w:val="center"/>
          </w:tcPr>
          <w:p>
            <w:pPr>
              <w:widowControl/>
              <w:spacing w:line="280" w:lineRule="exact"/>
              <w:jc w:val="left"/>
              <w:rPr>
                <w:rFonts w:hint="eastAsia" w:ascii="宋体" w:hAnsi="宋体" w:eastAsia="宋体" w:cs="宋体"/>
                <w:b/>
                <w:kern w:val="0"/>
                <w:szCs w:val="21"/>
                <w:highlight w:val="none"/>
              </w:rPr>
            </w:pPr>
            <w:r>
              <w:rPr>
                <w:rFonts w:hint="eastAsia" w:ascii="宋体" w:hAnsi="宋体" w:eastAsia="宋体" w:cs="宋体"/>
                <w:b/>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1.14.1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现场考察</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采购人及代理机构不组织现场考察。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2.2.1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竞争性磋商文件的澄清、答疑、修改、补充截止时间</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响应文件递交截止时间3天前。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2.2.2</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竞争性磋商文件的澄清、答疑、修改、补充发布地点</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浙江政府采购网（https://zfcg.czt.zj.gov.cn/）。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3.2.1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color w:val="000000"/>
                <w:szCs w:val="21"/>
                <w:highlight w:val="none"/>
              </w:rPr>
              <w:t>资格审查文件</w:t>
            </w:r>
            <w:r>
              <w:rPr>
                <w:rFonts w:hint="eastAsia" w:ascii="宋体" w:hAnsi="宋体" w:eastAsia="宋体" w:cs="宋体"/>
                <w:bCs/>
                <w:szCs w:val="21"/>
                <w:highlight w:val="none"/>
              </w:rPr>
              <w:t>的组成</w:t>
            </w:r>
          </w:p>
        </w:tc>
        <w:tc>
          <w:tcPr>
            <w:tcW w:w="6495"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eastAsia="zh-CN"/>
              </w:rPr>
              <w:t>）</w:t>
            </w:r>
            <w:r>
              <w:rPr>
                <w:rFonts w:hint="eastAsia" w:ascii="宋体" w:hAnsi="宋体" w:eastAsia="宋体" w:cs="宋体"/>
                <w:szCs w:val="21"/>
                <w:highlight w:val="none"/>
              </w:rPr>
              <w:t>企业营业执照扫描件；</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）法定代表人身份证明书或法定代表人授权委托书；</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）资格承诺函；</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）资格证明；</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 无重大违法记录声明书；</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eastAsia="宋体"/>
                <w:highlight w:val="none"/>
                <w:lang w:val="en-US" w:eastAsia="zh-CN"/>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rPr>
              <w:t>) 企业类型声明函；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6" w:hRule="atLeast"/>
        </w:trPr>
        <w:tc>
          <w:tcPr>
            <w:tcW w:w="939" w:type="dxa"/>
            <w:noWrap w:val="0"/>
            <w:vAlign w:val="center"/>
          </w:tcPr>
          <w:p>
            <w:pPr>
              <w:snapToGrid w:val="0"/>
              <w:spacing w:line="280" w:lineRule="exact"/>
              <w:jc w:val="center"/>
              <w:rPr>
                <w:rFonts w:hint="eastAsia" w:ascii="宋体" w:hAnsi="宋体" w:eastAsia="宋体" w:cs="宋体"/>
                <w:szCs w:val="21"/>
                <w:highlight w:val="none"/>
              </w:rPr>
            </w:pPr>
            <w:r>
              <w:rPr>
                <w:rFonts w:hint="eastAsia" w:ascii="宋体" w:hAnsi="宋体" w:eastAsia="宋体" w:cs="宋体"/>
                <w:szCs w:val="21"/>
                <w:highlight w:val="none"/>
              </w:rPr>
              <w:t>3.3</w:t>
            </w:r>
          </w:p>
        </w:tc>
        <w:tc>
          <w:tcPr>
            <w:tcW w:w="2115" w:type="dxa"/>
            <w:noWrap w:val="0"/>
            <w:vAlign w:val="center"/>
          </w:tcPr>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商务技术文件的组成</w:t>
            </w:r>
          </w:p>
        </w:tc>
        <w:tc>
          <w:tcPr>
            <w:tcW w:w="6495"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（1）磋商函</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（2）承诺函</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（3）商务响应表</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rPr>
              <w:t>（4</w:t>
            </w:r>
            <w:r>
              <w:rPr>
                <w:rFonts w:hint="eastAsia" w:ascii="宋体" w:hAnsi="宋体" w:eastAsia="宋体" w:cs="宋体"/>
                <w:szCs w:val="21"/>
                <w:highlight w:val="none"/>
                <w:lang w:eastAsia="zh-CN"/>
              </w:rPr>
              <w:t>）业绩</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lang w:eastAsia="zh-CN"/>
              </w:rPr>
              <w:t>）项目负责人</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施工设计方案</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技术参数响应部分</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施工方案</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9</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重点难点分析及解决措施</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（10）实施进度计划</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（11）售后服务</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（12）设备质保期及培训方案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3.4</w:t>
            </w:r>
          </w:p>
        </w:tc>
        <w:tc>
          <w:tcPr>
            <w:tcW w:w="2115" w:type="dxa"/>
            <w:noWrap w:val="0"/>
            <w:vAlign w:val="center"/>
          </w:tcPr>
          <w:p>
            <w:pPr>
              <w:snapToGrid w:val="0"/>
              <w:spacing w:line="280" w:lineRule="exact"/>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报价文件的组成</w:t>
            </w:r>
          </w:p>
        </w:tc>
        <w:tc>
          <w:tcPr>
            <w:tcW w:w="6495"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（1）开标一览表</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（2）投标分项报价表</w:t>
            </w:r>
          </w:p>
          <w:p>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宋体" w:hAnsi="宋体" w:eastAsia="宋体" w:cs="宋体"/>
                <w:szCs w:val="21"/>
                <w:highlight w:val="none"/>
              </w:rPr>
            </w:pPr>
            <w:r>
              <w:rPr>
                <w:rFonts w:hint="eastAsia" w:ascii="宋体" w:hAnsi="宋体" w:eastAsia="宋体" w:cs="宋体"/>
                <w:szCs w:val="21"/>
                <w:highlight w:val="none"/>
              </w:rPr>
              <w:t>（3）供应商针对报价需要说明的其他文件和说明。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3.5.1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其他文件的组成</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样品或讲解：无。</w:t>
            </w:r>
          </w:p>
          <w:p>
            <w:pPr>
              <w:snapToGrid w:val="0"/>
              <w:spacing w:line="280" w:lineRule="exact"/>
              <w:rPr>
                <w:rFonts w:hint="eastAsia" w:ascii="宋体" w:hAnsi="宋体" w:eastAsia="宋体" w:cs="宋体"/>
                <w:b/>
                <w:szCs w:val="21"/>
                <w:highlight w:val="none"/>
              </w:rPr>
            </w:pPr>
            <w:r>
              <w:rPr>
                <w:rFonts w:hint="eastAsia" w:ascii="宋体" w:hAnsi="宋体" w:eastAsia="宋体" w:cs="宋体"/>
                <w:b/>
                <w:bCs/>
                <w:szCs w:val="21"/>
                <w:highlight w:val="none"/>
              </w:rPr>
              <w:t>注：其他文件只作为响应文件组成的部分，具体内容不体现在响应文件当中。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4.3</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磋商有效期</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4.6.1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响应文件的份数</w:t>
            </w:r>
          </w:p>
        </w:tc>
        <w:tc>
          <w:tcPr>
            <w:tcW w:w="6495" w:type="dxa"/>
            <w:noWrap w:val="0"/>
            <w:vAlign w:val="center"/>
          </w:tcPr>
          <w:p>
            <w:pPr>
              <w:snapToGrid w:val="0"/>
              <w:spacing w:line="280" w:lineRule="exact"/>
              <w:rPr>
                <w:rFonts w:hint="eastAsia" w:ascii="宋体" w:hAnsi="宋体" w:eastAsia="宋体" w:cs="宋体"/>
                <w:b w:val="0"/>
                <w:bCs w:val="0"/>
                <w:szCs w:val="21"/>
                <w:highlight w:val="none"/>
              </w:rPr>
            </w:pPr>
            <w:r>
              <w:rPr>
                <w:rFonts w:hint="eastAsia" w:ascii="宋体" w:hAnsi="宋体" w:eastAsia="宋体" w:cs="宋体"/>
                <w:b w:val="0"/>
                <w:bCs w:val="0"/>
                <w:szCs w:val="21"/>
                <w:highlight w:val="none"/>
              </w:rPr>
              <w:t>1、电子加密响应文件1份，自行在政府采购云平台在线提交；</w:t>
            </w:r>
          </w:p>
          <w:p>
            <w:pPr>
              <w:snapToGrid w:val="0"/>
              <w:spacing w:line="280" w:lineRule="exact"/>
              <w:rPr>
                <w:rFonts w:hint="eastAsia" w:ascii="宋体" w:hAnsi="宋体" w:eastAsia="宋体" w:cs="宋体"/>
                <w:b w:val="0"/>
                <w:bCs w:val="0"/>
                <w:szCs w:val="21"/>
                <w:highlight w:val="none"/>
              </w:rPr>
            </w:pPr>
            <w:r>
              <w:rPr>
                <w:rFonts w:hint="eastAsia" w:ascii="宋体" w:hAnsi="宋体" w:eastAsia="宋体" w:cs="宋体"/>
                <w:b w:val="0"/>
                <w:bCs w:val="0"/>
                <w:szCs w:val="21"/>
                <w:highlight w:val="none"/>
              </w:rPr>
              <w:t>2、备份响应文件1份，由供应商自行确定是否提交；若提交请将备份投标文件打包压缩加密后以电子邮件的形式发送至532760896@qq.com。</w:t>
            </w:r>
          </w:p>
          <w:p>
            <w:pPr>
              <w:snapToGrid w:val="0"/>
              <w:spacing w:line="280" w:lineRule="exact"/>
              <w:rPr>
                <w:rFonts w:hint="eastAsia" w:ascii="宋体" w:hAnsi="宋体" w:eastAsia="宋体" w:cs="宋体"/>
                <w:b w:val="0"/>
                <w:bCs w:val="0"/>
                <w:szCs w:val="21"/>
                <w:highlight w:val="none"/>
              </w:rPr>
            </w:pPr>
            <w:r>
              <w:rPr>
                <w:rFonts w:hint="eastAsia" w:ascii="宋体" w:hAnsi="宋体" w:eastAsia="宋体" w:cs="宋体"/>
                <w:b w:val="0"/>
                <w:bCs w:val="0"/>
                <w:szCs w:val="21"/>
                <w:highlight w:val="none"/>
              </w:rPr>
              <w:t>注：供应商在线解密失败后，启用备份投标文件，否则不启用备份响应文件。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2"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5.3.1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响应文件提交地点</w:t>
            </w:r>
          </w:p>
        </w:tc>
        <w:tc>
          <w:tcPr>
            <w:tcW w:w="6495" w:type="dxa"/>
            <w:noWrap w:val="0"/>
            <w:vAlign w:val="center"/>
          </w:tcPr>
          <w:p>
            <w:pPr>
              <w:snapToGrid w:val="0"/>
              <w:spacing w:line="280" w:lineRule="exact"/>
              <w:rPr>
                <w:rFonts w:hint="eastAsia" w:ascii="宋体" w:hAnsi="宋体" w:eastAsia="宋体" w:cs="宋体"/>
                <w:b w:val="0"/>
                <w:bCs w:val="0"/>
                <w:szCs w:val="21"/>
                <w:highlight w:val="none"/>
              </w:rPr>
            </w:pPr>
            <w:r>
              <w:rPr>
                <w:rFonts w:hint="eastAsia" w:ascii="宋体" w:hAnsi="宋体" w:eastAsia="宋体" w:cs="宋体"/>
                <w:b w:val="0"/>
                <w:bCs w:val="0"/>
                <w:szCs w:val="21"/>
                <w:highlight w:val="none"/>
              </w:rPr>
              <w:t>本项目实行电子招投标，供应商须在磋商截止时间前，前往政采云平台上传电子响应文件，无需到达现场提交响应文件。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1"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5.3.2</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响应文件</w:t>
            </w:r>
          </w:p>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提交截止时间</w:t>
            </w:r>
          </w:p>
        </w:tc>
        <w:tc>
          <w:tcPr>
            <w:tcW w:w="6495" w:type="dxa"/>
            <w:noWrap w:val="0"/>
            <w:vAlign w:val="center"/>
          </w:tcPr>
          <w:p>
            <w:pPr>
              <w:snapToGrid w:val="0"/>
              <w:spacing w:line="280" w:lineRule="exact"/>
              <w:rPr>
                <w:rFonts w:hint="eastAsia" w:ascii="宋体" w:hAnsi="宋体" w:eastAsia="宋体" w:cs="宋体"/>
                <w:b w:val="0"/>
                <w:bCs w:val="0"/>
                <w:szCs w:val="21"/>
                <w:highlight w:val="none"/>
              </w:rPr>
            </w:pPr>
            <w:r>
              <w:rPr>
                <w:rFonts w:hint="eastAsia" w:ascii="宋体" w:hAnsi="宋体" w:eastAsia="宋体" w:cs="宋体"/>
                <w:b w:val="0"/>
                <w:bCs w:val="0"/>
                <w:szCs w:val="21"/>
                <w:highlight w:val="none"/>
              </w:rPr>
              <w:t>同磋商截止时间，见第一章竞争性磋商公告。在磋商截止时间前，供应商可对已提交的电子响应文件进行补充、修改或撤回。补充、修改电子响应文件的，应当先行撤回原文件，补充、修改后重新生成加密的电子响应文件并重新传输递交。磋商截止时间前未完成传输的，视为撤回响应文件。磋商截止时间后递交的电子响应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5.3.3</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是否退还响应文件</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☑否□是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7.1.1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磋商时间和地点</w:t>
            </w:r>
          </w:p>
        </w:tc>
        <w:tc>
          <w:tcPr>
            <w:tcW w:w="6495" w:type="dxa"/>
            <w:noWrap w:val="0"/>
            <w:vAlign w:val="center"/>
          </w:tcPr>
          <w:p>
            <w:pPr>
              <w:snapToGrid w:val="0"/>
              <w:spacing w:line="280" w:lineRule="exact"/>
              <w:rPr>
                <w:rFonts w:hint="eastAsia" w:ascii="宋体" w:hAnsi="宋体" w:eastAsia="宋体" w:cs="宋体"/>
                <w:b/>
                <w:bCs/>
                <w:szCs w:val="21"/>
                <w:highlight w:val="none"/>
              </w:rPr>
            </w:pPr>
            <w:r>
              <w:rPr>
                <w:rFonts w:hint="eastAsia" w:ascii="宋体" w:hAnsi="宋体" w:eastAsia="宋体" w:cs="宋体"/>
                <w:bCs/>
                <w:szCs w:val="21"/>
                <w:highlight w:val="none"/>
              </w:rPr>
              <w:t>磋商时间：</w:t>
            </w:r>
            <w:r>
              <w:rPr>
                <w:rFonts w:hint="eastAsia" w:ascii="宋体" w:hAnsi="宋体" w:eastAsia="宋体" w:cs="宋体"/>
                <w:b/>
                <w:bCs/>
                <w:szCs w:val="21"/>
                <w:highlight w:val="none"/>
              </w:rPr>
              <w:t>202</w:t>
            </w:r>
            <w:r>
              <w:rPr>
                <w:rFonts w:hint="eastAsia" w:ascii="宋体" w:hAnsi="宋体" w:eastAsia="宋体" w:cs="宋体"/>
                <w:b/>
                <w:bCs/>
                <w:szCs w:val="21"/>
                <w:highlight w:val="none"/>
                <w:lang w:val="en-US" w:eastAsia="zh-CN"/>
              </w:rPr>
              <w:t>3</w:t>
            </w:r>
            <w:r>
              <w:rPr>
                <w:rFonts w:hint="eastAsia" w:ascii="宋体" w:hAnsi="宋体" w:eastAsia="宋体" w:cs="宋体"/>
                <w:b/>
                <w:bCs/>
                <w:szCs w:val="21"/>
                <w:highlight w:val="none"/>
              </w:rPr>
              <w:t>年</w:t>
            </w:r>
            <w:r>
              <w:rPr>
                <w:rFonts w:hint="eastAsia" w:ascii="宋体" w:hAnsi="宋体" w:eastAsia="宋体" w:cs="宋体"/>
                <w:b/>
                <w:bCs/>
                <w:szCs w:val="21"/>
                <w:highlight w:val="none"/>
                <w:lang w:val="en-US" w:eastAsia="zh-CN"/>
              </w:rPr>
              <w:t>1</w:t>
            </w:r>
            <w:r>
              <w:rPr>
                <w:rFonts w:hint="eastAsia" w:ascii="宋体" w:hAnsi="宋体" w:eastAsia="宋体" w:cs="宋体"/>
                <w:b/>
                <w:bCs/>
                <w:szCs w:val="21"/>
                <w:highlight w:val="none"/>
                <w:lang w:val="en-US" w:eastAsia="zh-CN"/>
              </w:rPr>
              <w:t>2</w:t>
            </w:r>
            <w:r>
              <w:rPr>
                <w:rFonts w:hint="eastAsia" w:ascii="宋体" w:hAnsi="宋体" w:eastAsia="宋体" w:cs="宋体"/>
                <w:b/>
                <w:bCs/>
                <w:szCs w:val="21"/>
                <w:highlight w:val="none"/>
                <w:lang w:val="en-US" w:eastAsia="zh-CN"/>
              </w:rPr>
              <w:t>月5</w:t>
            </w:r>
            <w:r>
              <w:rPr>
                <w:rFonts w:hint="eastAsia" w:ascii="宋体" w:hAnsi="宋体" w:eastAsia="宋体" w:cs="宋体"/>
                <w:b/>
                <w:bCs/>
                <w:szCs w:val="21"/>
                <w:highlight w:val="none"/>
              </w:rPr>
              <w:t>日</w:t>
            </w:r>
            <w:r>
              <w:rPr>
                <w:rFonts w:hint="eastAsia" w:ascii="宋体" w:hAnsi="宋体" w:eastAsia="宋体" w:cs="宋体"/>
                <w:b/>
                <w:bCs/>
                <w:szCs w:val="21"/>
                <w:highlight w:val="none"/>
                <w:lang w:val="en-US" w:eastAsia="zh-CN"/>
              </w:rPr>
              <w:t>1</w:t>
            </w:r>
            <w:r>
              <w:rPr>
                <w:rFonts w:hint="eastAsia" w:ascii="宋体" w:hAnsi="宋体" w:eastAsia="宋体" w:cs="宋体"/>
                <w:b/>
                <w:bCs/>
                <w:szCs w:val="21"/>
                <w:highlight w:val="none"/>
                <w:lang w:val="en-US" w:eastAsia="zh-CN"/>
              </w:rPr>
              <w:t>4</w:t>
            </w:r>
            <w:r>
              <w:rPr>
                <w:rFonts w:hint="eastAsia" w:ascii="宋体" w:hAnsi="宋体" w:eastAsia="宋体" w:cs="宋体"/>
                <w:b/>
                <w:bCs/>
                <w:szCs w:val="21"/>
                <w:highlight w:val="none"/>
              </w:rPr>
              <w:t>：00（北京时间）</w:t>
            </w:r>
          </w:p>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磋商地点：</w:t>
            </w:r>
            <w:r>
              <w:rPr>
                <w:rFonts w:hint="eastAsia" w:ascii="宋体" w:hAnsi="宋体" w:eastAsia="宋体" w:cs="宋体"/>
                <w:b/>
                <w:szCs w:val="21"/>
                <w:highlight w:val="none"/>
              </w:rPr>
              <w:t>供应商均应当准时在线参加（政采云平台）。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7.1.4</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磋商时供应商</w:t>
            </w:r>
          </w:p>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须携带的资料</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7.3.6</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磋商评审办法</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本项目的磋商评审办法是：</w:t>
            </w:r>
          </w:p>
          <w:p>
            <w:pPr>
              <w:snapToGrid w:val="0"/>
              <w:spacing w:line="280" w:lineRule="exact"/>
              <w:rPr>
                <w:rFonts w:hint="eastAsia" w:ascii="宋体" w:hAnsi="宋体" w:eastAsia="宋体" w:cs="宋体"/>
                <w:bCs/>
                <w:szCs w:val="21"/>
                <w:highlight w:val="none"/>
                <w:lang w:eastAsia="zh-CN"/>
              </w:rPr>
            </w:pPr>
            <w:r>
              <w:rPr>
                <w:rFonts w:hint="eastAsia" w:ascii="宋体" w:hAnsi="宋体" w:eastAsia="宋体" w:cs="宋体"/>
                <w:bCs/>
                <w:szCs w:val="21"/>
                <w:highlight w:val="none"/>
              </w:rPr>
              <w:t>☑综合评分法</w:t>
            </w:r>
            <w:r>
              <w:rPr>
                <w:rFonts w:hint="eastAsia" w:ascii="宋体" w:hAnsi="宋体" w:eastAsia="宋体" w:cs="宋体"/>
                <w:bCs/>
                <w:szCs w:val="21"/>
                <w:highlight w:val="none"/>
                <w:lang w:eastAsia="zh-CN"/>
              </w:rPr>
              <w:t>；</w:t>
            </w:r>
          </w:p>
          <w:p>
            <w:pPr>
              <w:snapToGrid w:val="0"/>
              <w:spacing w:line="280" w:lineRule="exact"/>
              <w:rPr>
                <w:rFonts w:hint="eastAsia" w:ascii="宋体" w:hAnsi="宋体" w:eastAsia="宋体" w:cs="宋体"/>
                <w:bCs/>
                <w:szCs w:val="21"/>
                <w:highlight w:val="none"/>
                <w:lang w:eastAsia="zh-CN"/>
              </w:rPr>
            </w:pPr>
            <w:r>
              <w:rPr>
                <w:rFonts w:hint="eastAsia" w:ascii="宋体" w:hAnsi="宋体" w:eastAsia="宋体" w:cs="宋体"/>
                <w:bCs/>
                <w:szCs w:val="21"/>
                <w:highlight w:val="none"/>
              </w:rPr>
              <w:t>□最低价评审价法</w:t>
            </w:r>
            <w:r>
              <w:rPr>
                <w:rFonts w:hint="eastAsia" w:ascii="宋体" w:hAnsi="宋体" w:eastAsia="宋体" w:cs="宋体"/>
                <w:bCs/>
                <w:szCs w:val="21"/>
                <w:highlight w:val="none"/>
                <w:lang w:eastAsia="zh-CN"/>
              </w:rPr>
              <w:t>；</w:t>
            </w:r>
          </w:p>
          <w:p>
            <w:pPr>
              <w:snapToGrid w:val="0"/>
              <w:spacing w:line="280" w:lineRule="exact"/>
              <w:rPr>
                <w:rFonts w:hint="eastAsia" w:ascii="宋体" w:hAnsi="宋体" w:eastAsia="宋体" w:cs="宋体"/>
                <w:bCs/>
                <w:szCs w:val="21"/>
                <w:highlight w:val="none"/>
                <w:u w:val="single"/>
              </w:rPr>
            </w:pPr>
            <w:r>
              <w:rPr>
                <w:rFonts w:hint="eastAsia" w:ascii="宋体" w:hAnsi="宋体" w:eastAsia="宋体" w:cs="宋体"/>
                <w:bCs/>
                <w:szCs w:val="21"/>
                <w:highlight w:val="none"/>
              </w:rPr>
              <w:t>具体磋商评审内容及评分标准等详见《第六章：磋商评审办法及评分标准》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2"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7.5.1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推荐成交候选人家数</w:t>
            </w:r>
          </w:p>
        </w:tc>
        <w:tc>
          <w:tcPr>
            <w:tcW w:w="6495" w:type="dxa"/>
            <w:noWrap w:val="0"/>
            <w:vAlign w:val="center"/>
          </w:tcPr>
          <w:p>
            <w:pPr>
              <w:snapToGrid w:val="0"/>
              <w:spacing w:line="280" w:lineRule="exact"/>
              <w:rPr>
                <w:rFonts w:hint="default" w:ascii="宋体" w:hAnsi="宋体" w:eastAsia="宋体" w:cs="宋体"/>
                <w:bCs/>
                <w:szCs w:val="21"/>
                <w:highlight w:val="none"/>
                <w:u w:val="single"/>
                <w:lang w:val="en-US" w:eastAsia="zh-CN"/>
              </w:rPr>
            </w:pPr>
            <w:r>
              <w:rPr>
                <w:rFonts w:hint="eastAsia" w:ascii="宋体" w:hAnsi="宋体" w:cs="宋体"/>
                <w:bCs/>
                <w:color w:val="auto"/>
                <w:szCs w:val="21"/>
                <w:highlight w:val="none"/>
              </w:rPr>
              <w:t>推荐</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家，确定1家。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7"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8.4.3</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付款条件</w:t>
            </w:r>
          </w:p>
        </w:tc>
        <w:tc>
          <w:tcPr>
            <w:tcW w:w="6495" w:type="dxa"/>
            <w:noWrap w:val="0"/>
            <w:vAlign w:val="center"/>
          </w:tcPr>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按合同条款执行。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8.4.4</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付款方式</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1、</w:t>
            </w:r>
            <w:r>
              <w:rPr>
                <w:rFonts w:hint="eastAsia" w:ascii="宋体" w:hAnsi="宋体" w:eastAsia="宋体" w:cs="宋体"/>
                <w:bCs/>
                <w:szCs w:val="21"/>
                <w:highlight w:val="none"/>
              </w:rPr>
              <w:t>合同签订后</w:t>
            </w:r>
            <w:r>
              <w:rPr>
                <w:rFonts w:hint="eastAsia" w:ascii="宋体" w:hAnsi="宋体" w:eastAsia="宋体" w:cs="宋体"/>
                <w:bCs/>
                <w:szCs w:val="21"/>
                <w:highlight w:val="none"/>
                <w:lang w:val="en-US" w:eastAsia="zh-CN"/>
              </w:rPr>
              <w:t>7个工作日内</w:t>
            </w:r>
            <w:r>
              <w:rPr>
                <w:rFonts w:hint="eastAsia" w:ascii="宋体" w:hAnsi="宋体" w:eastAsia="宋体" w:cs="宋体"/>
                <w:bCs/>
                <w:szCs w:val="21"/>
                <w:highlight w:val="none"/>
              </w:rPr>
              <w:t>支付合同</w:t>
            </w:r>
            <w:r>
              <w:rPr>
                <w:rFonts w:hint="eastAsia" w:ascii="宋体" w:hAnsi="宋体" w:eastAsia="宋体" w:cs="宋体"/>
                <w:bCs/>
                <w:szCs w:val="21"/>
                <w:highlight w:val="none"/>
                <w:lang w:eastAsia="zh-CN"/>
              </w:rPr>
              <w:t>金额</w:t>
            </w:r>
            <w:r>
              <w:rPr>
                <w:rFonts w:hint="eastAsia" w:ascii="宋体" w:hAnsi="宋体" w:eastAsia="宋体" w:cs="宋体"/>
                <w:bCs/>
                <w:szCs w:val="21"/>
                <w:highlight w:val="none"/>
              </w:rPr>
              <w:t>的</w:t>
            </w:r>
            <w:r>
              <w:rPr>
                <w:rFonts w:hint="eastAsia" w:ascii="宋体" w:hAnsi="宋体" w:eastAsia="宋体" w:cs="宋体"/>
                <w:bCs/>
                <w:szCs w:val="21"/>
                <w:highlight w:val="none"/>
                <w:lang w:val="en-US" w:eastAsia="zh-CN"/>
              </w:rPr>
              <w:t>40</w:t>
            </w:r>
            <w:r>
              <w:rPr>
                <w:rFonts w:hint="eastAsia" w:ascii="宋体" w:hAnsi="宋体" w:eastAsia="宋体" w:cs="宋体"/>
                <w:bCs/>
                <w:szCs w:val="21"/>
                <w:highlight w:val="none"/>
              </w:rPr>
              <w:t>%作为预付款，供应商应</w:t>
            </w:r>
            <w:r>
              <w:rPr>
                <w:rFonts w:hint="eastAsia" w:ascii="宋体" w:hAnsi="宋体" w:eastAsia="宋体" w:cs="宋体"/>
                <w:bCs/>
                <w:szCs w:val="21"/>
                <w:highlight w:val="none"/>
                <w:lang w:eastAsia="zh-CN"/>
              </w:rPr>
              <w:t>同时</w:t>
            </w:r>
            <w:r>
              <w:rPr>
                <w:rFonts w:hint="eastAsia" w:ascii="宋体" w:hAnsi="宋体" w:eastAsia="宋体" w:cs="宋体"/>
                <w:bCs/>
                <w:szCs w:val="21"/>
                <w:highlight w:val="none"/>
              </w:rPr>
              <w:t>提交银行、保险公司等金融机构出具同等金额的预付款保函；</w:t>
            </w:r>
          </w:p>
          <w:p>
            <w:pPr>
              <w:snapToGrid w:val="0"/>
              <w:spacing w:line="280" w:lineRule="exact"/>
              <w:rPr>
                <w:rFonts w:hint="default" w:eastAsia="宋体"/>
                <w:highlight w:val="none"/>
                <w:lang w:val="en-US" w:eastAsia="zh-CN"/>
              </w:rPr>
            </w:pPr>
            <w:r>
              <w:rPr>
                <w:rFonts w:hint="eastAsia" w:ascii="宋体" w:hAnsi="宋体" w:eastAsia="宋体" w:cs="宋体"/>
                <w:bCs/>
                <w:szCs w:val="21"/>
                <w:highlight w:val="none"/>
                <w:lang w:val="en-US" w:eastAsia="zh-CN"/>
              </w:rPr>
              <w:t>2、</w:t>
            </w:r>
            <w:r>
              <w:rPr>
                <w:rFonts w:hint="eastAsia" w:ascii="宋体" w:hAnsi="宋体" w:eastAsia="宋体" w:cs="宋体"/>
                <w:bCs/>
                <w:szCs w:val="21"/>
                <w:highlight w:val="none"/>
              </w:rPr>
              <w:t>安装完毕并经验收合格后</w:t>
            </w:r>
            <w:r>
              <w:rPr>
                <w:rFonts w:hint="eastAsia" w:ascii="宋体" w:hAnsi="宋体" w:eastAsia="宋体" w:cs="宋体"/>
                <w:bCs/>
                <w:szCs w:val="21"/>
                <w:highlight w:val="none"/>
                <w:lang w:val="en-US" w:eastAsia="zh-CN"/>
              </w:rPr>
              <w:t>7个工作日内</w:t>
            </w:r>
            <w:r>
              <w:rPr>
                <w:rFonts w:hint="eastAsia" w:ascii="宋体" w:hAnsi="宋体" w:eastAsia="宋体" w:cs="宋体"/>
                <w:bCs/>
                <w:szCs w:val="21"/>
                <w:highlight w:val="none"/>
              </w:rPr>
              <w:t>支付</w:t>
            </w:r>
            <w:r>
              <w:rPr>
                <w:rFonts w:hint="eastAsia" w:ascii="宋体" w:hAnsi="宋体" w:eastAsia="宋体" w:cs="宋体"/>
                <w:bCs/>
                <w:szCs w:val="21"/>
                <w:highlight w:val="none"/>
                <w:lang w:eastAsia="zh-CN"/>
              </w:rPr>
              <w:t>剩余合同金额</w:t>
            </w:r>
            <w:r>
              <w:rPr>
                <w:rFonts w:hint="eastAsia" w:ascii="宋体" w:hAnsi="宋体" w:eastAsia="宋体" w:cs="宋体"/>
                <w:bCs/>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9.1.1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履约保证金</w:t>
            </w:r>
          </w:p>
        </w:tc>
        <w:tc>
          <w:tcPr>
            <w:tcW w:w="6495" w:type="dxa"/>
            <w:noWrap w:val="0"/>
            <w:vAlign w:val="center"/>
          </w:tcPr>
          <w:p>
            <w:pPr>
              <w:spacing w:line="280" w:lineRule="exact"/>
              <w:rPr>
                <w:rFonts w:hint="eastAsia" w:ascii="宋体" w:hAnsi="宋体" w:eastAsia="宋体" w:cs="宋体"/>
                <w:bCs/>
                <w:szCs w:val="21"/>
                <w:highlight w:val="none"/>
                <w:lang w:eastAsia="zh-CN"/>
              </w:rPr>
            </w:pPr>
            <w:r>
              <w:rPr>
                <w:rFonts w:hint="eastAsia" w:ascii="宋体" w:hAnsi="宋体" w:eastAsia="宋体" w:cs="宋体"/>
                <w:sz w:val="21"/>
                <w:szCs w:val="21"/>
                <w:highlight w:val="none"/>
                <w:lang w:val="en-US" w:eastAsia="zh-CN"/>
              </w:rPr>
              <w:t>本项目不收取。</w:t>
            </w:r>
            <w:r>
              <w:rPr>
                <w:rFonts w:hint="eastAsia" w:ascii="宋体" w:hAnsi="宋体" w:eastAsia="宋体" w:cs="宋体"/>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10.3</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注意事项</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
                <w:bCs/>
                <w:szCs w:val="21"/>
                <w:highlight w:val="none"/>
              </w:rPr>
              <w:t>磋商截止时间后，供应商登录政采云平台，用“项目采购-开标评标”功能对电子响应文件进行在线解密。在线解密电子响应文件时间为磋商截止时间起30分钟内，</w:t>
            </w:r>
            <w:r>
              <w:rPr>
                <w:rFonts w:hint="eastAsia" w:ascii="宋体" w:hAnsi="宋体" w:eastAsia="宋体" w:cs="宋体"/>
                <w:b/>
                <w:szCs w:val="21"/>
                <w:highlight w:val="none"/>
              </w:rPr>
              <w:t>未按时解密或解密未成功的，供应商应当在解密时间内向采购代理机构通过电子邮箱（532760896@qq.com）提供备份响应文件，否则</w:t>
            </w:r>
            <w:r>
              <w:rPr>
                <w:rFonts w:hint="eastAsia" w:ascii="宋体" w:hAnsi="宋体" w:eastAsia="宋体" w:cs="宋体"/>
                <w:b/>
                <w:bCs/>
                <w:szCs w:val="21"/>
                <w:highlight w:val="none"/>
              </w:rPr>
              <w:t>视为放弃磋商。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10.4.1</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采购代理机构</w:t>
            </w:r>
          </w:p>
        </w:tc>
        <w:tc>
          <w:tcPr>
            <w:tcW w:w="6495" w:type="dxa"/>
            <w:noWrap w:val="0"/>
            <w:vAlign w:val="center"/>
          </w:tcPr>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代理机构：浙江鼎峰工程咨询有限公司</w:t>
            </w:r>
          </w:p>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联系人：陈杰烽</w:t>
            </w:r>
          </w:p>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联系电话：0578-3311234</w:t>
            </w:r>
          </w:p>
          <w:p>
            <w:pPr>
              <w:snapToGrid w:val="0"/>
              <w:spacing w:line="280" w:lineRule="exact"/>
              <w:rPr>
                <w:rFonts w:hint="eastAsia" w:ascii="宋体" w:hAnsi="宋体" w:eastAsia="宋体" w:cs="宋体"/>
                <w:bCs/>
                <w:szCs w:val="21"/>
                <w:highlight w:val="none"/>
              </w:rPr>
            </w:pPr>
            <w:r>
              <w:rPr>
                <w:rFonts w:hint="eastAsia" w:ascii="宋体" w:hAnsi="宋体" w:eastAsia="宋体" w:cs="宋体"/>
                <w:bCs/>
                <w:szCs w:val="21"/>
                <w:highlight w:val="none"/>
              </w:rPr>
              <w:t>地址：缙云县城新区江滨巷17号301室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5"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10.4.2</w:t>
            </w:r>
          </w:p>
        </w:tc>
        <w:tc>
          <w:tcPr>
            <w:tcW w:w="2115" w:type="dxa"/>
            <w:noWrap w:val="0"/>
            <w:vAlign w:val="center"/>
          </w:tcPr>
          <w:p>
            <w:pPr>
              <w:snapToGrid w:val="0"/>
              <w:spacing w:line="280" w:lineRule="exact"/>
              <w:jc w:val="center"/>
              <w:rPr>
                <w:rFonts w:hint="eastAsia" w:ascii="宋体" w:hAnsi="宋体" w:eastAsia="宋体" w:cs="宋体"/>
                <w:bCs/>
                <w:szCs w:val="21"/>
                <w:highlight w:val="none"/>
              </w:rPr>
            </w:pPr>
            <w:r>
              <w:rPr>
                <w:rFonts w:hint="eastAsia" w:ascii="宋体" w:hAnsi="宋体" w:eastAsia="宋体" w:cs="宋体"/>
                <w:bCs/>
                <w:szCs w:val="21"/>
                <w:highlight w:val="none"/>
              </w:rPr>
              <w:t>采购人</w:t>
            </w:r>
          </w:p>
        </w:tc>
        <w:tc>
          <w:tcPr>
            <w:tcW w:w="6495" w:type="dxa"/>
            <w:noWrap w:val="0"/>
            <w:vAlign w:val="center"/>
          </w:tcPr>
          <w:p>
            <w:pPr>
              <w:snapToGrid w:val="0"/>
              <w:spacing w:line="280" w:lineRule="exac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采购人名称：缙云县卫生健康局</w:t>
            </w:r>
          </w:p>
          <w:p>
            <w:pPr>
              <w:snapToGrid w:val="0"/>
              <w:spacing w:line="280" w:lineRule="exact"/>
              <w:rPr>
                <w:rFonts w:hint="eastAsia" w:ascii="宋体" w:hAnsi="宋体" w:eastAsia="宋体" w:cs="宋体"/>
                <w:bCs/>
                <w:szCs w:val="21"/>
                <w:highlight w:val="none"/>
                <w:lang w:eastAsia="zh-CN"/>
              </w:rPr>
            </w:pPr>
            <w:r>
              <w:rPr>
                <w:rFonts w:hint="eastAsia" w:ascii="宋体" w:hAnsi="宋体" w:eastAsia="宋体" w:cs="宋体"/>
                <w:szCs w:val="21"/>
                <w:highlight w:val="none"/>
                <w:lang w:eastAsia="zh-CN"/>
              </w:rPr>
              <w:t>项目联</w:t>
            </w:r>
            <w:r>
              <w:rPr>
                <w:rFonts w:hint="eastAsia" w:ascii="宋体" w:hAnsi="宋体" w:eastAsia="宋体" w:cs="宋体"/>
                <w:bCs/>
                <w:szCs w:val="21"/>
                <w:highlight w:val="none"/>
                <w:lang w:eastAsia="zh-CN"/>
              </w:rPr>
              <w:t>系人：</w:t>
            </w:r>
            <w:r>
              <w:rPr>
                <w:rFonts w:hint="eastAsia" w:cs="宋体"/>
                <w:color w:val="auto"/>
                <w:sz w:val="21"/>
                <w:szCs w:val="21"/>
                <w:highlight w:val="none"/>
                <w:lang w:eastAsia="zh-CN"/>
              </w:rPr>
              <w:t>李先生</w:t>
            </w:r>
            <w:r>
              <w:rPr>
                <w:rFonts w:hint="eastAsia" w:ascii="宋体" w:hAnsi="宋体" w:eastAsia="宋体" w:cs="宋体"/>
                <w:bCs/>
                <w:szCs w:val="21"/>
                <w:highlight w:val="none"/>
                <w:lang w:val="en-US" w:eastAsia="zh-CN"/>
              </w:rPr>
              <w:t xml:space="preserve">  </w:t>
            </w:r>
            <w:r>
              <w:rPr>
                <w:rFonts w:hint="eastAsia" w:ascii="宋体" w:hAnsi="宋体" w:eastAsia="宋体" w:cs="宋体"/>
                <w:bCs/>
                <w:szCs w:val="21"/>
                <w:highlight w:val="none"/>
                <w:lang w:eastAsia="zh-CN"/>
              </w:rPr>
              <w:t xml:space="preserve">  </w:t>
            </w:r>
            <w:r>
              <w:rPr>
                <w:rFonts w:hint="eastAsia" w:ascii="宋体" w:hAnsi="宋体" w:eastAsia="宋体" w:cs="宋体"/>
                <w:bCs/>
                <w:szCs w:val="21"/>
                <w:highlight w:val="none"/>
                <w:lang w:val="en-US" w:eastAsia="zh-CN"/>
              </w:rPr>
              <w:t xml:space="preserve">   </w:t>
            </w:r>
            <w:r>
              <w:rPr>
                <w:rFonts w:hint="eastAsia" w:ascii="宋体" w:hAnsi="宋体" w:eastAsia="宋体" w:cs="宋体"/>
                <w:bCs/>
                <w:szCs w:val="21"/>
                <w:highlight w:val="none"/>
                <w:lang w:eastAsia="zh-CN"/>
              </w:rPr>
              <w:t xml:space="preserve">   </w:t>
            </w:r>
          </w:p>
          <w:p>
            <w:pPr>
              <w:snapToGrid w:val="0"/>
              <w:spacing w:line="280" w:lineRule="exact"/>
              <w:rPr>
                <w:rFonts w:hint="eastAsia" w:ascii="宋体" w:hAnsi="宋体" w:eastAsia="宋体" w:cs="宋体"/>
                <w:bCs/>
                <w:szCs w:val="21"/>
                <w:highlight w:val="none"/>
                <w:lang w:val="en-US" w:eastAsia="zh-CN"/>
              </w:rPr>
            </w:pPr>
            <w:r>
              <w:rPr>
                <w:rFonts w:hint="eastAsia" w:ascii="宋体" w:hAnsi="宋体" w:eastAsia="宋体" w:cs="宋体"/>
                <w:bCs/>
                <w:szCs w:val="21"/>
                <w:highlight w:val="none"/>
                <w:lang w:eastAsia="zh-CN"/>
              </w:rPr>
              <w:t>联系电话：0578-3146530</w:t>
            </w:r>
            <w:r>
              <w:rPr>
                <w:rFonts w:hint="eastAsia" w:ascii="宋体" w:hAnsi="宋体" w:eastAsia="宋体" w:cs="宋体"/>
                <w:bCs/>
                <w:szCs w:val="21"/>
                <w:highlight w:val="none"/>
                <w:lang w:val="en-US" w:eastAsia="zh-CN"/>
              </w:rPr>
              <w:t xml:space="preserve"> </w:t>
            </w:r>
          </w:p>
          <w:p>
            <w:pPr>
              <w:snapToGrid w:val="0"/>
              <w:spacing w:line="280" w:lineRule="exact"/>
              <w:rPr>
                <w:rFonts w:hint="eastAsia"/>
                <w:highlight w:val="none"/>
                <w:lang w:eastAsia="zh-CN"/>
              </w:rPr>
            </w:pPr>
            <w:r>
              <w:rPr>
                <w:rFonts w:hint="eastAsia" w:ascii="宋体" w:hAnsi="宋体" w:eastAsia="宋体" w:cs="宋体"/>
                <w:bCs/>
                <w:szCs w:val="21"/>
                <w:highlight w:val="none"/>
                <w:lang w:eastAsia="zh-CN"/>
              </w:rPr>
              <w:t>地址：</w:t>
            </w:r>
            <w:r>
              <w:rPr>
                <w:rFonts w:hint="eastAsia" w:cs="宋体"/>
                <w:color w:val="auto"/>
                <w:sz w:val="21"/>
                <w:szCs w:val="21"/>
                <w:highlight w:val="none"/>
                <w:lang w:eastAsia="zh-CN"/>
              </w:rPr>
              <w:t>缙云县五云街道大桥北路290号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39" w:type="dxa"/>
            <w:noWrap w:val="0"/>
            <w:vAlign w:val="center"/>
          </w:tcPr>
          <w:p>
            <w:pPr>
              <w:snapToGrid w:val="0"/>
              <w:spacing w:line="280" w:lineRule="exact"/>
              <w:jc w:val="center"/>
              <w:rPr>
                <w:rFonts w:hint="eastAsia" w:ascii="宋体" w:hAnsi="宋体" w:eastAsia="宋体" w:cs="宋体"/>
                <w:bCs/>
                <w:szCs w:val="21"/>
                <w:highlight w:val="none"/>
              </w:rPr>
            </w:pPr>
            <w:bookmarkStart w:id="32" w:name="_Toc498327005"/>
            <w:bookmarkStart w:id="33" w:name="_Toc24183"/>
            <w:bookmarkStart w:id="34" w:name="_Toc499128550"/>
            <w:bookmarkStart w:id="35" w:name="_Toc301187598"/>
            <w:r>
              <w:rPr>
                <w:rFonts w:hint="eastAsia" w:ascii="宋体" w:hAnsi="宋体" w:eastAsia="宋体" w:cs="宋体"/>
                <w:bCs/>
                <w:szCs w:val="21"/>
                <w:highlight w:val="none"/>
              </w:rPr>
              <w:t>10.5</w:t>
            </w:r>
          </w:p>
        </w:tc>
        <w:tc>
          <w:tcPr>
            <w:tcW w:w="2115" w:type="dxa"/>
            <w:noWrap w:val="0"/>
            <w:vAlign w:val="center"/>
          </w:tcPr>
          <w:p>
            <w:pPr>
              <w:snapToGrid w:val="0"/>
              <w:spacing w:line="280" w:lineRule="exact"/>
              <w:jc w:val="center"/>
              <w:rPr>
                <w:rFonts w:hint="eastAsia" w:ascii="宋体" w:hAnsi="宋体" w:eastAsia="宋体" w:cs="宋体"/>
                <w:szCs w:val="21"/>
                <w:highlight w:val="none"/>
              </w:rPr>
            </w:pPr>
            <w:r>
              <w:rPr>
                <w:rFonts w:hint="eastAsia" w:ascii="宋体" w:hAnsi="宋体" w:eastAsia="宋体" w:cs="宋体"/>
                <w:szCs w:val="21"/>
                <w:highlight w:val="none"/>
              </w:rPr>
              <w:t>其它</w:t>
            </w:r>
          </w:p>
        </w:tc>
        <w:tc>
          <w:tcPr>
            <w:tcW w:w="6495" w:type="dxa"/>
            <w:noWrap w:val="0"/>
            <w:vAlign w:val="center"/>
          </w:tcPr>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中标供应商有资金需求，可申请政采贷、履约保函、预付款保函等政府采购金融服务。</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1、政采贷</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通过发挥政府采购政策功能，依托政采云在互联网、云计算、大数据等方面的优势，由各银行向平台用户提供中短期贷款（主要包括流水贷和合同贷），以解决中小微企业“融资难”、“担保难”问题的信用融资产品。</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2、履约保函、预付款保函</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中标供应商可通过以保函的形式提交履约保证金，减少对中小微企业的资金占用，降低财务成本。</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履约保函，政采贷，预付款保函等金融服务办理方式。</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中标供应商登陆政采云——我的工作台——金融服务——融资专区或保函专区申请。金融专线400-903-9583</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3.风险提示</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（1）本宣传简介内容仅为提供给各中标供应商对办理政府采购金融服务的宣传和了解之方便，对金融服务的具体内容和操作流程均以各金融机构的要求为准，也不作强制要求。</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（2）政府采购金融服务有风险，请详细了解并综合评估后再决定。</w:t>
            </w:r>
          </w:p>
          <w:p>
            <w:pPr>
              <w:snapToGrid w:val="0"/>
              <w:spacing w:line="280" w:lineRule="exact"/>
              <w:rPr>
                <w:rFonts w:hint="eastAsia" w:ascii="宋体" w:hAnsi="宋体" w:eastAsia="宋体" w:cs="宋体"/>
                <w:szCs w:val="21"/>
                <w:highlight w:val="none"/>
              </w:rPr>
            </w:pPr>
            <w:r>
              <w:rPr>
                <w:rFonts w:hint="eastAsia" w:ascii="宋体" w:hAnsi="宋体" w:eastAsia="宋体" w:cs="宋体"/>
                <w:szCs w:val="21"/>
                <w:highlight w:val="none"/>
              </w:rPr>
              <w:t>（3）政府采购金融服务遵循平等自愿、风险自担的原则。采购人、代理机构、财政部门不为任何政府采购金融服务项目承担任何形式的担保、解释或其他连带责任。</w:t>
            </w:r>
          </w:p>
        </w:tc>
      </w:tr>
    </w:tbl>
    <w:p>
      <w:pPr>
        <w:pStyle w:val="4"/>
        <w:keepNext w:val="0"/>
        <w:keepLines w:val="0"/>
        <w:pageBreakBefore w:val="0"/>
        <w:widowControl w:val="0"/>
        <w:kinsoku/>
        <w:wordWrap/>
        <w:overflowPunct/>
        <w:topLinePunct w:val="0"/>
        <w:autoSpaceDE/>
        <w:autoSpaceDN/>
        <w:bidi w:val="0"/>
        <w:adjustRightInd/>
        <w:spacing w:line="480" w:lineRule="exact"/>
        <w:ind w:firstLine="422" w:firstLineChars="200"/>
        <w:textAlignment w:val="auto"/>
        <w:rPr>
          <w:rFonts w:hint="eastAsia" w:ascii="宋体" w:hAnsi="宋体" w:cs="宋体"/>
          <w:szCs w:val="21"/>
          <w:highlight w:val="none"/>
        </w:rPr>
      </w:pPr>
      <w:r>
        <w:rPr>
          <w:rFonts w:hint="eastAsia" w:ascii="宋体" w:hAnsi="宋体" w:cs="宋体"/>
          <w:szCs w:val="21"/>
          <w:highlight w:val="none"/>
        </w:rPr>
        <w:br w:type="page"/>
      </w:r>
      <w:bookmarkStart w:id="36" w:name="_Toc18250"/>
      <w:bookmarkStart w:id="37" w:name="_Toc24225"/>
      <w:r>
        <w:rPr>
          <w:rFonts w:hint="eastAsia" w:ascii="宋体" w:hAnsi="宋体" w:cs="宋体"/>
          <w:sz w:val="28"/>
          <w:szCs w:val="28"/>
          <w:highlight w:val="none"/>
        </w:rPr>
        <w:t>1．总则</w:t>
      </w:r>
      <w:bookmarkEnd w:id="32"/>
      <w:bookmarkEnd w:id="33"/>
      <w:bookmarkEnd w:id="34"/>
      <w:bookmarkEnd w:id="36"/>
      <w:bookmarkEnd w:id="37"/>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8" w:name="_Toc359934560"/>
      <w:bookmarkStart w:id="39" w:name="_Toc303756365"/>
      <w:bookmarkStart w:id="40" w:name="_Toc498327006"/>
      <w:bookmarkStart w:id="41" w:name="_Toc499128551"/>
      <w:bookmarkStart w:id="42" w:name="_Toc301187578"/>
      <w:bookmarkStart w:id="43" w:name="_Toc26749"/>
      <w:r>
        <w:rPr>
          <w:rFonts w:hint="eastAsia" w:ascii="宋体" w:hAnsi="宋体" w:cs="宋体"/>
          <w:b/>
          <w:bCs/>
          <w:szCs w:val="21"/>
          <w:highlight w:val="none"/>
        </w:rPr>
        <w:t>1.1适用范围</w:t>
      </w:r>
      <w:bookmarkEnd w:id="38"/>
      <w:bookmarkEnd w:id="39"/>
      <w:bookmarkEnd w:id="40"/>
      <w:bookmarkEnd w:id="41"/>
      <w:bookmarkEnd w:id="42"/>
      <w:bookmarkEnd w:id="43"/>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44" w:name="_Toc301187579"/>
      <w:r>
        <w:rPr>
          <w:rFonts w:hint="eastAsia" w:ascii="宋体" w:hAnsi="宋体" w:cs="宋体"/>
          <w:szCs w:val="21"/>
          <w:highlight w:val="none"/>
        </w:rPr>
        <w:t>本竞争性磋商文件适用于本竞争性磋商文件所叙述项目的采购。</w:t>
      </w:r>
      <w:bookmarkEnd w:id="44"/>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45" w:name="_Toc359934561"/>
      <w:bookmarkStart w:id="46" w:name="_Toc303756366"/>
      <w:bookmarkStart w:id="47" w:name="_Toc32303"/>
      <w:bookmarkStart w:id="48" w:name="_Toc498327007"/>
      <w:bookmarkStart w:id="49" w:name="_Toc301187580"/>
      <w:bookmarkStart w:id="50" w:name="_Toc499128552"/>
      <w:r>
        <w:rPr>
          <w:rFonts w:hint="eastAsia" w:ascii="宋体" w:hAnsi="宋体" w:cs="宋体"/>
          <w:b/>
          <w:bCs/>
          <w:szCs w:val="21"/>
          <w:highlight w:val="none"/>
        </w:rPr>
        <w:t>1.2定义</w:t>
      </w:r>
      <w:bookmarkEnd w:id="45"/>
      <w:bookmarkEnd w:id="46"/>
      <w:bookmarkEnd w:id="47"/>
      <w:bookmarkEnd w:id="48"/>
      <w:bookmarkEnd w:id="49"/>
      <w:bookmarkEnd w:id="5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1" w:name="_Toc301187581"/>
      <w:r>
        <w:rPr>
          <w:rFonts w:hint="eastAsia" w:ascii="宋体" w:hAnsi="宋体" w:cs="宋体"/>
          <w:szCs w:val="21"/>
          <w:highlight w:val="none"/>
        </w:rPr>
        <w:t>1.2.1采购人：见供应商须知前附表。</w:t>
      </w:r>
      <w:bookmarkEnd w:id="5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2" w:name="_Toc301187582"/>
      <w:r>
        <w:rPr>
          <w:rFonts w:hint="eastAsia" w:ascii="宋体" w:hAnsi="宋体" w:cs="宋体"/>
          <w:szCs w:val="21"/>
          <w:highlight w:val="none"/>
        </w:rPr>
        <w:t>1.2.2采购代理机构：见供应商须知前附表。</w:t>
      </w:r>
      <w:bookmarkEnd w:id="52"/>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3" w:name="_Toc301187583"/>
      <w:r>
        <w:rPr>
          <w:rFonts w:hint="eastAsia" w:ascii="宋体" w:hAnsi="宋体" w:cs="宋体"/>
          <w:szCs w:val="21"/>
          <w:highlight w:val="none"/>
        </w:rPr>
        <w:t>1.2.3“供应商”系指按照竞争性磋商文件的规定参加磋商的法人。</w:t>
      </w:r>
      <w:bookmarkEnd w:id="53"/>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4" w:name="_Toc301187584"/>
      <w:r>
        <w:rPr>
          <w:rFonts w:hint="eastAsia" w:ascii="宋体" w:hAnsi="宋体" w:cs="宋体"/>
          <w:szCs w:val="21"/>
          <w:highlight w:val="none"/>
        </w:rPr>
        <w:t>1.2.4“监督机构”系指采购监管科等。</w:t>
      </w:r>
      <w:bookmarkEnd w:id="5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5" w:name="_Toc301187585"/>
      <w:r>
        <w:rPr>
          <w:rFonts w:hint="eastAsia" w:ascii="宋体" w:hAnsi="宋体" w:cs="宋体"/>
          <w:szCs w:val="21"/>
          <w:highlight w:val="none"/>
        </w:rPr>
        <w:t>1.2.5“买方”系指采购人，“卖方”系指成交供应商。</w:t>
      </w:r>
      <w:bookmarkEnd w:id="5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6" w:name="_Toc301187586"/>
      <w:r>
        <w:rPr>
          <w:rFonts w:hint="eastAsia" w:ascii="宋体" w:hAnsi="宋体" w:cs="宋体"/>
          <w:szCs w:val="21"/>
          <w:highlight w:val="none"/>
        </w:rPr>
        <w:t>1.2.6“货物”系指成交供应商按竞争性磋商文件规定必须向采购人提供的一切产品（包括：虚拟产品），以及产品相关的备品备件、工具、手册及其它有关技术资料和材料。</w:t>
      </w:r>
      <w:bookmarkEnd w:id="5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7" w:name="_Toc301187587"/>
      <w:r>
        <w:rPr>
          <w:rFonts w:hint="eastAsia" w:ascii="宋体" w:hAnsi="宋体" w:cs="宋体"/>
          <w:szCs w:val="21"/>
          <w:highlight w:val="none"/>
        </w:rPr>
        <w:t>1.2.7“服务”系指成交供应商按竞争性磋商文件规定须承担的安装、调试、技术协助以及其他类似的附随义务。</w:t>
      </w:r>
      <w:bookmarkEnd w:id="5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8" w:name="_Toc301187588"/>
      <w:r>
        <w:rPr>
          <w:rFonts w:hint="eastAsia" w:ascii="宋体" w:hAnsi="宋体" w:cs="宋体"/>
          <w:szCs w:val="21"/>
          <w:highlight w:val="none"/>
        </w:rPr>
        <w:t>1.2.8“附随服务”系指根据合同规定成交供应商必须承担与货物有关的辅助服务，如送货上门、免费维护以及合同中规定卖方应承担的义务，以及合同中未规定,但依有利于合同履行原则，应当由卖方承担的其它义务。</w:t>
      </w:r>
      <w:bookmarkEnd w:id="5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59" w:name="_Toc301187589"/>
      <w:r>
        <w:rPr>
          <w:rFonts w:hint="eastAsia" w:ascii="宋体" w:hAnsi="宋体" w:cs="宋体"/>
          <w:szCs w:val="21"/>
          <w:highlight w:val="none"/>
        </w:rPr>
        <w:t>1.2.9</w:t>
      </w:r>
      <w:bookmarkEnd w:id="59"/>
      <w:bookmarkStart w:id="60" w:name="_Toc301187590"/>
      <w:r>
        <w:rPr>
          <w:rFonts w:hint="eastAsia" w:ascii="宋体" w:hAnsi="宋体" w:cs="宋体"/>
          <w:szCs w:val="21"/>
          <w:highlight w:val="none"/>
        </w:rPr>
        <w:t>“工作日或天数”：“工作日”系指节假日除外的日历天数，“天数”系指日历天数。</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1.2.10 “实质性条款”系指采购需求中标明“▲”的条款、以及竞争性磋商文件中含有“必须”、“应当”等强制性规定的条款。</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szCs w:val="21"/>
          <w:highlight w:val="none"/>
        </w:rPr>
      </w:pPr>
      <w:r>
        <w:rPr>
          <w:rFonts w:hint="eastAsia" w:ascii="宋体" w:hAnsi="宋体" w:cs="宋体"/>
          <w:szCs w:val="21"/>
          <w:highlight w:val="none"/>
        </w:rPr>
        <w:t>1.2.11</w:t>
      </w:r>
      <w:r>
        <w:rPr>
          <w:rFonts w:hint="eastAsia" w:ascii="宋体" w:hAnsi="宋体" w:cs="宋体"/>
          <w:b/>
          <w:szCs w:val="21"/>
          <w:highlight w:val="none"/>
        </w:rPr>
        <w:t>“电子响应文件”系指供应商通过政采云电子投标工具编制的数据电文形式的加密标书。</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1.2.12“备份响应文件”系指与“电子响应文件”同时生成的数据电文形式的电子文件。</w:t>
      </w:r>
    </w:p>
    <w:bookmarkEnd w:id="60"/>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61" w:name="_Toc359934562"/>
      <w:bookmarkStart w:id="62" w:name="_Toc301187591"/>
      <w:bookmarkStart w:id="63" w:name="_Toc499128553"/>
      <w:bookmarkStart w:id="64" w:name="_Toc498327008"/>
      <w:bookmarkStart w:id="65" w:name="_Toc303756367"/>
      <w:bookmarkStart w:id="66" w:name="_Toc31483"/>
      <w:r>
        <w:rPr>
          <w:rFonts w:hint="eastAsia" w:ascii="宋体" w:hAnsi="宋体" w:cs="宋体"/>
          <w:b/>
          <w:bCs/>
          <w:szCs w:val="21"/>
          <w:highlight w:val="none"/>
        </w:rPr>
        <w:t>1.3资金来源</w:t>
      </w:r>
      <w:bookmarkEnd w:id="61"/>
      <w:bookmarkEnd w:id="62"/>
      <w:bookmarkEnd w:id="63"/>
      <w:bookmarkEnd w:id="64"/>
      <w:bookmarkEnd w:id="65"/>
      <w:bookmarkEnd w:id="6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67" w:name="_Toc301187592"/>
      <w:r>
        <w:rPr>
          <w:rFonts w:hint="eastAsia" w:ascii="宋体" w:hAnsi="宋体" w:cs="宋体"/>
          <w:szCs w:val="21"/>
          <w:highlight w:val="none"/>
        </w:rPr>
        <w:t>见供应商须知前附表。</w:t>
      </w:r>
      <w:bookmarkEnd w:id="67"/>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68" w:name="_Toc32607"/>
      <w:bookmarkStart w:id="69" w:name="_Toc499128554"/>
      <w:bookmarkStart w:id="70" w:name="_Toc498327009"/>
      <w:bookmarkStart w:id="71" w:name="_Toc301187593"/>
      <w:bookmarkStart w:id="72" w:name="_Toc303756368"/>
      <w:bookmarkStart w:id="73" w:name="_Toc359934563"/>
      <w:r>
        <w:rPr>
          <w:rFonts w:hint="eastAsia" w:ascii="宋体" w:hAnsi="宋体" w:cs="宋体"/>
          <w:b/>
          <w:bCs/>
          <w:szCs w:val="21"/>
          <w:highlight w:val="none"/>
        </w:rPr>
        <w:t>1.4合格的</w:t>
      </w:r>
      <w:bookmarkEnd w:id="68"/>
      <w:bookmarkEnd w:id="69"/>
      <w:bookmarkEnd w:id="70"/>
      <w:bookmarkEnd w:id="71"/>
      <w:bookmarkEnd w:id="72"/>
      <w:bookmarkEnd w:id="73"/>
      <w:r>
        <w:rPr>
          <w:rFonts w:hint="eastAsia" w:ascii="宋体" w:hAnsi="宋体" w:cs="宋体"/>
          <w:b/>
          <w:bCs/>
          <w:szCs w:val="21"/>
          <w:highlight w:val="none"/>
        </w:rPr>
        <w:t>供应商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74" w:name="_Toc301187594"/>
      <w:r>
        <w:rPr>
          <w:rFonts w:hint="eastAsia" w:ascii="宋体" w:hAnsi="宋体" w:cs="宋体"/>
          <w:szCs w:val="21"/>
          <w:highlight w:val="none"/>
        </w:rPr>
        <w:t>见供应商须知前附表。</w:t>
      </w:r>
      <w:bookmarkEnd w:id="74"/>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75" w:name="_Toc9353"/>
      <w:bookmarkStart w:id="76" w:name="_Toc359934564"/>
      <w:bookmarkStart w:id="77" w:name="_Toc303756369"/>
      <w:bookmarkStart w:id="78" w:name="_Toc498327010"/>
      <w:bookmarkStart w:id="79" w:name="_Toc499128555"/>
      <w:bookmarkStart w:id="80" w:name="_Toc301187595"/>
      <w:r>
        <w:rPr>
          <w:rFonts w:hint="eastAsia" w:ascii="宋体" w:hAnsi="宋体" w:cs="宋体"/>
          <w:b/>
          <w:bCs/>
          <w:szCs w:val="21"/>
          <w:highlight w:val="none"/>
        </w:rPr>
        <w:t>1.5</w:t>
      </w:r>
      <w:bookmarkEnd w:id="75"/>
      <w:bookmarkEnd w:id="76"/>
      <w:bookmarkEnd w:id="77"/>
      <w:bookmarkEnd w:id="78"/>
      <w:bookmarkEnd w:id="79"/>
      <w:bookmarkEnd w:id="80"/>
      <w:r>
        <w:rPr>
          <w:rFonts w:hint="eastAsia" w:ascii="宋体" w:hAnsi="宋体" w:cs="宋体"/>
          <w:b/>
          <w:bCs/>
          <w:szCs w:val="21"/>
          <w:highlight w:val="none"/>
        </w:rPr>
        <w:t>联合体磋商</w:t>
      </w:r>
    </w:p>
    <w:p>
      <w:pPr>
        <w:keepNext w:val="0"/>
        <w:keepLines w:val="0"/>
        <w:pageBreakBefore w:val="0"/>
        <w:widowControl w:val="0"/>
        <w:kinsoku/>
        <w:wordWrap/>
        <w:overflowPunct/>
        <w:topLinePunct w:val="0"/>
        <w:autoSpaceDE/>
        <w:autoSpaceDN/>
        <w:bidi w:val="0"/>
        <w:adjustRightInd/>
        <w:spacing w:line="480" w:lineRule="exact"/>
        <w:ind w:firstLine="42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val="0"/>
          <w:bCs/>
          <w:color w:val="auto"/>
          <w:sz w:val="21"/>
          <w:szCs w:val="21"/>
          <w:highlight w:val="none"/>
        </w:rPr>
        <w:t>本项目</w:t>
      </w:r>
      <w:r>
        <w:rPr>
          <w:rFonts w:hint="eastAsia" w:ascii="宋体" w:hAnsi="宋体" w:eastAsia="宋体" w:cs="宋体"/>
          <w:b w:val="0"/>
          <w:bCs/>
          <w:color w:val="auto"/>
          <w:sz w:val="21"/>
          <w:szCs w:val="21"/>
          <w:highlight w:val="none"/>
          <w:u w:val="none"/>
          <w:lang w:val="en-US" w:eastAsia="zh-CN"/>
        </w:rPr>
        <w:t>（否）</w:t>
      </w:r>
      <w:r>
        <w:rPr>
          <w:rFonts w:hint="eastAsia" w:ascii="宋体" w:hAnsi="宋体" w:eastAsia="宋体" w:cs="宋体"/>
          <w:b w:val="0"/>
          <w:bCs/>
          <w:color w:val="auto"/>
          <w:sz w:val="21"/>
          <w:szCs w:val="21"/>
          <w:highlight w:val="none"/>
        </w:rPr>
        <w:t>接受联合体投标</w:t>
      </w:r>
      <w:r>
        <w:rPr>
          <w:rFonts w:hint="eastAsia" w:ascii="宋体" w:hAnsi="宋体" w:eastAsia="宋体" w:cs="宋体"/>
          <w:b w:val="0"/>
          <w:bCs/>
          <w:color w:val="auto"/>
          <w:kern w:val="0"/>
          <w:sz w:val="21"/>
          <w:szCs w:val="21"/>
          <w:highlight w:val="none"/>
        </w:rPr>
        <w:t>。</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81" w:name="_Toc301187597"/>
      <w:bookmarkStart w:id="82" w:name="_Toc303756370"/>
      <w:bookmarkStart w:id="83" w:name="_Toc499128556"/>
      <w:bookmarkStart w:id="84" w:name="_Toc498327011"/>
      <w:bookmarkStart w:id="85" w:name="_Toc30203"/>
      <w:bookmarkStart w:id="86" w:name="_Toc359934565"/>
      <w:r>
        <w:rPr>
          <w:rFonts w:hint="eastAsia" w:ascii="宋体" w:hAnsi="宋体" w:cs="宋体"/>
          <w:b/>
          <w:bCs/>
          <w:szCs w:val="21"/>
          <w:highlight w:val="none"/>
        </w:rPr>
        <w:t>1.6转包与分包</w:t>
      </w:r>
      <w:bookmarkEnd w:id="81"/>
      <w:bookmarkEnd w:id="82"/>
      <w:bookmarkEnd w:id="83"/>
      <w:bookmarkEnd w:id="84"/>
      <w:bookmarkEnd w:id="85"/>
      <w:bookmarkEnd w:id="8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1.6.1转包与分包：</w:t>
      </w:r>
      <w:r>
        <w:rPr>
          <w:rFonts w:hint="eastAsia" w:ascii="宋体" w:hAnsi="宋体" w:cs="宋体"/>
          <w:szCs w:val="21"/>
          <w:highlight w:val="none"/>
          <w:lang w:eastAsia="zh-CN"/>
        </w:rPr>
        <w:t>本项目不允许</w:t>
      </w:r>
      <w:r>
        <w:rPr>
          <w:rFonts w:hint="eastAsia" w:ascii="宋体" w:hAnsi="宋体" w:cs="宋体"/>
          <w:szCs w:val="21"/>
          <w:highlight w:val="none"/>
        </w:rPr>
        <w:t>转包与分包。</w:t>
      </w:r>
    </w:p>
    <w:bookmarkEnd w:id="35"/>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87" w:name="_Toc30468"/>
      <w:bookmarkStart w:id="88" w:name="_Toc359934566"/>
      <w:bookmarkStart w:id="89" w:name="_Toc301187599"/>
      <w:bookmarkStart w:id="90" w:name="_Toc303756371"/>
      <w:r>
        <w:rPr>
          <w:rFonts w:hint="eastAsia" w:ascii="宋体" w:hAnsi="宋体" w:cs="宋体"/>
          <w:b/>
          <w:bCs/>
          <w:szCs w:val="21"/>
          <w:highlight w:val="none"/>
        </w:rPr>
        <w:t>1.7</w:t>
      </w:r>
      <w:bookmarkEnd w:id="87"/>
      <w:bookmarkEnd w:id="88"/>
      <w:bookmarkEnd w:id="89"/>
      <w:bookmarkEnd w:id="90"/>
      <w:r>
        <w:rPr>
          <w:rFonts w:hint="eastAsia" w:ascii="宋体" w:hAnsi="宋体" w:cs="宋体"/>
          <w:b/>
          <w:bCs/>
          <w:szCs w:val="21"/>
          <w:highlight w:val="none"/>
        </w:rPr>
        <w:t>磋商费用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91" w:name="_Toc301187600"/>
      <w:r>
        <w:rPr>
          <w:rFonts w:hint="eastAsia" w:ascii="宋体" w:hAnsi="宋体" w:cs="宋体"/>
          <w:szCs w:val="21"/>
          <w:highlight w:val="none"/>
        </w:rPr>
        <w:t>1.7.1不论磋商的结果如何（包括取消采购任务等情况），供应商均应自行承担所有与磋商有关的全部费用。</w:t>
      </w:r>
      <w:bookmarkEnd w:id="9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1.7.2采购</w:t>
      </w:r>
      <w:r>
        <w:rPr>
          <w:rFonts w:hint="eastAsia" w:ascii="宋体" w:hAnsi="宋体" w:cs="宋体"/>
          <w:szCs w:val="21"/>
          <w:highlight w:val="none"/>
          <w:lang w:eastAsia="zh-CN"/>
        </w:rPr>
        <w:t>代理</w:t>
      </w:r>
      <w:r>
        <w:rPr>
          <w:rFonts w:hint="eastAsia" w:ascii="宋体" w:hAnsi="宋体" w:cs="宋体"/>
          <w:szCs w:val="21"/>
          <w:highlight w:val="none"/>
        </w:rPr>
        <w:t>费：由</w:t>
      </w:r>
      <w:r>
        <w:rPr>
          <w:rFonts w:hint="eastAsia" w:ascii="宋体" w:hAnsi="宋体" w:cs="宋体"/>
          <w:szCs w:val="21"/>
          <w:highlight w:val="none"/>
          <w:lang w:eastAsia="zh-CN"/>
        </w:rPr>
        <w:t>中标供应商</w:t>
      </w:r>
      <w:r>
        <w:rPr>
          <w:rFonts w:hint="eastAsia" w:ascii="宋体" w:hAnsi="宋体" w:cs="宋体"/>
          <w:szCs w:val="21"/>
          <w:highlight w:val="none"/>
        </w:rPr>
        <w:t>向采购代理机构支付，代理机构出具普通税务发票</w:t>
      </w:r>
      <w:r>
        <w:rPr>
          <w:rFonts w:hint="eastAsia" w:ascii="宋体" w:hAnsi="宋体" w:cs="宋体"/>
          <w:b/>
          <w:bCs/>
          <w:szCs w:val="21"/>
          <w:highlight w:val="none"/>
        </w:rPr>
        <w:t>，采购</w:t>
      </w:r>
      <w:r>
        <w:rPr>
          <w:rFonts w:hint="eastAsia" w:ascii="宋体" w:hAnsi="宋体" w:cs="宋体"/>
          <w:b/>
          <w:bCs/>
          <w:szCs w:val="21"/>
          <w:highlight w:val="none"/>
          <w:lang w:eastAsia="zh-CN"/>
        </w:rPr>
        <w:t>代理</w:t>
      </w:r>
      <w:r>
        <w:rPr>
          <w:rFonts w:hint="eastAsia" w:ascii="宋体" w:hAnsi="宋体" w:cs="宋体"/>
          <w:b/>
          <w:bCs/>
          <w:szCs w:val="21"/>
          <w:highlight w:val="none"/>
        </w:rPr>
        <w:t>服务费按国家收费标准收取</w:t>
      </w:r>
      <w:r>
        <w:rPr>
          <w:rFonts w:hint="eastAsia" w:ascii="宋体" w:hAnsi="宋体" w:eastAsia="宋体" w:cs="宋体"/>
          <w:b/>
          <w:bCs/>
          <w:szCs w:val="21"/>
          <w:highlight w:val="none"/>
        </w:rPr>
        <w:t>（如不足4</w:t>
      </w:r>
      <w:r>
        <w:rPr>
          <w:rFonts w:hint="eastAsia" w:ascii="宋体" w:hAnsi="宋体" w:eastAsia="宋体" w:cs="宋体"/>
          <w:b/>
          <w:bCs/>
          <w:szCs w:val="21"/>
          <w:highlight w:val="none"/>
          <w:lang w:val="en-US" w:eastAsia="zh-CN"/>
        </w:rPr>
        <w:t>5</w:t>
      </w:r>
      <w:r>
        <w:rPr>
          <w:rFonts w:hint="eastAsia" w:ascii="宋体" w:hAnsi="宋体" w:eastAsia="宋体" w:cs="宋体"/>
          <w:b/>
          <w:bCs/>
          <w:szCs w:val="21"/>
          <w:highlight w:val="none"/>
        </w:rPr>
        <w:t>00元的，按4</w:t>
      </w:r>
      <w:r>
        <w:rPr>
          <w:rFonts w:hint="eastAsia" w:ascii="宋体" w:hAnsi="宋体" w:eastAsia="宋体" w:cs="宋体"/>
          <w:b/>
          <w:bCs/>
          <w:szCs w:val="21"/>
          <w:highlight w:val="none"/>
          <w:lang w:val="en-US" w:eastAsia="zh-CN"/>
        </w:rPr>
        <w:t>5</w:t>
      </w:r>
      <w:r>
        <w:rPr>
          <w:rFonts w:hint="eastAsia" w:ascii="宋体" w:hAnsi="宋体" w:eastAsia="宋体" w:cs="宋体"/>
          <w:b/>
          <w:bCs/>
          <w:szCs w:val="21"/>
          <w:highlight w:val="none"/>
        </w:rPr>
        <w:t>00元计取）</w:t>
      </w:r>
      <w:r>
        <w:rPr>
          <w:rFonts w:hint="eastAsia" w:ascii="宋体" w:hAnsi="宋体" w:cs="宋体"/>
          <w:szCs w:val="21"/>
          <w:highlight w:val="none"/>
        </w:rPr>
        <w:t>，</w:t>
      </w:r>
      <w:r>
        <w:rPr>
          <w:rFonts w:hint="eastAsia" w:ascii="宋体" w:hAnsi="宋体" w:cs="宋体"/>
          <w:b/>
          <w:bCs/>
          <w:szCs w:val="21"/>
          <w:highlight w:val="none"/>
        </w:rPr>
        <w:t>成交供应商在成交公告发布之日起5个工作日内以现金或转账形式支付给采购代理机构。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1.7.3供应商未按以上规定办理缴费，视为其自动放弃成交资格，采购人有权将标授予第二成交候选人或重新组织采购。</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92" w:name="_Toc359934567"/>
      <w:bookmarkStart w:id="93" w:name="_Toc498327013"/>
      <w:bookmarkStart w:id="94" w:name="_Toc499128558"/>
      <w:bookmarkStart w:id="95" w:name="_Toc301187601"/>
      <w:bookmarkStart w:id="96" w:name="_Toc11069"/>
      <w:bookmarkStart w:id="97" w:name="_Toc303756372"/>
      <w:r>
        <w:rPr>
          <w:rFonts w:hint="eastAsia" w:ascii="宋体" w:hAnsi="宋体" w:cs="宋体"/>
          <w:b/>
          <w:bCs/>
          <w:szCs w:val="21"/>
          <w:highlight w:val="none"/>
        </w:rPr>
        <w:t>1.8响应文件的语言及计量</w:t>
      </w:r>
      <w:bookmarkEnd w:id="92"/>
      <w:bookmarkEnd w:id="93"/>
      <w:bookmarkEnd w:id="94"/>
      <w:bookmarkEnd w:id="95"/>
      <w:bookmarkEnd w:id="96"/>
      <w:bookmarkEnd w:id="9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98" w:name="_Toc301187602"/>
      <w:r>
        <w:rPr>
          <w:rFonts w:hint="eastAsia" w:ascii="宋体" w:hAnsi="宋体" w:cs="宋体"/>
          <w:szCs w:val="21"/>
          <w:highlight w:val="none"/>
        </w:rPr>
        <w:t>1.8.1响应文件以及供应商与采购人就有关磋商事宜的所有来往函电，应当以中文简体书写，除签名、盖章、专用名称等特殊情形外。</w:t>
      </w:r>
      <w:bookmarkEnd w:id="9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99" w:name="_Toc301187603"/>
      <w:r>
        <w:rPr>
          <w:rFonts w:hint="eastAsia" w:ascii="宋体" w:hAnsi="宋体" w:cs="宋体"/>
          <w:szCs w:val="21"/>
          <w:highlight w:val="none"/>
        </w:rPr>
        <w:t>1.8.2计量单位，竞争性磋商文件已有明确规定的，使用竞争性磋商文件规定的计量单位；竞争性磋商文件没有规定的，应当采用中华人民共和国法定计量单位（货币单位：人民币）。</w:t>
      </w:r>
      <w:bookmarkEnd w:id="99"/>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00" w:name="_Toc303756373"/>
      <w:bookmarkStart w:id="101" w:name="_Toc499128559"/>
      <w:bookmarkStart w:id="102" w:name="_Toc301187604"/>
      <w:bookmarkStart w:id="103" w:name="_Toc359934568"/>
      <w:bookmarkStart w:id="104" w:name="_Toc498327014"/>
      <w:bookmarkStart w:id="105" w:name="_Toc25161"/>
      <w:r>
        <w:rPr>
          <w:rFonts w:hint="eastAsia" w:ascii="宋体" w:hAnsi="宋体" w:cs="宋体"/>
          <w:b/>
          <w:bCs/>
          <w:szCs w:val="21"/>
          <w:highlight w:val="none"/>
        </w:rPr>
        <w:t>1.9质疑和投诉</w:t>
      </w:r>
      <w:bookmarkEnd w:id="100"/>
      <w:bookmarkEnd w:id="101"/>
      <w:bookmarkEnd w:id="102"/>
      <w:bookmarkEnd w:id="103"/>
      <w:bookmarkEnd w:id="104"/>
      <w:bookmarkEnd w:id="10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06" w:name="_Toc301187605"/>
      <w:bookmarkStart w:id="107" w:name="_Toc359934569"/>
      <w:bookmarkStart w:id="108" w:name="_Toc301187608"/>
      <w:bookmarkStart w:id="109" w:name="_Toc5356"/>
      <w:bookmarkStart w:id="110" w:name="_Toc498327015"/>
      <w:bookmarkStart w:id="111" w:name="_Toc303756374"/>
      <w:bookmarkStart w:id="112" w:name="_Toc499128560"/>
      <w:r>
        <w:rPr>
          <w:rFonts w:hint="eastAsia" w:ascii="宋体" w:hAnsi="宋体" w:cs="宋体"/>
          <w:szCs w:val="21"/>
          <w:highlight w:val="none"/>
        </w:rPr>
        <w:t>1.9.1供应商认为竞争性磋商文件、磋商过程或成交结果使自己的合法权益受到损害的，可以在知道或者应知其权益受到损害之日起七个工作日内，</w:t>
      </w:r>
      <w:r>
        <w:rPr>
          <w:rFonts w:hint="eastAsia" w:ascii="宋体" w:hAnsi="宋体" w:cs="宋体"/>
          <w:b/>
          <w:bCs/>
          <w:szCs w:val="21"/>
          <w:highlight w:val="none"/>
        </w:rPr>
        <w:t>以书面形式向采购人、采购代理机构一次性提出针对同一采购程序环节的质疑</w:t>
      </w:r>
      <w:r>
        <w:rPr>
          <w:rFonts w:hint="eastAsia" w:ascii="宋体" w:hAnsi="宋体" w:cs="宋体"/>
          <w:szCs w:val="21"/>
          <w:highlight w:val="none"/>
        </w:rPr>
        <w:t>。供应商对采购人的质疑答复不满意或者采购人未在规定时间内作出答复的，可以在答复期满后十五个工作日内向同级采购监管部门投诉。</w:t>
      </w:r>
      <w:bookmarkEnd w:id="10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（1）供应商对磋商公告（含供应商资格条件）提出质疑的，请在磋商公告发布之日起5个工作日内，且应当在响应文件递交截止时间之前向采购代理机构和采购人提出。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（2）对竞争性磋商文件提出质疑的，请在磋商公告期限届满之日起7个工作日内，且应当在响应文件递交截止时间之前向采购代理机构和采购人提出。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（3）对采购结果提出质疑的，请在成交结果公告（包括公示、预公告、结果变更公告等）之日起7个工作日内向采购代理机构和采购人提出。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（4）供应商认为采购过程不当、影响或可能影响采购结果的，可以在成交结果公告前提出质疑。</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13" w:name="_Toc301187606"/>
      <w:r>
        <w:rPr>
          <w:rFonts w:hint="eastAsia" w:ascii="宋体" w:hAnsi="宋体" w:cs="宋体"/>
          <w:szCs w:val="21"/>
          <w:highlight w:val="none"/>
        </w:rPr>
        <w:t>1.9.2质疑、投诉应当采用书面形式，质疑书、投诉书应当有明确的请求和必要的证明材料，投诉的事项不得超出已质疑事项的范围。</w:t>
      </w:r>
      <w:bookmarkEnd w:id="113"/>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1.9.3</w:t>
      </w:r>
      <w:r>
        <w:rPr>
          <w:rFonts w:hint="eastAsia" w:ascii="宋体" w:hAnsi="宋体" w:cs="宋体"/>
          <w:b/>
          <w:bCs/>
          <w:szCs w:val="21"/>
          <w:highlight w:val="none"/>
        </w:rPr>
        <w:t>供应商未对开标记录进行在线签字确认的，将视同认可开标结果，事后不得对采购相关人员，开标程序，采购结果提出质疑。</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1.9.4采购人处理质疑事项原则上采取书面审查的办法。采购人认为有必要时，可以进行调查取证，也可以组织质疑人和被质疑人当面进行质证，对采购人进行调查的质疑事项，质疑人、被质疑人等应当如实反映情况，并提供采购人所需要的相关材料。</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1.9.5质疑人拒绝配合采购人依法进行调查的，按自动撤回质疑处理；被质疑人在规定时限内， 无正当理由未提交相关证据和其他有关材料的，视同放弃说明权利，认可质疑事项和处理决定。</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1.9.6采购人在收到供应商的有效书面质疑后七个工作日内作出答复，但答复的内容不涉及商业秘密。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14" w:name="_Toc301187607"/>
      <w:r>
        <w:rPr>
          <w:rFonts w:hint="eastAsia" w:ascii="宋体" w:hAnsi="宋体" w:cs="宋体"/>
          <w:szCs w:val="21"/>
          <w:highlight w:val="none"/>
        </w:rPr>
        <w:t>1.9.7</w:t>
      </w:r>
      <w:bookmarkEnd w:id="114"/>
      <w:r>
        <w:rPr>
          <w:rFonts w:hint="eastAsia" w:ascii="宋体" w:hAnsi="宋体" w:cs="宋体"/>
          <w:szCs w:val="21"/>
          <w:highlight w:val="none"/>
        </w:rPr>
        <w:t>质疑处理办法和相关格式等参照《政府采购质疑和投诉办法》（财政部第94号令）、《关于印发&lt;浙江省政府采购供应商质疑处理办法&gt;的通知》（浙财采监〔2012〕18号）等文件要求。</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1.10保密</w:t>
      </w:r>
      <w:bookmarkEnd w:id="107"/>
      <w:bookmarkEnd w:id="108"/>
      <w:bookmarkEnd w:id="109"/>
      <w:bookmarkEnd w:id="110"/>
      <w:bookmarkEnd w:id="111"/>
      <w:bookmarkEnd w:id="112"/>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bookmarkStart w:id="115" w:name="_Toc301187609"/>
      <w:r>
        <w:rPr>
          <w:rFonts w:hint="eastAsia" w:ascii="宋体" w:hAnsi="宋体" w:cs="宋体"/>
          <w:szCs w:val="21"/>
          <w:highlight w:val="none"/>
        </w:rPr>
        <w:t>参与采购磋商活动的各方当事人应当对磋商评审情况以及在磋商评审过程中的获悉的国家秘密、商业密负有保密责任，违者应对由此造成的后果承担法律责任。</w:t>
      </w:r>
      <w:bookmarkEnd w:id="115"/>
    </w:p>
    <w:p>
      <w:pPr>
        <w:keepNext w:val="0"/>
        <w:keepLines w:val="0"/>
        <w:pageBreakBefore w:val="0"/>
        <w:widowControl w:val="0"/>
        <w:kinsoku/>
        <w:wordWrap/>
        <w:overflowPunct/>
        <w:topLinePunct w:val="0"/>
        <w:autoSpaceDE/>
        <w:autoSpaceDN/>
        <w:bidi w:val="0"/>
        <w:adjustRightInd/>
        <w:snapToGrid/>
        <w:spacing w:line="480" w:lineRule="exact"/>
        <w:ind w:firstLine="422" w:firstLineChars="200"/>
        <w:jc w:val="left"/>
        <w:textAlignment w:val="auto"/>
        <w:rPr>
          <w:rFonts w:hint="eastAsia" w:ascii="宋体" w:hAnsi="宋体" w:cs="宋体"/>
          <w:b/>
          <w:bCs/>
          <w:szCs w:val="21"/>
          <w:highlight w:val="none"/>
        </w:rPr>
      </w:pPr>
      <w:bookmarkStart w:id="116" w:name="_Toc15579"/>
      <w:bookmarkStart w:id="117" w:name="_Toc498327016"/>
      <w:bookmarkStart w:id="118" w:name="_Toc499128561"/>
      <w:r>
        <w:rPr>
          <w:rFonts w:hint="eastAsia" w:ascii="宋体" w:hAnsi="宋体" w:cs="宋体"/>
          <w:b/>
          <w:bCs/>
          <w:szCs w:val="21"/>
          <w:highlight w:val="none"/>
        </w:rPr>
        <w:t>1.11信用信息记录查询</w:t>
      </w:r>
      <w:bookmarkEnd w:id="116"/>
      <w:bookmarkEnd w:id="117"/>
      <w:bookmarkEnd w:id="118"/>
    </w:p>
    <w:p>
      <w:pPr>
        <w:pStyle w:val="211"/>
        <w:keepNext w:val="0"/>
        <w:keepLines w:val="0"/>
        <w:pageBreakBefore w:val="0"/>
        <w:widowControl w:val="0"/>
        <w:kinsoku/>
        <w:wordWrap/>
        <w:overflowPunct/>
        <w:topLinePunct w:val="0"/>
        <w:autoSpaceDE/>
        <w:autoSpaceDN/>
        <w:bidi w:val="0"/>
        <w:adjustRightInd/>
        <w:snapToGrid/>
        <w:spacing w:before="0" w:line="480" w:lineRule="exact"/>
        <w:ind w:firstLine="420" w:firstLineChars="200"/>
        <w:textAlignment w:val="auto"/>
        <w:rPr>
          <w:rFonts w:hint="eastAsia" w:ascii="宋体" w:hAnsi="宋体" w:eastAsia="宋体" w:cs="宋体"/>
          <w:kern w:val="2"/>
          <w:sz w:val="21"/>
          <w:szCs w:val="21"/>
          <w:highlight w:val="none"/>
          <w:lang w:val="en-US" w:eastAsia="zh-CN" w:bidi="ar-SA"/>
        </w:rPr>
      </w:pPr>
      <w:bookmarkStart w:id="119" w:name="_Toc499128562"/>
      <w:bookmarkStart w:id="120" w:name="_Toc28663"/>
      <w:bookmarkStart w:id="121" w:name="_Toc498327017"/>
      <w:r>
        <w:rPr>
          <w:rFonts w:hint="eastAsia" w:ascii="宋体" w:hAnsi="宋体" w:eastAsia="宋体" w:cs="宋体"/>
          <w:kern w:val="2"/>
          <w:sz w:val="21"/>
          <w:szCs w:val="21"/>
          <w:highlight w:val="none"/>
          <w:lang w:val="en-US" w:eastAsia="zh-CN" w:bidi="ar-SA"/>
        </w:rPr>
        <w:t>1.11.1信用信息查询渠道及截止时间：采购代理机构将通过“信用中国”网站</w:t>
      </w:r>
    </w:p>
    <w:p>
      <w:pPr>
        <w:pStyle w:val="211"/>
        <w:keepNext w:val="0"/>
        <w:keepLines w:val="0"/>
        <w:pageBreakBefore w:val="0"/>
        <w:widowControl w:val="0"/>
        <w:kinsoku/>
        <w:wordWrap/>
        <w:overflowPunct/>
        <w:topLinePunct w:val="0"/>
        <w:autoSpaceDE/>
        <w:autoSpaceDN/>
        <w:bidi w:val="0"/>
        <w:adjustRightInd/>
        <w:snapToGrid/>
        <w:spacing w:before="0" w:line="480" w:lineRule="exact"/>
        <w:ind w:left="0" w:leftChars="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w:t>
      </w:r>
      <w:r>
        <w:rPr>
          <w:rFonts w:hint="eastAsia" w:ascii="宋体" w:hAnsi="宋体" w:eastAsia="宋体" w:cs="宋体"/>
          <w:kern w:val="2"/>
          <w:sz w:val="21"/>
          <w:szCs w:val="21"/>
          <w:highlight w:val="none"/>
          <w:lang w:val="en-US" w:eastAsia="zh-CN" w:bidi="ar-SA"/>
        </w:rPr>
        <w:fldChar w:fldCharType="begin"/>
      </w:r>
      <w:r>
        <w:rPr>
          <w:rFonts w:hint="eastAsia" w:ascii="宋体" w:hAnsi="宋体" w:eastAsia="宋体" w:cs="宋体"/>
          <w:kern w:val="2"/>
          <w:sz w:val="21"/>
          <w:szCs w:val="21"/>
          <w:highlight w:val="none"/>
          <w:lang w:val="en-US" w:eastAsia="zh-CN" w:bidi="ar-SA"/>
        </w:rPr>
        <w:instrText xml:space="preserve"> HYPERLINK "http://www.creditchina.gov.cn" </w:instrText>
      </w:r>
      <w:r>
        <w:rPr>
          <w:rFonts w:hint="eastAsia" w:ascii="宋体" w:hAnsi="宋体" w:eastAsia="宋体" w:cs="宋体"/>
          <w:kern w:val="2"/>
          <w:sz w:val="21"/>
          <w:szCs w:val="21"/>
          <w:highlight w:val="none"/>
          <w:lang w:val="en-US" w:eastAsia="zh-CN" w:bidi="ar-SA"/>
        </w:rPr>
        <w:fldChar w:fldCharType="separate"/>
      </w:r>
      <w:r>
        <w:rPr>
          <w:rFonts w:hint="eastAsia" w:ascii="宋体" w:hAnsi="宋体" w:eastAsia="宋体" w:cs="宋体"/>
          <w:kern w:val="2"/>
          <w:sz w:val="21"/>
          <w:szCs w:val="21"/>
          <w:highlight w:val="none"/>
          <w:lang w:val="en-US" w:eastAsia="zh-CN" w:bidi="ar-SA"/>
        </w:rPr>
        <w:t>www.creditchina.gov.cn</w:t>
      </w:r>
      <w:r>
        <w:rPr>
          <w:rFonts w:hint="eastAsia" w:ascii="宋体" w:hAnsi="宋体" w:eastAsia="宋体" w:cs="宋体"/>
          <w:kern w:val="2"/>
          <w:sz w:val="21"/>
          <w:szCs w:val="21"/>
          <w:highlight w:val="none"/>
          <w:lang w:val="en-US" w:eastAsia="zh-CN" w:bidi="ar-SA"/>
        </w:rPr>
        <w:fldChar w:fldCharType="end"/>
      </w:r>
      <w:r>
        <w:rPr>
          <w:rFonts w:hint="eastAsia" w:ascii="宋体" w:hAnsi="宋体" w:eastAsia="宋体" w:cs="宋体"/>
          <w:kern w:val="2"/>
          <w:sz w:val="21"/>
          <w:szCs w:val="21"/>
          <w:highlight w:val="none"/>
          <w:lang w:val="en-US" w:eastAsia="zh-CN" w:bidi="ar-SA"/>
        </w:rPr>
        <w:t>)、中国政府采购网(www.ccgp.gov.cn)渠道查询供应商响应截止时间前的信用记录。</w:t>
      </w:r>
    </w:p>
    <w:p>
      <w:pPr>
        <w:pStyle w:val="211"/>
        <w:keepNext w:val="0"/>
        <w:keepLines w:val="0"/>
        <w:pageBreakBefore w:val="0"/>
        <w:widowControl w:val="0"/>
        <w:kinsoku/>
        <w:wordWrap/>
        <w:overflowPunct/>
        <w:topLinePunct w:val="0"/>
        <w:autoSpaceDE/>
        <w:autoSpaceDN/>
        <w:bidi w:val="0"/>
        <w:adjustRightInd/>
        <w:snapToGrid/>
        <w:spacing w:before="0" w:line="480" w:lineRule="exact"/>
        <w:ind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1.11.2信用信息查询记录和证据留存的具体方式：现场查询的供应商的信用记录、查询结果经确认后存档。</w:t>
      </w:r>
    </w:p>
    <w:p>
      <w:pPr>
        <w:pStyle w:val="211"/>
        <w:keepNext w:val="0"/>
        <w:keepLines w:val="0"/>
        <w:pageBreakBefore w:val="0"/>
        <w:widowControl w:val="0"/>
        <w:kinsoku/>
        <w:wordWrap/>
        <w:overflowPunct/>
        <w:topLinePunct w:val="0"/>
        <w:autoSpaceDE/>
        <w:autoSpaceDN/>
        <w:bidi w:val="0"/>
        <w:adjustRightInd/>
        <w:snapToGrid/>
        <w:spacing w:before="0" w:line="480" w:lineRule="exact"/>
        <w:ind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1.11.3信用信息的使用规则：经查询列入失信被执行人名单、重大税收违法案件当事人名单、政府采购严重违法失信行为记录名单的供应商将被拒绝参与政府采购活动。</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jc w:val="lef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1.11.4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keepNext w:val="0"/>
        <w:keepLines w:val="0"/>
        <w:pageBreakBefore w:val="0"/>
        <w:widowControl w:val="0"/>
        <w:kinsoku/>
        <w:wordWrap/>
        <w:overflowPunct/>
        <w:topLinePunct w:val="0"/>
        <w:autoSpaceDE/>
        <w:autoSpaceDN/>
        <w:bidi w:val="0"/>
        <w:adjustRightInd/>
        <w:snapToGri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1.12政府采购政策</w:t>
      </w:r>
      <w:bookmarkEnd w:id="119"/>
      <w:bookmarkEnd w:id="120"/>
      <w:bookmarkEnd w:id="121"/>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bookmarkStart w:id="122" w:name="_Toc499128563"/>
      <w:bookmarkStart w:id="123" w:name="_Toc301187610"/>
      <w:bookmarkStart w:id="124" w:name="_Toc498327018"/>
      <w:bookmarkStart w:id="125" w:name="_Toc303756375"/>
      <w:bookmarkStart w:id="126" w:name="_Toc22170"/>
      <w:bookmarkStart w:id="127" w:name="_Toc359934570"/>
      <w:r>
        <w:rPr>
          <w:rFonts w:hint="eastAsia" w:ascii="宋体" w:hAnsi="宋体" w:cs="宋体"/>
          <w:szCs w:val="21"/>
          <w:highlight w:val="none"/>
        </w:rPr>
        <w:t>1.12.1.关于中小企业参与政府采购活动的规定</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1.12.1.1本项目</w:t>
      </w:r>
      <w:r>
        <w:rPr>
          <w:rFonts w:hint="eastAsia" w:ascii="宋体" w:hAnsi="宋体" w:cs="宋体"/>
          <w:szCs w:val="21"/>
          <w:highlight w:val="none"/>
          <w:u w:val="single"/>
        </w:rPr>
        <w:t xml:space="preserve"> </w:t>
      </w:r>
      <w:r>
        <w:rPr>
          <w:rFonts w:hint="eastAsia" w:ascii="宋体" w:hAnsi="宋体" w:cs="宋体"/>
          <w:b/>
          <w:bCs/>
          <w:szCs w:val="21"/>
          <w:highlight w:val="none"/>
          <w:u w:val="single"/>
        </w:rPr>
        <w:t>是</w:t>
      </w:r>
      <w:r>
        <w:rPr>
          <w:rFonts w:hint="eastAsia" w:ascii="宋体" w:hAnsi="宋体" w:cs="宋体"/>
          <w:szCs w:val="21"/>
          <w:highlight w:val="none"/>
          <w:u w:val="single"/>
        </w:rPr>
        <w:t xml:space="preserve"> </w:t>
      </w:r>
      <w:r>
        <w:rPr>
          <w:rFonts w:hint="eastAsia" w:ascii="宋体" w:hAnsi="宋体" w:cs="宋体"/>
          <w:szCs w:val="21"/>
          <w:highlight w:val="none"/>
        </w:rPr>
        <w:t>专门面向中小企业采购。</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eastAsia="zh-CN"/>
        </w:rPr>
      </w:pPr>
      <w:r>
        <w:rPr>
          <w:rFonts w:hint="eastAsia" w:ascii="宋体" w:hAnsi="宋体" w:cs="宋体"/>
          <w:szCs w:val="21"/>
          <w:highlight w:val="none"/>
        </w:rPr>
        <w:t>1.12.1.2本项目对应的中小企业划分标准所属行业：</w:t>
      </w:r>
      <w:r>
        <w:rPr>
          <w:rFonts w:hint="eastAsia" w:ascii="宋体" w:hAnsi="宋体" w:eastAsia="宋体" w:cs="宋体"/>
          <w:bCs/>
          <w:sz w:val="21"/>
          <w:szCs w:val="21"/>
          <w:highlight w:val="none"/>
          <w:u w:val="single"/>
          <w:lang w:eastAsia="zh-CN"/>
        </w:rPr>
        <w:t>工业</w:t>
      </w:r>
      <w:r>
        <w:rPr>
          <w:rFonts w:hint="eastAsia" w:ascii="宋体" w:hAnsi="宋体" w:cs="宋体"/>
          <w:szCs w:val="21"/>
          <w:highlight w:val="none"/>
          <w:u w:val="single"/>
          <w:lang w:eastAsia="zh-CN"/>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1.12.1.3中小企业是指在中华人民共和国境内依法设立，依据国务院批准的中小企业划分标准确定的中型企业、小型企业和微型企业，但与大企业的负责人为同一人，或者与大企业存在直接控股、管理关系的除外。</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符合中小企业划分标准的个体工商户，在政府采购活动中视同中小企业。</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r>
        <w:rPr>
          <w:rFonts w:hint="eastAsia" w:ascii="宋体" w:hAnsi="宋体" w:cs="宋体"/>
          <w:szCs w:val="21"/>
          <w:highlight w:val="none"/>
        </w:rPr>
        <w:t>1.12.1.4在政府采购活动中，供应商提供的货物、工程或者服务符合下列情形的，可享受小型、微型</w:t>
      </w:r>
      <w:r>
        <w:rPr>
          <w:rFonts w:hint="eastAsia" w:ascii="宋体" w:hAnsi="宋体" w:eastAsia="宋体" w:cs="宋体"/>
          <w:szCs w:val="21"/>
          <w:highlight w:val="none"/>
        </w:rPr>
        <w:t>企业（以下简称小微企业）的价格扣除：</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（一）在货物采购项目中，货物由中小企业制造，即货物由中小企业生产且使用该中小企业商号或者注册商标；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（二）在工程采购项目中，工程由中小企业承建，即工程施工单位为中小企业；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（三）在服务采购项目中，服务由中小企业承接，即提供服务的人员为中小企业依照《中华人民共和国劳动合同法》订立劳动合同的从业人员。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在货物采购项目中，供应商提供的货物既有中小企业制造货物，也有大型企业制造货物的，不享受本办法规定的中小企业扶持政策。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以联合体形式参加政府采购活动，联合体各方均为中小企业的，联合体视同中小企业。其中，联合体各方均为小微企业的，联合体视同小微企业。</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1.12.1.7中小企业应按照采购文件格式要求提供《中小企业声明函》。</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1.12.1.8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1.12.1.9根据《关于促进残疾人就业政府采购政策的通知》（财库[2017]141号）规定，在政府采购活动中，残疾人福利性单位视同小型、微型企业。残疾人福利性单位参加政府采购活动时，提供《残疾人福利性单位声明函》。</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1.12.1.10按规定享受扶持政策获得政府采购合同的，小微企业不得将合同分包给大中型企业，中型企业不得将合同分包给大型企业。</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1.12.1.11供应商按照《政府采购促进中小企业发展管理办法》（财库﹝2020﹞46号）规定提供声明函内容不实的，属于提供虚假材料谋取中标、成交，依照《中华人民共和国政府采购法》等国家有关规定追究相应责任。</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1.12.2节能产品的相关证明：投标产品列入财政部、发展改革委发布的节能产品品目清单的，提供国家确定的认证机构出具的、处于有效期之内的节能产品认证证书；</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1.12.3环境标志产品的相关证明：投标产品列入财政部、生态环境部发布的环境标志产品品目清单的，提供国家确定的认证机构出具的、处于有效期之内的环境标志产品认证证书。</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1.12.4政府强制采购的节能产品品目：见前列表17条。各投标人拟投产品属于政府强制采购的，必须提供符合第41条规定的认证证书。</w:t>
      </w:r>
    </w:p>
    <w:p>
      <w:pPr>
        <w:pageBreakBefore w:val="0"/>
        <w:widowControl w:val="0"/>
        <w:kinsoku/>
        <w:wordWrap/>
        <w:overflowPunct/>
        <w:topLinePunct w:val="0"/>
        <w:autoSpaceDE/>
        <w:autoSpaceDN/>
        <w:bidi w:val="0"/>
        <w:adjustRightInd/>
        <w:spacing w:line="480" w:lineRule="exact"/>
        <w:ind w:firstLine="422" w:firstLineChars="200"/>
        <w:textAlignment w:val="auto"/>
        <w:rPr>
          <w:rFonts w:hint="eastAsia" w:ascii="宋体" w:hAnsi="宋体" w:cs="宋体"/>
          <w:b/>
          <w:bCs/>
          <w:szCs w:val="21"/>
          <w:highlight w:val="none"/>
        </w:rPr>
      </w:pPr>
      <w:r>
        <w:rPr>
          <w:rFonts w:hint="eastAsia" w:ascii="宋体" w:hAnsi="宋体" w:cs="宋体"/>
          <w:b/>
          <w:bCs/>
          <w:szCs w:val="21"/>
          <w:highlight w:val="none"/>
        </w:rPr>
        <w:t>1.13特别声明</w:t>
      </w:r>
      <w:bookmarkEnd w:id="122"/>
      <w:bookmarkEnd w:id="123"/>
      <w:bookmarkEnd w:id="124"/>
      <w:bookmarkEnd w:id="125"/>
      <w:bookmarkEnd w:id="126"/>
      <w:bookmarkEnd w:id="12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28" w:name="_Toc301187611"/>
      <w:bookmarkStart w:id="129" w:name="_Toc359934571"/>
      <w:bookmarkStart w:id="130" w:name="_Toc301187615"/>
      <w:bookmarkStart w:id="131" w:name="_Toc303756376"/>
      <w:r>
        <w:rPr>
          <w:rFonts w:hint="eastAsia" w:ascii="宋体" w:hAnsi="宋体" w:cs="宋体"/>
          <w:szCs w:val="21"/>
          <w:highlight w:val="none"/>
        </w:rPr>
        <w:t>1.13.1单位负责人为同一人或者存在直接控股、管理关系的不同供应商，不得参加同一合同项下的政府采购活动。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为采购项目提供整体设计、规范编制或者项目管理、监理、检测等服务的供应商，不得再参加该采购项目的其他采购活动。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1.13.2采用最低磋商评审价法的采购项目，提供相同品牌产品的不同供应商参加同一合同项下磋商的，以其中通过资格审查、符合性审查且报价最低的供应商参加磋商评审；报价相同的，则按照技术优的供应商参加磋商评审。</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使用综合评分法的采购项目，提供相同品牌产品且通过资格审查、符合性审查的不同供应商参加同一合同项下磋商的，按一家供应商计算，评审后的得分最高的同品牌供应商获得成交供应商推荐资格；评审得分相同的，则按照报价最低的供应商获得成交供应商推荐资格。</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非单一产品采购项目，多家供应商提供的核心产品品牌相同的、或部分核心产品品牌相同金额占项目报价50%以上的，按前两款规定处理。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1.13.3核心产品：见供应商须知前附表。非单一产品采购项目，采购人应当根据采购项目技术构成、产品价格比重等合同确定核心产品，并在竞争性磋商文件中标明</w:t>
      </w:r>
      <w:r>
        <w:rPr>
          <w:rFonts w:hint="eastAsia" w:ascii="宋体" w:hAnsi="宋体" w:cs="宋体"/>
          <w:bCs/>
          <w:szCs w:val="21"/>
          <w:highlight w:val="none"/>
        </w:rPr>
        <w:t>“★”标志的产品</w:t>
      </w:r>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32" w:name="_Toc24763"/>
      <w:bookmarkStart w:id="133" w:name="_Toc498327019"/>
      <w:bookmarkStart w:id="134" w:name="_Toc499128564"/>
      <w:r>
        <w:rPr>
          <w:rFonts w:hint="eastAsia" w:ascii="宋体" w:hAnsi="宋体" w:cs="宋体"/>
          <w:b/>
          <w:bCs/>
          <w:szCs w:val="21"/>
          <w:highlight w:val="none"/>
        </w:rPr>
        <w:t>1.14现场考察</w:t>
      </w:r>
      <w:bookmarkEnd w:id="132"/>
      <w:bookmarkEnd w:id="133"/>
      <w:bookmarkEnd w:id="13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1.14.1现场考察：见供应商须知。</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1.14.2为使供应商对本项目情况有所了解，供应商自行组织对项目所在场地及周围环境进行现场考察，以便获取由供应商自行负责编制响应文件和签订合同所需的一切资料。现场考察所发生的费用由供应商自行承担。</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1.14.3现场考察完毕，将认为供应商已了解现场情况，并充分理解了为之所承担的风险、义务和责任。</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1.14.4在现场考察过程中，供应商应承担在此期间所造成的人身伤害、财产损失或损坏的责任，无论何种原因所造成，采购人均不负责，如由此导致采购人承担责任的，采购人有权向供应商行使追偿权。</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1.14.5采购人联系方式见采购须知前附表。</w:t>
      </w:r>
    </w:p>
    <w:bookmarkEnd w:id="128"/>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 w:val="28"/>
          <w:szCs w:val="28"/>
          <w:highlight w:val="none"/>
        </w:rPr>
      </w:pPr>
      <w:bookmarkStart w:id="135" w:name="_Toc499128565"/>
      <w:bookmarkStart w:id="136" w:name="_Toc498327020"/>
      <w:bookmarkStart w:id="137" w:name="_Toc3685"/>
      <w:bookmarkStart w:id="138" w:name="_Toc10395"/>
      <w:bookmarkStart w:id="139" w:name="_Toc29877"/>
      <w:r>
        <w:rPr>
          <w:rFonts w:hint="eastAsia" w:ascii="宋体" w:hAnsi="宋体" w:cs="宋体"/>
          <w:sz w:val="28"/>
          <w:szCs w:val="28"/>
          <w:highlight w:val="none"/>
        </w:rPr>
        <w:t>2．</w:t>
      </w:r>
      <w:bookmarkEnd w:id="129"/>
      <w:bookmarkEnd w:id="130"/>
      <w:bookmarkEnd w:id="131"/>
      <w:bookmarkEnd w:id="135"/>
      <w:bookmarkEnd w:id="136"/>
      <w:bookmarkEnd w:id="137"/>
      <w:r>
        <w:rPr>
          <w:rFonts w:hint="eastAsia" w:ascii="宋体" w:hAnsi="宋体" w:cs="宋体"/>
          <w:sz w:val="28"/>
          <w:szCs w:val="28"/>
          <w:highlight w:val="none"/>
        </w:rPr>
        <w:t>竞争性磋商文件</w:t>
      </w:r>
      <w:bookmarkEnd w:id="138"/>
      <w:bookmarkEnd w:id="139"/>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40" w:name="_Toc303756377"/>
      <w:bookmarkStart w:id="141" w:name="_Toc499128566"/>
      <w:bookmarkStart w:id="142" w:name="_Toc359934572"/>
      <w:bookmarkStart w:id="143" w:name="_Toc498327021"/>
      <w:bookmarkStart w:id="144" w:name="_Toc20146"/>
      <w:bookmarkStart w:id="145" w:name="_Toc301187616"/>
      <w:r>
        <w:rPr>
          <w:rFonts w:hint="eastAsia" w:ascii="宋体" w:hAnsi="宋体" w:cs="宋体"/>
          <w:b/>
          <w:bCs/>
          <w:szCs w:val="21"/>
          <w:highlight w:val="none"/>
        </w:rPr>
        <w:t>2.1竞争性磋商文件的构成</w:t>
      </w:r>
      <w:bookmarkEnd w:id="140"/>
      <w:bookmarkEnd w:id="141"/>
      <w:bookmarkEnd w:id="142"/>
      <w:bookmarkEnd w:id="143"/>
      <w:bookmarkEnd w:id="144"/>
      <w:bookmarkEnd w:id="14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46" w:name="_Toc301187618"/>
      <w:r>
        <w:rPr>
          <w:rFonts w:hint="eastAsia" w:ascii="宋体" w:hAnsi="宋体" w:cs="宋体"/>
          <w:szCs w:val="21"/>
          <w:highlight w:val="none"/>
        </w:rPr>
        <w:t>2.1.1本竞争性磋商文件的内容由以下部分组成：</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w:t>
      </w:r>
      <w:bookmarkEnd w:id="146"/>
      <w:r>
        <w:rPr>
          <w:rFonts w:hint="eastAsia" w:ascii="宋体" w:hAnsi="宋体" w:cs="宋体"/>
          <w:szCs w:val="21"/>
          <w:highlight w:val="none"/>
          <w:lang w:eastAsia="zh-CN"/>
        </w:rPr>
        <w:t>竞争性</w:t>
      </w:r>
      <w:r>
        <w:rPr>
          <w:rFonts w:hint="eastAsia" w:ascii="宋体" w:hAnsi="宋体" w:cs="宋体"/>
          <w:szCs w:val="21"/>
          <w:highlight w:val="none"/>
        </w:rPr>
        <w:t>磋商公告；</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47" w:name="_Toc301187619"/>
      <w:r>
        <w:rPr>
          <w:rFonts w:hint="eastAsia" w:ascii="宋体" w:hAnsi="宋体" w:cs="宋体"/>
          <w:szCs w:val="21"/>
          <w:highlight w:val="none"/>
        </w:rPr>
        <w:t>（2）</w:t>
      </w:r>
      <w:bookmarkEnd w:id="147"/>
      <w:r>
        <w:rPr>
          <w:rFonts w:hint="eastAsia" w:ascii="宋体" w:hAnsi="宋体" w:cs="宋体"/>
          <w:szCs w:val="21"/>
          <w:highlight w:val="none"/>
        </w:rPr>
        <w:t>采购需求；</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48" w:name="_Toc301187620"/>
      <w:r>
        <w:rPr>
          <w:rFonts w:hint="eastAsia" w:ascii="宋体" w:hAnsi="宋体" w:cs="宋体"/>
          <w:szCs w:val="21"/>
          <w:highlight w:val="none"/>
        </w:rPr>
        <w:t>（3）供应商须知</w:t>
      </w:r>
      <w:bookmarkEnd w:id="148"/>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49" w:name="_Toc301187622"/>
      <w:bookmarkStart w:id="150" w:name="_Toc301187621"/>
      <w:r>
        <w:rPr>
          <w:rFonts w:hint="eastAsia" w:ascii="宋体" w:hAnsi="宋体" w:cs="宋体"/>
          <w:szCs w:val="21"/>
          <w:highlight w:val="none"/>
        </w:rPr>
        <w:t>（4）合同</w:t>
      </w:r>
      <w:bookmarkEnd w:id="149"/>
      <w:r>
        <w:rPr>
          <w:rFonts w:hint="eastAsia" w:ascii="宋体" w:hAnsi="宋体" w:cs="宋体"/>
          <w:szCs w:val="21"/>
          <w:highlight w:val="none"/>
          <w:lang w:eastAsia="zh-CN"/>
        </w:rPr>
        <w:t>格式</w:t>
      </w:r>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（5）</w:t>
      </w:r>
      <w:bookmarkEnd w:id="150"/>
      <w:r>
        <w:rPr>
          <w:rFonts w:hint="eastAsia" w:ascii="宋体" w:hAnsi="宋体" w:cs="宋体"/>
          <w:szCs w:val="21"/>
          <w:highlight w:val="none"/>
        </w:rPr>
        <w:t>响应文件格式；</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51" w:name="_Toc301187623"/>
      <w:r>
        <w:rPr>
          <w:rFonts w:hint="eastAsia" w:ascii="宋体" w:hAnsi="宋体" w:cs="宋体"/>
          <w:szCs w:val="21"/>
          <w:highlight w:val="none"/>
        </w:rPr>
        <w:t>（6）磋商评审办法及</w:t>
      </w:r>
      <w:r>
        <w:rPr>
          <w:rFonts w:hint="eastAsia" w:ascii="宋体" w:hAnsi="宋体" w:cs="宋体"/>
          <w:szCs w:val="21"/>
          <w:highlight w:val="none"/>
          <w:lang w:eastAsia="zh-CN"/>
        </w:rPr>
        <w:t>评分</w:t>
      </w:r>
      <w:r>
        <w:rPr>
          <w:rFonts w:hint="eastAsia" w:ascii="宋体" w:hAnsi="宋体" w:cs="宋体"/>
          <w:szCs w:val="21"/>
          <w:highlight w:val="none"/>
        </w:rPr>
        <w:t>标准</w:t>
      </w:r>
      <w:bookmarkEnd w:id="151"/>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52" w:name="_Toc301187624"/>
      <w:r>
        <w:rPr>
          <w:rFonts w:hint="eastAsia" w:ascii="宋体" w:hAnsi="宋体" w:cs="宋体"/>
          <w:szCs w:val="21"/>
          <w:highlight w:val="none"/>
        </w:rPr>
        <w:t>（7）本项目竞争性磋商文件的澄清、答复、修改、补充的内容</w:t>
      </w:r>
      <w:bookmarkEnd w:id="152"/>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53" w:name="_Toc303756378"/>
      <w:bookmarkStart w:id="154" w:name="_Toc301187625"/>
      <w:bookmarkStart w:id="155" w:name="_Toc359934573"/>
      <w:bookmarkStart w:id="156" w:name="_Toc498327022"/>
      <w:bookmarkStart w:id="157" w:name="_Toc27036"/>
      <w:bookmarkStart w:id="158" w:name="_Toc499128567"/>
      <w:r>
        <w:rPr>
          <w:rFonts w:hint="eastAsia" w:ascii="宋体" w:hAnsi="宋体" w:cs="宋体"/>
          <w:b/>
          <w:bCs/>
          <w:szCs w:val="21"/>
          <w:highlight w:val="none"/>
        </w:rPr>
        <w:t>2.2竞争性磋商文件的澄清</w:t>
      </w:r>
      <w:bookmarkEnd w:id="153"/>
      <w:bookmarkEnd w:id="154"/>
      <w:bookmarkEnd w:id="155"/>
      <w:r>
        <w:rPr>
          <w:rFonts w:hint="eastAsia" w:ascii="宋体" w:hAnsi="宋体" w:cs="宋体"/>
          <w:b/>
          <w:bCs/>
          <w:szCs w:val="21"/>
          <w:highlight w:val="none"/>
        </w:rPr>
        <w:t>、答疑、修改、补充</w:t>
      </w:r>
      <w:bookmarkEnd w:id="156"/>
      <w:bookmarkEnd w:id="157"/>
      <w:bookmarkEnd w:id="15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b w:val="0"/>
          <w:bCs w:val="0"/>
          <w:szCs w:val="21"/>
          <w:highlight w:val="none"/>
        </w:rPr>
      </w:pPr>
      <w:bookmarkStart w:id="159" w:name="_Toc301187626"/>
      <w:r>
        <w:rPr>
          <w:rFonts w:hint="eastAsia" w:ascii="宋体" w:hAnsi="宋体" w:cs="宋体"/>
          <w:szCs w:val="21"/>
          <w:highlight w:val="none"/>
        </w:rPr>
        <w:t>2.2.1竞争性磋商文件的澄清、答疑、修改、补充截止时间：见供应商须知前附表。供应商应仔细阅读和检查竞争性磋商文件的全部内容。如发现缺页或附件不全，应及时向采购人或采购代理机构提出，以便补齐。如有疑问，应当在竞争性磋商文件的澄清、答疑截止时间内以书面形式（包括信函、电报、传真等可以有形地表现所载内容的形式，下同）或电子文档形式，要求采购人或采购代理机构对竞争性磋商文件</w:t>
      </w:r>
      <w:r>
        <w:rPr>
          <w:rFonts w:hint="eastAsia" w:ascii="宋体" w:hAnsi="宋体" w:eastAsia="宋体" w:cs="宋体"/>
          <w:b w:val="0"/>
          <w:bCs w:val="0"/>
          <w:szCs w:val="21"/>
          <w:highlight w:val="none"/>
        </w:rPr>
        <w:t>予以澄清、答疑、修改、补充。</w:t>
      </w:r>
      <w:bookmarkEnd w:id="159"/>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b w:val="0"/>
          <w:bCs w:val="0"/>
          <w:szCs w:val="21"/>
          <w:highlight w:val="none"/>
        </w:rPr>
      </w:pPr>
      <w:bookmarkStart w:id="160" w:name="_Toc301187627"/>
      <w:r>
        <w:rPr>
          <w:rFonts w:hint="eastAsia" w:ascii="宋体" w:hAnsi="宋体" w:eastAsia="宋体" w:cs="宋体"/>
          <w:b w:val="0"/>
          <w:bCs w:val="0"/>
          <w:szCs w:val="21"/>
          <w:highlight w:val="none"/>
        </w:rPr>
        <w:t>2.2.2</w:t>
      </w:r>
      <w:bookmarkEnd w:id="160"/>
      <w:r>
        <w:rPr>
          <w:rFonts w:hint="eastAsia" w:ascii="宋体" w:hAnsi="宋体" w:eastAsia="宋体" w:cs="宋体"/>
          <w:b w:val="0"/>
          <w:bCs w:val="0"/>
          <w:szCs w:val="21"/>
          <w:highlight w:val="none"/>
        </w:rPr>
        <w:t>竞争性磋商文件的澄清、答疑、修改、补充发布地点：见供应商须知前附表。</w:t>
      </w:r>
      <w:r>
        <w:rPr>
          <w:rFonts w:hint="eastAsia" w:ascii="宋体" w:hAnsi="宋体" w:eastAsia="宋体" w:cs="宋体"/>
          <w:b w:val="0"/>
          <w:bCs w:val="0"/>
          <w:szCs w:val="21"/>
          <w:highlight w:val="none"/>
          <w:lang w:val="en-US" w:eastAsia="zh-CN"/>
        </w:rPr>
        <w:t>澄清或者修改的内容可能影响响应文件编制的，采购人、采购代理机构应当在提交首次响应文件截止时间至少5日前，以电子文档形式在竞争性磋商文件的澄清、答疑、修改、补充发布地点发布，供各供应商查询，无论因任何原因造成供应商无法查询或浏览，采购人和采购代理机构均不予以负责；不足5日的，采购人、采购代理机构应当顺延提交首次响应文件截止时间。</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2.2.3澄清、答疑、修改、补充的内容作为竞争性磋商文件的组成部分，对各供应商起同等约束作用。</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Cs w:val="21"/>
          <w:highlight w:val="none"/>
        </w:rPr>
      </w:pPr>
      <w:bookmarkStart w:id="161" w:name="_Toc32516"/>
      <w:bookmarkStart w:id="162" w:name="_Toc7772"/>
      <w:bookmarkStart w:id="163" w:name="_Toc18287"/>
      <w:bookmarkStart w:id="164" w:name="_Toc499128568"/>
      <w:bookmarkStart w:id="165" w:name="_Toc498327023"/>
      <w:r>
        <w:rPr>
          <w:rFonts w:hint="eastAsia" w:ascii="宋体" w:hAnsi="宋体" w:cs="宋体"/>
          <w:sz w:val="28"/>
          <w:szCs w:val="28"/>
          <w:highlight w:val="none"/>
        </w:rPr>
        <w:t>3．响应文件的组成</w:t>
      </w:r>
      <w:bookmarkEnd w:id="161"/>
      <w:bookmarkEnd w:id="162"/>
      <w:bookmarkEnd w:id="163"/>
      <w:bookmarkEnd w:id="164"/>
      <w:bookmarkEnd w:id="165"/>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66" w:name="_Toc498327024"/>
      <w:bookmarkStart w:id="167" w:name="_Toc25817"/>
      <w:bookmarkStart w:id="168" w:name="_Toc499128569"/>
      <w:r>
        <w:rPr>
          <w:rFonts w:hint="eastAsia" w:ascii="宋体" w:hAnsi="宋体" w:cs="宋体"/>
          <w:b/>
          <w:bCs/>
          <w:szCs w:val="21"/>
          <w:highlight w:val="none"/>
        </w:rPr>
        <w:t>3.1</w:t>
      </w:r>
      <w:bookmarkEnd w:id="166"/>
      <w:bookmarkEnd w:id="167"/>
      <w:bookmarkEnd w:id="168"/>
      <w:r>
        <w:rPr>
          <w:rFonts w:hint="eastAsia" w:ascii="宋体" w:hAnsi="宋体" w:cs="宋体"/>
          <w:b/>
          <w:bCs/>
          <w:szCs w:val="21"/>
          <w:highlight w:val="none"/>
        </w:rPr>
        <w:t>响应文件内容的组成</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响应文件由资格审查文件、商务技术文件、报价文件三部分组成。</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69" w:name="_Toc303756381"/>
      <w:bookmarkStart w:id="170" w:name="_Toc301187633"/>
      <w:bookmarkStart w:id="171" w:name="_Toc498327025"/>
      <w:bookmarkStart w:id="172" w:name="_Toc359934576"/>
      <w:bookmarkStart w:id="173" w:name="_Toc17305"/>
      <w:bookmarkStart w:id="174" w:name="_Toc499128570"/>
      <w:r>
        <w:rPr>
          <w:rFonts w:hint="eastAsia" w:ascii="宋体" w:hAnsi="宋体" w:cs="宋体"/>
          <w:b/>
          <w:bCs/>
          <w:szCs w:val="21"/>
          <w:highlight w:val="none"/>
        </w:rPr>
        <w:t>3.2资格审查文件的组成</w:t>
      </w:r>
      <w:bookmarkEnd w:id="169"/>
      <w:bookmarkEnd w:id="170"/>
      <w:bookmarkEnd w:id="171"/>
      <w:bookmarkEnd w:id="172"/>
      <w:bookmarkEnd w:id="173"/>
      <w:bookmarkEnd w:id="17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75" w:name="_Toc301187634"/>
      <w:r>
        <w:rPr>
          <w:rFonts w:hint="eastAsia" w:ascii="宋体" w:hAnsi="宋体" w:cs="宋体"/>
          <w:szCs w:val="21"/>
          <w:highlight w:val="none"/>
        </w:rPr>
        <w:t>3.2.1资格审查文件的组成：见供应商须知前附表</w:t>
      </w:r>
      <w:bookmarkEnd w:id="175"/>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3.2.2联合体磋商的各方供应商必须按照本条要求提供各自的资格审查证明文件。</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76" w:name="_Toc12130"/>
      <w:bookmarkStart w:id="177" w:name="_Toc359934577"/>
      <w:bookmarkStart w:id="178" w:name="_Toc301187635"/>
      <w:bookmarkStart w:id="179" w:name="_Toc498327026"/>
      <w:bookmarkStart w:id="180" w:name="_Toc303756382"/>
      <w:bookmarkStart w:id="181" w:name="_Toc499128571"/>
      <w:r>
        <w:rPr>
          <w:rFonts w:hint="eastAsia" w:ascii="宋体" w:hAnsi="宋体" w:cs="宋体"/>
          <w:b/>
          <w:bCs/>
          <w:szCs w:val="21"/>
          <w:highlight w:val="none"/>
        </w:rPr>
        <w:t>3.3商务技术文件的组成</w:t>
      </w:r>
      <w:bookmarkEnd w:id="176"/>
      <w:bookmarkEnd w:id="177"/>
      <w:bookmarkEnd w:id="178"/>
      <w:bookmarkEnd w:id="179"/>
      <w:bookmarkEnd w:id="180"/>
      <w:bookmarkEnd w:id="18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82" w:name="_Toc301187636"/>
      <w:r>
        <w:rPr>
          <w:rFonts w:hint="eastAsia" w:ascii="宋体" w:hAnsi="宋体" w:cs="宋体"/>
          <w:szCs w:val="21"/>
          <w:highlight w:val="none"/>
        </w:rPr>
        <w:t>3.3.1见供应商须知前附表</w:t>
      </w:r>
      <w:bookmarkEnd w:id="182"/>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2" w:firstLineChars="200"/>
        <w:textAlignment w:val="auto"/>
        <w:rPr>
          <w:rFonts w:hint="eastAsia" w:ascii="宋体" w:hAnsi="宋体" w:cs="宋体"/>
          <w:szCs w:val="21"/>
          <w:highlight w:val="none"/>
        </w:rPr>
      </w:pPr>
      <w:r>
        <w:rPr>
          <w:rFonts w:hint="eastAsia" w:ascii="宋体" w:hAnsi="宋体" w:cs="宋体"/>
          <w:b/>
          <w:bCs/>
          <w:szCs w:val="21"/>
          <w:highlight w:val="none"/>
        </w:rPr>
        <w:t>3.3.2必须提供采购商务响应表，并且符合相关要求。</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83" w:name="_Toc301187637"/>
      <w:bookmarkStart w:id="184" w:name="_Toc14301"/>
      <w:bookmarkStart w:id="185" w:name="_Toc303756383"/>
      <w:bookmarkStart w:id="186" w:name="_Toc499128572"/>
      <w:bookmarkStart w:id="187" w:name="_Toc359934578"/>
      <w:bookmarkStart w:id="188" w:name="_Toc498327027"/>
      <w:r>
        <w:rPr>
          <w:rFonts w:hint="eastAsia" w:ascii="宋体" w:hAnsi="宋体" w:cs="宋体"/>
          <w:b/>
          <w:bCs/>
          <w:szCs w:val="21"/>
          <w:highlight w:val="none"/>
        </w:rPr>
        <w:t>3.4报价文件的组成</w:t>
      </w:r>
      <w:bookmarkEnd w:id="183"/>
      <w:bookmarkEnd w:id="184"/>
      <w:bookmarkEnd w:id="185"/>
      <w:bookmarkEnd w:id="186"/>
      <w:bookmarkEnd w:id="187"/>
      <w:bookmarkEnd w:id="18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189" w:name="_Toc301187638"/>
      <w:r>
        <w:rPr>
          <w:rFonts w:hint="eastAsia" w:ascii="宋体" w:hAnsi="宋体" w:cs="宋体"/>
          <w:szCs w:val="21"/>
          <w:highlight w:val="none"/>
        </w:rPr>
        <w:t>见供应商须知前附表</w:t>
      </w:r>
      <w:bookmarkEnd w:id="189"/>
      <w:r>
        <w:rPr>
          <w:rFonts w:hint="eastAsia" w:ascii="宋体" w:hAnsi="宋体" w:cs="宋体"/>
          <w:szCs w:val="21"/>
          <w:highlight w:val="none"/>
        </w:rPr>
        <w:t>。</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Cs w:val="21"/>
          <w:highlight w:val="none"/>
        </w:rPr>
      </w:pPr>
      <w:bookmarkStart w:id="190" w:name="_Toc24599"/>
      <w:bookmarkStart w:id="191" w:name="_Toc498327031"/>
      <w:bookmarkStart w:id="192" w:name="_Toc359934575"/>
      <w:bookmarkStart w:id="193" w:name="_Toc301187631"/>
      <w:bookmarkStart w:id="194" w:name="_Toc23383"/>
      <w:bookmarkStart w:id="195" w:name="_Toc303756380"/>
      <w:bookmarkStart w:id="196" w:name="_Toc499128576"/>
      <w:bookmarkStart w:id="197" w:name="_Toc14736"/>
      <w:r>
        <w:rPr>
          <w:rFonts w:hint="eastAsia" w:ascii="宋体" w:hAnsi="宋体" w:cs="宋体"/>
          <w:sz w:val="28"/>
          <w:szCs w:val="28"/>
          <w:highlight w:val="none"/>
        </w:rPr>
        <w:t>4．响应文件的编制</w:t>
      </w:r>
      <w:bookmarkEnd w:id="190"/>
      <w:bookmarkEnd w:id="191"/>
      <w:bookmarkEnd w:id="192"/>
      <w:bookmarkEnd w:id="193"/>
      <w:bookmarkEnd w:id="194"/>
      <w:bookmarkEnd w:id="195"/>
      <w:bookmarkEnd w:id="196"/>
      <w:bookmarkEnd w:id="197"/>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198" w:name="_Toc498327032"/>
      <w:bookmarkStart w:id="199" w:name="_Toc2620"/>
      <w:bookmarkStart w:id="200" w:name="_Toc499128577"/>
      <w:r>
        <w:rPr>
          <w:rFonts w:hint="eastAsia" w:ascii="宋体" w:hAnsi="宋体" w:cs="宋体"/>
          <w:b/>
          <w:bCs/>
          <w:szCs w:val="21"/>
          <w:highlight w:val="none"/>
        </w:rPr>
        <w:t>4.1响应文件的编制要求</w:t>
      </w:r>
      <w:bookmarkEnd w:id="198"/>
      <w:bookmarkEnd w:id="199"/>
      <w:bookmarkEnd w:id="20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4.1.1供应商应当仔细阅读竞争性磋商文件的所有内容，按照竞争性磋商文件的要求制作响应文件，并对所提供的全部资料的真实性承担法律责任。</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4.1.2供应商按本竞争性磋商文件规定的格式和顺序编制响应文件，响应文件内容不完整、编排混乱导致响应文件被误读、漏读或者查找不到相关内容的，供应商自行承担相关责任。</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4.1.3供应商磋商所使用的资格、信誉、荣誉、业绩与企业认证必须为本法人所拥有。</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4.1.4 因磋商失败后重新磋商而造成响应文件的采购编号后缀不一致时，不影响响应文件的有效性。</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01" w:name="_Toc498327033"/>
      <w:bookmarkStart w:id="202" w:name="_Toc359934580"/>
      <w:bookmarkStart w:id="203" w:name="_Toc22256"/>
      <w:bookmarkStart w:id="204" w:name="_Toc499128578"/>
      <w:r>
        <w:rPr>
          <w:rFonts w:hint="eastAsia" w:ascii="宋体" w:hAnsi="宋体" w:cs="宋体"/>
          <w:b/>
          <w:bCs/>
          <w:szCs w:val="21"/>
          <w:highlight w:val="none"/>
        </w:rPr>
        <w:t>4.2响应文件的格式</w:t>
      </w:r>
      <w:bookmarkEnd w:id="201"/>
      <w:bookmarkEnd w:id="202"/>
      <w:bookmarkEnd w:id="203"/>
      <w:bookmarkEnd w:id="20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响应文件按照竞争性磋商文件已提供的格式填写，无格式的自行设计。</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05" w:name="_Toc12636"/>
      <w:bookmarkStart w:id="206" w:name="_Toc359934581"/>
      <w:bookmarkStart w:id="207" w:name="_Toc498327034"/>
      <w:bookmarkStart w:id="208" w:name="_Toc301187639"/>
      <w:bookmarkStart w:id="209" w:name="_Toc499128579"/>
      <w:bookmarkStart w:id="210" w:name="_Toc303756384"/>
      <w:r>
        <w:rPr>
          <w:rFonts w:hint="eastAsia" w:ascii="宋体" w:hAnsi="宋体" w:cs="宋体"/>
          <w:b/>
          <w:bCs/>
          <w:szCs w:val="21"/>
          <w:highlight w:val="none"/>
        </w:rPr>
        <w:t>4.3响应文件的有效期</w:t>
      </w:r>
      <w:bookmarkEnd w:id="205"/>
      <w:bookmarkEnd w:id="206"/>
      <w:bookmarkEnd w:id="207"/>
      <w:bookmarkEnd w:id="208"/>
      <w:bookmarkEnd w:id="209"/>
      <w:bookmarkEnd w:id="21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11" w:name="_Toc301187640"/>
      <w:r>
        <w:rPr>
          <w:rFonts w:hint="eastAsia" w:ascii="宋体" w:hAnsi="宋体" w:cs="宋体"/>
          <w:szCs w:val="21"/>
          <w:highlight w:val="none"/>
        </w:rPr>
        <w:t>4.3.1磋商有效期：见供应商须知前附表。磋商有效期从提交响应文件的截止之日起算。响应文件中承诺的磋商有效期应当不少于竞争性磋商文件中载明的磋商有效期。</w:t>
      </w:r>
      <w:bookmarkEnd w:id="21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12" w:name="_Toc301187641"/>
      <w:r>
        <w:rPr>
          <w:rFonts w:hint="eastAsia" w:ascii="宋体" w:hAnsi="宋体" w:cs="宋体"/>
          <w:szCs w:val="21"/>
          <w:highlight w:val="none"/>
        </w:rPr>
        <w:t>4.3.2在特殊情况下，采购人可与供应商协商延长响应文件的有效期，这种要求和答复均以书面形式进行。</w:t>
      </w:r>
      <w:bookmarkEnd w:id="212"/>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13" w:name="_Toc301187642"/>
      <w:r>
        <w:rPr>
          <w:rFonts w:hint="eastAsia" w:ascii="宋体" w:hAnsi="宋体" w:cs="宋体"/>
          <w:szCs w:val="21"/>
          <w:highlight w:val="none"/>
        </w:rPr>
        <w:t>4.3.3</w:t>
      </w:r>
      <w:bookmarkEnd w:id="213"/>
      <w:r>
        <w:rPr>
          <w:rFonts w:hint="eastAsia" w:ascii="宋体" w:hAnsi="宋体" w:cs="宋体"/>
          <w:szCs w:val="21"/>
          <w:highlight w:val="none"/>
        </w:rPr>
        <w:t>供应商可拒绝接受延期要求，同意延长有效期的供应商不能修改响应文件。</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14" w:name="_Toc10860"/>
      <w:bookmarkStart w:id="215" w:name="_Toc499128580"/>
      <w:bookmarkStart w:id="216" w:name="_Toc498327035"/>
      <w:bookmarkStart w:id="217" w:name="_Toc301187659"/>
      <w:bookmarkStart w:id="218" w:name="_Toc359934583"/>
      <w:bookmarkStart w:id="219" w:name="_Toc303756386"/>
      <w:r>
        <w:rPr>
          <w:rFonts w:hint="eastAsia" w:ascii="宋体" w:hAnsi="宋体" w:cs="宋体"/>
          <w:b/>
          <w:bCs/>
          <w:szCs w:val="21"/>
          <w:highlight w:val="none"/>
        </w:rPr>
        <w:t>4.4</w:t>
      </w:r>
      <w:bookmarkEnd w:id="214"/>
      <w:bookmarkEnd w:id="215"/>
      <w:bookmarkEnd w:id="216"/>
      <w:bookmarkEnd w:id="217"/>
      <w:bookmarkEnd w:id="218"/>
      <w:bookmarkEnd w:id="219"/>
      <w:r>
        <w:rPr>
          <w:rFonts w:hint="eastAsia" w:ascii="宋体" w:hAnsi="宋体" w:cs="宋体"/>
          <w:b/>
          <w:bCs/>
          <w:szCs w:val="21"/>
          <w:highlight w:val="none"/>
        </w:rPr>
        <w:t>磋商报价</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20" w:name="_Toc301187660"/>
      <w:r>
        <w:rPr>
          <w:rFonts w:hint="eastAsia" w:ascii="宋体" w:hAnsi="宋体" w:cs="宋体"/>
          <w:b w:val="0"/>
          <w:bCs w:val="0"/>
          <w:szCs w:val="21"/>
          <w:highlight w:val="none"/>
        </w:rPr>
        <w:t>4.4.1磋商报价应当按照竞争性磋商文件中相关格式填写。</w:t>
      </w:r>
      <w:bookmarkEnd w:id="22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b w:val="0"/>
          <w:bCs w:val="0"/>
          <w:iCs/>
          <w:szCs w:val="21"/>
          <w:highlight w:val="none"/>
        </w:rPr>
      </w:pPr>
      <w:bookmarkStart w:id="221" w:name="_Toc301187661"/>
      <w:r>
        <w:rPr>
          <w:rFonts w:hint="eastAsia" w:ascii="宋体" w:hAnsi="宋体" w:cs="宋体"/>
          <w:b w:val="0"/>
          <w:bCs w:val="0"/>
          <w:szCs w:val="21"/>
          <w:highlight w:val="none"/>
        </w:rPr>
        <w:t>▲4.4.2</w:t>
      </w:r>
      <w:bookmarkEnd w:id="221"/>
      <w:bookmarkStart w:id="222" w:name="_Toc301187662"/>
      <w:r>
        <w:rPr>
          <w:rFonts w:hint="eastAsia" w:ascii="宋体" w:hAnsi="宋体" w:cs="宋体"/>
          <w:b w:val="0"/>
          <w:bCs w:val="0"/>
          <w:szCs w:val="21"/>
          <w:highlight w:val="none"/>
        </w:rPr>
        <w:t>磋商报价是履行合同的最终价格，</w:t>
      </w:r>
      <w:r>
        <w:rPr>
          <w:rFonts w:hint="eastAsia" w:ascii="宋体" w:hAnsi="宋体" w:eastAsia="宋体" w:cs="宋体"/>
          <w:b w:val="0"/>
          <w:bCs w:val="0"/>
          <w:iCs/>
          <w:szCs w:val="21"/>
          <w:highlight w:val="none"/>
        </w:rPr>
        <w:t>应包括</w:t>
      </w:r>
      <w:r>
        <w:rPr>
          <w:rFonts w:hint="eastAsia" w:ascii="宋体" w:hAnsi="宋体" w:eastAsia="宋体" w:cs="宋体"/>
          <w:b w:val="0"/>
          <w:bCs w:val="0"/>
          <w:iCs/>
          <w:szCs w:val="21"/>
          <w:highlight w:val="none"/>
          <w:lang w:eastAsia="zh-CN"/>
        </w:rPr>
        <w:t>货物、</w:t>
      </w:r>
      <w:r>
        <w:rPr>
          <w:rFonts w:hint="eastAsia" w:ascii="宋体" w:hAnsi="宋体" w:eastAsia="宋体" w:cs="宋体"/>
          <w:b w:val="0"/>
          <w:bCs w:val="0"/>
          <w:iCs/>
          <w:szCs w:val="21"/>
          <w:highlight w:val="none"/>
        </w:rPr>
        <w:t>人工工资、交通费、保险、税金、</w:t>
      </w:r>
      <w:r>
        <w:rPr>
          <w:rFonts w:hint="eastAsia" w:ascii="宋体" w:hAnsi="宋体" w:eastAsia="宋体" w:cs="宋体"/>
          <w:b w:val="0"/>
          <w:bCs w:val="0"/>
          <w:iCs/>
          <w:szCs w:val="21"/>
          <w:highlight w:val="none"/>
          <w:lang w:eastAsia="zh-CN"/>
        </w:rPr>
        <w:t>利息、</w:t>
      </w:r>
      <w:r>
        <w:rPr>
          <w:rFonts w:hint="eastAsia" w:ascii="宋体" w:hAnsi="宋体" w:eastAsia="宋体" w:cs="宋体"/>
          <w:b w:val="0"/>
          <w:bCs w:val="0"/>
          <w:iCs/>
          <w:szCs w:val="21"/>
          <w:highlight w:val="none"/>
        </w:rPr>
        <w:t>管理费、服务酬金、验收、辅助工作及售后服务、采购代理服务费等一切费用</w:t>
      </w:r>
      <w:r>
        <w:rPr>
          <w:rFonts w:hint="eastAsia" w:ascii="宋体" w:hAnsi="宋体" w:eastAsia="宋体" w:cs="宋体"/>
          <w:b w:val="0"/>
          <w:bCs w:val="0"/>
          <w:iCs/>
          <w:szCs w:val="21"/>
          <w:highlight w:val="none"/>
          <w:lang w:val="zh-CN"/>
        </w:rPr>
        <w:t>。</w:t>
      </w:r>
      <w:r>
        <w:rPr>
          <w:rFonts w:hint="eastAsia" w:ascii="宋体" w:hAnsi="宋体" w:eastAsia="宋体" w:cs="宋体"/>
          <w:b w:val="0"/>
          <w:bCs w:val="0"/>
          <w:iCs/>
          <w:szCs w:val="21"/>
          <w:highlight w:val="none"/>
        </w:rPr>
        <w:t>投标人应充分考虑各种风险因素，凡投标人漏项、漏报均认为已包含在投标报价中，不作调整。</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color w:val="000000"/>
          <w:szCs w:val="21"/>
          <w:highlight w:val="none"/>
        </w:rPr>
      </w:pPr>
      <w:r>
        <w:rPr>
          <w:rFonts w:hint="eastAsia" w:ascii="宋体" w:hAnsi="宋体" w:cs="宋体"/>
          <w:b w:val="0"/>
          <w:bCs w:val="0"/>
          <w:color w:val="000000"/>
          <w:szCs w:val="21"/>
          <w:highlight w:val="none"/>
        </w:rPr>
        <w:t>4.4.3响应文件只允许有一个报价，有选择的或有条件的报价将不予接受。</w:t>
      </w:r>
      <w:bookmarkEnd w:id="222"/>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23" w:name="_Toc303756385"/>
      <w:bookmarkStart w:id="224" w:name="_Toc359934582"/>
      <w:bookmarkStart w:id="225" w:name="_Toc498327036"/>
      <w:bookmarkStart w:id="226" w:name="_Toc2163"/>
      <w:bookmarkStart w:id="227" w:name="_Toc499128581"/>
      <w:bookmarkStart w:id="228" w:name="_Toc301187644"/>
      <w:r>
        <w:rPr>
          <w:rFonts w:hint="eastAsia" w:ascii="宋体" w:hAnsi="宋体" w:cs="宋体"/>
          <w:b/>
          <w:bCs/>
          <w:szCs w:val="21"/>
          <w:highlight w:val="none"/>
        </w:rPr>
        <w:t>4.5</w:t>
      </w:r>
      <w:bookmarkEnd w:id="223"/>
      <w:bookmarkEnd w:id="224"/>
      <w:bookmarkEnd w:id="225"/>
      <w:bookmarkEnd w:id="226"/>
      <w:bookmarkEnd w:id="227"/>
      <w:bookmarkEnd w:id="228"/>
      <w:bookmarkStart w:id="229" w:name="_Toc301187663"/>
      <w:bookmarkStart w:id="230" w:name="_Toc303756387"/>
      <w:bookmarkStart w:id="231" w:name="_Toc359934584"/>
      <w:bookmarkStart w:id="232" w:name="_Toc11304"/>
      <w:bookmarkStart w:id="233" w:name="_Toc499128582"/>
      <w:bookmarkStart w:id="234" w:name="_Toc498327037"/>
      <w:r>
        <w:rPr>
          <w:rFonts w:hint="eastAsia" w:ascii="宋体" w:hAnsi="宋体" w:cs="宋体"/>
          <w:b/>
          <w:bCs/>
          <w:szCs w:val="21"/>
          <w:highlight w:val="none"/>
        </w:rPr>
        <w:t>响应文件的份数</w:t>
      </w:r>
      <w:bookmarkEnd w:id="229"/>
      <w:bookmarkEnd w:id="230"/>
      <w:bookmarkEnd w:id="231"/>
      <w:r>
        <w:rPr>
          <w:rFonts w:hint="eastAsia" w:ascii="宋体" w:hAnsi="宋体" w:cs="宋体"/>
          <w:b/>
          <w:bCs/>
          <w:szCs w:val="21"/>
          <w:highlight w:val="none"/>
        </w:rPr>
        <w:t>和签署</w:t>
      </w:r>
      <w:bookmarkEnd w:id="232"/>
      <w:bookmarkEnd w:id="233"/>
      <w:bookmarkEnd w:id="23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b w:val="0"/>
          <w:bCs w:val="0"/>
          <w:color w:val="000000"/>
          <w:sz w:val="21"/>
          <w:szCs w:val="21"/>
          <w:highlight w:val="none"/>
        </w:rPr>
      </w:pPr>
      <w:bookmarkStart w:id="235" w:name="_Toc301187668"/>
      <w:r>
        <w:rPr>
          <w:rFonts w:hint="eastAsia" w:ascii="宋体" w:hAnsi="宋体" w:eastAsia="宋体" w:cs="宋体"/>
          <w:b w:val="0"/>
          <w:bCs w:val="0"/>
          <w:sz w:val="21"/>
          <w:szCs w:val="21"/>
          <w:highlight w:val="none"/>
        </w:rPr>
        <w:t>4.5.1响应文件的份</w:t>
      </w:r>
      <w:r>
        <w:rPr>
          <w:rFonts w:hint="eastAsia" w:ascii="宋体" w:hAnsi="宋体" w:eastAsia="宋体" w:cs="宋体"/>
          <w:b w:val="0"/>
          <w:bCs w:val="0"/>
          <w:color w:val="000000"/>
          <w:sz w:val="21"/>
          <w:szCs w:val="21"/>
          <w:highlight w:val="none"/>
        </w:rPr>
        <w:t>数：见供应商须知前附表。未按要求提供的做无效标处理。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color w:val="000000"/>
          <w:sz w:val="21"/>
          <w:szCs w:val="21"/>
          <w:highlight w:val="none"/>
        </w:rPr>
        <w:t>4.5.</w:t>
      </w:r>
      <w:r>
        <w:rPr>
          <w:rFonts w:hint="eastAsia" w:ascii="宋体" w:hAnsi="宋体" w:eastAsia="宋体" w:cs="宋体"/>
          <w:b w:val="0"/>
          <w:bCs w:val="0"/>
          <w:sz w:val="21"/>
          <w:szCs w:val="21"/>
          <w:highlight w:val="none"/>
        </w:rPr>
        <w:t>2电子响应文件所有加盖公章处则采用CA签章。CA签章流程详见（电子招投标操作指南网址：</w:t>
      </w:r>
      <w:r>
        <w:rPr>
          <w:rFonts w:hint="eastAsia" w:ascii="宋体" w:hAnsi="宋体" w:eastAsia="宋体" w:cs="宋体"/>
          <w:b w:val="0"/>
          <w:bCs w:val="0"/>
          <w:sz w:val="21"/>
          <w:szCs w:val="21"/>
          <w:highlight w:val="none"/>
        </w:rPr>
        <w:fldChar w:fldCharType="begin"/>
      </w:r>
      <w:r>
        <w:rPr>
          <w:rFonts w:hint="eastAsia" w:ascii="宋体" w:hAnsi="宋体" w:eastAsia="宋体" w:cs="宋体"/>
          <w:b w:val="0"/>
          <w:bCs w:val="0"/>
          <w:sz w:val="21"/>
          <w:szCs w:val="21"/>
          <w:highlight w:val="none"/>
        </w:rPr>
        <w:instrText xml:space="preserve"> HYPERLINK "http://www.qingtian.gov.cn/cgtb/zxdt/202002/t20200228_4372050.html）。" </w:instrText>
      </w:r>
      <w:r>
        <w:rPr>
          <w:rFonts w:hint="eastAsia" w:ascii="宋体" w:hAnsi="宋体" w:eastAsia="宋体" w:cs="宋体"/>
          <w:b w:val="0"/>
          <w:bCs w:val="0"/>
          <w:sz w:val="21"/>
          <w:szCs w:val="21"/>
          <w:highlight w:val="none"/>
        </w:rPr>
        <w:fldChar w:fldCharType="separate"/>
      </w:r>
      <w:r>
        <w:rPr>
          <w:rStyle w:val="51"/>
          <w:rFonts w:hint="eastAsia" w:ascii="宋体" w:hAnsi="宋体" w:eastAsia="宋体" w:cs="宋体"/>
          <w:b w:val="0"/>
          <w:bCs w:val="0"/>
          <w:sz w:val="21"/>
          <w:szCs w:val="21"/>
          <w:highlight w:val="none"/>
        </w:rPr>
        <w:t>http://www.qingtian.gov.cn/cgtb/zxdt/202002/t20200228_4372050.html）。</w:t>
      </w:r>
      <w:r>
        <w:rPr>
          <w:rFonts w:hint="eastAsia" w:ascii="宋体" w:hAnsi="宋体" w:eastAsia="宋体" w:cs="宋体"/>
          <w:b w:val="0"/>
          <w:bCs w:val="0"/>
          <w:sz w:val="21"/>
          <w:szCs w:val="21"/>
          <w:highlight w:val="none"/>
        </w:rPr>
        <w:fldChar w:fldCharType="end"/>
      </w:r>
    </w:p>
    <w:bookmarkEnd w:id="235"/>
    <w:p>
      <w:pPr>
        <w:pageBreakBefore w:val="0"/>
        <w:widowControl w:val="0"/>
        <w:kinsoku/>
        <w:wordWrap/>
        <w:overflowPunct/>
        <w:topLinePunct w:val="0"/>
        <w:autoSpaceDE/>
        <w:autoSpaceDN/>
        <w:bidi w:val="0"/>
        <w:adjustRightInd/>
        <w:spacing w:line="480" w:lineRule="exact"/>
        <w:ind w:firstLine="420" w:firstLineChars="200"/>
        <w:jc w:val="left"/>
        <w:textAlignment w:val="auto"/>
        <w:rPr>
          <w:rFonts w:hint="eastAsia" w:ascii="宋体" w:hAnsi="宋体" w:eastAsia="宋体" w:cs="宋体"/>
          <w:b w:val="0"/>
          <w:bCs w:val="0"/>
          <w:sz w:val="21"/>
          <w:szCs w:val="21"/>
          <w:highlight w:val="none"/>
        </w:rPr>
      </w:pPr>
      <w:bookmarkStart w:id="236" w:name="_Toc1230"/>
      <w:r>
        <w:rPr>
          <w:rFonts w:hint="eastAsia" w:ascii="宋体" w:hAnsi="宋体" w:eastAsia="宋体" w:cs="宋体"/>
          <w:b w:val="0"/>
          <w:bCs w:val="0"/>
          <w:sz w:val="21"/>
          <w:szCs w:val="21"/>
          <w:highlight w:val="none"/>
        </w:rPr>
        <w:t>4.6</w:t>
      </w:r>
      <w:r>
        <w:rPr>
          <w:rFonts w:hint="eastAsia" w:ascii="宋体" w:hAnsi="宋体" w:eastAsia="宋体" w:cs="宋体"/>
          <w:b w:val="0"/>
          <w:bCs w:val="0"/>
          <w:sz w:val="21"/>
          <w:szCs w:val="21"/>
          <w:highlight w:val="none"/>
        </w:rPr>
        <w:tab/>
      </w:r>
      <w:r>
        <w:rPr>
          <w:rFonts w:hint="eastAsia" w:ascii="宋体" w:hAnsi="宋体" w:eastAsia="宋体" w:cs="宋体"/>
          <w:b w:val="0"/>
          <w:bCs w:val="0"/>
          <w:sz w:val="21"/>
          <w:szCs w:val="21"/>
          <w:highlight w:val="none"/>
        </w:rPr>
        <w:t>响应文件的形式和效力</w:t>
      </w:r>
      <w:bookmarkEnd w:id="23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4.6.1响应文件形式为电子响应文件。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b w:val="0"/>
          <w:bCs w:val="0"/>
          <w:sz w:val="21"/>
          <w:szCs w:val="21"/>
          <w:highlight w:val="none"/>
        </w:rPr>
        <w:t>4.6.2本项目开评标均启用电子交易，在电子交易使用的电子响应文件具有相关法律效力。</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Cs w:val="21"/>
          <w:highlight w:val="none"/>
        </w:rPr>
      </w:pPr>
      <w:bookmarkStart w:id="237" w:name="_Toc498327038"/>
      <w:bookmarkStart w:id="238" w:name="_Toc303756388"/>
      <w:bookmarkStart w:id="239" w:name="_Toc13411"/>
      <w:bookmarkStart w:id="240" w:name="_Toc499128583"/>
      <w:bookmarkStart w:id="241" w:name="_Toc31692"/>
      <w:bookmarkStart w:id="242" w:name="_Toc31581"/>
      <w:bookmarkStart w:id="243" w:name="_Toc359934585"/>
      <w:bookmarkStart w:id="244" w:name="_Toc301187669"/>
      <w:r>
        <w:rPr>
          <w:rFonts w:hint="eastAsia" w:ascii="宋体" w:hAnsi="宋体" w:cs="宋体"/>
          <w:sz w:val="28"/>
          <w:szCs w:val="28"/>
          <w:highlight w:val="none"/>
        </w:rPr>
        <w:t>5．响应文件的递交</w:t>
      </w:r>
      <w:bookmarkEnd w:id="237"/>
      <w:bookmarkEnd w:id="238"/>
      <w:bookmarkEnd w:id="239"/>
      <w:bookmarkEnd w:id="240"/>
      <w:bookmarkEnd w:id="241"/>
      <w:bookmarkEnd w:id="242"/>
      <w:bookmarkEnd w:id="243"/>
      <w:bookmarkEnd w:id="244"/>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45" w:name="_Toc359934586"/>
      <w:bookmarkStart w:id="246" w:name="_Toc498327039"/>
      <w:bookmarkStart w:id="247" w:name="_Toc303756389"/>
      <w:bookmarkStart w:id="248" w:name="_Toc499128584"/>
      <w:bookmarkStart w:id="249" w:name="_Toc17329"/>
      <w:bookmarkStart w:id="250" w:name="_Toc301187670"/>
      <w:r>
        <w:rPr>
          <w:rFonts w:hint="eastAsia" w:ascii="宋体" w:hAnsi="宋体" w:cs="宋体"/>
          <w:b/>
          <w:bCs/>
          <w:szCs w:val="21"/>
          <w:highlight w:val="none"/>
        </w:rPr>
        <w:t>5.1响应文件包装</w:t>
      </w:r>
      <w:bookmarkEnd w:id="245"/>
      <w:bookmarkEnd w:id="246"/>
      <w:bookmarkEnd w:id="247"/>
      <w:bookmarkEnd w:id="248"/>
      <w:bookmarkEnd w:id="249"/>
      <w:bookmarkEnd w:id="25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51" w:name="_Toc301187673"/>
      <w:r>
        <w:rPr>
          <w:rFonts w:hint="eastAsia" w:ascii="宋体" w:hAnsi="宋体" w:cs="宋体"/>
          <w:b w:val="0"/>
          <w:bCs w:val="0"/>
          <w:szCs w:val="21"/>
          <w:highlight w:val="none"/>
        </w:rPr>
        <w:t>5.1.1供应商应当按照资格审查文件、商务技术文件、报价文件三部分分别导入相应位置，各文件之间不得导错位置。</w:t>
      </w:r>
    </w:p>
    <w:bookmarkEnd w:id="251"/>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52" w:name="_Toc498327040"/>
      <w:bookmarkStart w:id="253" w:name="_Toc303756390"/>
      <w:bookmarkStart w:id="254" w:name="_Toc23054"/>
      <w:bookmarkStart w:id="255" w:name="_Toc301187682"/>
      <w:bookmarkStart w:id="256" w:name="_Toc499128585"/>
      <w:bookmarkStart w:id="257" w:name="_Toc359934587"/>
      <w:r>
        <w:rPr>
          <w:rFonts w:hint="eastAsia" w:ascii="宋体" w:hAnsi="宋体" w:cs="宋体"/>
          <w:b w:val="0"/>
          <w:bCs w:val="0"/>
          <w:szCs w:val="21"/>
          <w:highlight w:val="none"/>
        </w:rPr>
        <w:t>5.1.2响应文件应当生成电子加密响应文件，生成电子加密响应文件具体操作详见（电子招投标操作指南网址：https://help.zcygov.cn/web/site_2/2018/12-28/2573.html）。</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5.1.3不予接收的响应文件情形</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fldChar w:fldCharType="begin"/>
      </w:r>
      <w:r>
        <w:rPr>
          <w:rFonts w:hint="eastAsia" w:ascii="宋体" w:hAnsi="宋体" w:cs="宋体"/>
          <w:b w:val="0"/>
          <w:bCs w:val="0"/>
          <w:szCs w:val="21"/>
          <w:highlight w:val="none"/>
        </w:rPr>
        <w:instrText xml:space="preserve"> = 1 \* GB2 </w:instrText>
      </w:r>
      <w:r>
        <w:rPr>
          <w:rFonts w:hint="eastAsia" w:ascii="宋体" w:hAnsi="宋体" w:cs="宋体"/>
          <w:b w:val="0"/>
          <w:bCs w:val="0"/>
          <w:szCs w:val="21"/>
          <w:highlight w:val="none"/>
        </w:rPr>
        <w:fldChar w:fldCharType="separate"/>
      </w:r>
      <w:r>
        <w:rPr>
          <w:rFonts w:hint="eastAsia" w:ascii="宋体" w:hAnsi="宋体" w:cs="宋体"/>
          <w:b w:val="0"/>
          <w:bCs w:val="0"/>
          <w:szCs w:val="21"/>
          <w:highlight w:val="none"/>
        </w:rPr>
        <w:t>⑴</w:t>
      </w:r>
      <w:r>
        <w:rPr>
          <w:rFonts w:hint="eastAsia" w:ascii="宋体" w:hAnsi="宋体" w:cs="宋体"/>
          <w:b w:val="0"/>
          <w:bCs w:val="0"/>
          <w:szCs w:val="21"/>
          <w:highlight w:val="none"/>
        </w:rPr>
        <w:fldChar w:fldCharType="end"/>
      </w:r>
      <w:r>
        <w:rPr>
          <w:rFonts w:hint="eastAsia" w:ascii="宋体" w:hAnsi="宋体" w:cs="宋体"/>
          <w:b w:val="0"/>
          <w:bCs w:val="0"/>
          <w:szCs w:val="21"/>
          <w:highlight w:val="none"/>
        </w:rPr>
        <w:t>磋商截止时间前未完成传输的电子响应文件；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fldChar w:fldCharType="begin"/>
      </w:r>
      <w:r>
        <w:rPr>
          <w:rFonts w:hint="eastAsia" w:ascii="宋体" w:hAnsi="宋体" w:cs="宋体"/>
          <w:szCs w:val="21"/>
          <w:highlight w:val="none"/>
        </w:rPr>
        <w:instrText xml:space="preserve"> = 2 \* GB2 </w:instrText>
      </w:r>
      <w:r>
        <w:rPr>
          <w:rFonts w:hint="eastAsia" w:ascii="宋体" w:hAnsi="宋体" w:cs="宋体"/>
          <w:szCs w:val="21"/>
          <w:highlight w:val="none"/>
        </w:rPr>
        <w:fldChar w:fldCharType="separate"/>
      </w:r>
      <w:r>
        <w:rPr>
          <w:rFonts w:hint="eastAsia" w:ascii="宋体" w:hAnsi="宋体" w:cs="宋体"/>
          <w:szCs w:val="21"/>
          <w:highlight w:val="none"/>
        </w:rPr>
        <w:t>⑵</w:t>
      </w:r>
      <w:r>
        <w:rPr>
          <w:rFonts w:hint="eastAsia" w:ascii="宋体" w:hAnsi="宋体" w:cs="宋体"/>
          <w:szCs w:val="21"/>
          <w:highlight w:val="none"/>
        </w:rPr>
        <w:fldChar w:fldCharType="end"/>
      </w:r>
      <w:r>
        <w:rPr>
          <w:rFonts w:hint="eastAsia" w:ascii="宋体" w:hAnsi="宋体" w:cs="宋体"/>
          <w:szCs w:val="21"/>
          <w:highlight w:val="none"/>
        </w:rPr>
        <w:t>未生成加密的电子响应文件；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⑶在规定时间内未解密的电子响应文件，或者解密不成功未提供备份响应文件的。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5.1.4供应商所提交的响应文件不予退还。</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5.2响应文件修改和撤回</w:t>
      </w:r>
      <w:bookmarkEnd w:id="252"/>
      <w:bookmarkEnd w:id="253"/>
      <w:bookmarkEnd w:id="254"/>
      <w:bookmarkEnd w:id="255"/>
      <w:bookmarkEnd w:id="256"/>
      <w:bookmarkEnd w:id="25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58" w:name="_Toc498327041"/>
      <w:bookmarkStart w:id="259" w:name="_Toc301187684"/>
      <w:bookmarkStart w:id="260" w:name="_Toc499128586"/>
      <w:bookmarkStart w:id="261" w:name="_Toc21854"/>
      <w:bookmarkStart w:id="262" w:name="_Toc359934588"/>
      <w:bookmarkStart w:id="263" w:name="_Toc303756391"/>
      <w:r>
        <w:rPr>
          <w:rFonts w:hint="eastAsia" w:ascii="宋体" w:hAnsi="宋体" w:cs="宋体"/>
          <w:b w:val="0"/>
          <w:bCs w:val="0"/>
          <w:szCs w:val="21"/>
          <w:highlight w:val="none"/>
        </w:rPr>
        <w:t>5.2.1供应商在磋商截止时间之前，</w:t>
      </w:r>
      <w:bookmarkEnd w:id="258"/>
      <w:bookmarkEnd w:id="259"/>
      <w:bookmarkEnd w:id="260"/>
      <w:bookmarkEnd w:id="261"/>
      <w:bookmarkEnd w:id="262"/>
      <w:bookmarkEnd w:id="263"/>
      <w:r>
        <w:rPr>
          <w:rFonts w:hint="eastAsia" w:ascii="宋体" w:hAnsi="宋体" w:cs="宋体"/>
          <w:b w:val="0"/>
          <w:bCs w:val="0"/>
          <w:szCs w:val="21"/>
          <w:highlight w:val="none"/>
        </w:rPr>
        <w:t>可以对已提交的电子响应文件进行补充、修改或撤回。补充、修改后的电子响应文件应当重新生成加密的电子响应文件并重新上传提交。</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5.2.2补充、修改后重新提交的电子响应文件应按竞争性磋商文件的规定编制、导入、加密和提交。</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5.2.2磋商截止时间后，供应商不得修改、撤回已提交的电子响应文件。</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5.3响应文件提交地点和截止时间</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64" w:name="_Toc301187685"/>
      <w:r>
        <w:rPr>
          <w:rFonts w:hint="eastAsia" w:ascii="宋体" w:hAnsi="宋体" w:cs="宋体"/>
          <w:szCs w:val="21"/>
          <w:highlight w:val="none"/>
        </w:rPr>
        <w:t>5.3.1</w:t>
      </w:r>
      <w:bookmarkEnd w:id="264"/>
      <w:r>
        <w:rPr>
          <w:rFonts w:hint="eastAsia" w:ascii="宋体" w:hAnsi="宋体" w:cs="宋体"/>
          <w:szCs w:val="21"/>
          <w:highlight w:val="none"/>
        </w:rPr>
        <w:t>响应文件提交地点：见供应商须知前附表。</w:t>
      </w:r>
      <w:bookmarkStart w:id="265" w:name="_Toc30118768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5.3.2响应文件提交截止时间：见供应商须知前附表。</w:t>
      </w:r>
      <w:bookmarkEnd w:id="265"/>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66" w:name="_Toc499128587"/>
      <w:bookmarkStart w:id="267" w:name="_Toc17127"/>
      <w:bookmarkStart w:id="268" w:name="_Toc498327042"/>
      <w:r>
        <w:rPr>
          <w:rFonts w:hint="eastAsia" w:ascii="宋体" w:hAnsi="宋体" w:cs="宋体"/>
          <w:b/>
          <w:bCs/>
          <w:szCs w:val="21"/>
          <w:highlight w:val="none"/>
        </w:rPr>
        <w:t>5.4响应文件澄清、说明、补正</w:t>
      </w:r>
      <w:bookmarkEnd w:id="266"/>
      <w:bookmarkEnd w:id="267"/>
      <w:bookmarkEnd w:id="26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69" w:name="_Toc498327043"/>
      <w:bookmarkStart w:id="270" w:name="_Toc499128588"/>
      <w:bookmarkStart w:id="271" w:name="_Toc19403"/>
      <w:bookmarkStart w:id="272" w:name="_Toc303756392"/>
      <w:bookmarkStart w:id="273" w:name="_Toc359934589"/>
      <w:bookmarkStart w:id="274" w:name="_Toc301187688"/>
      <w:r>
        <w:rPr>
          <w:rFonts w:hint="eastAsia" w:ascii="宋体" w:hAnsi="宋体" w:cs="宋体"/>
          <w:szCs w:val="21"/>
          <w:highlight w:val="none"/>
        </w:rPr>
        <w:t>5.4.1对于响应文件中含义不明确、同类问题表述不一致或者有明显文字和计算错误的内容，磋商小组通过政采云平台要求供应商作出必要的澄清、说明或者补正。</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5.4.2供应商的澄清、说明或者补正均采用政采云平台交换数据电文，供应商提交的澄清、说明或补正的时间为30分钟（供应商务必在线等待，及时在线澄清、说明或补正）。供应商的澄清、说明或者补正不得超出竞争性磋商文件的范围或者改变响应文件的实质性内容。</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5.4.3不接受供应商主动对响应文件的澄清、说明或者补正。</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 w:val="28"/>
          <w:szCs w:val="28"/>
          <w:highlight w:val="none"/>
        </w:rPr>
      </w:pPr>
      <w:bookmarkStart w:id="275" w:name="_Toc17549"/>
      <w:bookmarkStart w:id="276" w:name="_Toc9121"/>
      <w:r>
        <w:rPr>
          <w:rFonts w:hint="eastAsia" w:ascii="宋体" w:hAnsi="宋体" w:cs="宋体"/>
          <w:sz w:val="28"/>
          <w:szCs w:val="28"/>
          <w:highlight w:val="none"/>
        </w:rPr>
        <w:t>6．磋商无效情形</w:t>
      </w:r>
      <w:bookmarkEnd w:id="269"/>
      <w:bookmarkEnd w:id="270"/>
      <w:bookmarkEnd w:id="271"/>
      <w:bookmarkEnd w:id="272"/>
      <w:bookmarkEnd w:id="273"/>
      <w:bookmarkEnd w:id="274"/>
      <w:bookmarkEnd w:id="275"/>
      <w:bookmarkEnd w:id="27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77" w:name="_Toc301187689"/>
      <w:r>
        <w:rPr>
          <w:rFonts w:hint="eastAsia" w:ascii="宋体" w:hAnsi="宋体" w:cs="宋体"/>
          <w:szCs w:val="21"/>
          <w:highlight w:val="none"/>
        </w:rPr>
        <w:t>实质上没有响应竞争性磋商文件要求的磋商将被视为无效标。</w:t>
      </w:r>
      <w:bookmarkEnd w:id="277"/>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78" w:name="_Toc499128589"/>
      <w:bookmarkStart w:id="279" w:name="_Toc498327044"/>
      <w:bookmarkStart w:id="280" w:name="_Toc11477"/>
      <w:bookmarkStart w:id="281" w:name="_Toc301187690"/>
      <w:r>
        <w:rPr>
          <w:rFonts w:hint="eastAsia" w:ascii="宋体" w:hAnsi="宋体" w:cs="宋体"/>
          <w:b/>
          <w:bCs/>
          <w:szCs w:val="21"/>
          <w:highlight w:val="none"/>
        </w:rPr>
        <w:t>6.1在符合性审查时，如发现下列情形之一的，响应文件将被视为无效</w:t>
      </w:r>
      <w:bookmarkEnd w:id="278"/>
      <w:bookmarkEnd w:id="279"/>
      <w:bookmarkEnd w:id="280"/>
      <w:bookmarkEnd w:id="28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82" w:name="_Toc301187693"/>
      <w:r>
        <w:rPr>
          <w:rFonts w:hint="eastAsia" w:ascii="宋体" w:hAnsi="宋体" w:cs="宋体"/>
          <w:b w:val="0"/>
          <w:bCs w:val="0"/>
          <w:szCs w:val="21"/>
          <w:highlight w:val="none"/>
        </w:rPr>
        <w:t>（1）供应商未按竞争性磋商文件规定进行签章的；</w:t>
      </w:r>
      <w:bookmarkEnd w:id="282"/>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83" w:name="_Toc301187695"/>
      <w:r>
        <w:rPr>
          <w:rFonts w:hint="eastAsia" w:ascii="宋体" w:hAnsi="宋体" w:cs="宋体"/>
          <w:b w:val="0"/>
          <w:bCs w:val="0"/>
          <w:szCs w:val="21"/>
          <w:highlight w:val="none"/>
        </w:rPr>
        <w:t>（2）响应文件未按竞争性磋商文件要求提供相关内容的，或者内容虚假的；</w:t>
      </w:r>
      <w:bookmarkEnd w:id="283"/>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84" w:name="_Toc301187696"/>
      <w:r>
        <w:rPr>
          <w:rFonts w:hint="eastAsia" w:ascii="宋体" w:hAnsi="宋体" w:cs="宋体"/>
          <w:b w:val="0"/>
          <w:bCs w:val="0"/>
          <w:szCs w:val="21"/>
          <w:highlight w:val="none"/>
        </w:rPr>
        <w:t>（3）响应文件的实质性内容未使用中文表述、意思表述不明确、前后矛盾或者使用计量单位不符合竞争性磋商文件要求的（经磋商小组认定并允许其当场更正的笔误除外）</w:t>
      </w:r>
      <w:bookmarkEnd w:id="284"/>
      <w:r>
        <w:rPr>
          <w:rFonts w:hint="eastAsia" w:ascii="宋体" w:hAnsi="宋体" w:cs="宋体"/>
          <w:b w:val="0"/>
          <w:bCs w:val="0"/>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85" w:name="_Toc301187697"/>
      <w:r>
        <w:rPr>
          <w:rFonts w:hint="eastAsia" w:ascii="宋体" w:hAnsi="宋体" w:cs="宋体"/>
          <w:b w:val="0"/>
          <w:bCs w:val="0"/>
          <w:szCs w:val="21"/>
          <w:highlight w:val="none"/>
        </w:rPr>
        <w:t>（4）磋商有效期、培训时间要求等商务条款不能满足竞争性磋商文件要求的；</w:t>
      </w:r>
      <w:bookmarkEnd w:id="28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86" w:name="_Toc301187698"/>
      <w:r>
        <w:rPr>
          <w:rFonts w:hint="eastAsia" w:ascii="宋体" w:hAnsi="宋体" w:cs="宋体"/>
          <w:b w:val="0"/>
          <w:bCs w:val="0"/>
          <w:szCs w:val="21"/>
          <w:highlight w:val="none"/>
        </w:rPr>
        <w:t>（5）未实质性响应竞争性磋商文件要求或者响应文件有采购人不能接受的附加条件的；</w:t>
      </w:r>
      <w:bookmarkEnd w:id="28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（6）除报价文件外出现磋商报价的；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（7）法律、法规及竞争性磋商文件规定的其他无效情形。</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87" w:name="_Toc499128590"/>
      <w:bookmarkStart w:id="288" w:name="_Toc1544"/>
      <w:bookmarkStart w:id="289" w:name="_Toc498327045"/>
      <w:bookmarkStart w:id="290" w:name="_Toc301187699"/>
      <w:r>
        <w:rPr>
          <w:rFonts w:hint="eastAsia" w:ascii="宋体" w:hAnsi="宋体" w:cs="宋体"/>
          <w:b/>
          <w:bCs/>
          <w:szCs w:val="21"/>
          <w:highlight w:val="none"/>
        </w:rPr>
        <w:t>6.2在技术评审时，如发现下列情形之一的，响应文件将被视为无效</w:t>
      </w:r>
      <w:bookmarkEnd w:id="287"/>
      <w:bookmarkEnd w:id="288"/>
      <w:bookmarkEnd w:id="289"/>
      <w:bookmarkEnd w:id="29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91" w:name="_Toc301187700"/>
      <w:r>
        <w:rPr>
          <w:rFonts w:hint="eastAsia" w:ascii="宋体" w:hAnsi="宋体" w:cs="宋体"/>
          <w:szCs w:val="21"/>
          <w:highlight w:val="none"/>
        </w:rPr>
        <w:t>（1）未提供或未如实提供磋商货物的技术参数，或者响应文件标明的响应或偏离与事实不符或虚假响应的；</w:t>
      </w:r>
      <w:bookmarkEnd w:id="29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92" w:name="_Toc301187701"/>
      <w:r>
        <w:rPr>
          <w:rFonts w:hint="eastAsia" w:ascii="宋体" w:hAnsi="宋体" w:cs="宋体"/>
          <w:szCs w:val="21"/>
          <w:highlight w:val="none"/>
        </w:rPr>
        <w:t>（2）明显不符合竞争性磋商文件要求的规格型号、质量标准，或者与竞争性磋商文件中标“▲”的技术指标、主要功能项目发生实质性负偏离的；</w:t>
      </w:r>
      <w:bookmarkEnd w:id="292"/>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93" w:name="_Toc301187702"/>
      <w:r>
        <w:rPr>
          <w:rFonts w:hint="eastAsia" w:ascii="宋体" w:hAnsi="宋体" w:cs="宋体"/>
          <w:szCs w:val="21"/>
          <w:highlight w:val="none"/>
        </w:rPr>
        <w:t>（3）</w:t>
      </w:r>
      <w:bookmarkEnd w:id="293"/>
      <w:r>
        <w:rPr>
          <w:rFonts w:hint="eastAsia" w:ascii="宋体" w:hAnsi="宋体" w:cs="宋体"/>
          <w:szCs w:val="21"/>
          <w:highlight w:val="none"/>
        </w:rPr>
        <w:t>技术方案不明确，存在一个或一个以上备选（替代）技术方案的；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294" w:name="_Toc301187703"/>
      <w:r>
        <w:rPr>
          <w:rFonts w:hint="eastAsia" w:ascii="宋体" w:hAnsi="宋体" w:cs="宋体"/>
          <w:szCs w:val="21"/>
          <w:highlight w:val="none"/>
        </w:rPr>
        <w:t>（4）</w:t>
      </w:r>
      <w:bookmarkEnd w:id="294"/>
      <w:r>
        <w:rPr>
          <w:rFonts w:hint="eastAsia" w:ascii="宋体" w:hAnsi="宋体" w:cs="宋体"/>
          <w:szCs w:val="21"/>
          <w:highlight w:val="none"/>
        </w:rPr>
        <w:t>与其他参加本项目供应商的响应文件（技术文件）的文字表述内容相同连续20行以上或者差错相同2处以上的。</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295" w:name="_Toc301187705"/>
      <w:bookmarkStart w:id="296" w:name="_Toc30507"/>
      <w:bookmarkStart w:id="297" w:name="_Toc499128591"/>
      <w:bookmarkStart w:id="298" w:name="_Toc498327046"/>
      <w:r>
        <w:rPr>
          <w:rFonts w:hint="eastAsia" w:ascii="宋体" w:hAnsi="宋体" w:cs="宋体"/>
          <w:b/>
          <w:bCs/>
          <w:szCs w:val="21"/>
          <w:highlight w:val="none"/>
        </w:rPr>
        <w:t>6.3在报价评审时，如发现下列情形之一的，响应文件将被视为无效</w:t>
      </w:r>
      <w:bookmarkEnd w:id="295"/>
      <w:bookmarkEnd w:id="296"/>
      <w:bookmarkEnd w:id="297"/>
      <w:bookmarkEnd w:id="29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299" w:name="_Toc301187706"/>
      <w:r>
        <w:rPr>
          <w:rFonts w:hint="eastAsia" w:ascii="宋体" w:hAnsi="宋体" w:cs="宋体"/>
          <w:b w:val="0"/>
          <w:bCs w:val="0"/>
          <w:szCs w:val="21"/>
          <w:highlight w:val="none"/>
        </w:rPr>
        <w:t>（1）未采用人民币报价或者未按照竞争性磋商文件标明的币种报价的；</w:t>
      </w:r>
      <w:bookmarkEnd w:id="299"/>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300" w:name="_Toc301187707"/>
      <w:r>
        <w:rPr>
          <w:rFonts w:hint="eastAsia" w:ascii="宋体" w:hAnsi="宋体" w:cs="宋体"/>
          <w:b w:val="0"/>
          <w:bCs w:val="0"/>
          <w:szCs w:val="21"/>
          <w:highlight w:val="none"/>
        </w:rPr>
        <w:t>（2）报价超出最高限价，或者超出采购预算金额，采购人不能支付的；</w:t>
      </w:r>
      <w:bookmarkEnd w:id="30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301" w:name="_Toc301187708"/>
      <w:r>
        <w:rPr>
          <w:rFonts w:hint="eastAsia" w:ascii="宋体" w:hAnsi="宋体" w:cs="宋体"/>
          <w:b w:val="0"/>
          <w:bCs w:val="0"/>
          <w:szCs w:val="21"/>
          <w:highlight w:val="none"/>
        </w:rPr>
        <w:t>（3）磋商报价具有选择性，或者磋商价格与响应文件承诺的优惠价格不一致的；</w:t>
      </w:r>
      <w:bookmarkEnd w:id="30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（4）报价文件内容与对应技术文件内容不一致的，或者出现重大偏离的；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b w:val="0"/>
          <w:bCs w:val="0"/>
          <w:szCs w:val="21"/>
          <w:highlight w:val="none"/>
        </w:rPr>
        <w:t>（5）报价明显低于其他通过符合性审查供应商的报价，有可能影响产品质量或者不能诚信履约的，未在磋商现场合理的时间内通过政采云平台交换数据电文提供说明及证明材料来证明其报价合理性的。</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02" w:name="_Toc498327047"/>
      <w:bookmarkStart w:id="303" w:name="_Toc499128592"/>
      <w:bookmarkStart w:id="304" w:name="_Toc6265"/>
      <w:r>
        <w:rPr>
          <w:rFonts w:hint="eastAsia" w:ascii="宋体" w:hAnsi="宋体" w:cs="宋体"/>
          <w:b/>
          <w:bCs/>
          <w:szCs w:val="21"/>
          <w:highlight w:val="none"/>
        </w:rPr>
        <w:t>6.4有下列情形之一的，视为供应商串通磋商，其磋商无效</w:t>
      </w:r>
      <w:bookmarkEnd w:id="302"/>
      <w:bookmarkEnd w:id="303"/>
      <w:bookmarkEnd w:id="30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（1）不同供应商的响应文件由同一单位或者个人编制；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（2）不同供应商委托同一单位或者个人办理磋商事宜；</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（3）不同供应商的响应文件载明的项目管理成员或者联系人员为同一人；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（4）不同供应商的响应文件异常一致或者磋商报价呈规律性差异。</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05" w:name="_Toc21917"/>
      <w:bookmarkStart w:id="306" w:name="_Toc499128593"/>
      <w:bookmarkStart w:id="307" w:name="_Toc498327048"/>
      <w:r>
        <w:rPr>
          <w:rFonts w:hint="eastAsia" w:ascii="宋体" w:hAnsi="宋体" w:cs="宋体"/>
          <w:b/>
          <w:bCs/>
          <w:szCs w:val="21"/>
          <w:highlight w:val="none"/>
        </w:rPr>
        <w:t>6.5有下列情况之一的，其磋商无效</w:t>
      </w:r>
      <w:bookmarkEnd w:id="305"/>
      <w:bookmarkEnd w:id="306"/>
      <w:bookmarkEnd w:id="30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（1）妨碍其他供应商的竞争行为；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（2）损害采购人或者其他供应商的合法权益。</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 w:val="28"/>
          <w:szCs w:val="28"/>
          <w:highlight w:val="none"/>
        </w:rPr>
      </w:pPr>
      <w:bookmarkStart w:id="308" w:name="_Toc359934590"/>
      <w:bookmarkStart w:id="309" w:name="_Toc31924"/>
      <w:bookmarkStart w:id="310" w:name="_Toc301187711"/>
      <w:bookmarkStart w:id="311" w:name="_Toc499128594"/>
      <w:bookmarkStart w:id="312" w:name="_Toc303756393"/>
      <w:bookmarkStart w:id="313" w:name="_Toc19610"/>
      <w:bookmarkStart w:id="314" w:name="_Toc32119"/>
      <w:bookmarkStart w:id="315" w:name="_Toc498327049"/>
      <w:r>
        <w:rPr>
          <w:rFonts w:hint="eastAsia" w:ascii="宋体" w:hAnsi="宋体" w:cs="宋体"/>
          <w:sz w:val="28"/>
          <w:szCs w:val="28"/>
          <w:highlight w:val="none"/>
        </w:rPr>
        <w:t>7．磋商、磋商评审及定标</w:t>
      </w:r>
      <w:bookmarkEnd w:id="308"/>
      <w:bookmarkEnd w:id="309"/>
      <w:bookmarkEnd w:id="310"/>
      <w:bookmarkEnd w:id="311"/>
      <w:bookmarkEnd w:id="312"/>
      <w:bookmarkEnd w:id="313"/>
      <w:bookmarkEnd w:id="314"/>
      <w:bookmarkEnd w:id="315"/>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16" w:name="_Toc359934594"/>
      <w:bookmarkStart w:id="317" w:name="_Toc301187730"/>
      <w:bookmarkStart w:id="318" w:name="_Toc498327053"/>
      <w:bookmarkStart w:id="319" w:name="_Toc303756397"/>
      <w:bookmarkStart w:id="320" w:name="_Toc24776"/>
      <w:bookmarkStart w:id="321" w:name="_Toc499128598"/>
      <w:r>
        <w:rPr>
          <w:rFonts w:hint="eastAsia" w:ascii="宋体" w:hAnsi="宋体" w:cs="宋体"/>
          <w:b/>
          <w:bCs/>
          <w:szCs w:val="21"/>
          <w:highlight w:val="none"/>
        </w:rPr>
        <w:t>7.1</w:t>
      </w:r>
      <w:bookmarkEnd w:id="316"/>
      <w:bookmarkEnd w:id="317"/>
      <w:bookmarkEnd w:id="318"/>
      <w:bookmarkEnd w:id="319"/>
      <w:bookmarkEnd w:id="320"/>
      <w:bookmarkEnd w:id="321"/>
      <w:r>
        <w:rPr>
          <w:rFonts w:hint="eastAsia" w:ascii="宋体" w:hAnsi="宋体" w:cs="宋体"/>
          <w:b/>
          <w:bCs/>
          <w:szCs w:val="21"/>
          <w:highlight w:val="none"/>
        </w:rPr>
        <w:t>磋商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22" w:name="_Toc301187731"/>
      <w:r>
        <w:rPr>
          <w:rFonts w:hint="eastAsia" w:ascii="宋体" w:hAnsi="宋体" w:cs="宋体"/>
          <w:szCs w:val="21"/>
          <w:highlight w:val="none"/>
        </w:rPr>
        <w:t>7.1.1磋商时间和地点</w:t>
      </w:r>
      <w:bookmarkEnd w:id="322"/>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23" w:name="_Toc301187732"/>
      <w:r>
        <w:rPr>
          <w:rFonts w:hint="eastAsia" w:ascii="宋体" w:hAnsi="宋体" w:cs="宋体"/>
          <w:szCs w:val="21"/>
          <w:highlight w:val="none"/>
        </w:rPr>
        <w:t>采购人</w:t>
      </w:r>
      <w:bookmarkEnd w:id="323"/>
      <w:bookmarkStart w:id="324" w:name="_Toc301187733"/>
      <w:r>
        <w:rPr>
          <w:rFonts w:hint="eastAsia" w:ascii="宋体" w:hAnsi="宋体" w:cs="宋体"/>
          <w:szCs w:val="21"/>
          <w:highlight w:val="none"/>
        </w:rPr>
        <w:t>在本章第5.3.2项规定的响应文件提交截止时间（磋商时间）和第5.3.1项规定的地点磋商。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7.1.2磋商准备</w:t>
      </w:r>
      <w:bookmarkEnd w:id="32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kern w:val="0"/>
          <w:szCs w:val="21"/>
          <w:highlight w:val="none"/>
        </w:rPr>
      </w:pPr>
      <w:bookmarkStart w:id="325" w:name="_Toc301187735"/>
      <w:bookmarkStart w:id="326" w:name="_Toc301187747"/>
      <w:bookmarkStart w:id="327" w:name="_Toc303756398"/>
      <w:r>
        <w:rPr>
          <w:rFonts w:hint="eastAsia" w:ascii="宋体" w:hAnsi="宋体" w:cs="宋体"/>
          <w:b w:val="0"/>
          <w:bCs/>
          <w:szCs w:val="21"/>
          <w:highlight w:val="none"/>
        </w:rPr>
        <w:t>本项目采用电子交易进行磋商、评审、询标，供应商均应准时在线参加，否则产生的风险由供应商自身承担（供应商务必不要离开电脑太久，并留意手机短信，建议供应商提前做好检查“政府采购云平台”内，关于“项目采购”的岗位权限是否勾选。如有问题，请致电</w:t>
      </w:r>
      <w:r>
        <w:rPr>
          <w:rFonts w:hint="eastAsia" w:ascii="宋体" w:hAnsi="宋体" w:cs="宋体"/>
          <w:b w:val="0"/>
          <w:bCs/>
          <w:szCs w:val="21"/>
          <w:highlight w:val="none"/>
          <w:lang w:val="en-US" w:eastAsia="zh-CN"/>
        </w:rPr>
        <w:t>95763</w:t>
      </w:r>
      <w:r>
        <w:rPr>
          <w:rFonts w:hint="eastAsia" w:ascii="宋体" w:hAnsi="宋体" w:cs="宋体"/>
          <w:b w:val="0"/>
          <w:bCs/>
          <w:szCs w:val="21"/>
          <w:highlight w:val="none"/>
        </w:rPr>
        <w:t>）</w:t>
      </w:r>
      <w:r>
        <w:rPr>
          <w:rFonts w:hint="eastAsia" w:ascii="宋体" w:hAnsi="宋体" w:cs="宋体"/>
          <w:b w:val="0"/>
          <w:bCs/>
          <w:kern w:val="0"/>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Cs/>
          <w:szCs w:val="21"/>
          <w:highlight w:val="none"/>
        </w:rPr>
      </w:pPr>
      <w:r>
        <w:rPr>
          <w:rFonts w:hint="eastAsia" w:ascii="宋体" w:hAnsi="宋体" w:cs="宋体"/>
          <w:bCs/>
          <w:szCs w:val="21"/>
          <w:highlight w:val="none"/>
        </w:rPr>
        <w:t>7.1.3开磋商评审程序</w:t>
      </w:r>
      <w:bookmarkEnd w:id="32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bookmarkStart w:id="328" w:name="_Toc301187746"/>
      <w:r>
        <w:rPr>
          <w:rFonts w:hint="eastAsia" w:ascii="宋体" w:hAnsi="宋体" w:cs="宋体"/>
          <w:kern w:val="0"/>
          <w:szCs w:val="21"/>
          <w:highlight w:val="none"/>
          <w:lang w:bidi="ar"/>
        </w:rPr>
        <w:t>（1）宣布磋商纪律；</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（2）公布在响应文件提交截止时间前提交响应文件的供应商名称；</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（3）主持人宣布磋商会的人员姓名；</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（4）供应商进行在线解密（解密时间为30分钟），未按时解密或解密未成功的，供应商应当在解密时间内向采购代理机构通过电子邮箱（532760896qq.com）提供备份响应文件；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（5）采购人对供应商进行资格审查；</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（6）主持人宣布通过资格审查的供应商名单；</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（7）磋商小组对响应文件进行符合性审查；</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（8）在有效供应商之间进行磋商，供应商提交磋商时的承诺及补充内容；</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（9）磋商最多不超过三轮，后一轮报价不得高于前一轮报价；</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r>
        <w:rPr>
          <w:rFonts w:hint="eastAsia" w:ascii="宋体" w:hAnsi="宋体" w:cs="宋体"/>
          <w:b w:val="0"/>
          <w:bCs w:val="0"/>
          <w:kern w:val="0"/>
          <w:szCs w:val="21"/>
          <w:highlight w:val="none"/>
          <w:lang w:bidi="ar"/>
        </w:rPr>
        <w:t>（10）磋商小组对资信及商务标和技术标进行评审（包括打分）；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b w:val="0"/>
          <w:bCs w:val="0"/>
          <w:kern w:val="0"/>
          <w:szCs w:val="21"/>
          <w:highlight w:val="none"/>
          <w:lang w:bidi="ar"/>
        </w:rPr>
        <w:t>（11）采购代理机构开启标书信息，在线公布供应商名称、磋商报价及相关内容，同时</w:t>
      </w:r>
      <w:r>
        <w:rPr>
          <w:rFonts w:hint="eastAsia" w:ascii="宋体" w:hAnsi="宋体" w:cs="宋体"/>
          <w:kern w:val="0"/>
          <w:szCs w:val="21"/>
          <w:highlight w:val="none"/>
          <w:lang w:bidi="ar"/>
        </w:rPr>
        <w:t>开启签字时段（签字时段为开启签字后30分钟内），供应商应当及时确认无疑义后进行在线签字确认，否则自行承担风险。签字时段结束后，采购代理机构按照流程进入下步工作；</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（12）</w:t>
      </w:r>
      <w:r>
        <w:rPr>
          <w:rFonts w:hint="eastAsia" w:ascii="宋体" w:hAnsi="宋体" w:cs="宋体"/>
          <w:b/>
          <w:bCs/>
          <w:kern w:val="0"/>
          <w:szCs w:val="21"/>
          <w:highlight w:val="none"/>
          <w:lang w:bidi="ar"/>
        </w:rPr>
        <w:t>开启各供应商提交的最后一轮报价，公布报价及其他内容，并记录在案</w:t>
      </w:r>
      <w:r>
        <w:rPr>
          <w:rFonts w:hint="eastAsia" w:ascii="宋体" w:hAnsi="宋体" w:cs="宋体"/>
          <w:kern w:val="0"/>
          <w:szCs w:val="21"/>
          <w:highlight w:val="none"/>
          <w:lang w:bidi="ar"/>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（13）磋商小组对各供应商的报价文件进行审核（包括打分）；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（14）主持人宣布报价标评审（得分）情况；</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（15）顺序排序：采用综合评分法的，则汇总各供应商得分并按得分由高到低顺序进行排序。采用最低磋商评审价法的，则按报价由低到高顺序进行排序；</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（16）磋商小组起草磋商评审报告，并推荐成交候选人或确定成交供应商；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（17）主持人宣布有效供应商的评审结果以及推荐的成交候选人或确定成交供应商；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（18）</w:t>
      </w:r>
      <w:r>
        <w:rPr>
          <w:rFonts w:hint="eastAsia" w:ascii="宋体" w:hAnsi="宋体" w:cs="宋体"/>
          <w:b/>
          <w:bCs/>
          <w:kern w:val="0"/>
          <w:szCs w:val="21"/>
          <w:highlight w:val="none"/>
          <w:lang w:bidi="ar"/>
        </w:rPr>
        <w:t>供应商代表对磋商过程和磋商记录有疑义，以及认为采购人、采购代理机构相关工作人员有需要回避的情形，应通过电话、电子邮箱等形式向采购代理机构提出询问或回避申请</w:t>
      </w:r>
      <w:r>
        <w:rPr>
          <w:rFonts w:hint="eastAsia" w:ascii="宋体" w:hAnsi="宋体" w:cs="宋体"/>
          <w:kern w:val="0"/>
          <w:szCs w:val="21"/>
          <w:highlight w:val="none"/>
          <w:lang w:bidi="ar"/>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（19）磋商结束。</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7.1.4磋商时供应商须携带的资料：见供应商须知前附表。</w:t>
      </w:r>
      <w:bookmarkEnd w:id="328"/>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29" w:name="_Toc499128599"/>
      <w:bookmarkStart w:id="330" w:name="_Toc498327054"/>
      <w:bookmarkStart w:id="331" w:name="_Toc31790"/>
      <w:r>
        <w:rPr>
          <w:rFonts w:hint="eastAsia" w:ascii="宋体" w:hAnsi="宋体" w:cs="宋体"/>
          <w:b/>
          <w:bCs/>
          <w:szCs w:val="21"/>
          <w:highlight w:val="none"/>
        </w:rPr>
        <w:t>7.2资格审查</w:t>
      </w:r>
      <w:bookmarkEnd w:id="329"/>
      <w:bookmarkEnd w:id="330"/>
      <w:bookmarkEnd w:id="33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7.2.1资格审查的内容按照第3.2.1条规定执行。</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7.2.2资格审查小组按照第7.2.1条要求对供应商进行资格审查。</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7.2.3资格审查时，供应商未按要求提供、提供不完整或未按要求签署盖章的，视为资格审查不通过。</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32" w:name="_Toc499128600"/>
      <w:bookmarkStart w:id="333" w:name="_Toc6173"/>
      <w:bookmarkStart w:id="334" w:name="_Toc498327055"/>
      <w:bookmarkStart w:id="335" w:name="_Toc359934595"/>
      <w:r>
        <w:rPr>
          <w:rFonts w:hint="eastAsia" w:ascii="宋体" w:hAnsi="宋体" w:cs="宋体"/>
          <w:b/>
          <w:bCs/>
          <w:szCs w:val="21"/>
          <w:highlight w:val="none"/>
        </w:rPr>
        <w:t>7.3</w:t>
      </w:r>
      <w:bookmarkEnd w:id="326"/>
      <w:bookmarkEnd w:id="327"/>
      <w:bookmarkEnd w:id="332"/>
      <w:bookmarkEnd w:id="333"/>
      <w:bookmarkEnd w:id="334"/>
      <w:bookmarkEnd w:id="335"/>
      <w:r>
        <w:rPr>
          <w:rFonts w:hint="eastAsia" w:ascii="宋体" w:hAnsi="宋体" w:cs="宋体"/>
          <w:b/>
          <w:bCs/>
          <w:szCs w:val="21"/>
          <w:highlight w:val="none"/>
        </w:rPr>
        <w:t>磋商评审</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bookmarkStart w:id="336" w:name="_Toc301187748"/>
      <w:r>
        <w:rPr>
          <w:rFonts w:hint="eastAsia" w:ascii="宋体" w:hAnsi="宋体" w:cs="宋体"/>
          <w:kern w:val="0"/>
          <w:szCs w:val="21"/>
          <w:highlight w:val="none"/>
          <w:lang w:bidi="ar"/>
        </w:rPr>
        <w:t>7.3.1磋商小组组成：磋商小组由采购人代表和评审专家组成，成员人数应当为3人以上单数，其中评审专家不得少于成员总数的三分之二。</w:t>
      </w:r>
      <w:bookmarkEnd w:id="336"/>
      <w:bookmarkStart w:id="337" w:name="_Toc301187749"/>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r>
        <w:rPr>
          <w:rFonts w:hint="eastAsia" w:ascii="宋体" w:hAnsi="宋体" w:cs="宋体"/>
          <w:kern w:val="0"/>
          <w:szCs w:val="21"/>
          <w:highlight w:val="none"/>
          <w:lang w:bidi="ar"/>
        </w:rPr>
        <w:t>7.3.2</w:t>
      </w:r>
      <w:bookmarkEnd w:id="337"/>
      <w:r>
        <w:rPr>
          <w:rFonts w:hint="eastAsia" w:ascii="宋体" w:hAnsi="宋体" w:cs="宋体"/>
          <w:kern w:val="0"/>
          <w:szCs w:val="21"/>
          <w:highlight w:val="none"/>
          <w:lang w:bidi="ar"/>
        </w:rPr>
        <w:t>磋商评审规定</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kern w:val="0"/>
          <w:szCs w:val="21"/>
          <w:highlight w:val="none"/>
          <w:lang w:bidi="ar"/>
        </w:rPr>
      </w:pPr>
      <w:bookmarkStart w:id="338" w:name="_Toc301187750"/>
      <w:r>
        <w:rPr>
          <w:rFonts w:hint="eastAsia" w:ascii="宋体" w:hAnsi="宋体" w:cs="宋体"/>
          <w:kern w:val="0"/>
          <w:szCs w:val="21"/>
          <w:highlight w:val="none"/>
          <w:lang w:bidi="ar"/>
        </w:rPr>
        <w:t>（1）磋商小组审查资信及商务标和技术标响应文件的完整性、符合性，是否满足竞争性磋商文件的实质性条款。</w:t>
      </w:r>
      <w:bookmarkEnd w:id="338"/>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kern w:val="0"/>
          <w:szCs w:val="21"/>
          <w:highlight w:val="none"/>
          <w:lang w:bidi="ar"/>
        </w:rPr>
      </w:pPr>
      <w:bookmarkStart w:id="339" w:name="_Toc301187751"/>
      <w:r>
        <w:rPr>
          <w:rFonts w:hint="eastAsia" w:ascii="宋体" w:hAnsi="宋体" w:cs="宋体"/>
          <w:kern w:val="0"/>
          <w:szCs w:val="21"/>
          <w:highlight w:val="none"/>
          <w:lang w:bidi="ar"/>
        </w:rPr>
        <w:t>（2）磋商小</w:t>
      </w:r>
      <w:r>
        <w:rPr>
          <w:rFonts w:hint="eastAsia" w:ascii="宋体" w:hAnsi="宋体" w:cs="宋体"/>
          <w:b w:val="0"/>
          <w:bCs w:val="0"/>
          <w:kern w:val="0"/>
          <w:szCs w:val="21"/>
          <w:highlight w:val="none"/>
          <w:lang w:bidi="ar"/>
        </w:rPr>
        <w:t>组审查技术标响应文件的实质性内容是否符合竞争性磋商文件的实质性要求。</w:t>
      </w:r>
      <w:bookmarkEnd w:id="339"/>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340" w:name="_Toc301187752"/>
      <w:r>
        <w:rPr>
          <w:rFonts w:hint="eastAsia" w:ascii="宋体" w:hAnsi="宋体" w:cs="宋体"/>
          <w:b w:val="0"/>
          <w:bCs w:val="0"/>
          <w:kern w:val="0"/>
          <w:szCs w:val="21"/>
          <w:highlight w:val="none"/>
          <w:lang w:bidi="ar"/>
        </w:rPr>
        <w:t>（3）磋商小组将根据供应商的技术标响应文件进行审查、核对，如有疑问，将对供应商进行询标，供应商要向磋商</w:t>
      </w:r>
      <w:r>
        <w:rPr>
          <w:rFonts w:hint="eastAsia" w:ascii="宋体" w:hAnsi="宋体" w:cs="宋体"/>
          <w:b w:val="0"/>
          <w:bCs w:val="0"/>
          <w:szCs w:val="21"/>
          <w:highlight w:val="none"/>
        </w:rPr>
        <w:t>小组澄清有关问题，</w:t>
      </w:r>
      <w:bookmarkEnd w:id="340"/>
      <w:r>
        <w:rPr>
          <w:rFonts w:hint="eastAsia" w:ascii="宋体" w:hAnsi="宋体" w:cs="宋体"/>
          <w:b w:val="0"/>
          <w:bCs w:val="0"/>
          <w:szCs w:val="21"/>
          <w:highlight w:val="none"/>
        </w:rPr>
        <w:t>并最终以政采云平台交换数据电文进行答复。</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1" w:name="_Toc301187753"/>
      <w:r>
        <w:rPr>
          <w:rFonts w:hint="eastAsia" w:ascii="宋体" w:hAnsi="宋体" w:cs="宋体"/>
          <w:b w:val="0"/>
          <w:bCs w:val="0"/>
          <w:szCs w:val="21"/>
          <w:highlight w:val="none"/>
        </w:rPr>
        <w:t>供应商全权代表未到场或者拒绝澄清或者澄清的内容改变了响应文件的实</w:t>
      </w:r>
      <w:r>
        <w:rPr>
          <w:rFonts w:hint="eastAsia" w:ascii="宋体" w:hAnsi="宋体" w:cs="宋体"/>
          <w:szCs w:val="21"/>
          <w:highlight w:val="none"/>
        </w:rPr>
        <w:t>质性内容的，磋商小组有权对该响应文件作出不利于供应商的评判。</w:t>
      </w:r>
      <w:bookmarkEnd w:id="34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2" w:name="_Toc301187754"/>
      <w:r>
        <w:rPr>
          <w:rFonts w:hint="eastAsia" w:ascii="宋体" w:hAnsi="宋体" w:cs="宋体"/>
          <w:szCs w:val="21"/>
          <w:highlight w:val="none"/>
        </w:rPr>
        <w:t>（4）</w:t>
      </w:r>
      <w:bookmarkEnd w:id="342"/>
      <w:r>
        <w:rPr>
          <w:rFonts w:hint="eastAsia" w:ascii="宋体" w:hAnsi="宋体" w:cs="宋体"/>
          <w:szCs w:val="21"/>
          <w:highlight w:val="none"/>
        </w:rPr>
        <w:t>采用综合评分法的，磋商小组按照磋商评审办法中的技术、资信及商务分的计算公式计算出各供应商的技术、资信及商务分，并指定专人进行计算复核。</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（5）磋商小组认为供应商的报价明显低于其他通过符合性审查供应商的报价，有可能影响产品质量或者不能诚信履约的，</w:t>
      </w:r>
      <w:r>
        <w:rPr>
          <w:rFonts w:hint="eastAsia" w:ascii="宋体" w:hAnsi="宋体" w:cs="宋体"/>
          <w:b/>
          <w:bCs/>
          <w:szCs w:val="21"/>
          <w:highlight w:val="none"/>
        </w:rPr>
        <w:t>应当要求其在磋商现场合理的时间内通过政采云平台交换数据电文提供说明</w:t>
      </w:r>
      <w:r>
        <w:rPr>
          <w:rFonts w:hint="eastAsia" w:ascii="宋体" w:hAnsi="宋体" w:cs="宋体"/>
          <w:szCs w:val="21"/>
          <w:highlight w:val="none"/>
        </w:rPr>
        <w:t>，必要时提交相关证明材料；供应商不能证明其报价合理性的，磋商小组应当将其作为无效标处理。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（6）磋商小组根据政府采购政策的规定，对供应商进行价格扣除，按照磋商评审办法中的价格扣除公式计算出供应商的调整后的磋商报价。</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3" w:name="_Toc301187755"/>
      <w:r>
        <w:rPr>
          <w:rFonts w:hint="eastAsia" w:ascii="宋体" w:hAnsi="宋体" w:cs="宋体"/>
          <w:szCs w:val="21"/>
          <w:highlight w:val="none"/>
        </w:rPr>
        <w:t>（7）采用综合评分法的，磋商小组按照磋商评审办法中的价格分计算公式计算出各供应商的价格分，并指定专人进行计算复核。</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（8）采用综合评分法的，磋商小组应当独立对每个供应商的响应文件进行评价，并汇总每个供应商的得分。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（9）磋商小组按磋商评审办法推荐成交候选人或确定成交供应商，同时起草磋商评审报告。</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（10）磋商小组成员对需要共同认定的事项存在争议的，应当按照少数服从多数的原则作出结论，持不同意见的磋商小组成员应当在磋商评审报告上签署不同意见及理由，否则视为同意磋商评审报告。</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（11）磋商小组协助采购代理机构处理现场供应商对磋商评审结果报告提出的疑问。</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color w:val="000000"/>
          <w:szCs w:val="21"/>
          <w:highlight w:val="none"/>
        </w:rPr>
      </w:pPr>
      <w:r>
        <w:rPr>
          <w:rFonts w:hint="eastAsia" w:ascii="宋体" w:hAnsi="宋体" w:cs="宋体"/>
          <w:szCs w:val="21"/>
          <w:highlight w:val="none"/>
        </w:rPr>
        <w:t>7.3.3</w:t>
      </w:r>
      <w:r>
        <w:rPr>
          <w:rFonts w:hint="eastAsia" w:ascii="宋体" w:hAnsi="宋体" w:cs="宋体"/>
          <w:color w:val="000000"/>
          <w:szCs w:val="21"/>
          <w:highlight w:val="none"/>
        </w:rPr>
        <w:t>磋商内容</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r>
        <w:rPr>
          <w:rFonts w:hint="eastAsia" w:ascii="宋体" w:hAnsi="宋体" w:cs="宋体"/>
          <w:szCs w:val="21"/>
          <w:highlight w:val="none"/>
        </w:rPr>
        <w:t>（1）磋商小组可以</w:t>
      </w:r>
      <w:r>
        <w:rPr>
          <w:rFonts w:hint="eastAsia" w:ascii="宋体" w:hAnsi="宋体" w:cs="宋体"/>
          <w:b w:val="0"/>
          <w:bCs w:val="0"/>
          <w:szCs w:val="21"/>
          <w:highlight w:val="none"/>
        </w:rPr>
        <w:t>根据磋商文件和磋商情况实质性变动采购需求中的技术、服务要求以及合同草案条款。</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color w:val="000000"/>
          <w:szCs w:val="21"/>
          <w:highlight w:val="none"/>
        </w:rPr>
      </w:pPr>
      <w:r>
        <w:rPr>
          <w:rFonts w:hint="eastAsia" w:ascii="宋体" w:hAnsi="宋体" w:cs="宋体"/>
          <w:b w:val="0"/>
          <w:bCs w:val="0"/>
          <w:szCs w:val="21"/>
          <w:highlight w:val="none"/>
        </w:rPr>
        <w:t>（2</w:t>
      </w:r>
      <w:r>
        <w:rPr>
          <w:rFonts w:hint="eastAsia" w:ascii="宋体" w:hAnsi="宋体" w:cs="宋体"/>
          <w:b w:val="0"/>
          <w:bCs w:val="0"/>
          <w:color w:val="000000"/>
          <w:szCs w:val="21"/>
          <w:highlight w:val="none"/>
        </w:rPr>
        <w:t>）磋商轮次最多不超过3轮，供应商在磋商过程中所作出的各种承诺都必须用书面形式，并由供应商代表签字。</w:t>
      </w:r>
    </w:p>
    <w:p>
      <w:pPr>
        <w:pageBreakBefore w:val="0"/>
        <w:widowControl w:val="0"/>
        <w:kinsoku/>
        <w:wordWrap/>
        <w:overflowPunct/>
        <w:topLinePunct w:val="0"/>
        <w:autoSpaceDE/>
        <w:autoSpaceDN/>
        <w:bidi w:val="0"/>
        <w:adjustRightInd/>
        <w:snapToGrid w:val="0"/>
        <w:spacing w:line="480" w:lineRule="exact"/>
        <w:ind w:firstLine="420" w:firstLineChars="200"/>
        <w:textAlignment w:val="auto"/>
        <w:rPr>
          <w:rFonts w:hint="eastAsia" w:ascii="宋体" w:hAnsi="宋体" w:cs="宋体"/>
          <w:color w:val="000000"/>
          <w:szCs w:val="21"/>
          <w:highlight w:val="none"/>
        </w:rPr>
      </w:pPr>
      <w:r>
        <w:rPr>
          <w:rFonts w:hint="eastAsia" w:ascii="宋体" w:hAnsi="宋体" w:cs="宋体"/>
          <w:color w:val="000000"/>
          <w:szCs w:val="21"/>
          <w:highlight w:val="none"/>
        </w:rPr>
        <w:t>（3）本项目采用不公开方式评审，评审的依据为磋商文件、响应文件以及磋商期间供应商的书面承诺。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7.3.4错误修正</w:t>
      </w:r>
      <w:bookmarkEnd w:id="343"/>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4" w:name="_Toc301187756"/>
      <w:r>
        <w:rPr>
          <w:rFonts w:hint="eastAsia" w:ascii="宋体" w:hAnsi="宋体" w:cs="宋体"/>
          <w:szCs w:val="21"/>
          <w:highlight w:val="none"/>
        </w:rPr>
        <w:t>响应文件如果出现计算或表达上的错误，修正错误的原则如下：</w:t>
      </w:r>
      <w:bookmarkEnd w:id="344"/>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5" w:name="_Toc301187757"/>
      <w:r>
        <w:rPr>
          <w:rFonts w:hint="eastAsia" w:ascii="宋体" w:hAnsi="宋体" w:cs="宋体"/>
          <w:szCs w:val="21"/>
          <w:highlight w:val="none"/>
        </w:rPr>
        <w:t>（1）响应文件中开标一览表内容与响应文件中相应内容不一致的，以开标一览表为准；</w:t>
      </w:r>
      <w:bookmarkEnd w:id="34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6" w:name="_Toc301187758"/>
      <w:r>
        <w:rPr>
          <w:rFonts w:hint="eastAsia" w:ascii="宋体" w:hAnsi="宋体" w:cs="宋体"/>
          <w:szCs w:val="21"/>
          <w:highlight w:val="none"/>
        </w:rPr>
        <w:t>（2）大写金额和小写金额不一致的，以大写金额为准；</w:t>
      </w:r>
      <w:bookmarkEnd w:id="346"/>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7" w:name="_Toc301187759"/>
      <w:r>
        <w:rPr>
          <w:rFonts w:hint="eastAsia" w:ascii="宋体" w:hAnsi="宋体" w:cs="宋体"/>
          <w:szCs w:val="21"/>
          <w:highlight w:val="none"/>
        </w:rPr>
        <w:t>（3）单价金额小数点或者百分比有明显错位的，以开标一览表的总价为准，并修改单价；</w:t>
      </w:r>
      <w:bookmarkEnd w:id="34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（4）总价金额与按单价汇总金额不一致的，以单价金额计算结果为准；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8" w:name="_Toc301187760"/>
      <w:r>
        <w:rPr>
          <w:rFonts w:hint="eastAsia" w:ascii="宋体" w:hAnsi="宋体" w:cs="宋体"/>
          <w:szCs w:val="21"/>
          <w:highlight w:val="none"/>
        </w:rPr>
        <w:t>（5）对不同文字文本响应文件的解释发生异议的，以中文文本为准</w:t>
      </w:r>
      <w:bookmarkEnd w:id="348"/>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同时出现两种以上不一致的，按照前款规定的顺序修正。修正后的报价按照第6条第一款规定经供应商确认后产生约束力，供应商不确认的，其磋商无效。</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49" w:name="_Toc301187762"/>
      <w:r>
        <w:rPr>
          <w:rFonts w:hint="eastAsia" w:ascii="宋体" w:hAnsi="宋体" w:cs="宋体"/>
          <w:szCs w:val="21"/>
          <w:highlight w:val="none"/>
        </w:rPr>
        <w:t>7.3.5</w:t>
      </w:r>
      <w:bookmarkEnd w:id="349"/>
      <w:r>
        <w:rPr>
          <w:rFonts w:hint="eastAsia" w:ascii="宋体" w:hAnsi="宋体" w:cs="宋体"/>
          <w:szCs w:val="21"/>
          <w:highlight w:val="none"/>
        </w:rPr>
        <w:t>磋商评审纪律</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50" w:name="_Toc301187763"/>
      <w:r>
        <w:rPr>
          <w:rFonts w:hint="eastAsia" w:ascii="宋体" w:hAnsi="宋体" w:cs="宋体"/>
          <w:szCs w:val="21"/>
          <w:highlight w:val="none"/>
        </w:rPr>
        <w:t>（1）磋商小组必须公平、公正、客观，不带任何倾向性和启发性；</w:t>
      </w:r>
      <w:bookmarkEnd w:id="350"/>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51" w:name="_Toc301187764"/>
      <w:r>
        <w:rPr>
          <w:rFonts w:hint="eastAsia" w:ascii="宋体" w:hAnsi="宋体" w:cs="宋体"/>
          <w:szCs w:val="21"/>
          <w:highlight w:val="none"/>
        </w:rPr>
        <w:t>（2）磋商小组及有关工作人员不得向外界透露任何与磋商评审有关的内容；</w:t>
      </w:r>
      <w:bookmarkEnd w:id="35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52" w:name="_Toc301187765"/>
      <w:r>
        <w:rPr>
          <w:rFonts w:hint="eastAsia" w:ascii="宋体" w:hAnsi="宋体" w:cs="宋体"/>
          <w:szCs w:val="21"/>
          <w:highlight w:val="none"/>
        </w:rPr>
        <w:t>（3）任何单位和个人不得干扰、影响磋商评审的正常进行；</w:t>
      </w:r>
      <w:bookmarkEnd w:id="352"/>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53" w:name="_Toc301187766"/>
      <w:r>
        <w:rPr>
          <w:rFonts w:hint="eastAsia" w:ascii="宋体" w:hAnsi="宋体" w:cs="宋体"/>
          <w:szCs w:val="21"/>
          <w:highlight w:val="none"/>
        </w:rPr>
        <w:t>（4）磋商小组及有关工作人员不得私下与供应商接触</w:t>
      </w:r>
      <w:bookmarkEnd w:id="353"/>
      <w:r>
        <w:rPr>
          <w:rFonts w:hint="eastAsia" w:ascii="宋体" w:hAnsi="宋体" w:cs="宋体"/>
          <w:szCs w:val="21"/>
          <w:highlight w:val="none"/>
        </w:rPr>
        <w:t>；</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（5）在磋商评审过程中撤离职守，影响磋商评审程序正常进行的；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（6）记录、复制或者带走任何磋商评审资料；</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（7）其他不遵守磋商评审纪律的行为。</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54" w:name="_Toc301187767"/>
      <w:r>
        <w:rPr>
          <w:rFonts w:hint="eastAsia" w:ascii="宋体" w:hAnsi="宋体" w:cs="宋体"/>
          <w:szCs w:val="21"/>
          <w:highlight w:val="none"/>
        </w:rPr>
        <w:t>7.3.6磋商评审办法</w:t>
      </w:r>
      <w:bookmarkEnd w:id="354"/>
      <w:bookmarkStart w:id="355" w:name="_Toc301187768"/>
      <w:r>
        <w:rPr>
          <w:rFonts w:hint="eastAsia" w:ascii="宋体" w:hAnsi="宋体" w:cs="宋体"/>
          <w:szCs w:val="21"/>
          <w:highlight w:val="none"/>
        </w:rPr>
        <w:t>：见供应商须知前附表。</w:t>
      </w:r>
      <w:bookmarkEnd w:id="355"/>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7.3.7磋商评审过程的监控</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本项目磋商评审过程实行全程录音、录像监控，供应商在磋商评审过程中所有进行的试图影响磋商评审结果的不公正活动，可能导致其磋商被拒绝。</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56" w:name="_Toc499128603"/>
      <w:bookmarkStart w:id="357" w:name="_Toc8888"/>
      <w:bookmarkStart w:id="358" w:name="_Toc498327058"/>
      <w:bookmarkStart w:id="359" w:name="_Toc359934596"/>
      <w:bookmarkStart w:id="360" w:name="_Toc301187769"/>
      <w:bookmarkStart w:id="361" w:name="_Toc303756399"/>
      <w:r>
        <w:rPr>
          <w:rFonts w:hint="eastAsia" w:ascii="宋体" w:hAnsi="宋体" w:cs="宋体"/>
          <w:b/>
          <w:bCs/>
          <w:szCs w:val="21"/>
          <w:highlight w:val="none"/>
        </w:rPr>
        <w:t>7.4定标</w:t>
      </w:r>
      <w:bookmarkEnd w:id="356"/>
      <w:bookmarkEnd w:id="357"/>
      <w:bookmarkEnd w:id="358"/>
      <w:bookmarkEnd w:id="359"/>
      <w:bookmarkEnd w:id="360"/>
      <w:bookmarkEnd w:id="361"/>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7.4.1本项目由磋商小组推荐成交候选人或经采购人授权直接确定成交供应商。推荐成交候选人家数：见供应商须知前附表。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7.4.2定标排序：见第六章 «磋商评审办法及评分标准»。</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7.4.3合格的供应商不足三家时，采购人根据《中华人民共和国政府采购法》、《政府采购竞争性磋商采购方式管理暂行办法》、《关于政府采购竞争性磋商采购方式管理暂行办法有关问题的补充通知》 (财库〔2015〕124号)以及浙江省相关规定执行。</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62" w:name="_Toc31748"/>
      <w:r>
        <w:rPr>
          <w:rFonts w:hint="eastAsia" w:ascii="宋体" w:hAnsi="宋体" w:cs="宋体"/>
          <w:b/>
          <w:bCs/>
          <w:szCs w:val="21"/>
          <w:highlight w:val="none"/>
        </w:rPr>
        <w:t>7.5 突发情况处理</w:t>
      </w:r>
      <w:bookmarkEnd w:id="362"/>
    </w:p>
    <w:p>
      <w:pPr>
        <w:pageBreakBefore w:val="0"/>
        <w:widowControl w:val="0"/>
        <w:kinsoku/>
        <w:wordWrap/>
        <w:overflowPunct/>
        <w:topLinePunct w:val="0"/>
        <w:autoSpaceDE/>
        <w:autoSpaceDN/>
        <w:bidi w:val="0"/>
        <w:adjustRightInd/>
        <w:spacing w:line="480" w:lineRule="exact"/>
        <w:ind w:firstLine="422" w:firstLineChars="200"/>
        <w:textAlignment w:val="auto"/>
        <w:rPr>
          <w:rFonts w:hint="eastAsia" w:ascii="宋体" w:hAnsi="宋体" w:cs="宋体"/>
          <w:b/>
          <w:bCs/>
          <w:szCs w:val="21"/>
          <w:highlight w:val="none"/>
        </w:rPr>
      </w:pPr>
      <w:r>
        <w:rPr>
          <w:rFonts w:hint="eastAsia" w:ascii="宋体" w:hAnsi="宋体" w:cs="宋体"/>
          <w:b/>
          <w:bCs/>
          <w:szCs w:val="21"/>
          <w:highlight w:val="none"/>
        </w:rPr>
        <w:t>7.5.1采购过程中出现以下情形，导致政采云平台无法正常运行，或者无法保证电子交易的公平、公正和安全时，采购代理机构将中止电子交易活动：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⑴电子交易平台发生故障而无法登录访问的；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⑵电子交易平台应用或数据库出现错误，不能进行正常操作的；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⑶电子交易平台发现严重安全漏洞，有潜在泄密危险的；</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⑷病毒发作导致不能进行正常操作的；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⑸其他无法保证电子交易的公平、公正和安全的情况。</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出现前款规定情形，不影响采购公平、公正性的，采购代理机构可以待上述情形消除后继续组织电子交易活动，也可以决定某些环节以纸质形式进行；影响或可能影响采购公平、公正性的，应当重新采购。</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7.5.2供应商未按时在线解密的，应当在解密时间内向采购代理机构提供备份响应文件。</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7.5.3采购代理机构或评审小组因不可抗力（不可抗力包括但不限于自然灾害、断电、传播疫病等）原因造成电子交易活动无法正常运行的，将采取以下措施：</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⑴短时间内能消除不可抗力因素的，采购代理机构或评审小组在消除不可抗力因素后继续组织电子交易活动。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⑵长时间内无法消除不可抗力因素的，采购代理机构或评审小组将中止电子交易活动。</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7.5.4中止电子交易活动的，采购人应当重新组织政府采购活动。</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 w:val="28"/>
          <w:szCs w:val="28"/>
          <w:highlight w:val="none"/>
        </w:rPr>
      </w:pPr>
      <w:bookmarkStart w:id="363" w:name="_Toc499128604"/>
      <w:bookmarkStart w:id="364" w:name="_Toc359934597"/>
      <w:bookmarkStart w:id="365" w:name="_Toc8446"/>
      <w:bookmarkStart w:id="366" w:name="_Toc301187772"/>
      <w:bookmarkStart w:id="367" w:name="_Toc31622"/>
      <w:bookmarkStart w:id="368" w:name="_Toc11126"/>
      <w:bookmarkStart w:id="369" w:name="_Toc303756400"/>
      <w:bookmarkStart w:id="370" w:name="_Toc498327059"/>
      <w:r>
        <w:rPr>
          <w:rFonts w:hint="eastAsia" w:ascii="宋体" w:hAnsi="宋体" w:cs="宋体"/>
          <w:sz w:val="28"/>
          <w:szCs w:val="28"/>
          <w:highlight w:val="none"/>
        </w:rPr>
        <w:t>8．成交和合同</w:t>
      </w:r>
      <w:bookmarkEnd w:id="363"/>
      <w:bookmarkEnd w:id="364"/>
      <w:bookmarkEnd w:id="365"/>
      <w:bookmarkEnd w:id="366"/>
      <w:bookmarkEnd w:id="367"/>
      <w:bookmarkEnd w:id="368"/>
      <w:bookmarkEnd w:id="369"/>
      <w:bookmarkEnd w:id="370"/>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71" w:name="_Toc498327060"/>
      <w:bookmarkStart w:id="372" w:name="_Toc499128605"/>
      <w:bookmarkStart w:id="373" w:name="_Toc303756402"/>
      <w:bookmarkStart w:id="374" w:name="_Toc13697"/>
      <w:bookmarkStart w:id="375" w:name="_Toc359934599"/>
      <w:bookmarkStart w:id="376" w:name="_Toc301187776"/>
      <w:r>
        <w:rPr>
          <w:rFonts w:hint="eastAsia" w:ascii="宋体" w:hAnsi="宋体" w:cs="宋体"/>
          <w:b/>
          <w:bCs/>
          <w:szCs w:val="21"/>
          <w:highlight w:val="none"/>
        </w:rPr>
        <w:t>8.1</w:t>
      </w:r>
      <w:bookmarkEnd w:id="371"/>
      <w:bookmarkEnd w:id="372"/>
      <w:bookmarkEnd w:id="373"/>
      <w:bookmarkEnd w:id="374"/>
      <w:bookmarkEnd w:id="375"/>
      <w:bookmarkEnd w:id="376"/>
      <w:r>
        <w:rPr>
          <w:rFonts w:hint="eastAsia" w:ascii="宋体" w:hAnsi="宋体" w:cs="宋体"/>
          <w:b/>
          <w:bCs/>
          <w:szCs w:val="21"/>
          <w:highlight w:val="none"/>
        </w:rPr>
        <w:t>成交</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bookmarkStart w:id="377" w:name="_Toc301187777"/>
      <w:bookmarkStart w:id="378" w:name="_Toc301187783"/>
      <w:bookmarkStart w:id="379" w:name="_Toc359934600"/>
      <w:bookmarkStart w:id="380" w:name="_Toc303756403"/>
      <w:bookmarkStart w:id="381" w:name="_Toc498327061"/>
      <w:bookmarkStart w:id="382" w:name="_Toc499128606"/>
      <w:bookmarkStart w:id="383" w:name="_Toc24741"/>
      <w:r>
        <w:rPr>
          <w:rFonts w:hint="eastAsia" w:ascii="宋体" w:hAnsi="宋体" w:eastAsia="宋体" w:cs="宋体"/>
          <w:szCs w:val="21"/>
          <w:highlight w:val="none"/>
          <w:lang w:val="en-US" w:eastAsia="zh-CN"/>
        </w:rPr>
        <w:t xml:space="preserve">8.1.1采购代理机构应当在评审结束后2个工作日内将评审报告送采购人确认。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8.1.2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bookmarkEnd w:id="377"/>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8.2追加采购</w:t>
      </w:r>
      <w:bookmarkEnd w:id="378"/>
      <w:bookmarkEnd w:id="379"/>
      <w:bookmarkEnd w:id="380"/>
      <w:bookmarkEnd w:id="381"/>
      <w:r>
        <w:rPr>
          <w:rFonts w:hint="eastAsia" w:ascii="宋体" w:hAnsi="宋体" w:cs="宋体"/>
          <w:b/>
          <w:bCs/>
          <w:szCs w:val="21"/>
          <w:highlight w:val="none"/>
        </w:rPr>
        <w:t>合同标的</w:t>
      </w:r>
      <w:bookmarkEnd w:id="382"/>
      <w:bookmarkEnd w:id="383"/>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84" w:name="_Toc301187784"/>
      <w:r>
        <w:rPr>
          <w:rFonts w:hint="eastAsia" w:ascii="宋体" w:hAnsi="宋体" w:cs="宋体"/>
          <w:szCs w:val="21"/>
          <w:highlight w:val="none"/>
        </w:rPr>
        <w:t>政府采购合同履行中，采购人需追加与合同标的相同的货物、工程或服务的，在不改变合同其他条款的前提下，可以与供应商签订补充合同，但所有补充合同的采购金额不得超过原合同采购金额的百分之十。</w:t>
      </w:r>
      <w:bookmarkEnd w:id="384"/>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385" w:name="_Toc499128607"/>
      <w:bookmarkStart w:id="386" w:name="_Toc498327062"/>
      <w:bookmarkStart w:id="387" w:name="_Toc359934601"/>
      <w:bookmarkStart w:id="388" w:name="_Toc301187785"/>
      <w:bookmarkStart w:id="389" w:name="_Toc8479"/>
      <w:bookmarkStart w:id="390" w:name="_Toc303756404"/>
      <w:r>
        <w:rPr>
          <w:rFonts w:hint="eastAsia" w:ascii="宋体" w:hAnsi="宋体" w:cs="宋体"/>
          <w:b/>
          <w:bCs/>
          <w:szCs w:val="21"/>
          <w:highlight w:val="none"/>
        </w:rPr>
        <w:t>8.3</w:t>
      </w:r>
      <w:bookmarkEnd w:id="385"/>
      <w:bookmarkEnd w:id="386"/>
      <w:bookmarkEnd w:id="387"/>
      <w:bookmarkEnd w:id="388"/>
      <w:bookmarkEnd w:id="389"/>
      <w:bookmarkEnd w:id="390"/>
      <w:r>
        <w:rPr>
          <w:rFonts w:hint="eastAsia" w:ascii="宋体" w:hAnsi="宋体" w:cs="宋体"/>
          <w:b/>
          <w:bCs/>
          <w:szCs w:val="21"/>
          <w:highlight w:val="none"/>
        </w:rPr>
        <w:t xml:space="preserve">成交结果 </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bookmarkStart w:id="391" w:name="_Toc301187790"/>
      <w:bookmarkStart w:id="392" w:name="_Toc303756405"/>
      <w:bookmarkStart w:id="393" w:name="_Toc301187791"/>
      <w:bookmarkStart w:id="394" w:name="_Toc359934602"/>
      <w:bookmarkStart w:id="395" w:name="_Toc26161"/>
      <w:bookmarkStart w:id="396" w:name="_Toc498327063"/>
      <w:bookmarkStart w:id="397" w:name="_Toc499128608"/>
      <w:r>
        <w:rPr>
          <w:rFonts w:hint="eastAsia" w:ascii="宋体" w:hAnsi="宋体" w:cs="宋体"/>
          <w:szCs w:val="21"/>
          <w:highlight w:val="none"/>
        </w:rPr>
        <w:t>8.3.1</w:t>
      </w:r>
      <w:r>
        <w:rPr>
          <w:rFonts w:hint="eastAsia" w:ascii="宋体" w:hAnsi="宋体" w:eastAsia="宋体" w:cs="宋体"/>
          <w:szCs w:val="21"/>
          <w:highlight w:val="none"/>
          <w:lang w:val="en-US" w:eastAsia="zh-CN"/>
        </w:rPr>
        <w:t>采购人或者采购代理机构应当在成交供应商确定后2个工作日内，在省级以上财政部门指定的政府采购信息发布媒体上公告成交结果，同时向成交供应商发出成交通知书，并将磋商文件随成交结果同时公告。</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8.3.</w:t>
      </w:r>
      <w:bookmarkEnd w:id="391"/>
      <w:r>
        <w:rPr>
          <w:rFonts w:hint="eastAsia" w:ascii="宋体" w:hAnsi="宋体" w:cs="宋体"/>
          <w:szCs w:val="21"/>
          <w:highlight w:val="none"/>
        </w:rPr>
        <w:t>3成交通知书发出后，采购人不得违法改变成交结果，成交供应商无正当理由不得放弃成交项目。</w:t>
      </w:r>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8.4合同</w:t>
      </w:r>
      <w:bookmarkEnd w:id="392"/>
      <w:bookmarkEnd w:id="393"/>
      <w:r>
        <w:rPr>
          <w:rFonts w:hint="eastAsia" w:ascii="宋体" w:hAnsi="宋体" w:cs="宋体"/>
          <w:b/>
          <w:bCs/>
          <w:szCs w:val="21"/>
          <w:highlight w:val="none"/>
        </w:rPr>
        <w:t>签订</w:t>
      </w:r>
      <w:bookmarkEnd w:id="394"/>
      <w:bookmarkEnd w:id="395"/>
      <w:bookmarkEnd w:id="396"/>
      <w:bookmarkEnd w:id="397"/>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bookmarkStart w:id="398" w:name="_Toc301187792"/>
      <w:r>
        <w:rPr>
          <w:rFonts w:hint="eastAsia" w:ascii="宋体" w:hAnsi="宋体" w:eastAsia="宋体" w:cs="宋体"/>
          <w:szCs w:val="21"/>
          <w:highlight w:val="none"/>
        </w:rPr>
        <w:t>8.4.1</w:t>
      </w:r>
      <w:bookmarkEnd w:id="398"/>
      <w:r>
        <w:rPr>
          <w:rFonts w:hint="eastAsia" w:ascii="宋体" w:hAnsi="宋体" w:eastAsia="宋体" w:cs="宋体"/>
          <w:szCs w:val="21"/>
          <w:highlight w:val="none"/>
          <w:lang w:val="en-US" w:eastAsia="zh-CN"/>
        </w:rPr>
        <w:t>采购人与成交供应商应当在成交通知书发出之日起30日内，按照磋商文件确定的合同文本以及采购标的、规格型号、采购金额、采购数量、技术和服务要求等事项签订政府采购合同。</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cs="宋体"/>
          <w:b w:val="0"/>
          <w:bCs w:val="0"/>
          <w:szCs w:val="21"/>
          <w:highlight w:val="none"/>
        </w:rPr>
      </w:pPr>
      <w:bookmarkStart w:id="399" w:name="_Toc301187793"/>
      <w:r>
        <w:rPr>
          <w:rFonts w:hint="eastAsia" w:ascii="宋体" w:hAnsi="宋体" w:cs="宋体"/>
          <w:b w:val="0"/>
          <w:bCs w:val="0"/>
          <w:szCs w:val="21"/>
          <w:highlight w:val="none"/>
        </w:rPr>
        <w:t>8.4.2如成交供应商不按成交通知书中规定时间、地点以及磋商时的承诺与采购人签订合同，则按成交供应商违约处理。</w:t>
      </w:r>
      <w:bookmarkEnd w:id="399"/>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8.4.3供应商有下列情形之一的，依照政府采购法第七十七条第一款的规定追究法律责任：</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8.4.3.1向磋商小组或者磋商小组成员行贿或者提供其他不正当利益；</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8.4.3.2 成交或者成交后无正当理由拒不与采购人签订政府采购合同；</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8.4.3.3 未按照谈判文件确定的事项签订政府采购合同；</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8.4.3.4 将政府采购合同转包；</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8.4.3.5 提供假冒伪劣产品；</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8.4.3.6 擅自变更、中止或者终止政府采购合同。</w:t>
      </w:r>
    </w:p>
    <w:p>
      <w:pPr>
        <w:pageBreakBefore w:val="0"/>
        <w:widowControl w:val="0"/>
        <w:kinsoku/>
        <w:wordWrap/>
        <w:overflowPunct/>
        <w:topLinePunct w:val="0"/>
        <w:autoSpaceDE/>
        <w:autoSpaceDN/>
        <w:bidi w:val="0"/>
        <w:adjustRightInd/>
        <w:spacing w:line="480" w:lineRule="exac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供应商有前款第一项规定情形的，成交无效。评审阶段资格发生变化，供应商未依照《中华人民共和国政府采购法实施条例》第二十一条的规定通知采购人和采购代理机构的，处以采购金额5‰的罚款，列入不良行为记录名单，成交无效。</w:t>
      </w:r>
    </w:p>
    <w:p>
      <w:pPr>
        <w:pStyle w:val="4"/>
        <w:pageBreakBefore w:val="0"/>
        <w:widowControl w:val="0"/>
        <w:kinsoku/>
        <w:wordWrap/>
        <w:overflowPunct/>
        <w:topLinePunct w:val="0"/>
        <w:autoSpaceDE/>
        <w:autoSpaceDN/>
        <w:bidi w:val="0"/>
        <w:adjustRightInd/>
        <w:spacing w:line="480" w:lineRule="exact"/>
        <w:ind w:firstLine="562" w:firstLineChars="200"/>
        <w:textAlignment w:val="auto"/>
        <w:rPr>
          <w:rFonts w:hint="eastAsia" w:ascii="宋体" w:hAnsi="宋体" w:cs="宋体"/>
          <w:szCs w:val="21"/>
          <w:highlight w:val="none"/>
        </w:rPr>
      </w:pPr>
      <w:bookmarkStart w:id="400" w:name="_Toc301187794"/>
      <w:bookmarkStart w:id="401" w:name="_Toc24299"/>
      <w:bookmarkStart w:id="402" w:name="_Toc303756406"/>
      <w:bookmarkStart w:id="403" w:name="_Toc359934603"/>
      <w:bookmarkStart w:id="404" w:name="_Toc499128609"/>
      <w:bookmarkStart w:id="405" w:name="_Toc498327064"/>
      <w:bookmarkStart w:id="406" w:name="_Toc9634"/>
      <w:bookmarkStart w:id="407" w:name="_Toc4104"/>
      <w:bookmarkStart w:id="408" w:name="_Toc15805937"/>
      <w:bookmarkStart w:id="409" w:name="_Toc15813254"/>
      <w:bookmarkStart w:id="410" w:name="_Toc44759274"/>
      <w:bookmarkStart w:id="411" w:name="_Toc44759086"/>
      <w:r>
        <w:rPr>
          <w:rFonts w:hint="eastAsia" w:ascii="宋体" w:hAnsi="宋体" w:cs="宋体"/>
          <w:sz w:val="28"/>
          <w:szCs w:val="28"/>
          <w:highlight w:val="none"/>
        </w:rPr>
        <w:t>9．履约保证金</w:t>
      </w:r>
      <w:bookmarkEnd w:id="400"/>
      <w:bookmarkEnd w:id="401"/>
      <w:bookmarkEnd w:id="402"/>
      <w:bookmarkEnd w:id="403"/>
      <w:bookmarkEnd w:id="404"/>
      <w:bookmarkEnd w:id="405"/>
      <w:r>
        <w:rPr>
          <w:rFonts w:hint="eastAsia" w:ascii="宋体" w:hAnsi="宋体" w:cs="宋体"/>
          <w:sz w:val="28"/>
          <w:szCs w:val="28"/>
          <w:highlight w:val="none"/>
        </w:rPr>
        <w:t>和质保</w:t>
      </w:r>
      <w:bookmarkEnd w:id="406"/>
      <w:bookmarkEnd w:id="407"/>
    </w:p>
    <w:p>
      <w:pPr>
        <w:pageBreakBefore w:val="0"/>
        <w:widowControl w:val="0"/>
        <w:kinsoku/>
        <w:wordWrap/>
        <w:overflowPunct/>
        <w:topLinePunct w:val="0"/>
        <w:autoSpaceDE/>
        <w:autoSpaceDN/>
        <w:bidi w:val="0"/>
        <w:adjustRightInd/>
        <w:spacing w:line="480" w:lineRule="exact"/>
        <w:ind w:firstLine="422" w:firstLineChars="200"/>
        <w:jc w:val="left"/>
        <w:textAlignment w:val="auto"/>
        <w:rPr>
          <w:rFonts w:hint="eastAsia" w:ascii="宋体" w:hAnsi="宋体" w:cs="宋体"/>
          <w:b/>
          <w:bCs/>
          <w:szCs w:val="21"/>
          <w:highlight w:val="none"/>
        </w:rPr>
      </w:pPr>
      <w:bookmarkStart w:id="412" w:name="_Toc515526199"/>
      <w:bookmarkStart w:id="413" w:name="_Toc303756407"/>
      <w:bookmarkStart w:id="414" w:name="_Toc208886771"/>
      <w:bookmarkStart w:id="415" w:name="_Toc498327068"/>
      <w:bookmarkStart w:id="416" w:name="_Toc301187800"/>
      <w:bookmarkStart w:id="417" w:name="_Toc359934604"/>
      <w:bookmarkStart w:id="418" w:name="_Toc283042122"/>
      <w:bookmarkStart w:id="419" w:name="_Toc499128613"/>
      <w:r>
        <w:rPr>
          <w:rFonts w:hint="eastAsia" w:ascii="宋体" w:hAnsi="宋体" w:cs="宋体"/>
          <w:b/>
          <w:bCs/>
          <w:szCs w:val="21"/>
          <w:highlight w:val="none"/>
        </w:rPr>
        <w:t>9.1履约保证金</w:t>
      </w:r>
      <w:bookmarkEnd w:id="412"/>
    </w:p>
    <w:p>
      <w:pPr>
        <w:pageBreakBefore w:val="0"/>
        <w:widowControl w:val="0"/>
        <w:kinsoku/>
        <w:wordWrap/>
        <w:overflowPunct/>
        <w:topLinePunct w:val="0"/>
        <w:autoSpaceDE/>
        <w:autoSpaceDN/>
        <w:bidi w:val="0"/>
        <w:adjustRightInd/>
        <w:spacing w:line="480" w:lineRule="exact"/>
        <w:ind w:firstLine="420" w:firstLineChars="200"/>
        <w:jc w:val="left"/>
        <w:textAlignment w:val="auto"/>
        <w:rPr>
          <w:rFonts w:hint="eastAsia" w:ascii="宋体" w:hAnsi="宋体" w:cs="宋体"/>
          <w:szCs w:val="21"/>
          <w:highlight w:val="none"/>
          <w:lang w:eastAsia="zh-CN"/>
        </w:rPr>
      </w:pPr>
      <w:bookmarkStart w:id="420" w:name="_Toc515526200"/>
      <w:r>
        <w:rPr>
          <w:rFonts w:hint="eastAsia" w:ascii="宋体" w:hAnsi="宋体" w:eastAsia="宋体" w:cs="宋体"/>
          <w:sz w:val="21"/>
          <w:szCs w:val="21"/>
          <w:highlight w:val="none"/>
          <w:lang w:val="en-US" w:eastAsia="zh-CN"/>
        </w:rPr>
        <w:t>本项目不收取。</w:t>
      </w:r>
    </w:p>
    <w:p>
      <w:pPr>
        <w:pageBreakBefore w:val="0"/>
        <w:widowControl w:val="0"/>
        <w:kinsoku/>
        <w:wordWrap/>
        <w:overflowPunct/>
        <w:topLinePunct w:val="0"/>
        <w:autoSpaceDE/>
        <w:autoSpaceDN/>
        <w:bidi w:val="0"/>
        <w:adjustRightInd/>
        <w:snapToGrid/>
        <w:spacing w:line="480" w:lineRule="exact"/>
        <w:ind w:firstLine="422" w:firstLineChars="200"/>
        <w:jc w:val="left"/>
        <w:textAlignment w:val="auto"/>
        <w:rPr>
          <w:rFonts w:hint="eastAsia" w:ascii="宋体" w:hAnsi="宋体" w:cs="宋体"/>
          <w:b/>
          <w:bCs/>
          <w:szCs w:val="21"/>
          <w:highlight w:val="none"/>
        </w:rPr>
      </w:pPr>
      <w:r>
        <w:rPr>
          <w:rFonts w:hint="eastAsia" w:ascii="宋体" w:hAnsi="宋体" w:cs="宋体"/>
          <w:b/>
          <w:bCs/>
          <w:szCs w:val="21"/>
          <w:highlight w:val="none"/>
        </w:rPr>
        <w:t>9.2质保期</w:t>
      </w:r>
      <w:bookmarkEnd w:id="420"/>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9.2.1质保期：见供应商须知前附表。</w:t>
      </w:r>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9.2.2供应商承诺的质保期超过第9.2.1条规定的，则应当按照供应商承诺执行。</w:t>
      </w:r>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9.2.3质保期为合同验收合格之日算起，质保期则应当按照第9.2.1条和第9.2.2条执行。</w:t>
      </w:r>
    </w:p>
    <w:p>
      <w:pPr>
        <w:pStyle w:val="4"/>
        <w:pageBreakBefore w:val="0"/>
        <w:widowControl w:val="0"/>
        <w:kinsoku/>
        <w:wordWrap/>
        <w:overflowPunct/>
        <w:topLinePunct w:val="0"/>
        <w:autoSpaceDE/>
        <w:autoSpaceDN/>
        <w:bidi w:val="0"/>
        <w:adjustRightInd/>
        <w:snapToGrid/>
        <w:spacing w:line="480" w:lineRule="exact"/>
        <w:ind w:firstLine="562" w:firstLineChars="200"/>
        <w:textAlignment w:val="auto"/>
        <w:rPr>
          <w:rFonts w:hint="eastAsia" w:ascii="宋体" w:hAnsi="宋体" w:cs="宋体"/>
          <w:sz w:val="28"/>
          <w:szCs w:val="28"/>
          <w:highlight w:val="none"/>
        </w:rPr>
      </w:pPr>
      <w:bookmarkStart w:id="421" w:name="_Toc15568"/>
      <w:bookmarkStart w:id="422" w:name="_Toc27731"/>
      <w:bookmarkStart w:id="423" w:name="_Toc9604"/>
      <w:r>
        <w:rPr>
          <w:rFonts w:hint="eastAsia" w:ascii="宋体" w:hAnsi="宋体" w:cs="宋体"/>
          <w:sz w:val="28"/>
          <w:szCs w:val="28"/>
          <w:highlight w:val="none"/>
        </w:rPr>
        <w:t>10．其他事项</w:t>
      </w:r>
      <w:bookmarkEnd w:id="408"/>
      <w:bookmarkEnd w:id="409"/>
      <w:bookmarkEnd w:id="410"/>
      <w:bookmarkEnd w:id="411"/>
      <w:bookmarkEnd w:id="413"/>
      <w:bookmarkEnd w:id="414"/>
      <w:bookmarkEnd w:id="415"/>
      <w:bookmarkEnd w:id="416"/>
      <w:bookmarkEnd w:id="417"/>
      <w:bookmarkEnd w:id="418"/>
      <w:bookmarkEnd w:id="419"/>
      <w:bookmarkEnd w:id="421"/>
      <w:bookmarkEnd w:id="422"/>
      <w:bookmarkEnd w:id="423"/>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bookmarkStart w:id="424" w:name="_Toc301187801"/>
      <w:r>
        <w:rPr>
          <w:rFonts w:hint="eastAsia" w:ascii="宋体" w:hAnsi="宋体" w:cs="宋体"/>
          <w:szCs w:val="21"/>
          <w:highlight w:val="none"/>
        </w:rPr>
        <w:t>10.1本竞争性磋商文件所称的“以上”、“以下”、“内”、“以内”，包括本数；所称的“不足”，不包括本数。</w:t>
      </w:r>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r>
        <w:rPr>
          <w:rFonts w:hint="eastAsia" w:ascii="宋体" w:hAnsi="宋体" w:cs="宋体"/>
          <w:szCs w:val="21"/>
          <w:highlight w:val="none"/>
        </w:rPr>
        <w:t>10.2竞争性磋商文件编制依据和解释权</w:t>
      </w:r>
      <w:bookmarkEnd w:id="424"/>
      <w:r>
        <w:rPr>
          <w:rFonts w:hint="eastAsia" w:ascii="宋体" w:hAnsi="宋体" w:cs="宋体"/>
          <w:szCs w:val="21"/>
          <w:highlight w:val="none"/>
        </w:rPr>
        <w:t>。</w:t>
      </w:r>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eastAsia="宋体" w:cs="宋体"/>
          <w:szCs w:val="21"/>
          <w:highlight w:val="none"/>
        </w:rPr>
      </w:pPr>
      <w:bookmarkStart w:id="425" w:name="_Toc301187802"/>
      <w:r>
        <w:rPr>
          <w:rFonts w:hint="eastAsia" w:ascii="宋体" w:hAnsi="宋体" w:cs="宋体"/>
          <w:szCs w:val="21"/>
          <w:highlight w:val="none"/>
        </w:rPr>
        <w:t>本竞争性磋商文件是根</w:t>
      </w:r>
      <w:r>
        <w:rPr>
          <w:rFonts w:hint="eastAsia" w:ascii="宋体" w:hAnsi="宋体" w:eastAsia="宋体" w:cs="宋体"/>
          <w:szCs w:val="21"/>
          <w:highlight w:val="none"/>
        </w:rPr>
        <w:t>据国家、省、地方现行有关规定和参照国际惯例编制，凡属竞争性磋商文件未规定内容将根据国家、省、</w:t>
      </w:r>
      <w:r>
        <w:rPr>
          <w:rFonts w:hint="eastAsia" w:ascii="宋体" w:hAnsi="宋体" w:eastAsia="宋体" w:cs="宋体"/>
          <w:szCs w:val="21"/>
          <w:highlight w:val="none"/>
        </w:rPr>
        <w:t>地方现行有关规定执行。本竞争性磋商文件解释权属采购人和采购代理机构。</w:t>
      </w:r>
      <w:bookmarkEnd w:id="425"/>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szCs w:val="21"/>
          <w:highlight w:val="none"/>
        </w:rPr>
      </w:pPr>
      <w:bookmarkStart w:id="426" w:name="_Toc301187803"/>
      <w:r>
        <w:rPr>
          <w:rFonts w:hint="eastAsia" w:ascii="宋体" w:hAnsi="宋体" w:eastAsia="宋体" w:cs="宋体"/>
          <w:szCs w:val="21"/>
          <w:highlight w:val="none"/>
        </w:rPr>
        <w:t>10.3注意事项：磋商截止时间后，供应商登录政采云平台，用“项目采购-开标评标”功能对电子响应文件进行在线解密。在线解密电子响应文件时间为磋商截止时间起30分钟内，未按时解密或解密未成功的，供应商应当在解密时间内向采购代理机构通过电子邮箱（53276089</w:t>
      </w:r>
      <w:r>
        <w:rPr>
          <w:rFonts w:hint="eastAsia" w:ascii="宋体" w:hAnsi="宋体" w:cs="宋体"/>
          <w:szCs w:val="21"/>
          <w:highlight w:val="none"/>
        </w:rPr>
        <w:t>6@qq.com）提供备份响应文件，否则视为放弃磋商。</w:t>
      </w:r>
    </w:p>
    <w:p>
      <w:pPr>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cs="宋体"/>
          <w:highlight w:val="none"/>
        </w:rPr>
      </w:pPr>
      <w:r>
        <w:rPr>
          <w:rFonts w:hint="eastAsia" w:ascii="宋体" w:hAnsi="宋体" w:cs="宋体"/>
          <w:szCs w:val="21"/>
          <w:highlight w:val="none"/>
        </w:rPr>
        <w:t>10.4采购代理机构对定标结果不负责解释。</w:t>
      </w:r>
      <w:bookmarkEnd w:id="426"/>
    </w:p>
    <w:p>
      <w:pPr>
        <w:pStyle w:val="39"/>
        <w:keepNext w:val="0"/>
        <w:keepLines w:val="0"/>
        <w:pageBreakBefore w:val="0"/>
        <w:numPr>
          <w:ilvl w:val="0"/>
          <w:numId w:val="0"/>
        </w:numPr>
        <w:kinsoku/>
        <w:wordWrap/>
        <w:overflowPunct/>
        <w:topLinePunct w:val="0"/>
        <w:autoSpaceDE/>
        <w:autoSpaceDN/>
        <w:bidi w:val="0"/>
        <w:adjustRightInd/>
        <w:snapToGrid/>
        <w:spacing w:before="0" w:after="0" w:line="480" w:lineRule="exact"/>
        <w:ind w:right="0" w:rightChars="0"/>
        <w:jc w:val="center"/>
        <w:textAlignment w:val="auto"/>
        <w:rPr>
          <w:rFonts w:hint="eastAsia" w:ascii="宋体" w:hAnsi="宋体" w:cs="宋体"/>
          <w:highlight w:val="none"/>
        </w:rPr>
      </w:pPr>
      <w:bookmarkStart w:id="427" w:name="_Toc502154396"/>
      <w:r>
        <w:rPr>
          <w:rStyle w:val="80"/>
          <w:rFonts w:hint="eastAsia" w:ascii="宋体" w:hAnsi="宋体" w:cs="宋体"/>
          <w:b/>
          <w:bCs/>
          <w:szCs w:val="22"/>
          <w:highlight w:val="none"/>
        </w:rPr>
        <w:br w:type="page"/>
      </w:r>
      <w:bookmarkEnd w:id="427"/>
      <w:bookmarkStart w:id="428" w:name="_Toc20764"/>
      <w:r>
        <w:rPr>
          <w:rStyle w:val="80"/>
          <w:rFonts w:hint="eastAsia" w:ascii="宋体" w:hAnsi="宋体" w:cs="宋体"/>
          <w:b/>
          <w:bCs/>
          <w:szCs w:val="22"/>
          <w:highlight w:val="none"/>
        </w:rPr>
        <w:t>第四章</w:t>
      </w:r>
      <w:r>
        <w:rPr>
          <w:rStyle w:val="80"/>
          <w:rFonts w:hint="eastAsia" w:ascii="宋体" w:hAnsi="宋体" w:cs="宋体"/>
          <w:b/>
          <w:bCs/>
          <w:szCs w:val="22"/>
          <w:highlight w:val="none"/>
          <w:lang w:val="en-US"/>
        </w:rPr>
        <w:t xml:space="preserve"> </w:t>
      </w:r>
      <w:r>
        <w:rPr>
          <w:rFonts w:hint="eastAsia" w:ascii="宋体" w:hAnsi="宋体" w:eastAsia="宋体" w:cs="宋体"/>
          <w:highlight w:val="none"/>
          <w:lang w:eastAsia="zh-CN"/>
        </w:rPr>
        <w:t>合同格式</w:t>
      </w:r>
      <w:bookmarkEnd w:id="428"/>
    </w:p>
    <w:p>
      <w:pPr>
        <w:pStyle w:val="191"/>
        <w:keepNext w:val="0"/>
        <w:keepLines w:val="0"/>
        <w:pageBreakBefore w:val="0"/>
        <w:kinsoku/>
        <w:wordWrap/>
        <w:overflowPunct/>
        <w:topLinePunct w:val="0"/>
        <w:autoSpaceDE/>
        <w:autoSpaceDN/>
        <w:bidi w:val="0"/>
        <w:adjustRightInd/>
        <w:snapToGrid/>
        <w:spacing w:before="0" w:beforeAutospacing="0" w:after="0" w:afterAutospacing="0" w:line="440" w:lineRule="exact"/>
        <w:ind w:left="0" w:right="0"/>
        <w:jc w:val="center"/>
        <w:textAlignment w:val="auto"/>
        <w:rPr>
          <w:rFonts w:hint="default" w:eastAsia="宋体" w:cs="宋体"/>
          <w:highlight w:val="none"/>
          <w:lang w:val="en-US" w:eastAsia="zh-CN"/>
        </w:rPr>
      </w:pPr>
      <w:r>
        <w:rPr>
          <w:rFonts w:hint="eastAsia" w:cs="宋体"/>
          <w:b/>
          <w:bCs/>
          <w:highlight w:val="none"/>
          <w:lang w:eastAsia="zh-CN"/>
        </w:rPr>
        <w:t>第一部分</w:t>
      </w:r>
      <w:r>
        <w:rPr>
          <w:rFonts w:hint="eastAsia" w:cs="宋体"/>
          <w:b/>
          <w:bCs/>
          <w:highlight w:val="none"/>
          <w:lang w:val="en-US" w:eastAsia="zh-CN"/>
        </w:rPr>
        <w:t xml:space="preserve"> 协议书</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color w:val="auto"/>
          <w:sz w:val="21"/>
          <w:szCs w:val="21"/>
          <w:highlight w:val="none"/>
        </w:rPr>
      </w:pPr>
      <w:bookmarkStart w:id="429" w:name="_Toc11958"/>
      <w:bookmarkStart w:id="430" w:name="_Toc24965"/>
      <w:bookmarkStart w:id="431" w:name="_Toc30825"/>
      <w:bookmarkStart w:id="432" w:name="_Toc303756412"/>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（采购人）   </w:t>
      </w:r>
      <w:r>
        <w:rPr>
          <w:rFonts w:hint="eastAsia" w:ascii="宋体" w:hAnsi="宋体" w:eastAsia="宋体" w:cs="宋体"/>
          <w:color w:val="auto"/>
          <w:sz w:val="21"/>
          <w:szCs w:val="21"/>
          <w:highlight w:val="none"/>
        </w:rPr>
        <w:t>以</w:t>
      </w:r>
      <w:r>
        <w:rPr>
          <w:rFonts w:hint="eastAsia" w:ascii="宋体" w:hAnsi="宋体" w:eastAsia="宋体" w:cs="宋体"/>
          <w:color w:val="auto"/>
          <w:sz w:val="21"/>
          <w:szCs w:val="21"/>
          <w:highlight w:val="none"/>
          <w:u w:val="single"/>
        </w:rPr>
        <w:t xml:space="preserve">   （政府采购方式）  </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u w:val="single"/>
        </w:rPr>
        <w:t xml:space="preserve">   （项目名称、编号）   </w:t>
      </w:r>
      <w:r>
        <w:rPr>
          <w:rFonts w:hint="eastAsia" w:ascii="宋体" w:hAnsi="宋体" w:eastAsia="宋体" w:cs="宋体"/>
          <w:color w:val="auto"/>
          <w:sz w:val="21"/>
          <w:szCs w:val="21"/>
          <w:highlight w:val="none"/>
        </w:rPr>
        <w:t>项目进行了采购。经</w:t>
      </w:r>
      <w:r>
        <w:rPr>
          <w:rFonts w:hint="eastAsia" w:ascii="宋体" w:hAnsi="宋体" w:eastAsia="宋体" w:cs="宋体"/>
          <w:color w:val="auto"/>
          <w:sz w:val="21"/>
          <w:szCs w:val="21"/>
          <w:highlight w:val="none"/>
          <w:u w:val="single"/>
        </w:rPr>
        <w:t xml:space="preserve">   （相关评定主体名称）   </w:t>
      </w:r>
      <w:r>
        <w:rPr>
          <w:rFonts w:hint="eastAsia" w:ascii="宋体" w:hAnsi="宋体" w:eastAsia="宋体" w:cs="宋体"/>
          <w:color w:val="auto"/>
          <w:sz w:val="21"/>
          <w:szCs w:val="21"/>
          <w:highlight w:val="none"/>
        </w:rPr>
        <w:t>评定，</w:t>
      </w:r>
      <w:r>
        <w:rPr>
          <w:rFonts w:hint="eastAsia" w:ascii="宋体" w:hAnsi="宋体" w:eastAsia="宋体" w:cs="宋体"/>
          <w:color w:val="auto"/>
          <w:sz w:val="21"/>
          <w:szCs w:val="21"/>
          <w:highlight w:val="none"/>
          <w:u w:val="single"/>
        </w:rPr>
        <w:t xml:space="preserve">   （中标或者成交供应商名称）</w:t>
      </w:r>
      <w:r>
        <w:rPr>
          <w:rFonts w:hint="eastAsia" w:ascii="宋体" w:hAnsi="宋体" w:eastAsia="宋体" w:cs="宋体"/>
          <w:color w:val="auto"/>
          <w:sz w:val="21"/>
          <w:szCs w:val="21"/>
          <w:highlight w:val="none"/>
        </w:rPr>
        <w:t>为该项目中标或者成交供应商。现于中标或者成交通知书发出之日起10个工作日内，按照采购文件等确定的事项签订本合同。</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根据《中华人民共和国民法典》《中华人民共和国政府采购法》等相关法律法规之规定，按照平等、自愿、公平、诚实信用和绿色的原则，经</w:t>
      </w:r>
      <w:r>
        <w:rPr>
          <w:rFonts w:hint="eastAsia" w:ascii="宋体" w:hAnsi="宋体" w:eastAsia="宋体" w:cs="宋体"/>
          <w:color w:val="auto"/>
          <w:sz w:val="21"/>
          <w:szCs w:val="21"/>
          <w:highlight w:val="none"/>
          <w:u w:val="single"/>
        </w:rPr>
        <w:t xml:space="preserve">   （采购人）   </w:t>
      </w:r>
      <w:r>
        <w:rPr>
          <w:rFonts w:hint="eastAsia" w:ascii="宋体" w:hAnsi="宋体" w:eastAsia="宋体" w:cs="宋体"/>
          <w:color w:val="auto"/>
          <w:sz w:val="21"/>
          <w:szCs w:val="21"/>
          <w:highlight w:val="none"/>
          <w:lang w:val="zh-CN"/>
        </w:rPr>
        <w:t>(以下简称：甲方)和</w:t>
      </w:r>
      <w:r>
        <w:rPr>
          <w:rFonts w:hint="eastAsia" w:ascii="宋体" w:hAnsi="宋体" w:eastAsia="宋体" w:cs="宋体"/>
          <w:color w:val="auto"/>
          <w:sz w:val="21"/>
          <w:szCs w:val="21"/>
          <w:highlight w:val="none"/>
          <w:u w:val="single"/>
        </w:rPr>
        <w:t xml:space="preserve">   （中标或者成交供应商名称）   </w:t>
      </w:r>
      <w:r>
        <w:rPr>
          <w:rFonts w:hint="eastAsia" w:ascii="宋体" w:hAnsi="宋体" w:eastAsia="宋体" w:cs="宋体"/>
          <w:color w:val="auto"/>
          <w:sz w:val="21"/>
          <w:szCs w:val="21"/>
          <w:highlight w:val="none"/>
          <w:lang w:val="zh-CN"/>
        </w:rPr>
        <w:t>(以下简称：乙方)协商一致，约定以下合同</w:t>
      </w:r>
      <w:r>
        <w:rPr>
          <w:rFonts w:hint="eastAsia" w:ascii="宋体" w:hAnsi="宋体" w:eastAsia="宋体" w:cs="宋体"/>
          <w:color w:val="auto"/>
          <w:sz w:val="21"/>
          <w:szCs w:val="21"/>
          <w:highlight w:val="none"/>
        </w:rPr>
        <w:t>条款，以兹共同遵守、全面履行。</w:t>
      </w:r>
    </w:p>
    <w:p>
      <w:pPr>
        <w:keepNext w:val="0"/>
        <w:keepLines w:val="0"/>
        <w:pageBreakBefore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33" w:name="_Toc3029"/>
      <w:bookmarkStart w:id="434" w:name="_Toc24059"/>
      <w:bookmarkStart w:id="435" w:name="_Toc2232"/>
      <w:r>
        <w:rPr>
          <w:rFonts w:hint="eastAsia" w:ascii="宋体" w:hAnsi="宋体" w:eastAsia="宋体" w:cs="宋体"/>
          <w:b/>
          <w:sz w:val="21"/>
          <w:szCs w:val="21"/>
          <w:highlight w:val="none"/>
        </w:rPr>
        <w:t>1.1 合同组成部分</w:t>
      </w:r>
      <w:bookmarkEnd w:id="433"/>
      <w:bookmarkEnd w:id="434"/>
      <w:bookmarkEnd w:id="435"/>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1.1.1 本合同及其补充合同、变更协议；</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1.1.2 中标或者成交通知书；</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1.1.3 投标或者响应文件（含澄清或者说明文件）；</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1.1.4 采购文件（含澄清或者修改文件）；</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1.1.5 其他相关采购文件。</w:t>
      </w:r>
    </w:p>
    <w:p>
      <w:pPr>
        <w:keepNext w:val="0"/>
        <w:keepLines w:val="0"/>
        <w:pageBreakBefore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36" w:name="_Toc24300"/>
      <w:bookmarkStart w:id="437" w:name="_Toc27126"/>
      <w:bookmarkStart w:id="438" w:name="_Toc21295"/>
      <w:r>
        <w:rPr>
          <w:rFonts w:hint="eastAsia" w:ascii="宋体" w:hAnsi="宋体" w:eastAsia="宋体" w:cs="宋体"/>
          <w:b/>
          <w:sz w:val="21"/>
          <w:szCs w:val="21"/>
          <w:highlight w:val="none"/>
        </w:rPr>
        <w:t>1.2 货物</w:t>
      </w:r>
      <w:bookmarkEnd w:id="436"/>
      <w:bookmarkEnd w:id="437"/>
      <w:bookmarkEnd w:id="438"/>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1.2.1 货物名称、品牌、规格型号、花色：</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1.2.2 货物数量：</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1.2.3 货物质量：</w:t>
      </w:r>
      <w:r>
        <w:rPr>
          <w:rFonts w:hint="eastAsia" w:ascii="宋体" w:hAnsi="宋体" w:eastAsia="宋体" w:cs="宋体"/>
          <w:sz w:val="21"/>
          <w:szCs w:val="21"/>
          <w:highlight w:val="none"/>
          <w:u w:val="single"/>
        </w:rPr>
        <w:t>　　　　　　　　　                      　      ；</w:t>
      </w:r>
    </w:p>
    <w:p>
      <w:pPr>
        <w:keepNext w:val="0"/>
        <w:keepLines w:val="0"/>
        <w:pageBreakBefore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39" w:name="_Toc21551"/>
      <w:bookmarkStart w:id="440" w:name="_Toc23292"/>
      <w:bookmarkStart w:id="441" w:name="_Toc21631"/>
      <w:r>
        <w:rPr>
          <w:rFonts w:hint="eastAsia" w:ascii="宋体" w:hAnsi="宋体" w:eastAsia="宋体" w:cs="宋体"/>
          <w:b/>
          <w:sz w:val="21"/>
          <w:szCs w:val="21"/>
          <w:highlight w:val="none"/>
        </w:rPr>
        <w:t>1.3 价款</w:t>
      </w:r>
      <w:bookmarkEnd w:id="439"/>
      <w:bookmarkEnd w:id="440"/>
      <w:bookmarkEnd w:id="441"/>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本合同总价（含税）为：￥</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元（大写：</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元人民币）。</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分项价格：</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jc w:val="center"/>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分项名称</w:t>
            </w: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jc w:val="center"/>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总价</w:t>
            </w:r>
          </w:p>
        </w:tc>
        <w:tc>
          <w:tcPr>
            <w:tcW w:w="2552" w:type="dxa"/>
            <w:tcBorders>
              <w:top w:val="single" w:color="auto" w:sz="4" w:space="0"/>
              <w:left w:val="single" w:color="auto" w:sz="4" w:space="0"/>
              <w:bottom w:val="single" w:color="auto" w:sz="4" w:space="0"/>
              <w:right w:val="single" w:color="auto" w:sz="4" w:space="0"/>
            </w:tcBorders>
            <w:noWrap w:val="0"/>
            <w:vAlign w:val="center"/>
          </w:tcPr>
          <w:p>
            <w:pPr>
              <w:pStyle w:val="158"/>
              <w:spacing w:line="560" w:lineRule="exact"/>
              <w:ind w:firstLine="200"/>
              <w:jc w:val="center"/>
              <w:outlineLvl w:val="9"/>
              <w:rPr>
                <w:rFonts w:hint="eastAsia" w:ascii="宋体" w:hAnsi="宋体" w:eastAsia="宋体" w:cs="宋体"/>
                <w:sz w:val="21"/>
                <w:szCs w:val="21"/>
                <w:highlight w:val="none"/>
              </w:rPr>
            </w:pPr>
          </w:p>
        </w:tc>
      </w:tr>
    </w:tbl>
    <w:p>
      <w:pPr>
        <w:pStyle w:val="23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right="0" w:rightChars="0" w:firstLine="422" w:firstLineChars="200"/>
        <w:textAlignment w:val="auto"/>
        <w:outlineLvl w:val="9"/>
        <w:rPr>
          <w:rFonts w:hint="eastAsia" w:ascii="宋体" w:hAnsi="宋体" w:eastAsia="宋体" w:cs="宋体"/>
          <w:b/>
          <w:sz w:val="21"/>
          <w:szCs w:val="21"/>
          <w:highlight w:val="none"/>
        </w:rPr>
      </w:pPr>
      <w:bookmarkStart w:id="442" w:name="_Toc1814"/>
      <w:bookmarkStart w:id="443" w:name="_Toc10340"/>
      <w:bookmarkStart w:id="444" w:name="_Toc22618"/>
      <w:r>
        <w:rPr>
          <w:rFonts w:hint="eastAsia" w:ascii="宋体" w:hAnsi="宋体" w:eastAsia="宋体" w:cs="宋体"/>
          <w:b/>
          <w:sz w:val="21"/>
          <w:szCs w:val="21"/>
          <w:highlight w:val="none"/>
        </w:rPr>
        <w:t>1.4履约保证金</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u w:val="single"/>
          <w:lang w:eastAsia="zh-CN"/>
        </w:rPr>
      </w:pPr>
      <w:r>
        <w:rPr>
          <w:rFonts w:hint="eastAsia" w:ascii="宋体" w:hAnsi="宋体" w:eastAsia="宋体" w:cs="宋体"/>
          <w:sz w:val="21"/>
          <w:szCs w:val="21"/>
          <w:highlight w:val="none"/>
          <w:u w:val="single"/>
          <w:lang w:eastAsia="zh-CN"/>
        </w:rPr>
        <w:t>本项目不收取。</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2" w:firstLineChars="200"/>
        <w:textAlignment w:val="auto"/>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1.5</w:t>
      </w:r>
      <w:bookmarkEnd w:id="442"/>
      <w:bookmarkEnd w:id="443"/>
      <w:bookmarkEnd w:id="444"/>
      <w:r>
        <w:rPr>
          <w:rFonts w:hint="eastAsia" w:ascii="宋体" w:hAnsi="宋体" w:eastAsia="宋体" w:cs="宋体"/>
          <w:b/>
          <w:sz w:val="21"/>
          <w:szCs w:val="21"/>
          <w:highlight w:val="none"/>
        </w:rPr>
        <w:t>预付款</w:t>
      </w:r>
    </w:p>
    <w:p>
      <w:pPr>
        <w:pStyle w:val="23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甲方</w:t>
      </w:r>
      <w:r>
        <w:rPr>
          <w:rFonts w:hint="eastAsia" w:ascii="宋体" w:hAnsi="宋体" w:eastAsia="宋体" w:cs="宋体"/>
          <w:sz w:val="21"/>
          <w:szCs w:val="21"/>
          <w:highlight w:val="none"/>
          <w:u w:val="single"/>
        </w:rPr>
        <w:t xml:space="preserve"> </w:t>
      </w:r>
      <w:r>
        <w:rPr>
          <w:rFonts w:hint="eastAsia" w:eastAsia="宋体" w:cs="宋体"/>
          <w:sz w:val="21"/>
          <w:szCs w:val="21"/>
          <w:highlight w:val="none"/>
          <w:u w:val="single"/>
          <w:lang w:eastAsia="zh-CN"/>
        </w:rPr>
        <w:t>是</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需要支付预付款。若需要支付预付款的，则：</w:t>
      </w:r>
    </w:p>
    <w:p>
      <w:pPr>
        <w:pStyle w:val="15"/>
        <w:keepNext w:val="0"/>
        <w:keepLines w:val="0"/>
        <w:pageBreakBefore w:val="0"/>
        <w:widowControl w:val="0"/>
        <w:kinsoku/>
        <w:wordWrap/>
        <w:overflowPunct/>
        <w:topLinePunct w:val="0"/>
        <w:autoSpaceDE/>
        <w:autoSpaceDN/>
        <w:bidi w:val="0"/>
        <w:adjustRightInd/>
        <w:snapToGrid/>
        <w:spacing w:line="44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kern w:val="0"/>
          <w:sz w:val="21"/>
          <w:szCs w:val="21"/>
          <w:highlight w:val="none"/>
        </w:rPr>
        <w:t>1.5.1</w:t>
      </w:r>
      <w:r>
        <w:rPr>
          <w:rFonts w:hint="eastAsia" w:ascii="宋体" w:hAnsi="宋体" w:eastAsia="宋体" w:cs="宋体"/>
          <w:kern w:val="0"/>
          <w:sz w:val="21"/>
          <w:szCs w:val="21"/>
          <w:highlight w:val="none"/>
          <w:lang w:eastAsia="zh-CN"/>
        </w:rPr>
        <w:t>预付款支付方式：</w:t>
      </w:r>
      <w:r>
        <w:rPr>
          <w:rFonts w:hint="eastAsia" w:ascii="宋体" w:hAnsi="宋体" w:eastAsia="宋体" w:cs="宋体"/>
          <w:sz w:val="21"/>
          <w:szCs w:val="21"/>
          <w:highlight w:val="none"/>
          <w:u w:val="single"/>
        </w:rPr>
        <w:t>合同签订后</w:t>
      </w:r>
      <w:r>
        <w:rPr>
          <w:rFonts w:hint="eastAsia" w:ascii="宋体" w:hAnsi="宋体" w:eastAsia="宋体" w:cs="宋体"/>
          <w:sz w:val="21"/>
          <w:szCs w:val="21"/>
          <w:highlight w:val="none"/>
          <w:u w:val="single"/>
          <w:lang w:val="en-US" w:eastAsia="zh-CN"/>
        </w:rPr>
        <w:t>7个工作日内</w:t>
      </w:r>
      <w:r>
        <w:rPr>
          <w:rFonts w:hint="eastAsia" w:ascii="宋体" w:hAnsi="宋体" w:eastAsia="宋体" w:cs="宋体"/>
          <w:sz w:val="21"/>
          <w:szCs w:val="21"/>
          <w:highlight w:val="none"/>
          <w:u w:val="single"/>
        </w:rPr>
        <w:t>支付合同</w:t>
      </w:r>
      <w:r>
        <w:rPr>
          <w:rFonts w:hint="eastAsia" w:ascii="宋体" w:hAnsi="宋体" w:eastAsia="宋体" w:cs="宋体"/>
          <w:sz w:val="21"/>
          <w:szCs w:val="21"/>
          <w:highlight w:val="none"/>
          <w:u w:val="single"/>
          <w:lang w:eastAsia="zh-CN"/>
        </w:rPr>
        <w:t>金额</w:t>
      </w:r>
      <w:r>
        <w:rPr>
          <w:rFonts w:hint="eastAsia" w:ascii="宋体" w:hAnsi="宋体" w:eastAsia="宋体" w:cs="宋体"/>
          <w:sz w:val="21"/>
          <w:szCs w:val="21"/>
          <w:highlight w:val="none"/>
          <w:u w:val="single"/>
        </w:rPr>
        <w:t>的</w:t>
      </w:r>
      <w:r>
        <w:rPr>
          <w:rFonts w:hint="eastAsia" w:ascii="宋体" w:hAnsi="宋体" w:eastAsia="宋体" w:cs="宋体"/>
          <w:sz w:val="21"/>
          <w:szCs w:val="21"/>
          <w:highlight w:val="none"/>
          <w:u w:val="single"/>
          <w:lang w:val="en-US" w:eastAsia="zh-CN"/>
        </w:rPr>
        <w:t>40</w:t>
      </w:r>
      <w:r>
        <w:rPr>
          <w:rFonts w:hint="eastAsia" w:ascii="宋体" w:hAnsi="宋体" w:eastAsia="宋体" w:cs="宋体"/>
          <w:sz w:val="21"/>
          <w:szCs w:val="21"/>
          <w:highlight w:val="none"/>
          <w:u w:val="single"/>
        </w:rPr>
        <w:t>%作为预付款</w:t>
      </w:r>
      <w:r>
        <w:rPr>
          <w:rFonts w:hint="eastAsia" w:ascii="宋体" w:hAnsi="宋体" w:eastAsia="宋体" w:cs="宋体"/>
          <w:sz w:val="21"/>
          <w:szCs w:val="21"/>
          <w:highlight w:val="none"/>
        </w:rPr>
        <w:t>；</w:t>
      </w:r>
    </w:p>
    <w:p>
      <w:pPr>
        <w:pStyle w:val="23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right="0" w:rightChars="0" w:firstLine="420" w:firstLineChars="200"/>
        <w:textAlignment w:val="auto"/>
        <w:outlineLvl w:val="9"/>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1.5.</w:t>
      </w:r>
      <w:r>
        <w:rPr>
          <w:rFonts w:hint="eastAsia" w:eastAsia="宋体" w:cs="宋体"/>
          <w:sz w:val="21"/>
          <w:szCs w:val="21"/>
          <w:highlight w:val="none"/>
          <w:lang w:val="en-US" w:eastAsia="zh-CN"/>
        </w:rPr>
        <w:t>1</w:t>
      </w:r>
      <w:r>
        <w:rPr>
          <w:rFonts w:hint="eastAsia" w:ascii="宋体" w:hAnsi="宋体" w:eastAsia="宋体" w:cs="宋体"/>
          <w:sz w:val="21"/>
          <w:szCs w:val="21"/>
          <w:highlight w:val="none"/>
        </w:rPr>
        <w:t>预付款的担保措施</w:t>
      </w:r>
      <w:r>
        <w:rPr>
          <w:rFonts w:hint="eastAsia" w:eastAsia="宋体" w:cs="宋体"/>
          <w:sz w:val="21"/>
          <w:szCs w:val="21"/>
          <w:highlight w:val="none"/>
          <w:lang w:eastAsia="zh-CN"/>
        </w:rPr>
        <w:t>：</w:t>
      </w:r>
      <w:r>
        <w:rPr>
          <w:rFonts w:hint="eastAsia" w:ascii="宋体" w:hAnsi="宋体" w:eastAsia="宋体" w:cs="宋体"/>
          <w:sz w:val="21"/>
          <w:szCs w:val="21"/>
          <w:highlight w:val="none"/>
          <w:u w:val="single"/>
        </w:rPr>
        <w:t>供应商应</w:t>
      </w:r>
      <w:r>
        <w:rPr>
          <w:rFonts w:hint="eastAsia" w:ascii="宋体" w:hAnsi="宋体" w:eastAsia="宋体" w:cs="宋体"/>
          <w:sz w:val="21"/>
          <w:szCs w:val="21"/>
          <w:highlight w:val="none"/>
          <w:u w:val="single"/>
          <w:lang w:eastAsia="zh-CN"/>
        </w:rPr>
        <w:t>同时</w:t>
      </w:r>
      <w:r>
        <w:rPr>
          <w:rFonts w:hint="eastAsia" w:ascii="宋体" w:hAnsi="宋体" w:eastAsia="宋体" w:cs="宋体"/>
          <w:sz w:val="21"/>
          <w:szCs w:val="21"/>
          <w:highlight w:val="none"/>
          <w:u w:val="single"/>
        </w:rPr>
        <w:t>提交银行、保险公司等金融机构出具同等金额的预付款保函</w:t>
      </w:r>
      <w:r>
        <w:rPr>
          <w:rFonts w:hint="eastAsia" w:ascii="宋体" w:hAnsi="宋体" w:eastAsia="宋体" w:cs="宋体"/>
          <w:sz w:val="21"/>
          <w:szCs w:val="21"/>
          <w:highlight w:val="none"/>
        </w:rPr>
        <w:t>。</w:t>
      </w:r>
    </w:p>
    <w:p>
      <w:pPr>
        <w:pStyle w:val="23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right="0" w:rightChars="0" w:firstLine="422" w:firstLineChars="200"/>
        <w:textAlignment w:val="auto"/>
        <w:outlineLvl w:val="9"/>
        <w:rPr>
          <w:rFonts w:hint="eastAsia" w:ascii="宋体" w:hAnsi="宋体" w:eastAsia="宋体" w:cs="宋体"/>
          <w:b/>
          <w:bCs/>
          <w:sz w:val="21"/>
          <w:szCs w:val="21"/>
          <w:highlight w:val="none"/>
          <w:lang w:eastAsia="zh-CN"/>
        </w:rPr>
      </w:pPr>
      <w:r>
        <w:rPr>
          <w:rFonts w:hint="eastAsia" w:ascii="宋体" w:hAnsi="宋体" w:eastAsia="宋体" w:cs="宋体"/>
          <w:b/>
          <w:bCs/>
          <w:sz w:val="21"/>
          <w:szCs w:val="21"/>
          <w:highlight w:val="none"/>
        </w:rPr>
        <w:t>1.6</w:t>
      </w:r>
      <w:r>
        <w:rPr>
          <w:rFonts w:hint="eastAsia" w:eastAsia="宋体" w:cs="宋体"/>
          <w:b/>
          <w:bCs/>
          <w:sz w:val="21"/>
          <w:szCs w:val="21"/>
          <w:highlight w:val="none"/>
          <w:lang w:eastAsia="zh-CN"/>
        </w:rPr>
        <w:t>付款方式</w:t>
      </w:r>
    </w:p>
    <w:p>
      <w:pPr>
        <w:pStyle w:val="230"/>
        <w:keepNext w:val="0"/>
        <w:keepLines w:val="0"/>
        <w:pageBreakBefore w:val="0"/>
        <w:kinsoku/>
        <w:wordWrap/>
        <w:overflowPunct/>
        <w:topLinePunct w:val="0"/>
        <w:autoSpaceDE/>
        <w:autoSpaceDN/>
        <w:bidi w:val="0"/>
        <w:adjustRightInd/>
        <w:snapToGrid/>
        <w:spacing w:before="0" w:beforeAutospacing="0" w:after="0" w:afterAutospacing="0"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1.6.1甲方应严格履行合同，及时组织验收，验收合格后及时将合同款支付完毕。对于满足合同约定支付条件的，甲方自收到发票后</w:t>
      </w:r>
      <w:r>
        <w:rPr>
          <w:rFonts w:hint="eastAsia" w:eastAsia="宋体" w:cs="宋体"/>
          <w:sz w:val="21"/>
          <w:szCs w:val="21"/>
          <w:highlight w:val="none"/>
          <w:lang w:val="en-US" w:eastAsia="zh-CN"/>
        </w:rPr>
        <w:t>7</w:t>
      </w:r>
      <w:r>
        <w:rPr>
          <w:rFonts w:hint="eastAsia" w:ascii="宋体" w:hAnsi="宋体" w:eastAsia="宋体" w:cs="宋体"/>
          <w:sz w:val="21"/>
          <w:szCs w:val="21"/>
          <w:highlight w:val="none"/>
        </w:rPr>
        <w:t>个工作日内将资金支付到合同约定的乙方账户，有条件的甲方可以即时支付。甲方不得以机构变动、人员更替、政策调整、单位放假等为由延迟付款。</w:t>
      </w:r>
    </w:p>
    <w:p>
      <w:pPr>
        <w:pStyle w:val="15"/>
        <w:keepNext w:val="0"/>
        <w:keepLines w:val="0"/>
        <w:pageBreakBefore w:val="0"/>
        <w:widowControl w:val="0"/>
        <w:kinsoku/>
        <w:wordWrap/>
        <w:overflowPunct/>
        <w:topLinePunct w:val="0"/>
        <w:autoSpaceDE/>
        <w:autoSpaceDN/>
        <w:bidi w:val="0"/>
        <w:adjustRightInd/>
        <w:snapToGrid/>
        <w:spacing w:line="44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1.6.2资金支付的方式、时间和条件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u w:val="single"/>
        </w:rPr>
        <w:t>合同签订后</w:t>
      </w:r>
      <w:r>
        <w:rPr>
          <w:rFonts w:hint="eastAsia" w:ascii="宋体" w:hAnsi="宋体" w:eastAsia="宋体" w:cs="宋体"/>
          <w:sz w:val="21"/>
          <w:szCs w:val="21"/>
          <w:highlight w:val="none"/>
          <w:u w:val="single"/>
          <w:lang w:val="en-US" w:eastAsia="zh-CN"/>
        </w:rPr>
        <w:t>7个工作日内</w:t>
      </w:r>
      <w:r>
        <w:rPr>
          <w:rFonts w:hint="eastAsia" w:ascii="宋体" w:hAnsi="宋体" w:eastAsia="宋体" w:cs="宋体"/>
          <w:sz w:val="21"/>
          <w:szCs w:val="21"/>
          <w:highlight w:val="none"/>
          <w:u w:val="single"/>
        </w:rPr>
        <w:t>支付合同</w:t>
      </w:r>
      <w:r>
        <w:rPr>
          <w:rFonts w:hint="eastAsia" w:ascii="宋体" w:hAnsi="宋体" w:eastAsia="宋体" w:cs="宋体"/>
          <w:sz w:val="21"/>
          <w:szCs w:val="21"/>
          <w:highlight w:val="none"/>
          <w:u w:val="single"/>
          <w:lang w:eastAsia="zh-CN"/>
        </w:rPr>
        <w:t>金额</w:t>
      </w:r>
      <w:r>
        <w:rPr>
          <w:rFonts w:hint="eastAsia" w:ascii="宋体" w:hAnsi="宋体" w:eastAsia="宋体" w:cs="宋体"/>
          <w:sz w:val="21"/>
          <w:szCs w:val="21"/>
          <w:highlight w:val="none"/>
          <w:u w:val="single"/>
        </w:rPr>
        <w:t>的</w:t>
      </w:r>
      <w:r>
        <w:rPr>
          <w:rFonts w:hint="eastAsia" w:ascii="宋体" w:hAnsi="宋体" w:eastAsia="宋体" w:cs="宋体"/>
          <w:sz w:val="21"/>
          <w:szCs w:val="21"/>
          <w:highlight w:val="none"/>
          <w:u w:val="single"/>
          <w:lang w:val="en-US" w:eastAsia="zh-CN"/>
        </w:rPr>
        <w:t>40</w:t>
      </w:r>
      <w:r>
        <w:rPr>
          <w:rFonts w:hint="eastAsia" w:ascii="宋体" w:hAnsi="宋体" w:eastAsia="宋体" w:cs="宋体"/>
          <w:sz w:val="21"/>
          <w:szCs w:val="21"/>
          <w:highlight w:val="none"/>
          <w:u w:val="single"/>
        </w:rPr>
        <w:t>%作为预付款，供应商应</w:t>
      </w:r>
      <w:r>
        <w:rPr>
          <w:rFonts w:hint="eastAsia" w:ascii="宋体" w:hAnsi="宋体" w:eastAsia="宋体" w:cs="宋体"/>
          <w:sz w:val="21"/>
          <w:szCs w:val="21"/>
          <w:highlight w:val="none"/>
          <w:u w:val="single"/>
          <w:lang w:eastAsia="zh-CN"/>
        </w:rPr>
        <w:t>同时</w:t>
      </w:r>
      <w:r>
        <w:rPr>
          <w:rFonts w:hint="eastAsia" w:ascii="宋体" w:hAnsi="宋体" w:eastAsia="宋体" w:cs="宋体"/>
          <w:sz w:val="21"/>
          <w:szCs w:val="21"/>
          <w:highlight w:val="none"/>
          <w:u w:val="single"/>
        </w:rPr>
        <w:t>提交银行、保险公司等金融机构出具同等金额的预付款保函；安装完毕并经验收合格后</w:t>
      </w:r>
      <w:r>
        <w:rPr>
          <w:rFonts w:hint="eastAsia" w:ascii="宋体" w:hAnsi="宋体" w:eastAsia="宋体" w:cs="宋体"/>
          <w:sz w:val="21"/>
          <w:szCs w:val="21"/>
          <w:highlight w:val="none"/>
          <w:u w:val="single"/>
          <w:lang w:val="en-US" w:eastAsia="zh-CN"/>
        </w:rPr>
        <w:t>7个工作日内</w:t>
      </w:r>
      <w:r>
        <w:rPr>
          <w:rFonts w:hint="eastAsia" w:ascii="宋体" w:hAnsi="宋体" w:eastAsia="宋体" w:cs="宋体"/>
          <w:sz w:val="21"/>
          <w:szCs w:val="21"/>
          <w:highlight w:val="none"/>
          <w:u w:val="single"/>
        </w:rPr>
        <w:t>支付</w:t>
      </w:r>
      <w:r>
        <w:rPr>
          <w:rFonts w:hint="eastAsia" w:ascii="宋体" w:hAnsi="宋体" w:eastAsia="宋体" w:cs="宋体"/>
          <w:sz w:val="21"/>
          <w:szCs w:val="21"/>
          <w:highlight w:val="none"/>
          <w:u w:val="single"/>
          <w:lang w:eastAsia="zh-CN"/>
        </w:rPr>
        <w:t>剩余合同金额</w:t>
      </w:r>
      <w:r>
        <w:rPr>
          <w:rFonts w:hint="eastAsia" w:ascii="宋体" w:hAnsi="宋体" w:eastAsia="宋体" w:cs="宋体"/>
          <w:sz w:val="21"/>
          <w:szCs w:val="21"/>
          <w:highlight w:val="none"/>
          <w:u w:val="single"/>
        </w:rPr>
        <w:t>。</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2" w:firstLineChars="200"/>
        <w:textAlignment w:val="auto"/>
        <w:outlineLvl w:val="9"/>
        <w:rPr>
          <w:rFonts w:hint="eastAsia" w:ascii="宋体" w:hAnsi="宋体" w:eastAsia="宋体" w:cs="宋体"/>
          <w:b/>
          <w:sz w:val="21"/>
          <w:szCs w:val="21"/>
          <w:highlight w:val="none"/>
        </w:rPr>
      </w:pPr>
      <w:bookmarkStart w:id="445" w:name="_Toc2846"/>
      <w:bookmarkStart w:id="446" w:name="_Toc32071"/>
      <w:bookmarkStart w:id="447" w:name="_Toc19304"/>
      <w:r>
        <w:rPr>
          <w:rFonts w:hint="eastAsia" w:ascii="宋体" w:hAnsi="宋体" w:eastAsia="宋体" w:cs="宋体"/>
          <w:b/>
          <w:sz w:val="21"/>
          <w:szCs w:val="21"/>
          <w:highlight w:val="none"/>
        </w:rPr>
        <w:t>1.7货物交付期限、地点和方式</w:t>
      </w:r>
      <w:bookmarkEnd w:id="445"/>
      <w:bookmarkEnd w:id="446"/>
      <w:bookmarkEnd w:id="447"/>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1.7.1 交付期限：</w:t>
      </w:r>
      <w:r>
        <w:rPr>
          <w:rFonts w:hint="eastAsia" w:ascii="宋体" w:hAnsi="宋体" w:eastAsia="宋体" w:cs="宋体"/>
          <w:sz w:val="21"/>
          <w:szCs w:val="21"/>
          <w:highlight w:val="none"/>
          <w:u w:val="single"/>
          <w:lang w:val="en-US" w:eastAsia="zh-CN"/>
        </w:rPr>
        <w:t>30日历天</w:t>
      </w:r>
      <w:r>
        <w:rPr>
          <w:rFonts w:hint="eastAsia" w:ascii="宋体" w:hAnsi="宋体" w:eastAsia="宋体" w:cs="宋体"/>
          <w:sz w:val="21"/>
          <w:szCs w:val="21"/>
          <w:highlight w:val="none"/>
          <w:u w:val="single"/>
        </w:rPr>
        <w:t>；</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1.7.2 交付地点：</w:t>
      </w:r>
      <w:r>
        <w:rPr>
          <w:rFonts w:hint="eastAsia" w:ascii="宋体" w:hAnsi="宋体" w:eastAsia="宋体" w:cs="宋体"/>
          <w:sz w:val="21"/>
          <w:szCs w:val="21"/>
          <w:highlight w:val="none"/>
          <w:u w:val="single"/>
          <w:lang w:val="en-US" w:eastAsia="zh-CN"/>
        </w:rPr>
        <w:t>甲方指定地点；</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1.7.3 交付方式：</w:t>
      </w:r>
      <w:r>
        <w:rPr>
          <w:rFonts w:hint="eastAsia" w:ascii="宋体" w:hAnsi="宋体" w:eastAsia="宋体" w:cs="宋体"/>
          <w:sz w:val="21"/>
          <w:szCs w:val="21"/>
          <w:highlight w:val="none"/>
          <w:u w:val="single"/>
          <w:lang w:val="en-US" w:eastAsia="zh-CN"/>
        </w:rPr>
        <w:t>现场交付并完成安装。</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2" w:firstLineChars="200"/>
        <w:textAlignment w:val="auto"/>
        <w:outlineLvl w:val="9"/>
        <w:rPr>
          <w:rFonts w:hint="eastAsia" w:ascii="宋体" w:hAnsi="宋体" w:eastAsia="宋体" w:cs="宋体"/>
          <w:b/>
          <w:sz w:val="21"/>
          <w:szCs w:val="21"/>
          <w:highlight w:val="none"/>
        </w:rPr>
      </w:pPr>
      <w:bookmarkStart w:id="448" w:name="_Toc21423"/>
      <w:bookmarkStart w:id="449" w:name="_Toc27250"/>
      <w:bookmarkStart w:id="450" w:name="_Toc19554"/>
      <w:r>
        <w:rPr>
          <w:rFonts w:hint="eastAsia" w:ascii="宋体" w:hAnsi="宋体" w:eastAsia="宋体" w:cs="宋体"/>
          <w:b/>
          <w:sz w:val="21"/>
          <w:szCs w:val="21"/>
          <w:highlight w:val="none"/>
        </w:rPr>
        <w:t>1.8违约责任</w:t>
      </w:r>
      <w:bookmarkEnd w:id="448"/>
      <w:bookmarkEnd w:id="449"/>
      <w:bookmarkEnd w:id="450"/>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sz w:val="21"/>
          <w:szCs w:val="21"/>
          <w:highlight w:val="none"/>
          <w:u w:val="single"/>
        </w:rPr>
        <w:t>0.05</w:t>
      </w:r>
      <w:r>
        <w:rPr>
          <w:rFonts w:hint="eastAsia" w:ascii="宋体" w:hAnsi="宋体" w:eastAsia="宋体" w:cs="宋体"/>
          <w:sz w:val="21"/>
          <w:szCs w:val="21"/>
          <w:highlight w:val="none"/>
        </w:rPr>
        <w:t>%计算，最高限额为本合同总价的</w:t>
      </w:r>
      <w:r>
        <w:rPr>
          <w:rFonts w:hint="eastAsia" w:ascii="宋体" w:hAnsi="宋体" w:eastAsia="宋体" w:cs="宋体"/>
          <w:sz w:val="21"/>
          <w:szCs w:val="21"/>
          <w:highlight w:val="none"/>
          <w:u w:val="single"/>
        </w:rPr>
        <w:t>20</w:t>
      </w:r>
      <w:r>
        <w:rPr>
          <w:rFonts w:hint="eastAsia" w:ascii="宋体" w:hAnsi="宋体" w:eastAsia="宋体" w:cs="宋体"/>
          <w:sz w:val="21"/>
          <w:szCs w:val="21"/>
          <w:highlight w:val="none"/>
        </w:rPr>
        <w:t>%；迟延交付货物的违约金计算数额达到前述最高限额之日起，甲方有权在要求乙方支付违约金的同时，书面通知乙方解除本合同；</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1.8.2 除不可抗力外，如果甲方没有按照本合同约定的付款方式付款，那么乙方可要求甲方支付违约金，违约金按每迟延付款一日的应付而未付款的</w:t>
      </w:r>
      <w:r>
        <w:rPr>
          <w:rFonts w:hint="eastAsia" w:ascii="宋体" w:hAnsi="宋体" w:eastAsia="宋体" w:cs="宋体"/>
          <w:sz w:val="21"/>
          <w:szCs w:val="21"/>
          <w:highlight w:val="none"/>
          <w:u w:val="single"/>
        </w:rPr>
        <w:t xml:space="preserve">0.05 </w:t>
      </w:r>
      <w:r>
        <w:rPr>
          <w:rFonts w:hint="eastAsia" w:ascii="宋体" w:hAnsi="宋体" w:eastAsia="宋体" w:cs="宋体"/>
          <w:sz w:val="21"/>
          <w:szCs w:val="21"/>
          <w:highlight w:val="none"/>
        </w:rPr>
        <w:t>%计算，最高限额为本合同总价的</w:t>
      </w:r>
      <w:r>
        <w:rPr>
          <w:rFonts w:hint="eastAsia" w:ascii="宋体" w:hAnsi="宋体" w:eastAsia="宋体" w:cs="宋体"/>
          <w:sz w:val="21"/>
          <w:szCs w:val="21"/>
          <w:highlight w:val="none"/>
          <w:u w:val="single"/>
        </w:rPr>
        <w:t>20</w:t>
      </w:r>
      <w:r>
        <w:rPr>
          <w:rFonts w:hint="eastAsia" w:ascii="宋体" w:hAnsi="宋体" w:eastAsia="宋体" w:cs="宋体"/>
          <w:sz w:val="21"/>
          <w:szCs w:val="21"/>
          <w:highlight w:val="none"/>
        </w:rPr>
        <w:t>%；迟延付款的违约金计算数额达到前述最高限额之日起，乙方有权在要求甲方支付违约金的同时，书面通知甲方解除本合同；</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2" w:firstLineChars="200"/>
        <w:textAlignment w:val="auto"/>
        <w:outlineLvl w:val="9"/>
        <w:rPr>
          <w:rFonts w:hint="eastAsia" w:ascii="宋体" w:hAnsi="宋体" w:eastAsia="宋体" w:cs="宋体"/>
          <w:b/>
          <w:sz w:val="21"/>
          <w:szCs w:val="21"/>
          <w:highlight w:val="none"/>
        </w:rPr>
      </w:pPr>
      <w:bookmarkStart w:id="451" w:name="_Toc15583"/>
      <w:bookmarkStart w:id="452" w:name="_Toc16021"/>
      <w:bookmarkStart w:id="453" w:name="_Toc28375"/>
      <w:r>
        <w:rPr>
          <w:rFonts w:hint="eastAsia" w:ascii="宋体" w:hAnsi="宋体" w:eastAsia="宋体" w:cs="宋体"/>
          <w:b/>
          <w:sz w:val="21"/>
          <w:szCs w:val="21"/>
          <w:highlight w:val="none"/>
        </w:rPr>
        <w:t>1.9合同争议的解决</w:t>
      </w:r>
      <w:bookmarkEnd w:id="451"/>
      <w:bookmarkEnd w:id="452"/>
      <w:bookmarkEnd w:id="453"/>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本合同履行过程中发生的任何争议，双方当事人均可通过和解或者调解解决；不愿和解、调解或者和解、调解不成的，可以选择</w:t>
      </w:r>
      <w:r>
        <w:rPr>
          <w:rFonts w:hint="eastAsia" w:ascii="宋体" w:hAnsi="宋体" w:eastAsia="宋体" w:cs="宋体"/>
          <w:b w:val="0"/>
          <w:bCs w:val="0"/>
          <w:i w:val="0"/>
          <w:iCs w:val="0"/>
          <w:sz w:val="21"/>
          <w:szCs w:val="21"/>
          <w:highlight w:val="none"/>
        </w:rPr>
        <w:t>以下第</w:t>
      </w:r>
      <w:r>
        <w:rPr>
          <w:rFonts w:hint="eastAsia" w:ascii="宋体" w:hAnsi="宋体" w:eastAsia="宋体" w:cs="宋体"/>
          <w:b w:val="0"/>
          <w:bCs w:val="0"/>
          <w:i w:val="0"/>
          <w:iCs w:val="0"/>
          <w:sz w:val="21"/>
          <w:szCs w:val="21"/>
          <w:highlight w:val="none"/>
          <w:u w:val="single"/>
          <w:lang w:val="en-US" w:eastAsia="zh-CN"/>
        </w:rPr>
        <w:t>1.9.1</w:t>
      </w:r>
      <w:r>
        <w:rPr>
          <w:rFonts w:hint="eastAsia" w:ascii="宋体" w:hAnsi="宋体" w:eastAsia="宋体" w:cs="宋体"/>
          <w:b w:val="0"/>
          <w:bCs w:val="0"/>
          <w:i w:val="0"/>
          <w:iCs w:val="0"/>
          <w:sz w:val="21"/>
          <w:szCs w:val="21"/>
          <w:highlight w:val="none"/>
        </w:rPr>
        <w:t>条款</w:t>
      </w:r>
      <w:r>
        <w:rPr>
          <w:rFonts w:hint="eastAsia" w:ascii="宋体" w:hAnsi="宋体" w:eastAsia="宋体" w:cs="宋体"/>
          <w:sz w:val="21"/>
          <w:szCs w:val="21"/>
          <w:highlight w:val="none"/>
        </w:rPr>
        <w:t>规定的方式解决：</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i w:val="0"/>
          <w:iCs w:val="0"/>
          <w:sz w:val="21"/>
          <w:szCs w:val="21"/>
          <w:highlight w:val="none"/>
        </w:rPr>
      </w:pPr>
      <w:r>
        <w:rPr>
          <w:rFonts w:hint="eastAsia" w:ascii="宋体" w:hAnsi="宋体" w:eastAsia="宋体" w:cs="宋体"/>
          <w:sz w:val="21"/>
          <w:szCs w:val="21"/>
          <w:highlight w:val="none"/>
        </w:rPr>
        <w:t>1.9.1</w:t>
      </w:r>
      <w:r>
        <w:rPr>
          <w:rFonts w:hint="eastAsia" w:ascii="宋体" w:hAnsi="宋体" w:eastAsia="宋体" w:cs="宋体"/>
          <w:i w:val="0"/>
          <w:iCs w:val="0"/>
          <w:sz w:val="21"/>
          <w:szCs w:val="21"/>
          <w:highlight w:val="none"/>
        </w:rPr>
        <w:t xml:space="preserve"> 将争议提交</w:t>
      </w:r>
      <w:r>
        <w:rPr>
          <w:rFonts w:hint="eastAsia" w:ascii="宋体" w:hAnsi="宋体" w:eastAsia="宋体" w:cs="宋体"/>
          <w:b/>
          <w:i w:val="0"/>
          <w:iCs w:val="0"/>
          <w:sz w:val="21"/>
          <w:szCs w:val="21"/>
          <w:highlight w:val="none"/>
          <w:u w:val="single"/>
          <w:lang w:eastAsia="zh-CN"/>
        </w:rPr>
        <w:t>丽水</w:t>
      </w:r>
      <w:r>
        <w:rPr>
          <w:rFonts w:hint="eastAsia" w:ascii="宋体" w:hAnsi="宋体" w:eastAsia="宋体" w:cs="宋体"/>
          <w:i w:val="0"/>
          <w:iCs w:val="0"/>
          <w:sz w:val="21"/>
          <w:szCs w:val="21"/>
          <w:highlight w:val="none"/>
        </w:rPr>
        <w:t>仲裁委员会依申请仲裁时其现行有效的仲裁规则裁决；</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i w:val="0"/>
          <w:iCs w:val="0"/>
          <w:sz w:val="21"/>
          <w:szCs w:val="21"/>
          <w:highlight w:val="none"/>
        </w:rPr>
      </w:pPr>
      <w:r>
        <w:rPr>
          <w:rFonts w:hint="eastAsia" w:ascii="宋体" w:hAnsi="宋体" w:eastAsia="宋体" w:cs="宋体"/>
          <w:i w:val="0"/>
          <w:iCs w:val="0"/>
          <w:sz w:val="21"/>
          <w:szCs w:val="21"/>
          <w:highlight w:val="none"/>
        </w:rPr>
        <w:t>1.9.2 向</w:t>
      </w:r>
      <w:r>
        <w:rPr>
          <w:rFonts w:hint="eastAsia" w:ascii="宋体" w:hAnsi="宋体" w:eastAsia="宋体" w:cs="宋体"/>
          <w:b/>
          <w:i w:val="0"/>
          <w:iCs w:val="0"/>
          <w:sz w:val="21"/>
          <w:szCs w:val="21"/>
          <w:highlight w:val="none"/>
          <w:u w:val="single"/>
          <w:lang w:eastAsia="zh-CN"/>
        </w:rPr>
        <w:t>缙云县</w:t>
      </w:r>
      <w:r>
        <w:rPr>
          <w:rFonts w:hint="eastAsia" w:ascii="宋体" w:hAnsi="宋体" w:eastAsia="宋体" w:cs="宋体"/>
          <w:i w:val="0"/>
          <w:iCs w:val="0"/>
          <w:sz w:val="21"/>
          <w:szCs w:val="21"/>
          <w:highlight w:val="none"/>
        </w:rPr>
        <w:t>人民法院起诉。</w:t>
      </w:r>
    </w:p>
    <w:p>
      <w:pPr>
        <w:keepNext w:val="0"/>
        <w:keepLines w:val="0"/>
        <w:pageBreakBefore w:val="0"/>
        <w:kinsoku/>
        <w:wordWrap/>
        <w:overflowPunct/>
        <w:topLinePunct w:val="0"/>
        <w:autoSpaceDE/>
        <w:autoSpaceDN/>
        <w:bidi w:val="0"/>
        <w:adjustRightInd/>
        <w:snapToGrid/>
        <w:spacing w:line="440" w:lineRule="exact"/>
        <w:ind w:left="0" w:leftChars="0" w:right="0" w:rightChars="0" w:firstLine="422" w:firstLineChars="200"/>
        <w:textAlignment w:val="auto"/>
        <w:outlineLvl w:val="9"/>
        <w:rPr>
          <w:rFonts w:hint="eastAsia" w:ascii="宋体" w:hAnsi="宋体" w:eastAsia="宋体" w:cs="宋体"/>
          <w:b/>
          <w:sz w:val="21"/>
          <w:szCs w:val="21"/>
          <w:highlight w:val="none"/>
        </w:rPr>
      </w:pPr>
      <w:bookmarkStart w:id="454" w:name="_Toc7245"/>
      <w:bookmarkStart w:id="455" w:name="_Toc15322"/>
      <w:bookmarkStart w:id="456" w:name="_Toc11173"/>
      <w:r>
        <w:rPr>
          <w:rFonts w:hint="eastAsia" w:ascii="宋体" w:hAnsi="宋体" w:eastAsia="宋体" w:cs="宋体"/>
          <w:b/>
          <w:sz w:val="21"/>
          <w:szCs w:val="21"/>
          <w:highlight w:val="none"/>
        </w:rPr>
        <w:t>2.0 合同生效</w:t>
      </w:r>
      <w:bookmarkEnd w:id="454"/>
      <w:bookmarkEnd w:id="455"/>
      <w:bookmarkEnd w:id="456"/>
    </w:p>
    <w:p>
      <w:pPr>
        <w:keepNext w:val="0"/>
        <w:keepLines w:val="0"/>
        <w:pageBreakBefore w:val="0"/>
        <w:kinsoku/>
        <w:wordWrap/>
        <w:overflowPunct/>
        <w:topLinePunct w:val="0"/>
        <w:autoSpaceDE/>
        <w:autoSpaceDN/>
        <w:bidi w:val="0"/>
        <w:adjustRightInd/>
        <w:snapToGrid/>
        <w:spacing w:line="44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本合同自双方当事人盖章签字时生效。</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2" w:firstLineChars="200"/>
        <w:textAlignment w:val="auto"/>
        <w:outlineLvl w:val="9"/>
        <w:rPr>
          <w:rFonts w:hint="eastAsia" w:ascii="宋体" w:hAnsi="宋体" w:eastAsia="宋体" w:cs="宋体"/>
          <w:b/>
          <w:sz w:val="21"/>
          <w:szCs w:val="21"/>
          <w:highlight w:val="none"/>
          <w:lang w:val="zh-CN"/>
        </w:rPr>
      </w:pP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2"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b/>
          <w:sz w:val="21"/>
          <w:szCs w:val="21"/>
          <w:highlight w:val="none"/>
          <w:lang w:val="zh-CN"/>
        </w:rPr>
        <w:t>甲方</w:t>
      </w:r>
      <w:r>
        <w:rPr>
          <w:rFonts w:hint="eastAsia" w:ascii="宋体" w:hAnsi="宋体" w:eastAsia="宋体" w:cs="宋体"/>
          <w:sz w:val="21"/>
          <w:szCs w:val="21"/>
          <w:highlight w:val="none"/>
          <w:lang w:val="zh-CN"/>
        </w:rPr>
        <w:t xml:space="preserve">：                             </w:t>
      </w:r>
      <w:r>
        <w:rPr>
          <w:rFonts w:hint="eastAsia" w:ascii="宋体" w:hAnsi="宋体" w:eastAsia="宋体" w:cs="宋体"/>
          <w:b/>
          <w:sz w:val="21"/>
          <w:szCs w:val="21"/>
          <w:highlight w:val="none"/>
          <w:lang w:val="zh-CN"/>
        </w:rPr>
        <w:t xml:space="preserve">      乙方</w:t>
      </w:r>
      <w:r>
        <w:rPr>
          <w:rFonts w:hint="eastAsia" w:ascii="宋体" w:hAnsi="宋体" w:eastAsia="宋体" w:cs="宋体"/>
          <w:sz w:val="21"/>
          <w:szCs w:val="21"/>
          <w:highlight w:val="none"/>
          <w:lang w:val="zh-CN"/>
        </w:rPr>
        <w:t>：</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统一社会信用代码：                        统一社会信用代码或身份证号码：</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住所：                                   住所：</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法定代表人或                             法定代表人</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 xml:space="preserve">授权代表（签字）：                        或授权代表（签字）: </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联系人：                                 联系人：</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约定送达地址：                           约定送达地址：</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邮政编码：                               邮政编码：</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 xml:space="preserve">电话:                                    电话: </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传真:                                    传真:</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电子邮箱：                               电子邮箱：</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开户银行：                               开户银行： </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开户名称：                               开户名称： </w:t>
      </w:r>
    </w:p>
    <w:p>
      <w:pPr>
        <w:keepNext w:val="0"/>
        <w:keepLines w:val="0"/>
        <w:pageBreakBefore w:val="0"/>
        <w:kinsoku/>
        <w:wordWrap/>
        <w:overflowPunct/>
        <w:topLinePunct w:val="0"/>
        <w:autoSpaceDE w:val="0"/>
        <w:autoSpaceDN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开户账号：</w:t>
      </w:r>
      <w:r>
        <w:rPr>
          <w:rFonts w:hint="eastAsia" w:ascii="宋体" w:hAnsi="宋体" w:eastAsia="宋体" w:cs="宋体"/>
          <w:sz w:val="21"/>
          <w:szCs w:val="21"/>
          <w:highlight w:val="none"/>
          <w:lang w:val="zh-CN"/>
        </w:rPr>
        <w:t xml:space="preserve">                               </w:t>
      </w:r>
      <w:r>
        <w:rPr>
          <w:rFonts w:hint="eastAsia" w:ascii="宋体" w:hAnsi="宋体" w:eastAsia="宋体" w:cs="宋体"/>
          <w:sz w:val="21"/>
          <w:szCs w:val="21"/>
          <w:highlight w:val="none"/>
        </w:rPr>
        <w:t>开户账号：</w:t>
      </w:r>
    </w:p>
    <w:p>
      <w:pPr>
        <w:keepNext w:val="0"/>
        <w:keepLines w:val="0"/>
        <w:pageBreakBefore w:val="0"/>
        <w:numPr>
          <w:ilvl w:val="0"/>
          <w:numId w:val="0"/>
        </w:numPr>
        <w:kinsoku/>
        <w:wordWrap/>
        <w:overflowPunct/>
        <w:topLinePunct w:val="0"/>
        <w:bidi w:val="0"/>
        <w:adjustRightInd/>
        <w:snapToGrid/>
        <w:spacing w:line="480" w:lineRule="exact"/>
        <w:ind w:left="0" w:leftChars="0" w:right="0" w:rightChars="0" w:firstLine="420" w:firstLineChars="200"/>
        <w:textAlignment w:val="auto"/>
        <w:outlineLvl w:val="9"/>
        <w:rPr>
          <w:rFonts w:hint="eastAsia" w:ascii="宋体" w:hAnsi="宋体" w:eastAsia="宋体" w:cs="宋体"/>
          <w:sz w:val="21"/>
          <w:szCs w:val="21"/>
          <w:highlight w:val="none"/>
        </w:rPr>
      </w:pPr>
    </w:p>
    <w:p>
      <w:pPr>
        <w:numPr>
          <w:ilvl w:val="0"/>
          <w:numId w:val="0"/>
        </w:numPr>
        <w:outlineLvl w:val="9"/>
        <w:rPr>
          <w:rFonts w:hint="eastAsia" w:ascii="宋体" w:hAnsi="宋体" w:eastAsia="宋体" w:cs="宋体"/>
          <w:sz w:val="21"/>
          <w:szCs w:val="21"/>
          <w:highlight w:val="none"/>
        </w:rPr>
      </w:pPr>
    </w:p>
    <w:p>
      <w:pPr>
        <w:outlineLvl w:val="9"/>
        <w:rPr>
          <w:rFonts w:hint="eastAsia" w:ascii="宋体" w:hAnsi="宋体" w:eastAsia="宋体" w:cs="宋体"/>
          <w:sz w:val="21"/>
          <w:szCs w:val="21"/>
          <w:highlight w:val="none"/>
        </w:rPr>
      </w:pPr>
    </w:p>
    <w:p>
      <w:pPr>
        <w:pStyle w:val="229"/>
        <w:spacing w:line="560" w:lineRule="exact"/>
        <w:ind w:firstLine="482"/>
        <w:jc w:val="center"/>
        <w:outlineLvl w:val="9"/>
        <w:rPr>
          <w:rFonts w:hint="eastAsia" w:ascii="宋体" w:hAnsi="宋体" w:eastAsia="宋体" w:cs="宋体"/>
          <w:b/>
          <w:sz w:val="21"/>
          <w:szCs w:val="21"/>
          <w:highlight w:val="none"/>
        </w:rPr>
      </w:pPr>
      <w:r>
        <w:rPr>
          <w:rFonts w:hint="eastAsia" w:ascii="宋体" w:hAnsi="宋体" w:eastAsia="宋体" w:cs="宋体"/>
          <w:b/>
          <w:sz w:val="24"/>
          <w:szCs w:val="24"/>
          <w:highlight w:val="none"/>
        </w:rPr>
        <w:t>第二部分 合同一般条款</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57" w:name="_Toc16917"/>
      <w:bookmarkStart w:id="458" w:name="_Ref467379225"/>
      <w:bookmarkStart w:id="459" w:name="_Toc259093669"/>
      <w:bookmarkStart w:id="460" w:name="_Ref467378404"/>
      <w:bookmarkStart w:id="461" w:name="_Ref467379101"/>
      <w:bookmarkStart w:id="462" w:name="_Ref467379109"/>
      <w:bookmarkStart w:id="463" w:name="_Ref467379205"/>
      <w:bookmarkStart w:id="464" w:name="_Toc279701240"/>
      <w:bookmarkStart w:id="465" w:name="_Ref467378463"/>
      <w:bookmarkStart w:id="466" w:name="_Ref467379094"/>
      <w:bookmarkStart w:id="467" w:name="_Toc28763"/>
      <w:bookmarkStart w:id="468" w:name="_Ref467378499"/>
      <w:bookmarkStart w:id="469" w:name="_Ref467379195"/>
      <w:bookmarkStart w:id="470" w:name="_Toc487900349"/>
      <w:bookmarkStart w:id="471" w:name="_Ref467379214"/>
      <w:bookmarkStart w:id="472" w:name="_Toc19614"/>
      <w:r>
        <w:rPr>
          <w:rFonts w:hint="eastAsia" w:ascii="宋体" w:hAnsi="宋体" w:eastAsia="宋体" w:cs="宋体"/>
          <w:b/>
          <w:sz w:val="21"/>
          <w:szCs w:val="21"/>
          <w:highlight w:val="none"/>
        </w:rPr>
        <w:t>2.1 定义</w:t>
      </w:r>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本合同中的下列词语应按以下内容进行解释：</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2.1.1 “合同”系指采购人和中标或成交供应商签订的载明双方当事人所达成的协议，并包括所有的附件、附录和构成合同的其他文件。</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2.1.2 “合同价”系指根据合同约定，中标或成交供应商在完全履行合同义务后，采购人应支付给中标或成交供应商的价格。</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2.1.3 “货物”系指中标或成交供应商根据合同约定应向采购人交付的一切各种形态和种类的物品，包括原材料、燃料、设备、机械、仪表、备件、计算机软件、产品等，并包括工具、手册等其他相关资料。</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bookmarkStart w:id="473" w:name="_Ref467378840"/>
      <w:r>
        <w:rPr>
          <w:rFonts w:hint="eastAsia" w:ascii="宋体" w:hAnsi="宋体" w:eastAsia="宋体" w:cs="宋体"/>
          <w:sz w:val="21"/>
          <w:szCs w:val="21"/>
          <w:highlight w:val="none"/>
        </w:rPr>
        <w:t>2.1.4 “甲方”系指与中标或成交供应商签署合同的采购人</w:t>
      </w:r>
      <w:bookmarkEnd w:id="473"/>
      <w:r>
        <w:rPr>
          <w:rFonts w:hint="eastAsia" w:ascii="宋体" w:hAnsi="宋体" w:eastAsia="宋体" w:cs="宋体"/>
          <w:sz w:val="21"/>
          <w:szCs w:val="21"/>
          <w:highlight w:val="none"/>
        </w:rPr>
        <w:t>；采购人委托采购代理机构代表其与乙方签订合同的，采购人的授权委托书作为合同附件。</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bookmarkStart w:id="474" w:name="_Ref467379400"/>
      <w:r>
        <w:rPr>
          <w:rFonts w:hint="eastAsia" w:ascii="宋体" w:hAnsi="宋体" w:eastAsia="宋体" w:cs="宋体"/>
          <w:sz w:val="21"/>
          <w:szCs w:val="21"/>
          <w:highlight w:val="none"/>
        </w:rPr>
        <w:t>2.1.5 “乙方”系指根据合同约定交付货物的中标或成交供应商</w:t>
      </w:r>
      <w:bookmarkEnd w:id="474"/>
      <w:r>
        <w:rPr>
          <w:rFonts w:hint="eastAsia" w:ascii="宋体" w:hAnsi="宋体" w:eastAsia="宋体" w:cs="宋体"/>
          <w:sz w:val="21"/>
          <w:szCs w:val="21"/>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bookmarkStart w:id="475" w:name="_Ref467379436"/>
      <w:r>
        <w:rPr>
          <w:rFonts w:hint="eastAsia" w:ascii="宋体" w:hAnsi="宋体" w:eastAsia="宋体" w:cs="宋体"/>
          <w:sz w:val="21"/>
          <w:szCs w:val="21"/>
          <w:highlight w:val="none"/>
        </w:rPr>
        <w:t>2.1.6 “现场”系指合同约定货物将要运至或者安装的地点。</w:t>
      </w:r>
      <w:bookmarkEnd w:id="475"/>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76" w:name="_Toc279701241"/>
      <w:bookmarkStart w:id="477" w:name="_Toc259093670"/>
      <w:bookmarkStart w:id="478" w:name="_Toc27635"/>
      <w:bookmarkStart w:id="479" w:name="_Toc487900350"/>
      <w:bookmarkStart w:id="480" w:name="_Toc32504"/>
      <w:bookmarkStart w:id="481" w:name="_Toc13336"/>
      <w:r>
        <w:rPr>
          <w:rFonts w:hint="eastAsia" w:ascii="宋体" w:hAnsi="宋体" w:eastAsia="宋体" w:cs="宋体"/>
          <w:b/>
          <w:sz w:val="21"/>
          <w:szCs w:val="21"/>
          <w:highlight w:val="none"/>
        </w:rPr>
        <w:t>2.2 技术规范</w:t>
      </w:r>
      <w:bookmarkEnd w:id="476"/>
      <w:bookmarkEnd w:id="477"/>
      <w:bookmarkEnd w:id="478"/>
      <w:bookmarkEnd w:id="479"/>
      <w:bookmarkEnd w:id="480"/>
      <w:bookmarkEnd w:id="481"/>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82" w:name="_Toc487900351"/>
      <w:bookmarkStart w:id="483" w:name="_Toc31634"/>
      <w:bookmarkStart w:id="484" w:name="_Toc259093671"/>
      <w:bookmarkStart w:id="485" w:name="_Toc9829"/>
      <w:bookmarkStart w:id="486" w:name="_Toc279701242"/>
      <w:bookmarkStart w:id="487" w:name="_Toc27853"/>
      <w:r>
        <w:rPr>
          <w:rFonts w:hint="eastAsia" w:ascii="宋体" w:hAnsi="宋体" w:eastAsia="宋体" w:cs="宋体"/>
          <w:b/>
          <w:sz w:val="21"/>
          <w:szCs w:val="21"/>
          <w:highlight w:val="none"/>
        </w:rPr>
        <w:t>2.3 知识产权</w:t>
      </w:r>
      <w:bookmarkEnd w:id="482"/>
      <w:bookmarkEnd w:id="483"/>
      <w:bookmarkEnd w:id="484"/>
      <w:bookmarkEnd w:id="485"/>
      <w:bookmarkEnd w:id="486"/>
      <w:bookmarkEnd w:id="487"/>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88" w:name="_Toc11932"/>
      <w:bookmarkStart w:id="489" w:name="_Toc4194"/>
      <w:bookmarkStart w:id="490" w:name="_Toc29149"/>
      <w:r>
        <w:rPr>
          <w:rFonts w:hint="eastAsia" w:ascii="宋体" w:hAnsi="宋体" w:eastAsia="宋体" w:cs="宋体"/>
          <w:b/>
          <w:sz w:val="21"/>
          <w:szCs w:val="21"/>
          <w:highlight w:val="none"/>
        </w:rPr>
        <w:t>2.4 包装和装运</w:t>
      </w:r>
      <w:bookmarkEnd w:id="488"/>
      <w:bookmarkEnd w:id="489"/>
      <w:bookmarkEnd w:id="490"/>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2.4.1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pStyle w:val="15"/>
        <w:keepNext w:val="0"/>
        <w:keepLines w:val="0"/>
        <w:pageBreakBefore w:val="0"/>
        <w:widowControl w:val="0"/>
        <w:kinsoku/>
        <w:wordWrap/>
        <w:overflowPunct/>
        <w:topLinePunct w:val="0"/>
        <w:autoSpaceDE/>
        <w:autoSpaceDN/>
        <w:bidi w:val="0"/>
        <w:adjustRightInd/>
        <w:snapToGrid/>
        <w:spacing w:line="44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2.4.3 装运货物的要求和通知，</w:t>
      </w:r>
    </w:p>
    <w:p>
      <w:pPr>
        <w:pStyle w:val="15"/>
        <w:keepNext w:val="0"/>
        <w:keepLines w:val="0"/>
        <w:pageBreakBefore w:val="0"/>
        <w:widowControl w:val="0"/>
        <w:kinsoku/>
        <w:wordWrap/>
        <w:overflowPunct/>
        <w:topLinePunct w:val="0"/>
        <w:autoSpaceDE/>
        <w:autoSpaceDN/>
        <w:bidi w:val="0"/>
        <w:adjustRightInd/>
        <w:snapToGrid/>
        <w:spacing w:line="44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5.4.3.1</w:t>
      </w:r>
      <w:r>
        <w:rPr>
          <w:rFonts w:hint="eastAsia" w:ascii="宋体" w:hAnsi="宋体" w:eastAsia="宋体" w:cs="宋体"/>
          <w:sz w:val="21"/>
          <w:szCs w:val="21"/>
          <w:highlight w:val="none"/>
        </w:rPr>
        <w:t>所有货物应合理、有效地包装，以使其有效防止各种损坏，如受潮、受热、剥落、腐蚀、变形等。</w:t>
      </w:r>
    </w:p>
    <w:p>
      <w:pPr>
        <w:pStyle w:val="15"/>
        <w:keepNext w:val="0"/>
        <w:keepLines w:val="0"/>
        <w:pageBreakBefore w:val="0"/>
        <w:widowControl w:val="0"/>
        <w:kinsoku/>
        <w:wordWrap/>
        <w:overflowPunct/>
        <w:topLinePunct w:val="0"/>
        <w:autoSpaceDE/>
        <w:autoSpaceDN/>
        <w:bidi w:val="0"/>
        <w:adjustRightInd/>
        <w:snapToGrid/>
        <w:spacing w:line="44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5.4.3.2</w:t>
      </w:r>
      <w:r>
        <w:rPr>
          <w:rFonts w:hint="eastAsia" w:ascii="宋体" w:hAnsi="宋体" w:eastAsia="宋体" w:cs="宋体"/>
          <w:sz w:val="21"/>
          <w:szCs w:val="21"/>
          <w:highlight w:val="none"/>
        </w:rPr>
        <w:t>货物所有开口处应封闭保护起来，以防止在运输及搬运过程中异物进入。</w:t>
      </w:r>
    </w:p>
    <w:p>
      <w:pPr>
        <w:pStyle w:val="15"/>
        <w:keepNext w:val="0"/>
        <w:keepLines w:val="0"/>
        <w:pageBreakBefore w:val="0"/>
        <w:widowControl w:val="0"/>
        <w:kinsoku/>
        <w:wordWrap/>
        <w:overflowPunct/>
        <w:topLinePunct w:val="0"/>
        <w:autoSpaceDE/>
        <w:autoSpaceDN/>
        <w:bidi w:val="0"/>
        <w:adjustRightInd/>
        <w:snapToGrid/>
        <w:spacing w:line="440" w:lineRule="exact"/>
        <w:ind w:left="0" w:leftChars="0" w:right="0"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5.4.3.3</w:t>
      </w:r>
      <w:r>
        <w:rPr>
          <w:rFonts w:hint="eastAsia" w:ascii="宋体" w:hAnsi="宋体" w:eastAsia="宋体" w:cs="宋体"/>
          <w:sz w:val="21"/>
          <w:szCs w:val="21"/>
          <w:highlight w:val="none"/>
        </w:rPr>
        <w:t>在包装箱中，应附有产品合格证书、产品说明书、装箱单、备件清单，一套完整的技术文件资料。包装箱外面应注明数量、货物名称、编号、警示标记、外形尺寸、毛重等。随包装箱带的文件、资料应防潮密封，并放置在包装箱内明显的地</w:t>
      </w:r>
      <w:r>
        <w:rPr>
          <w:rFonts w:hint="eastAsia" w:ascii="宋体" w:hAnsi="宋体" w:eastAsia="宋体" w:cs="宋体"/>
          <w:sz w:val="21"/>
          <w:szCs w:val="21"/>
          <w:highlight w:val="none"/>
          <w:lang w:eastAsia="zh-CN"/>
        </w:rPr>
        <w:t>方</w:t>
      </w:r>
      <w:r>
        <w:rPr>
          <w:rFonts w:hint="eastAsia" w:ascii="宋体" w:hAnsi="宋体" w:eastAsia="宋体" w:cs="宋体"/>
          <w:sz w:val="21"/>
          <w:szCs w:val="21"/>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491" w:name="_Ref467378541"/>
      <w:bookmarkStart w:id="492" w:name="_Toc259093674"/>
      <w:bookmarkStart w:id="493" w:name="_Ref467379542"/>
      <w:bookmarkStart w:id="494" w:name="_Ref467379536"/>
      <w:bookmarkStart w:id="495" w:name="_Ref467379527"/>
      <w:bookmarkStart w:id="496" w:name="_Toc487900354"/>
      <w:bookmarkStart w:id="497" w:name="_Toc279701245"/>
      <w:bookmarkStart w:id="498" w:name="_Ref467378591"/>
      <w:bookmarkStart w:id="499" w:name="_Toc30272"/>
      <w:bookmarkStart w:id="500" w:name="_Toc19074"/>
      <w:bookmarkStart w:id="501" w:name="_Toc26182"/>
      <w:r>
        <w:rPr>
          <w:rFonts w:hint="eastAsia" w:ascii="宋体" w:hAnsi="宋体" w:eastAsia="宋体" w:cs="宋体"/>
          <w:b/>
          <w:sz w:val="21"/>
          <w:szCs w:val="21"/>
          <w:highlight w:val="none"/>
        </w:rPr>
        <w:t>2.</w:t>
      </w:r>
      <w:bookmarkEnd w:id="491"/>
      <w:bookmarkEnd w:id="492"/>
      <w:bookmarkEnd w:id="493"/>
      <w:bookmarkEnd w:id="494"/>
      <w:bookmarkEnd w:id="495"/>
      <w:bookmarkEnd w:id="496"/>
      <w:bookmarkEnd w:id="497"/>
      <w:bookmarkEnd w:id="498"/>
      <w:r>
        <w:rPr>
          <w:rFonts w:hint="eastAsia" w:ascii="宋体" w:hAnsi="宋体" w:eastAsia="宋体" w:cs="宋体"/>
          <w:b/>
          <w:sz w:val="21"/>
          <w:szCs w:val="21"/>
          <w:highlight w:val="none"/>
        </w:rPr>
        <w:t>5 履约检查和问题反馈</w:t>
      </w:r>
      <w:bookmarkEnd w:id="499"/>
      <w:bookmarkEnd w:id="500"/>
      <w:bookmarkEnd w:id="501"/>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bookmarkStart w:id="502" w:name="_Ref467379657"/>
      <w:r>
        <w:rPr>
          <w:rFonts w:hint="eastAsia" w:ascii="宋体" w:hAnsi="宋体" w:eastAsia="宋体" w:cs="宋体"/>
          <w:sz w:val="21"/>
          <w:szCs w:val="21"/>
          <w:highlight w:val="none"/>
        </w:rPr>
        <w:t>2.5.1</w:t>
      </w:r>
      <w:bookmarkEnd w:id="502"/>
      <w:bookmarkStart w:id="503" w:name="_Toc186431854"/>
      <w:bookmarkStart w:id="504" w:name="_Ref467379793"/>
      <w:bookmarkStart w:id="505" w:name="_Toc487900357"/>
      <w:bookmarkStart w:id="506" w:name="_Ref467379807"/>
      <w:bookmarkStart w:id="507" w:name="_Toc259093676"/>
      <w:bookmarkStart w:id="508" w:name="_Toc279701247"/>
      <w:r>
        <w:rPr>
          <w:rFonts w:hint="eastAsia" w:ascii="宋体" w:hAnsi="宋体" w:eastAsia="宋体" w:cs="宋体"/>
          <w:sz w:val="21"/>
          <w:szCs w:val="21"/>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2.5.2 合同履行期间，甲方有权将履行过程中出现的问题反馈给乙方，双方当事人应以书面形式约定需要完善和改进的内容</w:t>
      </w:r>
      <w:bookmarkEnd w:id="503"/>
      <w:bookmarkStart w:id="509" w:name="_Toc186431855"/>
      <w:r>
        <w:rPr>
          <w:rFonts w:hint="eastAsia" w:ascii="宋体" w:hAnsi="宋体" w:eastAsia="宋体" w:cs="宋体"/>
          <w:sz w:val="21"/>
          <w:szCs w:val="21"/>
          <w:highlight w:val="none"/>
        </w:rPr>
        <w:t>。</w:t>
      </w:r>
    </w:p>
    <w:bookmarkEnd w:id="504"/>
    <w:bookmarkEnd w:id="505"/>
    <w:bookmarkEnd w:id="506"/>
    <w:bookmarkEnd w:id="507"/>
    <w:bookmarkEnd w:id="508"/>
    <w:bookmarkEnd w:id="509"/>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10" w:name="_Ref467379852"/>
      <w:bookmarkStart w:id="511" w:name="_Toc487900358"/>
      <w:bookmarkStart w:id="512" w:name="_Toc259093677"/>
      <w:bookmarkStart w:id="513" w:name="_Ref467379863"/>
      <w:bookmarkStart w:id="514" w:name="_Ref467379923"/>
      <w:bookmarkStart w:id="515" w:name="_Toc279701248"/>
      <w:bookmarkStart w:id="516" w:name="_Toc774"/>
      <w:bookmarkStart w:id="517" w:name="_Toc3225"/>
      <w:bookmarkStart w:id="518" w:name="_Toc16110"/>
      <w:r>
        <w:rPr>
          <w:rFonts w:hint="eastAsia" w:ascii="宋体" w:hAnsi="宋体" w:eastAsia="宋体" w:cs="宋体"/>
          <w:b/>
          <w:sz w:val="21"/>
          <w:szCs w:val="21"/>
          <w:highlight w:val="none"/>
        </w:rPr>
        <w:t>2.6 技术资料</w:t>
      </w:r>
      <w:bookmarkEnd w:id="510"/>
      <w:bookmarkEnd w:id="511"/>
      <w:bookmarkEnd w:id="512"/>
      <w:bookmarkEnd w:id="513"/>
      <w:bookmarkEnd w:id="514"/>
      <w:bookmarkEnd w:id="515"/>
      <w:r>
        <w:rPr>
          <w:rFonts w:hint="eastAsia" w:ascii="宋体" w:hAnsi="宋体" w:eastAsia="宋体" w:cs="宋体"/>
          <w:b/>
          <w:sz w:val="21"/>
          <w:szCs w:val="21"/>
          <w:highlight w:val="none"/>
        </w:rPr>
        <w:t>和保密义务</w:t>
      </w:r>
      <w:bookmarkEnd w:id="516"/>
      <w:bookmarkEnd w:id="517"/>
      <w:bookmarkEnd w:id="518"/>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2.6.1 乙方有权依据合同约定和项目需要，向甲方了解有关情况，调阅有关资料等，甲方应予积极配合；</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2.6.2 乙方有义务妥善保管和保护由甲方提供的前款信息和资料等；</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19" w:name="_Toc7860"/>
      <w:r>
        <w:rPr>
          <w:rFonts w:hint="eastAsia" w:ascii="宋体" w:hAnsi="宋体" w:eastAsia="宋体" w:cs="宋体"/>
          <w:b/>
          <w:sz w:val="21"/>
          <w:szCs w:val="21"/>
          <w:highlight w:val="none"/>
        </w:rPr>
        <w:t>2.7 质量保证</w:t>
      </w:r>
      <w:bookmarkEnd w:id="519"/>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2.7.1 乙方应建立和完善履行合同的内部质量保证体系，并提供相关内部规章制度给甲方，以便甲方进行监督检查；</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2.7.2 乙方应保证履行合同的人员数量和素质、软件和硬件设备的配置、场地、环境和设施等满足全面履行合同的要求，并应接受甲方的监督检查。</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20" w:name="_Toc17244"/>
      <w:bookmarkStart w:id="521" w:name="_Toc487900362"/>
      <w:bookmarkStart w:id="522" w:name="_Toc259093681"/>
      <w:bookmarkStart w:id="523" w:name="_Toc279701252"/>
      <w:r>
        <w:rPr>
          <w:rFonts w:hint="eastAsia" w:ascii="宋体" w:hAnsi="宋体" w:eastAsia="宋体" w:cs="宋体"/>
          <w:b/>
          <w:sz w:val="21"/>
          <w:szCs w:val="21"/>
          <w:highlight w:val="none"/>
        </w:rPr>
        <w:t>2.8 货物的风险负担</w:t>
      </w:r>
      <w:bookmarkEnd w:id="520"/>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b/>
          <w:sz w:val="21"/>
          <w:szCs w:val="21"/>
          <w:highlight w:val="none"/>
        </w:rPr>
      </w:pPr>
      <w:r>
        <w:rPr>
          <w:rFonts w:hint="eastAsia" w:ascii="宋体" w:hAnsi="宋体" w:eastAsia="宋体" w:cs="宋体"/>
          <w:sz w:val="21"/>
          <w:szCs w:val="21"/>
          <w:highlight w:val="none"/>
        </w:rPr>
        <w:t>货物</w:t>
      </w:r>
      <w:r>
        <w:rPr>
          <w:rFonts w:hint="eastAsia" w:ascii="宋体" w:hAnsi="宋体" w:eastAsia="宋体" w:cs="宋体"/>
          <w:sz w:val="21"/>
          <w:szCs w:val="21"/>
          <w:highlight w:val="none"/>
          <w:lang w:eastAsia="zh-CN"/>
        </w:rPr>
        <w:t>交付甲方验收合格之前</w:t>
      </w:r>
      <w:r>
        <w:rPr>
          <w:rFonts w:hint="eastAsia" w:ascii="宋体" w:hAnsi="宋体" w:eastAsia="宋体" w:cs="宋体"/>
          <w:sz w:val="21"/>
          <w:szCs w:val="21"/>
          <w:highlight w:val="none"/>
        </w:rPr>
        <w:t>的货物毁损、灭失的风险负担</w:t>
      </w:r>
      <w:r>
        <w:rPr>
          <w:rFonts w:hint="eastAsia" w:ascii="宋体" w:hAnsi="宋体" w:eastAsia="宋体" w:cs="宋体"/>
          <w:sz w:val="21"/>
          <w:szCs w:val="21"/>
          <w:highlight w:val="none"/>
          <w:lang w:eastAsia="zh-CN"/>
        </w:rPr>
        <w:t>由乙方负责</w:t>
      </w:r>
      <w:r>
        <w:rPr>
          <w:rFonts w:hint="eastAsia" w:ascii="宋体" w:hAnsi="宋体" w:eastAsia="宋体" w:cs="宋体"/>
          <w:sz w:val="21"/>
          <w:szCs w:val="21"/>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24" w:name="_Toc14055"/>
      <w:r>
        <w:rPr>
          <w:rFonts w:hint="eastAsia" w:ascii="宋体" w:hAnsi="宋体" w:eastAsia="宋体" w:cs="宋体"/>
          <w:b/>
          <w:sz w:val="21"/>
          <w:szCs w:val="21"/>
          <w:highlight w:val="none"/>
        </w:rPr>
        <w:t>2.9 延迟交货</w:t>
      </w:r>
      <w:bookmarkEnd w:id="521"/>
      <w:bookmarkEnd w:id="522"/>
      <w:bookmarkEnd w:id="523"/>
      <w:bookmarkEnd w:id="524"/>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25" w:name="_Toc7502"/>
      <w:bookmarkStart w:id="526" w:name="_Ref467378121"/>
      <w:bookmarkStart w:id="527" w:name="_Toc487900364"/>
      <w:bookmarkStart w:id="528" w:name="_Toc259093683"/>
      <w:bookmarkStart w:id="529" w:name="_Toc279701254"/>
      <w:r>
        <w:rPr>
          <w:rFonts w:hint="eastAsia" w:ascii="宋体" w:hAnsi="宋体" w:eastAsia="宋体" w:cs="宋体"/>
          <w:b/>
          <w:sz w:val="21"/>
          <w:szCs w:val="21"/>
          <w:highlight w:val="none"/>
        </w:rPr>
        <w:t>2.10 合同变更</w:t>
      </w:r>
      <w:bookmarkEnd w:id="525"/>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合同继续履行将损害国家利益和社会公共利益的，双方当事人应当以书面形式变更合同。有过错的一方应当承担赔偿责任，双方当事人都有过错的，各自承担相应的责任。</w:t>
      </w:r>
      <w:bookmarkStart w:id="530" w:name="_Toc487900369"/>
      <w:bookmarkStart w:id="531" w:name="_Toc259093688"/>
      <w:bookmarkStart w:id="532" w:name="_Toc279701259"/>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33" w:name="_Toc22955"/>
      <w:bookmarkStart w:id="534" w:name="_Toc15237"/>
      <w:bookmarkStart w:id="535" w:name="_Toc10366"/>
      <w:r>
        <w:rPr>
          <w:rFonts w:hint="eastAsia" w:ascii="宋体" w:hAnsi="宋体" w:eastAsia="宋体" w:cs="宋体"/>
          <w:b/>
          <w:sz w:val="21"/>
          <w:szCs w:val="21"/>
          <w:highlight w:val="none"/>
        </w:rPr>
        <w:t>2.11 合同转让</w:t>
      </w:r>
      <w:bookmarkEnd w:id="530"/>
      <w:bookmarkEnd w:id="531"/>
      <w:bookmarkEnd w:id="532"/>
      <w:r>
        <w:rPr>
          <w:rFonts w:hint="eastAsia" w:ascii="宋体" w:hAnsi="宋体" w:eastAsia="宋体" w:cs="宋体"/>
          <w:b/>
          <w:sz w:val="21"/>
          <w:szCs w:val="21"/>
          <w:highlight w:val="none"/>
        </w:rPr>
        <w:t>和分包</w:t>
      </w:r>
      <w:bookmarkEnd w:id="533"/>
      <w:bookmarkEnd w:id="534"/>
      <w:bookmarkEnd w:id="535"/>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2.11.2乙方采取分包方式履行合同的，甲方可直接向分包供应商支付款项。</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36" w:name="_Toc16508"/>
      <w:bookmarkStart w:id="537" w:name="_Toc14066"/>
      <w:bookmarkStart w:id="538" w:name="_Toc13566"/>
      <w:r>
        <w:rPr>
          <w:rFonts w:hint="eastAsia" w:ascii="宋体" w:hAnsi="宋体" w:eastAsia="宋体" w:cs="宋体"/>
          <w:b/>
          <w:sz w:val="21"/>
          <w:szCs w:val="21"/>
          <w:highlight w:val="none"/>
        </w:rPr>
        <w:t>2.12 不可抗力</w:t>
      </w:r>
      <w:bookmarkEnd w:id="536"/>
      <w:bookmarkEnd w:id="537"/>
      <w:bookmarkEnd w:id="538"/>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2.12.1如果任何一方遭遇法律规定的不可抗力，致使合同履行受阻时，履行合同的期限应予延长，延长的期限应相当于不可抗力所影响的时间；</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2.12.2 因不可抗力致使不能实现合同目的的，当事人可以解除合同；</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39" w:name="_Toc30676"/>
      <w:bookmarkStart w:id="540" w:name="_Toc6969"/>
      <w:bookmarkStart w:id="541" w:name="_Toc487900365"/>
      <w:bookmarkStart w:id="542" w:name="_Toc689"/>
      <w:bookmarkStart w:id="543" w:name="_Toc259093684"/>
      <w:bookmarkStart w:id="544" w:name="_Toc279701255"/>
      <w:r>
        <w:rPr>
          <w:rFonts w:hint="eastAsia" w:ascii="宋体" w:hAnsi="宋体" w:eastAsia="宋体" w:cs="宋体"/>
          <w:b/>
          <w:sz w:val="21"/>
          <w:szCs w:val="21"/>
          <w:highlight w:val="none"/>
        </w:rPr>
        <w:t>2.13 税费</w:t>
      </w:r>
      <w:bookmarkEnd w:id="539"/>
      <w:bookmarkEnd w:id="540"/>
      <w:bookmarkEnd w:id="541"/>
      <w:bookmarkEnd w:id="542"/>
      <w:bookmarkEnd w:id="543"/>
      <w:bookmarkEnd w:id="544"/>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与合同有关的一切税费，均按照中华人民共和国法律的相关规定。</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45" w:name="_Toc7102"/>
      <w:bookmarkStart w:id="546" w:name="_Toc16959"/>
      <w:bookmarkStart w:id="547" w:name="_Toc487900368"/>
      <w:bookmarkStart w:id="548" w:name="_Toc8298"/>
      <w:bookmarkStart w:id="549" w:name="_Toc259093687"/>
      <w:bookmarkStart w:id="550" w:name="_Toc279701258"/>
      <w:r>
        <w:rPr>
          <w:rFonts w:hint="eastAsia" w:ascii="宋体" w:hAnsi="宋体" w:eastAsia="宋体" w:cs="宋体"/>
          <w:b/>
          <w:sz w:val="21"/>
          <w:szCs w:val="21"/>
          <w:highlight w:val="none"/>
        </w:rPr>
        <w:t>2.14乙方破产</w:t>
      </w:r>
      <w:bookmarkEnd w:id="545"/>
      <w:bookmarkEnd w:id="546"/>
      <w:bookmarkEnd w:id="547"/>
      <w:bookmarkEnd w:id="548"/>
      <w:bookmarkEnd w:id="549"/>
      <w:bookmarkEnd w:id="550"/>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51" w:name="_Toc6134"/>
      <w:bookmarkStart w:id="552" w:name="_Toc15387"/>
      <w:bookmarkStart w:id="553" w:name="_Toc29333"/>
      <w:r>
        <w:rPr>
          <w:rFonts w:hint="eastAsia" w:ascii="宋体" w:hAnsi="宋体" w:eastAsia="宋体" w:cs="宋体"/>
          <w:b/>
          <w:sz w:val="21"/>
          <w:szCs w:val="21"/>
          <w:highlight w:val="none"/>
        </w:rPr>
        <w:t>2.15 合同中止、终止</w:t>
      </w:r>
      <w:bookmarkEnd w:id="551"/>
      <w:bookmarkEnd w:id="552"/>
      <w:bookmarkEnd w:id="553"/>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2.15.1 双方当事人不得擅自中止或者终止合同；</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2.15.2合同继续履行将损害国家利益和社会公共利益的，双方当事人应当中止或者终止合同。有过错的一方应当承担赔偿责任，双方当事人都有过错的，各自承担相应的责任。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54" w:name="_Toc1125"/>
      <w:bookmarkStart w:id="555" w:name="_Toc6596"/>
      <w:bookmarkStart w:id="556" w:name="_Toc14563"/>
      <w:r>
        <w:rPr>
          <w:rFonts w:hint="eastAsia" w:ascii="宋体" w:hAnsi="宋体" w:eastAsia="宋体" w:cs="宋体"/>
          <w:b/>
          <w:sz w:val="21"/>
          <w:szCs w:val="21"/>
          <w:highlight w:val="none"/>
        </w:rPr>
        <w:t>2.16检验和验收</w:t>
      </w:r>
      <w:bookmarkEnd w:id="554"/>
      <w:bookmarkEnd w:id="555"/>
      <w:bookmarkEnd w:id="556"/>
    </w:p>
    <w:p>
      <w:pPr>
        <w:keepNext w:val="0"/>
        <w:keepLines w:val="0"/>
        <w:pageBreakBefore w:val="0"/>
        <w:widowControl w:val="0"/>
        <w:tabs>
          <w:tab w:val="left" w:pos="360"/>
          <w:tab w:val="left" w:pos="540"/>
          <w:tab w:val="left" w:pos="1080"/>
        </w:tabs>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2.16.1货物交付前，乙方应对货物的质量、数量等方面进行详细、全面的检验，并向甲方出具证明货物符合合同约定的文件；货物交付时，甲方在</w:t>
      </w:r>
      <w:r>
        <w:rPr>
          <w:rFonts w:hint="eastAsia" w:ascii="宋体" w:hAnsi="宋体" w:eastAsia="宋体" w:cs="宋体"/>
          <w:sz w:val="21"/>
          <w:szCs w:val="21"/>
          <w:highlight w:val="none"/>
          <w:lang w:eastAsia="zh-CN"/>
        </w:rPr>
        <w:t>规</w:t>
      </w:r>
      <w:r>
        <w:rPr>
          <w:rFonts w:hint="eastAsia" w:ascii="宋体" w:hAnsi="宋体" w:eastAsia="宋体" w:cs="宋体"/>
          <w:sz w:val="21"/>
          <w:szCs w:val="21"/>
          <w:highlight w:val="none"/>
        </w:rPr>
        <w:t>定时间内组织验收，并可依法邀请相关方参加，验收应出具验收书。</w:t>
      </w:r>
    </w:p>
    <w:p>
      <w:pPr>
        <w:keepNext w:val="0"/>
        <w:keepLines w:val="0"/>
        <w:pageBreakBefore w:val="0"/>
        <w:widowControl w:val="0"/>
        <w:tabs>
          <w:tab w:val="left" w:pos="360"/>
          <w:tab w:val="left" w:pos="540"/>
          <w:tab w:val="left" w:pos="1080"/>
        </w:tabs>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bookmarkEnd w:id="526"/>
    <w:bookmarkEnd w:id="527"/>
    <w:bookmarkEnd w:id="528"/>
    <w:bookmarkEnd w:id="529"/>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57" w:name="_Toc279701261"/>
      <w:bookmarkStart w:id="558" w:name="_Toc259093690"/>
      <w:bookmarkStart w:id="559" w:name="_Toc487900371"/>
      <w:bookmarkStart w:id="560" w:name="_Toc11284"/>
      <w:bookmarkStart w:id="561" w:name="_Toc19604"/>
      <w:bookmarkStart w:id="562" w:name="_Toc25182"/>
      <w:r>
        <w:rPr>
          <w:rFonts w:hint="eastAsia" w:ascii="宋体" w:hAnsi="宋体" w:eastAsia="宋体" w:cs="宋体"/>
          <w:b/>
          <w:sz w:val="21"/>
          <w:szCs w:val="21"/>
          <w:highlight w:val="none"/>
        </w:rPr>
        <w:t>2.17 通知</w:t>
      </w:r>
      <w:bookmarkEnd w:id="557"/>
      <w:bookmarkEnd w:id="558"/>
      <w:bookmarkEnd w:id="559"/>
      <w:r>
        <w:rPr>
          <w:rFonts w:hint="eastAsia" w:ascii="宋体" w:hAnsi="宋体" w:eastAsia="宋体" w:cs="宋体"/>
          <w:b/>
          <w:sz w:val="21"/>
          <w:szCs w:val="21"/>
          <w:highlight w:val="none"/>
        </w:rPr>
        <w:t>和送达</w:t>
      </w:r>
      <w:bookmarkEnd w:id="560"/>
      <w:bookmarkEnd w:id="561"/>
      <w:bookmarkEnd w:id="562"/>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bookmarkStart w:id="563" w:name="_Toc6698"/>
      <w:bookmarkStart w:id="564" w:name="_Toc3135"/>
      <w:bookmarkStart w:id="565" w:name="_Toc259093691"/>
      <w:bookmarkStart w:id="566" w:name="_Toc487900372"/>
      <w:bookmarkStart w:id="567" w:name="_Toc279701262"/>
      <w:r>
        <w:rPr>
          <w:rFonts w:hint="eastAsia" w:ascii="宋体" w:hAnsi="宋体" w:eastAsia="宋体" w:cs="宋体"/>
          <w:sz w:val="21"/>
          <w:szCs w:val="21"/>
          <w:highlight w:val="none"/>
        </w:rPr>
        <w:t>2.17.1任何一方因履行合同而以合同第一部分尾部所列明的传真或电子邮件发出的所有通知、文件、材料，均视为已向对方当事人送达；任何一方变更上述送达方式或者地址的，应于</w:t>
      </w:r>
      <w:r>
        <w:rPr>
          <w:rFonts w:hint="eastAsia" w:ascii="宋体" w:hAnsi="宋体" w:eastAsia="宋体" w:cs="宋体"/>
          <w:sz w:val="21"/>
          <w:szCs w:val="21"/>
          <w:highlight w:val="none"/>
          <w:u w:val="single"/>
        </w:rPr>
        <w:t>3</w:t>
      </w:r>
      <w:r>
        <w:rPr>
          <w:rFonts w:hint="eastAsia" w:ascii="宋体" w:hAnsi="宋体" w:eastAsia="宋体" w:cs="宋体"/>
          <w:sz w:val="21"/>
          <w:szCs w:val="21"/>
          <w:highlight w:val="none"/>
        </w:rPr>
        <w:t>个工作日内书面通知对方当事人，在对方当事人收到有关变更通知之前，变更前的约定送达方式或者地址仍视为有效。</w:t>
      </w:r>
      <w:bookmarkEnd w:id="563"/>
      <w:bookmarkEnd w:id="564"/>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bookmarkStart w:id="568" w:name="_Toc23128"/>
      <w:bookmarkStart w:id="569" w:name="_Toc23294"/>
      <w:r>
        <w:rPr>
          <w:rFonts w:hint="eastAsia" w:ascii="宋体" w:hAnsi="宋体" w:eastAsia="宋体" w:cs="宋体"/>
          <w:sz w:val="21"/>
          <w:szCs w:val="21"/>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68"/>
      <w:bookmarkEnd w:id="569"/>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70" w:name="_Toc18540"/>
      <w:bookmarkStart w:id="571" w:name="_Toc4355"/>
      <w:bookmarkStart w:id="572" w:name="_Toc30599"/>
      <w:r>
        <w:rPr>
          <w:rFonts w:hint="eastAsia" w:ascii="宋体" w:hAnsi="宋体" w:eastAsia="宋体" w:cs="宋体"/>
          <w:b/>
          <w:sz w:val="21"/>
          <w:szCs w:val="21"/>
          <w:highlight w:val="none"/>
        </w:rPr>
        <w:t>2.18 计量单位</w:t>
      </w:r>
      <w:bookmarkEnd w:id="565"/>
      <w:bookmarkEnd w:id="566"/>
      <w:bookmarkEnd w:id="567"/>
      <w:bookmarkEnd w:id="570"/>
      <w:bookmarkEnd w:id="571"/>
      <w:bookmarkEnd w:id="572"/>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除技术规范中另有规定外,合同的计量单位均使用国家法定计量单位。</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73" w:name="_Toc18567"/>
      <w:bookmarkStart w:id="574" w:name="_Toc10330"/>
      <w:bookmarkStart w:id="575" w:name="_Toc487900373"/>
      <w:bookmarkStart w:id="576" w:name="_Toc259093692"/>
      <w:bookmarkStart w:id="577" w:name="_Toc279701263"/>
      <w:bookmarkStart w:id="578" w:name="_Toc12773"/>
      <w:r>
        <w:rPr>
          <w:rFonts w:hint="eastAsia" w:ascii="宋体" w:hAnsi="宋体" w:eastAsia="宋体" w:cs="宋体"/>
          <w:b/>
          <w:sz w:val="21"/>
          <w:szCs w:val="21"/>
          <w:highlight w:val="none"/>
        </w:rPr>
        <w:t>2.19 合同使用的文字和适用的法律</w:t>
      </w:r>
      <w:bookmarkEnd w:id="573"/>
      <w:bookmarkEnd w:id="574"/>
      <w:bookmarkEnd w:id="575"/>
      <w:bookmarkEnd w:id="576"/>
      <w:bookmarkEnd w:id="577"/>
      <w:bookmarkEnd w:id="578"/>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2.19.1 合同使用汉语书就、变更和解释；</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2.19.2 合同适用中华人民共和国法律。</w:t>
      </w:r>
    </w:p>
    <w:p>
      <w:pPr>
        <w:keepNext w:val="0"/>
        <w:keepLines w:val="0"/>
        <w:pageBreakBefore w:val="0"/>
        <w:widowControl w:val="0"/>
        <w:kinsoku/>
        <w:wordWrap/>
        <w:overflowPunct/>
        <w:topLinePunct w:val="0"/>
        <w:autoSpaceDE/>
        <w:autoSpaceDN/>
        <w:bidi w:val="0"/>
        <w:adjustRightInd/>
        <w:snapToGrid/>
        <w:spacing w:line="440" w:lineRule="exact"/>
        <w:ind w:firstLine="422" w:firstLineChars="200"/>
        <w:textAlignment w:val="auto"/>
        <w:outlineLvl w:val="9"/>
        <w:rPr>
          <w:rFonts w:hint="eastAsia" w:ascii="宋体" w:hAnsi="宋体" w:eastAsia="宋体" w:cs="宋体"/>
          <w:b/>
          <w:sz w:val="21"/>
          <w:szCs w:val="21"/>
          <w:highlight w:val="none"/>
        </w:rPr>
      </w:pPr>
      <w:bookmarkStart w:id="579" w:name="_Toc14001"/>
      <w:bookmarkStart w:id="580" w:name="_Toc19890"/>
      <w:bookmarkStart w:id="581" w:name="_Toc6885"/>
      <w:r>
        <w:rPr>
          <w:rFonts w:hint="eastAsia" w:ascii="宋体" w:hAnsi="宋体" w:eastAsia="宋体" w:cs="宋体"/>
          <w:b/>
          <w:sz w:val="21"/>
          <w:szCs w:val="21"/>
          <w:highlight w:val="none"/>
        </w:rPr>
        <w:t>2.20 合同份数</w:t>
      </w:r>
      <w:bookmarkEnd w:id="579"/>
      <w:bookmarkEnd w:id="580"/>
      <w:bookmarkEnd w:id="581"/>
    </w:p>
    <w:p>
      <w:pPr>
        <w:pStyle w:val="12"/>
        <w:keepNext w:val="0"/>
        <w:keepLines w:val="0"/>
        <w:pageBreakBefore w:val="0"/>
        <w:widowControl w:val="0"/>
        <w:numPr>
          <w:ilvl w:val="0"/>
          <w:numId w:val="0"/>
        </w:numPr>
        <w:tabs>
          <w:tab w:val="left" w:pos="1697"/>
        </w:tabs>
        <w:kinsoku/>
        <w:wordWrap/>
        <w:overflowPunct/>
        <w:topLinePunct w:val="0"/>
        <w:autoSpaceDE/>
        <w:autoSpaceDN/>
        <w:bidi w:val="0"/>
        <w:adjustRightInd/>
        <w:snapToGrid/>
        <w:spacing w:line="440" w:lineRule="exact"/>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本合同一式</w:t>
      </w:r>
      <w:r>
        <w:rPr>
          <w:rFonts w:hint="eastAsia" w:ascii="宋体" w:hAnsi="宋体" w:eastAsia="宋体" w:cs="宋体"/>
          <w:color w:val="auto"/>
          <w:sz w:val="21"/>
          <w:szCs w:val="21"/>
          <w:highlight w:val="none"/>
          <w:u w:val="single"/>
          <w:lang w:eastAsia="zh-CN"/>
        </w:rPr>
        <w:t>肆</w:t>
      </w:r>
      <w:r>
        <w:rPr>
          <w:rFonts w:hint="eastAsia" w:ascii="宋体" w:hAnsi="宋体" w:eastAsia="宋体" w:cs="宋体"/>
          <w:color w:val="auto"/>
          <w:sz w:val="21"/>
          <w:szCs w:val="21"/>
          <w:highlight w:val="none"/>
        </w:rPr>
        <w:t>份，具有同等法律效力，甲乙双方各执</w:t>
      </w:r>
      <w:r>
        <w:rPr>
          <w:rFonts w:hint="eastAsia" w:ascii="宋体" w:hAnsi="宋体" w:eastAsia="宋体" w:cs="宋体"/>
          <w:color w:val="auto"/>
          <w:sz w:val="21"/>
          <w:szCs w:val="21"/>
          <w:highlight w:val="none"/>
          <w:u w:val="single"/>
          <w:lang w:eastAsia="zh-CN"/>
        </w:rPr>
        <w:t>贰</w:t>
      </w:r>
      <w:r>
        <w:rPr>
          <w:rFonts w:hint="eastAsia" w:ascii="宋体" w:hAnsi="宋体" w:eastAsia="宋体" w:cs="宋体"/>
          <w:color w:val="auto"/>
          <w:sz w:val="21"/>
          <w:szCs w:val="21"/>
          <w:highlight w:val="none"/>
        </w:rPr>
        <w:t>份。</w:t>
      </w:r>
    </w:p>
    <w:p>
      <w:pPr>
        <w:pStyle w:val="18"/>
        <w:keepNext w:val="0"/>
        <w:keepLines w:val="0"/>
        <w:pageBreakBefore w:val="0"/>
        <w:widowControl w:val="0"/>
        <w:kinsoku/>
        <w:wordWrap/>
        <w:overflowPunct/>
        <w:topLinePunct w:val="0"/>
        <w:autoSpaceDE/>
        <w:autoSpaceDN/>
        <w:bidi w:val="0"/>
        <w:adjustRightInd/>
        <w:snapToGrid/>
        <w:spacing w:after="0" w:line="480" w:lineRule="exact"/>
        <w:textAlignment w:val="auto"/>
        <w:rPr>
          <w:rStyle w:val="120"/>
          <w:rFonts w:hint="default"/>
          <w:sz w:val="24"/>
          <w:szCs w:val="24"/>
          <w:highlight w:val="none"/>
        </w:rPr>
      </w:pPr>
    </w:p>
    <w:p>
      <w:pPr>
        <w:keepNext w:val="0"/>
        <w:keepLines w:val="0"/>
        <w:pageBreakBefore w:val="0"/>
        <w:widowControl w:val="0"/>
        <w:kinsoku/>
        <w:wordWrap/>
        <w:overflowPunct/>
        <w:topLinePunct w:val="0"/>
        <w:autoSpaceDE/>
        <w:autoSpaceDN/>
        <w:bidi w:val="0"/>
        <w:adjustRightInd/>
        <w:snapToGrid/>
        <w:spacing w:line="400" w:lineRule="exact"/>
        <w:ind w:firstLine="643" w:firstLineChars="200"/>
        <w:jc w:val="center"/>
        <w:textAlignment w:val="auto"/>
        <w:outlineLvl w:val="0"/>
        <w:rPr>
          <w:rStyle w:val="80"/>
          <w:rFonts w:hint="eastAsia" w:ascii="宋体" w:hAnsi="宋体" w:cs="宋体"/>
          <w:szCs w:val="22"/>
          <w:highlight w:val="none"/>
        </w:rPr>
      </w:pPr>
      <w:r>
        <w:rPr>
          <w:rStyle w:val="80"/>
          <w:rFonts w:hint="eastAsia" w:ascii="宋体" w:hAnsi="宋体" w:cs="宋体"/>
          <w:szCs w:val="22"/>
          <w:highlight w:val="none"/>
        </w:rPr>
        <w:br w:type="page"/>
      </w:r>
      <w:r>
        <w:rPr>
          <w:rStyle w:val="80"/>
          <w:rFonts w:hint="eastAsia" w:ascii="宋体" w:hAnsi="宋体" w:cs="宋体"/>
          <w:szCs w:val="22"/>
          <w:highlight w:val="none"/>
        </w:rPr>
        <w:t>第五章 响应文件格式</w:t>
      </w:r>
      <w:bookmarkEnd w:id="429"/>
      <w:bookmarkEnd w:id="430"/>
      <w:bookmarkEnd w:id="431"/>
      <w:bookmarkEnd w:id="432"/>
      <w:bookmarkStart w:id="582" w:name="_Toc208886781"/>
      <w:bookmarkStart w:id="583" w:name="_Toc283042131"/>
    </w:p>
    <w:bookmarkEnd w:id="582"/>
    <w:bookmarkEnd w:id="583"/>
    <w:p>
      <w:pPr>
        <w:jc w:val="center"/>
        <w:rPr>
          <w:rFonts w:hint="eastAsia" w:ascii="宋体" w:hAnsi="宋体" w:cs="宋体"/>
          <w:highlight w:val="none"/>
        </w:rPr>
      </w:pPr>
    </w:p>
    <w:p>
      <w:pPr>
        <w:jc w:val="center"/>
        <w:rPr>
          <w:rFonts w:hint="eastAsia" w:ascii="宋体" w:hAnsi="宋体" w:cs="宋体"/>
          <w:highlight w:val="none"/>
        </w:rPr>
      </w:pPr>
    </w:p>
    <w:p>
      <w:pPr>
        <w:pStyle w:val="4"/>
        <w:spacing w:line="360" w:lineRule="auto"/>
        <w:jc w:val="center"/>
        <w:rPr>
          <w:rFonts w:hint="eastAsia" w:ascii="宋体" w:hAnsi="宋体" w:cs="宋体"/>
          <w:sz w:val="24"/>
          <w:szCs w:val="24"/>
          <w:highlight w:val="none"/>
        </w:rPr>
      </w:pPr>
      <w:bookmarkStart w:id="584" w:name="_Toc303756413"/>
      <w:bookmarkStart w:id="585" w:name="_Toc29435"/>
      <w:bookmarkStart w:id="586" w:name="_Toc18236"/>
      <w:bookmarkStart w:id="587" w:name="_Toc28666"/>
      <w:r>
        <w:rPr>
          <w:rFonts w:hint="eastAsia" w:ascii="宋体" w:hAnsi="宋体" w:cs="宋体"/>
          <w:sz w:val="24"/>
          <w:szCs w:val="24"/>
          <w:highlight w:val="none"/>
        </w:rPr>
        <w:t>一、响应文件格式说明</w:t>
      </w:r>
      <w:bookmarkEnd w:id="584"/>
      <w:bookmarkEnd w:id="585"/>
      <w:bookmarkEnd w:id="586"/>
      <w:bookmarkEnd w:id="587"/>
    </w:p>
    <w:p>
      <w:pPr>
        <w:rPr>
          <w:rFonts w:hint="eastAsia" w:ascii="宋体" w:hAnsi="宋体" w:cs="宋体"/>
          <w:highlight w:val="none"/>
        </w:rPr>
      </w:pPr>
    </w:p>
    <w:p>
      <w:pPr>
        <w:pStyle w:val="207"/>
        <w:tabs>
          <w:tab w:val="left" w:pos="851"/>
          <w:tab w:val="clear" w:pos="960"/>
        </w:tabs>
        <w:spacing w:line="360" w:lineRule="auto"/>
        <w:ind w:left="0" w:firstLine="425"/>
        <w:rPr>
          <w:rFonts w:hint="eastAsia" w:cs="宋体"/>
          <w:szCs w:val="21"/>
          <w:highlight w:val="none"/>
        </w:rPr>
      </w:pPr>
      <w:r>
        <w:rPr>
          <w:rFonts w:hint="eastAsia" w:cs="宋体"/>
          <w:szCs w:val="21"/>
          <w:highlight w:val="none"/>
        </w:rPr>
        <w:t>1．供应商按照以下顺序填写和提交下述规定的全部格式文件以及其他有关资料，混乱的编排以致响应文件被误读或采购代理机构查找不到有效文件，后果由供应商承担。</w:t>
      </w:r>
    </w:p>
    <w:p>
      <w:pPr>
        <w:pStyle w:val="207"/>
        <w:tabs>
          <w:tab w:val="left" w:pos="851"/>
          <w:tab w:val="clear" w:pos="960"/>
        </w:tabs>
        <w:spacing w:line="360" w:lineRule="auto"/>
        <w:ind w:left="0" w:firstLine="425"/>
        <w:rPr>
          <w:rFonts w:hint="eastAsia" w:cs="宋体"/>
          <w:szCs w:val="21"/>
          <w:highlight w:val="none"/>
        </w:rPr>
      </w:pPr>
      <w:r>
        <w:rPr>
          <w:rFonts w:hint="eastAsia" w:cs="宋体"/>
          <w:szCs w:val="21"/>
          <w:highlight w:val="none"/>
        </w:rPr>
        <w:t>2．所附表格中要求回答的全部问题和信息都必须正面回答。</w:t>
      </w:r>
    </w:p>
    <w:p>
      <w:pPr>
        <w:pStyle w:val="207"/>
        <w:tabs>
          <w:tab w:val="left" w:pos="851"/>
          <w:tab w:val="clear" w:pos="960"/>
        </w:tabs>
        <w:spacing w:line="360" w:lineRule="auto"/>
        <w:ind w:left="0" w:firstLine="425"/>
        <w:rPr>
          <w:rFonts w:hint="eastAsia" w:cs="宋体"/>
          <w:szCs w:val="21"/>
          <w:highlight w:val="none"/>
        </w:rPr>
      </w:pPr>
      <w:r>
        <w:rPr>
          <w:rFonts w:hint="eastAsia" w:cs="宋体"/>
          <w:szCs w:val="21"/>
          <w:highlight w:val="none"/>
        </w:rPr>
        <w:t>3．供应商资格声明的签字人应保证全部声明和问题的回答是真实的和准确的。</w:t>
      </w:r>
    </w:p>
    <w:p>
      <w:pPr>
        <w:pStyle w:val="207"/>
        <w:tabs>
          <w:tab w:val="left" w:pos="851"/>
          <w:tab w:val="clear" w:pos="960"/>
        </w:tabs>
        <w:spacing w:line="360" w:lineRule="auto"/>
        <w:ind w:left="0" w:firstLine="425"/>
        <w:rPr>
          <w:rFonts w:hint="eastAsia" w:cs="宋体"/>
          <w:szCs w:val="21"/>
          <w:highlight w:val="none"/>
        </w:rPr>
      </w:pPr>
      <w:r>
        <w:rPr>
          <w:rFonts w:hint="eastAsia" w:cs="宋体"/>
          <w:szCs w:val="21"/>
          <w:highlight w:val="none"/>
        </w:rPr>
        <w:t>4．采购代理机构和采购人将应用供应商提交的资料并根据自己的判断，决定供应商履行合同的合格性及能力。</w:t>
      </w:r>
    </w:p>
    <w:p>
      <w:pPr>
        <w:pStyle w:val="207"/>
        <w:tabs>
          <w:tab w:val="left" w:pos="851"/>
          <w:tab w:val="clear" w:pos="960"/>
        </w:tabs>
        <w:spacing w:line="360" w:lineRule="auto"/>
        <w:ind w:left="0" w:firstLine="425"/>
        <w:rPr>
          <w:rFonts w:hint="eastAsia" w:cs="宋体"/>
          <w:szCs w:val="21"/>
          <w:highlight w:val="none"/>
        </w:rPr>
      </w:pPr>
      <w:r>
        <w:rPr>
          <w:rFonts w:hint="eastAsia" w:cs="宋体"/>
          <w:szCs w:val="21"/>
          <w:highlight w:val="none"/>
        </w:rPr>
        <w:t>5．供应商提交的材料将被保密保存，但不退还。</w:t>
      </w:r>
    </w:p>
    <w:p>
      <w:pPr>
        <w:spacing w:line="360" w:lineRule="auto"/>
        <w:ind w:firstLine="420" w:firstLineChars="200"/>
        <w:rPr>
          <w:rFonts w:hint="eastAsia" w:ascii="宋体" w:hAnsi="宋体" w:cs="宋体"/>
          <w:b/>
          <w:szCs w:val="21"/>
          <w:highlight w:val="none"/>
        </w:rPr>
        <w:sectPr>
          <w:pgSz w:w="11905" w:h="16838"/>
          <w:pgMar w:top="1440" w:right="1083" w:bottom="1440" w:left="1083" w:header="1134" w:footer="1134" w:gutter="0"/>
          <w:paperSrc/>
          <w:pgNumType w:fmt="decimal"/>
          <w:cols w:space="720" w:num="1"/>
          <w:titlePg/>
          <w:rtlGutter w:val="0"/>
          <w:docGrid w:linePitch="312" w:charSpace="0"/>
        </w:sectPr>
      </w:pPr>
      <w:r>
        <w:rPr>
          <w:rFonts w:hint="eastAsia" w:ascii="宋体" w:hAnsi="宋体" w:cs="宋体"/>
          <w:szCs w:val="21"/>
          <w:highlight w:val="none"/>
        </w:rPr>
        <w:t>6．全部文件应按供应商须知中规定的语言提交</w:t>
      </w:r>
      <w:r>
        <w:rPr>
          <w:rFonts w:hint="eastAsia" w:ascii="宋体" w:hAnsi="宋体" w:cs="宋体"/>
          <w:b/>
          <w:szCs w:val="21"/>
          <w:highlight w:val="none"/>
        </w:rPr>
        <w:t>。</w:t>
      </w:r>
    </w:p>
    <w:p>
      <w:pPr>
        <w:pStyle w:val="4"/>
        <w:spacing w:line="360" w:lineRule="auto"/>
        <w:jc w:val="center"/>
        <w:rPr>
          <w:rFonts w:hint="eastAsia" w:ascii="宋体" w:hAnsi="宋体" w:cs="宋体"/>
          <w:sz w:val="30"/>
          <w:szCs w:val="30"/>
          <w:highlight w:val="none"/>
        </w:rPr>
      </w:pPr>
      <w:bookmarkStart w:id="588" w:name="_Toc10776"/>
      <w:bookmarkStart w:id="589" w:name="_Toc9657"/>
      <w:bookmarkStart w:id="590" w:name="_Toc303756414"/>
      <w:bookmarkStart w:id="591" w:name="_Toc17291"/>
      <w:r>
        <w:rPr>
          <w:rFonts w:hint="eastAsia" w:ascii="宋体" w:hAnsi="宋体" w:cs="宋体"/>
          <w:sz w:val="30"/>
          <w:szCs w:val="30"/>
          <w:highlight w:val="none"/>
        </w:rPr>
        <w:t>二、资格审查文件格式</w:t>
      </w:r>
      <w:bookmarkEnd w:id="588"/>
      <w:bookmarkEnd w:id="589"/>
      <w:bookmarkEnd w:id="590"/>
      <w:bookmarkEnd w:id="591"/>
      <w:bookmarkStart w:id="592" w:name="_Toc11770"/>
      <w:bookmarkStart w:id="593" w:name="_Toc303756434"/>
    </w:p>
    <w:p>
      <w:pPr>
        <w:pStyle w:val="6"/>
        <w:snapToGrid w:val="0"/>
        <w:spacing w:before="50" w:after="120"/>
        <w:ind w:firstLine="0"/>
        <w:rPr>
          <w:rFonts w:hint="eastAsia" w:ascii="宋体" w:hAnsi="宋体" w:cs="宋体"/>
          <w:szCs w:val="21"/>
          <w:highlight w:val="none"/>
        </w:rPr>
      </w:pPr>
    </w:p>
    <w:p>
      <w:pPr>
        <w:outlineLvl w:val="9"/>
        <w:rPr>
          <w:rFonts w:hint="eastAsia" w:ascii="宋体" w:hAnsi="宋体" w:cs="宋体"/>
          <w:szCs w:val="24"/>
          <w:highlight w:val="none"/>
        </w:rPr>
      </w:pPr>
      <w:bookmarkStart w:id="594" w:name="_Toc531359040"/>
      <w:bookmarkStart w:id="595" w:name="_Toc22029262"/>
      <w:bookmarkStart w:id="596" w:name="_Toc8265"/>
      <w:bookmarkStart w:id="597" w:name="_Toc16209"/>
      <w:bookmarkStart w:id="598" w:name="_Toc118"/>
      <w:bookmarkStart w:id="599" w:name="_Toc8391"/>
      <w:bookmarkStart w:id="600" w:name="_Toc303756417"/>
      <w:r>
        <w:rPr>
          <w:rFonts w:hint="eastAsia" w:ascii="宋体" w:hAnsi="宋体" w:eastAsia="宋体" w:cs="宋体"/>
          <w:b/>
          <w:bCs/>
          <w:sz w:val="24"/>
          <w:szCs w:val="24"/>
          <w:highlight w:val="none"/>
        </w:rPr>
        <w:t>2.1资格审查文件封面</w:t>
      </w:r>
      <w:bookmarkEnd w:id="594"/>
      <w:r>
        <w:rPr>
          <w:rFonts w:hint="eastAsia" w:ascii="宋体" w:hAnsi="宋体" w:eastAsia="宋体" w:cs="宋体"/>
          <w:b/>
          <w:bCs/>
          <w:sz w:val="24"/>
          <w:szCs w:val="24"/>
          <w:highlight w:val="none"/>
        </w:rPr>
        <w:t>格式</w:t>
      </w:r>
      <w:bookmarkEnd w:id="595"/>
      <w:bookmarkEnd w:id="596"/>
      <w:bookmarkEnd w:id="597"/>
      <w:bookmarkEnd w:id="598"/>
      <w:bookmarkEnd w:id="599"/>
    </w:p>
    <w:p>
      <w:pPr>
        <w:pStyle w:val="6"/>
        <w:ind w:firstLine="0"/>
        <w:rPr>
          <w:rFonts w:hint="eastAsia" w:ascii="宋体" w:hAnsi="宋体" w:cs="宋体"/>
          <w:sz w:val="24"/>
          <w:szCs w:val="24"/>
          <w:highlight w:val="none"/>
        </w:rPr>
      </w:pPr>
    </w:p>
    <w:p>
      <w:pPr>
        <w:pStyle w:val="6"/>
        <w:spacing w:line="360" w:lineRule="auto"/>
        <w:ind w:firstLine="0"/>
        <w:jc w:val="center"/>
        <w:rPr>
          <w:rFonts w:hint="eastAsia" w:ascii="宋体" w:hAnsi="宋体" w:cs="宋体"/>
          <w:b/>
          <w:sz w:val="24"/>
          <w:szCs w:val="24"/>
          <w:highlight w:val="none"/>
        </w:rPr>
      </w:pPr>
    </w:p>
    <w:p>
      <w:pPr>
        <w:pStyle w:val="6"/>
        <w:spacing w:line="360" w:lineRule="auto"/>
        <w:ind w:firstLine="0"/>
        <w:jc w:val="center"/>
        <w:rPr>
          <w:rFonts w:hint="eastAsia" w:ascii="宋体" w:hAnsi="宋体" w:cs="宋体"/>
          <w:b/>
          <w:sz w:val="24"/>
          <w:szCs w:val="24"/>
          <w:highlight w:val="none"/>
        </w:rPr>
      </w:pPr>
      <w:r>
        <w:rPr>
          <w:rFonts w:hint="eastAsia" w:ascii="宋体" w:hAnsi="宋体" w:cs="宋体"/>
          <w:b/>
          <w:sz w:val="28"/>
          <w:szCs w:val="28"/>
          <w:highlight w:val="none"/>
        </w:rPr>
        <w:t>投标响应文件</w:t>
      </w:r>
    </w:p>
    <w:p>
      <w:pPr>
        <w:snapToGrid w:val="0"/>
        <w:spacing w:before="120" w:beforeLines="50" w:after="50"/>
        <w:rPr>
          <w:rFonts w:hint="eastAsia" w:ascii="宋体" w:hAnsi="宋体" w:cs="宋体"/>
          <w:bCs/>
          <w:sz w:val="24"/>
          <w:highlight w:val="none"/>
        </w:rPr>
      </w:pPr>
    </w:p>
    <w:p>
      <w:pPr>
        <w:pStyle w:val="6"/>
        <w:rPr>
          <w:rFonts w:hint="eastAsia" w:ascii="宋体" w:hAnsi="宋体" w:cs="宋体"/>
          <w:sz w:val="24"/>
          <w:szCs w:val="24"/>
          <w:highlight w:val="none"/>
        </w:rPr>
      </w:pPr>
    </w:p>
    <w:tbl>
      <w:tblPr>
        <w:tblStyle w:val="43"/>
        <w:tblW w:w="0" w:type="auto"/>
        <w:jc w:val="center"/>
        <w:tblLayout w:type="fixed"/>
        <w:tblCellMar>
          <w:top w:w="0" w:type="dxa"/>
          <w:left w:w="108" w:type="dxa"/>
          <w:bottom w:w="0" w:type="dxa"/>
          <w:right w:w="108" w:type="dxa"/>
        </w:tblCellMar>
      </w:tblPr>
      <w:tblGrid>
        <w:gridCol w:w="2311"/>
        <w:gridCol w:w="5142"/>
      </w:tblGrid>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投标响应文件名称：</w:t>
            </w:r>
          </w:p>
        </w:tc>
        <w:tc>
          <w:tcPr>
            <w:tcW w:w="5142" w:type="dxa"/>
            <w:noWrap w:val="0"/>
            <w:vAlign w:val="center"/>
          </w:tcPr>
          <w:p>
            <w:pPr>
              <w:ind w:left="-103" w:leftChars="-49"/>
              <w:jc w:val="left"/>
              <w:rPr>
                <w:rFonts w:ascii="宋体" w:hAnsi="宋体" w:eastAsia="宋体" w:cs="宋体"/>
                <w:sz w:val="24"/>
                <w:highlight w:val="none"/>
              </w:rPr>
            </w:pPr>
            <w:r>
              <w:rPr>
                <w:rFonts w:hint="eastAsia" w:ascii="宋体" w:hAnsi="宋体" w:eastAsia="宋体" w:cs="宋体"/>
                <w:sz w:val="24"/>
                <w:highlight w:val="none"/>
                <w:u w:val="single"/>
              </w:rPr>
              <w:t xml:space="preserve">资格审查文件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采 购 编 号：</w:t>
            </w:r>
          </w:p>
        </w:tc>
        <w:tc>
          <w:tcPr>
            <w:tcW w:w="5142" w:type="dxa"/>
            <w:noWrap w:val="0"/>
            <w:vAlign w:val="center"/>
          </w:tcPr>
          <w:p>
            <w:pPr>
              <w:ind w:left="-103" w:leftChars="-49"/>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项 目 名 称：</w:t>
            </w:r>
          </w:p>
        </w:tc>
        <w:tc>
          <w:tcPr>
            <w:tcW w:w="5142" w:type="dxa"/>
            <w:noWrap w:val="0"/>
            <w:vAlign w:val="center"/>
          </w:tcPr>
          <w:p>
            <w:pPr>
              <w:ind w:left="-103" w:leftChars="-49"/>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p>
        </w:tc>
        <w:tc>
          <w:tcPr>
            <w:tcW w:w="5142" w:type="dxa"/>
            <w:noWrap w:val="0"/>
            <w:vAlign w:val="center"/>
          </w:tcPr>
          <w:p>
            <w:pPr>
              <w:ind w:left="-103" w:leftChars="-49"/>
              <w:jc w:val="left"/>
              <w:rPr>
                <w:rFonts w:hint="eastAsia" w:ascii="宋体" w:hAnsi="宋体" w:eastAsia="宋体" w:cs="宋体"/>
                <w:sz w:val="24"/>
                <w:highlight w:val="none"/>
                <w:u w:val="singl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p>
        </w:tc>
        <w:tc>
          <w:tcPr>
            <w:tcW w:w="5142" w:type="dxa"/>
            <w:noWrap w:val="0"/>
            <w:vAlign w:val="center"/>
          </w:tcPr>
          <w:p>
            <w:pPr>
              <w:ind w:left="-103" w:leftChars="-49"/>
              <w:jc w:val="left"/>
              <w:rPr>
                <w:rFonts w:hint="eastAsia" w:ascii="宋体" w:hAnsi="宋体" w:eastAsia="宋体" w:cs="宋体"/>
                <w:sz w:val="24"/>
                <w:highlight w:val="none"/>
                <w:u w:val="singl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spacing w:line="400" w:lineRule="exact"/>
              <w:jc w:val="distribute"/>
              <w:rPr>
                <w:rFonts w:hint="eastAsia" w:ascii="宋体" w:hAnsi="宋体" w:eastAsia="宋体" w:cs="宋体"/>
                <w:sz w:val="24"/>
                <w:highlight w:val="none"/>
              </w:rPr>
            </w:pPr>
            <w:r>
              <w:rPr>
                <w:rFonts w:hint="eastAsia" w:ascii="宋体" w:hAnsi="宋体" w:eastAsia="宋体" w:cs="宋体"/>
                <w:sz w:val="24"/>
                <w:highlight w:val="none"/>
              </w:rPr>
              <w:t>供应商名称</w:t>
            </w:r>
          </w:p>
          <w:p>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（CA签章）：</w:t>
            </w:r>
          </w:p>
        </w:tc>
        <w:tc>
          <w:tcPr>
            <w:tcW w:w="5142" w:type="dxa"/>
            <w:noWrap w:val="0"/>
            <w:vAlign w:val="center"/>
          </w:tcPr>
          <w:p>
            <w:pPr>
              <w:spacing w:line="400" w:lineRule="exact"/>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供应商地址：</w:t>
            </w:r>
          </w:p>
        </w:tc>
        <w:tc>
          <w:tcPr>
            <w:tcW w:w="5142" w:type="dxa"/>
            <w:noWrap w:val="0"/>
            <w:vAlign w:val="center"/>
          </w:tcPr>
          <w:p>
            <w:pPr>
              <w:ind w:left="-103" w:leftChars="-49"/>
              <w:jc w:val="left"/>
              <w:rPr>
                <w:rFonts w:hint="eastAsia" w:ascii="宋体" w:hAnsi="宋体" w:eastAsia="宋体" w:cs="宋体"/>
                <w:sz w:val="24"/>
                <w:highlight w:val="non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84" w:rightChars="-40"/>
              <w:rPr>
                <w:rFonts w:hint="eastAsia" w:ascii="宋体" w:hAnsi="宋体" w:eastAsia="宋体" w:cs="宋体"/>
                <w:sz w:val="24"/>
                <w:highlight w:val="none"/>
              </w:rPr>
            </w:pPr>
          </w:p>
        </w:tc>
        <w:tc>
          <w:tcPr>
            <w:tcW w:w="5142" w:type="dxa"/>
            <w:noWrap w:val="0"/>
            <w:vAlign w:val="center"/>
          </w:tcPr>
          <w:p>
            <w:pPr>
              <w:ind w:left="-103" w:leftChars="-49"/>
              <w:rPr>
                <w:rFonts w:hint="eastAsia" w:ascii="宋体" w:hAnsi="宋体" w:eastAsia="宋体" w:cs="宋体"/>
                <w:sz w:val="24"/>
                <w:highlight w:val="none"/>
              </w:rPr>
            </w:pPr>
          </w:p>
        </w:tc>
      </w:tr>
      <w:tr>
        <w:tblPrEx>
          <w:tblCellMar>
            <w:top w:w="0" w:type="dxa"/>
            <w:left w:w="108" w:type="dxa"/>
            <w:bottom w:w="0" w:type="dxa"/>
            <w:right w:w="108" w:type="dxa"/>
          </w:tblCellMar>
        </w:tblPrEx>
        <w:trPr>
          <w:trHeight w:val="737" w:hRule="atLeast"/>
          <w:jc w:val="center"/>
        </w:trPr>
        <w:tc>
          <w:tcPr>
            <w:tcW w:w="7453" w:type="dxa"/>
            <w:gridSpan w:val="2"/>
            <w:noWrap w:val="0"/>
            <w:vAlign w:val="center"/>
          </w:tcPr>
          <w:p>
            <w:pPr>
              <w:jc w:val="center"/>
              <w:rPr>
                <w:rFonts w:hint="eastAsia" w:ascii="宋体" w:hAnsi="宋体" w:eastAsia="宋体" w:cs="宋体"/>
                <w:sz w:val="24"/>
                <w:highlight w:val="none"/>
              </w:rPr>
            </w:pPr>
            <w:r>
              <w:rPr>
                <w:rFonts w:hint="eastAsia" w:ascii="宋体" w:hAnsi="宋体" w:eastAsia="宋体" w:cs="宋体"/>
                <w:sz w:val="24"/>
                <w:highlight w:val="none"/>
              </w:rPr>
              <w:t>年  月  日</w:t>
            </w:r>
          </w:p>
        </w:tc>
      </w:tr>
    </w:tbl>
    <w:p>
      <w:pPr>
        <w:jc w:val="center"/>
        <w:rPr>
          <w:rFonts w:hint="eastAsia" w:ascii="宋体" w:hAnsi="宋体" w:cs="宋体"/>
          <w:sz w:val="24"/>
          <w:highlight w:val="none"/>
        </w:rPr>
      </w:pPr>
      <w:r>
        <w:rPr>
          <w:rFonts w:hint="eastAsia" w:ascii="宋体" w:hAnsi="宋体" w:cs="宋体"/>
          <w:b/>
          <w:sz w:val="24"/>
          <w:highlight w:val="none"/>
        </w:rPr>
        <w:t>时间：在  年  月  日  时  分之前不得启封</w:t>
      </w:r>
    </w:p>
    <w:p>
      <w:pPr>
        <w:keepNext w:val="0"/>
        <w:keepLines w:val="0"/>
        <w:pageBreakBefore w:val="0"/>
        <w:widowControl w:val="0"/>
        <w:kinsoku/>
        <w:wordWrap/>
        <w:overflowPunct/>
        <w:topLinePunct w:val="0"/>
        <w:autoSpaceDE/>
        <w:autoSpaceDN/>
        <w:bidi w:val="0"/>
        <w:adjustRightInd/>
        <w:snapToGrid/>
        <w:spacing w:line="400" w:lineRule="exact"/>
        <w:ind w:left="0" w:leftChars="0"/>
        <w:jc w:val="left"/>
        <w:textAlignment w:val="auto"/>
        <w:rPr>
          <w:rFonts w:hint="eastAsia" w:ascii="宋体" w:hAnsi="宋体" w:cs="宋体"/>
          <w:color w:val="auto"/>
          <w:sz w:val="21"/>
          <w:szCs w:val="21"/>
          <w:highlight w:val="none"/>
        </w:rPr>
      </w:pPr>
      <w:r>
        <w:rPr>
          <w:rFonts w:hint="eastAsia" w:ascii="宋体" w:hAnsi="宋体" w:cs="宋体"/>
          <w:b/>
          <w:sz w:val="24"/>
          <w:highlight w:val="none"/>
        </w:rPr>
        <w:br w:type="page"/>
      </w:r>
      <w:bookmarkEnd w:id="600"/>
      <w:bookmarkStart w:id="601" w:name="_Toc23458"/>
      <w:bookmarkStart w:id="602" w:name="_Toc14077317"/>
      <w:bookmarkStart w:id="603" w:name="_Toc31580"/>
      <w:bookmarkStart w:id="604" w:name="_Toc22946"/>
      <w:r>
        <w:rPr>
          <w:rFonts w:hint="eastAsia" w:ascii="宋体" w:hAnsi="宋体" w:cs="宋体"/>
          <w:b/>
          <w:bCs/>
          <w:color w:val="auto"/>
          <w:sz w:val="21"/>
          <w:szCs w:val="21"/>
          <w:highlight w:val="none"/>
          <w:lang w:val="en-US" w:eastAsia="zh-CN"/>
        </w:rPr>
        <w:t>2</w:t>
      </w:r>
      <w:r>
        <w:rPr>
          <w:rFonts w:hint="eastAsia" w:ascii="宋体" w:hAnsi="宋体" w:cs="宋体"/>
          <w:b/>
          <w:bCs/>
          <w:color w:val="auto"/>
          <w:sz w:val="21"/>
          <w:szCs w:val="21"/>
          <w:highlight w:val="none"/>
        </w:rPr>
        <w:t>.2 资格审查文件目录</w:t>
      </w:r>
      <w:bookmarkEnd w:id="601"/>
      <w:bookmarkEnd w:id="602"/>
      <w:bookmarkEnd w:id="603"/>
      <w:bookmarkEnd w:id="604"/>
    </w:p>
    <w:p>
      <w:pPr>
        <w:pStyle w:val="6"/>
        <w:keepNext w:val="0"/>
        <w:keepLines w:val="0"/>
        <w:pageBreakBefore w:val="0"/>
        <w:widowControl w:val="0"/>
        <w:kinsoku/>
        <w:wordWrap/>
        <w:overflowPunct/>
        <w:topLinePunct w:val="0"/>
        <w:autoSpaceDE/>
        <w:autoSpaceDN/>
        <w:bidi w:val="0"/>
        <w:adjustRightInd/>
        <w:snapToGrid/>
        <w:spacing w:line="400" w:lineRule="exact"/>
        <w:ind w:left="0" w:leftChars="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（格式自拟）</w:t>
      </w:r>
    </w:p>
    <w:p>
      <w:pPr>
        <w:pStyle w:val="7"/>
        <w:keepNext w:val="0"/>
        <w:keepLines w:val="0"/>
        <w:pageBreakBefore w:val="0"/>
        <w:widowControl w:val="0"/>
        <w:kinsoku/>
        <w:wordWrap/>
        <w:overflowPunct/>
        <w:topLinePunct w:val="0"/>
        <w:autoSpaceDE/>
        <w:autoSpaceDN/>
        <w:bidi w:val="0"/>
        <w:adjustRightInd/>
        <w:snapToGrid/>
        <w:spacing w:after="0" w:line="400" w:lineRule="exact"/>
        <w:ind w:left="0" w:leftChars="0"/>
        <w:textAlignment w:val="auto"/>
        <w:rPr>
          <w:rFonts w:hint="eastAsia" w:ascii="宋体" w:hAnsi="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left="0" w:leftChars="0"/>
        <w:jc w:val="left"/>
        <w:textAlignment w:val="auto"/>
        <w:rPr>
          <w:rFonts w:hint="eastAsia" w:ascii="宋体" w:hAnsi="宋体" w:cs="宋体"/>
          <w:color w:val="auto"/>
          <w:sz w:val="21"/>
          <w:szCs w:val="21"/>
          <w:highlight w:val="none"/>
        </w:rPr>
      </w:pPr>
      <w:bookmarkStart w:id="605" w:name="_Toc32049"/>
      <w:bookmarkStart w:id="606" w:name="_Toc8266"/>
      <w:bookmarkStart w:id="607" w:name="_Toc531359042"/>
      <w:bookmarkStart w:id="608" w:name="_Toc20791"/>
      <w:bookmarkStart w:id="609" w:name="_Toc1249"/>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val="en-US" w:eastAsia="zh-CN"/>
        </w:rPr>
        <w:t>2</w:t>
      </w:r>
      <w:r>
        <w:rPr>
          <w:rFonts w:hint="eastAsia" w:ascii="宋体" w:hAnsi="宋体" w:cs="宋体"/>
          <w:b/>
          <w:bCs/>
          <w:color w:val="auto"/>
          <w:sz w:val="21"/>
          <w:szCs w:val="21"/>
          <w:highlight w:val="none"/>
        </w:rPr>
        <w:t xml:space="preserve">.3 </w:t>
      </w:r>
      <w:bookmarkEnd w:id="605"/>
      <w:bookmarkEnd w:id="606"/>
      <w:bookmarkEnd w:id="607"/>
      <w:bookmarkEnd w:id="608"/>
      <w:bookmarkEnd w:id="609"/>
      <w:r>
        <w:rPr>
          <w:rFonts w:hint="eastAsia" w:ascii="宋体" w:hAnsi="宋体" w:cs="宋体"/>
          <w:b/>
          <w:bCs/>
          <w:color w:val="auto"/>
          <w:sz w:val="21"/>
          <w:szCs w:val="21"/>
          <w:highlight w:val="none"/>
          <w:lang w:eastAsia="zh-CN"/>
        </w:rPr>
        <w:t>公司</w:t>
      </w:r>
      <w:r>
        <w:rPr>
          <w:rFonts w:hint="eastAsia" w:ascii="宋体" w:hAnsi="宋体" w:cs="宋体"/>
          <w:b/>
          <w:bCs/>
          <w:color w:val="auto"/>
          <w:sz w:val="21"/>
          <w:szCs w:val="21"/>
          <w:highlight w:val="none"/>
        </w:rPr>
        <w:t>营业执照</w:t>
      </w:r>
    </w:p>
    <w:p>
      <w:pPr>
        <w:pStyle w:val="6"/>
        <w:keepNext w:val="0"/>
        <w:keepLines w:val="0"/>
        <w:pageBreakBefore w:val="0"/>
        <w:widowControl w:val="0"/>
        <w:kinsoku/>
        <w:wordWrap/>
        <w:overflowPunct/>
        <w:topLinePunct w:val="0"/>
        <w:autoSpaceDE/>
        <w:autoSpaceDN/>
        <w:bidi w:val="0"/>
        <w:adjustRightInd/>
        <w:snapToGrid/>
        <w:spacing w:line="400" w:lineRule="exact"/>
        <w:ind w:left="0" w:leftChars="0" w:firstLine="0"/>
        <w:textAlignment w:val="auto"/>
        <w:rPr>
          <w:rFonts w:hint="eastAsia" w:ascii="宋体" w:hAnsi="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left="0" w:leftChars="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rPr>
        <w:t>内容要求：</w:t>
      </w:r>
      <w:r>
        <w:rPr>
          <w:rFonts w:hint="eastAsia" w:ascii="宋体" w:hAnsi="宋体" w:eastAsia="宋体" w:cs="宋体"/>
          <w:color w:val="auto"/>
          <w:sz w:val="21"/>
          <w:szCs w:val="21"/>
          <w:highlight w:val="none"/>
        </w:rPr>
        <w:t>1、须有效的营业执照扫描件加盖单位公章或浙江政府采购网的“注册供应商”栏目查询供应商注册页面信息打印件加盖单位公章；</w:t>
      </w:r>
    </w:p>
    <w:p>
      <w:pPr>
        <w:pStyle w:val="41"/>
        <w:rPr>
          <w:rFonts w:hint="default" w:eastAsia="宋体"/>
          <w:highlight w:val="none"/>
          <w:lang w:val="en-US" w:eastAsia="zh-CN"/>
        </w:rPr>
      </w:pPr>
    </w:p>
    <w:p>
      <w:pPr>
        <w:spacing w:line="360" w:lineRule="auto"/>
        <w:rPr>
          <w:rFonts w:hint="eastAsia" w:ascii="宋体" w:hAnsi="宋体" w:cs="宋体"/>
          <w:color w:val="auto"/>
          <w:sz w:val="24"/>
          <w:highlight w:val="none"/>
        </w:rPr>
      </w:pPr>
    </w:p>
    <w:p>
      <w:pPr>
        <w:pStyle w:val="6"/>
        <w:spacing w:line="360" w:lineRule="auto"/>
        <w:rPr>
          <w:rFonts w:hint="eastAsia" w:ascii="宋体" w:hAnsi="宋体" w:cs="宋体"/>
          <w:color w:val="auto"/>
          <w:szCs w:val="21"/>
          <w:highlight w:val="none"/>
        </w:rPr>
      </w:pPr>
    </w:p>
    <w:p>
      <w:pPr>
        <w:pStyle w:val="6"/>
        <w:spacing w:line="360" w:lineRule="auto"/>
        <w:rPr>
          <w:rFonts w:hint="eastAsia" w:ascii="宋体" w:hAnsi="宋体" w:cs="宋体"/>
          <w:color w:val="auto"/>
          <w:highlight w:val="none"/>
        </w:rPr>
      </w:pPr>
    </w:p>
    <w:p>
      <w:pPr>
        <w:keepNext/>
        <w:keepLines/>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cs="宋体"/>
          <w:b/>
          <w:bCs/>
          <w:color w:val="auto"/>
          <w:sz w:val="28"/>
          <w:szCs w:val="28"/>
          <w:highlight w:val="none"/>
        </w:rPr>
      </w:pPr>
      <w:r>
        <w:rPr>
          <w:rFonts w:hint="eastAsia" w:ascii="宋体" w:hAnsi="宋体" w:cs="宋体"/>
          <w:color w:val="auto"/>
          <w:highlight w:val="none"/>
        </w:rPr>
        <w:br w:type="page"/>
      </w:r>
      <w:bookmarkStart w:id="610" w:name="_Toc27702"/>
      <w:r>
        <w:rPr>
          <w:rFonts w:hint="eastAsia" w:ascii="宋体" w:hAnsi="宋体" w:cs="宋体"/>
          <w:color w:val="auto"/>
          <w:sz w:val="24"/>
          <w:highlight w:val="none"/>
        </w:rPr>
        <w:t>▲</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.4 法定代表人身份证明格式</w:t>
      </w:r>
    </w:p>
    <w:p>
      <w:pPr>
        <w:keepNext/>
        <w:keepLines/>
        <w:snapToGrid w:val="0"/>
        <w:jc w:val="center"/>
        <w:rPr>
          <w:rFonts w:hint="eastAsia" w:ascii="宋体" w:hAnsi="宋体" w:cs="宋体"/>
          <w:b/>
          <w:bCs/>
          <w:color w:val="auto"/>
          <w:sz w:val="28"/>
          <w:szCs w:val="28"/>
          <w:highlight w:val="none"/>
        </w:rPr>
      </w:pPr>
    </w:p>
    <w:p>
      <w:pPr>
        <w:keepNext/>
        <w:keepLines/>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法定代表人身份证明</w:t>
      </w:r>
    </w:p>
    <w:p>
      <w:pPr>
        <w:keepNext/>
        <w:keepLines/>
        <w:adjustRightInd w:val="0"/>
        <w:textAlignment w:val="baseline"/>
        <w:rPr>
          <w:rFonts w:hint="eastAsia" w:ascii="宋体" w:hAnsi="宋体" w:cs="宋体"/>
          <w:color w:val="auto"/>
          <w:highlight w:val="none"/>
        </w:rPr>
      </w:pP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供 应 商：</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单位性质：</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地    址：</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成立时间：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经营期限：</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姓    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性        别：</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年    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职        务：</w:t>
      </w:r>
      <w:r>
        <w:rPr>
          <w:rFonts w:hint="eastAsia" w:ascii="宋体" w:hAnsi="宋体" w:cs="宋体"/>
          <w:color w:val="auto"/>
          <w:szCs w:val="21"/>
          <w:highlight w:val="none"/>
          <w:u w:val="single"/>
        </w:rPr>
        <w:t xml:space="preserve">                </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系</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（供应商名称）的法定代表人。</w:t>
      </w: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特此证明。</w:t>
      </w:r>
    </w:p>
    <w:p>
      <w:pPr>
        <w:spacing w:line="360" w:lineRule="auto"/>
        <w:jc w:val="right"/>
        <w:rPr>
          <w:rFonts w:hint="eastAsia" w:ascii="宋体" w:hAnsi="宋体" w:cs="宋体"/>
          <w:color w:val="auto"/>
          <w:szCs w:val="21"/>
          <w:highlight w:val="none"/>
        </w:rPr>
      </w:pPr>
    </w:p>
    <w:p>
      <w:pPr>
        <w:spacing w:line="360" w:lineRule="auto"/>
        <w:ind w:firstLine="3675" w:firstLineChars="1750"/>
        <w:rPr>
          <w:rFonts w:hint="eastAsia" w:ascii="宋体" w:hAnsi="宋体" w:cs="宋体"/>
          <w:color w:val="auto"/>
          <w:spacing w:val="20"/>
          <w:szCs w:val="21"/>
          <w:highlight w:val="none"/>
          <w:u w:val="single"/>
        </w:rPr>
      </w:pPr>
      <w:r>
        <w:rPr>
          <w:rFonts w:hint="eastAsia" w:ascii="宋体" w:hAnsi="宋体" w:cs="宋体"/>
          <w:color w:val="auto"/>
          <w:szCs w:val="21"/>
          <w:highlight w:val="none"/>
        </w:rPr>
        <w:t>法定代表人</w:t>
      </w:r>
      <w:r>
        <w:rPr>
          <w:rFonts w:hint="eastAsia" w:ascii="宋体" w:hAnsi="宋体" w:cs="宋体"/>
          <w:color w:val="auto"/>
          <w:spacing w:val="20"/>
          <w:szCs w:val="21"/>
          <w:highlight w:val="none"/>
        </w:rPr>
        <w:t>签字或盖章:</w:t>
      </w:r>
      <w:r>
        <w:rPr>
          <w:rFonts w:hint="eastAsia" w:ascii="宋体" w:hAnsi="宋体" w:cs="宋体"/>
          <w:color w:val="auto"/>
          <w:spacing w:val="20"/>
          <w:szCs w:val="21"/>
          <w:highlight w:val="none"/>
          <w:u w:val="single"/>
        </w:rPr>
        <w:t xml:space="preserve">            </w:t>
      </w:r>
    </w:p>
    <w:p>
      <w:pPr>
        <w:spacing w:line="360" w:lineRule="auto"/>
        <w:ind w:firstLine="500" w:firstLineChars="200"/>
        <w:rPr>
          <w:rFonts w:hint="eastAsia" w:ascii="宋体" w:hAnsi="宋体" w:cs="宋体"/>
          <w:color w:val="auto"/>
          <w:spacing w:val="20"/>
          <w:szCs w:val="21"/>
          <w:highlight w:val="none"/>
          <w:u w:val="single"/>
        </w:rPr>
      </w:pPr>
      <w:r>
        <w:rPr>
          <w:rFonts w:hint="eastAsia" w:ascii="宋体" w:hAnsi="宋体" w:cs="宋体"/>
          <w:color w:val="auto"/>
          <w:spacing w:val="20"/>
          <w:szCs w:val="21"/>
          <w:highlight w:val="none"/>
        </w:rPr>
        <w:t xml:space="preserve">                          </w:t>
      </w:r>
      <w:r>
        <w:rPr>
          <w:rFonts w:hint="eastAsia" w:ascii="宋体" w:hAnsi="宋体" w:cs="宋体"/>
          <w:color w:val="auto"/>
          <w:spacing w:val="20"/>
          <w:szCs w:val="21"/>
          <w:highlight w:val="none"/>
          <w:lang w:val="en-US" w:eastAsia="zh-CN"/>
        </w:rPr>
        <w:t xml:space="preserve">   </w:t>
      </w:r>
      <w:r>
        <w:rPr>
          <w:rFonts w:hint="eastAsia" w:ascii="宋体" w:hAnsi="宋体" w:cs="宋体"/>
          <w:color w:val="auto"/>
          <w:spacing w:val="20"/>
          <w:szCs w:val="21"/>
          <w:highlight w:val="none"/>
        </w:rPr>
        <w:t>供应商盖章:</w:t>
      </w:r>
      <w:r>
        <w:rPr>
          <w:rFonts w:hint="eastAsia" w:ascii="宋体" w:hAnsi="宋体" w:cs="宋体"/>
          <w:color w:val="auto"/>
          <w:spacing w:val="20"/>
          <w:szCs w:val="21"/>
          <w:highlight w:val="none"/>
          <w:u w:val="single"/>
        </w:rPr>
        <w:t xml:space="preserve">            </w:t>
      </w:r>
    </w:p>
    <w:p>
      <w:pPr>
        <w:spacing w:line="360" w:lineRule="auto"/>
        <w:jc w:val="center"/>
        <w:rPr>
          <w:rFonts w:hint="eastAsia" w:ascii="宋体" w:hAnsi="宋体" w:cs="宋体"/>
          <w:color w:val="auto"/>
          <w:spacing w:val="11"/>
          <w:szCs w:val="21"/>
          <w:highlight w:val="none"/>
        </w:rPr>
      </w:pPr>
      <w:r>
        <w:rPr>
          <w:rFonts w:hint="eastAsia" w:ascii="宋体" w:hAnsi="宋体" w:cs="宋体"/>
          <w:color w:val="auto"/>
          <w:spacing w:val="20"/>
          <w:szCs w:val="21"/>
          <w:highlight w:val="none"/>
        </w:rPr>
        <w:t xml:space="preserve">       日     期:</w:t>
      </w:r>
      <w:r>
        <w:rPr>
          <w:rFonts w:hint="eastAsia" w:ascii="宋体" w:hAnsi="宋体" w:cs="宋体"/>
          <w:color w:val="auto"/>
          <w:spacing w:val="20"/>
          <w:szCs w:val="21"/>
          <w:highlight w:val="none"/>
          <w:u w:val="single"/>
        </w:rPr>
        <w:t xml:space="preserve">            </w:t>
      </w:r>
      <w:r>
        <w:rPr>
          <w:rFonts w:hint="eastAsia" w:ascii="宋体" w:hAnsi="宋体" w:cs="宋体"/>
          <w:color w:val="auto"/>
          <w:spacing w:val="11"/>
          <w:szCs w:val="21"/>
          <w:highlight w:val="none"/>
        </w:rPr>
        <w:t xml:space="preserve">  </w:t>
      </w:r>
    </w:p>
    <w:p>
      <w:pPr>
        <w:ind w:left="2" w:leftChars="1" w:firstLine="420"/>
        <w:jc w:val="center"/>
        <w:rPr>
          <w:rFonts w:hint="eastAsia" w:ascii="宋体" w:hAnsi="宋体" w:cs="宋体"/>
          <w:bCs/>
          <w:color w:val="auto"/>
          <w:spacing w:val="11"/>
          <w:szCs w:val="21"/>
          <w:highlight w:val="none"/>
        </w:rPr>
      </w:pPr>
    </w:p>
    <w:p>
      <w:pPr>
        <w:ind w:left="2" w:leftChars="1" w:firstLine="420"/>
        <w:jc w:val="center"/>
        <w:rPr>
          <w:rFonts w:hint="eastAsia" w:ascii="宋体" w:hAnsi="宋体" w:cs="宋体"/>
          <w:color w:val="auto"/>
          <w:spacing w:val="11"/>
          <w:szCs w:val="21"/>
          <w:highlight w:val="none"/>
        </w:rPr>
      </w:pPr>
      <w:bookmarkStart w:id="611" w:name="_Toc682_WPSOffice_Level1"/>
      <w:bookmarkStart w:id="612" w:name="_Toc29091_WPSOffice_Level1"/>
      <w:bookmarkStart w:id="613" w:name="_Toc25840_WPSOffice_Level1"/>
      <w:bookmarkStart w:id="614" w:name="_Toc342_WPSOffice_Level1"/>
      <w:r>
        <w:rPr>
          <w:rFonts w:hint="eastAsia" w:ascii="宋体" w:hAnsi="宋体" w:cs="宋体"/>
          <w:color w:val="auto"/>
          <w:spacing w:val="11"/>
          <w:szCs w:val="21"/>
          <w:highlight w:val="none"/>
        </w:rPr>
        <w:t>法定代表人身份证复印件粘贴处</w:t>
      </w:r>
      <w:bookmarkEnd w:id="611"/>
      <w:bookmarkEnd w:id="612"/>
      <w:bookmarkEnd w:id="613"/>
      <w:bookmarkEnd w:id="614"/>
    </w:p>
    <w:p>
      <w:pPr>
        <w:ind w:firstLine="420"/>
        <w:rPr>
          <w:rFonts w:hint="eastAsia" w:ascii="宋体" w:hAnsi="宋体" w:cs="宋体"/>
          <w:color w:val="auto"/>
          <w:spacing w:val="11"/>
          <w:sz w:val="22"/>
          <w:szCs w:val="22"/>
          <w:highlight w:val="none"/>
        </w:rPr>
      </w:pPr>
    </w:p>
    <w:p>
      <w:pPr>
        <w:ind w:firstLine="420"/>
        <w:rPr>
          <w:rFonts w:hint="eastAsia" w:ascii="宋体" w:hAnsi="宋体" w:cs="宋体"/>
          <w:color w:val="auto"/>
          <w:spacing w:val="11"/>
          <w:sz w:val="22"/>
          <w:szCs w:val="22"/>
          <w:highlight w:val="none"/>
        </w:rPr>
      </w:pPr>
      <w:r>
        <w:rPr>
          <w:rFonts w:hint="eastAsia" w:ascii="宋体" w:hAnsi="宋体" w:cs="宋体"/>
          <w:color w:val="auto"/>
          <w:spacing w:val="11"/>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158115</wp:posOffset>
                </wp:positionH>
                <wp:positionV relativeFrom="paragraph">
                  <wp:posOffset>78105</wp:posOffset>
                </wp:positionV>
                <wp:extent cx="5739765" cy="2148840"/>
                <wp:effectExtent l="5080" t="4445" r="15875" b="10795"/>
                <wp:wrapNone/>
                <wp:docPr id="1" name="Rectangle 5"/>
                <wp:cNvGraphicFramePr/>
                <a:graphic xmlns:a="http://schemas.openxmlformats.org/drawingml/2006/main">
                  <a:graphicData uri="http://schemas.microsoft.com/office/word/2010/wordprocessingShape">
                    <wps:wsp>
                      <wps:cNvSpPr/>
                      <wps:spPr>
                        <a:xfrm>
                          <a:off x="0" y="0"/>
                          <a:ext cx="4686300" cy="1584960"/>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upright="1"/>
                    </wps:wsp>
                  </a:graphicData>
                </a:graphic>
              </wp:anchor>
            </w:drawing>
          </mc:Choice>
          <mc:Fallback>
            <w:pict>
              <v:rect id="Rectangle 5" o:spid="_x0000_s1026" o:spt="1" style="position:absolute;left:0pt;margin-left:12.45pt;margin-top:6.15pt;height:169.2pt;width:451.95pt;z-index:251660288;mso-width-relative:page;mso-height-relative:page;" fillcolor="#FFFFFF" filled="t" stroked="t" coordsize="21600,21600" o:gfxdata="UEsDBAoAAAAAAIdO4kAAAAAAAAAAAAAAAAAEAAAAZHJzL1BLAwQUAAAACACHTuJAwNMvYtgAAAAJ AQAADwAAAGRycy9kb3ducmV2LnhtbE2PzU7DMBCE70i8g7VI3KjdhJ8mxOkBVCSObXrhtomXJBDb Uey0gadnOcFxZ0az3xTbxQ7iRFPovdOwXikQ5BpvetdqOFa7mw2IENEZHLwjDV8UYFteXhSYG392 ezodYiu4xIUcNXQxjrmUoenIYlj5kRx7736yGPmcWmkmPHO5HWSi1L202Dv+0OFITx01n4fZaqj7 5Ijf++pF2WyXxtel+pjfnrW+vlqrRxCRlvgXhl98RoeSmWo/OxPEoCG5zTjJepKCYD9LNjyl1pDe qQeQZSH/Lyh/AFBLAwQUAAAACACHTuJAxsDacQICAAA+BAAADgAAAGRycy9lMm9Eb2MueG1srVNN k9MwDL0zw3/w+E6Tlm1nN9N0D5RyYWCHhR+g2kriGX9hu03775HdUroLhx7IwZFt+UnvSVo+Hoxm ewxROdvy6aTmDK1wUtm+5T++b97dcxYTWAnaWWz5ESN/XL19sxx9gzM3OC0xMAKxsRl9y4eUfFNV UQxoIE6cR0uXnQsGEm1DX8kAI6EbXc3qelGNLkgfnMAY6XR9uuRnxHALoOs6JXDtxM6gTSfUgBoS UYqD8pGvSrZdhyJ97bqIiemWE9NUVgpC9jav1WoJTR/AD0qcU4BbUnjFyYCyFPQCtYYEbBfUX1BG ieCi69JEOFOdiBRFiMW0fqXN8wAeCxeSOvqL6PH/wYov+6fAlKRO4MyCoYJ/I9HA9hrZPMsz+tiQ 17N/CuddJDNzPXTB5D+xYIci6fEiKR4SE3R4t7hfvK9JbUF30/n93cOiiF79ee5DTJ/QGZaNlgcK X6SE/eeYKCS5/nbJ0aLTSm6U1mUT+u0HHdgeqL6b8uWc6ckLN23Z2PKH+WxOiQA1bUfNQqbxRDza vsR78SJeA9fl+xdwTmwNcTglUBCyGzRGJcx6QTMgyI9WsnT0JK6lmeI5GYOSM400gtkqngmUvsWT 2GmbobE0+FmlXKdTZbK1dfJIhR2ps4nhzx0ECrvzQfUDaTwtXLIftVWR6zwCuW+v92Rfj/3qF1BL AwQKAAAAAACHTuJAAAAAAAAAAAAAAAAABgAAAF9yZWxzL1BLAwQUAAAACACHTuJAihRmPNEAAACU AQAACwAAAF9yZWxzLy5yZWxzpZDBasMwDIbvg72D0X1xmsMYo04vo9Br6R7A2IpjGltGMtn69vMO g2X0tqN+oe8T//7wmRa1IkukbGDX9aAwO/IxBwPvl+PTCyipNnu7UEYDNxQ4jI8P+zMutrYjmWMR 1ShZDMy1lletxc2YrHRUMLfNRJxsbSMHXay72oB66Ptnzb8ZMG6Y6uQN8MkPoC630sx/2Ck6JqGp do6SpmmK7h5VB7Zlju7INuEbuUazHLAa8CwaB2pZ134EfV+/+6fe00c+47rVfoeM649Xb7ocvwBQ SwMEFAAAAAgAh07iQH7m5SD3AAAA4QEAABMAAABbQ29udGVudF9UeXBlc10ueG1slZFBTsMwEEX3 SNzB8hYlTrtACCXpgrRLQKgcYGRPEotkbHlMaG+Pk7YbRJFY2jP/vye73BzGQUwY2Dqq5CovpEDS zljqKvm+32UPUnAEMjA4wkoekeWmvr0p90ePLFKauJJ9jP5RKdY9jsC580hp0rowQkzH0CkP+gM6 VOuiuFfaUUSKWZw7ZF022MLnEMX2kK5PJgEHluLptDizKgneD1ZDTKZqIvODkp0JeUouO9xbz3dJ Q6pfCfPkOuCce0lPE6xB8QohPsOYNJQJrIz7ooBT/nfJbDly5trWasybwE2KveF0sbrWjmvXOP3f 8u2SunSr5YPqb1BLAQIUABQAAAAIAIdO4kB+5uUg9wAAAOEBAAATAAAAAAAAAAEAIAAAAHMEAABb Q29udGVudF9UeXBlc10ueG1sUEsBAhQACgAAAAAAh07iQAAAAAAAAAAAAAAAAAYAAAAAAAAAAAAQ AAAAVQMAAF9yZWxzL1BLAQIUABQAAAAIAIdO4kCKFGY80QAAAJQBAAALAAAAAAAAAAEAIAAAAHkD AABfcmVscy8ucmVsc1BLAQIUAAoAAAAAAIdO4kAAAAAAAAAAAAAAAAAEAAAAAAAAAAAAEAAAAAAA AABkcnMvUEsBAhQAFAAAAAgAh07iQMDTL2LYAAAACQEAAA8AAAAAAAAAAQAgAAAAIgAAAGRycy9k b3ducmV2LnhtbFBLAQIUABQAAAAIAIdO4kDGwNpxAgIAAD4EAAAOAAAAAAAAAAEAIAAAACcBAABk cnMvZTJvRG9jLnhtbFBLBQYAAAAABgAGAFkBAACbBQAAAAA= ">
                <v:fill on="t" focussize="0,0"/>
                <v:stroke color="#000000" joinstyle="miter"/>
                <v:imagedata o:title=""/>
                <o:lock v:ext="edit" aspectratio="f"/>
              </v:rect>
            </w:pict>
          </mc:Fallback>
        </mc:AlternateContent>
      </w:r>
    </w:p>
    <w:p>
      <w:pPr>
        <w:ind w:firstLine="420"/>
        <w:rPr>
          <w:rFonts w:hint="eastAsia" w:ascii="宋体" w:hAnsi="宋体" w:cs="宋体"/>
          <w:color w:val="auto"/>
          <w:spacing w:val="11"/>
          <w:sz w:val="22"/>
          <w:szCs w:val="22"/>
          <w:highlight w:val="none"/>
        </w:rPr>
      </w:pPr>
    </w:p>
    <w:p>
      <w:pPr>
        <w:ind w:firstLine="420"/>
        <w:rPr>
          <w:rFonts w:hint="eastAsia" w:ascii="宋体" w:hAnsi="宋体" w:cs="宋体"/>
          <w:color w:val="auto"/>
          <w:spacing w:val="11"/>
          <w:sz w:val="22"/>
          <w:szCs w:val="22"/>
          <w:highlight w:val="none"/>
        </w:rPr>
      </w:pPr>
    </w:p>
    <w:p>
      <w:pPr>
        <w:ind w:firstLine="420"/>
        <w:rPr>
          <w:rFonts w:hint="eastAsia" w:ascii="宋体" w:hAnsi="宋体" w:cs="宋体"/>
          <w:color w:val="auto"/>
          <w:spacing w:val="11"/>
          <w:sz w:val="22"/>
          <w:szCs w:val="22"/>
          <w:highlight w:val="none"/>
        </w:rPr>
      </w:pPr>
    </w:p>
    <w:p>
      <w:pPr>
        <w:ind w:firstLine="420"/>
        <w:rPr>
          <w:rFonts w:hint="eastAsia" w:ascii="宋体" w:hAnsi="宋体" w:cs="宋体"/>
          <w:color w:val="auto"/>
          <w:spacing w:val="11"/>
          <w:sz w:val="22"/>
          <w:szCs w:val="22"/>
          <w:highlight w:val="none"/>
        </w:rPr>
      </w:pPr>
    </w:p>
    <w:p>
      <w:pPr>
        <w:ind w:firstLine="420"/>
        <w:rPr>
          <w:rFonts w:hint="eastAsia" w:ascii="宋体" w:hAnsi="宋体" w:cs="宋体"/>
          <w:color w:val="auto"/>
          <w:spacing w:val="11"/>
          <w:sz w:val="22"/>
          <w:szCs w:val="22"/>
          <w:highlight w:val="none"/>
        </w:rPr>
      </w:pPr>
    </w:p>
    <w:p>
      <w:pPr>
        <w:ind w:firstLine="420"/>
        <w:rPr>
          <w:rFonts w:hint="eastAsia" w:ascii="宋体" w:hAnsi="宋体" w:cs="宋体"/>
          <w:color w:val="auto"/>
          <w:spacing w:val="11"/>
          <w:sz w:val="22"/>
          <w:szCs w:val="22"/>
          <w:highlight w:val="none"/>
        </w:rPr>
      </w:pPr>
    </w:p>
    <w:p>
      <w:pPr>
        <w:spacing w:line="360" w:lineRule="auto"/>
        <w:rPr>
          <w:rFonts w:hint="eastAsia" w:ascii="宋体" w:hAnsi="宋体" w:cs="宋体"/>
          <w:color w:val="auto"/>
          <w:spacing w:val="11"/>
          <w:sz w:val="22"/>
          <w:szCs w:val="22"/>
          <w:highlight w:val="none"/>
        </w:rPr>
      </w:pPr>
    </w:p>
    <w:p>
      <w:pPr>
        <w:spacing w:line="360" w:lineRule="auto"/>
        <w:rPr>
          <w:rFonts w:hint="eastAsia" w:ascii="宋体" w:hAnsi="宋体" w:cs="宋体"/>
          <w:color w:val="auto"/>
          <w:spacing w:val="11"/>
          <w:sz w:val="22"/>
          <w:szCs w:val="22"/>
          <w:highlight w:val="none"/>
        </w:rPr>
      </w:pPr>
    </w:p>
    <w:p>
      <w:pPr>
        <w:spacing w:line="360" w:lineRule="auto"/>
        <w:rPr>
          <w:rFonts w:hint="eastAsia" w:ascii="宋体" w:hAnsi="宋体" w:cs="宋体"/>
          <w:color w:val="auto"/>
          <w:spacing w:val="11"/>
          <w:sz w:val="22"/>
          <w:szCs w:val="22"/>
          <w:highlight w:val="none"/>
        </w:rPr>
      </w:pPr>
    </w:p>
    <w:p>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cs="宋体"/>
          <w:color w:val="auto"/>
          <w:sz w:val="24"/>
          <w:highlight w:val="none"/>
        </w:rPr>
      </w:pPr>
      <w:r>
        <w:rPr>
          <w:rFonts w:hint="eastAsia" w:ascii="宋体" w:hAnsi="宋体" w:cs="宋体"/>
          <w:color w:val="auto"/>
          <w:highlight w:val="none"/>
        </w:rPr>
        <w:br w:type="page"/>
      </w:r>
      <w:r>
        <w:rPr>
          <w:rFonts w:hint="eastAsia" w:ascii="宋体" w:hAnsi="宋体" w:cs="宋体"/>
          <w:b/>
          <w:bCs/>
          <w:color w:val="auto"/>
          <w:sz w:val="21"/>
          <w:szCs w:val="21"/>
          <w:highlight w:val="none"/>
        </w:rPr>
        <w:t>▲</w:t>
      </w:r>
      <w:bookmarkStart w:id="615" w:name="_Toc531359044"/>
      <w:bookmarkStart w:id="616" w:name="_Toc4106"/>
      <w:bookmarkStart w:id="617" w:name="_Toc827"/>
      <w:bookmarkStart w:id="618" w:name="_Toc22029266"/>
      <w:r>
        <w:rPr>
          <w:rFonts w:hint="eastAsia" w:ascii="宋体" w:hAnsi="宋体" w:cs="宋体"/>
          <w:b/>
          <w:bCs/>
          <w:color w:val="auto"/>
          <w:sz w:val="21"/>
          <w:szCs w:val="21"/>
          <w:highlight w:val="none"/>
          <w:lang w:val="en-US" w:eastAsia="zh-CN"/>
        </w:rPr>
        <w:t>2</w:t>
      </w:r>
      <w:r>
        <w:rPr>
          <w:rFonts w:hint="eastAsia" w:ascii="宋体" w:hAnsi="宋体" w:cs="宋体"/>
          <w:b/>
          <w:bCs/>
          <w:color w:val="auto"/>
          <w:sz w:val="21"/>
          <w:szCs w:val="21"/>
          <w:highlight w:val="none"/>
        </w:rPr>
        <w:t>.5 授权委托书</w:t>
      </w:r>
      <w:bookmarkEnd w:id="615"/>
      <w:r>
        <w:rPr>
          <w:rFonts w:hint="eastAsia" w:ascii="宋体" w:hAnsi="宋体" w:cs="宋体"/>
          <w:b/>
          <w:bCs/>
          <w:color w:val="auto"/>
          <w:sz w:val="21"/>
          <w:szCs w:val="21"/>
          <w:highlight w:val="none"/>
        </w:rPr>
        <w:t>格式</w:t>
      </w:r>
      <w:bookmarkEnd w:id="610"/>
      <w:bookmarkEnd w:id="616"/>
      <w:bookmarkEnd w:id="617"/>
      <w:bookmarkEnd w:id="618"/>
    </w:p>
    <w:p>
      <w:pPr>
        <w:pStyle w:val="6"/>
        <w:spacing w:line="360" w:lineRule="auto"/>
        <w:ind w:firstLine="0"/>
        <w:jc w:val="center"/>
        <w:rPr>
          <w:rFonts w:hint="eastAsia" w:ascii="宋体" w:hAnsi="宋体" w:cs="宋体"/>
          <w:b/>
          <w:color w:val="auto"/>
          <w:sz w:val="32"/>
          <w:szCs w:val="32"/>
          <w:highlight w:val="none"/>
        </w:rPr>
      </w:pPr>
      <w:r>
        <w:rPr>
          <w:rFonts w:hint="eastAsia" w:ascii="宋体" w:hAnsi="宋体" w:cs="宋体"/>
          <w:b/>
          <w:color w:val="auto"/>
          <w:sz w:val="28"/>
          <w:szCs w:val="28"/>
          <w:highlight w:val="none"/>
        </w:rPr>
        <w:t>授权委托书</w:t>
      </w:r>
    </w:p>
    <w:p>
      <w:pPr>
        <w:pStyle w:val="190"/>
        <w:spacing w:line="360" w:lineRule="auto"/>
        <w:rPr>
          <w:rFonts w:hint="eastAsia" w:ascii="宋体" w:hAnsi="宋体" w:cs="宋体"/>
          <w:b/>
          <w:color w:val="auto"/>
          <w:szCs w:val="21"/>
          <w:highlight w:val="none"/>
        </w:rPr>
      </w:pPr>
      <w:r>
        <w:rPr>
          <w:rFonts w:hint="eastAsia" w:ascii="宋体" w:hAnsi="宋体" w:cs="宋体"/>
          <w:color w:val="auto"/>
          <w:szCs w:val="21"/>
          <w:highlight w:val="none"/>
          <w:u w:val="single"/>
        </w:rPr>
        <w:t>（采购代理机构名称）</w:t>
      </w:r>
      <w:r>
        <w:rPr>
          <w:rFonts w:hint="eastAsia" w:ascii="宋体" w:hAnsi="宋体" w:cs="宋体"/>
          <w:color w:val="auto"/>
          <w:szCs w:val="21"/>
          <w:highlight w:val="none"/>
        </w:rPr>
        <w:t>：</w:t>
      </w:r>
    </w:p>
    <w:p>
      <w:pPr>
        <w:pStyle w:val="190"/>
        <w:autoSpaceDE w:val="0"/>
        <w:autoSpaceDN w:val="0"/>
        <w:spacing w:line="360" w:lineRule="auto"/>
        <w:textAlignment w:val="bottom"/>
        <w:rPr>
          <w:rFonts w:hint="eastAsia" w:ascii="宋体" w:hAnsi="宋体" w:cs="宋体"/>
          <w:color w:val="auto"/>
          <w:szCs w:val="21"/>
          <w:highlight w:val="none"/>
        </w:rPr>
      </w:pPr>
      <w:r>
        <w:rPr>
          <w:rFonts w:hint="eastAsia" w:ascii="宋体" w:hAnsi="宋体" w:cs="宋体"/>
          <w:color w:val="auto"/>
          <w:szCs w:val="21"/>
          <w:highlight w:val="none"/>
        </w:rPr>
        <w:t xml:space="preserve">     我</w:t>
      </w:r>
      <w:r>
        <w:rPr>
          <w:rFonts w:hint="eastAsia" w:ascii="宋体" w:hAnsi="宋体" w:cs="宋体"/>
          <w:color w:val="auto"/>
          <w:szCs w:val="21"/>
          <w:highlight w:val="none"/>
          <w:u w:val="single"/>
        </w:rPr>
        <w:t xml:space="preserve"> 法定代表人（负责人）</w:t>
      </w:r>
      <w:r>
        <w:rPr>
          <w:rFonts w:hint="eastAsia" w:ascii="宋体" w:hAnsi="宋体" w:cs="宋体"/>
          <w:color w:val="auto"/>
          <w:szCs w:val="21"/>
          <w:highlight w:val="none"/>
        </w:rPr>
        <w:t>系</w:t>
      </w:r>
      <w:r>
        <w:rPr>
          <w:rFonts w:hint="eastAsia" w:ascii="宋体" w:hAnsi="宋体" w:cs="宋体"/>
          <w:color w:val="auto"/>
          <w:szCs w:val="21"/>
          <w:highlight w:val="none"/>
          <w:u w:val="single"/>
        </w:rPr>
        <w:t xml:space="preserve"> （供应商全称） </w:t>
      </w:r>
      <w:r>
        <w:rPr>
          <w:rFonts w:hint="eastAsia" w:ascii="宋体" w:hAnsi="宋体" w:cs="宋体"/>
          <w:color w:val="auto"/>
          <w:szCs w:val="21"/>
          <w:highlight w:val="none"/>
        </w:rPr>
        <w:t>的法定代表人（或负责人），现授权委托本单位在职职工</w:t>
      </w:r>
      <w:r>
        <w:rPr>
          <w:rFonts w:hint="eastAsia" w:ascii="宋体" w:hAnsi="宋体" w:cs="宋体"/>
          <w:color w:val="auto"/>
          <w:szCs w:val="21"/>
          <w:highlight w:val="none"/>
          <w:u w:val="single"/>
        </w:rPr>
        <w:t xml:space="preserve">   （姓名）  </w:t>
      </w:r>
      <w:r>
        <w:rPr>
          <w:rFonts w:hint="eastAsia" w:ascii="宋体" w:hAnsi="宋体" w:cs="宋体"/>
          <w:color w:val="auto"/>
          <w:szCs w:val="21"/>
          <w:highlight w:val="none"/>
        </w:rPr>
        <w:t>以我方的名义参加就贵方组织的</w:t>
      </w:r>
      <w:r>
        <w:rPr>
          <w:rFonts w:hint="eastAsia" w:ascii="宋体" w:hAnsi="宋体" w:cs="宋体"/>
          <w:color w:val="auto"/>
          <w:szCs w:val="21"/>
          <w:highlight w:val="none"/>
          <w:u w:val="single"/>
        </w:rPr>
        <w:t xml:space="preserve"> （项目名称）   （项目编号： ） </w:t>
      </w:r>
      <w:r>
        <w:rPr>
          <w:rFonts w:hint="eastAsia" w:ascii="宋体" w:hAnsi="宋体" w:cs="宋体"/>
          <w:color w:val="auto"/>
          <w:szCs w:val="21"/>
          <w:highlight w:val="none"/>
        </w:rPr>
        <w:t>的投标活动，并代表我方全权办理针对上述项目的投标、开标、评审、签约等具体事务和签署相关文件。</w:t>
      </w:r>
    </w:p>
    <w:p>
      <w:pPr>
        <w:pStyle w:val="190"/>
        <w:autoSpaceDE w:val="0"/>
        <w:autoSpaceDN w:val="0"/>
        <w:spacing w:line="360" w:lineRule="auto"/>
        <w:textAlignment w:val="bottom"/>
        <w:rPr>
          <w:rFonts w:hint="eastAsia" w:ascii="宋体" w:hAnsi="宋体" w:cs="宋体"/>
          <w:color w:val="auto"/>
          <w:szCs w:val="21"/>
          <w:highlight w:val="none"/>
        </w:rPr>
      </w:pPr>
      <w:r>
        <w:rPr>
          <w:rFonts w:hint="eastAsia" w:ascii="宋体" w:hAnsi="宋体" w:cs="宋体"/>
          <w:color w:val="auto"/>
          <w:szCs w:val="21"/>
          <w:highlight w:val="none"/>
        </w:rPr>
        <w:t xml:space="preserve">    我方对委托代理人的签字或盖章事项负全部责任。</w:t>
      </w:r>
    </w:p>
    <w:p>
      <w:pPr>
        <w:pStyle w:val="190"/>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本授权书自签署之日起生效，在撤销授权的书面通知送达贵方以前，本授权委托书一直有效。委托代理人在授权书有效期内签署的所有文件不因授权的撤销而失效。</w:t>
      </w:r>
    </w:p>
    <w:p>
      <w:pPr>
        <w:pStyle w:val="190"/>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委托代理人无转委托权，特此声明。</w:t>
      </w:r>
    </w:p>
    <w:p>
      <w:pPr>
        <w:pStyle w:val="190"/>
        <w:spacing w:line="360" w:lineRule="auto"/>
        <w:ind w:firstLine="480"/>
        <w:rPr>
          <w:rFonts w:hint="eastAsia" w:ascii="宋体" w:hAnsi="宋体" w:cs="宋体"/>
          <w:color w:val="auto"/>
          <w:szCs w:val="21"/>
          <w:highlight w:val="none"/>
        </w:rPr>
      </w:pP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负责人签字或盖章：</w:t>
      </w:r>
      <w:r>
        <w:rPr>
          <w:rFonts w:hint="eastAsia" w:ascii="宋体" w:hAnsi="宋体" w:cs="宋体"/>
          <w:color w:val="auto"/>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Style w:val="190"/>
        <w:spacing w:line="440" w:lineRule="exact"/>
        <w:rPr>
          <w:rFonts w:hint="eastAsia" w:ascii="宋体" w:hAnsi="宋体" w:cs="宋体"/>
          <w:color w:val="auto"/>
          <w:szCs w:val="21"/>
          <w:highlight w:val="none"/>
        </w:rPr>
      </w:pPr>
      <w:r>
        <w:rPr>
          <w:rFonts w:hint="eastAsia" w:ascii="宋体" w:hAnsi="宋体" w:cs="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4445" r="0" b="5080"/>
                <wp:wrapNone/>
                <wp:docPr id="10" name="直接箭头连接符 10"/>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a:effectLst/>
                      </wps:spPr>
                      <wps:bodyPr/>
                    </wps:wsp>
                  </a:graphicData>
                </a:graphic>
              </wp:anchor>
            </w:drawing>
          </mc:Choice>
          <mc:Fallback>
            <w:pict>
              <v:shape id="_x0000_s1026"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 AQAADwAAAGRycy9kb3ducmV2LnhtbE2PzU7DMBCE70i8g7VI3Fo7rkAkxKlUJA4ILrTlwM2NNz8i XgfbacLbY8QBTqvdGc1+U24XO7Az+tA7UpCtBTCk2pmeWgXHw+PqDliImoweHKGCLwywrS4vSl0Y N9MrnvexZSmEQqEVdDGOBeeh7tDqsHYjUtIa562OafUtN17PKdwOXApxy63uKX3o9IgPHdYf+8kq aN7zpymfxMvxedf4z/lth04uSl1fZeIeWMQl/pnhBz+hQ5WYTm4iE9igYLXZpC5RgczSTIZcyhtg p98Dr0r+v0H1DVBLAwQUAAAACACHTuJAOHiFoAICAAD9AwAADgAAAGRycy9lMm9Eb2MueG1srVNL jhMxEN0jcQfLe9JJxARopTOLhGGDIBJwgIrb3W3JP7k86eQSXACJFbCCWc2e08BwDMruTBiGTRb0 wl3+1Kt6z8/z853RbCsDKmcrPhmNOZNWuFrZtuLv3l48esoZRrA1aGdlxfcS+fni4YN570s5dZ3T tQyMQCyWva94F6MviwJFJw3gyHlpabNxwUCkaWiLOkBP6EYX0/F4VvQu1D44IRFpdTVs8gNiOAXQ NY0ScuXEpZE2DqhBaohECTvlkS9yt00jRXzdNCgj0xUnpjGPVITiTRqLxRzKNoDvlDi0AKe0cI+T AWWp6BFqBRHYZVD/QBklgkPXxJFwphiIZEWIxWR8T5s3HXiZuZDU6I+i4/+DFa+268BUTU4gSSwY uvGbD9c/33++ufr249P1r+8fU/z1C6N9Eqv3WFLO0q7DYYZ+HRLzXRNM+hMntssC748Cy11kghZn 49mTx9MzzsTtXvEn0QeML6QzLAUVxxhAtV1cOmvpGl2YZIFh+xIjlabE24RUVVvWV/zZWQYHsmVD dqA6xhM1tG3ORadVfaG0ThkY2s1SB7aFZI38JYKE+9exVGQF2A3ndJviwTWdhPq5rVncexLN0mPh qQcja860pLeVIkKEMoLSp5yk2tqmBJmdeyCaJB9ETtHG1fusfZFm5Irc8sHByXZ35xTffbWL31BL AwQKAAAAAACHTuJAAAAAAAAAAAAAAAAABgAAAF9yZWxzL1BLAwQUAAAACACHTuJAihRmPNEAAACU AQAACwAAAF9yZWxzLy5yZWxzpZDBasMwDIbvg72D0X1xmsMYo04vo9Br6R7A2IpjGltGMtn69vMO g2X0tqN+oe8T//7wmRa1IkukbGDX9aAwO/IxBwPvl+PTCyipNnu7UEYDNxQ4jI8P+zMutrYjmWMR 1ShZDMy1lletxc2YrHRUMLfNRJxsbSMHXay72oB66Ptnzb8ZMG6Y6uQN8MkPoC630sx/2Ck6JqGp do6SpmmK7h5VB7Zlju7INuEbuUazHLAa8CwaB2pZ134EfV+/+6fe00c+47rVfoeM649Xb7ocvwBQ SwMEFAAAAAgAh07iQH7m5SD3AAAA4QEAABMAAABbQ29udGVudF9UeXBlc10ueG1slZFBTsMwEEX3 SNzB8hYlTrtACCXpgrRLQKgcYGRPEotkbHlMaG+Pk7YbRJFY2jP/vye73BzGQUwY2Dqq5CovpEDS zljqKvm+32UPUnAEMjA4wkoekeWmvr0p90ePLFKauJJ9jP5RKdY9jsC580hp0rowQkzH0CkP+gM6 VOuiuFfaUUSKWZw7ZF022MLnEMX2kK5PJgEHluLptDizKgneD1ZDTKZqIvODkp0JeUouO9xbz3dJ Q6pfCfPkOuCce0lPE6xB8QohPsOYNJQJrIz7ooBT/nfJbDly5trWasybwE2KveF0sbrWjmvXOP3f 8u2SunSr5YPqb1BLAQIUABQAAAAIAIdO4kB+5uUg9wAAAOEBAAATAAAAAAAAAAEAIAAAAHMEAABb Q29udGVudF9UeXBlc10ueG1sUEsBAhQACgAAAAAAh07iQAAAAAAAAAAAAAAAAAYAAAAAAAAAAAAQ AAAAVQMAAF9yZWxzL1BLAQIUABQAAAAIAIdO4kCKFGY80QAAAJQBAAALAAAAAAAAAAEAIAAAAHkD AABfcmVscy8ucmVsc1BLAQIUAAoAAAAAAIdO4kAAAAAAAAAAAAAAAAAEAAAAAAAAAAAAEAAAAAAA AABkcnMvUEsBAhQAFAAAAAgAh07iQJBDCyDYAAAACQEAAA8AAAAAAAAAAQAgAAAAIgAAAGRycy9k b3ducmV2LnhtbFBLAQIUABQAAAAIAIdO4kA4eIWgAgIAAP0DAAAOAAAAAAAAAAEAIAAAACcBAABk cnMvZTJvRG9jLnhtbFBLBQYAAAAABgAGAFkBAACbBQAAAAA= ">
                <v:fill on="f" focussize="0,0"/>
                <v:stroke color="#000000" joinstyle="round" dashstyle="longDash"/>
                <v:imagedata o:title=""/>
                <o:lock v:ext="edit" aspectratio="f"/>
              </v:shape>
            </w:pict>
          </mc:Fallback>
        </mc:AlternateContent>
      </w:r>
    </w:p>
    <w:p>
      <w:pPr>
        <w:pStyle w:val="190"/>
        <w:spacing w:line="440" w:lineRule="exact"/>
        <w:rPr>
          <w:rFonts w:hint="eastAsia" w:ascii="宋体" w:hAnsi="宋体" w:cs="宋体"/>
          <w:color w:val="auto"/>
          <w:szCs w:val="21"/>
          <w:highlight w:val="none"/>
        </w:rPr>
      </w:pPr>
      <w:r>
        <w:rPr>
          <w:rFonts w:hint="eastAsia" w:ascii="宋体" w:hAnsi="宋体" w:cs="宋体"/>
          <w:color w:val="auto"/>
          <w:szCs w:val="21"/>
          <w:highlight w:val="none"/>
        </w:rPr>
        <w:t>附：1、委托代理人工作单位：</w:t>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t xml:space="preserve">职务： </w:t>
      </w:r>
    </w:p>
    <w:p>
      <w:pPr>
        <w:pStyle w:val="190"/>
        <w:spacing w:line="440" w:lineRule="exact"/>
        <w:ind w:firstLine="480"/>
        <w:rPr>
          <w:rFonts w:hint="eastAsia" w:ascii="宋体" w:hAnsi="宋体" w:cs="宋体"/>
          <w:color w:val="auto"/>
          <w:szCs w:val="21"/>
          <w:highlight w:val="none"/>
        </w:rPr>
      </w:pPr>
      <w:r>
        <w:rPr>
          <w:rFonts w:hint="eastAsia" w:ascii="宋体" w:hAnsi="宋体" w:cs="宋体"/>
          <w:color w:val="auto"/>
          <w:szCs w:val="21"/>
          <w:highlight w:val="none"/>
        </w:rPr>
        <w:t xml:space="preserve">   身份证号码：　　　　　　　　　　</w:t>
      </w:r>
      <w:r>
        <w:rPr>
          <w:rFonts w:hint="eastAsia" w:ascii="宋体" w:hAnsi="宋体" w:cs="宋体"/>
          <w:color w:val="auto"/>
          <w:szCs w:val="21"/>
          <w:highlight w:val="none"/>
        </w:rPr>
        <w:tab/>
      </w:r>
      <w:r>
        <w:rPr>
          <w:rFonts w:hint="eastAsia" w:ascii="宋体" w:hAnsi="宋体" w:cs="宋体"/>
          <w:color w:val="auto"/>
          <w:szCs w:val="21"/>
          <w:highlight w:val="none"/>
        </w:rPr>
        <w:t xml:space="preserve">性别： </w:t>
      </w:r>
    </w:p>
    <w:p>
      <w:pPr>
        <w:pStyle w:val="190"/>
        <w:spacing w:line="360" w:lineRule="auto"/>
        <w:ind w:firstLine="420"/>
        <w:rPr>
          <w:rFonts w:hint="eastAsia" w:ascii="宋体" w:hAnsi="宋体" w:cs="宋体"/>
          <w:color w:val="auto"/>
          <w:szCs w:val="21"/>
          <w:highlight w:val="none"/>
        </w:rPr>
      </w:pPr>
    </w:p>
    <w:p>
      <w:pPr>
        <w:pStyle w:val="190"/>
        <w:spacing w:line="360" w:lineRule="auto"/>
        <w:ind w:firstLine="420"/>
        <w:rPr>
          <w:rFonts w:hint="eastAsia" w:ascii="宋体" w:hAnsi="宋体" w:cs="宋体"/>
          <w:color w:val="auto"/>
          <w:szCs w:val="21"/>
          <w:highlight w:val="none"/>
        </w:rPr>
      </w:pPr>
      <w:r>
        <w:rPr>
          <w:rFonts w:hint="eastAsia" w:ascii="宋体" w:hAnsi="宋体" w:cs="宋体"/>
          <w:color w:val="auto"/>
          <w:szCs w:val="21"/>
          <w:highlight w:val="none"/>
        </w:rPr>
        <w:t>注：1、供应商为法人企业的，其负责人为其法定代表人；供应商为其他组织的，其负责人为法律、行政法规规定代表单位行使职权的主要负责人。</w:t>
      </w:r>
    </w:p>
    <w:p>
      <w:pPr>
        <w:pStyle w:val="190"/>
        <w:spacing w:line="360" w:lineRule="auto"/>
        <w:ind w:firstLine="787" w:firstLineChars="375"/>
        <w:rPr>
          <w:rFonts w:hint="eastAsia" w:ascii="宋体" w:hAnsi="宋体" w:cs="宋体"/>
          <w:color w:val="auto"/>
          <w:szCs w:val="21"/>
          <w:highlight w:val="none"/>
        </w:rPr>
      </w:pPr>
      <w:r>
        <w:rPr>
          <w:rFonts w:hint="eastAsia" w:ascii="宋体" w:hAnsi="宋体" w:cs="宋体"/>
          <w:color w:val="auto"/>
          <w:szCs w:val="21"/>
          <w:highlight w:val="none"/>
        </w:rPr>
        <w:t>2、委托人为上述条款中的负责人。</w:t>
      </w:r>
    </w:p>
    <w:p>
      <w:pPr>
        <w:pStyle w:val="190"/>
        <w:spacing w:line="360" w:lineRule="auto"/>
        <w:ind w:firstLine="787" w:firstLineChars="375"/>
        <w:rPr>
          <w:rFonts w:hint="eastAsia" w:ascii="宋体" w:hAnsi="宋体" w:cs="宋体"/>
          <w:color w:val="auto"/>
          <w:szCs w:val="21"/>
          <w:highlight w:val="none"/>
        </w:rPr>
      </w:pPr>
      <w:r>
        <w:rPr>
          <w:rFonts w:hint="eastAsia" w:ascii="宋体" w:hAnsi="宋体" w:cs="宋体"/>
          <w:color w:val="auto"/>
          <w:szCs w:val="21"/>
          <w:highlight w:val="none"/>
        </w:rPr>
        <w:t>3、本“授权委托书”需附负责人和委托代理人身份证扫描件，如扫描件不清晰或错误的，后果由供应商自行承担。</w:t>
      </w:r>
    </w:p>
    <w:p>
      <w:pPr>
        <w:pStyle w:val="189"/>
        <w:spacing w:line="360" w:lineRule="auto"/>
        <w:ind w:firstLine="420" w:firstLineChars="200"/>
        <w:rPr>
          <w:rFonts w:hint="eastAsia" w:hAnsi="宋体" w:cs="宋体"/>
          <w:color w:val="auto"/>
          <w:highlight w:val="none"/>
        </w:rPr>
      </w:pPr>
      <w:r>
        <w:rPr>
          <w:rFonts w:hint="eastAsia" w:hAnsi="宋体" w:cs="宋体"/>
          <w:color w:val="auto"/>
          <w:highlight w:val="none"/>
        </w:rPr>
        <w:t>4、上述格式中的“负责人签字或盖章”，供应商无法通过电子签章实现的，可以采用下载纸质签字完成后再扫描上传政采云平台电子投标工具。</w:t>
      </w:r>
    </w:p>
    <w:p>
      <w:pPr>
        <w:pStyle w:val="189"/>
        <w:spacing w:line="360" w:lineRule="auto"/>
        <w:ind w:firstLine="480" w:firstLineChars="200"/>
        <w:rPr>
          <w:rFonts w:hint="eastAsia" w:hAnsi="宋体" w:cs="宋体"/>
          <w:bCs/>
          <w:color w:val="auto"/>
          <w:highlight w:val="none"/>
        </w:rPr>
      </w:pPr>
      <w:r>
        <w:rPr>
          <w:rFonts w:hint="eastAsia" w:hAnsi="宋体" w:cs="宋体"/>
          <w:bCs/>
          <w:color w:val="auto"/>
          <w:sz w:val="24"/>
          <w:highlight w:val="none"/>
        </w:rPr>
        <w:br w:type="page"/>
      </w:r>
      <w:r>
        <w:rPr>
          <w:rFonts w:hint="eastAsia" w:hAnsi="宋体" w:cs="宋体"/>
          <w:bCs/>
          <w:color w:val="auto"/>
          <w:highlight w:val="none"/>
        </w:rPr>
        <w:t>负责人身份证件扫描件：</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8528" w:type="dxa"/>
            <w:noWrap w:val="0"/>
            <w:vAlign w:val="top"/>
          </w:tcPr>
          <w:p>
            <w:pPr>
              <w:pStyle w:val="189"/>
              <w:spacing w:line="360" w:lineRule="auto"/>
              <w:rPr>
                <w:rFonts w:hint="eastAsia" w:hAnsi="宋体" w:cs="宋体"/>
                <w:bCs/>
                <w:color w:val="auto"/>
                <w:highlight w:val="none"/>
                <w:lang w:eastAsia="zh-CN"/>
              </w:rPr>
            </w:pPr>
            <w:r>
              <w:rPr>
                <w:rFonts w:hint="eastAsia" w:hAnsi="宋体" w:cs="宋体"/>
                <w:bCs/>
                <w:color w:val="auto"/>
                <w:highlight w:val="none"/>
                <w:lang w:eastAsia="zh-CN"/>
              </w:rPr>
              <w:t>正面：                                 反面：</w:t>
            </w:r>
          </w:p>
          <w:p>
            <w:pPr>
              <w:pStyle w:val="189"/>
              <w:spacing w:line="360" w:lineRule="auto"/>
              <w:rPr>
                <w:rFonts w:hint="eastAsia" w:hAnsi="宋体" w:cs="宋体"/>
                <w:bCs/>
                <w:color w:val="auto"/>
                <w:highlight w:val="none"/>
                <w:lang w:eastAsia="zh-CN"/>
              </w:rPr>
            </w:pPr>
          </w:p>
        </w:tc>
      </w:tr>
    </w:tbl>
    <w:p>
      <w:pPr>
        <w:pStyle w:val="189"/>
        <w:spacing w:line="360" w:lineRule="auto"/>
        <w:rPr>
          <w:rFonts w:hint="eastAsia" w:hAnsi="宋体" w:cs="宋体"/>
          <w:bCs/>
          <w:color w:val="auto"/>
          <w:highlight w:val="none"/>
        </w:rPr>
      </w:pPr>
      <w:r>
        <w:rPr>
          <w:rFonts w:hint="eastAsia" w:hAnsi="宋体" w:cs="宋体"/>
          <w:bCs/>
          <w:color w:val="auto"/>
          <w:highlight w:val="none"/>
          <w:lang w:eastAsia="zh-CN"/>
        </w:rPr>
        <w:t>委托代理人</w:t>
      </w:r>
      <w:r>
        <w:rPr>
          <w:rFonts w:hint="eastAsia" w:hAnsi="宋体" w:cs="宋体"/>
          <w:bCs/>
          <w:color w:val="auto"/>
          <w:highlight w:val="none"/>
        </w:rPr>
        <w:t>身份证件扫描件：</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8528" w:type="dxa"/>
            <w:noWrap w:val="0"/>
            <w:vAlign w:val="top"/>
          </w:tcPr>
          <w:p>
            <w:pPr>
              <w:pStyle w:val="189"/>
              <w:spacing w:line="360" w:lineRule="auto"/>
              <w:rPr>
                <w:rFonts w:hint="eastAsia" w:hAnsi="宋体" w:cs="宋体"/>
                <w:bCs/>
                <w:color w:val="auto"/>
                <w:highlight w:val="none"/>
                <w:lang w:eastAsia="zh-CN"/>
              </w:rPr>
            </w:pPr>
            <w:r>
              <w:rPr>
                <w:rFonts w:hint="eastAsia" w:hAnsi="宋体" w:cs="宋体"/>
                <w:bCs/>
                <w:color w:val="auto"/>
                <w:highlight w:val="none"/>
                <w:lang w:eastAsia="zh-CN"/>
              </w:rPr>
              <w:t>正面：                                 反面：</w:t>
            </w:r>
          </w:p>
          <w:p>
            <w:pPr>
              <w:pStyle w:val="189"/>
              <w:spacing w:line="360" w:lineRule="auto"/>
              <w:rPr>
                <w:rFonts w:hint="eastAsia" w:hAnsi="宋体" w:cs="宋体"/>
                <w:bCs/>
                <w:color w:val="auto"/>
                <w:highlight w:val="none"/>
                <w:lang w:eastAsia="zh-CN"/>
              </w:rPr>
            </w:pPr>
          </w:p>
        </w:tc>
      </w:tr>
    </w:tbl>
    <w:p>
      <w:pPr>
        <w:pStyle w:val="189"/>
        <w:spacing w:line="360" w:lineRule="auto"/>
        <w:ind w:firstLine="4480" w:firstLineChars="1600"/>
        <w:rPr>
          <w:rFonts w:hint="eastAsia" w:hAnsi="宋体" w:cs="宋体"/>
          <w:color w:val="auto"/>
          <w:spacing w:val="20"/>
          <w:sz w:val="24"/>
          <w:highlight w:val="none"/>
          <w:lang w:eastAsia="zh-CN"/>
        </w:rPr>
      </w:pP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cs="宋体"/>
          <w:color w:val="auto"/>
          <w:sz w:val="24"/>
          <w:highlight w:val="none"/>
        </w:rPr>
      </w:pPr>
      <w:r>
        <w:rPr>
          <w:rFonts w:hint="eastAsia" w:ascii="宋体" w:hAnsi="宋体" w:cs="宋体"/>
          <w:color w:val="auto"/>
          <w:highlight w:val="none"/>
        </w:rPr>
        <w:br w:type="page"/>
      </w:r>
      <w:bookmarkStart w:id="619" w:name="_Toc7534"/>
      <w:bookmarkStart w:id="620" w:name="_Toc493956056"/>
      <w:r>
        <w:rPr>
          <w:rFonts w:hint="eastAsia" w:ascii="宋体" w:hAnsi="宋体" w:cs="宋体"/>
          <w:b/>
          <w:bCs/>
          <w:color w:val="auto"/>
          <w:sz w:val="24"/>
          <w:szCs w:val="24"/>
          <w:highlight w:val="none"/>
        </w:rPr>
        <w:t>▲</w:t>
      </w:r>
      <w:bookmarkStart w:id="621" w:name="_Toc20374"/>
      <w:bookmarkStart w:id="622" w:name="_Toc27994"/>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rPr>
        <w:t>.6 政府采购资格承诺函格式</w:t>
      </w:r>
      <w:bookmarkEnd w:id="619"/>
      <w:bookmarkEnd w:id="621"/>
      <w:bookmarkEnd w:id="622"/>
    </w:p>
    <w:p>
      <w:pPr>
        <w:pStyle w:val="22"/>
        <w:spacing w:line="360" w:lineRule="auto"/>
        <w:jc w:val="center"/>
        <w:rPr>
          <w:rFonts w:hint="eastAsia" w:hAnsi="宋体" w:cs="宋体"/>
          <w:b/>
          <w:color w:val="auto"/>
          <w:sz w:val="28"/>
          <w:szCs w:val="28"/>
          <w:highlight w:val="none"/>
        </w:rPr>
      </w:pPr>
      <w:r>
        <w:rPr>
          <w:rFonts w:hint="eastAsia" w:hAnsi="宋体" w:cs="宋体"/>
          <w:b/>
          <w:color w:val="auto"/>
          <w:sz w:val="28"/>
          <w:szCs w:val="28"/>
          <w:highlight w:val="none"/>
        </w:rPr>
        <w:t>政府采购资格承诺函</w:t>
      </w:r>
    </w:p>
    <w:p>
      <w:pPr>
        <w:spacing w:line="400" w:lineRule="exact"/>
        <w:rPr>
          <w:rFonts w:hint="eastAsia" w:ascii="宋体" w:hAnsi="宋体" w:cs="宋体"/>
          <w:color w:val="auto"/>
          <w:sz w:val="24"/>
          <w:highlight w:val="none"/>
        </w:rPr>
      </w:pP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我单位——</w:t>
      </w:r>
      <w:r>
        <w:rPr>
          <w:rFonts w:hint="eastAsia" w:ascii="宋体" w:hAnsi="宋体" w:cs="宋体"/>
          <w:color w:val="auto"/>
          <w:szCs w:val="21"/>
          <w:highlight w:val="none"/>
          <w:u w:val="single"/>
        </w:rPr>
        <w:t xml:space="preserve">                  （供应商全称）</w:t>
      </w:r>
      <w:r>
        <w:rPr>
          <w:rFonts w:hint="eastAsia" w:ascii="宋体" w:hAnsi="宋体" w:cs="宋体"/>
          <w:bCs/>
          <w:color w:val="auto"/>
          <w:szCs w:val="21"/>
          <w:highlight w:val="none"/>
          <w:lang w:bidi="ar"/>
        </w:rPr>
        <w:t>参与</w:t>
      </w:r>
      <w:r>
        <w:rPr>
          <w:rFonts w:hint="eastAsia" w:ascii="宋体" w:hAnsi="宋体" w:cs="宋体"/>
          <w:color w:val="auto"/>
          <w:szCs w:val="21"/>
          <w:highlight w:val="none"/>
          <w:u w:val="single"/>
        </w:rPr>
        <w:t xml:space="preserve">（项目名称）  </w:t>
      </w:r>
      <w:r>
        <w:rPr>
          <w:rFonts w:hint="eastAsia" w:ascii="宋体" w:hAnsi="宋体" w:cs="宋体"/>
          <w:bCs/>
          <w:color w:val="auto"/>
          <w:szCs w:val="21"/>
          <w:highlight w:val="none"/>
          <w:lang w:bidi="ar"/>
        </w:rPr>
        <w:t>（项目编号：</w:t>
      </w:r>
      <w:r>
        <w:rPr>
          <w:rFonts w:hint="eastAsia" w:ascii="宋体" w:hAnsi="宋体" w:cs="宋体"/>
          <w:bCs/>
          <w:color w:val="auto"/>
          <w:szCs w:val="21"/>
          <w:highlight w:val="none"/>
          <w:u w:val="single"/>
          <w:lang w:bidi="ar"/>
        </w:rPr>
        <w:t xml:space="preserve"> </w:t>
      </w:r>
      <w:r>
        <w:rPr>
          <w:rFonts w:hint="eastAsia" w:ascii="宋体" w:hAnsi="宋体" w:cs="宋体"/>
          <w:color w:val="auto"/>
          <w:szCs w:val="21"/>
          <w:highlight w:val="none"/>
          <w:u w:val="single"/>
        </w:rPr>
        <w:t xml:space="preserve"> </w:t>
      </w:r>
      <w:r>
        <w:rPr>
          <w:rFonts w:hint="eastAsia" w:ascii="宋体" w:hAnsi="宋体" w:cs="宋体"/>
          <w:bCs/>
          <w:color w:val="auto"/>
          <w:szCs w:val="21"/>
          <w:highlight w:val="none"/>
          <w:lang w:bidi="ar"/>
        </w:rPr>
        <w:t>）投标，郑重</w:t>
      </w:r>
      <w:r>
        <w:rPr>
          <w:rFonts w:hint="eastAsia" w:ascii="宋体" w:hAnsi="宋体" w:cs="宋体"/>
          <w:color w:val="auto"/>
          <w:szCs w:val="21"/>
          <w:highlight w:val="none"/>
        </w:rPr>
        <w:t>承诺具备下列条件：</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1.具有独立承担民事责任的能力；</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2.具有良好的商业信誉和健全的财务会计制度；</w:t>
      </w:r>
    </w:p>
    <w:p>
      <w:pPr>
        <w:spacing w:line="360" w:lineRule="auto"/>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3.具有履行合同所必需的设备和专业技术能力；</w:t>
      </w:r>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bCs/>
          <w:color w:val="auto"/>
          <w:szCs w:val="21"/>
          <w:highlight w:val="none"/>
        </w:rPr>
        <w:t>4.有依法缴纳税收和社会保障资金的良好记</w:t>
      </w:r>
      <w:r>
        <w:rPr>
          <w:rFonts w:hint="eastAsia" w:ascii="宋体" w:hAnsi="宋体" w:cs="宋体"/>
          <w:color w:val="auto"/>
          <w:szCs w:val="21"/>
          <w:highlight w:val="none"/>
        </w:rPr>
        <w:t>录；</w:t>
      </w:r>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5.参加</w:t>
      </w:r>
      <w:r>
        <w:rPr>
          <w:rFonts w:hint="eastAsia" w:ascii="宋体" w:hAnsi="宋体" w:cs="宋体"/>
          <w:bCs/>
          <w:color w:val="auto"/>
          <w:szCs w:val="21"/>
          <w:highlight w:val="none"/>
        </w:rPr>
        <w:t>本项目采购活动前三</w:t>
      </w:r>
      <w:r>
        <w:rPr>
          <w:rFonts w:hint="eastAsia" w:ascii="宋体" w:hAnsi="宋体" w:cs="宋体"/>
          <w:color w:val="auto"/>
          <w:szCs w:val="21"/>
          <w:highlight w:val="none"/>
        </w:rPr>
        <w:t>年内,在经营活动中没有重大违法记录（包括行贿犯罪记录）。</w:t>
      </w:r>
    </w:p>
    <w:p>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6.投标截止时间前未被“信用中国”网站（www.creditchina.gov.cn）、中国政府采购网（www.ccgp.gov.cn）列入失信被执行人、重大税收违法当事人名单、政府采购严重违法失信行为记录名单</w:t>
      </w:r>
      <w:r>
        <w:rPr>
          <w:rFonts w:hint="eastAsia" w:ascii="宋体" w:hAnsi="宋体" w:cs="宋体"/>
          <w:b/>
          <w:color w:val="auto"/>
          <w:szCs w:val="21"/>
          <w:highlight w:val="none"/>
        </w:rPr>
        <w:t>。</w:t>
      </w:r>
    </w:p>
    <w:p>
      <w:pPr>
        <w:snapToGrid w:val="0"/>
        <w:spacing w:line="400" w:lineRule="exact"/>
        <w:ind w:firstLine="420" w:firstLineChars="200"/>
        <w:rPr>
          <w:rFonts w:hint="eastAsia" w:ascii="宋体" w:hAnsi="宋体" w:cs="宋体"/>
          <w:color w:val="auto"/>
          <w:szCs w:val="21"/>
          <w:highlight w:val="none"/>
        </w:rPr>
      </w:pPr>
    </w:p>
    <w:p>
      <w:pPr>
        <w:snapToGrid w:val="0"/>
        <w:spacing w:line="400" w:lineRule="exact"/>
        <w:ind w:firstLine="422" w:firstLineChars="200"/>
        <w:rPr>
          <w:rFonts w:hint="eastAsia" w:ascii="宋体" w:hAnsi="宋体" w:cs="宋体"/>
          <w:b/>
          <w:color w:val="auto"/>
          <w:szCs w:val="21"/>
          <w:highlight w:val="none"/>
        </w:rPr>
      </w:pPr>
    </w:p>
    <w:p>
      <w:pPr>
        <w:snapToGrid w:val="0"/>
        <w:spacing w:line="400" w:lineRule="exact"/>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如有虚假，采购人可取消我单位任何资格（投标/中标（成交）/签订合同），我单位对此无任何异议。</w:t>
      </w:r>
    </w:p>
    <w:p>
      <w:pPr>
        <w:snapToGrid w:val="0"/>
        <w:spacing w:line="400" w:lineRule="exact"/>
        <w:ind w:firstLine="422" w:firstLineChars="200"/>
        <w:rPr>
          <w:rFonts w:hint="eastAsia" w:ascii="宋体" w:hAnsi="宋体" w:cs="宋体"/>
          <w:b/>
          <w:color w:val="auto"/>
          <w:szCs w:val="21"/>
          <w:highlight w:val="none"/>
        </w:rPr>
      </w:pPr>
    </w:p>
    <w:p>
      <w:pPr>
        <w:snapToGrid w:val="0"/>
        <w:spacing w:line="400" w:lineRule="exact"/>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特此承诺！</w:t>
      </w:r>
    </w:p>
    <w:p>
      <w:pPr>
        <w:tabs>
          <w:tab w:val="left" w:pos="9180"/>
        </w:tabs>
        <w:spacing w:line="400" w:lineRule="exact"/>
        <w:ind w:firstLine="420" w:firstLineChars="200"/>
        <w:rPr>
          <w:rFonts w:hint="eastAsia" w:ascii="宋体" w:hAnsi="宋体" w:cs="宋体"/>
          <w:snapToGrid w:val="0"/>
          <w:color w:val="auto"/>
          <w:szCs w:val="21"/>
          <w:highlight w:val="none"/>
        </w:rPr>
      </w:pPr>
    </w:p>
    <w:p>
      <w:pPr>
        <w:tabs>
          <w:tab w:val="left" w:pos="9180"/>
        </w:tabs>
        <w:spacing w:line="360" w:lineRule="auto"/>
        <w:ind w:firstLine="420" w:firstLineChars="200"/>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注：（1）参加政府采购活动的时间是指供应商参加本项目的政府采购活动时间为准（具体以响应截止时间为准）。</w:t>
      </w:r>
    </w:p>
    <w:p>
      <w:pPr>
        <w:tabs>
          <w:tab w:val="left" w:pos="9180"/>
        </w:tabs>
        <w:spacing w:line="360" w:lineRule="auto"/>
        <w:ind w:firstLine="630" w:firstLineChars="300"/>
        <w:rPr>
          <w:rFonts w:hint="eastAsia" w:ascii="宋体" w:hAnsi="宋体" w:cs="宋体"/>
          <w:b/>
          <w:color w:val="auto"/>
          <w:szCs w:val="21"/>
          <w:highlight w:val="none"/>
        </w:rPr>
      </w:pPr>
      <w:r>
        <w:rPr>
          <w:rFonts w:hint="eastAsia" w:ascii="宋体" w:hAnsi="宋体" w:cs="宋体"/>
          <w:snapToGrid w:val="0"/>
          <w:color w:val="auto"/>
          <w:szCs w:val="21"/>
          <w:highlight w:val="none"/>
        </w:rPr>
        <w:t>（2）本承诺函必须提供。</w:t>
      </w:r>
    </w:p>
    <w:p>
      <w:pPr>
        <w:pStyle w:val="22"/>
        <w:spacing w:line="360" w:lineRule="auto"/>
        <w:ind w:firstLine="2530" w:firstLineChars="1050"/>
        <w:rPr>
          <w:rFonts w:hint="eastAsia" w:hAnsi="宋体" w:cs="宋体"/>
          <w:b/>
          <w:color w:val="auto"/>
          <w:szCs w:val="21"/>
          <w:highlight w:val="none"/>
        </w:rPr>
      </w:pPr>
    </w:p>
    <w:p>
      <w:pPr>
        <w:pStyle w:val="190"/>
        <w:wordWrap w:val="0"/>
        <w:spacing w:line="360" w:lineRule="auto"/>
        <w:ind w:firstLine="480"/>
        <w:jc w:val="right"/>
        <w:rPr>
          <w:rFonts w:hint="eastAsia" w:ascii="宋体" w:hAnsi="宋体" w:cs="宋体"/>
          <w:color w:val="auto"/>
          <w:szCs w:val="21"/>
          <w:highlight w:val="none"/>
        </w:rPr>
      </w:pP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spacing w:line="360" w:lineRule="auto"/>
        <w:jc w:val="center"/>
        <w:rPr>
          <w:rFonts w:hint="eastAsia" w:ascii="宋体" w:hAnsi="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00" w:lineRule="atLeast"/>
        <w:jc w:val="left"/>
        <w:textAlignment w:val="auto"/>
        <w:rPr>
          <w:rFonts w:hint="eastAsia" w:ascii="宋体" w:hAnsi="宋体" w:cs="宋体"/>
          <w:color w:val="auto"/>
          <w:sz w:val="24"/>
          <w:highlight w:val="none"/>
        </w:rPr>
      </w:pPr>
      <w:r>
        <w:rPr>
          <w:rFonts w:hint="eastAsia" w:ascii="宋体" w:hAnsi="宋体" w:cs="宋体"/>
          <w:color w:val="auto"/>
          <w:highlight w:val="none"/>
        </w:rPr>
        <w:br w:type="page"/>
      </w:r>
      <w:bookmarkStart w:id="623" w:name="_Toc25306"/>
      <w:r>
        <w:rPr>
          <w:rFonts w:hint="eastAsia" w:ascii="宋体" w:hAnsi="宋体" w:cs="宋体"/>
          <w:b/>
          <w:bCs/>
          <w:color w:val="auto"/>
          <w:sz w:val="24"/>
          <w:highlight w:val="none"/>
        </w:rPr>
        <w:t>▲</w:t>
      </w:r>
      <w:bookmarkStart w:id="624" w:name="_Toc3864"/>
      <w:bookmarkStart w:id="625" w:name="_Toc9548"/>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.7 资格证明格式</w:t>
      </w:r>
      <w:bookmarkEnd w:id="623"/>
      <w:bookmarkEnd w:id="624"/>
      <w:bookmarkEnd w:id="625"/>
    </w:p>
    <w:p>
      <w:pPr>
        <w:pStyle w:val="22"/>
        <w:spacing w:line="276" w:lineRule="auto"/>
        <w:jc w:val="center"/>
        <w:rPr>
          <w:rFonts w:hint="eastAsia" w:hAnsi="宋体" w:cs="宋体"/>
          <w:b/>
          <w:color w:val="auto"/>
          <w:sz w:val="32"/>
          <w:highlight w:val="none"/>
        </w:rPr>
      </w:pPr>
      <w:r>
        <w:rPr>
          <w:rFonts w:hint="eastAsia" w:hAnsi="宋体" w:cs="宋体"/>
          <w:b/>
          <w:color w:val="auto"/>
          <w:sz w:val="28"/>
          <w:szCs w:val="28"/>
          <w:highlight w:val="none"/>
        </w:rPr>
        <w:t>资格证明</w:t>
      </w:r>
    </w:p>
    <w:p>
      <w:pPr>
        <w:pStyle w:val="190"/>
        <w:spacing w:line="360" w:lineRule="auto"/>
        <w:rPr>
          <w:rFonts w:hint="eastAsia" w:ascii="宋体" w:hAnsi="宋体" w:cs="宋体"/>
          <w:color w:val="auto"/>
          <w:szCs w:val="21"/>
          <w:highlight w:val="none"/>
        </w:rPr>
      </w:pPr>
      <w:r>
        <w:rPr>
          <w:rFonts w:hint="eastAsia" w:ascii="宋体" w:hAnsi="宋体" w:cs="宋体"/>
          <w:color w:val="auto"/>
          <w:szCs w:val="21"/>
          <w:highlight w:val="none"/>
          <w:u w:val="single"/>
        </w:rPr>
        <w:t>（采购代理机构名称）</w:t>
      </w:r>
      <w:r>
        <w:rPr>
          <w:rFonts w:hint="eastAsia" w:ascii="宋体" w:hAnsi="宋体" w:cs="宋体"/>
          <w:color w:val="auto"/>
          <w:szCs w:val="21"/>
          <w:highlight w:val="none"/>
        </w:rPr>
        <w:t>：</w:t>
      </w:r>
    </w:p>
    <w:p>
      <w:pPr>
        <w:pStyle w:val="154"/>
        <w:spacing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u w:val="single"/>
        </w:rPr>
        <w:t xml:space="preserve">    (供应商全称)  </w:t>
      </w:r>
      <w:r>
        <w:rPr>
          <w:rFonts w:hint="eastAsia" w:hAnsi="宋体" w:cs="宋体"/>
          <w:color w:val="auto"/>
          <w:sz w:val="21"/>
          <w:szCs w:val="21"/>
          <w:highlight w:val="none"/>
        </w:rPr>
        <w:t>系中华人民共和国合法企业，经营地址</w:t>
      </w:r>
      <w:r>
        <w:rPr>
          <w:rFonts w:hint="eastAsia" w:hAnsi="宋体" w:cs="宋体"/>
          <w:color w:val="auto"/>
          <w:sz w:val="21"/>
          <w:szCs w:val="21"/>
          <w:highlight w:val="none"/>
          <w:u w:val="single"/>
        </w:rPr>
        <w:t xml:space="preserve">                </w:t>
      </w:r>
      <w:r>
        <w:rPr>
          <w:rFonts w:hint="eastAsia" w:hAnsi="宋体" w:cs="宋体"/>
          <w:color w:val="auto"/>
          <w:sz w:val="21"/>
          <w:szCs w:val="21"/>
          <w:highlight w:val="none"/>
        </w:rPr>
        <w:t>。</w:t>
      </w:r>
    </w:p>
    <w:p>
      <w:pPr>
        <w:pStyle w:val="6"/>
        <w:spacing w:line="360" w:lineRule="auto"/>
        <w:rPr>
          <w:rFonts w:hint="eastAsia" w:ascii="宋体" w:hAnsi="宋体" w:cs="宋体"/>
          <w:color w:val="auto"/>
          <w:szCs w:val="21"/>
          <w:highlight w:val="none"/>
        </w:rPr>
      </w:pPr>
      <w:r>
        <w:rPr>
          <w:rFonts w:hint="eastAsia" w:ascii="宋体" w:hAnsi="宋体" w:cs="宋体"/>
          <w:color w:val="auto"/>
          <w:szCs w:val="21"/>
          <w:highlight w:val="none"/>
        </w:rPr>
        <w:t>我</w:t>
      </w:r>
      <w:r>
        <w:rPr>
          <w:rFonts w:hint="eastAsia" w:ascii="宋体" w:hAnsi="宋体" w:cs="宋体"/>
          <w:color w:val="auto"/>
          <w:szCs w:val="21"/>
          <w:highlight w:val="none"/>
          <w:u w:val="single"/>
        </w:rPr>
        <w:t>(负责人名字)</w:t>
      </w:r>
      <w:r>
        <w:rPr>
          <w:rFonts w:hint="eastAsia" w:ascii="宋体" w:hAnsi="宋体" w:cs="宋体"/>
          <w:color w:val="auto"/>
          <w:szCs w:val="21"/>
          <w:highlight w:val="none"/>
        </w:rPr>
        <w:t>系</w:t>
      </w:r>
      <w:r>
        <w:rPr>
          <w:rFonts w:hint="eastAsia" w:ascii="宋体" w:hAnsi="宋体" w:cs="宋体"/>
          <w:color w:val="auto"/>
          <w:szCs w:val="21"/>
          <w:highlight w:val="none"/>
          <w:u w:val="single"/>
        </w:rPr>
        <w:t xml:space="preserve">    (供应商名称)       </w:t>
      </w:r>
      <w:r>
        <w:rPr>
          <w:rFonts w:hint="eastAsia" w:ascii="宋体" w:hAnsi="宋体" w:cs="宋体"/>
          <w:color w:val="auto"/>
          <w:szCs w:val="21"/>
          <w:highlight w:val="none"/>
        </w:rPr>
        <w:t>的负责人，我方愿意参加贵方组织的</w:t>
      </w:r>
      <w:r>
        <w:rPr>
          <w:rFonts w:hint="eastAsia" w:ascii="宋体" w:hAnsi="宋体" w:cs="宋体"/>
          <w:color w:val="auto"/>
          <w:szCs w:val="21"/>
          <w:highlight w:val="none"/>
          <w:u w:val="single"/>
        </w:rPr>
        <w:t xml:space="preserve">    （项目名称）    （项目编号：      ）</w:t>
      </w:r>
      <w:r>
        <w:rPr>
          <w:rFonts w:hint="eastAsia" w:ascii="宋体" w:hAnsi="宋体" w:cs="宋体"/>
          <w:color w:val="auto"/>
          <w:szCs w:val="21"/>
          <w:highlight w:val="none"/>
        </w:rPr>
        <w:t>的投标。为便于贵方公正、择优地确定成交人以及投标产品和服务，我方就本次投标有关事项证明如下：</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（一）名称及概况：</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1．企业名称：________________________________________________ </w:t>
      </w:r>
    </w:p>
    <w:p>
      <w:pPr>
        <w:pStyle w:val="201"/>
        <w:spacing w:line="360" w:lineRule="auto"/>
        <w:ind w:firstLine="420"/>
        <w:rPr>
          <w:rFonts w:hint="eastAsia" w:hAnsi="宋体" w:cs="宋体"/>
          <w:b/>
          <w:bCs/>
          <w:color w:val="auto"/>
          <w:szCs w:val="21"/>
          <w:highlight w:val="none"/>
        </w:rPr>
      </w:pPr>
      <w:r>
        <w:rPr>
          <w:rFonts w:hint="eastAsia" w:hAnsi="宋体" w:cs="宋体"/>
          <w:color w:val="auto"/>
          <w:szCs w:val="21"/>
          <w:highlight w:val="none"/>
        </w:rPr>
        <w:t>银行开户名称：________________________________________________</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    开户银行：_________________________________________________ </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    账    号：________________________________________________ </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企业详细地址：________________________________________________ </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    传    真： ________________________________________________</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    电    话： ________________________________________________</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2．负责人姓名：___________________________________________ </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3．项目联系人：姓名__________职务：______电话______手机______</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4．注册地址：________________________________________________</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5．注册资金：________________________________________________ </w:t>
      </w:r>
    </w:p>
    <w:p>
      <w:pPr>
        <w:pStyle w:val="201"/>
        <w:spacing w:line="360" w:lineRule="auto"/>
        <w:ind w:firstLine="735"/>
        <w:rPr>
          <w:rFonts w:hint="eastAsia" w:hAnsi="宋体" w:cs="宋体"/>
          <w:color w:val="auto"/>
          <w:szCs w:val="21"/>
          <w:highlight w:val="none"/>
        </w:rPr>
      </w:pPr>
      <w:r>
        <w:rPr>
          <w:rFonts w:hint="eastAsia" w:hAnsi="宋体" w:cs="宋体"/>
          <w:color w:val="auto"/>
          <w:szCs w:val="21"/>
          <w:highlight w:val="none"/>
        </w:rPr>
        <w:t>自有资金：_____________________________________________________</w:t>
      </w:r>
    </w:p>
    <w:p>
      <w:pPr>
        <w:pStyle w:val="201"/>
        <w:spacing w:line="360" w:lineRule="auto"/>
        <w:ind w:firstLine="735"/>
        <w:rPr>
          <w:rFonts w:hint="eastAsia" w:hAnsi="宋体" w:cs="宋体"/>
          <w:color w:val="auto"/>
          <w:szCs w:val="21"/>
          <w:highlight w:val="none"/>
        </w:rPr>
      </w:pPr>
      <w:r>
        <w:rPr>
          <w:rFonts w:hint="eastAsia" w:hAnsi="宋体" w:cs="宋体"/>
          <w:color w:val="auto"/>
          <w:szCs w:val="21"/>
          <w:highlight w:val="none"/>
        </w:rPr>
        <w:t>企业人数：______</w:t>
      </w:r>
      <w:r>
        <w:rPr>
          <w:rFonts w:hint="eastAsia" w:hAnsi="宋体" w:cs="宋体"/>
          <w:b/>
          <w:bCs/>
          <w:color w:val="auto"/>
          <w:szCs w:val="21"/>
          <w:highlight w:val="none"/>
        </w:rPr>
        <w:t>_</w:t>
      </w:r>
      <w:r>
        <w:rPr>
          <w:rFonts w:hint="eastAsia" w:hAnsi="宋体" w:cs="宋体"/>
          <w:color w:val="auto"/>
          <w:szCs w:val="21"/>
          <w:highlight w:val="none"/>
        </w:rPr>
        <w:t>人</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6．企业性质：________</w:t>
      </w:r>
      <w:r>
        <w:rPr>
          <w:rFonts w:hint="eastAsia" w:hAnsi="宋体" w:cs="宋体"/>
          <w:color w:val="auto"/>
          <w:szCs w:val="21"/>
          <w:highlight w:val="none"/>
          <w:u w:val="single"/>
        </w:rPr>
        <w:t>__</w:t>
      </w:r>
      <w:r>
        <w:rPr>
          <w:rFonts w:hint="eastAsia" w:hAnsi="宋体" w:cs="宋体"/>
          <w:color w:val="auto"/>
          <w:szCs w:val="21"/>
          <w:highlight w:val="none"/>
          <w:u w:val="single"/>
          <w:lang w:eastAsia="zh-CN"/>
        </w:rPr>
        <w:t xml:space="preserve">              </w:t>
      </w:r>
      <w:r>
        <w:rPr>
          <w:rFonts w:hint="eastAsia" w:hAnsi="宋体" w:cs="宋体"/>
          <w:color w:val="auto"/>
          <w:szCs w:val="21"/>
          <w:highlight w:val="none"/>
          <w:u w:val="single"/>
        </w:rPr>
        <w:t>_</w:t>
      </w:r>
      <w:r>
        <w:rPr>
          <w:rFonts w:hint="eastAsia" w:hAnsi="宋体" w:cs="宋体"/>
          <w:color w:val="auto"/>
          <w:szCs w:val="21"/>
          <w:highlight w:val="none"/>
          <w:lang w:eastAsia="zh-CN"/>
        </w:rPr>
        <w:t xml:space="preserve">  </w:t>
      </w:r>
      <w:r>
        <w:rPr>
          <w:rFonts w:hint="eastAsia" w:hAnsi="宋体" w:cs="宋体"/>
          <w:color w:val="auto"/>
          <w:szCs w:val="21"/>
          <w:highlight w:val="none"/>
        </w:rPr>
        <w:t xml:space="preserve"> </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 xml:space="preserve">7．主要经营地点：________________________________________________ </w:t>
      </w:r>
    </w:p>
    <w:p>
      <w:pPr>
        <w:pStyle w:val="201"/>
        <w:spacing w:line="360" w:lineRule="auto"/>
        <w:ind w:firstLine="420"/>
        <w:rPr>
          <w:rFonts w:hint="eastAsia" w:hAnsi="宋体" w:cs="宋体"/>
          <w:color w:val="auto"/>
          <w:szCs w:val="21"/>
          <w:highlight w:val="none"/>
        </w:rPr>
      </w:pPr>
      <w:r>
        <w:rPr>
          <w:rFonts w:hint="eastAsia" w:hAnsi="宋体" w:cs="宋体"/>
          <w:color w:val="auto"/>
          <w:szCs w:val="21"/>
          <w:highlight w:val="none"/>
        </w:rPr>
        <w:t>如有派出机构，请列出名称及详细通讯地址如下：________________</w:t>
      </w:r>
    </w:p>
    <w:p>
      <w:pPr>
        <w:pStyle w:val="201"/>
        <w:spacing w:line="360" w:lineRule="auto"/>
        <w:ind w:firstLine="420" w:firstLineChars="200"/>
        <w:rPr>
          <w:rFonts w:hint="eastAsia" w:hAnsi="宋体" w:cs="宋体"/>
          <w:color w:val="auto"/>
          <w:szCs w:val="21"/>
          <w:highlight w:val="none"/>
          <w:lang w:eastAsia="zh-CN"/>
        </w:rPr>
      </w:pPr>
      <w:r>
        <w:rPr>
          <w:rFonts w:hint="eastAsia" w:hAnsi="宋体" w:cs="宋体"/>
          <w:color w:val="auto"/>
          <w:szCs w:val="21"/>
          <w:highlight w:val="none"/>
        </w:rPr>
        <w:t>兹证明上述声明是真实、正确的，并提供了全部能提供的资料和数据，我们同意遵照贵方要求出示有关证明文件。</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cs="宋体"/>
          <w:color w:val="auto"/>
          <w:sz w:val="24"/>
          <w:highlight w:val="none"/>
        </w:rPr>
      </w:pPr>
      <w:bookmarkStart w:id="626" w:name="_Toc10316"/>
      <w:r>
        <w:rPr>
          <w:rFonts w:hint="eastAsia" w:ascii="宋体" w:hAnsi="宋体" w:cs="宋体"/>
          <w:color w:val="auto"/>
          <w:sz w:val="24"/>
          <w:highlight w:val="none"/>
        </w:rPr>
        <w:br w:type="page"/>
      </w:r>
      <w:r>
        <w:rPr>
          <w:rFonts w:hint="eastAsia" w:ascii="宋体" w:hAnsi="宋体" w:cs="宋体"/>
          <w:b/>
          <w:bCs/>
          <w:color w:val="auto"/>
          <w:sz w:val="24"/>
          <w:highlight w:val="none"/>
        </w:rPr>
        <w:t>▲</w:t>
      </w:r>
      <w:bookmarkEnd w:id="620"/>
      <w:bookmarkStart w:id="627" w:name="_Toc201"/>
      <w:bookmarkStart w:id="628" w:name="_Toc32445"/>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.8 无重大违法记录声明书格式</w:t>
      </w:r>
      <w:bookmarkEnd w:id="626"/>
      <w:bookmarkEnd w:id="627"/>
      <w:bookmarkEnd w:id="628"/>
    </w:p>
    <w:p>
      <w:pPr>
        <w:pStyle w:val="6"/>
        <w:ind w:firstLine="0"/>
        <w:rPr>
          <w:rFonts w:hint="eastAsia" w:ascii="宋体" w:hAnsi="宋体" w:cs="宋体"/>
          <w:color w:val="auto"/>
          <w:highlight w:val="none"/>
        </w:rPr>
      </w:pPr>
    </w:p>
    <w:p>
      <w:pPr>
        <w:pStyle w:val="6"/>
        <w:spacing w:line="360" w:lineRule="auto"/>
        <w:ind w:firstLine="0"/>
        <w:jc w:val="center"/>
        <w:rPr>
          <w:rFonts w:hint="eastAsia" w:ascii="宋体" w:hAnsi="宋体" w:cs="宋体"/>
          <w:b/>
          <w:color w:val="auto"/>
          <w:sz w:val="32"/>
          <w:szCs w:val="32"/>
          <w:highlight w:val="none"/>
        </w:rPr>
      </w:pPr>
      <w:r>
        <w:rPr>
          <w:rFonts w:hint="eastAsia" w:ascii="宋体" w:hAnsi="宋体" w:cs="宋体"/>
          <w:b/>
          <w:color w:val="auto"/>
          <w:sz w:val="28"/>
          <w:szCs w:val="28"/>
          <w:highlight w:val="none"/>
        </w:rPr>
        <w:t>无重大违法记录声明书</w:t>
      </w:r>
    </w:p>
    <w:p>
      <w:pPr>
        <w:pStyle w:val="122"/>
        <w:spacing w:line="360" w:lineRule="auto"/>
        <w:rPr>
          <w:rFonts w:hint="eastAsia" w:ascii="宋体" w:hAnsi="宋体" w:cs="宋体"/>
          <w:color w:val="auto"/>
          <w:spacing w:val="6"/>
          <w:szCs w:val="21"/>
          <w:highlight w:val="none"/>
        </w:rPr>
      </w:pPr>
      <w:r>
        <w:rPr>
          <w:rFonts w:hint="eastAsia" w:ascii="宋体" w:hAnsi="宋体" w:cs="宋体"/>
          <w:color w:val="auto"/>
          <w:szCs w:val="21"/>
          <w:highlight w:val="none"/>
          <w:u w:val="single"/>
        </w:rPr>
        <w:t>（采购代理机构名称）</w:t>
      </w:r>
      <w:r>
        <w:rPr>
          <w:rFonts w:hint="eastAsia" w:ascii="宋体" w:hAnsi="宋体" w:cs="宋体"/>
          <w:color w:val="auto"/>
          <w:spacing w:val="6"/>
          <w:szCs w:val="21"/>
          <w:highlight w:val="none"/>
        </w:rPr>
        <w:t>：</w:t>
      </w:r>
    </w:p>
    <w:p>
      <w:pPr>
        <w:pStyle w:val="122"/>
        <w:spacing w:line="360" w:lineRule="auto"/>
        <w:ind w:firstLine="444" w:firstLineChars="200"/>
        <w:rPr>
          <w:rFonts w:hint="eastAsia" w:ascii="宋体" w:hAnsi="宋体" w:cs="宋体"/>
          <w:color w:val="auto"/>
          <w:spacing w:val="6"/>
          <w:szCs w:val="21"/>
          <w:highlight w:val="none"/>
        </w:rPr>
      </w:pPr>
      <w:r>
        <w:rPr>
          <w:rFonts w:hint="eastAsia" w:ascii="宋体" w:hAnsi="宋体" w:cs="宋体"/>
          <w:color w:val="auto"/>
          <w:spacing w:val="6"/>
          <w:szCs w:val="21"/>
          <w:highlight w:val="none"/>
        </w:rPr>
        <w:t xml:space="preserve"> 我方参与的</w:t>
      </w:r>
      <w:r>
        <w:rPr>
          <w:rFonts w:hint="eastAsia" w:ascii="宋体" w:hAnsi="宋体" w:cs="宋体"/>
          <w:color w:val="auto"/>
          <w:spacing w:val="6"/>
          <w:szCs w:val="21"/>
          <w:highlight w:val="none"/>
          <w:u w:val="single"/>
        </w:rPr>
        <w:t xml:space="preserve">           </w:t>
      </w:r>
      <w:r>
        <w:rPr>
          <w:rFonts w:hint="eastAsia" w:ascii="宋体" w:hAnsi="宋体" w:cs="宋体"/>
          <w:color w:val="auto"/>
          <w:szCs w:val="21"/>
          <w:highlight w:val="none"/>
          <w:u w:val="single"/>
        </w:rPr>
        <w:t xml:space="preserve"> </w:t>
      </w:r>
      <w:r>
        <w:rPr>
          <w:rFonts w:hint="eastAsia" w:ascii="宋体" w:hAnsi="宋体" w:cs="宋体"/>
          <w:color w:val="auto"/>
          <w:spacing w:val="6"/>
          <w:szCs w:val="21"/>
          <w:highlight w:val="none"/>
          <w:u w:val="single"/>
        </w:rPr>
        <w:t xml:space="preserve">   （标项）    </w:t>
      </w:r>
      <w:r>
        <w:rPr>
          <w:rFonts w:hint="eastAsia" w:ascii="宋体" w:hAnsi="宋体" w:cs="宋体"/>
          <w:color w:val="auto"/>
          <w:spacing w:val="6"/>
          <w:szCs w:val="21"/>
          <w:highlight w:val="none"/>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122"/>
        <w:spacing w:line="360" w:lineRule="auto"/>
        <w:ind w:firstLine="444" w:firstLineChars="200"/>
        <w:rPr>
          <w:rFonts w:hint="eastAsia" w:ascii="宋体" w:hAnsi="宋体" w:cs="宋体"/>
          <w:color w:val="auto"/>
          <w:spacing w:val="6"/>
          <w:szCs w:val="21"/>
          <w:highlight w:val="none"/>
        </w:rPr>
      </w:pPr>
      <w:r>
        <w:rPr>
          <w:rFonts w:hint="eastAsia" w:ascii="宋体" w:hAnsi="宋体" w:cs="宋体"/>
          <w:color w:val="auto"/>
          <w:spacing w:val="6"/>
          <w:szCs w:val="21"/>
          <w:highlight w:val="none"/>
        </w:rPr>
        <w:t>特此声明。</w:t>
      </w:r>
    </w:p>
    <w:p>
      <w:pPr>
        <w:pStyle w:val="122"/>
        <w:spacing w:line="360" w:lineRule="auto"/>
        <w:rPr>
          <w:rFonts w:hint="eastAsia" w:ascii="宋体" w:hAnsi="宋体" w:cs="宋体"/>
          <w:color w:val="auto"/>
          <w:spacing w:val="6"/>
          <w:szCs w:val="21"/>
          <w:highlight w:val="none"/>
        </w:rPr>
      </w:pPr>
    </w:p>
    <w:p>
      <w:pPr>
        <w:pStyle w:val="122"/>
        <w:spacing w:line="360" w:lineRule="auto"/>
        <w:ind w:right="140"/>
        <w:jc w:val="left"/>
        <w:rPr>
          <w:rFonts w:hint="eastAsia" w:ascii="宋体" w:hAnsi="宋体" w:cs="宋体"/>
          <w:color w:val="auto"/>
          <w:spacing w:val="20"/>
          <w:szCs w:val="21"/>
          <w:highlight w:val="none"/>
        </w:rPr>
      </w:pP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Style w:val="121"/>
        <w:spacing w:line="360" w:lineRule="auto"/>
        <w:jc w:val="center"/>
        <w:rPr>
          <w:rFonts w:hint="eastAsia" w:hAnsi="宋体" w:cs="宋体"/>
          <w:b/>
          <w:bCs/>
          <w:color w:val="auto"/>
          <w:szCs w:val="21"/>
          <w:highlight w:val="none"/>
          <w:lang w:eastAsia="zh-CN"/>
        </w:rPr>
      </w:pPr>
    </w:p>
    <w:p>
      <w:pPr>
        <w:pStyle w:val="121"/>
        <w:spacing w:line="360" w:lineRule="auto"/>
        <w:jc w:val="center"/>
        <w:rPr>
          <w:rFonts w:hint="eastAsia" w:hAnsi="宋体" w:cs="宋体"/>
          <w:b/>
          <w:bCs/>
          <w:color w:val="auto"/>
          <w:highlight w:val="none"/>
          <w:lang w:eastAsia="zh-CN"/>
        </w:rPr>
      </w:pPr>
    </w:p>
    <w:p>
      <w:pPr>
        <w:pStyle w:val="41"/>
        <w:tabs>
          <w:tab w:val="left" w:pos="208"/>
        </w:tabs>
        <w:rPr>
          <w:rFonts w:hint="eastAsia" w:ascii="宋体" w:hAnsi="宋体" w:eastAsia="宋体" w:cs="宋体"/>
          <w:color w:val="auto"/>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spacing w:line="360" w:lineRule="auto"/>
        <w:ind w:firstLine="0"/>
        <w:rPr>
          <w:rFonts w:hint="eastAsia" w:ascii="宋体" w:hAnsi="宋体" w:cs="宋体"/>
          <w:b/>
          <w:bCs/>
          <w:color w:val="auto"/>
          <w:sz w:val="24"/>
          <w:szCs w:val="24"/>
          <w:highlight w:val="none"/>
        </w:rPr>
      </w:pPr>
    </w:p>
    <w:p>
      <w:pPr>
        <w:pStyle w:val="6"/>
        <w:keepNext w:val="0"/>
        <w:keepLines w:val="0"/>
        <w:pageBreakBefore w:val="0"/>
        <w:widowControl w:val="0"/>
        <w:kinsoku/>
        <w:wordWrap/>
        <w:overflowPunct/>
        <w:topLinePunct w:val="0"/>
        <w:autoSpaceDE/>
        <w:autoSpaceDN/>
        <w:bidi w:val="0"/>
        <w:adjustRightInd/>
        <w:snapToGrid/>
        <w:spacing w:line="400" w:lineRule="atLeast"/>
        <w:ind w:firstLine="0"/>
        <w:jc w:val="both"/>
        <w:textAlignment w:val="auto"/>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br w:type="page"/>
      </w: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rPr>
        <w:t>.9 企业类型声明函格式</w:t>
      </w:r>
    </w:p>
    <w:p>
      <w:pPr>
        <w:spacing w:before="162"/>
        <w:jc w:val="center"/>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2.9.1中小企业声明函（货物）</w:t>
      </w:r>
    </w:p>
    <w:p>
      <w:pPr>
        <w:pStyle w:val="18"/>
        <w:ind w:left="0"/>
        <w:rPr>
          <w:rFonts w:ascii="宋体"/>
          <w:b/>
          <w:sz w:val="20"/>
          <w:highlight w:val="none"/>
        </w:rPr>
      </w:pPr>
    </w:p>
    <w:p>
      <w:pPr>
        <w:pStyle w:val="18"/>
        <w:spacing w:before="2"/>
        <w:ind w:left="0"/>
        <w:rPr>
          <w:rFonts w:hint="eastAsia" w:ascii="宋体" w:hAnsi="宋体" w:eastAsia="宋体" w:cs="宋体"/>
          <w:b/>
          <w:sz w:val="24"/>
          <w:szCs w:val="24"/>
          <w:highlight w:val="none"/>
        </w:rPr>
      </w:pPr>
    </w:p>
    <w:p>
      <w:pPr>
        <w:pStyle w:val="18"/>
        <w:keepNext w:val="0"/>
        <w:keepLines w:val="0"/>
        <w:pageBreakBefore w:val="0"/>
        <w:widowControl w:val="0"/>
        <w:kinsoku/>
        <w:wordWrap/>
        <w:overflowPunct/>
        <w:topLinePunct w:val="0"/>
        <w:autoSpaceDE w:val="0"/>
        <w:autoSpaceDN w:val="0"/>
        <w:bidi w:val="0"/>
        <w:adjustRightInd/>
        <w:snapToGrid/>
        <w:spacing w:before="0" w:after="0" w:line="400" w:lineRule="exact"/>
        <w:ind w:left="0" w:right="0" w:firstLine="640"/>
        <w:textAlignment w:val="auto"/>
        <w:rPr>
          <w:rFonts w:hint="eastAsia" w:ascii="宋体" w:hAnsi="宋体" w:eastAsia="宋体" w:cs="宋体"/>
          <w:i w:val="0"/>
          <w:iCs w:val="0"/>
          <w:spacing w:val="11"/>
          <w:w w:val="95"/>
          <w:sz w:val="22"/>
          <w:szCs w:val="22"/>
          <w:highlight w:val="none"/>
        </w:rPr>
      </w:pPr>
      <w:r>
        <w:rPr>
          <w:rFonts w:hint="eastAsia" w:ascii="宋体" w:hAnsi="宋体" w:eastAsia="宋体" w:cs="宋体"/>
          <w:i w:val="0"/>
          <w:iCs w:val="0"/>
          <w:spacing w:val="11"/>
          <w:w w:val="95"/>
          <w:sz w:val="22"/>
          <w:szCs w:val="22"/>
          <w:highlight w:val="none"/>
        </w:rPr>
        <w:t>本公司（联合体）郑重声明，根据《政府采购促进中小企业发展管理办法》（财库﹝2020﹞46 号）的规定，本公司（联合体）参加</w:t>
      </w:r>
      <w:r>
        <w:rPr>
          <w:rFonts w:hint="eastAsia" w:ascii="宋体" w:hAnsi="宋体" w:eastAsia="宋体" w:cs="宋体"/>
          <w:i w:val="0"/>
          <w:iCs w:val="0"/>
          <w:spacing w:val="11"/>
          <w:w w:val="95"/>
          <w:sz w:val="22"/>
          <w:szCs w:val="22"/>
          <w:highlight w:val="none"/>
          <w:u w:val="single"/>
        </w:rPr>
        <w:t>（</w:t>
      </w:r>
      <w:r>
        <w:rPr>
          <w:rFonts w:hint="eastAsia" w:ascii="宋体" w:hAnsi="宋体" w:eastAsia="宋体" w:cs="宋体"/>
          <w:i w:val="0"/>
          <w:iCs w:val="0"/>
          <w:spacing w:val="11"/>
          <w:w w:val="95"/>
          <w:sz w:val="22"/>
          <w:szCs w:val="22"/>
          <w:highlight w:val="none"/>
          <w:u w:val="single"/>
          <w:lang w:val="en-US" w:eastAsia="zh-CN"/>
        </w:rPr>
        <w:t xml:space="preserve"> </w:t>
      </w:r>
      <w:r>
        <w:rPr>
          <w:rFonts w:hint="eastAsia" w:ascii="宋体" w:hAnsi="宋体" w:eastAsia="宋体" w:cs="宋体"/>
          <w:i w:val="0"/>
          <w:iCs w:val="0"/>
          <w:spacing w:val="11"/>
          <w:w w:val="95"/>
          <w:sz w:val="22"/>
          <w:szCs w:val="22"/>
          <w:highlight w:val="none"/>
          <w:u w:val="single"/>
        </w:rPr>
        <w:t>单位名称）</w:t>
      </w:r>
      <w:r>
        <w:rPr>
          <w:rFonts w:hint="eastAsia" w:ascii="宋体" w:hAnsi="宋体" w:eastAsia="宋体" w:cs="宋体"/>
          <w:i w:val="0"/>
          <w:iCs w:val="0"/>
          <w:spacing w:val="11"/>
          <w:w w:val="95"/>
          <w:sz w:val="22"/>
          <w:szCs w:val="22"/>
          <w:highlight w:val="none"/>
          <w:u w:val="single"/>
          <w:lang w:val="en-US" w:eastAsia="zh-CN"/>
        </w:rPr>
        <w:t xml:space="preserve">  </w:t>
      </w:r>
      <w:r>
        <w:rPr>
          <w:rFonts w:hint="eastAsia" w:ascii="宋体" w:hAnsi="宋体" w:eastAsia="宋体" w:cs="宋体"/>
          <w:i w:val="0"/>
          <w:iCs w:val="0"/>
          <w:spacing w:val="11"/>
          <w:w w:val="95"/>
          <w:sz w:val="22"/>
          <w:szCs w:val="22"/>
          <w:highlight w:val="none"/>
        </w:rPr>
        <w:t>的</w:t>
      </w:r>
      <w:r>
        <w:rPr>
          <w:rFonts w:hint="eastAsia" w:ascii="宋体" w:hAnsi="宋体" w:eastAsia="宋体" w:cs="宋体"/>
          <w:i w:val="0"/>
          <w:iCs w:val="0"/>
          <w:spacing w:val="11"/>
          <w:w w:val="95"/>
          <w:sz w:val="22"/>
          <w:szCs w:val="22"/>
          <w:highlight w:val="none"/>
          <w:u w:val="single"/>
        </w:rPr>
        <w:t>（项目名称）</w:t>
      </w:r>
      <w:r>
        <w:rPr>
          <w:rFonts w:hint="eastAsia" w:ascii="宋体" w:hAnsi="宋体" w:eastAsia="宋体" w:cs="宋体"/>
          <w:i w:val="0"/>
          <w:iCs w:val="0"/>
          <w:spacing w:val="11"/>
          <w:w w:val="95"/>
          <w:sz w:val="22"/>
          <w:szCs w:val="22"/>
          <w:highlight w:val="none"/>
          <w:u w:val="single"/>
          <w:lang w:val="en-US" w:eastAsia="zh-CN"/>
        </w:rPr>
        <w:t xml:space="preserve">  </w:t>
      </w:r>
      <w:r>
        <w:rPr>
          <w:rFonts w:hint="eastAsia" w:ascii="宋体" w:hAnsi="宋体" w:eastAsia="宋体" w:cs="宋体"/>
          <w:i w:val="0"/>
          <w:iCs w:val="0"/>
          <w:spacing w:val="11"/>
          <w:w w:val="95"/>
          <w:sz w:val="22"/>
          <w:szCs w:val="22"/>
          <w:highlight w:val="none"/>
        </w:rPr>
        <w:t>采购活动，提供的货物全部由符合政策要求的中小企业制造。相关企业（含联合体中的中小企业、签订分包意向协议的中小企业）的具体情况如下：</w:t>
      </w:r>
    </w:p>
    <w:p>
      <w:pPr>
        <w:pStyle w:val="18"/>
        <w:keepNext w:val="0"/>
        <w:keepLines w:val="0"/>
        <w:pageBreakBefore w:val="0"/>
        <w:widowControl w:val="0"/>
        <w:kinsoku/>
        <w:wordWrap/>
        <w:overflowPunct/>
        <w:topLinePunct w:val="0"/>
        <w:autoSpaceDE w:val="0"/>
        <w:autoSpaceDN w:val="0"/>
        <w:bidi w:val="0"/>
        <w:adjustRightInd/>
        <w:snapToGrid/>
        <w:spacing w:before="0" w:after="0" w:line="400" w:lineRule="exact"/>
        <w:ind w:right="0" w:firstLine="462" w:firstLineChars="200"/>
        <w:textAlignment w:val="auto"/>
        <w:rPr>
          <w:rFonts w:hint="eastAsia" w:ascii="宋体" w:hAnsi="宋体" w:eastAsia="宋体" w:cs="宋体"/>
          <w:i w:val="0"/>
          <w:iCs w:val="0"/>
          <w:spacing w:val="11"/>
          <w:w w:val="95"/>
          <w:sz w:val="22"/>
          <w:szCs w:val="22"/>
          <w:highlight w:val="none"/>
        </w:rPr>
      </w:pPr>
      <w:r>
        <w:rPr>
          <w:rFonts w:hint="eastAsia" w:ascii="宋体" w:hAnsi="宋体" w:eastAsia="宋体" w:cs="宋体"/>
          <w:i w:val="0"/>
          <w:iCs w:val="0"/>
          <w:spacing w:val="11"/>
          <w:w w:val="95"/>
          <w:sz w:val="22"/>
          <w:szCs w:val="22"/>
          <w:highlight w:val="none"/>
          <w:lang w:val="en-US" w:eastAsia="zh-CN"/>
        </w:rPr>
        <w:t>1、</w:t>
      </w:r>
      <w:r>
        <w:rPr>
          <w:rFonts w:hint="eastAsia" w:ascii="宋体" w:hAnsi="宋体" w:eastAsia="宋体" w:cs="宋体"/>
          <w:i w:val="0"/>
          <w:iCs w:val="0"/>
          <w:spacing w:val="11"/>
          <w:w w:val="95"/>
          <w:sz w:val="22"/>
          <w:szCs w:val="22"/>
          <w:highlight w:val="none"/>
          <w:u w:val="single"/>
        </w:rPr>
        <w:t>（ 标 的 名 称 ）</w:t>
      </w:r>
      <w:r>
        <w:rPr>
          <w:rFonts w:hint="eastAsia" w:ascii="宋体" w:hAnsi="宋体" w:eastAsia="宋体" w:cs="宋体"/>
          <w:i w:val="0"/>
          <w:iCs w:val="0"/>
          <w:spacing w:val="11"/>
          <w:w w:val="95"/>
          <w:sz w:val="22"/>
          <w:szCs w:val="22"/>
          <w:highlight w:val="none"/>
          <w:u w:val="single"/>
          <w:lang w:val="en-US" w:eastAsia="zh-CN"/>
        </w:rPr>
        <w:t xml:space="preserve">  </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rPr>
        <w:t>， 属 于</w:t>
      </w:r>
      <w:r>
        <w:rPr>
          <w:rFonts w:hint="eastAsia" w:ascii="宋体" w:hAnsi="宋体" w:eastAsia="宋体" w:cs="宋体"/>
          <w:i w:val="0"/>
          <w:iCs w:val="0"/>
          <w:spacing w:val="11"/>
          <w:w w:val="95"/>
          <w:sz w:val="22"/>
          <w:szCs w:val="22"/>
          <w:highlight w:val="none"/>
          <w:u w:val="single"/>
        </w:rPr>
        <w:t xml:space="preserve"> （ 采 购 文 件 中 明 确 的 所 属 行 业 ） </w:t>
      </w:r>
      <w:r>
        <w:rPr>
          <w:rFonts w:hint="eastAsia" w:ascii="宋体" w:hAnsi="宋体" w:eastAsia="宋体" w:cs="宋体"/>
          <w:i w:val="0"/>
          <w:iCs w:val="0"/>
          <w:spacing w:val="11"/>
          <w:w w:val="95"/>
          <w:sz w:val="22"/>
          <w:szCs w:val="22"/>
          <w:highlight w:val="none"/>
        </w:rPr>
        <w:t>行业；制造商为</w:t>
      </w:r>
      <w:r>
        <w:rPr>
          <w:rFonts w:hint="eastAsia" w:ascii="宋体" w:hAnsi="宋体" w:eastAsia="宋体" w:cs="宋体"/>
          <w:i w:val="0"/>
          <w:iCs w:val="0"/>
          <w:spacing w:val="11"/>
          <w:w w:val="95"/>
          <w:sz w:val="22"/>
          <w:szCs w:val="22"/>
          <w:highlight w:val="none"/>
          <w:u w:val="single"/>
        </w:rPr>
        <w:t>（企业名称）</w:t>
      </w:r>
      <w:r>
        <w:rPr>
          <w:rFonts w:hint="eastAsia" w:ascii="宋体" w:hAnsi="宋体" w:eastAsia="宋体" w:cs="宋体"/>
          <w:i w:val="0"/>
          <w:iCs w:val="0"/>
          <w:spacing w:val="11"/>
          <w:w w:val="95"/>
          <w:sz w:val="22"/>
          <w:szCs w:val="22"/>
          <w:highlight w:val="none"/>
        </w:rPr>
        <w:t>，从业人员</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u w:val="single"/>
        </w:rPr>
        <w:tab/>
      </w:r>
      <w:r>
        <w:rPr>
          <w:rFonts w:hint="eastAsia" w:ascii="宋体" w:hAnsi="宋体" w:eastAsia="宋体" w:cs="宋体"/>
          <w:i w:val="0"/>
          <w:iCs w:val="0"/>
          <w:spacing w:val="11"/>
          <w:w w:val="95"/>
          <w:sz w:val="22"/>
          <w:szCs w:val="22"/>
          <w:highlight w:val="none"/>
        </w:rPr>
        <w:t>人，营业收入为</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u w:val="single"/>
        </w:rPr>
        <w:tab/>
      </w:r>
      <w:r>
        <w:rPr>
          <w:rFonts w:hint="eastAsia" w:ascii="宋体" w:hAnsi="宋体" w:eastAsia="宋体" w:cs="宋体"/>
          <w:i w:val="0"/>
          <w:iCs w:val="0"/>
          <w:spacing w:val="11"/>
          <w:w w:val="95"/>
          <w:sz w:val="22"/>
          <w:szCs w:val="22"/>
          <w:highlight w:val="none"/>
        </w:rPr>
        <w:t>万元，资产总额为</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u w:val="single"/>
        </w:rPr>
        <w:tab/>
      </w:r>
      <w:r>
        <w:rPr>
          <w:rFonts w:hint="eastAsia" w:ascii="宋体" w:hAnsi="宋体" w:eastAsia="宋体" w:cs="宋体"/>
          <w:i w:val="0"/>
          <w:iCs w:val="0"/>
          <w:spacing w:val="11"/>
          <w:w w:val="95"/>
          <w:sz w:val="22"/>
          <w:szCs w:val="22"/>
          <w:highlight w:val="none"/>
        </w:rPr>
        <w:t>万元，属于</w:t>
      </w:r>
      <w:r>
        <w:rPr>
          <w:rFonts w:hint="eastAsia" w:ascii="宋体" w:hAnsi="宋体" w:eastAsia="宋体" w:cs="宋体"/>
          <w:i w:val="0"/>
          <w:iCs w:val="0"/>
          <w:spacing w:val="11"/>
          <w:w w:val="95"/>
          <w:sz w:val="22"/>
          <w:szCs w:val="22"/>
          <w:highlight w:val="none"/>
          <w:u w:val="single"/>
        </w:rPr>
        <w:t>（中型企业、小型企业、微型企业）</w:t>
      </w:r>
      <w:r>
        <w:rPr>
          <w:rFonts w:hint="eastAsia" w:ascii="宋体" w:hAnsi="宋体" w:eastAsia="宋体" w:cs="宋体"/>
          <w:i w:val="0"/>
          <w:iCs w:val="0"/>
          <w:spacing w:val="11"/>
          <w:w w:val="95"/>
          <w:sz w:val="22"/>
          <w:szCs w:val="22"/>
          <w:highlight w:val="none"/>
        </w:rPr>
        <w:t>；</w:t>
      </w:r>
    </w:p>
    <w:p>
      <w:pPr>
        <w:pStyle w:val="18"/>
        <w:keepNext w:val="0"/>
        <w:keepLines w:val="0"/>
        <w:pageBreakBefore w:val="0"/>
        <w:widowControl w:val="0"/>
        <w:kinsoku/>
        <w:wordWrap/>
        <w:overflowPunct/>
        <w:topLinePunct w:val="0"/>
        <w:autoSpaceDE w:val="0"/>
        <w:autoSpaceDN w:val="0"/>
        <w:bidi w:val="0"/>
        <w:adjustRightInd/>
        <w:snapToGrid/>
        <w:spacing w:before="0" w:after="0" w:line="400" w:lineRule="exact"/>
        <w:ind w:right="0" w:firstLine="462" w:firstLineChars="200"/>
        <w:textAlignment w:val="auto"/>
        <w:rPr>
          <w:rFonts w:hint="eastAsia" w:ascii="宋体" w:hAnsi="宋体" w:eastAsia="宋体" w:cs="宋体"/>
          <w:i w:val="0"/>
          <w:iCs w:val="0"/>
          <w:spacing w:val="11"/>
          <w:w w:val="95"/>
          <w:sz w:val="22"/>
          <w:szCs w:val="22"/>
          <w:highlight w:val="none"/>
        </w:rPr>
      </w:pPr>
      <w:r>
        <w:rPr>
          <w:rFonts w:hint="eastAsia" w:ascii="宋体" w:hAnsi="宋体" w:eastAsia="宋体" w:cs="宋体"/>
          <w:i w:val="0"/>
          <w:iCs w:val="0"/>
          <w:spacing w:val="11"/>
          <w:w w:val="95"/>
          <w:sz w:val="22"/>
          <w:szCs w:val="22"/>
          <w:highlight w:val="none"/>
          <w:lang w:val="en-US" w:eastAsia="zh-CN"/>
        </w:rPr>
        <w:t>2、</w:t>
      </w:r>
      <w:r>
        <w:rPr>
          <w:rFonts w:hint="eastAsia" w:ascii="宋体" w:hAnsi="宋体" w:eastAsia="宋体" w:cs="宋体"/>
          <w:i w:val="0"/>
          <w:iCs w:val="0"/>
          <w:spacing w:val="11"/>
          <w:w w:val="95"/>
          <w:sz w:val="22"/>
          <w:szCs w:val="22"/>
          <w:highlight w:val="none"/>
          <w:u w:val="single"/>
        </w:rPr>
        <w:t xml:space="preserve">（ 标 的 名 称 ） </w:t>
      </w:r>
      <w:r>
        <w:rPr>
          <w:rFonts w:hint="eastAsia" w:ascii="宋体" w:hAnsi="宋体" w:eastAsia="宋体" w:cs="宋体"/>
          <w:i w:val="0"/>
          <w:iCs w:val="0"/>
          <w:spacing w:val="11"/>
          <w:w w:val="95"/>
          <w:sz w:val="22"/>
          <w:szCs w:val="22"/>
          <w:highlight w:val="none"/>
        </w:rPr>
        <w:t xml:space="preserve">， 属 于 </w:t>
      </w:r>
      <w:r>
        <w:rPr>
          <w:rFonts w:hint="eastAsia" w:ascii="宋体" w:hAnsi="宋体" w:eastAsia="宋体" w:cs="宋体"/>
          <w:i w:val="0"/>
          <w:iCs w:val="0"/>
          <w:spacing w:val="11"/>
          <w:w w:val="95"/>
          <w:sz w:val="22"/>
          <w:szCs w:val="22"/>
          <w:highlight w:val="none"/>
          <w:u w:val="single"/>
        </w:rPr>
        <w:t xml:space="preserve">（ 采 购 文 件 中 明 确 的 所 属 行 业 ） </w:t>
      </w:r>
      <w:r>
        <w:rPr>
          <w:rFonts w:hint="eastAsia" w:ascii="宋体" w:hAnsi="宋体" w:eastAsia="宋体" w:cs="宋体"/>
          <w:i w:val="0"/>
          <w:iCs w:val="0"/>
          <w:spacing w:val="11"/>
          <w:w w:val="95"/>
          <w:sz w:val="22"/>
          <w:szCs w:val="22"/>
          <w:highlight w:val="none"/>
        </w:rPr>
        <w:t>行业；制造商为</w:t>
      </w:r>
      <w:r>
        <w:rPr>
          <w:rFonts w:hint="eastAsia" w:ascii="宋体" w:hAnsi="宋体" w:eastAsia="宋体" w:cs="宋体"/>
          <w:i w:val="0"/>
          <w:iCs w:val="0"/>
          <w:spacing w:val="11"/>
          <w:w w:val="95"/>
          <w:sz w:val="22"/>
          <w:szCs w:val="22"/>
          <w:highlight w:val="none"/>
          <w:u w:val="single"/>
        </w:rPr>
        <w:t>（企业名称）</w:t>
      </w:r>
      <w:r>
        <w:rPr>
          <w:rFonts w:hint="eastAsia" w:ascii="宋体" w:hAnsi="宋体" w:eastAsia="宋体" w:cs="宋体"/>
          <w:i w:val="0"/>
          <w:iCs w:val="0"/>
          <w:spacing w:val="11"/>
          <w:w w:val="95"/>
          <w:sz w:val="22"/>
          <w:szCs w:val="22"/>
          <w:highlight w:val="none"/>
        </w:rPr>
        <w:t>，从业人员</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u w:val="single"/>
        </w:rPr>
        <w:tab/>
      </w:r>
      <w:r>
        <w:rPr>
          <w:rFonts w:hint="eastAsia" w:ascii="宋体" w:hAnsi="宋体" w:eastAsia="宋体" w:cs="宋体"/>
          <w:i w:val="0"/>
          <w:iCs w:val="0"/>
          <w:spacing w:val="11"/>
          <w:w w:val="95"/>
          <w:sz w:val="22"/>
          <w:szCs w:val="22"/>
          <w:highlight w:val="none"/>
        </w:rPr>
        <w:t>人，营业收入为</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u w:val="single"/>
        </w:rPr>
        <w:tab/>
      </w:r>
      <w:r>
        <w:rPr>
          <w:rFonts w:hint="eastAsia" w:ascii="宋体" w:hAnsi="宋体" w:eastAsia="宋体" w:cs="宋体"/>
          <w:i w:val="0"/>
          <w:iCs w:val="0"/>
          <w:spacing w:val="11"/>
          <w:w w:val="95"/>
          <w:sz w:val="22"/>
          <w:szCs w:val="22"/>
          <w:highlight w:val="none"/>
        </w:rPr>
        <w:t>万元，资产总额为</w:t>
      </w:r>
      <w:r>
        <w:rPr>
          <w:rFonts w:hint="eastAsia" w:ascii="宋体" w:hAnsi="宋体" w:eastAsia="宋体" w:cs="宋体"/>
          <w:i w:val="0"/>
          <w:iCs w:val="0"/>
          <w:spacing w:val="11"/>
          <w:w w:val="95"/>
          <w:sz w:val="22"/>
          <w:szCs w:val="22"/>
          <w:highlight w:val="none"/>
          <w:u w:val="single"/>
        </w:rPr>
        <w:t xml:space="preserve"> </w:t>
      </w:r>
      <w:r>
        <w:rPr>
          <w:rFonts w:hint="eastAsia" w:ascii="宋体" w:hAnsi="宋体" w:eastAsia="宋体" w:cs="宋体"/>
          <w:i w:val="0"/>
          <w:iCs w:val="0"/>
          <w:spacing w:val="11"/>
          <w:w w:val="95"/>
          <w:sz w:val="22"/>
          <w:szCs w:val="22"/>
          <w:highlight w:val="none"/>
          <w:u w:val="single"/>
        </w:rPr>
        <w:tab/>
      </w:r>
      <w:r>
        <w:rPr>
          <w:rFonts w:hint="eastAsia" w:ascii="宋体" w:hAnsi="宋体" w:eastAsia="宋体" w:cs="宋体"/>
          <w:i w:val="0"/>
          <w:iCs w:val="0"/>
          <w:spacing w:val="11"/>
          <w:w w:val="95"/>
          <w:sz w:val="22"/>
          <w:szCs w:val="22"/>
          <w:highlight w:val="none"/>
        </w:rPr>
        <w:t>万元，属于</w:t>
      </w:r>
      <w:r>
        <w:rPr>
          <w:rFonts w:hint="eastAsia" w:ascii="宋体" w:hAnsi="宋体" w:eastAsia="宋体" w:cs="宋体"/>
          <w:i w:val="0"/>
          <w:iCs w:val="0"/>
          <w:spacing w:val="11"/>
          <w:w w:val="95"/>
          <w:sz w:val="22"/>
          <w:szCs w:val="22"/>
          <w:highlight w:val="none"/>
          <w:u w:val="single"/>
        </w:rPr>
        <w:t>（中型企业、小型企业、微型企业）</w:t>
      </w:r>
      <w:r>
        <w:rPr>
          <w:rFonts w:hint="eastAsia" w:ascii="宋体" w:hAnsi="宋体" w:eastAsia="宋体" w:cs="宋体"/>
          <w:i w:val="0"/>
          <w:iCs w:val="0"/>
          <w:spacing w:val="11"/>
          <w:w w:val="95"/>
          <w:sz w:val="22"/>
          <w:szCs w:val="22"/>
          <w:highlight w:val="none"/>
        </w:rPr>
        <w:t>；</w:t>
      </w:r>
    </w:p>
    <w:p>
      <w:pPr>
        <w:pStyle w:val="18"/>
        <w:keepNext w:val="0"/>
        <w:keepLines w:val="0"/>
        <w:pageBreakBefore w:val="0"/>
        <w:widowControl w:val="0"/>
        <w:kinsoku/>
        <w:wordWrap/>
        <w:overflowPunct/>
        <w:topLinePunct w:val="0"/>
        <w:autoSpaceDE w:val="0"/>
        <w:autoSpaceDN w:val="0"/>
        <w:bidi w:val="0"/>
        <w:adjustRightInd/>
        <w:snapToGrid/>
        <w:spacing w:before="0" w:after="0" w:line="400" w:lineRule="exact"/>
        <w:ind w:left="0" w:right="0" w:firstLine="640"/>
        <w:textAlignment w:val="auto"/>
        <w:rPr>
          <w:rFonts w:hint="eastAsia" w:ascii="宋体" w:hAnsi="宋体" w:eastAsia="宋体" w:cs="宋体"/>
          <w:i w:val="0"/>
          <w:iCs w:val="0"/>
          <w:spacing w:val="11"/>
          <w:w w:val="95"/>
          <w:sz w:val="22"/>
          <w:szCs w:val="22"/>
          <w:highlight w:val="none"/>
        </w:rPr>
      </w:pPr>
      <w:r>
        <w:rPr>
          <w:rFonts w:hint="eastAsia" w:ascii="宋体" w:hAnsi="宋体" w:eastAsia="宋体" w:cs="宋体"/>
          <w:i w:val="0"/>
          <w:iCs w:val="0"/>
          <w:spacing w:val="11"/>
          <w:w w:val="95"/>
          <w:sz w:val="22"/>
          <w:szCs w:val="22"/>
          <w:highlight w:val="none"/>
        </w:rPr>
        <w:t>……</w:t>
      </w:r>
    </w:p>
    <w:p>
      <w:pPr>
        <w:pStyle w:val="18"/>
        <w:keepNext w:val="0"/>
        <w:keepLines w:val="0"/>
        <w:pageBreakBefore w:val="0"/>
        <w:widowControl w:val="0"/>
        <w:kinsoku/>
        <w:wordWrap/>
        <w:overflowPunct/>
        <w:topLinePunct w:val="0"/>
        <w:autoSpaceDE w:val="0"/>
        <w:autoSpaceDN w:val="0"/>
        <w:bidi w:val="0"/>
        <w:adjustRightInd/>
        <w:snapToGrid/>
        <w:spacing w:before="0" w:after="0" w:line="400" w:lineRule="exact"/>
        <w:ind w:left="0" w:right="0" w:firstLine="640"/>
        <w:textAlignment w:val="auto"/>
        <w:rPr>
          <w:rFonts w:hint="eastAsia" w:ascii="宋体" w:hAnsi="宋体" w:eastAsia="宋体" w:cs="宋体"/>
          <w:i w:val="0"/>
          <w:iCs w:val="0"/>
          <w:spacing w:val="11"/>
          <w:w w:val="95"/>
          <w:sz w:val="22"/>
          <w:szCs w:val="22"/>
          <w:highlight w:val="none"/>
        </w:rPr>
      </w:pPr>
      <w:r>
        <w:rPr>
          <w:rFonts w:hint="eastAsia" w:ascii="宋体" w:hAnsi="宋体" w:eastAsia="宋体" w:cs="宋体"/>
          <w:i w:val="0"/>
          <w:iCs w:val="0"/>
          <w:spacing w:val="11"/>
          <w:w w:val="95"/>
          <w:sz w:val="22"/>
          <w:szCs w:val="22"/>
          <w:highlight w:val="none"/>
        </w:rPr>
        <w:t>以上企业，不属于大企业的分支机构，不存在控股股东为大企业的情形，也不存在与大企业的负责人为同一人的情形。</w:t>
      </w:r>
    </w:p>
    <w:p>
      <w:pPr>
        <w:pStyle w:val="18"/>
        <w:keepNext w:val="0"/>
        <w:keepLines w:val="0"/>
        <w:pageBreakBefore w:val="0"/>
        <w:widowControl w:val="0"/>
        <w:kinsoku/>
        <w:wordWrap/>
        <w:overflowPunct/>
        <w:topLinePunct w:val="0"/>
        <w:autoSpaceDE w:val="0"/>
        <w:autoSpaceDN w:val="0"/>
        <w:bidi w:val="0"/>
        <w:adjustRightInd/>
        <w:snapToGrid/>
        <w:spacing w:before="0" w:after="0" w:line="400" w:lineRule="exact"/>
        <w:ind w:left="0" w:right="0" w:firstLine="640"/>
        <w:textAlignment w:val="auto"/>
        <w:rPr>
          <w:rFonts w:hint="eastAsia" w:ascii="宋体" w:hAnsi="宋体" w:eastAsia="宋体" w:cs="宋体"/>
          <w:i w:val="0"/>
          <w:iCs w:val="0"/>
          <w:spacing w:val="11"/>
          <w:w w:val="95"/>
          <w:sz w:val="22"/>
          <w:szCs w:val="22"/>
          <w:highlight w:val="none"/>
        </w:rPr>
      </w:pPr>
      <w:r>
        <w:rPr>
          <w:rFonts w:hint="eastAsia" w:ascii="宋体" w:hAnsi="宋体" w:eastAsia="宋体" w:cs="宋体"/>
          <w:i w:val="0"/>
          <w:iCs w:val="0"/>
          <w:spacing w:val="11"/>
          <w:w w:val="95"/>
          <w:sz w:val="22"/>
          <w:szCs w:val="22"/>
          <w:highlight w:val="none"/>
        </w:rPr>
        <w:t>本企业对上述声明内容的真实性负责。如有虚假，将依法承担相应责任。</w:t>
      </w:r>
    </w:p>
    <w:p>
      <w:pPr>
        <w:pStyle w:val="18"/>
        <w:keepNext w:val="0"/>
        <w:keepLines w:val="0"/>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宋体" w:hAnsi="宋体" w:eastAsia="宋体" w:cs="宋体"/>
          <w:i w:val="0"/>
          <w:iCs w:val="0"/>
          <w:w w:val="99"/>
          <w:sz w:val="21"/>
          <w:szCs w:val="21"/>
          <w:highlight w:val="none"/>
        </w:rPr>
      </w:pPr>
    </w:p>
    <w:p>
      <w:pPr>
        <w:pStyle w:val="18"/>
        <w:keepNext w:val="0"/>
        <w:keepLines w:val="0"/>
        <w:pageBreakBefore w:val="0"/>
        <w:widowControl w:val="0"/>
        <w:kinsoku/>
        <w:wordWrap/>
        <w:overflowPunct/>
        <w:topLinePunct w:val="0"/>
        <w:autoSpaceDE w:val="0"/>
        <w:autoSpaceDN w:val="0"/>
        <w:bidi w:val="0"/>
        <w:adjustRightInd/>
        <w:snapToGrid/>
        <w:spacing w:before="0" w:line="400" w:lineRule="exact"/>
        <w:ind w:left="0" w:right="0"/>
        <w:textAlignment w:val="auto"/>
        <w:rPr>
          <w:rFonts w:hint="eastAsia" w:ascii="仿宋_GB2312" w:hAnsi="仿宋_GB2312" w:eastAsia="仿宋_GB2312" w:cs="仿宋_GB2312"/>
          <w:i w:val="0"/>
          <w:iCs w:val="0"/>
          <w:w w:val="99"/>
          <w:sz w:val="21"/>
          <w:szCs w:val="21"/>
          <w:highlight w:val="none"/>
        </w:rPr>
      </w:pPr>
    </w:p>
    <w:p>
      <w:pPr>
        <w:pStyle w:val="31"/>
        <w:snapToGrid w:val="0"/>
        <w:spacing w:line="360" w:lineRule="auto"/>
        <w:ind w:left="420" w:hanging="420"/>
        <w:jc w:val="left"/>
        <w:rPr>
          <w:rFonts w:hint="eastAsia" w:ascii="宋体" w:hAnsi="宋体" w:cs="宋体"/>
          <w:color w:val="auto"/>
          <w:sz w:val="21"/>
          <w:szCs w:val="21"/>
          <w:highlight w:val="none"/>
        </w:rPr>
      </w:pPr>
    </w:p>
    <w:p>
      <w:pPr>
        <w:pStyle w:val="22"/>
        <w:spacing w:before="120" w:after="120" w:line="360" w:lineRule="auto"/>
        <w:ind w:firstLine="2000" w:firstLineChars="800"/>
        <w:jc w:val="center"/>
        <w:rPr>
          <w:rFonts w:hint="eastAsia" w:hAnsi="宋体" w:cs="宋体"/>
          <w:color w:val="auto"/>
          <w:spacing w:val="20"/>
          <w:sz w:val="21"/>
          <w:szCs w:val="21"/>
          <w:highlight w:val="none"/>
          <w:u w:val="single"/>
        </w:rPr>
      </w:pPr>
      <w:r>
        <w:rPr>
          <w:rFonts w:hint="eastAsia" w:hAnsi="宋体" w:cs="宋体"/>
          <w:color w:val="auto"/>
          <w:spacing w:val="20"/>
          <w:sz w:val="21"/>
          <w:szCs w:val="21"/>
          <w:highlight w:val="none"/>
        </w:rPr>
        <w:t xml:space="preserve">  供应商盖章：</w:t>
      </w:r>
      <w:r>
        <w:rPr>
          <w:rFonts w:hint="eastAsia" w:hAnsi="宋体" w:cs="宋体"/>
          <w:color w:val="auto"/>
          <w:spacing w:val="20"/>
          <w:sz w:val="21"/>
          <w:szCs w:val="21"/>
          <w:highlight w:val="none"/>
          <w:u w:val="single"/>
        </w:rPr>
        <w:t xml:space="preserve">     </w:t>
      </w:r>
    </w:p>
    <w:p>
      <w:pPr>
        <w:pStyle w:val="22"/>
        <w:spacing w:before="120" w:after="120" w:line="360" w:lineRule="auto"/>
        <w:ind w:firstLine="2000" w:firstLineChars="800"/>
        <w:jc w:val="center"/>
        <w:rPr>
          <w:rFonts w:hint="eastAsia" w:hAnsi="宋体" w:cs="宋体"/>
          <w:color w:val="auto"/>
          <w:spacing w:val="6"/>
          <w:sz w:val="21"/>
          <w:szCs w:val="21"/>
          <w:highlight w:val="none"/>
        </w:rPr>
      </w:pPr>
      <w:r>
        <w:rPr>
          <w:rFonts w:hint="eastAsia" w:hAnsi="宋体" w:cs="宋体"/>
          <w:color w:val="auto"/>
          <w:spacing w:val="20"/>
          <w:sz w:val="21"/>
          <w:szCs w:val="21"/>
          <w:highlight w:val="none"/>
        </w:rPr>
        <w:t xml:space="preserve">  日     期：</w:t>
      </w:r>
      <w:r>
        <w:rPr>
          <w:rFonts w:hint="eastAsia" w:hAnsi="宋体" w:cs="宋体"/>
          <w:color w:val="auto"/>
          <w:spacing w:val="20"/>
          <w:sz w:val="21"/>
          <w:szCs w:val="21"/>
          <w:highlight w:val="none"/>
          <w:u w:val="single"/>
        </w:rPr>
        <w:t xml:space="preserve">     </w:t>
      </w:r>
    </w:p>
    <w:p>
      <w:pPr>
        <w:pStyle w:val="190"/>
        <w:spacing w:line="360" w:lineRule="auto"/>
        <w:jc w:val="left"/>
        <w:rPr>
          <w:rFonts w:hint="eastAsia" w:ascii="宋体" w:hAnsi="宋体" w:cs="宋体"/>
          <w:color w:val="auto"/>
          <w:spacing w:val="6"/>
          <w:sz w:val="24"/>
          <w:highlight w:val="none"/>
        </w:rPr>
      </w:pPr>
    </w:p>
    <w:p>
      <w:pPr>
        <w:pStyle w:val="190"/>
        <w:spacing w:line="360" w:lineRule="auto"/>
        <w:jc w:val="left"/>
        <w:rPr>
          <w:rFonts w:hint="eastAsia" w:ascii="宋体" w:hAnsi="宋体" w:cs="宋体"/>
          <w:color w:val="auto"/>
          <w:spacing w:val="6"/>
          <w:sz w:val="24"/>
          <w:highlight w:val="none"/>
        </w:rPr>
      </w:pPr>
    </w:p>
    <w:p>
      <w:pPr>
        <w:pStyle w:val="190"/>
        <w:spacing w:line="360" w:lineRule="auto"/>
        <w:jc w:val="left"/>
        <w:rPr>
          <w:rFonts w:hint="eastAsia" w:ascii="宋体" w:hAnsi="宋体" w:cs="宋体"/>
          <w:color w:val="auto"/>
          <w:spacing w:val="6"/>
          <w:sz w:val="24"/>
          <w:highlight w:val="none"/>
        </w:rPr>
      </w:pPr>
    </w:p>
    <w:p>
      <w:pPr>
        <w:pStyle w:val="190"/>
        <w:spacing w:line="360" w:lineRule="auto"/>
        <w:jc w:val="left"/>
        <w:rPr>
          <w:rFonts w:hint="eastAsia" w:ascii="宋体" w:hAnsi="宋体" w:cs="宋体"/>
          <w:color w:val="auto"/>
          <w:spacing w:val="6"/>
          <w:szCs w:val="21"/>
          <w:highlight w:val="none"/>
        </w:rPr>
      </w:pPr>
    </w:p>
    <w:p>
      <w:pPr>
        <w:pStyle w:val="190"/>
        <w:spacing w:line="360" w:lineRule="auto"/>
        <w:jc w:val="left"/>
        <w:rPr>
          <w:rFonts w:hint="eastAsia" w:ascii="宋体" w:hAnsi="宋体" w:cs="宋体"/>
          <w:color w:val="auto"/>
          <w:spacing w:val="6"/>
          <w:szCs w:val="21"/>
          <w:highlight w:val="none"/>
        </w:rPr>
      </w:pPr>
    </w:p>
    <w:p>
      <w:pPr>
        <w:pStyle w:val="190"/>
        <w:spacing w:line="360" w:lineRule="auto"/>
        <w:jc w:val="left"/>
        <w:rPr>
          <w:rFonts w:hint="eastAsia" w:ascii="宋体" w:hAnsi="宋体" w:cs="宋体"/>
          <w:color w:val="auto"/>
          <w:spacing w:val="6"/>
          <w:szCs w:val="21"/>
          <w:highlight w:val="none"/>
        </w:rPr>
      </w:pPr>
    </w:p>
    <w:p>
      <w:pPr>
        <w:pStyle w:val="6"/>
        <w:spacing w:line="360" w:lineRule="auto"/>
        <w:ind w:firstLine="0"/>
        <w:jc w:val="center"/>
        <w:rPr>
          <w:rFonts w:hint="eastAsia" w:ascii="宋体" w:hAnsi="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br w:type="page"/>
      </w:r>
    </w:p>
    <w:p>
      <w:pPr>
        <w:pStyle w:val="6"/>
        <w:spacing w:line="360" w:lineRule="auto"/>
        <w:ind w:firstLine="0"/>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28"/>
          <w:szCs w:val="28"/>
          <w:highlight w:val="none"/>
          <w:lang w:val="en-US" w:eastAsia="zh-CN"/>
        </w:rPr>
        <w:t>2</w:t>
      </w:r>
      <w:r>
        <w:rPr>
          <w:rFonts w:hint="eastAsia" w:ascii="宋体" w:hAnsi="宋体" w:cs="宋体"/>
          <w:b/>
          <w:color w:val="auto"/>
          <w:sz w:val="28"/>
          <w:szCs w:val="28"/>
          <w:highlight w:val="none"/>
        </w:rPr>
        <w:t>.9.2监狱企业声明函（监狱企业提供）</w:t>
      </w:r>
      <w:r>
        <w:rPr>
          <w:rFonts w:hint="eastAsia" w:ascii="宋体" w:hAnsi="宋体" w:cs="宋体"/>
          <w:b/>
          <w:color w:val="auto"/>
          <w:sz w:val="28"/>
          <w:szCs w:val="28"/>
          <w:highlight w:val="none"/>
          <w:lang w:eastAsia="zh-CN"/>
        </w:rPr>
        <w:t>（如果有）</w:t>
      </w:r>
    </w:p>
    <w:p>
      <w:pPr>
        <w:pStyle w:val="6"/>
        <w:spacing w:line="360" w:lineRule="auto"/>
        <w:ind w:firstLine="0"/>
        <w:jc w:val="center"/>
        <w:rPr>
          <w:rFonts w:hint="eastAsia" w:ascii="宋体" w:hAnsi="宋体" w:cs="宋体"/>
          <w:color w:val="auto"/>
          <w:szCs w:val="21"/>
          <w:highlight w:val="none"/>
        </w:rPr>
      </w:pPr>
    </w:p>
    <w:p>
      <w:pPr>
        <w:pStyle w:val="216"/>
        <w:spacing w:line="360" w:lineRule="auto"/>
        <w:ind w:firstLine="444" w:firstLineChars="200"/>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本公司郑重声明，根据</w:t>
      </w:r>
      <w:r>
        <w:rPr>
          <w:rFonts w:hint="eastAsia" w:ascii="宋体" w:hAnsi="宋体" w:eastAsia="宋体" w:cs="宋体"/>
          <w:bCs/>
          <w:color w:val="auto"/>
          <w:szCs w:val="21"/>
          <w:highlight w:val="none"/>
        </w:rPr>
        <w:t>《财政部、司法部关于政府采购支持监狱企业发展有关问题的通知》（财库〔2014〕68号）</w:t>
      </w:r>
      <w:r>
        <w:rPr>
          <w:rFonts w:hint="eastAsia" w:ascii="宋体" w:hAnsi="宋体" w:eastAsia="宋体" w:cs="宋体"/>
          <w:color w:val="auto"/>
          <w:spacing w:val="6"/>
          <w:szCs w:val="21"/>
          <w:highlight w:val="none"/>
        </w:rPr>
        <w:t>的规定，本公司为监狱企业。</w:t>
      </w:r>
    </w:p>
    <w:p>
      <w:pPr>
        <w:pStyle w:val="216"/>
        <w:spacing w:line="360" w:lineRule="auto"/>
        <w:ind w:firstLine="444" w:firstLineChars="200"/>
        <w:rPr>
          <w:rFonts w:hint="eastAsia" w:ascii="宋体" w:hAnsi="宋体" w:eastAsia="宋体" w:cs="宋体"/>
          <w:color w:val="auto"/>
          <w:szCs w:val="21"/>
          <w:highlight w:val="none"/>
        </w:rPr>
      </w:pPr>
      <w:r>
        <w:rPr>
          <w:rFonts w:hint="eastAsia" w:ascii="宋体" w:hAnsi="宋体" w:eastAsia="宋体" w:cs="宋体"/>
          <w:color w:val="auto"/>
          <w:spacing w:val="6"/>
          <w:szCs w:val="21"/>
          <w:highlight w:val="none"/>
        </w:rPr>
        <w:t>本公司参加</w:t>
      </w:r>
      <w:r>
        <w:rPr>
          <w:rFonts w:hint="eastAsia" w:ascii="宋体" w:hAnsi="宋体" w:eastAsia="宋体" w:cs="宋体"/>
          <w:color w:val="auto"/>
          <w:spacing w:val="6"/>
          <w:szCs w:val="21"/>
          <w:highlight w:val="none"/>
          <w:u w:val="single"/>
        </w:rPr>
        <w:t>（采购人名称）</w:t>
      </w:r>
      <w:r>
        <w:rPr>
          <w:rFonts w:hint="eastAsia" w:ascii="宋体" w:hAnsi="宋体" w:eastAsia="宋体" w:cs="宋体"/>
          <w:color w:val="auto"/>
          <w:spacing w:val="6"/>
          <w:szCs w:val="21"/>
          <w:highlight w:val="none"/>
        </w:rPr>
        <w:t>的</w:t>
      </w:r>
      <w:r>
        <w:rPr>
          <w:rFonts w:hint="eastAsia" w:ascii="宋体" w:hAnsi="宋体" w:eastAsia="宋体" w:cs="宋体"/>
          <w:color w:val="auto"/>
          <w:spacing w:val="6"/>
          <w:szCs w:val="21"/>
          <w:highlight w:val="none"/>
          <w:u w:val="single"/>
        </w:rPr>
        <w:t>（项目名称）（项目编号）（标项）</w:t>
      </w:r>
      <w:r>
        <w:rPr>
          <w:rFonts w:hint="eastAsia" w:ascii="宋体" w:hAnsi="宋体" w:eastAsia="宋体" w:cs="宋体"/>
          <w:color w:val="auto"/>
          <w:spacing w:val="6"/>
          <w:szCs w:val="21"/>
          <w:highlight w:val="none"/>
        </w:rPr>
        <w:t>供本企业制造的产品（产品名称见下表一），由本企业承担工程、提供服务，或者提供其他监狱企业制造的产品（产品名称见表二）。本条所称产品不包括使用其他监狱企业制造的产品。</w:t>
      </w: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pPr>
              <w:pStyle w:val="216"/>
              <w:spacing w:line="360" w:lineRule="auto"/>
              <w:rPr>
                <w:rFonts w:hint="eastAsia" w:ascii="宋体" w:hAnsi="宋体" w:cs="宋体"/>
                <w:color w:val="auto"/>
                <w:szCs w:val="21"/>
                <w:highlight w:val="none"/>
              </w:rPr>
            </w:pPr>
            <w:r>
              <w:rPr>
                <w:rFonts w:hint="eastAsia" w:ascii="宋体" w:hAnsi="宋体" w:cs="宋体"/>
                <w:color w:val="auto"/>
                <w:szCs w:val="21"/>
                <w:highlight w:val="none"/>
              </w:rPr>
              <w:t>表一</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备注</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bl>
    <w:p>
      <w:pPr>
        <w:pStyle w:val="216"/>
        <w:spacing w:line="360" w:lineRule="auto"/>
        <w:ind w:firstLine="420" w:firstLineChars="200"/>
        <w:rPr>
          <w:rFonts w:hint="eastAsia" w:ascii="宋体" w:hAnsi="宋体" w:cs="宋体"/>
          <w:color w:val="auto"/>
          <w:szCs w:val="21"/>
          <w:highlight w:val="none"/>
        </w:rPr>
      </w:pP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pPr>
              <w:pStyle w:val="216"/>
              <w:spacing w:line="360" w:lineRule="auto"/>
              <w:rPr>
                <w:rFonts w:hint="eastAsia" w:ascii="宋体" w:hAnsi="宋体" w:cs="宋体"/>
                <w:color w:val="auto"/>
                <w:szCs w:val="21"/>
                <w:highlight w:val="none"/>
              </w:rPr>
            </w:pPr>
            <w:r>
              <w:rPr>
                <w:rFonts w:hint="eastAsia" w:ascii="宋体" w:hAnsi="宋体" w:cs="宋体"/>
                <w:color w:val="auto"/>
                <w:szCs w:val="21"/>
                <w:highlight w:val="none"/>
              </w:rPr>
              <w:t>表二</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备注</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bl>
    <w:p>
      <w:pPr>
        <w:pStyle w:val="216"/>
        <w:spacing w:line="360" w:lineRule="auto"/>
        <w:ind w:firstLine="444" w:firstLineChars="200"/>
        <w:rPr>
          <w:rFonts w:hint="eastAsia" w:ascii="宋体" w:hAnsi="宋体" w:cs="宋体"/>
          <w:color w:val="auto"/>
          <w:spacing w:val="6"/>
          <w:szCs w:val="21"/>
          <w:highlight w:val="none"/>
        </w:rPr>
      </w:pPr>
      <w:r>
        <w:rPr>
          <w:rFonts w:hint="eastAsia" w:ascii="宋体" w:hAnsi="宋体" w:cs="宋体"/>
          <w:color w:val="auto"/>
          <w:spacing w:val="6"/>
          <w:szCs w:val="21"/>
          <w:highlight w:val="none"/>
        </w:rPr>
        <w:t>本公司对上述声明的真实性负责。如有虚假，将依法承担相应责任。</w:t>
      </w:r>
    </w:p>
    <w:p>
      <w:pPr>
        <w:pStyle w:val="31"/>
        <w:snapToGrid w:val="0"/>
        <w:spacing w:line="360" w:lineRule="auto"/>
        <w:ind w:left="422" w:hanging="422"/>
        <w:jc w:val="left"/>
        <w:rPr>
          <w:rFonts w:hint="eastAsia" w:ascii="宋体" w:hAnsi="宋体" w:cs="宋体"/>
          <w:b/>
          <w:color w:val="auto"/>
          <w:szCs w:val="21"/>
          <w:highlight w:val="none"/>
        </w:rPr>
      </w:pPr>
    </w:p>
    <w:p>
      <w:pPr>
        <w:pStyle w:val="31"/>
        <w:wordWrap w:val="0"/>
        <w:snapToGrid w:val="0"/>
        <w:spacing w:line="360" w:lineRule="auto"/>
        <w:ind w:left="420" w:hanging="420"/>
        <w:jc w:val="right"/>
        <w:rPr>
          <w:rFonts w:hint="eastAsia" w:ascii="宋体" w:hAnsi="宋体" w:cs="宋体"/>
          <w:color w:val="auto"/>
          <w:szCs w:val="21"/>
          <w:highlight w:val="none"/>
        </w:rPr>
      </w:pPr>
      <w:r>
        <w:rPr>
          <w:rFonts w:hint="eastAsia" w:ascii="宋体" w:hAnsi="宋体" w:cs="宋体"/>
          <w:color w:val="auto"/>
          <w:szCs w:val="21"/>
          <w:highlight w:val="none"/>
        </w:rPr>
        <w:t>监狱企业盖章：</w:t>
      </w:r>
      <w:r>
        <w:rPr>
          <w:rFonts w:hint="eastAsia" w:ascii="宋体" w:hAnsi="宋体" w:cs="宋体"/>
          <w:color w:val="auto"/>
          <w:szCs w:val="21"/>
          <w:highlight w:val="none"/>
          <w:u w:val="single"/>
        </w:rPr>
        <w:t xml:space="preserve">            </w:t>
      </w:r>
    </w:p>
    <w:p>
      <w:pPr>
        <w:pStyle w:val="190"/>
        <w:wordWrap w:val="0"/>
        <w:spacing w:line="360" w:lineRule="auto"/>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Style w:val="31"/>
        <w:snapToGrid w:val="0"/>
        <w:spacing w:line="360" w:lineRule="auto"/>
        <w:ind w:left="666" w:hanging="666" w:hangingChars="300"/>
        <w:jc w:val="left"/>
        <w:rPr>
          <w:rFonts w:hint="eastAsia" w:ascii="宋体" w:hAnsi="宋体" w:cs="宋体"/>
          <w:color w:val="auto"/>
          <w:spacing w:val="6"/>
          <w:szCs w:val="21"/>
          <w:highlight w:val="none"/>
        </w:rPr>
      </w:pPr>
    </w:p>
    <w:p>
      <w:pPr>
        <w:spacing w:line="360" w:lineRule="auto"/>
        <w:ind w:firstLine="482"/>
        <w:jc w:val="left"/>
        <w:rPr>
          <w:rFonts w:hint="eastAsia" w:ascii="宋体" w:hAnsi="宋体" w:cs="宋体"/>
          <w:color w:val="auto"/>
          <w:kern w:val="0"/>
          <w:szCs w:val="21"/>
          <w:highlight w:val="none"/>
        </w:rPr>
      </w:pPr>
    </w:p>
    <w:p>
      <w:pPr>
        <w:spacing w:line="360" w:lineRule="auto"/>
        <w:ind w:firstLine="482"/>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注：1.须附省级以上监狱管理局、戒毒管理局（含新疆生产建设兵团）出具的属于监狱企业的证明文件，否则视为供应商放弃相关政策优惠处理；</w:t>
      </w:r>
    </w:p>
    <w:p>
      <w:pPr>
        <w:spacing w:line="360" w:lineRule="auto"/>
        <w:ind w:firstLine="482"/>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2.供应商提供的是其他小微、监狱、残疾人福利性企业制造的产品，还需提供制造企业声明函。</w:t>
      </w:r>
    </w:p>
    <w:p>
      <w:pPr>
        <w:pStyle w:val="216"/>
        <w:tabs>
          <w:tab w:val="left" w:pos="4860"/>
        </w:tabs>
        <w:spacing w:line="360" w:lineRule="auto"/>
        <w:ind w:right="1559" w:firstLine="420" w:firstLineChars="200"/>
        <w:jc w:val="left"/>
        <w:rPr>
          <w:rFonts w:hint="eastAsia" w:ascii="宋体" w:hAnsi="宋体" w:cs="宋体"/>
          <w:color w:val="auto"/>
          <w:szCs w:val="21"/>
          <w:highlight w:val="none"/>
        </w:rPr>
      </w:pPr>
    </w:p>
    <w:p>
      <w:pPr>
        <w:pStyle w:val="216"/>
        <w:tabs>
          <w:tab w:val="left" w:pos="4860"/>
        </w:tabs>
        <w:spacing w:line="360" w:lineRule="auto"/>
        <w:ind w:right="1559" w:firstLine="420" w:firstLineChars="200"/>
        <w:jc w:val="left"/>
        <w:rPr>
          <w:rFonts w:hint="eastAsia" w:ascii="宋体" w:hAnsi="宋体" w:cs="宋体"/>
          <w:color w:val="auto"/>
          <w:szCs w:val="21"/>
          <w:highlight w:val="none"/>
        </w:rPr>
        <w:sectPr>
          <w:pgSz w:w="11905" w:h="16838"/>
          <w:pgMar w:top="1440" w:right="1083" w:bottom="1440" w:left="1083" w:header="1134" w:footer="1134" w:gutter="0"/>
          <w:paperSrc/>
          <w:pgNumType w:fmt="decimal"/>
          <w:cols w:space="720" w:num="1"/>
          <w:titlePg/>
          <w:rtlGutter w:val="0"/>
          <w:docGrid w:linePitch="312" w:charSpace="0"/>
        </w:sectPr>
      </w:pPr>
    </w:p>
    <w:p>
      <w:pPr>
        <w:pStyle w:val="6"/>
        <w:spacing w:line="360" w:lineRule="auto"/>
        <w:ind w:firstLine="0"/>
        <w:jc w:val="center"/>
        <w:rPr>
          <w:rFonts w:hint="eastAsia" w:ascii="宋体" w:hAnsi="宋体" w:cs="宋体"/>
          <w:b/>
          <w:color w:val="auto"/>
          <w:sz w:val="28"/>
          <w:szCs w:val="28"/>
          <w:highlight w:val="none"/>
          <w:lang w:val="en-US" w:eastAsia="zh-CN"/>
        </w:rPr>
      </w:pPr>
    </w:p>
    <w:p>
      <w:pPr>
        <w:pStyle w:val="6"/>
        <w:spacing w:line="360" w:lineRule="auto"/>
        <w:ind w:firstLine="0"/>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28"/>
          <w:szCs w:val="28"/>
          <w:highlight w:val="none"/>
          <w:lang w:val="en-US" w:eastAsia="zh-CN"/>
        </w:rPr>
        <w:t>2</w:t>
      </w:r>
      <w:r>
        <w:rPr>
          <w:rFonts w:hint="eastAsia" w:ascii="宋体" w:hAnsi="宋体" w:cs="宋体"/>
          <w:b/>
          <w:color w:val="auto"/>
          <w:sz w:val="28"/>
          <w:szCs w:val="28"/>
          <w:highlight w:val="none"/>
        </w:rPr>
        <w:t>.9.3残疾人福利性企业声明函（残疾人福利性企业提供）</w:t>
      </w:r>
      <w:r>
        <w:rPr>
          <w:rFonts w:hint="eastAsia" w:ascii="宋体" w:hAnsi="宋体" w:cs="宋体"/>
          <w:b/>
          <w:color w:val="auto"/>
          <w:sz w:val="28"/>
          <w:szCs w:val="28"/>
          <w:highlight w:val="none"/>
          <w:lang w:eastAsia="zh-CN"/>
        </w:rPr>
        <w:t>（如果有）</w:t>
      </w:r>
    </w:p>
    <w:p>
      <w:pPr>
        <w:spacing w:line="360" w:lineRule="auto"/>
        <w:rPr>
          <w:rFonts w:hint="eastAsia" w:ascii="宋体" w:hAnsi="宋体" w:cs="宋体"/>
          <w:color w:val="auto"/>
          <w:szCs w:val="21"/>
          <w:highlight w:val="none"/>
        </w:rPr>
      </w:pP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本单位郑重声明，根据《财政部 民政部 中国残疾人联合会关于促进残疾人就业政府采购政策的通知》（财库〔2017〕141号）的规定，本企业为符合条件的残疾人福利性单位，且本单位参加</w:t>
      </w:r>
      <w:r>
        <w:rPr>
          <w:rFonts w:hint="eastAsia" w:ascii="宋体" w:hAnsi="宋体" w:cs="宋体"/>
          <w:color w:val="auto"/>
          <w:spacing w:val="6"/>
          <w:szCs w:val="21"/>
          <w:highlight w:val="none"/>
          <w:u w:val="single"/>
        </w:rPr>
        <w:t>（采购人名称）</w:t>
      </w:r>
      <w:r>
        <w:rPr>
          <w:rFonts w:hint="eastAsia" w:ascii="宋体" w:hAnsi="宋体" w:cs="宋体"/>
          <w:color w:val="auto"/>
          <w:spacing w:val="6"/>
          <w:szCs w:val="21"/>
          <w:highlight w:val="none"/>
        </w:rPr>
        <w:t>的</w:t>
      </w:r>
      <w:r>
        <w:rPr>
          <w:rFonts w:hint="eastAsia" w:ascii="宋体" w:hAnsi="宋体" w:cs="宋体"/>
          <w:color w:val="auto"/>
          <w:spacing w:val="6"/>
          <w:szCs w:val="21"/>
          <w:highlight w:val="none"/>
          <w:u w:val="single"/>
        </w:rPr>
        <w:t>（项目名称）（项目编号）（标项）</w:t>
      </w:r>
      <w:r>
        <w:rPr>
          <w:rFonts w:hint="eastAsia" w:ascii="宋体" w:hAnsi="宋体" w:cs="宋体"/>
          <w:color w:val="auto"/>
          <w:szCs w:val="21"/>
          <w:highlight w:val="none"/>
        </w:rPr>
        <w:t>项目采购活动提供本单位制造的产品（产品名称见下表一），由本单位承接工程、提供服务，或者提供其他残疾人福利性单位制造的产品（产品名称见下表二），本条不包括使用非残疾人福利性单位注册商标的货物。</w:t>
      </w: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pPr>
              <w:pStyle w:val="216"/>
              <w:spacing w:line="360" w:lineRule="auto"/>
              <w:rPr>
                <w:rFonts w:hint="eastAsia" w:ascii="宋体" w:hAnsi="宋体" w:cs="宋体"/>
                <w:color w:val="auto"/>
                <w:szCs w:val="21"/>
                <w:highlight w:val="none"/>
              </w:rPr>
            </w:pPr>
            <w:r>
              <w:rPr>
                <w:rFonts w:hint="eastAsia" w:ascii="宋体" w:hAnsi="宋体" w:cs="宋体"/>
                <w:color w:val="auto"/>
                <w:szCs w:val="21"/>
                <w:highlight w:val="none"/>
              </w:rPr>
              <w:t>表一</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备注</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bl>
    <w:p>
      <w:pPr>
        <w:pStyle w:val="216"/>
        <w:spacing w:line="360" w:lineRule="auto"/>
        <w:ind w:firstLine="420" w:firstLineChars="200"/>
        <w:rPr>
          <w:rFonts w:hint="eastAsia" w:ascii="宋体" w:hAnsi="宋体" w:cs="宋体"/>
          <w:color w:val="auto"/>
          <w:szCs w:val="21"/>
          <w:highlight w:val="none"/>
        </w:rPr>
      </w:pPr>
    </w:p>
    <w:tbl>
      <w:tblPr>
        <w:tblStyle w:val="43"/>
        <w:tblW w:w="0" w:type="auto"/>
        <w:jc w:val="center"/>
        <w:tblLayout w:type="fixed"/>
        <w:tblCellMar>
          <w:top w:w="0" w:type="dxa"/>
          <w:left w:w="108" w:type="dxa"/>
          <w:bottom w:w="0" w:type="dxa"/>
          <w:right w:w="108" w:type="dxa"/>
        </w:tblCellMar>
      </w:tblPr>
      <w:tblGrid>
        <w:gridCol w:w="699"/>
        <w:gridCol w:w="1490"/>
        <w:gridCol w:w="1491"/>
        <w:gridCol w:w="1490"/>
        <w:gridCol w:w="1491"/>
        <w:gridCol w:w="2476"/>
      </w:tblGrid>
      <w:tr>
        <w:tblPrEx>
          <w:tblCellMar>
            <w:top w:w="0" w:type="dxa"/>
            <w:left w:w="108" w:type="dxa"/>
            <w:bottom w:w="0" w:type="dxa"/>
            <w:right w:w="108" w:type="dxa"/>
          </w:tblCellMar>
        </w:tblPrEx>
        <w:trPr>
          <w:trHeight w:val="454" w:hRule="atLeast"/>
          <w:jc w:val="center"/>
        </w:trPr>
        <w:tc>
          <w:tcPr>
            <w:tcW w:w="9137" w:type="dxa"/>
            <w:gridSpan w:val="6"/>
            <w:tcBorders>
              <w:bottom w:val="single" w:color="auto" w:sz="4" w:space="0"/>
            </w:tcBorders>
            <w:noWrap w:val="0"/>
            <w:vAlign w:val="center"/>
          </w:tcPr>
          <w:p>
            <w:pPr>
              <w:pStyle w:val="216"/>
              <w:spacing w:line="360" w:lineRule="auto"/>
              <w:rPr>
                <w:rFonts w:hint="eastAsia" w:ascii="宋体" w:hAnsi="宋体" w:cs="宋体"/>
                <w:color w:val="auto"/>
                <w:szCs w:val="21"/>
                <w:highlight w:val="none"/>
              </w:rPr>
            </w:pPr>
            <w:r>
              <w:rPr>
                <w:rFonts w:hint="eastAsia" w:ascii="宋体" w:hAnsi="宋体" w:cs="宋体"/>
                <w:color w:val="auto"/>
                <w:szCs w:val="21"/>
                <w:highlight w:val="none"/>
              </w:rPr>
              <w:t>表二</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产品名称</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制造企业</w:t>
            </w: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品牌</w:t>
            </w: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ind w:left="-103" w:leftChars="-49" w:right="-48" w:rightChars="-23"/>
              <w:jc w:val="center"/>
              <w:rPr>
                <w:rFonts w:hint="eastAsia" w:ascii="宋体" w:hAnsi="宋体" w:cs="宋体"/>
                <w:color w:val="auto"/>
                <w:szCs w:val="21"/>
                <w:highlight w:val="none"/>
              </w:rPr>
            </w:pPr>
            <w:r>
              <w:rPr>
                <w:rFonts w:hint="eastAsia" w:ascii="宋体" w:hAnsi="宋体" w:cs="宋体"/>
                <w:color w:val="auto"/>
                <w:szCs w:val="21"/>
                <w:highlight w:val="none"/>
              </w:rPr>
              <w:t>规格型号</w:t>
            </w: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备注</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r>
        <w:tblPrEx>
          <w:tblCellMar>
            <w:top w:w="0" w:type="dxa"/>
            <w:left w:w="108" w:type="dxa"/>
            <w:bottom w:w="0" w:type="dxa"/>
            <w:right w:w="108" w:type="dxa"/>
          </w:tblCellMar>
        </w:tblPrEx>
        <w:trPr>
          <w:trHeight w:val="454"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p>
        </w:tc>
        <w:tc>
          <w:tcPr>
            <w:tcW w:w="2476" w:type="dxa"/>
            <w:tcBorders>
              <w:top w:val="single" w:color="auto" w:sz="4" w:space="0"/>
              <w:left w:val="single" w:color="auto" w:sz="4" w:space="0"/>
              <w:bottom w:val="single" w:color="auto" w:sz="4" w:space="0"/>
              <w:right w:val="single" w:color="auto" w:sz="4" w:space="0"/>
            </w:tcBorders>
            <w:noWrap w:val="0"/>
            <w:vAlign w:val="center"/>
          </w:tcPr>
          <w:p>
            <w:pPr>
              <w:pStyle w:val="216"/>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与分项报价表一致</w:t>
            </w:r>
          </w:p>
        </w:tc>
      </w:tr>
    </w:tbl>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本公司对上述声明的真实性负责。如有虚假，将依法承担相应责任。</w:t>
      </w:r>
    </w:p>
    <w:p>
      <w:pPr>
        <w:pStyle w:val="31"/>
        <w:snapToGrid w:val="0"/>
        <w:spacing w:line="360" w:lineRule="auto"/>
        <w:ind w:left="175" w:hanging="175" w:hangingChars="83"/>
        <w:jc w:val="left"/>
        <w:rPr>
          <w:rFonts w:hint="eastAsia" w:ascii="宋体" w:hAnsi="宋体" w:cs="宋体"/>
          <w:b/>
          <w:color w:val="auto"/>
          <w:szCs w:val="21"/>
          <w:highlight w:val="none"/>
        </w:rPr>
      </w:pPr>
    </w:p>
    <w:p>
      <w:pPr>
        <w:pStyle w:val="31"/>
        <w:wordWrap w:val="0"/>
        <w:snapToGrid w:val="0"/>
        <w:spacing w:line="360" w:lineRule="auto"/>
        <w:ind w:left="420" w:hanging="420"/>
        <w:jc w:val="right"/>
        <w:rPr>
          <w:rFonts w:hint="eastAsia" w:ascii="宋体" w:hAnsi="宋体" w:cs="宋体"/>
          <w:color w:val="auto"/>
          <w:szCs w:val="21"/>
          <w:highlight w:val="none"/>
        </w:rPr>
      </w:pPr>
      <w:r>
        <w:rPr>
          <w:rFonts w:hint="eastAsia" w:ascii="宋体" w:hAnsi="宋体" w:cs="宋体"/>
          <w:color w:val="auto"/>
          <w:szCs w:val="21"/>
          <w:highlight w:val="none"/>
        </w:rPr>
        <w:t>残疾人福利性企业盖章：</w:t>
      </w:r>
      <w:r>
        <w:rPr>
          <w:rFonts w:hint="eastAsia" w:ascii="宋体" w:hAnsi="宋体" w:cs="宋体"/>
          <w:color w:val="auto"/>
          <w:szCs w:val="21"/>
          <w:highlight w:val="none"/>
          <w:u w:val="single"/>
        </w:rPr>
        <w:t xml:space="preserve">          </w:t>
      </w:r>
    </w:p>
    <w:p>
      <w:pPr>
        <w:pStyle w:val="190"/>
        <w:wordWrap w:val="0"/>
        <w:spacing w:line="360" w:lineRule="auto"/>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Style w:val="31"/>
        <w:snapToGrid w:val="0"/>
        <w:spacing w:line="360" w:lineRule="auto"/>
        <w:ind w:left="594" w:hanging="594" w:hangingChars="283"/>
        <w:jc w:val="left"/>
        <w:rPr>
          <w:rFonts w:hint="eastAsia" w:ascii="宋体" w:hAnsi="宋体" w:cs="宋体"/>
          <w:color w:val="auto"/>
          <w:szCs w:val="21"/>
          <w:highlight w:val="none"/>
        </w:rPr>
      </w:pPr>
    </w:p>
    <w:p>
      <w:pPr>
        <w:spacing w:line="360" w:lineRule="auto"/>
        <w:ind w:firstLine="482"/>
        <w:jc w:val="left"/>
        <w:rPr>
          <w:rFonts w:hint="eastAsia" w:ascii="宋体" w:hAnsi="宋体" w:cs="宋体"/>
          <w:color w:val="auto"/>
          <w:kern w:val="0"/>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注：1.须附相关主管部门（民政或残疾人联合会）的证明文件，否则视为供应商放弃相关政策优惠处理；</w:t>
      </w:r>
    </w:p>
    <w:p>
      <w:pPr>
        <w:keepNext w:val="0"/>
        <w:keepLines w:val="0"/>
        <w:pageBreakBefore w:val="0"/>
        <w:widowControl w:val="0"/>
        <w:kinsoku/>
        <w:wordWrap/>
        <w:overflowPunct/>
        <w:topLinePunct w:val="0"/>
        <w:autoSpaceDE/>
        <w:autoSpaceDN/>
        <w:bidi w:val="0"/>
        <w:adjustRightInd/>
        <w:snapToGrid/>
        <w:spacing w:line="400" w:lineRule="exact"/>
        <w:ind w:firstLine="0"/>
        <w:jc w:val="left"/>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2.供应商提供的是其他小微、监狱、残疾人福利性企业制造的产品，还需提供制造企业声明函。</w:t>
      </w:r>
    </w:p>
    <w:p>
      <w:pPr>
        <w:keepNext/>
        <w:keepLines/>
        <w:spacing w:line="360" w:lineRule="auto"/>
        <w:jc w:val="center"/>
        <w:outlineLvl w:val="1"/>
        <w:rPr>
          <w:rFonts w:hint="eastAsia" w:ascii="宋体" w:hAnsi="宋体" w:cs="宋体"/>
          <w:sz w:val="30"/>
          <w:szCs w:val="30"/>
          <w:highlight w:val="none"/>
        </w:rPr>
      </w:pPr>
      <w:r>
        <w:rPr>
          <w:rFonts w:hint="eastAsia" w:ascii="宋体" w:hAnsi="宋体" w:cs="宋体"/>
          <w:b/>
          <w:bCs/>
          <w:color w:val="auto"/>
          <w:highlight w:val="none"/>
        </w:rPr>
        <w:br w:type="page"/>
      </w:r>
      <w:bookmarkStart w:id="629" w:name="_Toc31461"/>
      <w:bookmarkStart w:id="630" w:name="_Toc19760"/>
      <w:bookmarkStart w:id="631" w:name="_Toc7941"/>
      <w:r>
        <w:rPr>
          <w:rFonts w:hint="eastAsia" w:ascii="宋体" w:hAnsi="宋体" w:cs="宋体"/>
          <w:b/>
          <w:bCs/>
          <w:sz w:val="30"/>
          <w:szCs w:val="30"/>
          <w:highlight w:val="none"/>
        </w:rPr>
        <w:t>三、</w:t>
      </w:r>
      <w:r>
        <w:rPr>
          <w:rFonts w:hint="eastAsia" w:ascii="宋体" w:hAnsi="宋体" w:cs="宋体"/>
          <w:b/>
          <w:bCs/>
          <w:sz w:val="28"/>
          <w:szCs w:val="28"/>
          <w:highlight w:val="none"/>
        </w:rPr>
        <w:t>商务技术文件</w:t>
      </w:r>
      <w:r>
        <w:rPr>
          <w:rFonts w:hint="eastAsia" w:ascii="宋体" w:hAnsi="宋体" w:cs="宋体"/>
          <w:b/>
          <w:bCs/>
          <w:sz w:val="30"/>
          <w:szCs w:val="30"/>
          <w:highlight w:val="none"/>
        </w:rPr>
        <w:t>格式</w:t>
      </w:r>
      <w:bookmarkEnd w:id="629"/>
      <w:bookmarkEnd w:id="630"/>
      <w:bookmarkEnd w:id="631"/>
    </w:p>
    <w:p>
      <w:pPr>
        <w:rPr>
          <w:rFonts w:hint="eastAsia" w:ascii="宋体" w:hAnsi="宋体" w:cs="宋体"/>
          <w:highlight w:val="none"/>
        </w:rPr>
      </w:pPr>
    </w:p>
    <w:p>
      <w:pPr>
        <w:pStyle w:val="6"/>
        <w:snapToGrid w:val="0"/>
        <w:spacing w:before="50" w:after="120"/>
        <w:ind w:firstLine="0"/>
        <w:rPr>
          <w:rFonts w:hint="eastAsia" w:ascii="宋体" w:hAnsi="宋体" w:cs="宋体"/>
          <w:szCs w:val="21"/>
          <w:highlight w:val="none"/>
        </w:rPr>
      </w:pPr>
    </w:p>
    <w:p>
      <w:pPr>
        <w:snapToGrid w:val="0"/>
        <w:rPr>
          <w:rFonts w:hint="eastAsia" w:ascii="宋体" w:hAnsi="宋体" w:cs="宋体"/>
          <w:sz w:val="24"/>
          <w:highlight w:val="none"/>
        </w:rPr>
      </w:pPr>
      <w:r>
        <w:rPr>
          <w:rFonts w:hint="eastAsia" w:ascii="宋体" w:hAnsi="宋体" w:cs="宋体"/>
          <w:sz w:val="24"/>
          <w:highlight w:val="none"/>
        </w:rPr>
        <w:t>3.1商务技术文件封面格式</w:t>
      </w:r>
    </w:p>
    <w:p>
      <w:pPr>
        <w:pStyle w:val="6"/>
        <w:ind w:firstLine="0"/>
        <w:rPr>
          <w:rFonts w:hint="eastAsia" w:ascii="宋体" w:hAnsi="宋体" w:cs="宋体"/>
          <w:sz w:val="24"/>
          <w:szCs w:val="24"/>
          <w:highlight w:val="none"/>
        </w:rPr>
      </w:pPr>
    </w:p>
    <w:p>
      <w:pPr>
        <w:pStyle w:val="6"/>
        <w:spacing w:line="360" w:lineRule="auto"/>
        <w:ind w:firstLine="0"/>
        <w:jc w:val="center"/>
        <w:rPr>
          <w:rFonts w:hint="eastAsia" w:ascii="宋体" w:hAnsi="宋体" w:cs="宋体"/>
          <w:b/>
          <w:sz w:val="24"/>
          <w:szCs w:val="24"/>
          <w:highlight w:val="none"/>
        </w:rPr>
      </w:pPr>
    </w:p>
    <w:p>
      <w:pPr>
        <w:pStyle w:val="6"/>
        <w:spacing w:line="360" w:lineRule="auto"/>
        <w:ind w:firstLine="0"/>
        <w:jc w:val="center"/>
        <w:rPr>
          <w:rFonts w:hint="eastAsia" w:ascii="宋体" w:hAnsi="宋体" w:cs="宋体"/>
          <w:b/>
          <w:sz w:val="24"/>
          <w:szCs w:val="24"/>
          <w:highlight w:val="none"/>
        </w:rPr>
      </w:pPr>
      <w:r>
        <w:rPr>
          <w:rFonts w:hint="eastAsia" w:ascii="宋体" w:hAnsi="宋体" w:cs="宋体"/>
          <w:b/>
          <w:sz w:val="28"/>
          <w:szCs w:val="28"/>
          <w:highlight w:val="none"/>
        </w:rPr>
        <w:t>投标响应文件</w:t>
      </w:r>
    </w:p>
    <w:p>
      <w:pPr>
        <w:snapToGrid w:val="0"/>
        <w:spacing w:before="120" w:beforeLines="50" w:after="50"/>
        <w:rPr>
          <w:rFonts w:hint="eastAsia" w:ascii="宋体" w:hAnsi="宋体" w:cs="宋体"/>
          <w:bCs/>
          <w:sz w:val="24"/>
          <w:highlight w:val="none"/>
        </w:rPr>
      </w:pPr>
    </w:p>
    <w:p>
      <w:pPr>
        <w:pStyle w:val="6"/>
        <w:rPr>
          <w:rFonts w:hint="eastAsia" w:ascii="宋体" w:hAnsi="宋体" w:cs="宋体"/>
          <w:sz w:val="24"/>
          <w:szCs w:val="24"/>
          <w:highlight w:val="none"/>
        </w:rPr>
      </w:pPr>
    </w:p>
    <w:tbl>
      <w:tblPr>
        <w:tblStyle w:val="43"/>
        <w:tblW w:w="0" w:type="auto"/>
        <w:jc w:val="center"/>
        <w:tblLayout w:type="fixed"/>
        <w:tblCellMar>
          <w:top w:w="0" w:type="dxa"/>
          <w:left w:w="108" w:type="dxa"/>
          <w:bottom w:w="0" w:type="dxa"/>
          <w:right w:w="108" w:type="dxa"/>
        </w:tblCellMar>
      </w:tblPr>
      <w:tblGrid>
        <w:gridCol w:w="2311"/>
        <w:gridCol w:w="5142"/>
      </w:tblGrid>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投标响应文件名称：</w:t>
            </w:r>
          </w:p>
        </w:tc>
        <w:tc>
          <w:tcPr>
            <w:tcW w:w="5142" w:type="dxa"/>
            <w:noWrap w:val="0"/>
            <w:vAlign w:val="center"/>
          </w:tcPr>
          <w:p>
            <w:pPr>
              <w:ind w:left="-103" w:leftChars="-49"/>
              <w:jc w:val="left"/>
              <w:rPr>
                <w:rFonts w:hint="eastAsia" w:ascii="宋体" w:hAnsi="宋体" w:eastAsia="宋体" w:cs="宋体"/>
                <w:sz w:val="24"/>
                <w:highlight w:val="none"/>
              </w:rPr>
            </w:pP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商务技术文件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采 购 编 号：</w:t>
            </w:r>
          </w:p>
        </w:tc>
        <w:tc>
          <w:tcPr>
            <w:tcW w:w="5142" w:type="dxa"/>
            <w:noWrap w:val="0"/>
            <w:vAlign w:val="center"/>
          </w:tcPr>
          <w:p>
            <w:pPr>
              <w:ind w:left="-103" w:leftChars="-49"/>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项 目 名 称：</w:t>
            </w:r>
          </w:p>
        </w:tc>
        <w:tc>
          <w:tcPr>
            <w:tcW w:w="5142" w:type="dxa"/>
            <w:noWrap w:val="0"/>
            <w:vAlign w:val="center"/>
          </w:tcPr>
          <w:p>
            <w:pPr>
              <w:ind w:left="-103" w:leftChars="-49"/>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p>
        </w:tc>
        <w:tc>
          <w:tcPr>
            <w:tcW w:w="5142" w:type="dxa"/>
            <w:noWrap w:val="0"/>
            <w:vAlign w:val="center"/>
          </w:tcPr>
          <w:p>
            <w:pPr>
              <w:ind w:left="-103" w:leftChars="-49"/>
              <w:jc w:val="left"/>
              <w:rPr>
                <w:rFonts w:hint="eastAsia" w:ascii="宋体" w:hAnsi="宋体" w:eastAsia="宋体" w:cs="宋体"/>
                <w:sz w:val="24"/>
                <w:highlight w:val="none"/>
                <w:u w:val="singl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p>
        </w:tc>
        <w:tc>
          <w:tcPr>
            <w:tcW w:w="5142" w:type="dxa"/>
            <w:noWrap w:val="0"/>
            <w:vAlign w:val="center"/>
          </w:tcPr>
          <w:p>
            <w:pPr>
              <w:ind w:left="-103" w:leftChars="-49"/>
              <w:jc w:val="left"/>
              <w:rPr>
                <w:rFonts w:hint="eastAsia" w:ascii="宋体" w:hAnsi="宋体" w:eastAsia="宋体" w:cs="宋体"/>
                <w:sz w:val="24"/>
                <w:highlight w:val="none"/>
                <w:u w:val="singl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spacing w:line="400" w:lineRule="exact"/>
              <w:jc w:val="distribute"/>
              <w:rPr>
                <w:rFonts w:hint="eastAsia" w:ascii="宋体" w:hAnsi="宋体" w:eastAsia="宋体" w:cs="宋体"/>
                <w:sz w:val="24"/>
                <w:highlight w:val="none"/>
              </w:rPr>
            </w:pPr>
            <w:r>
              <w:rPr>
                <w:rFonts w:hint="eastAsia" w:ascii="宋体" w:hAnsi="宋体" w:eastAsia="宋体" w:cs="宋体"/>
                <w:sz w:val="24"/>
                <w:highlight w:val="none"/>
              </w:rPr>
              <w:t>供应商名称</w:t>
            </w:r>
          </w:p>
          <w:p>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（CA签章）：</w:t>
            </w:r>
          </w:p>
        </w:tc>
        <w:tc>
          <w:tcPr>
            <w:tcW w:w="5142" w:type="dxa"/>
            <w:noWrap w:val="0"/>
            <w:vAlign w:val="center"/>
          </w:tcPr>
          <w:p>
            <w:pPr>
              <w:spacing w:line="400" w:lineRule="exact"/>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供应商地址：</w:t>
            </w:r>
          </w:p>
        </w:tc>
        <w:tc>
          <w:tcPr>
            <w:tcW w:w="5142" w:type="dxa"/>
            <w:noWrap w:val="0"/>
            <w:vAlign w:val="center"/>
          </w:tcPr>
          <w:p>
            <w:pPr>
              <w:ind w:left="-103" w:leftChars="-49"/>
              <w:jc w:val="left"/>
              <w:rPr>
                <w:rFonts w:hint="eastAsia" w:ascii="宋体" w:hAnsi="宋体" w:eastAsia="宋体" w:cs="宋体"/>
                <w:sz w:val="24"/>
                <w:highlight w:val="non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84" w:rightChars="-40"/>
              <w:rPr>
                <w:rFonts w:hint="eastAsia" w:ascii="宋体" w:hAnsi="宋体" w:eastAsia="宋体" w:cs="宋体"/>
                <w:sz w:val="24"/>
                <w:highlight w:val="none"/>
              </w:rPr>
            </w:pPr>
          </w:p>
        </w:tc>
        <w:tc>
          <w:tcPr>
            <w:tcW w:w="5142" w:type="dxa"/>
            <w:noWrap w:val="0"/>
            <w:vAlign w:val="center"/>
          </w:tcPr>
          <w:p>
            <w:pPr>
              <w:ind w:left="-103" w:leftChars="-49"/>
              <w:rPr>
                <w:rFonts w:hint="eastAsia" w:ascii="宋体" w:hAnsi="宋体" w:eastAsia="宋体" w:cs="宋体"/>
                <w:sz w:val="24"/>
                <w:highlight w:val="none"/>
              </w:rPr>
            </w:pPr>
          </w:p>
        </w:tc>
      </w:tr>
      <w:tr>
        <w:tblPrEx>
          <w:tblCellMar>
            <w:top w:w="0" w:type="dxa"/>
            <w:left w:w="108" w:type="dxa"/>
            <w:bottom w:w="0" w:type="dxa"/>
            <w:right w:w="108" w:type="dxa"/>
          </w:tblCellMar>
        </w:tblPrEx>
        <w:trPr>
          <w:trHeight w:val="737" w:hRule="atLeast"/>
          <w:jc w:val="center"/>
        </w:trPr>
        <w:tc>
          <w:tcPr>
            <w:tcW w:w="7453" w:type="dxa"/>
            <w:gridSpan w:val="2"/>
            <w:noWrap w:val="0"/>
            <w:vAlign w:val="center"/>
          </w:tcPr>
          <w:p>
            <w:pPr>
              <w:jc w:val="center"/>
              <w:rPr>
                <w:rFonts w:hint="eastAsia" w:ascii="宋体" w:hAnsi="宋体" w:eastAsia="宋体" w:cs="宋体"/>
                <w:sz w:val="24"/>
                <w:highlight w:val="none"/>
              </w:rPr>
            </w:pPr>
            <w:r>
              <w:rPr>
                <w:rFonts w:hint="eastAsia" w:ascii="宋体" w:hAnsi="宋体" w:eastAsia="宋体" w:cs="宋体"/>
                <w:sz w:val="24"/>
                <w:highlight w:val="none"/>
              </w:rPr>
              <w:t>年  月  日</w:t>
            </w:r>
          </w:p>
        </w:tc>
      </w:tr>
    </w:tbl>
    <w:p>
      <w:pPr>
        <w:jc w:val="center"/>
        <w:rPr>
          <w:rFonts w:hint="eastAsia" w:ascii="宋体" w:hAnsi="宋体" w:cs="宋体"/>
          <w:sz w:val="24"/>
          <w:highlight w:val="none"/>
        </w:rPr>
      </w:pPr>
      <w:r>
        <w:rPr>
          <w:rFonts w:hint="eastAsia" w:ascii="宋体" w:hAnsi="宋体" w:cs="宋体"/>
          <w:b/>
          <w:sz w:val="24"/>
          <w:highlight w:val="none"/>
        </w:rPr>
        <w:t>时间：在  年  月  日  时  分之前不得启封</w:t>
      </w:r>
    </w:p>
    <w:p>
      <w:pPr>
        <w:spacing w:line="440" w:lineRule="exact"/>
        <w:rPr>
          <w:rFonts w:hint="eastAsia" w:ascii="宋体" w:hAnsi="宋体" w:cs="宋体"/>
          <w:b/>
          <w:szCs w:val="21"/>
          <w:highlight w:val="none"/>
        </w:rPr>
      </w:pPr>
      <w:r>
        <w:rPr>
          <w:rFonts w:hint="eastAsia" w:ascii="宋体" w:hAnsi="宋体" w:cs="宋体"/>
          <w:b/>
          <w:sz w:val="28"/>
          <w:szCs w:val="28"/>
          <w:highlight w:val="none"/>
        </w:rPr>
        <w:br w:type="page"/>
      </w:r>
      <w:r>
        <w:rPr>
          <w:rFonts w:hint="eastAsia" w:ascii="宋体" w:hAnsi="宋体" w:cs="宋体"/>
          <w:b/>
          <w:bCs/>
          <w:sz w:val="24"/>
          <w:highlight w:val="none"/>
        </w:rPr>
        <w:t>3.2商务技术文件目录</w:t>
      </w:r>
    </w:p>
    <w:p>
      <w:pPr>
        <w:spacing w:line="440" w:lineRule="exact"/>
        <w:ind w:firstLine="420" w:firstLineChars="200"/>
        <w:jc w:val="center"/>
        <w:rPr>
          <w:rFonts w:hint="eastAsia" w:ascii="宋体" w:hAnsi="宋体" w:eastAsia="宋体" w:cs="宋体"/>
          <w:b/>
          <w:szCs w:val="21"/>
          <w:highlight w:val="none"/>
          <w:lang w:eastAsia="zh-CN"/>
        </w:rPr>
      </w:pPr>
      <w:r>
        <w:rPr>
          <w:rFonts w:hint="eastAsia" w:ascii="宋体" w:hAnsi="宋体" w:cs="宋体"/>
          <w:szCs w:val="21"/>
          <w:highlight w:val="none"/>
          <w:lang w:eastAsia="zh-CN"/>
        </w:rPr>
        <w:t>目录格式自拟</w:t>
      </w:r>
    </w:p>
    <w:p>
      <w:pPr>
        <w:snapToGrid w:val="0"/>
        <w:spacing w:line="440" w:lineRule="exact"/>
        <w:ind w:firstLine="420" w:firstLineChars="200"/>
        <w:rPr>
          <w:rFonts w:hint="eastAsia" w:ascii="宋体" w:hAnsi="宋体" w:cs="宋体"/>
          <w:bCs/>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napToGrid w:val="0"/>
        <w:spacing w:line="440" w:lineRule="exact"/>
        <w:rPr>
          <w:rFonts w:hint="eastAsia" w:ascii="宋体" w:hAnsi="宋体" w:cs="宋体"/>
          <w:b/>
          <w:szCs w:val="21"/>
          <w:highlight w:val="none"/>
        </w:rPr>
      </w:pPr>
      <w:r>
        <w:rPr>
          <w:rFonts w:hint="eastAsia" w:ascii="宋体" w:hAnsi="宋体" w:cs="宋体"/>
          <w:b/>
          <w:sz w:val="24"/>
          <w:highlight w:val="none"/>
        </w:rPr>
        <w:br w:type="page"/>
      </w:r>
      <w:r>
        <w:rPr>
          <w:rFonts w:hint="eastAsia" w:ascii="宋体" w:hAnsi="宋体" w:cs="宋体"/>
          <w:b/>
          <w:sz w:val="24"/>
          <w:highlight w:val="none"/>
        </w:rPr>
        <w:t>3.3磋商函格式</w:t>
      </w:r>
    </w:p>
    <w:p>
      <w:pPr>
        <w:snapToGrid w:val="0"/>
        <w:spacing w:line="440" w:lineRule="exact"/>
        <w:ind w:firstLine="562" w:firstLineChars="200"/>
        <w:jc w:val="center"/>
        <w:rPr>
          <w:rFonts w:hint="eastAsia" w:ascii="宋体" w:hAnsi="宋体" w:cs="宋体"/>
          <w:b/>
          <w:color w:val="000000"/>
          <w:sz w:val="28"/>
          <w:szCs w:val="28"/>
          <w:highlight w:val="none"/>
        </w:rPr>
      </w:pPr>
      <w:r>
        <w:rPr>
          <w:rFonts w:hint="eastAsia" w:ascii="宋体" w:hAnsi="宋体" w:cs="宋体"/>
          <w:b/>
          <w:color w:val="000000"/>
          <w:sz w:val="28"/>
          <w:szCs w:val="28"/>
          <w:highlight w:val="none"/>
        </w:rPr>
        <w:t>磋商函</w:t>
      </w:r>
    </w:p>
    <w:p>
      <w:pPr>
        <w:spacing w:line="440" w:lineRule="exact"/>
        <w:ind w:firstLine="420" w:firstLineChars="200"/>
        <w:rPr>
          <w:rFonts w:hint="eastAsia" w:ascii="宋体" w:hAnsi="宋体" w:cs="宋体"/>
          <w:szCs w:val="21"/>
          <w:highlight w:val="none"/>
        </w:rPr>
      </w:pP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致：</w:t>
      </w:r>
      <w:r>
        <w:rPr>
          <w:rFonts w:hint="eastAsia" w:hAnsi="宋体" w:cs="宋体"/>
          <w:sz w:val="21"/>
          <w:szCs w:val="21"/>
          <w:highlight w:val="none"/>
          <w:u w:val="single"/>
        </w:rPr>
        <w:t xml:space="preserve">          （采购人名称）</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1.根据贵方</w:t>
      </w:r>
      <w:r>
        <w:rPr>
          <w:rFonts w:hint="eastAsia" w:hAnsi="宋体" w:cs="宋体"/>
          <w:sz w:val="21"/>
          <w:szCs w:val="21"/>
          <w:highlight w:val="none"/>
          <w:u w:val="single"/>
        </w:rPr>
        <w:t xml:space="preserve">            （项目名称）</w:t>
      </w:r>
      <w:r>
        <w:rPr>
          <w:rFonts w:hint="eastAsia" w:hAnsi="宋体" w:cs="宋体"/>
          <w:sz w:val="21"/>
          <w:szCs w:val="21"/>
          <w:highlight w:val="none"/>
        </w:rPr>
        <w:t>项目（采购编号：</w:t>
      </w:r>
      <w:r>
        <w:rPr>
          <w:rFonts w:hint="eastAsia" w:hAnsi="宋体" w:cs="宋体"/>
          <w:sz w:val="21"/>
          <w:szCs w:val="21"/>
          <w:highlight w:val="none"/>
          <w:u w:val="single"/>
        </w:rPr>
        <w:t xml:space="preserve">        </w:t>
      </w:r>
      <w:r>
        <w:rPr>
          <w:rFonts w:hint="eastAsia" w:hAnsi="宋体" w:cs="宋体"/>
          <w:sz w:val="21"/>
          <w:szCs w:val="21"/>
          <w:highlight w:val="none"/>
        </w:rPr>
        <w:t>）的竞争性磋商文件要求，正式授权下述签字人</w:t>
      </w:r>
      <w:r>
        <w:rPr>
          <w:rFonts w:hint="eastAsia" w:hAnsi="宋体" w:cs="宋体"/>
          <w:sz w:val="21"/>
          <w:szCs w:val="21"/>
          <w:highlight w:val="none"/>
          <w:u w:val="single"/>
        </w:rPr>
        <w:t xml:space="preserve">          （姓名和职务）</w:t>
      </w:r>
      <w:r>
        <w:rPr>
          <w:rFonts w:hint="eastAsia" w:hAnsi="宋体" w:cs="宋体"/>
          <w:sz w:val="21"/>
          <w:szCs w:val="21"/>
          <w:highlight w:val="none"/>
        </w:rPr>
        <w:t>全权代表供应商</w:t>
      </w:r>
      <w:r>
        <w:rPr>
          <w:rFonts w:hint="eastAsia" w:hAnsi="宋体" w:cs="宋体"/>
          <w:sz w:val="21"/>
          <w:szCs w:val="21"/>
          <w:highlight w:val="none"/>
          <w:u w:val="single"/>
        </w:rPr>
        <w:t xml:space="preserve">           （供应商全称）</w:t>
      </w:r>
      <w:r>
        <w:rPr>
          <w:rFonts w:hint="eastAsia" w:hAnsi="宋体" w:cs="宋体"/>
          <w:sz w:val="21"/>
          <w:szCs w:val="21"/>
          <w:highlight w:val="none"/>
        </w:rPr>
        <w:t>参加贵方组织的有关磋商活动，并提交电子响应文件：</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政府采购云系统提交电子加密响应文件</w:t>
      </w:r>
      <w:r>
        <w:rPr>
          <w:rFonts w:hint="eastAsia" w:hAnsi="宋体" w:cs="宋体"/>
          <w:sz w:val="21"/>
          <w:szCs w:val="21"/>
          <w:highlight w:val="none"/>
          <w:u w:val="single"/>
        </w:rPr>
        <w:t xml:space="preserve">    </w:t>
      </w:r>
      <w:r>
        <w:rPr>
          <w:rFonts w:hint="eastAsia" w:hAnsi="宋体" w:cs="宋体"/>
          <w:sz w:val="21"/>
          <w:szCs w:val="21"/>
          <w:highlight w:val="none"/>
        </w:rPr>
        <w:t>份；</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通过电子邮件提交备份电子响应文件（打包压缩加密）</w:t>
      </w:r>
      <w:r>
        <w:rPr>
          <w:rFonts w:hint="eastAsia" w:hAnsi="宋体" w:cs="宋体"/>
          <w:sz w:val="21"/>
          <w:szCs w:val="21"/>
          <w:highlight w:val="none"/>
          <w:u w:val="single"/>
        </w:rPr>
        <w:t xml:space="preserve">    </w:t>
      </w:r>
      <w:r>
        <w:rPr>
          <w:rFonts w:hint="eastAsia" w:hAnsi="宋体" w:cs="宋体"/>
          <w:sz w:val="21"/>
          <w:szCs w:val="21"/>
          <w:highlight w:val="none"/>
        </w:rPr>
        <w:t>份；</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2.据此函，签字人兹宣布同意如下：</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（1）我们承担根据竞争性磋商文件的规定，完成合同的责任和义务。</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（2）我们已详细审核全部竞争性磋商文件、参考资料及有关附件，我们知道必须放弃提出含糊不清或误解问题的权利。</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（3）我们同意在供应商须知规定的磋商日期起遵循本响应文件，并在供应商须知规定的磋商有效期满之前均具有约束力，并有可能中标（成交）。</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（4）如果在磋商规定的磋商有效期内撤回响应文件或者有其他违约行为，贵方有权上报财政部门，建议财政部门将本公司列入不良行为记录名单，在一至三年内禁止本公司参加政府采购活动并予以通报。</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（5）同意向贵方提供贵方可能要求的与本磋商有关的任何数据或资料。</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（6）我们完全理解贵方不一定要接受最低报价或收到的任何磋商。</w:t>
      </w:r>
    </w:p>
    <w:p>
      <w:pPr>
        <w:pStyle w:val="22"/>
        <w:spacing w:before="0" w:beforeLines="0" w:after="0" w:afterLines="0" w:line="440" w:lineRule="exact"/>
        <w:ind w:firstLine="422" w:firstLineChars="200"/>
        <w:rPr>
          <w:rFonts w:hint="eastAsia" w:hAnsi="宋体" w:cs="宋体"/>
          <w:b/>
          <w:sz w:val="21"/>
          <w:szCs w:val="21"/>
          <w:highlight w:val="none"/>
        </w:rPr>
      </w:pPr>
    </w:p>
    <w:p>
      <w:pPr>
        <w:pStyle w:val="22"/>
        <w:spacing w:before="0" w:beforeLines="0" w:after="0" w:afterLines="0" w:line="440" w:lineRule="exact"/>
        <w:ind w:firstLine="422" w:firstLineChars="200"/>
        <w:rPr>
          <w:rFonts w:hint="eastAsia" w:hAnsi="宋体" w:cs="宋体"/>
          <w:b/>
          <w:sz w:val="21"/>
          <w:szCs w:val="21"/>
          <w:highlight w:val="none"/>
        </w:rPr>
      </w:pPr>
      <w:r>
        <w:rPr>
          <w:rFonts w:hint="eastAsia" w:hAnsi="宋体" w:cs="宋体"/>
          <w:b/>
          <w:sz w:val="21"/>
          <w:szCs w:val="21"/>
          <w:highlight w:val="none"/>
        </w:rPr>
        <w:t>与本磋商有关的正式通讯地址为：</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地址：</w:t>
      </w:r>
      <w:r>
        <w:rPr>
          <w:rFonts w:hint="eastAsia" w:hAnsi="宋体" w:cs="宋体"/>
          <w:sz w:val="21"/>
          <w:szCs w:val="21"/>
          <w:highlight w:val="none"/>
          <w:u w:val="single"/>
        </w:rPr>
        <w:t xml:space="preserve">                      </w:t>
      </w:r>
      <w:r>
        <w:rPr>
          <w:rFonts w:hint="eastAsia" w:hAnsi="宋体" w:cs="宋体"/>
          <w:sz w:val="21"/>
          <w:szCs w:val="21"/>
          <w:highlight w:val="none"/>
        </w:rPr>
        <w:t xml:space="preserve">  邮政编码：</w:t>
      </w:r>
      <w:r>
        <w:rPr>
          <w:rFonts w:hint="eastAsia" w:hAnsi="宋体" w:cs="宋体"/>
          <w:sz w:val="21"/>
          <w:szCs w:val="21"/>
          <w:highlight w:val="none"/>
          <w:u w:val="single"/>
        </w:rPr>
        <w:t xml:space="preserve">                   </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电话、传真：</w:t>
      </w:r>
      <w:r>
        <w:rPr>
          <w:rFonts w:hint="eastAsia" w:hAnsi="宋体" w:cs="宋体"/>
          <w:sz w:val="21"/>
          <w:szCs w:val="21"/>
          <w:highlight w:val="none"/>
          <w:u w:val="single"/>
        </w:rPr>
        <w:t xml:space="preserve">                                               </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电子邮件：</w:t>
      </w:r>
      <w:r>
        <w:rPr>
          <w:rFonts w:hint="eastAsia" w:hAnsi="宋体" w:cs="宋体"/>
          <w:sz w:val="21"/>
          <w:szCs w:val="21"/>
          <w:highlight w:val="none"/>
          <w:u w:val="single"/>
        </w:rPr>
        <w:t xml:space="preserve">                                                 </w:t>
      </w:r>
    </w:p>
    <w:p>
      <w:pPr>
        <w:pStyle w:val="22"/>
        <w:spacing w:before="0" w:beforeLines="0" w:after="0" w:afterLines="0" w:line="440" w:lineRule="exact"/>
        <w:ind w:firstLine="420" w:firstLineChars="200"/>
        <w:rPr>
          <w:rFonts w:hint="eastAsia" w:hAnsi="宋体" w:cs="宋体"/>
          <w:sz w:val="21"/>
          <w:szCs w:val="21"/>
          <w:highlight w:val="none"/>
        </w:rPr>
      </w:pPr>
    </w:p>
    <w:p>
      <w:pPr>
        <w:pStyle w:val="22"/>
        <w:spacing w:before="0" w:beforeLines="0" w:after="0" w:afterLines="0" w:line="440" w:lineRule="exact"/>
        <w:ind w:firstLine="420" w:firstLineChars="200"/>
        <w:rPr>
          <w:rFonts w:hint="eastAsia" w:hAnsi="宋体" w:cs="宋体"/>
          <w:sz w:val="21"/>
          <w:szCs w:val="21"/>
          <w:highlight w:val="none"/>
        </w:rPr>
      </w:pPr>
    </w:p>
    <w:p>
      <w:pPr>
        <w:pStyle w:val="22"/>
        <w:spacing w:before="0" w:beforeLines="0" w:after="0" w:afterLines="0" w:line="440" w:lineRule="exact"/>
        <w:ind w:firstLine="1750" w:firstLineChars="700"/>
        <w:rPr>
          <w:rFonts w:hint="eastAsia" w:hAnsi="宋体" w:cs="宋体"/>
          <w:color w:val="000000"/>
          <w:spacing w:val="20"/>
          <w:sz w:val="21"/>
          <w:szCs w:val="21"/>
          <w:highlight w:val="none"/>
        </w:rPr>
      </w:pPr>
      <w:r>
        <w:rPr>
          <w:rFonts w:hint="eastAsia" w:hAnsi="宋体" w:cs="宋体"/>
          <w:color w:val="000000"/>
          <w:spacing w:val="20"/>
          <w:sz w:val="21"/>
          <w:szCs w:val="21"/>
          <w:highlight w:val="none"/>
        </w:rPr>
        <w:t>法定代表人（或授权委托人）签字或盖章：</w:t>
      </w:r>
      <w:r>
        <w:rPr>
          <w:rFonts w:hint="eastAsia" w:hAnsi="宋体" w:cs="宋体"/>
          <w:color w:val="000000"/>
          <w:spacing w:val="20"/>
          <w:sz w:val="21"/>
          <w:szCs w:val="21"/>
          <w:highlight w:val="none"/>
          <w:u w:val="single"/>
        </w:rPr>
        <w:t xml:space="preserve">            </w:t>
      </w:r>
      <w:r>
        <w:rPr>
          <w:rFonts w:hint="eastAsia" w:hAnsi="宋体" w:cs="宋体"/>
          <w:color w:val="000000"/>
          <w:spacing w:val="20"/>
          <w:sz w:val="21"/>
          <w:szCs w:val="21"/>
          <w:highlight w:val="none"/>
        </w:rPr>
        <w:t xml:space="preserve"> </w:t>
      </w:r>
    </w:p>
    <w:p>
      <w:pPr>
        <w:pStyle w:val="22"/>
        <w:spacing w:before="0" w:beforeLines="0" w:after="0" w:afterLines="0" w:line="440" w:lineRule="exact"/>
        <w:ind w:firstLine="5000" w:firstLineChars="2000"/>
        <w:rPr>
          <w:rFonts w:hint="eastAsia" w:hAnsi="宋体" w:cs="宋体"/>
          <w:color w:val="000000"/>
          <w:spacing w:val="20"/>
          <w:sz w:val="21"/>
          <w:szCs w:val="21"/>
          <w:highlight w:val="none"/>
          <w:u w:val="single"/>
        </w:rPr>
      </w:pPr>
      <w:r>
        <w:rPr>
          <w:rFonts w:hint="eastAsia" w:hAnsi="宋体" w:cs="宋体"/>
          <w:color w:val="000000"/>
          <w:spacing w:val="20"/>
          <w:sz w:val="21"/>
          <w:szCs w:val="21"/>
          <w:highlight w:val="none"/>
        </w:rPr>
        <w:t>供应商盖章：</w:t>
      </w:r>
      <w:r>
        <w:rPr>
          <w:rFonts w:hint="eastAsia" w:hAnsi="宋体" w:cs="宋体"/>
          <w:color w:val="000000"/>
          <w:spacing w:val="20"/>
          <w:sz w:val="21"/>
          <w:szCs w:val="21"/>
          <w:highlight w:val="none"/>
          <w:u w:val="single"/>
        </w:rPr>
        <w:t xml:space="preserve">            </w:t>
      </w:r>
    </w:p>
    <w:p>
      <w:pPr>
        <w:spacing w:line="440" w:lineRule="exact"/>
        <w:ind w:firstLine="5000" w:firstLineChars="2000"/>
        <w:rPr>
          <w:rFonts w:hint="eastAsia" w:ascii="宋体" w:hAnsi="宋体" w:cs="宋体"/>
          <w:b/>
          <w:bCs/>
          <w:color w:val="000000"/>
          <w:szCs w:val="21"/>
          <w:highlight w:val="none"/>
        </w:rPr>
      </w:pPr>
      <w:r>
        <w:rPr>
          <w:rFonts w:hint="eastAsia" w:ascii="宋体" w:hAnsi="宋体" w:cs="宋体"/>
          <w:color w:val="000000"/>
          <w:spacing w:val="20"/>
          <w:szCs w:val="21"/>
          <w:highlight w:val="none"/>
        </w:rPr>
        <w:t>日     期：</w:t>
      </w:r>
      <w:r>
        <w:rPr>
          <w:rFonts w:hint="eastAsia" w:ascii="宋体" w:hAnsi="宋体" w:cs="宋体"/>
          <w:color w:val="000000"/>
          <w:spacing w:val="20"/>
          <w:szCs w:val="21"/>
          <w:highlight w:val="none"/>
          <w:u w:val="single"/>
        </w:rPr>
        <w:t xml:space="preserve">            </w:t>
      </w:r>
    </w:p>
    <w:p>
      <w:pPr>
        <w:snapToGrid w:val="0"/>
        <w:spacing w:line="440" w:lineRule="exact"/>
        <w:rPr>
          <w:rFonts w:hint="eastAsia" w:ascii="宋体" w:hAnsi="宋体" w:cs="宋体"/>
          <w:b/>
          <w:sz w:val="24"/>
          <w:highlight w:val="none"/>
        </w:rPr>
      </w:pPr>
      <w:r>
        <w:rPr>
          <w:rFonts w:hint="eastAsia" w:ascii="宋体" w:hAnsi="宋体" w:cs="宋体"/>
          <w:b/>
          <w:sz w:val="24"/>
          <w:highlight w:val="none"/>
        </w:rPr>
        <w:br w:type="page"/>
      </w:r>
      <w:r>
        <w:rPr>
          <w:rFonts w:hint="eastAsia" w:ascii="宋体" w:hAnsi="宋体" w:cs="宋体"/>
          <w:b/>
          <w:sz w:val="24"/>
          <w:highlight w:val="none"/>
        </w:rPr>
        <w:t>3.4承诺函格式</w:t>
      </w:r>
    </w:p>
    <w:p>
      <w:pPr>
        <w:spacing w:line="440" w:lineRule="exact"/>
        <w:ind w:firstLine="562" w:firstLineChars="200"/>
        <w:jc w:val="center"/>
        <w:rPr>
          <w:rFonts w:hint="eastAsia" w:ascii="宋体" w:hAnsi="宋体" w:cs="宋体"/>
          <w:b/>
          <w:color w:val="000000"/>
          <w:sz w:val="28"/>
          <w:szCs w:val="28"/>
          <w:highlight w:val="none"/>
        </w:rPr>
      </w:pPr>
      <w:r>
        <w:rPr>
          <w:rFonts w:hint="eastAsia" w:ascii="宋体" w:hAnsi="宋体" w:cs="宋体"/>
          <w:b/>
          <w:color w:val="000000"/>
          <w:sz w:val="28"/>
          <w:szCs w:val="28"/>
          <w:highlight w:val="none"/>
        </w:rPr>
        <w:t>承诺函</w:t>
      </w:r>
    </w:p>
    <w:p>
      <w:pPr>
        <w:pStyle w:val="213"/>
        <w:spacing w:before="0" w:beforeAutospacing="0" w:after="0" w:afterAutospacing="0" w:line="440" w:lineRule="exact"/>
        <w:ind w:firstLine="420" w:firstLineChars="200"/>
        <w:rPr>
          <w:rFonts w:hint="eastAsia"/>
          <w:sz w:val="21"/>
          <w:szCs w:val="21"/>
          <w:highlight w:val="none"/>
        </w:rPr>
      </w:pPr>
    </w:p>
    <w:p>
      <w:pPr>
        <w:pStyle w:val="213"/>
        <w:spacing w:before="0" w:beforeAutospacing="0" w:after="0" w:afterAutospacing="0" w:line="440" w:lineRule="exact"/>
        <w:ind w:firstLine="420" w:firstLineChars="200"/>
        <w:rPr>
          <w:rFonts w:hint="eastAsia"/>
          <w:sz w:val="21"/>
          <w:szCs w:val="21"/>
          <w:highlight w:val="none"/>
        </w:rPr>
      </w:pPr>
      <w:r>
        <w:rPr>
          <w:rFonts w:hint="eastAsia"/>
          <w:sz w:val="21"/>
          <w:szCs w:val="21"/>
          <w:highlight w:val="none"/>
        </w:rPr>
        <w:t>致：</w:t>
      </w:r>
      <w:r>
        <w:rPr>
          <w:rFonts w:hint="eastAsia"/>
          <w:sz w:val="21"/>
          <w:szCs w:val="21"/>
          <w:highlight w:val="none"/>
          <w:u w:val="single"/>
        </w:rPr>
        <w:t xml:space="preserve">       （采购单位名称）</w:t>
      </w:r>
    </w:p>
    <w:p>
      <w:pPr>
        <w:pStyle w:val="31"/>
        <w:snapToGrid w:val="0"/>
        <w:spacing w:line="440" w:lineRule="exact"/>
        <w:ind w:left="0" w:firstLine="444" w:firstLineChars="200"/>
        <w:jc w:val="left"/>
        <w:rPr>
          <w:rFonts w:hint="eastAsia" w:ascii="宋体" w:hAnsi="宋体" w:cs="宋体"/>
          <w:spacing w:val="6"/>
          <w:szCs w:val="21"/>
          <w:highlight w:val="none"/>
        </w:rPr>
      </w:pPr>
      <w:r>
        <w:rPr>
          <w:rFonts w:hint="eastAsia" w:ascii="宋体" w:hAnsi="宋体" w:cs="宋体"/>
          <w:spacing w:val="6"/>
          <w:szCs w:val="21"/>
          <w:highlight w:val="none"/>
        </w:rPr>
        <w:t>我方参与</w:t>
      </w:r>
      <w:r>
        <w:rPr>
          <w:rFonts w:hint="eastAsia" w:ascii="宋体" w:hAnsi="宋体" w:cs="宋体"/>
          <w:spacing w:val="6"/>
          <w:szCs w:val="21"/>
          <w:highlight w:val="none"/>
          <w:u w:val="single"/>
        </w:rPr>
        <w:t xml:space="preserve">           （采购项目名称）</w:t>
      </w:r>
      <w:r>
        <w:rPr>
          <w:rFonts w:hint="eastAsia" w:ascii="宋体" w:hAnsi="宋体" w:cs="宋体"/>
          <w:spacing w:val="6"/>
          <w:szCs w:val="21"/>
          <w:highlight w:val="none"/>
        </w:rPr>
        <w:t>（采购编号：</w:t>
      </w:r>
      <w:r>
        <w:rPr>
          <w:rFonts w:hint="eastAsia" w:ascii="宋体" w:hAnsi="宋体" w:cs="宋体"/>
          <w:spacing w:val="6"/>
          <w:szCs w:val="21"/>
          <w:highlight w:val="none"/>
          <w:u w:val="single"/>
        </w:rPr>
        <w:t>　　　　</w:t>
      </w:r>
      <w:r>
        <w:rPr>
          <w:rFonts w:hint="eastAsia" w:ascii="宋体" w:hAnsi="宋体" w:cs="宋体"/>
          <w:spacing w:val="6"/>
          <w:szCs w:val="21"/>
          <w:highlight w:val="none"/>
        </w:rPr>
        <w:t>）项目的磋商活动，我方郑重承诺如下：</w:t>
      </w:r>
    </w:p>
    <w:p>
      <w:pPr>
        <w:pStyle w:val="31"/>
        <w:snapToGrid w:val="0"/>
        <w:spacing w:line="440" w:lineRule="exact"/>
        <w:ind w:left="0" w:firstLine="444" w:firstLineChars="200"/>
        <w:jc w:val="left"/>
        <w:rPr>
          <w:rFonts w:hint="eastAsia" w:ascii="宋体" w:hAnsi="宋体" w:cs="宋体"/>
          <w:spacing w:val="6"/>
          <w:szCs w:val="21"/>
          <w:highlight w:val="none"/>
        </w:rPr>
      </w:pPr>
      <w:r>
        <w:rPr>
          <w:rFonts w:hint="eastAsia" w:ascii="宋体" w:hAnsi="宋体" w:cs="宋体"/>
          <w:spacing w:val="6"/>
          <w:szCs w:val="21"/>
          <w:highlight w:val="none"/>
        </w:rPr>
        <w:t>1.我方按磋商评审办法及评分标准要求且已将复印件装订在响应文件内的类似业绩合同、中标通知书等其它加分项（如有）的所有资料原件和复印件相符，且材料真实，不存在弄虚作假现象。</w:t>
      </w:r>
    </w:p>
    <w:p>
      <w:pPr>
        <w:pStyle w:val="31"/>
        <w:snapToGrid w:val="0"/>
        <w:spacing w:line="440" w:lineRule="exact"/>
        <w:ind w:left="0" w:firstLine="444" w:firstLineChars="200"/>
        <w:jc w:val="left"/>
        <w:rPr>
          <w:rFonts w:hint="eastAsia" w:ascii="宋体" w:hAnsi="宋体" w:cs="宋体"/>
          <w:spacing w:val="6"/>
          <w:szCs w:val="21"/>
          <w:highlight w:val="none"/>
        </w:rPr>
      </w:pPr>
      <w:r>
        <w:rPr>
          <w:rFonts w:hint="eastAsia" w:ascii="宋体" w:hAnsi="宋体" w:cs="宋体"/>
          <w:spacing w:val="6"/>
          <w:szCs w:val="21"/>
          <w:highlight w:val="none"/>
        </w:rPr>
        <w:t>2.如我方存在上述现象，采购人有权向财政部门建议将本公司列入不良行为记录名单，在一至三年内禁止本公司参加政府采购活动并予以通报。</w:t>
      </w:r>
    </w:p>
    <w:p>
      <w:pPr>
        <w:pStyle w:val="31"/>
        <w:snapToGrid w:val="0"/>
        <w:spacing w:line="440" w:lineRule="exact"/>
        <w:ind w:left="0" w:firstLine="444" w:firstLineChars="200"/>
        <w:jc w:val="left"/>
        <w:rPr>
          <w:rFonts w:hint="eastAsia" w:ascii="宋体" w:hAnsi="宋体" w:cs="宋体"/>
          <w:spacing w:val="6"/>
          <w:szCs w:val="21"/>
          <w:highlight w:val="none"/>
        </w:rPr>
      </w:pPr>
      <w:r>
        <w:rPr>
          <w:rFonts w:hint="eastAsia" w:ascii="宋体" w:hAnsi="宋体" w:cs="宋体"/>
          <w:spacing w:val="6"/>
          <w:szCs w:val="21"/>
          <w:highlight w:val="none"/>
        </w:rPr>
        <w:t>3.我方对上述承诺的真实性负责，如有虚假，将依法承担相应责任。</w:t>
      </w:r>
    </w:p>
    <w:p>
      <w:pPr>
        <w:pStyle w:val="31"/>
        <w:snapToGrid w:val="0"/>
        <w:spacing w:line="440" w:lineRule="exact"/>
        <w:ind w:left="0" w:firstLine="444" w:firstLineChars="200"/>
        <w:jc w:val="left"/>
        <w:rPr>
          <w:rFonts w:hint="eastAsia" w:ascii="宋体" w:hAnsi="宋体" w:cs="宋体"/>
          <w:spacing w:val="6"/>
          <w:szCs w:val="21"/>
          <w:highlight w:val="none"/>
        </w:rPr>
      </w:pPr>
    </w:p>
    <w:p>
      <w:pPr>
        <w:pStyle w:val="31"/>
        <w:snapToGrid w:val="0"/>
        <w:spacing w:line="440" w:lineRule="exact"/>
        <w:ind w:left="0" w:firstLine="420" w:firstLineChars="200"/>
        <w:jc w:val="left"/>
        <w:rPr>
          <w:rFonts w:hint="eastAsia" w:ascii="宋体" w:hAnsi="宋体" w:cs="宋体"/>
          <w:szCs w:val="21"/>
          <w:highlight w:val="none"/>
        </w:rPr>
      </w:pPr>
    </w:p>
    <w:p>
      <w:pPr>
        <w:pStyle w:val="31"/>
        <w:snapToGrid w:val="0"/>
        <w:spacing w:line="440" w:lineRule="exact"/>
        <w:ind w:left="0" w:firstLine="420" w:firstLineChars="200"/>
        <w:jc w:val="left"/>
        <w:rPr>
          <w:rFonts w:hint="eastAsia" w:ascii="宋体" w:hAnsi="宋体" w:cs="宋体"/>
          <w:szCs w:val="21"/>
          <w:highlight w:val="none"/>
        </w:rPr>
      </w:pPr>
    </w:p>
    <w:p>
      <w:pPr>
        <w:pStyle w:val="174"/>
        <w:spacing w:line="440" w:lineRule="exact"/>
        <w:ind w:firstLine="5250" w:firstLineChars="2500"/>
        <w:jc w:val="left"/>
        <w:rPr>
          <w:rFonts w:hint="eastAsia" w:ascii="宋体" w:hAnsi="宋体" w:cs="宋体"/>
          <w:color w:val="000000"/>
          <w:szCs w:val="21"/>
          <w:highlight w:val="none"/>
        </w:rPr>
      </w:pPr>
      <w:r>
        <w:rPr>
          <w:rFonts w:hint="eastAsia" w:ascii="宋体" w:hAnsi="宋体" w:cs="宋体"/>
          <w:szCs w:val="21"/>
          <w:highlight w:val="none"/>
        </w:rPr>
        <w:t>供应商</w:t>
      </w:r>
      <w:r>
        <w:rPr>
          <w:rFonts w:hint="eastAsia" w:ascii="宋体" w:hAnsi="宋体" w:cs="宋体"/>
          <w:color w:val="000000"/>
          <w:szCs w:val="21"/>
          <w:highlight w:val="none"/>
        </w:rPr>
        <w:t>名称（公章）：</w:t>
      </w:r>
    </w:p>
    <w:p>
      <w:pPr>
        <w:pStyle w:val="174"/>
        <w:spacing w:line="440" w:lineRule="exact"/>
        <w:ind w:firstLine="5250" w:firstLineChars="2500"/>
        <w:jc w:val="left"/>
        <w:rPr>
          <w:rFonts w:hint="eastAsia" w:ascii="宋体" w:hAnsi="宋体" w:cs="宋体"/>
          <w:color w:val="000000"/>
          <w:szCs w:val="21"/>
          <w:highlight w:val="none"/>
        </w:rPr>
      </w:pPr>
      <w:r>
        <w:rPr>
          <w:rFonts w:hint="eastAsia" w:ascii="宋体" w:hAnsi="宋体" w:cs="宋体"/>
          <w:color w:val="000000"/>
          <w:szCs w:val="21"/>
          <w:highlight w:val="none"/>
        </w:rPr>
        <w:t>日期：      年    月      日</w:t>
      </w:r>
    </w:p>
    <w:p>
      <w:pPr>
        <w:spacing w:line="440" w:lineRule="exact"/>
        <w:ind w:firstLine="422" w:firstLineChars="200"/>
        <w:rPr>
          <w:rFonts w:hint="eastAsia" w:ascii="宋体" w:hAnsi="宋体" w:cs="宋体"/>
          <w:b/>
          <w:szCs w:val="21"/>
          <w:highlight w:val="none"/>
        </w:rPr>
      </w:pPr>
    </w:p>
    <w:p>
      <w:pPr>
        <w:spacing w:line="440" w:lineRule="exact"/>
        <w:ind w:firstLine="422" w:firstLineChars="200"/>
        <w:rPr>
          <w:rFonts w:hint="eastAsia" w:ascii="宋体" w:hAnsi="宋体" w:cs="宋体"/>
          <w:b/>
          <w:bCs/>
          <w:szCs w:val="21"/>
          <w:highlight w:val="none"/>
        </w:rPr>
      </w:pPr>
      <w:r>
        <w:rPr>
          <w:rFonts w:hint="eastAsia" w:ascii="宋体" w:hAnsi="宋体" w:cs="宋体"/>
          <w:b/>
          <w:bCs/>
          <w:szCs w:val="21"/>
          <w:highlight w:val="none"/>
        </w:rPr>
        <w:t>注：供应商未提供本承诺函的，</w:t>
      </w:r>
      <w:bookmarkStart w:id="632" w:name="_Toc29460"/>
      <w:r>
        <w:rPr>
          <w:rFonts w:hint="eastAsia" w:ascii="宋体" w:hAnsi="宋体" w:cs="宋体"/>
          <w:b/>
          <w:bCs/>
          <w:szCs w:val="21"/>
          <w:highlight w:val="none"/>
        </w:rPr>
        <w:t>磋商评审办法及评分标准</w:t>
      </w:r>
      <w:bookmarkEnd w:id="632"/>
      <w:r>
        <w:rPr>
          <w:rFonts w:hint="eastAsia" w:ascii="宋体" w:hAnsi="宋体" w:cs="宋体"/>
          <w:b/>
          <w:bCs/>
          <w:szCs w:val="21"/>
          <w:highlight w:val="none"/>
        </w:rPr>
        <w:t>中要求供应商提供相应证件或证书等复印件打分的条款不予以得分。</w:t>
      </w: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spacing w:line="440" w:lineRule="exact"/>
        <w:rPr>
          <w:rFonts w:hint="eastAsia" w:ascii="宋体" w:hAnsi="宋体" w:cs="宋体"/>
          <w:b/>
          <w:szCs w:val="21"/>
          <w:highlight w:val="none"/>
        </w:rPr>
      </w:pPr>
      <w:r>
        <w:rPr>
          <w:rFonts w:hint="eastAsia" w:ascii="宋体" w:hAnsi="宋体" w:cs="宋体"/>
          <w:szCs w:val="21"/>
          <w:highlight w:val="none"/>
        </w:rPr>
        <w:br w:type="page"/>
      </w:r>
      <w:r>
        <w:rPr>
          <w:rFonts w:hint="eastAsia" w:ascii="宋体" w:hAnsi="宋体" w:cs="宋体"/>
          <w:b/>
          <w:sz w:val="24"/>
          <w:highlight w:val="none"/>
        </w:rPr>
        <w:t>3.5商务响应表格式</w:t>
      </w:r>
    </w:p>
    <w:p>
      <w:pPr>
        <w:spacing w:line="440" w:lineRule="exact"/>
        <w:ind w:firstLine="562" w:firstLineChars="200"/>
        <w:jc w:val="center"/>
        <w:rPr>
          <w:rFonts w:hint="eastAsia" w:ascii="宋体" w:hAnsi="宋体" w:cs="宋体"/>
          <w:b/>
          <w:color w:val="000000"/>
          <w:sz w:val="28"/>
          <w:szCs w:val="28"/>
          <w:highlight w:val="none"/>
        </w:rPr>
      </w:pPr>
    </w:p>
    <w:p>
      <w:pPr>
        <w:spacing w:line="440" w:lineRule="exact"/>
        <w:ind w:firstLine="562" w:firstLineChars="200"/>
        <w:jc w:val="center"/>
        <w:rPr>
          <w:rFonts w:hint="eastAsia" w:ascii="宋体" w:hAnsi="宋体" w:cs="宋体"/>
          <w:b/>
          <w:color w:val="000000"/>
          <w:sz w:val="28"/>
          <w:szCs w:val="28"/>
          <w:highlight w:val="none"/>
        </w:rPr>
      </w:pPr>
      <w:r>
        <w:rPr>
          <w:rFonts w:hint="eastAsia" w:ascii="宋体" w:hAnsi="宋体" w:cs="宋体"/>
          <w:b/>
          <w:color w:val="000000"/>
          <w:sz w:val="28"/>
          <w:szCs w:val="28"/>
          <w:highlight w:val="none"/>
        </w:rPr>
        <w:t>商务响应表（根据文件要求，自行填写）</w:t>
      </w:r>
    </w:p>
    <w:p>
      <w:pPr>
        <w:spacing w:line="440" w:lineRule="exact"/>
        <w:ind w:firstLine="422" w:firstLineChars="200"/>
        <w:jc w:val="center"/>
        <w:rPr>
          <w:rFonts w:hint="eastAsia" w:ascii="宋体" w:hAnsi="宋体" w:cs="宋体"/>
          <w:b/>
          <w:szCs w:val="21"/>
          <w:highlight w:val="none"/>
        </w:rPr>
      </w:pPr>
    </w:p>
    <w:tbl>
      <w:tblPr>
        <w:tblStyle w:val="4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52"/>
        <w:gridCol w:w="2196"/>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jc w:val="center"/>
              <w:rPr>
                <w:rFonts w:hint="eastAsia" w:ascii="宋体" w:hAnsi="宋体" w:eastAsia="宋体" w:cs="宋体"/>
                <w:b/>
                <w:bCs/>
                <w:szCs w:val="21"/>
                <w:highlight w:val="none"/>
              </w:rPr>
            </w:pPr>
            <w:r>
              <w:rPr>
                <w:rFonts w:hint="eastAsia" w:ascii="宋体" w:hAnsi="宋体" w:eastAsia="宋体" w:cs="宋体"/>
                <w:b/>
                <w:bCs/>
                <w:szCs w:val="21"/>
                <w:highlight w:val="none"/>
              </w:rPr>
              <w:t>项目</w:t>
            </w: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jc w:val="center"/>
              <w:rPr>
                <w:rFonts w:hint="eastAsia" w:ascii="宋体" w:hAnsi="宋体" w:eastAsia="宋体" w:cs="宋体"/>
                <w:b/>
                <w:bCs/>
                <w:szCs w:val="21"/>
                <w:highlight w:val="none"/>
              </w:rPr>
            </w:pPr>
            <w:r>
              <w:rPr>
                <w:rFonts w:hint="eastAsia" w:ascii="宋体" w:hAnsi="宋体" w:eastAsia="宋体" w:cs="宋体"/>
                <w:b/>
                <w:bCs/>
                <w:szCs w:val="21"/>
                <w:highlight w:val="none"/>
              </w:rPr>
              <w:t>磋商文件要求</w:t>
            </w: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jc w:val="center"/>
              <w:rPr>
                <w:rFonts w:hint="eastAsia" w:ascii="宋体" w:hAnsi="宋体" w:eastAsia="宋体" w:cs="宋体"/>
                <w:b/>
                <w:bCs/>
                <w:szCs w:val="21"/>
                <w:highlight w:val="none"/>
              </w:rPr>
            </w:pPr>
            <w:r>
              <w:rPr>
                <w:rFonts w:hint="eastAsia" w:ascii="宋体" w:hAnsi="宋体" w:eastAsia="宋体" w:cs="宋体"/>
                <w:b/>
                <w:bCs/>
                <w:szCs w:val="21"/>
                <w:highlight w:val="none"/>
              </w:rPr>
              <w:t>是否响应</w:t>
            </w: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jc w:val="center"/>
              <w:rPr>
                <w:rFonts w:hint="eastAsia" w:ascii="宋体" w:hAnsi="宋体" w:eastAsia="宋体" w:cs="宋体"/>
                <w:b/>
                <w:bCs/>
                <w:szCs w:val="21"/>
                <w:highlight w:val="none"/>
              </w:rPr>
            </w:pPr>
            <w:r>
              <w:rPr>
                <w:rFonts w:hint="eastAsia" w:ascii="宋体" w:hAnsi="宋体" w:eastAsia="宋体" w:cs="宋体"/>
                <w:b/>
                <w:bCs/>
                <w:szCs w:val="21"/>
                <w:highlight w:val="none"/>
              </w:rPr>
              <w:t>供应商的承诺或说明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90"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pStyle w:val="140"/>
              <w:spacing w:line="440" w:lineRule="exact"/>
              <w:jc w:val="center"/>
              <w:rPr>
                <w:rFonts w:hint="eastAsia" w:ascii="宋体" w:hAnsi="宋体" w:eastAsia="宋体" w:cs="宋体"/>
                <w:b/>
                <w:bCs/>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11"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pStyle w:val="140"/>
              <w:spacing w:line="440" w:lineRule="exact"/>
              <w:jc w:val="center"/>
              <w:rPr>
                <w:rFonts w:hint="eastAsia" w:ascii="宋体" w:hAnsi="宋体" w:eastAsia="宋体" w:cs="宋体"/>
                <w:b/>
                <w:bCs/>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9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pStyle w:val="140"/>
              <w:spacing w:line="440" w:lineRule="exact"/>
              <w:jc w:val="center"/>
              <w:rPr>
                <w:rFonts w:hint="eastAsia" w:ascii="宋体" w:hAnsi="宋体" w:eastAsia="宋体" w:cs="宋体"/>
                <w:b/>
                <w:bCs/>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pStyle w:val="140"/>
              <w:spacing w:line="440" w:lineRule="exact"/>
              <w:jc w:val="center"/>
              <w:rPr>
                <w:rFonts w:hint="eastAsia" w:ascii="宋体" w:hAnsi="宋体" w:eastAsia="宋体" w:cs="宋体"/>
                <w:b/>
                <w:bCs/>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jc w:val="center"/>
              <w:rPr>
                <w:rFonts w:hint="eastAsia" w:ascii="宋体" w:hAnsi="宋体" w:eastAsia="宋体" w:cs="宋体"/>
                <w:b/>
                <w:bCs/>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ind w:firstLine="420" w:firstLineChars="200"/>
              <w:jc w:val="center"/>
              <w:rPr>
                <w:rFonts w:hint="eastAsia" w:ascii="宋体" w:hAnsi="宋体" w:eastAsia="宋体" w:cs="宋体"/>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ind w:firstLine="420" w:firstLineChars="200"/>
              <w:jc w:val="center"/>
              <w:rPr>
                <w:rFonts w:hint="eastAsia" w:ascii="宋体" w:hAnsi="宋体" w:eastAsia="宋体" w:cs="宋体"/>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ind w:firstLine="420" w:firstLineChars="200"/>
              <w:jc w:val="center"/>
              <w:rPr>
                <w:rFonts w:hint="eastAsia" w:ascii="宋体" w:hAnsi="宋体" w:eastAsia="宋体" w:cs="宋体"/>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40" w:lineRule="exact"/>
              <w:ind w:firstLine="420" w:firstLineChars="200"/>
              <w:jc w:val="center"/>
              <w:rPr>
                <w:rFonts w:hint="eastAsia" w:ascii="宋体" w:hAnsi="宋体" w:eastAsia="宋体" w:cs="宋体"/>
                <w:szCs w:val="21"/>
                <w:highlight w:val="none"/>
              </w:rPr>
            </w:pPr>
          </w:p>
        </w:tc>
        <w:tc>
          <w:tcPr>
            <w:tcW w:w="2196"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bottom w:val="single" w:color="auto" w:sz="4" w:space="0"/>
              <w:right w:val="single" w:color="auto" w:sz="4" w:space="0"/>
            </w:tcBorders>
            <w:noWrap w:val="0"/>
            <w:vAlign w:val="center"/>
          </w:tcPr>
          <w:p>
            <w:pPr>
              <w:snapToGrid w:val="0"/>
              <w:spacing w:line="440" w:lineRule="exact"/>
              <w:ind w:firstLine="420" w:firstLineChars="200"/>
              <w:jc w:val="center"/>
              <w:rPr>
                <w:rFonts w:hint="eastAsia" w:ascii="宋体" w:hAnsi="宋体" w:eastAsia="宋体" w:cs="宋体"/>
                <w:szCs w:val="21"/>
                <w:highlight w:val="none"/>
              </w:rPr>
            </w:pPr>
          </w:p>
        </w:tc>
        <w:tc>
          <w:tcPr>
            <w:tcW w:w="2196" w:type="dxa"/>
            <w:tcBorders>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left w:val="single" w:color="auto" w:sz="4" w:space="0"/>
              <w:bottom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left w:val="single" w:color="auto" w:sz="4" w:space="0"/>
              <w:bottom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6" w:hRule="atLeast"/>
          <w:jc w:val="center"/>
        </w:trPr>
        <w:tc>
          <w:tcPr>
            <w:tcW w:w="2052" w:type="dxa"/>
            <w:tcBorders>
              <w:top w:val="single" w:color="auto" w:sz="4" w:space="0"/>
              <w:right w:val="single" w:color="auto" w:sz="4" w:space="0"/>
            </w:tcBorders>
            <w:noWrap w:val="0"/>
            <w:vAlign w:val="center"/>
          </w:tcPr>
          <w:p>
            <w:pPr>
              <w:snapToGrid w:val="0"/>
              <w:spacing w:line="440" w:lineRule="exact"/>
              <w:ind w:firstLine="420" w:firstLineChars="200"/>
              <w:jc w:val="center"/>
              <w:rPr>
                <w:rFonts w:hint="eastAsia" w:ascii="宋体" w:hAnsi="宋体" w:eastAsia="宋体" w:cs="宋体"/>
                <w:szCs w:val="21"/>
                <w:highlight w:val="none"/>
              </w:rPr>
            </w:pPr>
            <w:r>
              <w:rPr>
                <w:rFonts w:hint="eastAsia" w:ascii="宋体" w:hAnsi="宋体" w:eastAsia="宋体" w:cs="宋体"/>
                <w:szCs w:val="21"/>
                <w:highlight w:val="none"/>
              </w:rPr>
              <w:t>…</w:t>
            </w:r>
          </w:p>
        </w:tc>
        <w:tc>
          <w:tcPr>
            <w:tcW w:w="2196" w:type="dxa"/>
            <w:tcBorders>
              <w:top w:val="single" w:color="auto" w:sz="4" w:space="0"/>
              <w:left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1260" w:type="dxa"/>
            <w:tcBorders>
              <w:top w:val="single" w:color="auto" w:sz="4" w:space="0"/>
              <w:left w:val="single" w:color="auto" w:sz="4" w:space="0"/>
              <w:righ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c>
          <w:tcPr>
            <w:tcW w:w="3020" w:type="dxa"/>
            <w:tcBorders>
              <w:top w:val="single" w:color="auto" w:sz="4" w:space="0"/>
              <w:left w:val="single" w:color="auto" w:sz="4" w:space="0"/>
            </w:tcBorders>
            <w:noWrap w:val="0"/>
            <w:vAlign w:val="top"/>
          </w:tcPr>
          <w:p>
            <w:pPr>
              <w:snapToGrid w:val="0"/>
              <w:spacing w:line="440" w:lineRule="exact"/>
              <w:ind w:firstLine="420" w:firstLineChars="200"/>
              <w:rPr>
                <w:rFonts w:hint="eastAsia" w:ascii="宋体" w:hAnsi="宋体" w:eastAsia="宋体" w:cs="宋体"/>
                <w:szCs w:val="21"/>
                <w:highlight w:val="none"/>
              </w:rPr>
            </w:pPr>
          </w:p>
        </w:tc>
      </w:tr>
    </w:tbl>
    <w:p>
      <w:pPr>
        <w:spacing w:line="440" w:lineRule="exact"/>
        <w:ind w:firstLine="420" w:firstLineChars="200"/>
        <w:jc w:val="left"/>
        <w:rPr>
          <w:rFonts w:hint="eastAsia" w:ascii="宋体" w:hAnsi="宋体" w:cs="宋体"/>
          <w:szCs w:val="21"/>
          <w:highlight w:val="none"/>
          <w:shd w:val="clear" w:color="050000" w:fill="auto"/>
        </w:rPr>
      </w:pPr>
      <w:r>
        <w:rPr>
          <w:rFonts w:hint="eastAsia" w:ascii="宋体" w:hAnsi="宋体" w:cs="宋体"/>
          <w:szCs w:val="21"/>
          <w:highlight w:val="none"/>
          <w:shd w:val="clear" w:color="050000" w:fill="auto"/>
        </w:rPr>
        <w:t>填写说明：</w:t>
      </w:r>
    </w:p>
    <w:p>
      <w:pPr>
        <w:spacing w:line="440" w:lineRule="exact"/>
        <w:ind w:firstLine="420" w:firstLineChars="200"/>
        <w:rPr>
          <w:rFonts w:hint="eastAsia" w:ascii="宋体" w:hAnsi="宋体" w:cs="宋体"/>
          <w:szCs w:val="21"/>
          <w:highlight w:val="none"/>
          <w:shd w:val="clear" w:color="050000" w:fill="auto"/>
        </w:rPr>
      </w:pPr>
      <w:r>
        <w:rPr>
          <w:rFonts w:hint="eastAsia" w:ascii="宋体" w:hAnsi="宋体" w:cs="宋体"/>
          <w:szCs w:val="21"/>
          <w:highlight w:val="none"/>
          <w:shd w:val="clear" w:color="050000" w:fill="auto"/>
        </w:rPr>
        <w:t>1.项数不够时，可自行添加。</w:t>
      </w:r>
    </w:p>
    <w:p>
      <w:pPr>
        <w:spacing w:line="440" w:lineRule="exact"/>
        <w:ind w:firstLine="420" w:firstLineChars="200"/>
        <w:rPr>
          <w:rFonts w:hint="eastAsia" w:ascii="宋体" w:hAnsi="宋体" w:cs="宋体"/>
          <w:szCs w:val="21"/>
          <w:highlight w:val="none"/>
          <w:shd w:val="clear" w:color="050000" w:fill="auto"/>
        </w:rPr>
      </w:pPr>
      <w:r>
        <w:rPr>
          <w:rFonts w:hint="eastAsia" w:ascii="宋体" w:hAnsi="宋体" w:cs="宋体"/>
          <w:szCs w:val="21"/>
          <w:highlight w:val="none"/>
          <w:shd w:val="clear" w:color="050000" w:fill="auto"/>
        </w:rPr>
        <w:t>2.对照竞争性磋商文件第二章采购需求进行响应，如有偏离的，</w:t>
      </w:r>
      <w:r>
        <w:rPr>
          <w:rFonts w:hint="eastAsia" w:ascii="宋体" w:hAnsi="宋体" w:cs="宋体"/>
          <w:szCs w:val="21"/>
          <w:highlight w:val="none"/>
        </w:rPr>
        <w:t>供应商</w:t>
      </w:r>
      <w:r>
        <w:rPr>
          <w:rFonts w:hint="eastAsia" w:ascii="宋体" w:hAnsi="宋体" w:cs="宋体"/>
          <w:szCs w:val="21"/>
          <w:highlight w:val="none"/>
          <w:shd w:val="clear" w:color="050000" w:fill="auto"/>
        </w:rPr>
        <w:t>必须据实填写，不得虚假响应，否则将作无效标处理。</w:t>
      </w:r>
    </w:p>
    <w:p>
      <w:pPr>
        <w:spacing w:line="440" w:lineRule="exact"/>
        <w:ind w:firstLine="422" w:firstLineChars="200"/>
        <w:rPr>
          <w:rFonts w:hint="eastAsia" w:ascii="宋体" w:hAnsi="宋体" w:cs="宋体"/>
          <w:szCs w:val="21"/>
          <w:highlight w:val="none"/>
          <w:shd w:val="clear" w:color="050000" w:fill="auto"/>
        </w:rPr>
      </w:pPr>
      <w:r>
        <w:rPr>
          <w:rFonts w:hint="eastAsia" w:ascii="宋体" w:hAnsi="宋体" w:cs="宋体"/>
          <w:b/>
          <w:szCs w:val="21"/>
          <w:highlight w:val="none"/>
          <w:shd w:val="clear" w:color="060000" w:fill="auto"/>
        </w:rPr>
        <w:t>3.未在上表列出或不填写此表的，则视为完全响应竞争性磋商文件要求</w:t>
      </w:r>
      <w:r>
        <w:rPr>
          <w:rFonts w:hint="eastAsia" w:ascii="宋体" w:hAnsi="宋体" w:cs="宋体"/>
          <w:szCs w:val="21"/>
          <w:highlight w:val="none"/>
          <w:shd w:val="clear" w:color="050000" w:fill="auto"/>
        </w:rPr>
        <w:t>。</w:t>
      </w:r>
    </w:p>
    <w:p>
      <w:pPr>
        <w:spacing w:line="440" w:lineRule="exact"/>
        <w:ind w:firstLine="422" w:firstLineChars="200"/>
        <w:jc w:val="center"/>
        <w:rPr>
          <w:rFonts w:hint="eastAsia" w:ascii="宋体" w:hAnsi="宋体" w:cs="宋体"/>
          <w:b/>
          <w:szCs w:val="21"/>
          <w:highlight w:val="none"/>
        </w:rPr>
      </w:pPr>
    </w:p>
    <w:p>
      <w:pPr>
        <w:pStyle w:val="22"/>
        <w:spacing w:before="0" w:beforeLines="0" w:after="0" w:afterLines="0" w:line="440" w:lineRule="exact"/>
        <w:ind w:firstLine="500" w:firstLineChars="200"/>
        <w:rPr>
          <w:rFonts w:hint="eastAsia" w:hAnsi="宋体" w:cs="宋体"/>
          <w:color w:val="000000"/>
          <w:spacing w:val="20"/>
          <w:sz w:val="21"/>
          <w:szCs w:val="21"/>
          <w:highlight w:val="none"/>
        </w:rPr>
      </w:pPr>
      <w:r>
        <w:rPr>
          <w:rFonts w:hint="eastAsia" w:hAnsi="宋体" w:cs="宋体"/>
          <w:color w:val="000000"/>
          <w:spacing w:val="20"/>
          <w:sz w:val="21"/>
          <w:szCs w:val="21"/>
          <w:highlight w:val="none"/>
        </w:rPr>
        <w:t xml:space="preserve"> </w:t>
      </w:r>
    </w:p>
    <w:p>
      <w:pPr>
        <w:pStyle w:val="22"/>
        <w:spacing w:before="0" w:beforeLines="0" w:after="0" w:afterLines="0" w:line="440" w:lineRule="exact"/>
        <w:ind w:firstLine="5000" w:firstLineChars="2000"/>
        <w:rPr>
          <w:rFonts w:hint="eastAsia" w:hAnsi="宋体" w:cs="宋体"/>
          <w:color w:val="000000"/>
          <w:spacing w:val="20"/>
          <w:sz w:val="21"/>
          <w:szCs w:val="21"/>
          <w:highlight w:val="none"/>
          <w:u w:val="single"/>
        </w:rPr>
      </w:pPr>
      <w:r>
        <w:rPr>
          <w:rFonts w:hint="eastAsia" w:hAnsi="宋体" w:cs="宋体"/>
          <w:color w:val="000000"/>
          <w:spacing w:val="20"/>
          <w:sz w:val="21"/>
          <w:szCs w:val="21"/>
          <w:highlight w:val="none"/>
        </w:rPr>
        <w:t>供应商盖章：</w:t>
      </w:r>
      <w:r>
        <w:rPr>
          <w:rFonts w:hint="eastAsia" w:hAnsi="宋体" w:cs="宋体"/>
          <w:color w:val="000000"/>
          <w:spacing w:val="20"/>
          <w:sz w:val="21"/>
          <w:szCs w:val="21"/>
          <w:highlight w:val="none"/>
          <w:u w:val="single"/>
        </w:rPr>
        <w:t xml:space="preserve">            </w:t>
      </w:r>
    </w:p>
    <w:p>
      <w:pPr>
        <w:spacing w:line="440" w:lineRule="exact"/>
        <w:ind w:firstLine="5000" w:firstLineChars="2000"/>
        <w:rPr>
          <w:rFonts w:hint="eastAsia" w:ascii="宋体" w:hAnsi="宋体" w:cs="宋体"/>
          <w:b/>
          <w:bCs/>
          <w:color w:val="000000"/>
          <w:szCs w:val="21"/>
          <w:highlight w:val="none"/>
        </w:rPr>
      </w:pPr>
      <w:r>
        <w:rPr>
          <w:rFonts w:hint="eastAsia" w:ascii="宋体" w:hAnsi="宋体" w:cs="宋体"/>
          <w:color w:val="000000"/>
          <w:spacing w:val="20"/>
          <w:szCs w:val="21"/>
          <w:highlight w:val="none"/>
        </w:rPr>
        <w:t>日     期：</w:t>
      </w:r>
      <w:r>
        <w:rPr>
          <w:rFonts w:hint="eastAsia" w:ascii="宋体" w:hAnsi="宋体" w:cs="宋体"/>
          <w:color w:val="000000"/>
          <w:spacing w:val="20"/>
          <w:szCs w:val="21"/>
          <w:highlight w:val="none"/>
          <w:u w:val="single"/>
        </w:rPr>
        <w:t xml:space="preserve">            </w:t>
      </w:r>
    </w:p>
    <w:p>
      <w:pPr>
        <w:pStyle w:val="22"/>
        <w:spacing w:before="0" w:beforeLines="0" w:after="0" w:afterLines="0" w:line="440" w:lineRule="exact"/>
        <w:ind w:firstLine="420" w:firstLineChars="200"/>
        <w:rPr>
          <w:rFonts w:hint="eastAsia" w:hAnsi="宋体" w:cs="宋体"/>
          <w:sz w:val="21"/>
          <w:szCs w:val="21"/>
          <w:highlight w:val="none"/>
        </w:rPr>
      </w:pPr>
      <w:r>
        <w:rPr>
          <w:rFonts w:hint="eastAsia" w:hAnsi="宋体" w:cs="宋体"/>
          <w:sz w:val="21"/>
          <w:szCs w:val="21"/>
          <w:highlight w:val="none"/>
        </w:rPr>
        <w:t xml:space="preserve"> </w:t>
      </w:r>
    </w:p>
    <w:p>
      <w:pPr>
        <w:spacing w:line="440" w:lineRule="exact"/>
        <w:ind w:firstLine="422" w:firstLineChars="200"/>
        <w:jc w:val="center"/>
        <w:rPr>
          <w:rFonts w:hint="eastAsia" w:ascii="宋体" w:hAnsi="宋体" w:cs="宋体"/>
          <w:b/>
          <w:szCs w:val="21"/>
          <w:highlight w:val="none"/>
        </w:rPr>
      </w:pPr>
      <w:bookmarkStart w:id="633" w:name="_Toc303756428"/>
    </w:p>
    <w:p>
      <w:pPr>
        <w:pStyle w:val="201"/>
        <w:spacing w:line="440" w:lineRule="exact"/>
        <w:jc w:val="left"/>
        <w:rPr>
          <w:rFonts w:hint="eastAsia" w:hAnsi="宋体" w:cs="宋体"/>
          <w:b/>
          <w:szCs w:val="21"/>
          <w:highlight w:val="none"/>
        </w:rPr>
      </w:pPr>
      <w:r>
        <w:rPr>
          <w:rFonts w:hint="eastAsia" w:hAnsi="宋体" w:cs="宋体"/>
          <w:b/>
          <w:szCs w:val="21"/>
          <w:highlight w:val="none"/>
        </w:rPr>
        <w:br w:type="page"/>
      </w:r>
      <w:bookmarkStart w:id="634" w:name="_Toc14085"/>
      <w:r>
        <w:rPr>
          <w:rFonts w:hint="eastAsia" w:hAnsi="宋体" w:cs="宋体"/>
          <w:b/>
          <w:bCs/>
          <w:sz w:val="24"/>
          <w:szCs w:val="24"/>
          <w:highlight w:val="none"/>
        </w:rPr>
        <w:t>3.6代理服务费支付承诺书格式</w:t>
      </w:r>
    </w:p>
    <w:p>
      <w:pPr>
        <w:spacing w:line="440" w:lineRule="exact"/>
        <w:ind w:firstLine="562" w:firstLineChars="200"/>
        <w:jc w:val="center"/>
        <w:rPr>
          <w:rFonts w:hint="eastAsia" w:ascii="宋体" w:hAnsi="宋体" w:cs="宋体"/>
          <w:b/>
          <w:color w:val="000000"/>
          <w:sz w:val="28"/>
          <w:szCs w:val="28"/>
          <w:highlight w:val="none"/>
        </w:rPr>
      </w:pPr>
    </w:p>
    <w:p>
      <w:pPr>
        <w:spacing w:line="440" w:lineRule="exact"/>
        <w:ind w:firstLine="562" w:firstLineChars="200"/>
        <w:jc w:val="center"/>
        <w:rPr>
          <w:rFonts w:hint="eastAsia" w:ascii="宋体" w:hAnsi="宋体" w:cs="宋体"/>
          <w:b/>
          <w:color w:val="000000"/>
          <w:sz w:val="28"/>
          <w:szCs w:val="28"/>
          <w:highlight w:val="none"/>
        </w:rPr>
      </w:pPr>
      <w:r>
        <w:rPr>
          <w:rFonts w:hint="eastAsia" w:ascii="宋体" w:hAnsi="宋体" w:cs="宋体"/>
          <w:b/>
          <w:color w:val="000000"/>
          <w:sz w:val="28"/>
          <w:szCs w:val="28"/>
          <w:highlight w:val="none"/>
        </w:rPr>
        <w:t>代理服务费支付承诺书</w:t>
      </w:r>
    </w:p>
    <w:p>
      <w:pPr>
        <w:spacing w:line="440" w:lineRule="exact"/>
        <w:ind w:firstLine="420" w:firstLineChars="200"/>
        <w:jc w:val="left"/>
        <w:rPr>
          <w:rFonts w:hint="eastAsia" w:ascii="宋体" w:hAnsi="宋体" w:cs="宋体"/>
          <w:szCs w:val="21"/>
          <w:highlight w:val="none"/>
        </w:rPr>
      </w:pPr>
    </w:p>
    <w:p>
      <w:pPr>
        <w:spacing w:line="440" w:lineRule="exact"/>
        <w:ind w:firstLine="420" w:firstLineChars="200"/>
        <w:jc w:val="left"/>
        <w:rPr>
          <w:rFonts w:hint="eastAsia" w:ascii="宋体" w:hAnsi="宋体" w:cs="宋体"/>
          <w:szCs w:val="21"/>
          <w:highlight w:val="none"/>
        </w:rPr>
      </w:pPr>
      <w:r>
        <w:rPr>
          <w:rFonts w:hint="eastAsia" w:ascii="宋体" w:hAnsi="宋体" w:cs="宋体"/>
          <w:szCs w:val="21"/>
          <w:highlight w:val="none"/>
        </w:rPr>
        <w:t>浙江鼎峰工程咨询有限公司：</w:t>
      </w:r>
    </w:p>
    <w:p>
      <w:pPr>
        <w:spacing w:line="440" w:lineRule="exact"/>
        <w:ind w:firstLine="420" w:firstLineChars="200"/>
        <w:jc w:val="left"/>
        <w:rPr>
          <w:rFonts w:hint="eastAsia" w:ascii="宋体" w:hAnsi="宋体" w:cs="宋体"/>
          <w:b/>
          <w:szCs w:val="21"/>
          <w:highlight w:val="none"/>
        </w:rPr>
      </w:pPr>
      <w:r>
        <w:rPr>
          <w:rFonts w:hint="eastAsia" w:ascii="宋体" w:hAnsi="宋体" w:cs="宋体"/>
          <w:szCs w:val="21"/>
          <w:highlight w:val="none"/>
        </w:rPr>
        <w:t>如确定我公司为该项目中标（成交）人，我公司承诺在中标（成交）公告发出之日起5个工作日之内向贵公司按招标文件约定一次性支付代理服务费。逾期未支付的，贵公司有权就此事项向我公司提出赔偿，我公司愿意承担由此产生的全部赔偿责任。</w:t>
      </w:r>
    </w:p>
    <w:p>
      <w:pPr>
        <w:spacing w:line="440" w:lineRule="exact"/>
        <w:ind w:firstLine="422" w:firstLineChars="200"/>
        <w:jc w:val="left"/>
        <w:rPr>
          <w:rFonts w:hint="eastAsia" w:ascii="宋体" w:hAnsi="宋体" w:cs="宋体"/>
          <w:b/>
          <w:szCs w:val="21"/>
          <w:highlight w:val="none"/>
        </w:rPr>
      </w:pPr>
    </w:p>
    <w:p>
      <w:pPr>
        <w:spacing w:line="440" w:lineRule="exact"/>
        <w:ind w:firstLine="420" w:firstLineChars="200"/>
        <w:jc w:val="left"/>
        <w:rPr>
          <w:rFonts w:hint="eastAsia" w:ascii="宋体" w:hAnsi="宋体" w:cs="宋体"/>
          <w:szCs w:val="21"/>
          <w:highlight w:val="none"/>
        </w:rPr>
      </w:pPr>
      <w:r>
        <w:rPr>
          <w:rFonts w:hint="eastAsia" w:ascii="宋体" w:hAnsi="宋体" w:cs="宋体"/>
          <w:szCs w:val="21"/>
          <w:highlight w:val="none"/>
        </w:rPr>
        <w:t>注：</w:t>
      </w:r>
    </w:p>
    <w:p>
      <w:pPr>
        <w:spacing w:line="440" w:lineRule="exact"/>
        <w:ind w:firstLine="420" w:firstLineChars="200"/>
        <w:jc w:val="left"/>
        <w:rPr>
          <w:rFonts w:hint="eastAsia" w:ascii="宋体" w:hAnsi="宋体" w:cs="宋体"/>
          <w:szCs w:val="21"/>
          <w:highlight w:val="none"/>
        </w:rPr>
      </w:pPr>
      <w:r>
        <w:rPr>
          <w:rFonts w:hint="eastAsia" w:ascii="宋体" w:hAnsi="宋体" w:cs="宋体"/>
          <w:szCs w:val="21"/>
          <w:highlight w:val="none"/>
        </w:rPr>
        <w:t>代理服务费收取账户信息：</w:t>
      </w:r>
    </w:p>
    <w:p>
      <w:pPr>
        <w:spacing w:line="440" w:lineRule="exact"/>
        <w:ind w:firstLine="420" w:firstLineChars="200"/>
        <w:jc w:val="left"/>
        <w:rPr>
          <w:rFonts w:hint="eastAsia" w:ascii="宋体" w:hAnsi="宋体" w:cs="宋体"/>
          <w:szCs w:val="21"/>
          <w:highlight w:val="none"/>
        </w:rPr>
      </w:pPr>
      <w:r>
        <w:rPr>
          <w:rFonts w:hint="eastAsia" w:ascii="宋体" w:hAnsi="宋体" w:cs="宋体"/>
          <w:szCs w:val="21"/>
          <w:highlight w:val="none"/>
        </w:rPr>
        <w:t>户名：浙江鼎峰工程咨询有限公司</w:t>
      </w:r>
    </w:p>
    <w:p>
      <w:pPr>
        <w:spacing w:line="440" w:lineRule="exact"/>
        <w:ind w:firstLine="420" w:firstLineChars="200"/>
        <w:jc w:val="left"/>
        <w:rPr>
          <w:rFonts w:hint="eastAsia" w:ascii="宋体" w:hAnsi="宋体" w:cs="宋体"/>
          <w:szCs w:val="21"/>
          <w:highlight w:val="none"/>
        </w:rPr>
      </w:pPr>
      <w:r>
        <w:rPr>
          <w:rFonts w:hint="eastAsia" w:ascii="宋体" w:hAnsi="宋体" w:cs="宋体"/>
          <w:szCs w:val="21"/>
          <w:highlight w:val="none"/>
        </w:rPr>
        <w:t>账号：33001697435050002001</w:t>
      </w:r>
    </w:p>
    <w:p>
      <w:pPr>
        <w:spacing w:line="440" w:lineRule="exact"/>
        <w:ind w:firstLine="420" w:firstLineChars="200"/>
        <w:jc w:val="left"/>
        <w:rPr>
          <w:rFonts w:hint="eastAsia" w:ascii="宋体" w:hAnsi="宋体" w:cs="宋体"/>
          <w:szCs w:val="21"/>
          <w:highlight w:val="none"/>
        </w:rPr>
      </w:pPr>
      <w:r>
        <w:rPr>
          <w:rFonts w:hint="eastAsia" w:ascii="宋体" w:hAnsi="宋体" w:cs="宋体"/>
          <w:szCs w:val="21"/>
          <w:highlight w:val="none"/>
        </w:rPr>
        <w:t>开户行：中国建设银行缙云县支行</w:t>
      </w:r>
    </w:p>
    <w:p>
      <w:pPr>
        <w:spacing w:line="440" w:lineRule="exact"/>
        <w:ind w:firstLine="422" w:firstLineChars="200"/>
        <w:jc w:val="center"/>
        <w:rPr>
          <w:rFonts w:hint="eastAsia" w:ascii="宋体" w:hAnsi="宋体" w:cs="宋体"/>
          <w:b/>
          <w:szCs w:val="21"/>
          <w:highlight w:val="none"/>
        </w:rPr>
      </w:pPr>
    </w:p>
    <w:p>
      <w:pPr>
        <w:spacing w:line="440" w:lineRule="exact"/>
        <w:ind w:firstLine="422" w:firstLineChars="200"/>
        <w:jc w:val="center"/>
        <w:rPr>
          <w:rFonts w:hint="eastAsia" w:ascii="宋体" w:hAnsi="宋体" w:cs="宋体"/>
          <w:b/>
          <w:szCs w:val="21"/>
          <w:highlight w:val="none"/>
        </w:rPr>
      </w:pPr>
    </w:p>
    <w:p>
      <w:pPr>
        <w:pStyle w:val="190"/>
        <w:wordWrap w:val="0"/>
        <w:spacing w:line="440" w:lineRule="exact"/>
        <w:ind w:firstLine="420" w:firstLineChars="200"/>
        <w:jc w:val="right"/>
        <w:rPr>
          <w:rFonts w:hint="eastAsia" w:ascii="宋体" w:hAnsi="宋体" w:cs="宋体"/>
          <w:szCs w:val="21"/>
          <w:highlight w:val="none"/>
          <w:u w:val="single"/>
        </w:rPr>
      </w:pPr>
      <w:r>
        <w:rPr>
          <w:rFonts w:hint="eastAsia" w:ascii="宋体" w:hAnsi="宋体" w:cs="宋体"/>
          <w:szCs w:val="21"/>
          <w:highlight w:val="none"/>
        </w:rPr>
        <w:t>供应商盖章：</w:t>
      </w:r>
      <w:r>
        <w:rPr>
          <w:rFonts w:hint="eastAsia" w:ascii="宋体" w:hAnsi="宋体" w:cs="宋体"/>
          <w:szCs w:val="21"/>
          <w:highlight w:val="none"/>
          <w:u w:val="single"/>
        </w:rPr>
        <w:t xml:space="preserve">                </w:t>
      </w:r>
    </w:p>
    <w:p>
      <w:pPr>
        <w:pStyle w:val="190"/>
        <w:wordWrap w:val="0"/>
        <w:spacing w:line="440" w:lineRule="exact"/>
        <w:ind w:firstLine="420" w:firstLineChars="200"/>
        <w:jc w:val="right"/>
        <w:rPr>
          <w:rFonts w:hint="eastAsia" w:ascii="宋体" w:hAnsi="宋体" w:cs="宋体"/>
          <w:szCs w:val="21"/>
          <w:highlight w:val="none"/>
          <w:u w:val="single"/>
        </w:rPr>
      </w:pPr>
      <w:r>
        <w:rPr>
          <w:rFonts w:hint="eastAsia" w:ascii="宋体" w:hAnsi="宋体" w:cs="宋体"/>
          <w:szCs w:val="21"/>
          <w:highlight w:val="none"/>
        </w:rPr>
        <w:t>日      期：</w:t>
      </w:r>
      <w:r>
        <w:rPr>
          <w:rFonts w:hint="eastAsia" w:ascii="宋体" w:hAnsi="宋体" w:cs="宋体"/>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szCs w:val="21"/>
          <w:highlight w:val="none"/>
        </w:rPr>
        <w:br w:type="page"/>
      </w:r>
      <w:bookmarkEnd w:id="592"/>
      <w:bookmarkEnd w:id="593"/>
      <w:bookmarkEnd w:id="633"/>
      <w:bookmarkEnd w:id="634"/>
      <w:bookmarkStart w:id="635" w:name="_Toc303756459"/>
      <w:bookmarkStart w:id="636" w:name="_Toc22905"/>
      <w:r>
        <w:rPr>
          <w:rFonts w:hint="eastAsia" w:ascii="宋体" w:hAnsi="宋体" w:cs="宋体"/>
          <w:b/>
          <w:bCs/>
          <w:color w:val="auto"/>
          <w:sz w:val="24"/>
          <w:highlight w:val="none"/>
          <w:lang w:val="en-US" w:eastAsia="zh-CN"/>
        </w:rPr>
        <w:t>3.7</w:t>
      </w:r>
      <w:r>
        <w:rPr>
          <w:rFonts w:hint="eastAsia" w:ascii="宋体" w:hAnsi="宋体" w:cs="宋体"/>
          <w:b/>
          <w:bCs/>
          <w:color w:val="auto"/>
          <w:sz w:val="24"/>
          <w:highlight w:val="none"/>
          <w:lang w:val="en-US" w:eastAsia="zh-CN"/>
        </w:rPr>
        <w:t>业绩</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tabs>
          <w:tab w:val="left" w:pos="2355"/>
          <w:tab w:val="center" w:pos="4513"/>
        </w:tabs>
        <w:kinsoku/>
        <w:overflowPunct/>
        <w:topLinePunct w:val="0"/>
        <w:autoSpaceDE/>
        <w:autoSpaceDN/>
        <w:bidi w:val="0"/>
        <w:adjustRightInd/>
        <w:snapToGrid/>
        <w:spacing w:line="360" w:lineRule="auto"/>
        <w:ind w:left="0" w:leftChars="0" w:firstLine="482" w:firstLineChars="200"/>
        <w:jc w:val="center"/>
        <w:textAlignment w:val="auto"/>
        <w:outlineLvl w:val="9"/>
        <w:rPr>
          <w:rFonts w:hint="eastAsia" w:ascii="宋体" w:hAnsi="宋体" w:cs="宋体"/>
          <w:b/>
          <w:color w:val="auto"/>
          <w:sz w:val="24"/>
          <w:highlight w:val="none"/>
        </w:rPr>
      </w:pP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3.8项目负责人</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3.9施工设计方案</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Style w:val="190"/>
        <w:pageBreakBefore w:val="0"/>
        <w:widowControl w:val="0"/>
        <w:kinsoku/>
        <w:wordWrap/>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p>
    <w:p>
      <w:pPr>
        <w:pStyle w:val="190"/>
        <w:pageBreakBefore w:val="0"/>
        <w:widowControl w:val="0"/>
        <w:kinsoku/>
        <w:wordWrap/>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3.10</w:t>
      </w:r>
      <w:r>
        <w:rPr>
          <w:rFonts w:hint="eastAsia" w:ascii="宋体" w:hAnsi="宋体" w:eastAsia="宋体" w:cs="宋体"/>
          <w:b/>
          <w:bCs/>
          <w:color w:val="auto"/>
          <w:sz w:val="24"/>
          <w:highlight w:val="none"/>
          <w:lang w:val="en-US" w:eastAsia="zh-CN"/>
        </w:rPr>
        <w:t>施工方案</w:t>
      </w:r>
      <w:r>
        <w:rPr>
          <w:rFonts w:hint="eastAsia" w:ascii="宋体" w:hAnsi="宋体" w:eastAsia="宋体" w:cs="宋体"/>
          <w:b/>
          <w:bCs/>
          <w:color w:val="auto"/>
          <w:sz w:val="24"/>
          <w:highlight w:val="none"/>
        </w:rPr>
        <w:t>（格式</w:t>
      </w:r>
      <w:r>
        <w:rPr>
          <w:rFonts w:hint="eastAsia" w:ascii="宋体" w:hAnsi="宋体" w:cs="宋体"/>
          <w:b/>
          <w:bCs/>
          <w:color w:val="auto"/>
          <w:sz w:val="24"/>
          <w:highlight w:val="none"/>
        </w:rPr>
        <w:t>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br w:type="page"/>
      </w:r>
      <w:r>
        <w:rPr>
          <w:rFonts w:hint="eastAsia" w:ascii="宋体" w:hAnsi="宋体" w:cs="宋体"/>
          <w:b/>
          <w:bCs/>
          <w:color w:val="auto"/>
          <w:sz w:val="24"/>
          <w:highlight w:val="none"/>
          <w:lang w:val="en-US" w:eastAsia="zh-CN"/>
        </w:rPr>
        <w:t>3.11技术参数响应部分</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spacing w:line="440" w:lineRule="exact"/>
        <w:rPr>
          <w:rFonts w:hint="eastAsia" w:ascii="宋体" w:hAnsi="宋体" w:eastAsia="宋体" w:cs="宋体"/>
          <w:b/>
          <w:color w:val="000000"/>
          <w:sz w:val="24"/>
          <w:szCs w:val="24"/>
          <w:highlight w:val="none"/>
        </w:rPr>
      </w:pP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3.12施工方案</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3.13重点难点分析及解决措施</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br w:type="page"/>
      </w:r>
      <w:r>
        <w:rPr>
          <w:rFonts w:hint="eastAsia" w:ascii="宋体" w:hAnsi="宋体" w:cs="宋体"/>
          <w:b/>
          <w:bCs/>
          <w:color w:val="auto"/>
          <w:sz w:val="24"/>
          <w:highlight w:val="none"/>
          <w:lang w:val="en-US" w:eastAsia="zh-CN"/>
        </w:rPr>
        <w:t>3.14实施进度计划</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keepNext w:val="0"/>
        <w:keepLines w:val="0"/>
        <w:spacing w:line="360" w:lineRule="auto"/>
        <w:jc w:val="center"/>
        <w:outlineLvl w:val="9"/>
        <w:rPr>
          <w:rFonts w:hint="eastAsia" w:ascii="宋体" w:hAnsi="宋体" w:cs="宋体"/>
          <w:color w:val="auto"/>
          <w:szCs w:val="21"/>
          <w:highlight w:val="none"/>
          <w:u w:val="singl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3.15售后服务</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keepNext w:val="0"/>
        <w:keepLines w:val="0"/>
        <w:spacing w:line="360" w:lineRule="auto"/>
        <w:jc w:val="center"/>
        <w:outlineLvl w:val="9"/>
        <w:rPr>
          <w:rFonts w:hint="eastAsia" w:ascii="宋体" w:hAnsi="宋体" w:cs="宋体"/>
          <w:color w:val="auto"/>
          <w:szCs w:val="21"/>
          <w:highlight w:val="none"/>
          <w:u w:val="singl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3.16设备质保期及培训方案</w:t>
      </w:r>
      <w:r>
        <w:rPr>
          <w:rFonts w:hint="eastAsia" w:ascii="宋体" w:hAnsi="宋体" w:cs="宋体"/>
          <w:b/>
          <w:bCs/>
          <w:color w:val="auto"/>
          <w:sz w:val="24"/>
          <w:highlight w:val="none"/>
        </w:rPr>
        <w:t>（格式自行设计）</w:t>
      </w:r>
    </w:p>
    <w:p>
      <w:pPr>
        <w:pageBreakBefore w:val="0"/>
        <w:widowControl w:val="0"/>
        <w:kinsoku/>
        <w:overflowPunct/>
        <w:topLinePunct w:val="0"/>
        <w:autoSpaceDE/>
        <w:autoSpaceDN/>
        <w:bidi w:val="0"/>
        <w:adjustRightInd/>
        <w:snapToGrid/>
        <w:spacing w:line="400" w:lineRule="exact"/>
        <w:ind w:left="0" w:leftChars="0"/>
        <w:jc w:val="left"/>
        <w:textAlignment w:val="auto"/>
        <w:outlineLvl w:val="9"/>
        <w:rPr>
          <w:rFonts w:hint="eastAsia" w:ascii="宋体" w:hAnsi="宋体" w:cs="宋体"/>
          <w:color w:val="auto"/>
          <w:sz w:val="24"/>
          <w:highlight w:val="none"/>
        </w:rPr>
      </w:pPr>
    </w:p>
    <w:p>
      <w:pPr>
        <w:pageBreakBefore w:val="0"/>
        <w:widowControl w:val="0"/>
        <w:kinsoku/>
        <w:overflowPunct/>
        <w:topLinePunct w:val="0"/>
        <w:autoSpaceDE/>
        <w:autoSpaceDN/>
        <w:bidi w:val="0"/>
        <w:adjustRightInd/>
        <w:snapToGrid/>
        <w:spacing w:before="0" w:after="0"/>
        <w:ind w:left="0" w:leftChars="0" w:firstLine="0" w:firstLineChars="0"/>
        <w:jc w:val="left"/>
        <w:textAlignment w:val="auto"/>
        <w:outlineLvl w:val="9"/>
        <w:rPr>
          <w:rFonts w:hint="eastAsia" w:ascii="宋体" w:hAnsi="宋体" w:eastAsia="宋体" w:cs="宋体"/>
          <w:color w:val="auto"/>
          <w:sz w:val="24"/>
          <w:szCs w:val="24"/>
          <w:highlight w:val="none"/>
        </w:rPr>
      </w:pPr>
    </w:p>
    <w:p>
      <w:pPr>
        <w:pStyle w:val="29"/>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ageBreakBefore w:val="0"/>
        <w:widowControl w:val="0"/>
        <w:kinsoku/>
        <w:overflowPunct/>
        <w:topLinePunct w:val="0"/>
        <w:autoSpaceDE/>
        <w:autoSpaceDN/>
        <w:bidi w:val="0"/>
        <w:adjustRightInd/>
        <w:snapToGrid/>
        <w:ind w:left="0" w:leftChars="0"/>
        <w:textAlignment w:val="auto"/>
        <w:outlineLvl w:val="9"/>
        <w:rPr>
          <w:rFonts w:hint="eastAsia" w:ascii="宋体" w:hAnsi="宋体" w:cs="宋体"/>
          <w:color w:val="auto"/>
          <w:szCs w:val="21"/>
          <w:highlight w:val="none"/>
        </w:rPr>
      </w:pPr>
    </w:p>
    <w:p>
      <w:pPr>
        <w:pStyle w:val="190"/>
        <w:pageBreakBefore w:val="0"/>
        <w:widowControl w:val="0"/>
        <w:kinsoku/>
        <w:wordWrap w:val="0"/>
        <w:overflowPunct/>
        <w:topLinePunct w:val="0"/>
        <w:autoSpaceDE/>
        <w:autoSpaceDN/>
        <w:bidi w:val="0"/>
        <w:adjustRightInd/>
        <w:snapToGrid/>
        <w:spacing w:line="360" w:lineRule="auto"/>
        <w:ind w:left="0" w:leftChars="0" w:firstLine="480"/>
        <w:jc w:val="right"/>
        <w:textAlignment w:val="auto"/>
        <w:outlineLvl w:val="9"/>
        <w:rPr>
          <w:rFonts w:hint="eastAsia" w:ascii="宋体" w:hAnsi="宋体" w:cs="宋体"/>
          <w:color w:val="auto"/>
          <w:szCs w:val="21"/>
          <w:highlight w:val="none"/>
          <w:u w:val="single"/>
        </w:rPr>
      </w:pPr>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p>
    <w:p>
      <w:pPr>
        <w:keepNext w:val="0"/>
        <w:keepLines w:val="0"/>
        <w:spacing w:line="360" w:lineRule="auto"/>
        <w:jc w:val="center"/>
        <w:outlineLvl w:val="9"/>
        <w:rPr>
          <w:rFonts w:hint="eastAsia" w:ascii="宋体" w:hAnsi="宋体" w:cs="宋体"/>
          <w:color w:val="auto"/>
          <w:szCs w:val="21"/>
          <w:highlight w:val="none"/>
          <w:u w:val="singl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pStyle w:val="4"/>
        <w:keepNext w:val="0"/>
        <w:keepLines w:val="0"/>
        <w:spacing w:line="360" w:lineRule="auto"/>
        <w:jc w:val="center"/>
        <w:outlineLvl w:val="1"/>
        <w:rPr>
          <w:rFonts w:hint="eastAsia" w:ascii="宋体" w:hAnsi="宋体" w:cs="宋体"/>
          <w:sz w:val="30"/>
          <w:szCs w:val="30"/>
          <w:highlight w:val="none"/>
        </w:rPr>
      </w:pPr>
      <w:r>
        <w:rPr>
          <w:rFonts w:hint="eastAsia" w:ascii="宋体" w:hAnsi="宋体" w:cs="宋体"/>
          <w:bCs w:val="0"/>
          <w:sz w:val="32"/>
          <w:highlight w:val="none"/>
        </w:rPr>
        <w:br w:type="page"/>
      </w:r>
      <w:bookmarkStart w:id="637" w:name="_Toc24655"/>
      <w:bookmarkStart w:id="638" w:name="_Toc3205"/>
      <w:r>
        <w:rPr>
          <w:rFonts w:hint="eastAsia" w:ascii="宋体" w:hAnsi="宋体" w:cs="宋体"/>
          <w:sz w:val="30"/>
          <w:szCs w:val="30"/>
          <w:highlight w:val="none"/>
        </w:rPr>
        <w:t>四、报价文件格式</w:t>
      </w:r>
      <w:bookmarkEnd w:id="635"/>
      <w:bookmarkEnd w:id="636"/>
      <w:bookmarkEnd w:id="637"/>
      <w:bookmarkEnd w:id="638"/>
    </w:p>
    <w:p>
      <w:pPr>
        <w:pStyle w:val="6"/>
        <w:snapToGrid w:val="0"/>
        <w:spacing w:before="50" w:after="120"/>
        <w:ind w:firstLine="0"/>
        <w:rPr>
          <w:rFonts w:hint="eastAsia" w:ascii="宋体" w:hAnsi="宋体" w:cs="宋体"/>
          <w:szCs w:val="21"/>
          <w:highlight w:val="none"/>
        </w:rPr>
      </w:pPr>
    </w:p>
    <w:p>
      <w:pPr>
        <w:outlineLvl w:val="9"/>
        <w:rPr>
          <w:rFonts w:hint="eastAsia" w:ascii="宋体" w:hAnsi="宋体" w:cs="宋体"/>
          <w:b/>
          <w:bCs/>
          <w:sz w:val="24"/>
          <w:szCs w:val="24"/>
          <w:highlight w:val="none"/>
        </w:rPr>
      </w:pPr>
      <w:bookmarkStart w:id="639" w:name="_Toc17855"/>
      <w:bookmarkStart w:id="640" w:name="_Toc303756462"/>
      <w:r>
        <w:rPr>
          <w:rFonts w:hint="eastAsia" w:ascii="宋体" w:hAnsi="宋体" w:cs="宋体"/>
          <w:b/>
          <w:bCs/>
          <w:sz w:val="24"/>
          <w:szCs w:val="24"/>
          <w:highlight w:val="none"/>
        </w:rPr>
        <w:t>4.1报价文件封面格式</w:t>
      </w:r>
      <w:bookmarkEnd w:id="639"/>
    </w:p>
    <w:p>
      <w:pPr>
        <w:pStyle w:val="6"/>
        <w:ind w:firstLine="0"/>
        <w:rPr>
          <w:rFonts w:hint="eastAsia" w:ascii="宋体" w:hAnsi="宋体" w:cs="宋体"/>
          <w:sz w:val="24"/>
          <w:szCs w:val="24"/>
          <w:highlight w:val="none"/>
        </w:rPr>
      </w:pPr>
    </w:p>
    <w:p>
      <w:pPr>
        <w:pStyle w:val="6"/>
        <w:spacing w:line="360" w:lineRule="auto"/>
        <w:ind w:firstLine="0"/>
        <w:jc w:val="center"/>
        <w:rPr>
          <w:rFonts w:hint="eastAsia" w:ascii="宋体" w:hAnsi="宋体" w:cs="宋体"/>
          <w:b/>
          <w:sz w:val="24"/>
          <w:szCs w:val="24"/>
          <w:highlight w:val="none"/>
        </w:rPr>
      </w:pPr>
    </w:p>
    <w:p>
      <w:pPr>
        <w:pStyle w:val="6"/>
        <w:spacing w:line="360" w:lineRule="auto"/>
        <w:ind w:firstLine="0"/>
        <w:jc w:val="center"/>
        <w:rPr>
          <w:rFonts w:hint="eastAsia" w:ascii="宋体" w:hAnsi="宋体" w:cs="宋体"/>
          <w:b/>
          <w:sz w:val="24"/>
          <w:szCs w:val="24"/>
          <w:highlight w:val="none"/>
        </w:rPr>
      </w:pPr>
      <w:r>
        <w:rPr>
          <w:rFonts w:hint="eastAsia" w:ascii="宋体" w:hAnsi="宋体" w:cs="宋体"/>
          <w:b/>
          <w:sz w:val="28"/>
          <w:szCs w:val="28"/>
          <w:highlight w:val="none"/>
        </w:rPr>
        <w:t>投标响应文件</w:t>
      </w:r>
    </w:p>
    <w:p>
      <w:pPr>
        <w:snapToGrid w:val="0"/>
        <w:spacing w:before="120" w:beforeLines="50" w:after="50"/>
        <w:rPr>
          <w:rFonts w:hint="eastAsia" w:ascii="宋体" w:hAnsi="宋体" w:cs="宋体"/>
          <w:bCs/>
          <w:sz w:val="24"/>
          <w:highlight w:val="none"/>
        </w:rPr>
      </w:pPr>
    </w:p>
    <w:p>
      <w:pPr>
        <w:pStyle w:val="6"/>
        <w:rPr>
          <w:rFonts w:hint="eastAsia" w:ascii="宋体" w:hAnsi="宋体" w:cs="宋体"/>
          <w:sz w:val="24"/>
          <w:szCs w:val="24"/>
          <w:highlight w:val="none"/>
        </w:rPr>
      </w:pPr>
    </w:p>
    <w:tbl>
      <w:tblPr>
        <w:tblStyle w:val="43"/>
        <w:tblW w:w="0" w:type="auto"/>
        <w:jc w:val="center"/>
        <w:tblLayout w:type="fixed"/>
        <w:tblCellMar>
          <w:top w:w="0" w:type="dxa"/>
          <w:left w:w="108" w:type="dxa"/>
          <w:bottom w:w="0" w:type="dxa"/>
          <w:right w:w="108" w:type="dxa"/>
        </w:tblCellMar>
      </w:tblPr>
      <w:tblGrid>
        <w:gridCol w:w="2311"/>
        <w:gridCol w:w="5142"/>
      </w:tblGrid>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投标响应文件名称：</w:t>
            </w:r>
          </w:p>
        </w:tc>
        <w:tc>
          <w:tcPr>
            <w:tcW w:w="5142" w:type="dxa"/>
            <w:noWrap w:val="0"/>
            <w:vAlign w:val="center"/>
          </w:tcPr>
          <w:p>
            <w:pPr>
              <w:ind w:left="-103" w:leftChars="-49"/>
              <w:jc w:val="left"/>
              <w:rPr>
                <w:rFonts w:hint="eastAsia" w:ascii="宋体" w:hAnsi="宋体" w:eastAsia="宋体" w:cs="宋体"/>
                <w:sz w:val="24"/>
                <w:highlight w:val="none"/>
              </w:rPr>
            </w:pPr>
            <w:r>
              <w:rPr>
                <w:rFonts w:hint="eastAsia" w:ascii="宋体" w:hAnsi="宋体" w:eastAsia="宋体" w:cs="宋体"/>
                <w:sz w:val="24"/>
                <w:highlight w:val="none"/>
                <w:u w:val="single"/>
              </w:rPr>
              <w:t xml:space="preserve">     报价文件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采 购 编 号：</w:t>
            </w:r>
          </w:p>
        </w:tc>
        <w:tc>
          <w:tcPr>
            <w:tcW w:w="5142" w:type="dxa"/>
            <w:noWrap w:val="0"/>
            <w:vAlign w:val="center"/>
          </w:tcPr>
          <w:p>
            <w:pPr>
              <w:ind w:left="-103" w:leftChars="-49"/>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项 目 名 称：</w:t>
            </w:r>
          </w:p>
        </w:tc>
        <w:tc>
          <w:tcPr>
            <w:tcW w:w="5142" w:type="dxa"/>
            <w:noWrap w:val="0"/>
            <w:vAlign w:val="center"/>
          </w:tcPr>
          <w:p>
            <w:pPr>
              <w:ind w:left="-103" w:leftChars="-49"/>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p>
        </w:tc>
        <w:tc>
          <w:tcPr>
            <w:tcW w:w="5142" w:type="dxa"/>
            <w:noWrap w:val="0"/>
            <w:vAlign w:val="center"/>
          </w:tcPr>
          <w:p>
            <w:pPr>
              <w:ind w:left="-103" w:leftChars="-49"/>
              <w:jc w:val="left"/>
              <w:rPr>
                <w:rFonts w:hint="eastAsia" w:ascii="宋体" w:hAnsi="宋体" w:eastAsia="宋体" w:cs="宋体"/>
                <w:sz w:val="24"/>
                <w:highlight w:val="none"/>
                <w:u w:val="singl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p>
        </w:tc>
        <w:tc>
          <w:tcPr>
            <w:tcW w:w="5142" w:type="dxa"/>
            <w:noWrap w:val="0"/>
            <w:vAlign w:val="center"/>
          </w:tcPr>
          <w:p>
            <w:pPr>
              <w:ind w:left="-103" w:leftChars="-49"/>
              <w:jc w:val="left"/>
              <w:rPr>
                <w:rFonts w:hint="eastAsia" w:ascii="宋体" w:hAnsi="宋体" w:eastAsia="宋体" w:cs="宋体"/>
                <w:sz w:val="24"/>
                <w:highlight w:val="none"/>
                <w:u w:val="single"/>
              </w:rPr>
            </w:pPr>
          </w:p>
        </w:tc>
      </w:tr>
      <w:tr>
        <w:tblPrEx>
          <w:tblCellMar>
            <w:top w:w="0" w:type="dxa"/>
            <w:left w:w="108" w:type="dxa"/>
            <w:bottom w:w="0" w:type="dxa"/>
            <w:right w:w="108" w:type="dxa"/>
          </w:tblCellMar>
        </w:tblPrEx>
        <w:trPr>
          <w:trHeight w:val="737" w:hRule="atLeast"/>
          <w:jc w:val="center"/>
        </w:trPr>
        <w:tc>
          <w:tcPr>
            <w:tcW w:w="2311" w:type="dxa"/>
            <w:noWrap w:val="0"/>
            <w:vAlign w:val="center"/>
          </w:tcPr>
          <w:p>
            <w:pPr>
              <w:spacing w:line="400" w:lineRule="exact"/>
              <w:jc w:val="distribute"/>
              <w:rPr>
                <w:rFonts w:hint="eastAsia" w:ascii="宋体" w:hAnsi="宋体" w:eastAsia="宋体" w:cs="宋体"/>
                <w:sz w:val="24"/>
                <w:highlight w:val="none"/>
              </w:rPr>
            </w:pPr>
            <w:r>
              <w:rPr>
                <w:rFonts w:hint="eastAsia" w:ascii="宋体" w:hAnsi="宋体" w:eastAsia="宋体" w:cs="宋体"/>
                <w:sz w:val="24"/>
                <w:highlight w:val="none"/>
              </w:rPr>
              <w:t>供应商名称</w:t>
            </w:r>
          </w:p>
          <w:p>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（CA签章）：</w:t>
            </w:r>
          </w:p>
        </w:tc>
        <w:tc>
          <w:tcPr>
            <w:tcW w:w="5142" w:type="dxa"/>
            <w:noWrap w:val="0"/>
            <w:vAlign w:val="center"/>
          </w:tcPr>
          <w:p>
            <w:pPr>
              <w:spacing w:line="400" w:lineRule="exact"/>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109" w:rightChars="-52"/>
              <w:jc w:val="distribute"/>
              <w:rPr>
                <w:rFonts w:hint="eastAsia" w:ascii="宋体" w:hAnsi="宋体" w:eastAsia="宋体" w:cs="宋体"/>
                <w:sz w:val="24"/>
                <w:highlight w:val="none"/>
              </w:rPr>
            </w:pPr>
            <w:r>
              <w:rPr>
                <w:rFonts w:hint="eastAsia" w:ascii="宋体" w:hAnsi="宋体" w:eastAsia="宋体" w:cs="宋体"/>
                <w:sz w:val="24"/>
                <w:highlight w:val="none"/>
              </w:rPr>
              <w:t>供应商地址：</w:t>
            </w:r>
          </w:p>
        </w:tc>
        <w:tc>
          <w:tcPr>
            <w:tcW w:w="5142" w:type="dxa"/>
            <w:noWrap w:val="0"/>
            <w:vAlign w:val="center"/>
          </w:tcPr>
          <w:p>
            <w:pPr>
              <w:ind w:left="-103" w:leftChars="-49"/>
              <w:jc w:val="left"/>
              <w:rPr>
                <w:rFonts w:hint="eastAsia" w:ascii="宋体" w:hAnsi="宋体" w:eastAsia="宋体" w:cs="宋体"/>
                <w:sz w:val="24"/>
                <w:highlight w:val="none"/>
              </w:rPr>
            </w:pPr>
            <w:r>
              <w:rPr>
                <w:rFonts w:hint="eastAsia" w:ascii="宋体" w:hAnsi="宋体" w:eastAsia="宋体" w:cs="宋体"/>
                <w:sz w:val="24"/>
                <w:highlight w:val="none"/>
                <w:u w:val="single"/>
              </w:rPr>
              <w:t xml:space="preserve">                        </w:t>
            </w:r>
          </w:p>
        </w:tc>
      </w:tr>
      <w:tr>
        <w:tblPrEx>
          <w:tblCellMar>
            <w:top w:w="0" w:type="dxa"/>
            <w:left w:w="108" w:type="dxa"/>
            <w:bottom w:w="0" w:type="dxa"/>
            <w:right w:w="108" w:type="dxa"/>
          </w:tblCellMar>
        </w:tblPrEx>
        <w:trPr>
          <w:trHeight w:val="737" w:hRule="atLeast"/>
          <w:jc w:val="center"/>
        </w:trPr>
        <w:tc>
          <w:tcPr>
            <w:tcW w:w="2311" w:type="dxa"/>
            <w:noWrap w:val="0"/>
            <w:vAlign w:val="center"/>
          </w:tcPr>
          <w:p>
            <w:pPr>
              <w:ind w:right="-84" w:rightChars="-40"/>
              <w:rPr>
                <w:rFonts w:hint="eastAsia" w:ascii="宋体" w:hAnsi="宋体" w:eastAsia="宋体" w:cs="宋体"/>
                <w:sz w:val="24"/>
                <w:highlight w:val="none"/>
              </w:rPr>
            </w:pPr>
          </w:p>
        </w:tc>
        <w:tc>
          <w:tcPr>
            <w:tcW w:w="5142" w:type="dxa"/>
            <w:noWrap w:val="0"/>
            <w:vAlign w:val="center"/>
          </w:tcPr>
          <w:p>
            <w:pPr>
              <w:ind w:left="-103" w:leftChars="-49"/>
              <w:rPr>
                <w:rFonts w:hint="eastAsia" w:ascii="宋体" w:hAnsi="宋体" w:eastAsia="宋体" w:cs="宋体"/>
                <w:sz w:val="24"/>
                <w:highlight w:val="none"/>
              </w:rPr>
            </w:pPr>
          </w:p>
        </w:tc>
      </w:tr>
      <w:tr>
        <w:tblPrEx>
          <w:tblCellMar>
            <w:top w:w="0" w:type="dxa"/>
            <w:left w:w="108" w:type="dxa"/>
            <w:bottom w:w="0" w:type="dxa"/>
            <w:right w:w="108" w:type="dxa"/>
          </w:tblCellMar>
        </w:tblPrEx>
        <w:trPr>
          <w:trHeight w:val="737" w:hRule="atLeast"/>
          <w:jc w:val="center"/>
        </w:trPr>
        <w:tc>
          <w:tcPr>
            <w:tcW w:w="7453" w:type="dxa"/>
            <w:gridSpan w:val="2"/>
            <w:noWrap w:val="0"/>
            <w:vAlign w:val="center"/>
          </w:tcPr>
          <w:p>
            <w:pPr>
              <w:jc w:val="center"/>
              <w:rPr>
                <w:rFonts w:hint="eastAsia" w:ascii="宋体" w:hAnsi="宋体" w:eastAsia="宋体" w:cs="宋体"/>
                <w:sz w:val="24"/>
                <w:highlight w:val="none"/>
              </w:rPr>
            </w:pPr>
            <w:r>
              <w:rPr>
                <w:rFonts w:hint="eastAsia" w:ascii="宋体" w:hAnsi="宋体" w:eastAsia="宋体" w:cs="宋体"/>
                <w:sz w:val="24"/>
                <w:highlight w:val="none"/>
              </w:rPr>
              <w:t>年  月  日</w:t>
            </w:r>
          </w:p>
        </w:tc>
      </w:tr>
    </w:tbl>
    <w:p>
      <w:pPr>
        <w:jc w:val="center"/>
        <w:rPr>
          <w:rFonts w:hint="eastAsia" w:ascii="宋体" w:hAnsi="宋体" w:cs="宋体"/>
          <w:sz w:val="24"/>
          <w:highlight w:val="none"/>
        </w:rPr>
      </w:pPr>
      <w:r>
        <w:rPr>
          <w:rFonts w:hint="eastAsia" w:ascii="宋体" w:hAnsi="宋体" w:cs="宋体"/>
          <w:b/>
          <w:sz w:val="24"/>
          <w:highlight w:val="none"/>
        </w:rPr>
        <w:t>时间：在  年  月  日  时  分之前不得启封</w:t>
      </w:r>
    </w:p>
    <w:p>
      <w:pPr>
        <w:spacing w:line="440" w:lineRule="exact"/>
        <w:outlineLvl w:val="9"/>
        <w:rPr>
          <w:rFonts w:hint="eastAsia" w:ascii="宋体" w:hAnsi="宋体" w:cs="宋体"/>
          <w:b/>
          <w:bCs w:val="0"/>
          <w:sz w:val="28"/>
          <w:szCs w:val="28"/>
          <w:highlight w:val="none"/>
        </w:rPr>
      </w:pPr>
      <w:r>
        <w:rPr>
          <w:rFonts w:hint="eastAsia" w:ascii="宋体" w:hAnsi="宋体" w:cs="宋体"/>
          <w:b/>
          <w:sz w:val="28"/>
          <w:szCs w:val="28"/>
          <w:highlight w:val="none"/>
        </w:rPr>
        <w:br w:type="page"/>
      </w:r>
      <w:bookmarkStart w:id="641" w:name="_Toc23311"/>
      <w:r>
        <w:rPr>
          <w:rFonts w:hint="eastAsia" w:ascii="宋体" w:hAnsi="宋体" w:cs="宋体"/>
          <w:b/>
          <w:bCs w:val="0"/>
          <w:sz w:val="24"/>
          <w:highlight w:val="none"/>
        </w:rPr>
        <w:t>4.2报价文件目录</w:t>
      </w:r>
      <w:bookmarkEnd w:id="640"/>
      <w:bookmarkEnd w:id="641"/>
    </w:p>
    <w:p>
      <w:pPr>
        <w:spacing w:line="360" w:lineRule="auto"/>
        <w:rPr>
          <w:rFonts w:hint="eastAsia" w:ascii="宋体" w:hAnsi="宋体" w:cs="宋体"/>
          <w:szCs w:val="21"/>
          <w:highlight w:val="none"/>
        </w:rPr>
      </w:pPr>
    </w:p>
    <w:p>
      <w:pPr>
        <w:ind w:firstLine="480" w:firstLineChars="200"/>
        <w:rPr>
          <w:rFonts w:hint="eastAsia" w:ascii="宋体" w:hAnsi="宋体" w:eastAsia="宋体" w:cs="宋体"/>
          <w:b/>
          <w:bCs/>
          <w:sz w:val="24"/>
          <w:highlight w:val="none"/>
          <w:lang w:val="en-US" w:eastAsia="zh-CN"/>
        </w:rPr>
      </w:pPr>
      <w:bookmarkStart w:id="642" w:name="_Toc13798"/>
      <w:bookmarkStart w:id="643" w:name="_Toc28009"/>
      <w:bookmarkStart w:id="644" w:name="_Toc6007"/>
      <w:bookmarkStart w:id="645" w:name="_Toc22029287"/>
      <w:r>
        <w:rPr>
          <w:rFonts w:hint="eastAsia" w:ascii="宋体" w:hAnsi="宋体" w:cs="宋体"/>
          <w:b w:val="0"/>
          <w:bCs w:val="0"/>
          <w:sz w:val="24"/>
          <w:highlight w:val="none"/>
          <w:lang w:val="en-US" w:eastAsia="zh-CN"/>
        </w:rPr>
        <w:t>格式自拟</w:t>
      </w:r>
    </w:p>
    <w:p>
      <w:pPr>
        <w:rPr>
          <w:rFonts w:hint="eastAsia" w:ascii="宋体" w:hAnsi="宋体" w:cs="宋体"/>
          <w:b/>
          <w:bCs/>
          <w:sz w:val="24"/>
          <w:highlight w:val="none"/>
        </w:rPr>
      </w:pPr>
    </w:p>
    <w:bookmarkEnd w:id="642"/>
    <w:bookmarkEnd w:id="643"/>
    <w:bookmarkEnd w:id="644"/>
    <w:bookmarkEnd w:id="645"/>
    <w:p>
      <w:pPr>
        <w:jc w:val="left"/>
        <w:rPr>
          <w:rFonts w:hint="eastAsia" w:ascii="宋体" w:hAnsi="宋体" w:cs="宋体"/>
          <w:color w:val="auto"/>
          <w:sz w:val="24"/>
          <w:highlight w:val="none"/>
        </w:rPr>
      </w:pPr>
      <w:r>
        <w:rPr>
          <w:rFonts w:hint="eastAsia" w:ascii="宋体" w:hAnsi="宋体" w:cs="宋体"/>
          <w:b/>
          <w:bCs/>
          <w:color w:val="auto"/>
          <w:sz w:val="24"/>
          <w:highlight w:val="none"/>
          <w:lang w:val="en-US" w:eastAsia="zh-CN"/>
        </w:rPr>
        <w:t xml:space="preserve">4.3 </w:t>
      </w:r>
      <w:r>
        <w:rPr>
          <w:rFonts w:hint="eastAsia" w:ascii="宋体" w:hAnsi="宋体" w:cs="宋体"/>
          <w:b/>
          <w:bCs/>
          <w:color w:val="auto"/>
          <w:sz w:val="24"/>
          <w:highlight w:val="none"/>
        </w:rPr>
        <w:t>开标一览表格式</w:t>
      </w:r>
    </w:p>
    <w:p>
      <w:pPr>
        <w:pStyle w:val="6"/>
        <w:spacing w:line="360" w:lineRule="auto"/>
        <w:ind w:firstLine="0"/>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开标一览表</w:t>
      </w:r>
    </w:p>
    <w:p>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p>
    <w:p>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项目名称：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标项：</w:t>
      </w:r>
      <w:r>
        <w:rPr>
          <w:rFonts w:hint="eastAsia" w:ascii="宋体" w:hAnsi="宋体" w:cs="宋体"/>
          <w:color w:val="auto"/>
          <w:szCs w:val="21"/>
          <w:highlight w:val="none"/>
          <w:u w:val="single"/>
        </w:rPr>
        <w:t>（若有）</w:t>
      </w:r>
    </w:p>
    <w:tbl>
      <w:tblPr>
        <w:tblStyle w:val="43"/>
        <w:tblW w:w="0" w:type="auto"/>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double" w:color="000000" w:sz="6" w:space="0"/>
              <w:left w:val="double" w:color="000000" w:sz="6" w:space="0"/>
              <w:bottom w:val="single" w:color="000000" w:sz="6" w:space="0"/>
              <w:right w:val="single" w:color="000000" w:sz="6" w:space="0"/>
            </w:tcBorders>
            <w:noWrap w:val="0"/>
            <w:vAlign w:val="center"/>
          </w:tcPr>
          <w:p>
            <w:pPr>
              <w:pStyle w:val="180"/>
              <w:tabs>
                <w:tab w:val="left" w:pos="420"/>
                <w:tab w:val="center" w:pos="4153"/>
                <w:tab w:val="right" w:pos="8306"/>
              </w:tabs>
              <w:adjustRightInd w:val="0"/>
              <w:jc w:val="center"/>
              <w:rPr>
                <w:rFonts w:hint="eastAsia" w:ascii="宋体" w:hAnsi="宋体" w:cs="宋体"/>
                <w:caps/>
                <w:color w:val="auto"/>
                <w:spacing w:val="20"/>
                <w:kern w:val="0"/>
                <w:szCs w:val="21"/>
                <w:highlight w:val="none"/>
              </w:rPr>
            </w:pPr>
            <w:r>
              <w:rPr>
                <w:rFonts w:hint="eastAsia" w:ascii="宋体" w:hAnsi="宋体" w:cs="宋体"/>
                <w:caps/>
                <w:color w:val="auto"/>
                <w:spacing w:val="20"/>
                <w:kern w:val="0"/>
                <w:szCs w:val="21"/>
                <w:highlight w:val="none"/>
              </w:rPr>
              <w:t>名称</w:t>
            </w:r>
          </w:p>
        </w:tc>
        <w:tc>
          <w:tcPr>
            <w:tcW w:w="6289" w:type="dxa"/>
            <w:tcBorders>
              <w:top w:val="double" w:color="000000" w:sz="6" w:space="0"/>
              <w:left w:val="single" w:color="000000" w:sz="6" w:space="0"/>
              <w:bottom w:val="single" w:color="000000" w:sz="6" w:space="0"/>
              <w:right w:val="double" w:color="000000" w:sz="6" w:space="0"/>
            </w:tcBorders>
            <w:noWrap w:val="0"/>
            <w:vAlign w:val="center"/>
          </w:tcPr>
          <w:p>
            <w:pPr>
              <w:pStyle w:val="180"/>
              <w:jc w:val="center"/>
              <w:rPr>
                <w:rFonts w:hint="eastAsia" w:ascii="宋体" w:hAnsi="宋体" w:cs="宋体"/>
                <w:caps/>
                <w:color w:val="auto"/>
                <w:spacing w:val="20"/>
                <w:szCs w:val="21"/>
                <w:highlight w:val="none"/>
              </w:rPr>
            </w:pPr>
            <w:r>
              <w:rPr>
                <w:rFonts w:hint="eastAsia" w:ascii="宋体" w:hAnsi="宋体" w:cs="宋体"/>
                <w:caps/>
                <w:color w:val="auto"/>
                <w:spacing w:val="20"/>
                <w:szCs w:val="21"/>
                <w:highlight w:val="none"/>
              </w:rPr>
              <w:t>总报价（元）</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single" w:color="000000" w:sz="6" w:space="0"/>
              <w:left w:val="double" w:color="000000" w:sz="6" w:space="0"/>
              <w:bottom w:val="double" w:color="000000" w:sz="6" w:space="0"/>
              <w:right w:val="single" w:color="000000" w:sz="6" w:space="0"/>
            </w:tcBorders>
            <w:noWrap w:val="0"/>
            <w:vAlign w:val="center"/>
          </w:tcPr>
          <w:p>
            <w:pPr>
              <w:pStyle w:val="180"/>
              <w:jc w:val="center"/>
              <w:rPr>
                <w:rFonts w:hint="eastAsia" w:ascii="宋体" w:hAnsi="宋体" w:cs="宋体"/>
                <w:color w:val="auto"/>
                <w:spacing w:val="20"/>
                <w:szCs w:val="21"/>
                <w:highlight w:val="none"/>
              </w:rPr>
            </w:pPr>
            <w:r>
              <w:rPr>
                <w:rFonts w:hint="eastAsia" w:ascii="宋体" w:hAnsi="宋体" w:cs="宋体"/>
                <w:color w:val="auto"/>
                <w:spacing w:val="20"/>
                <w:szCs w:val="21"/>
                <w:highlight w:val="none"/>
              </w:rPr>
              <w:t>项目总报价</w:t>
            </w:r>
          </w:p>
        </w:tc>
        <w:tc>
          <w:tcPr>
            <w:tcW w:w="6289" w:type="dxa"/>
            <w:tcBorders>
              <w:top w:val="single" w:color="000000" w:sz="6" w:space="0"/>
              <w:left w:val="single" w:color="000000" w:sz="6" w:space="0"/>
              <w:bottom w:val="double" w:color="000000" w:sz="6" w:space="0"/>
              <w:right w:val="double" w:color="000000" w:sz="6" w:space="0"/>
            </w:tcBorders>
            <w:noWrap w:val="0"/>
            <w:vAlign w:val="center"/>
          </w:tcPr>
          <w:p>
            <w:pPr>
              <w:pStyle w:val="180"/>
              <w:rPr>
                <w:rFonts w:hint="eastAsia" w:ascii="宋体" w:hAnsi="宋体" w:cs="宋体"/>
                <w:color w:val="auto"/>
                <w:spacing w:val="20"/>
                <w:szCs w:val="21"/>
                <w:highlight w:val="none"/>
              </w:rPr>
            </w:pPr>
            <w:r>
              <w:rPr>
                <w:rFonts w:hint="eastAsia" w:ascii="宋体" w:hAnsi="宋体" w:cs="宋体"/>
                <w:color w:val="auto"/>
                <w:spacing w:val="20"/>
                <w:szCs w:val="21"/>
                <w:highlight w:val="none"/>
              </w:rPr>
              <w:t>大写</w:t>
            </w:r>
            <w:r>
              <w:rPr>
                <w:rFonts w:hint="eastAsia" w:ascii="宋体" w:hAnsi="宋体" w:cs="宋体"/>
                <w:color w:val="auto"/>
                <w:spacing w:val="20"/>
                <w:szCs w:val="21"/>
                <w:highlight w:val="none"/>
                <w:u w:val="single"/>
              </w:rPr>
              <w:t xml:space="preserve">                </w:t>
            </w:r>
            <w:r>
              <w:rPr>
                <w:rFonts w:hint="eastAsia" w:ascii="宋体" w:hAnsi="宋体" w:cs="宋体"/>
                <w:color w:val="auto"/>
                <w:spacing w:val="20"/>
                <w:szCs w:val="21"/>
                <w:highlight w:val="none"/>
              </w:rPr>
              <w:t>（￥</w:t>
            </w:r>
            <w:r>
              <w:rPr>
                <w:rFonts w:hint="eastAsia" w:ascii="宋体" w:hAnsi="宋体" w:cs="宋体"/>
                <w:color w:val="auto"/>
                <w:spacing w:val="20"/>
                <w:szCs w:val="21"/>
                <w:highlight w:val="none"/>
                <w:u w:val="single"/>
              </w:rPr>
              <w:t xml:space="preserve">           </w:t>
            </w:r>
            <w:r>
              <w:rPr>
                <w:rFonts w:hint="eastAsia" w:ascii="宋体" w:hAnsi="宋体" w:cs="宋体"/>
                <w:color w:val="auto"/>
                <w:spacing w:val="20"/>
                <w:szCs w:val="21"/>
                <w:highlight w:val="none"/>
              </w:rPr>
              <w:t>）</w:t>
            </w:r>
          </w:p>
        </w:tc>
      </w:tr>
    </w:tbl>
    <w:p>
      <w:pPr>
        <w:pStyle w:val="180"/>
        <w:spacing w:line="440" w:lineRule="exact"/>
        <w:rPr>
          <w:rFonts w:hint="eastAsia" w:ascii="宋体" w:hAnsi="宋体" w:cs="宋体"/>
          <w:b/>
          <w:color w:val="auto"/>
          <w:spacing w:val="20"/>
          <w:szCs w:val="21"/>
          <w:highlight w:val="none"/>
        </w:rPr>
      </w:pPr>
      <w:r>
        <w:rPr>
          <w:rFonts w:hint="eastAsia" w:ascii="宋体" w:hAnsi="宋体" w:cs="宋体"/>
          <w:b/>
          <w:color w:val="auto"/>
          <w:szCs w:val="21"/>
          <w:highlight w:val="none"/>
        </w:rPr>
        <w:t xml:space="preserve"> </w:t>
      </w:r>
      <w:r>
        <w:rPr>
          <w:rFonts w:hint="eastAsia" w:ascii="宋体" w:hAnsi="宋体" w:cs="宋体"/>
          <w:b/>
          <w:color w:val="auto"/>
          <w:spacing w:val="20"/>
          <w:szCs w:val="21"/>
          <w:highlight w:val="none"/>
        </w:rPr>
        <w:t>注：</w:t>
      </w:r>
    </w:p>
    <w:p>
      <w:pPr>
        <w:pStyle w:val="180"/>
        <w:spacing w:line="44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 具体价格明细详见《投标分项报价表》</w:t>
      </w:r>
    </w:p>
    <w:p>
      <w:pPr>
        <w:pStyle w:val="180"/>
        <w:spacing w:line="44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 总报价一经涂改，应在涂改处加盖单位公章或投标人代表签字（或盖章），否则其投标作无效标处理。</w:t>
      </w:r>
    </w:p>
    <w:p>
      <w:pPr>
        <w:pStyle w:val="180"/>
        <w:spacing w:line="440" w:lineRule="exact"/>
        <w:ind w:firstLine="420" w:firstLineChars="200"/>
        <w:jc w:val="left"/>
        <w:rPr>
          <w:rFonts w:hint="eastAsia" w:ascii="宋体" w:hAnsi="宋体" w:cs="宋体"/>
          <w:color w:val="auto"/>
          <w:szCs w:val="21"/>
          <w:highlight w:val="none"/>
          <w:lang w:val="zh-CN"/>
        </w:rPr>
      </w:pPr>
      <w:r>
        <w:rPr>
          <w:rFonts w:hint="eastAsia" w:ascii="宋体" w:hAnsi="宋体" w:cs="宋体"/>
          <w:color w:val="auto"/>
          <w:szCs w:val="21"/>
          <w:highlight w:val="none"/>
        </w:rPr>
        <w:t>3. 报价应包括</w:t>
      </w:r>
      <w:r>
        <w:rPr>
          <w:rFonts w:hint="eastAsia" w:ascii="宋体" w:hAnsi="宋体" w:cs="宋体"/>
          <w:color w:val="auto"/>
          <w:szCs w:val="21"/>
          <w:highlight w:val="none"/>
          <w:lang w:eastAsia="zh-CN"/>
        </w:rPr>
        <w:t>货物、安装费、</w:t>
      </w:r>
      <w:r>
        <w:rPr>
          <w:rFonts w:hint="eastAsia" w:ascii="宋体" w:hAnsi="宋体" w:eastAsia="宋体" w:cs="宋体"/>
          <w:b w:val="0"/>
          <w:bCs w:val="0"/>
          <w:iCs/>
          <w:szCs w:val="21"/>
          <w:highlight w:val="none"/>
          <w:shd w:val="clear" w:color="auto" w:fill="auto"/>
        </w:rPr>
        <w:t>人工工资、交通费、保险、税金、</w:t>
      </w:r>
      <w:r>
        <w:rPr>
          <w:rFonts w:hint="eastAsia" w:ascii="宋体" w:hAnsi="宋体" w:eastAsia="宋体" w:cs="宋体"/>
          <w:b w:val="0"/>
          <w:bCs w:val="0"/>
          <w:iCs/>
          <w:szCs w:val="21"/>
          <w:highlight w:val="none"/>
          <w:shd w:val="clear" w:color="auto" w:fill="auto"/>
          <w:lang w:eastAsia="zh-CN"/>
        </w:rPr>
        <w:t>利息、</w:t>
      </w:r>
      <w:r>
        <w:rPr>
          <w:rFonts w:hint="eastAsia" w:ascii="宋体" w:hAnsi="宋体" w:eastAsia="宋体" w:cs="宋体"/>
          <w:b w:val="0"/>
          <w:bCs w:val="0"/>
          <w:iCs/>
          <w:szCs w:val="21"/>
          <w:highlight w:val="none"/>
          <w:shd w:val="clear" w:color="auto" w:fill="auto"/>
        </w:rPr>
        <w:t>管理费、服务酬金、验收、辅助工作及售后服务、采购代理服务费等一切费用</w:t>
      </w:r>
      <w:r>
        <w:rPr>
          <w:rFonts w:hint="eastAsia" w:ascii="宋体" w:hAnsi="宋体" w:cs="宋体"/>
          <w:color w:val="auto"/>
          <w:szCs w:val="21"/>
          <w:highlight w:val="none"/>
          <w:shd w:val="clear" w:color="auto" w:fill="auto"/>
          <w:lang w:val="zh-CN"/>
        </w:rPr>
        <w:t>。</w:t>
      </w:r>
      <w:r>
        <w:rPr>
          <w:rFonts w:hint="eastAsia" w:ascii="宋体" w:hAnsi="宋体" w:cs="宋体"/>
          <w:color w:val="auto"/>
          <w:szCs w:val="21"/>
          <w:highlight w:val="none"/>
        </w:rPr>
        <w:t>招标人不接受有选择报价及优惠前报价，请投标人直接填报优惠后的报价。</w:t>
      </w:r>
    </w:p>
    <w:p>
      <w:pPr>
        <w:pStyle w:val="180"/>
        <w:spacing w:line="360" w:lineRule="auto"/>
        <w:ind w:firstLine="480" w:firstLineChars="200"/>
        <w:jc w:val="left"/>
        <w:rPr>
          <w:rFonts w:hint="eastAsia" w:ascii="宋体" w:hAnsi="宋体" w:cs="宋体"/>
          <w:bCs/>
          <w:color w:val="auto"/>
          <w:sz w:val="24"/>
          <w:highlight w:val="none"/>
        </w:rPr>
      </w:pPr>
    </w:p>
    <w:p>
      <w:pPr>
        <w:pStyle w:val="180"/>
        <w:spacing w:line="360" w:lineRule="auto"/>
        <w:rPr>
          <w:rFonts w:hint="eastAsia" w:ascii="宋体" w:hAnsi="宋体" w:cs="宋体"/>
          <w:bCs/>
          <w:color w:val="auto"/>
          <w:sz w:val="24"/>
          <w:highlight w:val="none"/>
        </w:rPr>
      </w:pPr>
    </w:p>
    <w:p>
      <w:pPr>
        <w:spacing w:line="360" w:lineRule="auto"/>
        <w:jc w:val="left"/>
        <w:rPr>
          <w:rFonts w:hint="eastAsia" w:ascii="宋体" w:hAnsi="宋体" w:cs="宋体"/>
          <w:color w:val="auto"/>
          <w:spacing w:val="20"/>
          <w:szCs w:val="21"/>
          <w:highlight w:val="none"/>
        </w:rPr>
      </w:pPr>
    </w:p>
    <w:p>
      <w:pPr>
        <w:pStyle w:val="190"/>
        <w:wordWrap w:val="0"/>
        <w:spacing w:line="360" w:lineRule="auto"/>
        <w:ind w:firstLine="480"/>
        <w:jc w:val="right"/>
        <w:rPr>
          <w:rFonts w:hint="eastAsia" w:ascii="宋体" w:hAnsi="宋体" w:cs="宋体"/>
          <w:color w:val="auto"/>
          <w:szCs w:val="21"/>
          <w:highlight w:val="none"/>
          <w:u w:val="single"/>
        </w:rPr>
      </w:pPr>
      <w:bookmarkStart w:id="646" w:name="_Toc530551898"/>
      <w:bookmarkStart w:id="647" w:name="_Toc493956073"/>
      <w:bookmarkStart w:id="648" w:name="_Toc531359075"/>
      <w:r>
        <w:rPr>
          <w:rFonts w:hint="eastAsia" w:ascii="宋体" w:hAnsi="宋体" w:cs="宋体"/>
          <w:color w:val="auto"/>
          <w:szCs w:val="21"/>
          <w:highlight w:val="none"/>
        </w:rPr>
        <w:t>供应商盖章：</w:t>
      </w:r>
      <w:r>
        <w:rPr>
          <w:rFonts w:hint="eastAsia" w:ascii="宋体" w:hAnsi="宋体" w:cs="宋体"/>
          <w:color w:val="auto"/>
          <w:szCs w:val="21"/>
          <w:highlight w:val="none"/>
          <w:u w:val="single"/>
        </w:rPr>
        <w:t xml:space="preserve">               </w:t>
      </w:r>
      <w:r>
        <w:rPr>
          <w:rFonts w:hint="eastAsia" w:ascii="宋体" w:hAnsi="宋体" w:cs="宋体"/>
          <w:color w:val="auto"/>
          <w:spacing w:val="20"/>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r>
        <w:rPr>
          <w:rFonts w:hint="eastAsia" w:ascii="宋体" w:hAnsi="宋体" w:cs="宋体"/>
          <w:color w:val="auto"/>
          <w:spacing w:val="20"/>
          <w:szCs w:val="21"/>
          <w:highlight w:val="none"/>
          <w:u w:val="single"/>
        </w:rPr>
        <w:t xml:space="preserve"> </w:t>
      </w:r>
    </w:p>
    <w:p>
      <w:pPr>
        <w:jc w:val="right"/>
        <w:rPr>
          <w:rFonts w:hint="eastAsia" w:ascii="宋体" w:hAnsi="宋体" w:cs="宋体"/>
          <w:color w:val="auto"/>
          <w:szCs w:val="21"/>
          <w:highlight w:val="none"/>
        </w:rPr>
        <w:sectPr>
          <w:pgSz w:w="11905" w:h="16838"/>
          <w:pgMar w:top="1440" w:right="1083" w:bottom="1440" w:left="1083" w:header="1134" w:footer="1134" w:gutter="0"/>
          <w:paperSrc/>
          <w:pgNumType w:fmt="decimal"/>
          <w:cols w:space="720" w:num="1"/>
          <w:titlePg/>
          <w:rtlGutter w:val="0"/>
          <w:docGrid w:linePitch="312" w:charSpace="0"/>
        </w:sectPr>
      </w:pPr>
    </w:p>
    <w:bookmarkEnd w:id="646"/>
    <w:bookmarkEnd w:id="647"/>
    <w:bookmarkEnd w:id="648"/>
    <w:p>
      <w:pPr>
        <w:jc w:val="left"/>
        <w:rPr>
          <w:rFonts w:hint="eastAsia" w:ascii="宋体" w:hAnsi="宋体" w:cs="宋体"/>
          <w:color w:val="auto"/>
          <w:sz w:val="24"/>
          <w:highlight w:val="none"/>
        </w:rPr>
      </w:pPr>
      <w:bookmarkStart w:id="649" w:name="_Toc14077341"/>
      <w:bookmarkStart w:id="650" w:name="_Toc31147"/>
      <w:r>
        <w:rPr>
          <w:rFonts w:hint="eastAsia" w:ascii="宋体" w:hAnsi="宋体" w:cs="宋体"/>
          <w:b/>
          <w:bCs/>
          <w:color w:val="auto"/>
          <w:sz w:val="24"/>
          <w:highlight w:val="none"/>
          <w:lang w:val="en-US" w:eastAsia="zh-CN"/>
        </w:rPr>
        <w:t xml:space="preserve">4.4 </w:t>
      </w:r>
      <w:r>
        <w:rPr>
          <w:rFonts w:hint="eastAsia" w:ascii="宋体" w:hAnsi="宋体" w:cs="宋体"/>
          <w:b/>
          <w:bCs/>
          <w:color w:val="auto"/>
          <w:sz w:val="24"/>
          <w:highlight w:val="none"/>
        </w:rPr>
        <w:t>分项报价表格式</w:t>
      </w:r>
      <w:bookmarkEnd w:id="649"/>
      <w:bookmarkEnd w:id="650"/>
    </w:p>
    <w:p>
      <w:pPr>
        <w:pStyle w:val="6"/>
        <w:spacing w:line="360" w:lineRule="auto"/>
        <w:ind w:firstLine="0"/>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分项报价表</w:t>
      </w:r>
    </w:p>
    <w:p>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（格式仅供参考，可以根据实际情况自行设计）</w:t>
      </w:r>
    </w:p>
    <w:p>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pPr>
        <w:spacing w:line="360" w:lineRule="auto"/>
        <w:jc w:val="left"/>
        <w:rPr>
          <w:rFonts w:hint="eastAsia" w:ascii="宋体" w:hAnsi="宋体" w:cs="宋体"/>
          <w:color w:val="auto"/>
          <w:szCs w:val="21"/>
          <w:highlight w:val="none"/>
          <w:u w:val="single"/>
        </w:rPr>
      </w:pPr>
      <w:r>
        <w:rPr>
          <w:rFonts w:hint="eastAsia" w:ascii="宋体" w:hAnsi="宋体" w:cs="宋体"/>
          <w:color w:val="auto"/>
          <w:szCs w:val="21"/>
          <w:highlight w:val="none"/>
        </w:rPr>
        <w:t>项目名称：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411"/>
        <w:gridCol w:w="852"/>
        <w:gridCol w:w="850"/>
        <w:gridCol w:w="1276"/>
        <w:gridCol w:w="2521"/>
      </w:tblGrid>
      <w:tr>
        <w:tblPrEx>
          <w:tblCellMar>
            <w:top w:w="0" w:type="dxa"/>
            <w:left w:w="108" w:type="dxa"/>
            <w:bottom w:w="0" w:type="dxa"/>
            <w:right w:w="108" w:type="dxa"/>
          </w:tblCellMar>
        </w:tblPrEx>
        <w:trPr>
          <w:trHeight w:val="1074"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2411"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内容</w:t>
            </w:r>
          </w:p>
        </w:tc>
        <w:tc>
          <w:tcPr>
            <w:tcW w:w="8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单位</w:t>
            </w:r>
          </w:p>
        </w:tc>
        <w:tc>
          <w:tcPr>
            <w:tcW w:w="8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数量</w:t>
            </w:r>
          </w:p>
        </w:tc>
        <w:tc>
          <w:tcPr>
            <w:tcW w:w="1276"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r>
              <w:rPr>
                <w:rFonts w:hint="eastAsia" w:ascii="宋体" w:hAnsi="宋体" w:cs="宋体"/>
                <w:color w:val="auto"/>
                <w:szCs w:val="21"/>
                <w:highlight w:val="none"/>
              </w:rPr>
              <w:t>单价（元）</w:t>
            </w:r>
          </w:p>
        </w:tc>
        <w:tc>
          <w:tcPr>
            <w:tcW w:w="252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241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252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241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252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3</w:t>
            </w:r>
          </w:p>
        </w:tc>
        <w:tc>
          <w:tcPr>
            <w:tcW w:w="241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252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4</w:t>
            </w:r>
          </w:p>
        </w:tc>
        <w:tc>
          <w:tcPr>
            <w:tcW w:w="241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252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241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852"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c>
          <w:tcPr>
            <w:tcW w:w="2521"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3276"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highlight w:val="none"/>
              </w:rPr>
            </w:pPr>
            <w:r>
              <w:rPr>
                <w:rFonts w:hint="eastAsia" w:ascii="宋体" w:hAnsi="宋体" w:cs="宋体"/>
                <w:color w:val="auto"/>
                <w:szCs w:val="21"/>
                <w:highlight w:val="none"/>
              </w:rPr>
              <w:t>总价合计（元）</w:t>
            </w:r>
          </w:p>
        </w:tc>
        <w:tc>
          <w:tcPr>
            <w:tcW w:w="5499"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cs="宋体"/>
                <w:color w:val="auto"/>
                <w:szCs w:val="21"/>
                <w:highlight w:val="none"/>
              </w:rPr>
            </w:pPr>
          </w:p>
        </w:tc>
      </w:tr>
    </w:tbl>
    <w:p>
      <w:pPr>
        <w:jc w:val="left"/>
        <w:rPr>
          <w:rFonts w:hint="eastAsia" w:ascii="宋体" w:hAnsi="宋体" w:cs="宋体"/>
          <w:color w:val="auto"/>
          <w:szCs w:val="21"/>
          <w:highlight w:val="none"/>
        </w:rPr>
      </w:pPr>
    </w:p>
    <w:p>
      <w:pPr>
        <w:jc w:val="left"/>
        <w:rPr>
          <w:rFonts w:hint="eastAsia" w:ascii="宋体" w:hAnsi="宋体" w:cs="宋体"/>
          <w:color w:val="auto"/>
          <w:szCs w:val="21"/>
          <w:highlight w:val="none"/>
        </w:rPr>
      </w:pPr>
    </w:p>
    <w:p>
      <w:pPr>
        <w:spacing w:line="360" w:lineRule="auto"/>
        <w:ind w:firstLine="250" w:firstLineChars="100"/>
        <w:rPr>
          <w:rFonts w:hint="eastAsia" w:ascii="宋体" w:hAnsi="宋体" w:cs="宋体"/>
          <w:b/>
          <w:color w:val="auto"/>
          <w:szCs w:val="21"/>
          <w:highlight w:val="none"/>
        </w:rPr>
      </w:pPr>
      <w:r>
        <w:rPr>
          <w:rFonts w:hint="eastAsia" w:ascii="宋体" w:hAnsi="宋体" w:cs="宋体"/>
          <w:color w:val="auto"/>
          <w:spacing w:val="20"/>
          <w:szCs w:val="21"/>
          <w:highlight w:val="none"/>
        </w:rPr>
        <w:t>注：</w:t>
      </w:r>
      <w:r>
        <w:rPr>
          <w:rFonts w:hint="eastAsia" w:ascii="宋体" w:hAnsi="宋体" w:cs="宋体"/>
          <w:b/>
          <w:color w:val="auto"/>
          <w:szCs w:val="21"/>
          <w:highlight w:val="none"/>
        </w:rPr>
        <w:t>▲1.1所有单项报价均不得为0，总计金额必须与开标一览表总报价相同，否则作无效标处理。</w:t>
      </w:r>
    </w:p>
    <w:p>
      <w:pPr>
        <w:pStyle w:val="200"/>
        <w:spacing w:line="360" w:lineRule="auto"/>
        <w:ind w:firstLine="500" w:firstLineChars="200"/>
        <w:rPr>
          <w:rFonts w:hint="eastAsia" w:ascii="宋体" w:hAnsi="宋体" w:eastAsia="宋体" w:cs="宋体"/>
          <w:b/>
          <w:bCs/>
          <w:color w:val="auto"/>
          <w:kern w:val="2"/>
          <w:sz w:val="21"/>
          <w:szCs w:val="21"/>
          <w:highlight w:val="none"/>
        </w:rPr>
      </w:pPr>
      <w:r>
        <w:rPr>
          <w:rFonts w:hint="eastAsia" w:ascii="宋体" w:hAnsi="宋体" w:eastAsia="宋体" w:cs="宋体"/>
          <w:color w:val="auto"/>
          <w:spacing w:val="20"/>
          <w:sz w:val="21"/>
          <w:szCs w:val="21"/>
          <w:highlight w:val="none"/>
        </w:rPr>
        <w:t>1.2</w:t>
      </w:r>
      <w:r>
        <w:rPr>
          <w:rFonts w:hint="eastAsia" w:ascii="宋体" w:hAnsi="宋体" w:eastAsia="宋体" w:cs="宋体"/>
          <w:color w:val="auto"/>
          <w:kern w:val="2"/>
          <w:sz w:val="21"/>
          <w:szCs w:val="21"/>
          <w:highlight w:val="none"/>
        </w:rPr>
        <w:t>投标人需按“总报价表”的报价，对“</w:t>
      </w:r>
      <w:r>
        <w:rPr>
          <w:rFonts w:hint="eastAsia" w:ascii="宋体" w:hAnsi="宋体" w:eastAsia="宋体" w:cs="宋体"/>
          <w:color w:val="auto"/>
          <w:kern w:val="2"/>
          <w:sz w:val="21"/>
          <w:szCs w:val="21"/>
          <w:highlight w:val="none"/>
          <w:lang w:eastAsia="zh-CN"/>
        </w:rPr>
        <w:t>缙云县中医医院迁建工程项目污水处理设备采购项目</w:t>
      </w:r>
      <w:r>
        <w:rPr>
          <w:rFonts w:hint="eastAsia" w:ascii="宋体" w:hAnsi="宋体" w:eastAsia="宋体" w:cs="宋体"/>
          <w:color w:val="auto"/>
          <w:kern w:val="2"/>
          <w:sz w:val="21"/>
          <w:szCs w:val="21"/>
          <w:highlight w:val="none"/>
        </w:rPr>
        <w:t>”</w:t>
      </w:r>
      <w:r>
        <w:rPr>
          <w:rFonts w:hint="eastAsia" w:ascii="宋体" w:hAnsi="宋体" w:eastAsia="宋体" w:cs="宋体"/>
          <w:color w:val="auto"/>
          <w:kern w:val="2"/>
          <w:sz w:val="21"/>
          <w:szCs w:val="21"/>
          <w:highlight w:val="none"/>
          <w:lang w:eastAsia="zh-CN"/>
        </w:rPr>
        <w:t>的</w:t>
      </w:r>
      <w:r>
        <w:rPr>
          <w:rFonts w:hint="eastAsia" w:ascii="宋体" w:hAnsi="宋体" w:eastAsia="宋体" w:cs="宋体"/>
          <w:b/>
          <w:bCs/>
          <w:color w:val="auto"/>
          <w:kern w:val="2"/>
          <w:sz w:val="21"/>
          <w:szCs w:val="21"/>
          <w:highlight w:val="none"/>
        </w:rPr>
        <w:t>分项进行详细</w:t>
      </w:r>
      <w:r>
        <w:rPr>
          <w:rFonts w:hint="eastAsia" w:ascii="宋体" w:hAnsi="宋体" w:eastAsia="宋体" w:cs="宋体"/>
          <w:b/>
          <w:bCs/>
          <w:color w:val="auto"/>
          <w:kern w:val="2"/>
          <w:sz w:val="21"/>
          <w:szCs w:val="21"/>
          <w:highlight w:val="none"/>
          <w:lang w:eastAsia="zh-CN"/>
        </w:rPr>
        <w:t>报价以及</w:t>
      </w:r>
      <w:r>
        <w:rPr>
          <w:rFonts w:hint="eastAsia" w:ascii="宋体" w:hAnsi="宋体" w:eastAsia="宋体" w:cs="宋体"/>
          <w:b/>
          <w:bCs/>
          <w:color w:val="auto"/>
          <w:kern w:val="2"/>
          <w:sz w:val="21"/>
          <w:szCs w:val="21"/>
          <w:highlight w:val="none"/>
        </w:rPr>
        <w:t>列表说明。</w:t>
      </w:r>
    </w:p>
    <w:p>
      <w:pPr>
        <w:spacing w:line="360" w:lineRule="auto"/>
        <w:ind w:firstLine="500" w:firstLineChars="200"/>
        <w:rPr>
          <w:rFonts w:hint="eastAsia" w:ascii="宋体" w:hAnsi="宋体" w:cs="宋体"/>
          <w:color w:val="auto"/>
          <w:spacing w:val="20"/>
          <w:szCs w:val="21"/>
          <w:highlight w:val="none"/>
        </w:rPr>
      </w:pPr>
    </w:p>
    <w:p>
      <w:pPr>
        <w:spacing w:line="360" w:lineRule="auto"/>
        <w:ind w:firstLine="245" w:firstLineChars="98"/>
        <w:rPr>
          <w:rFonts w:hint="eastAsia" w:ascii="宋体" w:hAnsi="宋体" w:cs="宋体"/>
          <w:color w:val="auto"/>
          <w:spacing w:val="20"/>
          <w:szCs w:val="21"/>
          <w:highlight w:val="none"/>
        </w:rPr>
      </w:pPr>
    </w:p>
    <w:p>
      <w:pPr>
        <w:rPr>
          <w:rFonts w:hint="eastAsia" w:ascii="宋体" w:hAnsi="宋体" w:cs="宋体"/>
          <w:color w:val="auto"/>
          <w:spacing w:val="20"/>
          <w:szCs w:val="21"/>
          <w:highlight w:val="none"/>
        </w:rPr>
      </w:pPr>
    </w:p>
    <w:p>
      <w:pPr>
        <w:spacing w:line="360" w:lineRule="auto"/>
        <w:jc w:val="left"/>
        <w:rPr>
          <w:rFonts w:hint="eastAsia" w:ascii="宋体" w:hAnsi="宋体" w:cs="宋体"/>
          <w:color w:val="auto"/>
          <w:spacing w:val="20"/>
          <w:szCs w:val="21"/>
          <w:highlight w:val="none"/>
        </w:rPr>
      </w:pPr>
    </w:p>
    <w:p>
      <w:pPr>
        <w:pStyle w:val="190"/>
        <w:wordWrap w:val="0"/>
        <w:spacing w:line="360" w:lineRule="auto"/>
        <w:ind w:firstLine="480"/>
        <w:jc w:val="right"/>
        <w:rPr>
          <w:rFonts w:hint="eastAsia" w:ascii="宋体" w:hAnsi="宋体" w:cs="宋体"/>
          <w:color w:val="auto"/>
          <w:spacing w:val="20"/>
          <w:szCs w:val="21"/>
          <w:highlight w:val="none"/>
          <w:u w:val="single"/>
        </w:rPr>
      </w:pPr>
      <w:r>
        <w:rPr>
          <w:rFonts w:hint="eastAsia" w:ascii="宋体" w:hAnsi="宋体" w:cs="宋体"/>
          <w:color w:val="auto"/>
          <w:szCs w:val="21"/>
          <w:highlight w:val="none"/>
        </w:rPr>
        <w:t>负责人（或委托代理人）</w:t>
      </w:r>
      <w:r>
        <w:rPr>
          <w:rFonts w:hint="eastAsia" w:ascii="宋体" w:hAnsi="宋体" w:cs="宋体"/>
          <w:color w:val="auto"/>
          <w:spacing w:val="20"/>
          <w:szCs w:val="21"/>
          <w:highlight w:val="none"/>
        </w:rPr>
        <w:t>签字或盖章：</w:t>
      </w:r>
      <w:r>
        <w:rPr>
          <w:rFonts w:hint="eastAsia" w:ascii="宋体" w:hAnsi="宋体" w:cs="宋体"/>
          <w:color w:val="auto"/>
          <w:spacing w:val="20"/>
          <w:szCs w:val="21"/>
          <w:highlight w:val="none"/>
          <w:u w:val="single"/>
        </w:rPr>
        <w:t xml:space="preserve">                </w:t>
      </w:r>
    </w:p>
    <w:p>
      <w:pPr>
        <w:pStyle w:val="190"/>
        <w:wordWrap w:val="0"/>
        <w:spacing w:line="360" w:lineRule="auto"/>
        <w:ind w:firstLine="480"/>
        <w:jc w:val="right"/>
        <w:rPr>
          <w:rFonts w:hint="eastAsia" w:ascii="宋体" w:hAnsi="宋体" w:cs="宋体"/>
          <w:color w:val="auto"/>
          <w:szCs w:val="21"/>
          <w:highlight w:val="none"/>
          <w:u w:val="single"/>
        </w:rPr>
      </w:pPr>
      <w:r>
        <w:rPr>
          <w:rFonts w:hint="eastAsia" w:ascii="宋体" w:hAnsi="宋体" w:cs="宋体"/>
          <w:color w:val="auto"/>
          <w:szCs w:val="21"/>
          <w:highlight w:val="none"/>
        </w:rPr>
        <w:t>投标人盖章：</w:t>
      </w:r>
      <w:r>
        <w:rPr>
          <w:rFonts w:hint="eastAsia" w:ascii="宋体" w:hAnsi="宋体" w:cs="宋体"/>
          <w:color w:val="auto"/>
          <w:szCs w:val="21"/>
          <w:highlight w:val="none"/>
          <w:u w:val="single"/>
        </w:rPr>
        <w:t xml:space="preserve">                </w:t>
      </w:r>
    </w:p>
    <w:p>
      <w:pPr>
        <w:pStyle w:val="190"/>
        <w:wordWrap w:val="0"/>
        <w:spacing w:line="360" w:lineRule="auto"/>
        <w:ind w:firstLine="480"/>
        <w:jc w:val="right"/>
        <w:rPr>
          <w:rFonts w:hint="eastAsia" w:ascii="宋体" w:hAnsi="宋体" w:cs="宋体"/>
          <w:color w:val="auto"/>
          <w:sz w:val="28"/>
          <w:szCs w:val="28"/>
          <w:highlight w:val="none"/>
        </w:rPr>
        <w:sectPr>
          <w:pgSz w:w="11905" w:h="16838"/>
          <w:pgMar w:top="1440" w:right="1083" w:bottom="1440" w:left="1083" w:header="1134" w:footer="1134" w:gutter="0"/>
          <w:paperSrc/>
          <w:pgNumType w:fmt="decimal"/>
          <w:cols w:space="720" w:num="1"/>
          <w:titlePg/>
          <w:rtlGutter w:val="0"/>
          <w:docGrid w:linePitch="312" w:charSpace="0"/>
        </w:sectPr>
      </w:pPr>
      <w:r>
        <w:rPr>
          <w:rFonts w:hint="eastAsia" w:ascii="宋体" w:hAnsi="宋体" w:cs="宋体"/>
          <w:color w:val="auto"/>
          <w:szCs w:val="21"/>
          <w:highlight w:val="none"/>
        </w:rPr>
        <w:t>日      期：</w:t>
      </w:r>
      <w:r>
        <w:rPr>
          <w:rFonts w:hint="eastAsia" w:ascii="宋体" w:hAnsi="宋体" w:cs="宋体"/>
          <w:color w:val="auto"/>
          <w:szCs w:val="21"/>
          <w:highlight w:val="none"/>
          <w:u w:val="single"/>
        </w:rPr>
        <w:t xml:space="preserve">              </w:t>
      </w:r>
    </w:p>
    <w:p>
      <w:pPr>
        <w:keepNext/>
        <w:keepLines/>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4.5</w:t>
      </w:r>
      <w:r>
        <w:rPr>
          <w:rFonts w:hint="eastAsia" w:ascii="宋体" w:hAnsi="宋体" w:cs="宋体"/>
          <w:b/>
          <w:bCs/>
          <w:color w:val="auto"/>
          <w:sz w:val="24"/>
          <w:highlight w:val="none"/>
        </w:rPr>
        <w:t>供应商针对报价需要说明的其他文件和说明</w:t>
      </w:r>
    </w:p>
    <w:p>
      <w:pPr>
        <w:keepNext/>
        <w:keepLines/>
        <w:pageBreakBefore w:val="0"/>
        <w:widowControl w:val="0"/>
        <w:kinsoku/>
        <w:wordWrap/>
        <w:overflowPunct/>
        <w:topLinePunct w:val="0"/>
        <w:autoSpaceDE/>
        <w:autoSpaceDN/>
        <w:bidi w:val="0"/>
        <w:adjustRightInd/>
        <w:snapToGrid w:val="0"/>
        <w:spacing w:line="440" w:lineRule="exact"/>
        <w:jc w:val="center"/>
        <w:textAlignment w:val="auto"/>
        <w:outlineLvl w:val="1"/>
        <w:rPr>
          <w:rFonts w:hint="eastAsia" w:ascii="宋体" w:hAnsi="宋体" w:cs="宋体"/>
          <w:szCs w:val="21"/>
          <w:highlight w:val="none"/>
        </w:rPr>
      </w:pPr>
      <w:r>
        <w:rPr>
          <w:rFonts w:hint="eastAsia" w:ascii="宋体" w:hAnsi="宋体" w:cs="宋体"/>
          <w:szCs w:val="21"/>
          <w:highlight w:val="none"/>
        </w:rPr>
        <w:br w:type="page"/>
      </w:r>
      <w:bookmarkStart w:id="651" w:name="_Toc17532"/>
      <w:bookmarkStart w:id="652" w:name="_Toc7377"/>
      <w:r>
        <w:rPr>
          <w:rFonts w:hint="eastAsia" w:ascii="宋体" w:hAnsi="宋体" w:cs="宋体"/>
          <w:b/>
          <w:bCs/>
          <w:sz w:val="30"/>
          <w:szCs w:val="30"/>
          <w:highlight w:val="none"/>
        </w:rPr>
        <w:t>五</w:t>
      </w:r>
      <w:r>
        <w:rPr>
          <w:rFonts w:hint="eastAsia" w:ascii="宋体" w:hAnsi="宋体" w:cs="宋体"/>
          <w:b/>
          <w:bCs/>
          <w:sz w:val="30"/>
          <w:szCs w:val="30"/>
          <w:highlight w:val="none"/>
          <w:lang w:eastAsia="zh-CN"/>
        </w:rPr>
        <w:t>、</w:t>
      </w:r>
      <w:r>
        <w:rPr>
          <w:rFonts w:hint="eastAsia" w:ascii="宋体" w:hAnsi="宋体" w:cs="宋体"/>
          <w:b/>
          <w:bCs/>
          <w:sz w:val="30"/>
          <w:szCs w:val="30"/>
          <w:highlight w:val="none"/>
        </w:rPr>
        <w:t>政府采购活动现场确认声明书</w:t>
      </w:r>
      <w:bookmarkEnd w:id="651"/>
      <w:bookmarkEnd w:id="652"/>
    </w:p>
    <w:p>
      <w:pPr>
        <w:spacing w:line="440" w:lineRule="exact"/>
        <w:ind w:firstLine="420" w:firstLineChars="200"/>
        <w:jc w:val="left"/>
        <w:rPr>
          <w:rFonts w:hint="eastAsia" w:ascii="宋体" w:hAnsi="宋体" w:cs="宋体"/>
          <w:szCs w:val="21"/>
          <w:highlight w:val="none"/>
          <w:u w:val="single"/>
        </w:rPr>
      </w:pPr>
      <w:r>
        <w:rPr>
          <w:rFonts w:hint="eastAsia" w:ascii="宋体" w:hAnsi="宋体" w:cs="宋体"/>
          <w:szCs w:val="21"/>
          <w:highlight w:val="none"/>
          <w:u w:val="single"/>
        </w:rPr>
        <w:t>（采购代理机构名称）：</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 xml:space="preserve">    本人经由</w:t>
      </w:r>
      <w:r>
        <w:rPr>
          <w:rFonts w:hint="eastAsia" w:ascii="宋体" w:hAnsi="宋体" w:cs="宋体"/>
          <w:szCs w:val="21"/>
          <w:highlight w:val="none"/>
          <w:u w:val="single"/>
        </w:rPr>
        <w:t xml:space="preserve">   （公司名称）         </w:t>
      </w:r>
      <w:r>
        <w:rPr>
          <w:rFonts w:hint="eastAsia" w:ascii="宋体" w:hAnsi="宋体" w:cs="宋体"/>
          <w:szCs w:val="21"/>
          <w:highlight w:val="none"/>
        </w:rPr>
        <w:t>法定代表人（负责人）</w:t>
      </w:r>
      <w:r>
        <w:rPr>
          <w:rFonts w:hint="eastAsia" w:ascii="宋体" w:hAnsi="宋体" w:cs="宋体"/>
          <w:szCs w:val="21"/>
          <w:highlight w:val="none"/>
          <w:u w:val="single"/>
        </w:rPr>
        <w:t xml:space="preserve">             </w:t>
      </w:r>
      <w:r>
        <w:rPr>
          <w:rFonts w:hint="eastAsia" w:ascii="宋体" w:hAnsi="宋体" w:cs="宋体"/>
          <w:szCs w:val="21"/>
          <w:highlight w:val="none"/>
        </w:rPr>
        <w:t>，合法授权</w:t>
      </w:r>
      <w:r>
        <w:rPr>
          <w:rFonts w:hint="eastAsia" w:ascii="宋体" w:hAnsi="宋体" w:cs="宋体"/>
          <w:szCs w:val="21"/>
          <w:highlight w:val="none"/>
          <w:u w:val="single"/>
        </w:rPr>
        <w:t xml:space="preserve">  （姓名及联系方式）  </w:t>
      </w:r>
      <w:r>
        <w:rPr>
          <w:rFonts w:hint="eastAsia" w:ascii="宋体" w:hAnsi="宋体" w:cs="宋体"/>
          <w:szCs w:val="21"/>
          <w:highlight w:val="none"/>
        </w:rPr>
        <w:t>参加</w:t>
      </w:r>
      <w:r>
        <w:rPr>
          <w:rFonts w:hint="eastAsia" w:ascii="宋体" w:hAnsi="宋体" w:cs="宋体"/>
          <w:szCs w:val="21"/>
          <w:highlight w:val="none"/>
          <w:u w:val="single"/>
        </w:rPr>
        <w:t>（采购项目名称、采购编号） 政府</w:t>
      </w:r>
      <w:r>
        <w:rPr>
          <w:rFonts w:hint="eastAsia" w:ascii="宋体" w:hAnsi="宋体" w:cs="宋体"/>
          <w:szCs w:val="21"/>
          <w:highlight w:val="none"/>
        </w:rPr>
        <w:t>采购活动，经与本单位法人代表（负责人）联系确认，现就有关公平竞争事项郑重声明如下：</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 xml:space="preserve"> 一、本单位与采购人之间 □不存在利害关系 □存在下列利害关系</w:t>
      </w:r>
      <w:r>
        <w:rPr>
          <w:rFonts w:hint="eastAsia" w:ascii="宋体" w:hAnsi="宋体" w:cs="宋体"/>
          <w:szCs w:val="21"/>
          <w:highlight w:val="none"/>
          <w:u w:val="single"/>
        </w:rPr>
        <w:t xml:space="preserve">         ：</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A.投资关系    B.行政隶属关系    C.业务指导关系</w:t>
      </w:r>
    </w:p>
    <w:p>
      <w:pPr>
        <w:spacing w:line="440" w:lineRule="exact"/>
        <w:ind w:firstLine="420" w:firstLineChars="200"/>
        <w:rPr>
          <w:rFonts w:hint="eastAsia" w:ascii="宋体" w:hAnsi="宋体" w:cs="宋体"/>
          <w:szCs w:val="21"/>
          <w:highlight w:val="none"/>
          <w:u w:val="single"/>
        </w:rPr>
      </w:pPr>
      <w:r>
        <w:rPr>
          <w:rFonts w:hint="eastAsia" w:ascii="宋体" w:hAnsi="宋体" w:cs="宋体"/>
          <w:szCs w:val="21"/>
          <w:highlight w:val="none"/>
        </w:rPr>
        <w:t>D.其他可能影响采购公正的利害关系（如有，请如实说明）</w:t>
      </w:r>
      <w:r>
        <w:rPr>
          <w:rFonts w:hint="eastAsia" w:ascii="宋体" w:hAnsi="宋体" w:cs="宋体"/>
          <w:szCs w:val="21"/>
          <w:highlight w:val="none"/>
          <w:u w:val="single"/>
        </w:rPr>
        <w:t xml:space="preserve">         </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二、现已清楚知道参加本项目采购活动的其他所有供应商名称，本单位</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□与其他所有供应商之间均不存在利害关系  □与</w:t>
      </w:r>
      <w:r>
        <w:rPr>
          <w:rFonts w:hint="eastAsia" w:ascii="宋体" w:hAnsi="宋体" w:cs="宋体"/>
          <w:szCs w:val="21"/>
          <w:highlight w:val="none"/>
          <w:u w:val="single"/>
        </w:rPr>
        <w:t xml:space="preserve">（供应商名称）     </w:t>
      </w:r>
      <w:r>
        <w:rPr>
          <w:rFonts w:hint="eastAsia" w:ascii="宋体" w:hAnsi="宋体" w:cs="宋体"/>
          <w:szCs w:val="21"/>
          <w:highlight w:val="none"/>
        </w:rPr>
        <w:t>之间存在下列利害关系</w:t>
      </w:r>
      <w:r>
        <w:rPr>
          <w:rFonts w:hint="eastAsia" w:ascii="宋体" w:hAnsi="宋体" w:cs="宋体"/>
          <w:szCs w:val="21"/>
          <w:highlight w:val="none"/>
          <w:u w:val="single"/>
        </w:rPr>
        <w:t xml:space="preserve">        </w:t>
      </w:r>
      <w:r>
        <w:rPr>
          <w:rFonts w:hint="eastAsia" w:ascii="宋体" w:hAnsi="宋体" w:cs="宋体"/>
          <w:szCs w:val="21"/>
          <w:highlight w:val="none"/>
        </w:rPr>
        <w:t>：</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A.法定代表人或负责人或实际控制人是同一人</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B.法定代表人或负责人或实际控制人是夫妻关系</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C.法定代表人或负责人或实际控制人是直系血亲关系</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D.法定代表人或负责人或实际控制人存在三代以内旁系血亲关系</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E.法定代表人或负责人或实际控制人存在近姻亲关系</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F.法定代表人或负责人或实际控制人存在股份控制或实际控制关系</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G.存在共同直接或间接投资设立子公司、联营企业和合营企业情况</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H.存在分级代理或代销关系、同一生产制造商关系、管理关系、重要业务（占主营业务收入50%以上）或重要财务往来关系（如融资）等其他实质性控制关系</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 xml:space="preserve">I.其他利害关系情况 </w:t>
      </w:r>
      <w:r>
        <w:rPr>
          <w:rFonts w:hint="eastAsia" w:ascii="宋体" w:hAnsi="宋体" w:cs="宋体"/>
          <w:szCs w:val="21"/>
          <w:highlight w:val="none"/>
          <w:u w:val="single"/>
        </w:rPr>
        <w:t xml:space="preserve">                 </w:t>
      </w:r>
      <w:r>
        <w:rPr>
          <w:rFonts w:hint="eastAsia" w:ascii="宋体" w:hAnsi="宋体" w:cs="宋体"/>
          <w:szCs w:val="21"/>
          <w:highlight w:val="none"/>
          <w:u w:val="single"/>
        </w:rPr>
        <w:tab/>
      </w:r>
      <w:r>
        <w:rPr>
          <w:rFonts w:hint="eastAsia" w:ascii="宋体" w:hAnsi="宋体" w:cs="宋体"/>
          <w:szCs w:val="21"/>
          <w:highlight w:val="none"/>
          <w:u w:val="single"/>
        </w:rPr>
        <w:tab/>
      </w:r>
      <w:r>
        <w:rPr>
          <w:rFonts w:hint="eastAsia" w:ascii="宋体" w:hAnsi="宋体" w:cs="宋体"/>
          <w:szCs w:val="21"/>
          <w:highlight w:val="none"/>
          <w:u w:val="single"/>
        </w:rPr>
        <w:tab/>
      </w:r>
      <w:r>
        <w:rPr>
          <w:rFonts w:hint="eastAsia" w:ascii="宋体" w:hAnsi="宋体" w:cs="宋体"/>
          <w:szCs w:val="21"/>
          <w:highlight w:val="none"/>
          <w:u w:val="single"/>
        </w:rPr>
        <w:tab/>
      </w:r>
      <w:r>
        <w:rPr>
          <w:rFonts w:hint="eastAsia" w:ascii="宋体" w:hAnsi="宋体" w:cs="宋体"/>
          <w:szCs w:val="21"/>
          <w:highlight w:val="none"/>
          <w:u w:val="single"/>
        </w:rPr>
        <w:tab/>
      </w:r>
      <w:r>
        <w:rPr>
          <w:rFonts w:hint="eastAsia" w:ascii="宋体" w:hAnsi="宋体" w:cs="宋体"/>
          <w:szCs w:val="21"/>
          <w:highlight w:val="none"/>
          <w:u w:val="single"/>
        </w:rPr>
        <w:tab/>
      </w:r>
      <w:r>
        <w:rPr>
          <w:rFonts w:hint="eastAsia" w:ascii="宋体" w:hAnsi="宋体" w:cs="宋体"/>
          <w:szCs w:val="21"/>
          <w:highlight w:val="none"/>
          <w:u w:val="single"/>
        </w:rPr>
        <w:tab/>
      </w:r>
      <w:r>
        <w:rPr>
          <w:rFonts w:hint="eastAsia" w:ascii="宋体" w:hAnsi="宋体" w:cs="宋体"/>
          <w:szCs w:val="21"/>
          <w:highlight w:val="none"/>
          <w:u w:val="single"/>
        </w:rPr>
        <w:tab/>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三、现已清楚知道并严格遵守政府采购法律法规和现场纪律。</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四、我发现</w:t>
      </w:r>
      <w:r>
        <w:rPr>
          <w:rFonts w:hint="eastAsia" w:ascii="宋体" w:hAnsi="宋体" w:cs="宋体"/>
          <w:szCs w:val="21"/>
          <w:highlight w:val="none"/>
          <w:u w:val="single"/>
        </w:rPr>
        <w:t xml:space="preserve">                      </w:t>
      </w:r>
      <w:r>
        <w:rPr>
          <w:rFonts w:hint="eastAsia" w:ascii="宋体" w:hAnsi="宋体" w:cs="宋体"/>
          <w:szCs w:val="21"/>
          <w:highlight w:val="none"/>
        </w:rPr>
        <w:t>和</w:t>
      </w:r>
      <w:r>
        <w:rPr>
          <w:rFonts w:hint="eastAsia" w:ascii="宋体" w:hAnsi="宋体" w:cs="宋体"/>
          <w:szCs w:val="21"/>
          <w:highlight w:val="none"/>
          <w:u w:val="single"/>
        </w:rPr>
        <w:t xml:space="preserve">                  </w:t>
      </w:r>
      <w:r>
        <w:rPr>
          <w:rFonts w:hint="eastAsia" w:ascii="宋体" w:hAnsi="宋体" w:cs="宋体"/>
          <w:szCs w:val="21"/>
          <w:highlight w:val="none"/>
        </w:rPr>
        <w:t>供应商之间存在或可能存在上述第二条第</w:t>
      </w:r>
      <w:r>
        <w:rPr>
          <w:rFonts w:hint="eastAsia" w:ascii="宋体" w:hAnsi="宋体" w:cs="宋体"/>
          <w:szCs w:val="21"/>
          <w:highlight w:val="none"/>
          <w:u w:val="single"/>
        </w:rPr>
        <w:t xml:space="preserve">        </w:t>
      </w:r>
      <w:r>
        <w:rPr>
          <w:rFonts w:hint="eastAsia" w:ascii="宋体" w:hAnsi="宋体" w:cs="宋体"/>
          <w:szCs w:val="21"/>
          <w:highlight w:val="none"/>
        </w:rPr>
        <w:t xml:space="preserve">项利害关系。 </w:t>
      </w:r>
    </w:p>
    <w:p>
      <w:pPr>
        <w:spacing w:line="440" w:lineRule="exact"/>
        <w:ind w:firstLine="420" w:firstLineChars="200"/>
        <w:jc w:val="center"/>
        <w:rPr>
          <w:rFonts w:hint="eastAsia" w:ascii="宋体" w:hAnsi="宋体" w:cs="宋体"/>
          <w:szCs w:val="21"/>
          <w:highlight w:val="none"/>
        </w:rPr>
      </w:pPr>
      <w:r>
        <w:rPr>
          <w:rFonts w:hint="eastAsia" w:ascii="宋体" w:hAnsi="宋体" w:cs="宋体"/>
          <w:szCs w:val="21"/>
          <w:highlight w:val="none"/>
        </w:rPr>
        <w:t xml:space="preserve">（负责人或委托代理人签名）： </w:t>
      </w:r>
      <w:r>
        <w:rPr>
          <w:rFonts w:hint="eastAsia" w:ascii="宋体" w:hAnsi="宋体" w:cs="宋体"/>
          <w:szCs w:val="21"/>
          <w:highlight w:val="none"/>
          <w:u w:val="single"/>
        </w:rPr>
        <w:t xml:space="preserve">                     </w:t>
      </w:r>
    </w:p>
    <w:p>
      <w:pPr>
        <w:spacing w:line="440" w:lineRule="exact"/>
        <w:ind w:firstLine="420" w:firstLineChars="200"/>
        <w:jc w:val="right"/>
        <w:rPr>
          <w:rFonts w:hint="eastAsia" w:ascii="宋体" w:hAnsi="宋体" w:cs="宋体"/>
          <w:szCs w:val="21"/>
          <w:highlight w:val="none"/>
        </w:rPr>
      </w:pPr>
      <w:r>
        <w:rPr>
          <w:rFonts w:hint="eastAsia" w:ascii="宋体" w:hAnsi="宋体" w:cs="宋体"/>
          <w:szCs w:val="21"/>
          <w:highlight w:val="none"/>
        </w:rPr>
        <w:t xml:space="preserve">        年   月   日</w:t>
      </w:r>
      <w:r>
        <w:rPr>
          <w:rFonts w:hint="eastAsia" w:ascii="宋体" w:hAnsi="宋体" w:cs="宋体"/>
          <w:szCs w:val="21"/>
          <w:highlight w:val="none"/>
        </w:rPr>
        <w:tab/>
      </w:r>
      <w:r>
        <w:rPr>
          <w:rFonts w:hint="eastAsia" w:ascii="宋体" w:hAnsi="宋体" w:cs="宋体"/>
          <w:szCs w:val="21"/>
          <w:highlight w:val="none"/>
        </w:rPr>
        <w:t xml:space="preserve">  </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注：</w:t>
      </w:r>
    </w:p>
    <w:p>
      <w:pPr>
        <w:spacing w:line="440" w:lineRule="exact"/>
        <w:ind w:firstLine="420" w:firstLineChars="200"/>
        <w:rPr>
          <w:rFonts w:hint="eastAsia" w:ascii="宋体" w:hAnsi="宋体" w:cs="宋体"/>
          <w:szCs w:val="21"/>
          <w:highlight w:val="none"/>
        </w:rPr>
      </w:pPr>
      <w:r>
        <w:rPr>
          <w:rFonts w:hint="eastAsia" w:ascii="宋体" w:hAnsi="宋体" w:cs="宋体"/>
          <w:szCs w:val="21"/>
          <w:highlight w:val="none"/>
        </w:rPr>
        <w:t>1、供应商认为有利害关系和需要回避的人员，应提供相关证明材料，与本声明书一同提交。由采购代理机构和财政监督部门负责询问核查。</w:t>
      </w:r>
    </w:p>
    <w:p>
      <w:pPr>
        <w:pStyle w:val="5"/>
        <w:jc w:val="right"/>
        <w:rPr>
          <w:rFonts w:hint="eastAsia" w:ascii="宋体" w:hAnsi="宋体" w:cs="宋体"/>
          <w:sz w:val="28"/>
          <w:szCs w:val="28"/>
          <w:highlight w:val="none"/>
        </w:rPr>
        <w:sectPr>
          <w:footerReference r:id="rId10" w:type="default"/>
          <w:pgSz w:w="11905" w:h="16838"/>
          <w:pgMar w:top="1440" w:right="1083" w:bottom="1440" w:left="1083" w:header="1134" w:footer="1134" w:gutter="0"/>
          <w:paperSrc/>
          <w:pgNumType w:fmt="decimal"/>
          <w:cols w:space="720" w:num="1"/>
          <w:titlePg/>
          <w:rtlGutter w:val="0"/>
          <w:docGrid w:linePitch="312" w:charSpace="0"/>
        </w:sectPr>
      </w:pPr>
    </w:p>
    <w:p>
      <w:pPr>
        <w:pStyle w:val="3"/>
        <w:spacing w:before="0" w:line="480" w:lineRule="exact"/>
        <w:rPr>
          <w:rStyle w:val="80"/>
          <w:rFonts w:hint="eastAsia" w:ascii="宋体" w:hAnsi="宋体" w:cs="宋体"/>
          <w:b/>
          <w:bCs/>
          <w:szCs w:val="22"/>
          <w:highlight w:val="none"/>
        </w:rPr>
      </w:pPr>
      <w:bookmarkStart w:id="653" w:name="_Toc2053"/>
      <w:bookmarkStart w:id="654" w:name="_Toc22124"/>
      <w:bookmarkStart w:id="655" w:name="_Toc1141"/>
      <w:bookmarkStart w:id="656" w:name="_Toc303756469"/>
      <w:r>
        <w:rPr>
          <w:rStyle w:val="80"/>
          <w:rFonts w:hint="eastAsia" w:ascii="宋体" w:hAnsi="宋体" w:cs="宋体"/>
          <w:b/>
          <w:bCs/>
          <w:szCs w:val="22"/>
          <w:highlight w:val="none"/>
        </w:rPr>
        <w:t>第六章 磋商评审办法及评分标准</w:t>
      </w:r>
      <w:bookmarkEnd w:id="653"/>
      <w:bookmarkEnd w:id="654"/>
      <w:bookmarkEnd w:id="655"/>
      <w:bookmarkEnd w:id="656"/>
    </w:p>
    <w:p>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为公正、公平、科学地选择成交人，根据《中华人民共和国政府采购法》等有关法律法规的规定，并结合本项目的实际，制定本办法。</w:t>
      </w:r>
    </w:p>
    <w:p>
      <w:pPr>
        <w:keepNext w:val="0"/>
        <w:keepLines w:val="0"/>
        <w:pageBreakBefore w:val="0"/>
        <w:widowControl/>
        <w:kinsoku/>
        <w:wordWrap/>
        <w:overflowPunct/>
        <w:topLinePunct w:val="0"/>
        <w:autoSpaceDE/>
        <w:autoSpaceDN/>
        <w:bidi w:val="0"/>
        <w:adjustRightInd/>
        <w:snapToGrid/>
        <w:spacing w:line="440" w:lineRule="exact"/>
        <w:ind w:firstLine="422" w:firstLineChars="200"/>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一、总则</w:t>
      </w:r>
    </w:p>
    <w:p>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1.1本次磋商采</w:t>
      </w:r>
      <w:r>
        <w:rPr>
          <w:rFonts w:hint="eastAsia" w:ascii="宋体" w:hAnsi="宋体" w:eastAsia="宋体" w:cs="宋体"/>
          <w:color w:val="auto"/>
          <w:kern w:val="0"/>
          <w:szCs w:val="21"/>
          <w:highlight w:val="none"/>
        </w:rPr>
        <w:t>用综合评分法，</w:t>
      </w:r>
      <w:r>
        <w:rPr>
          <w:rFonts w:hint="eastAsia" w:ascii="宋体" w:hAnsi="宋体" w:eastAsia="宋体" w:cs="宋体"/>
          <w:color w:val="auto"/>
          <w:kern w:val="0"/>
          <w:szCs w:val="21"/>
          <w:highlight w:val="none"/>
          <w:lang w:val="en-US" w:eastAsia="zh-CN"/>
        </w:rPr>
        <w:t>评标结果按评审后得分由高到低顺序排列。得分相同的，按投标报价由低到高顺序排列。</w:t>
      </w:r>
      <w:r>
        <w:rPr>
          <w:rFonts w:hint="eastAsia" w:ascii="宋体" w:hAnsi="宋体" w:cs="宋体"/>
          <w:color w:val="auto"/>
          <w:szCs w:val="21"/>
          <w:highlight w:val="none"/>
          <w:lang w:eastAsia="zh-CN"/>
        </w:rPr>
        <w:t>最终</w:t>
      </w:r>
      <w:r>
        <w:rPr>
          <w:rFonts w:hint="eastAsia" w:ascii="宋体" w:hAnsi="宋体" w:cs="宋体"/>
          <w:color w:val="auto"/>
          <w:szCs w:val="21"/>
          <w:highlight w:val="none"/>
        </w:rPr>
        <w:t>得分且投标报价相同的</w:t>
      </w:r>
      <w:r>
        <w:rPr>
          <w:rFonts w:hint="eastAsia" w:ascii="宋体" w:hAnsi="宋体" w:cs="宋体"/>
          <w:color w:val="auto"/>
          <w:szCs w:val="21"/>
          <w:highlight w:val="none"/>
          <w:lang w:eastAsia="zh-CN"/>
        </w:rPr>
        <w:t>，</w:t>
      </w:r>
      <w:r>
        <w:rPr>
          <w:rFonts w:hint="eastAsia" w:ascii="宋体" w:hAnsi="宋体" w:eastAsia="宋体" w:cs="宋体"/>
          <w:color w:val="auto"/>
          <w:highlight w:val="none"/>
        </w:rPr>
        <w:t>按技术得分由高到低顺序排列。</w:t>
      </w:r>
      <w:r>
        <w:rPr>
          <w:rFonts w:hint="eastAsia" w:ascii="宋体" w:hAnsi="宋体" w:eastAsia="宋体" w:cs="宋体"/>
          <w:color w:val="auto"/>
          <w:highlight w:val="none"/>
        </w:rPr>
        <w:t>评标委员会按顺序推荐</w:t>
      </w:r>
      <w:r>
        <w:rPr>
          <w:rFonts w:hint="eastAsia" w:ascii="宋体" w:hAnsi="宋体" w:eastAsia="宋体" w:cs="宋体"/>
          <w:color w:val="auto"/>
          <w:highlight w:val="none"/>
          <w:lang w:val="en-US" w:eastAsia="zh-CN"/>
        </w:rPr>
        <w:t>1名</w:t>
      </w:r>
      <w:r>
        <w:rPr>
          <w:rFonts w:hint="eastAsia" w:ascii="宋体" w:hAnsi="宋体" w:eastAsia="宋体" w:cs="宋体"/>
          <w:color w:val="auto"/>
          <w:highlight w:val="none"/>
        </w:rPr>
        <w:t>中标候选人</w:t>
      </w:r>
      <w:r>
        <w:rPr>
          <w:rFonts w:hint="eastAsia" w:ascii="宋体" w:hAnsi="宋体" w:eastAsia="宋体" w:cs="宋体"/>
          <w:color w:val="auto"/>
          <w:highlight w:val="none"/>
        </w:rPr>
        <w:t>。评分过程中采用四舍五入法，并保留小数2位。</w:t>
      </w:r>
    </w:p>
    <w:p>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1.2评审专家对各投标文件的资信商务技术经充分审核、讨论后，在规定的分值内由评审专家单独评定打分。如果某个单项的打分超过所规定的分值范围，则该张打分表无效。投标人最终资信商务技术得分为各评审专家对该投标人的资信商务技术得分结果汇总后的算术平均数。</w:t>
      </w:r>
    </w:p>
    <w:p>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1.3资信商务技术分为</w:t>
      </w:r>
      <w:r>
        <w:rPr>
          <w:rFonts w:hint="eastAsia" w:ascii="宋体" w:hAnsi="宋体" w:cs="宋体"/>
          <w:color w:val="auto"/>
          <w:kern w:val="0"/>
          <w:szCs w:val="21"/>
          <w:highlight w:val="none"/>
          <w:lang w:val="en-US" w:eastAsia="zh-CN"/>
        </w:rPr>
        <w:t>70</w:t>
      </w:r>
      <w:r>
        <w:rPr>
          <w:rFonts w:hint="eastAsia" w:ascii="宋体" w:hAnsi="宋体" w:cs="宋体"/>
          <w:color w:val="auto"/>
          <w:kern w:val="0"/>
          <w:szCs w:val="21"/>
          <w:highlight w:val="none"/>
        </w:rPr>
        <w:t>分，评审专家按磋商文件规定的评审办法进行评审。</w:t>
      </w:r>
    </w:p>
    <w:p>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1.4报价分值为</w:t>
      </w:r>
      <w:r>
        <w:rPr>
          <w:rFonts w:hint="eastAsia" w:ascii="宋体" w:hAnsi="宋体" w:cs="宋体"/>
          <w:color w:val="auto"/>
          <w:kern w:val="0"/>
          <w:szCs w:val="21"/>
          <w:highlight w:val="none"/>
          <w:lang w:val="en-US" w:eastAsia="zh-CN"/>
        </w:rPr>
        <w:t>30</w:t>
      </w:r>
      <w:r>
        <w:rPr>
          <w:rFonts w:hint="eastAsia" w:ascii="宋体" w:hAnsi="宋体" w:cs="宋体"/>
          <w:color w:val="auto"/>
          <w:kern w:val="0"/>
          <w:szCs w:val="21"/>
          <w:highlight w:val="none"/>
        </w:rPr>
        <w:t>分，由评标委员会按各投标人的报价统一计算。</w:t>
      </w:r>
    </w:p>
    <w:p>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1.5评审专家在规定的分值范围内独立打分，评分保留两位小数，如某分项评分要素为2分，则评审专家在0.01〜2分内打分。</w:t>
      </w:r>
    </w:p>
    <w:p>
      <w:pPr>
        <w:keepNext w:val="0"/>
        <w:keepLines w:val="0"/>
        <w:pageBreakBefore w:val="0"/>
        <w:widowControl/>
        <w:kinsoku/>
        <w:wordWrap/>
        <w:overflowPunct/>
        <w:topLinePunct w:val="0"/>
        <w:autoSpaceDE/>
        <w:autoSpaceDN/>
        <w:bidi w:val="0"/>
        <w:adjustRightInd/>
        <w:snapToGrid/>
        <w:spacing w:line="440" w:lineRule="exact"/>
        <w:ind w:firstLine="422" w:firstLineChars="200"/>
        <w:textAlignment w:val="auto"/>
        <w:rPr>
          <w:rFonts w:hint="eastAsia" w:ascii="宋体" w:hAnsi="宋体" w:cs="宋体"/>
          <w:b/>
          <w:bCs/>
          <w:kern w:val="0"/>
          <w:szCs w:val="21"/>
          <w:highlight w:val="none"/>
        </w:rPr>
      </w:pPr>
      <w:r>
        <w:rPr>
          <w:rFonts w:hint="eastAsia" w:ascii="宋体" w:hAnsi="宋体" w:cs="宋体"/>
          <w:b/>
          <w:bCs/>
          <w:kern w:val="0"/>
          <w:szCs w:val="21"/>
          <w:highlight w:val="none"/>
        </w:rPr>
        <w:t>综合得分=资信及商务技术分+价格分</w:t>
      </w:r>
    </w:p>
    <w:p>
      <w:pPr>
        <w:keepNext w:val="0"/>
        <w:keepLines w:val="0"/>
        <w:pageBreakBefore w:val="0"/>
        <w:kinsoku/>
        <w:wordWrap/>
        <w:overflowPunct/>
        <w:topLinePunct w:val="0"/>
        <w:autoSpaceDE/>
        <w:autoSpaceDN/>
        <w:bidi w:val="0"/>
        <w:adjustRightInd/>
        <w:snapToGrid/>
        <w:spacing w:line="440" w:lineRule="exact"/>
        <w:ind w:firstLine="422" w:firstLineChars="200"/>
        <w:textAlignment w:val="auto"/>
        <w:rPr>
          <w:rFonts w:hint="eastAsia" w:ascii="宋体" w:hAnsi="宋体" w:cs="宋体"/>
          <w:b/>
          <w:bCs/>
          <w:kern w:val="0"/>
          <w:szCs w:val="21"/>
          <w:highlight w:val="none"/>
        </w:rPr>
      </w:pPr>
      <w:r>
        <w:rPr>
          <w:rFonts w:hint="eastAsia" w:ascii="宋体" w:hAnsi="宋体" w:cs="宋体"/>
          <w:b/>
          <w:bCs/>
          <w:kern w:val="0"/>
          <w:szCs w:val="21"/>
          <w:highlight w:val="none"/>
        </w:rPr>
        <w:t>二、评审内容及标准</w:t>
      </w:r>
    </w:p>
    <w:p>
      <w:pPr>
        <w:keepNext w:val="0"/>
        <w:keepLines w:val="0"/>
        <w:pageBreakBefore w:val="0"/>
        <w:kinsoku/>
        <w:wordWrap/>
        <w:overflowPunct/>
        <w:topLinePunct w:val="0"/>
        <w:autoSpaceDE/>
        <w:autoSpaceDN/>
        <w:bidi w:val="0"/>
        <w:adjustRightInd/>
        <w:snapToGrid/>
        <w:spacing w:line="440" w:lineRule="exact"/>
        <w:ind w:firstLine="422" w:firstLineChars="200"/>
        <w:textAlignment w:val="auto"/>
        <w:rPr>
          <w:rFonts w:hint="eastAsia" w:ascii="宋体" w:hAnsi="宋体" w:cs="宋体"/>
          <w:szCs w:val="21"/>
          <w:highlight w:val="none"/>
        </w:rPr>
      </w:pPr>
      <w:r>
        <w:rPr>
          <w:rFonts w:hint="eastAsia" w:ascii="宋体" w:hAnsi="宋体" w:cs="宋体"/>
          <w:b/>
          <w:szCs w:val="21"/>
          <w:highlight w:val="none"/>
        </w:rPr>
        <w:t>商务及技术分值为</w:t>
      </w:r>
      <w:r>
        <w:rPr>
          <w:rFonts w:hint="eastAsia" w:ascii="宋体" w:hAnsi="宋体" w:cs="宋体"/>
          <w:b/>
          <w:szCs w:val="21"/>
          <w:highlight w:val="none"/>
          <w:lang w:val="en-US" w:eastAsia="zh-CN"/>
        </w:rPr>
        <w:t>7</w:t>
      </w:r>
      <w:r>
        <w:rPr>
          <w:rFonts w:hint="eastAsia" w:ascii="宋体" w:hAnsi="宋体" w:cs="宋体"/>
          <w:b/>
          <w:szCs w:val="21"/>
          <w:highlight w:val="none"/>
          <w:lang w:val="en-US" w:eastAsia="zh-CN"/>
        </w:rPr>
        <w:t>0</w:t>
      </w:r>
      <w:r>
        <w:rPr>
          <w:rFonts w:hint="eastAsia" w:ascii="宋体" w:hAnsi="宋体" w:cs="宋体"/>
          <w:b/>
          <w:szCs w:val="21"/>
          <w:highlight w:val="none"/>
        </w:rPr>
        <w:t>分</w:t>
      </w:r>
    </w:p>
    <w:tbl>
      <w:tblPr>
        <w:tblStyle w:val="43"/>
        <w:tblW w:w="0" w:type="auto"/>
        <w:tblInd w:w="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854"/>
        <w:gridCol w:w="6100"/>
        <w:gridCol w:w="1111"/>
        <w:gridCol w:w="1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689" w:type="dxa"/>
            <w:noWrap w:val="0"/>
            <w:vAlign w:val="center"/>
          </w:tcPr>
          <w:p>
            <w:pPr>
              <w:widowControl/>
              <w:shd w:val="clear" w:color="auto" w:fill="auto"/>
              <w:jc w:val="center"/>
              <w:textAlignment w:val="center"/>
              <w:rPr>
                <w:rFonts w:hint="eastAsia" w:ascii="宋体" w:hAnsi="宋体" w:eastAsia="宋体" w:cs="宋体"/>
                <w:kern w:val="0"/>
                <w:sz w:val="21"/>
                <w:szCs w:val="21"/>
                <w:highlight w:val="none"/>
                <w:lang w:val="en-US" w:eastAsia="zh-CN" w:bidi="ar"/>
              </w:rPr>
            </w:pPr>
            <w:r>
              <w:rPr>
                <w:rFonts w:hint="eastAsia" w:ascii="宋体" w:hAnsi="宋体" w:cs="宋体"/>
                <w:kern w:val="0"/>
                <w:szCs w:val="21"/>
                <w:highlight w:val="none"/>
                <w:lang w:eastAsia="zh-CN" w:bidi="ar"/>
              </w:rPr>
              <w:t>序号</w:t>
            </w:r>
            <w:r>
              <w:rPr>
                <w:rFonts w:hint="eastAsia" w:ascii="宋体" w:hAnsi="宋体" w:cs="宋体"/>
                <w:kern w:val="0"/>
                <w:szCs w:val="21"/>
                <w:highlight w:val="none"/>
                <w:lang w:val="en-US" w:eastAsia="zh-CN" w:bidi="ar"/>
              </w:rPr>
              <w:t xml:space="preserve"> </w:t>
            </w:r>
          </w:p>
        </w:tc>
        <w:tc>
          <w:tcPr>
            <w:tcW w:w="854" w:type="dxa"/>
            <w:noWrap w:val="0"/>
            <w:vAlign w:val="center"/>
          </w:tcPr>
          <w:p>
            <w:pPr>
              <w:widowControl/>
              <w:shd w:val="clear" w:color="auto" w:fill="auto"/>
              <w:jc w:val="center"/>
              <w:textAlignment w:val="center"/>
              <w:rPr>
                <w:rFonts w:hint="eastAsia" w:ascii="宋体" w:hAnsi="宋体" w:cs="宋体"/>
                <w:kern w:val="2"/>
                <w:sz w:val="21"/>
                <w:szCs w:val="21"/>
                <w:highlight w:val="none"/>
                <w:lang w:val="en-US" w:eastAsia="zh-CN" w:bidi="ar-SA"/>
              </w:rPr>
            </w:pPr>
            <w:r>
              <w:rPr>
                <w:rFonts w:hint="eastAsia" w:ascii="宋体" w:hAnsi="宋体" w:cs="宋体"/>
                <w:kern w:val="0"/>
                <w:szCs w:val="21"/>
                <w:highlight w:val="none"/>
                <w:lang w:eastAsia="zh-CN" w:bidi="ar"/>
              </w:rPr>
              <w:t>类型</w:t>
            </w:r>
          </w:p>
        </w:tc>
        <w:tc>
          <w:tcPr>
            <w:tcW w:w="6100" w:type="dxa"/>
            <w:noWrap w:val="0"/>
            <w:vAlign w:val="center"/>
          </w:tcPr>
          <w:p>
            <w:pPr>
              <w:widowControl/>
              <w:shd w:val="clear" w:color="auto" w:fill="auto"/>
              <w:jc w:val="center"/>
              <w:textAlignment w:val="center"/>
              <w:rPr>
                <w:rFonts w:hint="eastAsia" w:ascii="宋体" w:hAnsi="宋体" w:cs="宋体"/>
                <w:kern w:val="2"/>
                <w:sz w:val="21"/>
                <w:szCs w:val="21"/>
                <w:highlight w:val="none"/>
                <w:lang w:val="en-US" w:eastAsia="zh-CN" w:bidi="ar-SA"/>
              </w:rPr>
            </w:pPr>
            <w:r>
              <w:rPr>
                <w:rFonts w:hint="eastAsia" w:ascii="宋体" w:hAnsi="宋体" w:cs="宋体"/>
                <w:kern w:val="0"/>
                <w:szCs w:val="21"/>
                <w:highlight w:val="none"/>
                <w:lang w:bidi="ar"/>
              </w:rPr>
              <w:t>评分标准</w:t>
            </w:r>
          </w:p>
        </w:tc>
        <w:tc>
          <w:tcPr>
            <w:tcW w:w="1111" w:type="dxa"/>
            <w:noWrap w:val="0"/>
            <w:vAlign w:val="center"/>
          </w:tcPr>
          <w:p>
            <w:pPr>
              <w:widowControl/>
              <w:shd w:val="clear" w:color="auto" w:fill="auto"/>
              <w:jc w:val="center"/>
              <w:textAlignment w:val="center"/>
              <w:rPr>
                <w:rFonts w:hint="eastAsia" w:ascii="宋体" w:hAnsi="宋体" w:eastAsia="宋体" w:cs="宋体"/>
                <w:kern w:val="0"/>
                <w:sz w:val="21"/>
                <w:szCs w:val="21"/>
                <w:highlight w:val="none"/>
                <w:lang w:val="en-US" w:eastAsia="zh-CN" w:bidi="ar"/>
              </w:rPr>
            </w:pPr>
            <w:r>
              <w:rPr>
                <w:rFonts w:hint="eastAsia" w:ascii="宋体" w:hAnsi="宋体" w:cs="宋体"/>
                <w:kern w:val="0"/>
                <w:szCs w:val="21"/>
                <w:highlight w:val="none"/>
                <w:lang w:eastAsia="zh-CN" w:bidi="ar"/>
              </w:rPr>
              <w:t>分值权重</w:t>
            </w:r>
          </w:p>
        </w:tc>
        <w:tc>
          <w:tcPr>
            <w:tcW w:w="1085" w:type="dxa"/>
            <w:noWrap w:val="0"/>
            <w:vAlign w:val="center"/>
          </w:tcPr>
          <w:p>
            <w:pPr>
              <w:widowControl/>
              <w:shd w:val="clear" w:color="auto" w:fill="auto"/>
              <w:jc w:val="center"/>
              <w:textAlignment w:val="center"/>
              <w:rPr>
                <w:rFonts w:hint="eastAsia" w:ascii="宋体" w:hAnsi="宋体" w:cs="宋体"/>
                <w:kern w:val="0"/>
                <w:sz w:val="21"/>
                <w:szCs w:val="21"/>
                <w:highlight w:val="none"/>
                <w:lang w:val="en-US" w:eastAsia="zh-CN" w:bidi="ar"/>
              </w:rPr>
            </w:pPr>
            <w:r>
              <w:rPr>
                <w:rFonts w:hint="eastAsia" w:ascii="宋体" w:hAnsi="宋体" w:cs="宋体"/>
                <w:kern w:val="0"/>
                <w:szCs w:val="21"/>
                <w:highlight w:val="none"/>
                <w:lang w:eastAsia="zh-CN" w:bidi="ar"/>
              </w:rPr>
              <w:t>打分方法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39" w:type="dxa"/>
            <w:gridSpan w:val="5"/>
            <w:noWrap w:val="0"/>
            <w:vAlign w:val="center"/>
          </w:tcPr>
          <w:p>
            <w:pPr>
              <w:widowControl/>
              <w:jc w:val="center"/>
              <w:textAlignment w:val="center"/>
              <w:rPr>
                <w:rFonts w:hint="eastAsia" w:ascii="宋体" w:hAnsi="宋体" w:cs="宋体"/>
                <w:b/>
                <w:bCs/>
                <w:color w:val="auto"/>
                <w:kern w:val="0"/>
                <w:szCs w:val="21"/>
                <w:highlight w:val="none"/>
                <w:lang w:eastAsia="zh-CN"/>
              </w:rPr>
            </w:pPr>
            <w:r>
              <w:rPr>
                <w:rFonts w:hint="eastAsia" w:ascii="宋体" w:hAnsi="宋体" w:cs="宋体"/>
                <w:b/>
                <w:bCs/>
                <w:color w:val="auto"/>
                <w:kern w:val="0"/>
                <w:szCs w:val="21"/>
                <w:highlight w:val="none"/>
                <w:lang w:eastAsia="zh-CN"/>
              </w:rPr>
              <w:t>商务部分（</w:t>
            </w:r>
            <w:r>
              <w:rPr>
                <w:rFonts w:hint="eastAsia" w:ascii="宋体" w:hAnsi="宋体" w:cs="宋体"/>
                <w:b/>
                <w:bCs/>
                <w:color w:val="auto"/>
                <w:kern w:val="0"/>
                <w:szCs w:val="21"/>
                <w:highlight w:val="none"/>
                <w:lang w:val="en-US" w:eastAsia="zh-CN"/>
              </w:rPr>
              <w:t>5分</w:t>
            </w:r>
            <w:r>
              <w:rPr>
                <w:rFonts w:hint="eastAsia" w:ascii="宋体" w:hAnsi="宋体" w:cs="宋体"/>
                <w:b/>
                <w:bCs/>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1</w:t>
            </w:r>
          </w:p>
        </w:tc>
        <w:tc>
          <w:tcPr>
            <w:tcW w:w="854"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eastAsia="zh-CN"/>
              </w:rPr>
              <w:t>业绩</w:t>
            </w:r>
          </w:p>
        </w:tc>
        <w:tc>
          <w:tcPr>
            <w:tcW w:w="6100" w:type="dxa"/>
            <w:noWrap w:val="0"/>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投标人具有医疗机构污水处理工程业绩（日处理100吨以上）的，每个合同得1分，最高得3分。</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（需提供合同扫描件并加盖公章，参与设计的提供设计方案和图纸，否则不得分）。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0-3</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2</w:t>
            </w:r>
          </w:p>
        </w:tc>
        <w:tc>
          <w:tcPr>
            <w:tcW w:w="854"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项目负责人</w:t>
            </w:r>
          </w:p>
        </w:tc>
        <w:tc>
          <w:tcPr>
            <w:tcW w:w="6100" w:type="dxa"/>
            <w:noWrap w:val="0"/>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拟派项目负责人具备中级工程师（环境、环保工程或给排水）职称的，得1分；拟派项目负责人具备高级工程师（环境、环保工程或给排水）职称的，得2分；本项最高得2分。</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 xml:space="preserve">注：提供相关证书扫描件并加盖公章。 </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0-2</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839" w:type="dxa"/>
            <w:gridSpan w:val="5"/>
            <w:noWrap w:val="0"/>
            <w:vAlign w:val="center"/>
          </w:tcPr>
          <w:p>
            <w:pPr>
              <w:widowControl/>
              <w:jc w:val="center"/>
              <w:rPr>
                <w:rFonts w:hint="eastAsia" w:ascii="宋体" w:hAnsi="宋体" w:cs="宋体"/>
                <w:b/>
                <w:bCs/>
                <w:color w:val="auto"/>
                <w:kern w:val="0"/>
                <w:szCs w:val="21"/>
                <w:highlight w:val="none"/>
                <w:lang w:eastAsia="zh-CN"/>
              </w:rPr>
            </w:pPr>
            <w:r>
              <w:rPr>
                <w:rFonts w:hint="eastAsia" w:ascii="宋体" w:hAnsi="宋体" w:cs="宋体"/>
                <w:b/>
                <w:bCs/>
                <w:color w:val="auto"/>
                <w:kern w:val="0"/>
                <w:szCs w:val="21"/>
                <w:highlight w:val="none"/>
                <w:lang w:eastAsia="zh-CN"/>
              </w:rPr>
              <w:t>技术部分（</w:t>
            </w:r>
            <w:r>
              <w:rPr>
                <w:rFonts w:hint="eastAsia" w:ascii="宋体" w:hAnsi="宋体" w:cs="宋体"/>
                <w:b/>
                <w:bCs/>
                <w:color w:val="auto"/>
                <w:kern w:val="0"/>
                <w:szCs w:val="21"/>
                <w:highlight w:val="none"/>
                <w:lang w:val="en-US" w:eastAsia="zh-CN"/>
              </w:rPr>
              <w:t>65分</w:t>
            </w:r>
            <w:r>
              <w:rPr>
                <w:rFonts w:hint="eastAsia" w:ascii="宋体" w:hAnsi="宋体" w:cs="宋体"/>
                <w:b/>
                <w:bCs/>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3</w:t>
            </w:r>
          </w:p>
        </w:tc>
        <w:tc>
          <w:tcPr>
            <w:tcW w:w="854" w:type="dxa"/>
            <w:noWrap w:val="0"/>
            <w:vAlign w:val="center"/>
          </w:tcPr>
          <w:p>
            <w:pPr>
              <w:jc w:val="both"/>
              <w:rPr>
                <w:rFonts w:hint="eastAsia" w:ascii="宋体" w:hAnsi="宋体" w:eastAsia="宋体" w:cs="宋体"/>
                <w:highlight w:val="none"/>
                <w:lang w:val="en-US" w:eastAsia="zh-CN"/>
              </w:rPr>
            </w:pPr>
            <w:r>
              <w:rPr>
                <w:rFonts w:hint="eastAsia" w:ascii="宋体" w:hAnsi="宋体" w:eastAsia="宋体" w:cs="宋体"/>
                <w:highlight w:val="none"/>
                <w:lang w:val="en-US" w:eastAsia="zh-CN"/>
              </w:rPr>
              <w:t>施工设计方案</w:t>
            </w:r>
          </w:p>
        </w:tc>
        <w:tc>
          <w:tcPr>
            <w:tcW w:w="6100" w:type="dxa"/>
            <w:noWrap w:val="0"/>
            <w:vAlign w:val="center"/>
          </w:tcPr>
          <w:p>
            <w:pPr>
              <w:widowControl/>
              <w:rPr>
                <w:rFonts w:hint="eastAsia" w:ascii="宋体" w:hAnsi="宋体" w:eastAsia="宋体" w:cs="Arial"/>
                <w:szCs w:val="21"/>
                <w:highlight w:val="none"/>
                <w:lang w:eastAsia="zh-CN"/>
              </w:rPr>
            </w:pPr>
            <w:r>
              <w:rPr>
                <w:rFonts w:hint="eastAsia" w:ascii="宋体" w:hAnsi="宋体" w:cs="Arial"/>
                <w:szCs w:val="21"/>
                <w:highlight w:val="none"/>
              </w:rPr>
              <w:t>方案设计及施工方案完整、满足招标要求、符合规范，具有详细施工流程说明</w:t>
            </w:r>
            <w:r>
              <w:rPr>
                <w:rFonts w:hint="eastAsia" w:ascii="宋体" w:hAnsi="宋体" w:cs="Arial"/>
                <w:szCs w:val="21"/>
                <w:highlight w:val="none"/>
                <w:lang w:eastAsia="zh-CN"/>
              </w:rPr>
              <w:t>。</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方案编制科学，合理，充足、完善得</w:t>
            </w:r>
            <w:r>
              <w:rPr>
                <w:rFonts w:hint="eastAsia" w:ascii="宋体" w:hAnsi="宋体" w:eastAsia="宋体" w:cs="宋体"/>
                <w:highlight w:val="none"/>
                <w:lang w:val="en-US" w:eastAsia="zh-CN"/>
              </w:rPr>
              <w:t>13</w:t>
            </w:r>
            <w:r>
              <w:rPr>
                <w:rFonts w:hint="eastAsia" w:ascii="宋体" w:hAnsi="宋体" w:eastAsia="宋体" w:cs="宋体"/>
                <w:highlight w:val="none"/>
                <w:lang w:val="en-US" w:eastAsia="zh-Hans"/>
              </w:rPr>
              <w:t>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Hans"/>
              </w:rPr>
              <w:t>欠科学，欠合理，欠充足</w:t>
            </w:r>
            <w:r>
              <w:rPr>
                <w:rFonts w:hint="eastAsia" w:ascii="宋体" w:hAnsi="宋体" w:eastAsia="宋体" w:cs="宋体"/>
                <w:highlight w:val="none"/>
                <w:lang w:val="en-US" w:eastAsia="zh-CN"/>
              </w:rPr>
              <w:t>的每处扣0.5分</w:t>
            </w:r>
            <w:r>
              <w:rPr>
                <w:rFonts w:hint="eastAsia" w:ascii="宋体" w:hAnsi="宋体" w:eastAsia="宋体" w:cs="宋体"/>
                <w:highlight w:val="none"/>
                <w:lang w:val="en-US" w:eastAsia="zh-Hans"/>
              </w:rPr>
              <w:t>；</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不科学，不合理，不充足的每处扣1分；</w:t>
            </w:r>
          </w:p>
          <w:p>
            <w:pPr>
              <w:rPr>
                <w:rFonts w:hint="default" w:ascii="宋体" w:hAnsi="宋体" w:eastAsia="宋体" w:cs="宋体"/>
                <w:highlight w:val="none"/>
                <w:lang w:val="en-US" w:eastAsia="zh-CN"/>
              </w:rPr>
            </w:pPr>
            <w:r>
              <w:rPr>
                <w:rFonts w:hint="eastAsia" w:ascii="宋体" w:hAnsi="宋体" w:eastAsia="宋体" w:cs="宋体"/>
                <w:highlight w:val="none"/>
                <w:lang w:val="en-US" w:eastAsia="zh-CN"/>
              </w:rPr>
              <w:t>未提供不得分。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0-13</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4</w:t>
            </w:r>
          </w:p>
        </w:tc>
        <w:tc>
          <w:tcPr>
            <w:tcW w:w="854" w:type="dxa"/>
            <w:noWrap w:val="0"/>
            <w:vAlign w:val="center"/>
          </w:tcPr>
          <w:p>
            <w:pPr>
              <w:jc w:val="center"/>
              <w:rPr>
                <w:rFonts w:hint="eastAsia" w:ascii="宋体" w:hAnsi="宋体" w:eastAsia="宋体" w:cs="宋体"/>
                <w:highlight w:val="none"/>
                <w:lang w:val="en-US" w:eastAsia="zh-Hans"/>
              </w:rPr>
            </w:pPr>
            <w:r>
              <w:rPr>
                <w:rFonts w:hint="eastAsia" w:ascii="宋体" w:hAnsi="宋体" w:cs="Arial"/>
                <w:szCs w:val="21"/>
                <w:highlight w:val="none"/>
                <w:lang w:bidi="ar"/>
              </w:rPr>
              <w:t>技术参数响应部分</w:t>
            </w:r>
          </w:p>
        </w:tc>
        <w:tc>
          <w:tcPr>
            <w:tcW w:w="6100" w:type="dxa"/>
            <w:noWrap w:val="0"/>
            <w:vAlign w:val="center"/>
          </w:tcPr>
          <w:p>
            <w:pPr>
              <w:jc w:val="left"/>
              <w:rPr>
                <w:rFonts w:hint="eastAsia" w:ascii="宋体" w:hAnsi="宋体" w:cs="Arial"/>
                <w:szCs w:val="21"/>
                <w:highlight w:val="none"/>
                <w:lang w:bidi="ar"/>
              </w:rPr>
            </w:pPr>
            <w:r>
              <w:rPr>
                <w:rFonts w:hint="eastAsia" w:ascii="宋体" w:hAnsi="宋体" w:cs="Arial"/>
                <w:szCs w:val="21"/>
                <w:highlight w:val="none"/>
                <w:lang w:eastAsia="zh-CN" w:bidi="ar"/>
              </w:rPr>
              <w:t>采购</w:t>
            </w:r>
            <w:r>
              <w:rPr>
                <w:rFonts w:hint="eastAsia" w:ascii="宋体" w:hAnsi="宋体" w:cs="Arial"/>
                <w:szCs w:val="21"/>
                <w:highlight w:val="none"/>
                <w:lang w:bidi="ar"/>
              </w:rPr>
              <w:t>文件中的参数响应程度</w:t>
            </w:r>
          </w:p>
          <w:p>
            <w:pPr>
              <w:numPr>
                <w:ilvl w:val="0"/>
                <w:numId w:val="0"/>
              </w:numPr>
              <w:jc w:val="left"/>
              <w:rPr>
                <w:rFonts w:hint="default"/>
                <w:highlight w:val="none"/>
                <w:lang w:val="en-US" w:eastAsia="zh-CN"/>
              </w:rPr>
            </w:pPr>
            <w:r>
              <w:rPr>
                <w:rFonts w:hint="eastAsia" w:ascii="宋体" w:hAnsi="宋体" w:cs="Arial"/>
                <w:szCs w:val="21"/>
                <w:highlight w:val="none"/>
                <w:lang w:eastAsia="zh-CN" w:bidi="ar"/>
              </w:rPr>
              <w:t>供应商</w:t>
            </w:r>
            <w:r>
              <w:rPr>
                <w:rFonts w:hint="eastAsia" w:ascii="宋体" w:hAnsi="宋体" w:cs="Arial"/>
                <w:szCs w:val="21"/>
                <w:highlight w:val="none"/>
                <w:lang w:bidi="ar"/>
              </w:rPr>
              <w:t>应提供</w:t>
            </w:r>
            <w:r>
              <w:rPr>
                <w:rFonts w:hint="eastAsia" w:ascii="宋体" w:hAnsi="宋体" w:cs="Arial"/>
                <w:szCs w:val="21"/>
                <w:highlight w:val="none"/>
                <w:lang w:eastAsia="zh-CN" w:bidi="ar"/>
              </w:rPr>
              <w:t>满足本项目参数</w:t>
            </w:r>
            <w:r>
              <w:rPr>
                <w:rFonts w:hint="eastAsia" w:ascii="宋体" w:hAnsi="宋体" w:cs="Arial"/>
                <w:szCs w:val="21"/>
                <w:highlight w:val="none"/>
                <w:lang w:bidi="ar"/>
              </w:rPr>
              <w:t>要求的证明文件，并且证明文件中需呈现相应的参数功能，全部满足或优于得</w:t>
            </w:r>
            <w:r>
              <w:rPr>
                <w:rFonts w:hint="eastAsia" w:ascii="宋体" w:hAnsi="宋体" w:cs="Arial"/>
                <w:szCs w:val="21"/>
                <w:highlight w:val="none"/>
                <w:lang w:val="en-US" w:eastAsia="zh-CN" w:bidi="ar"/>
              </w:rPr>
              <w:t>20</w:t>
            </w:r>
            <w:r>
              <w:rPr>
                <w:rFonts w:hint="eastAsia" w:ascii="宋体" w:hAnsi="宋体" w:cs="Arial"/>
                <w:szCs w:val="21"/>
                <w:highlight w:val="none"/>
                <w:lang w:bidi="ar"/>
              </w:rPr>
              <w:t>分。每有一项不满足扣</w:t>
            </w:r>
            <w:r>
              <w:rPr>
                <w:rFonts w:hint="eastAsia" w:ascii="宋体" w:hAnsi="宋体" w:cs="Arial"/>
                <w:szCs w:val="21"/>
                <w:highlight w:val="none"/>
                <w:lang w:val="en-US" w:eastAsia="zh-CN" w:bidi="ar"/>
              </w:rPr>
              <w:t>0.5</w:t>
            </w:r>
            <w:r>
              <w:rPr>
                <w:rFonts w:hint="eastAsia" w:ascii="宋体" w:hAnsi="宋体" w:cs="Arial"/>
                <w:szCs w:val="21"/>
                <w:highlight w:val="none"/>
                <w:lang w:bidi="ar"/>
              </w:rPr>
              <w:t xml:space="preserve">分,若不能提供符合要求的证明材料，将被视为负偏离并扣分。 </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0-20</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vMerge w:val="restart"/>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5</w:t>
            </w:r>
          </w:p>
        </w:tc>
        <w:tc>
          <w:tcPr>
            <w:tcW w:w="854" w:type="dxa"/>
            <w:vMerge w:val="restart"/>
            <w:noWrap w:val="0"/>
            <w:vAlign w:val="center"/>
          </w:tcPr>
          <w:p>
            <w:pPr>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施工方案</w:t>
            </w:r>
          </w:p>
        </w:tc>
        <w:tc>
          <w:tcPr>
            <w:tcW w:w="6100" w:type="dxa"/>
            <w:noWrap w:val="0"/>
            <w:vAlign w:val="center"/>
          </w:tcPr>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①实施方案编制框架是否合理科学，是否可行，是否充足、完善：</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科学，合理，充足、完善得</w:t>
            </w:r>
            <w:r>
              <w:rPr>
                <w:rFonts w:hint="eastAsia" w:ascii="宋体" w:hAnsi="宋体" w:eastAsia="宋体" w:cs="宋体"/>
                <w:highlight w:val="none"/>
                <w:lang w:val="en-US" w:eastAsia="zh-CN"/>
              </w:rPr>
              <w:t>6</w:t>
            </w:r>
            <w:r>
              <w:rPr>
                <w:rFonts w:hint="eastAsia" w:ascii="宋体" w:hAnsi="宋体" w:eastAsia="宋体" w:cs="宋体"/>
                <w:highlight w:val="none"/>
                <w:lang w:val="en-US" w:eastAsia="zh-Hans"/>
              </w:rPr>
              <w:t>分；</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欠科学，欠合理，欠充足</w:t>
            </w:r>
            <w:r>
              <w:rPr>
                <w:rFonts w:hint="eastAsia" w:ascii="宋体" w:hAnsi="宋体" w:eastAsia="宋体" w:cs="宋体"/>
                <w:highlight w:val="none"/>
                <w:lang w:val="en-US" w:eastAsia="zh-CN"/>
              </w:rPr>
              <w:t>的每处扣0.5分</w:t>
            </w:r>
            <w:r>
              <w:rPr>
                <w:rFonts w:hint="eastAsia" w:ascii="宋体" w:hAnsi="宋体" w:eastAsia="宋体" w:cs="宋体"/>
                <w:highlight w:val="none"/>
                <w:lang w:val="en-US" w:eastAsia="zh-Hans"/>
              </w:rPr>
              <w:t>；</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不科学，不合理，不充足的每处扣1分；</w:t>
            </w:r>
          </w:p>
          <w:p>
            <w:pPr>
              <w:rPr>
                <w:rFonts w:hint="eastAsia"/>
                <w:highlight w:val="none"/>
                <w:lang w:val="en-US" w:eastAsia="zh-Hans"/>
              </w:rPr>
            </w:pPr>
            <w:r>
              <w:rPr>
                <w:rFonts w:hint="eastAsia" w:ascii="宋体" w:hAnsi="宋体" w:eastAsia="宋体" w:cs="宋体"/>
                <w:highlight w:val="none"/>
                <w:lang w:val="en-US" w:eastAsia="zh-CN"/>
              </w:rPr>
              <w:t>未提供不得分。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0-6</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vMerge w:val="continue"/>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kern w:val="2"/>
                <w:sz w:val="21"/>
                <w:szCs w:val="24"/>
                <w:highlight w:val="none"/>
                <w:lang w:val="en-US" w:eastAsia="zh-CN" w:bidi="ar-SA"/>
              </w:rPr>
            </w:pPr>
          </w:p>
        </w:tc>
        <w:tc>
          <w:tcPr>
            <w:tcW w:w="854" w:type="dxa"/>
            <w:vMerge w:val="continue"/>
            <w:noWrap w:val="0"/>
            <w:vAlign w:val="center"/>
          </w:tcPr>
          <w:p>
            <w:pPr>
              <w:jc w:val="center"/>
              <w:rPr>
                <w:rFonts w:hint="eastAsia" w:ascii="宋体" w:hAnsi="宋体" w:eastAsia="宋体" w:cs="宋体"/>
                <w:highlight w:val="none"/>
                <w:lang w:val="en-US" w:eastAsia="zh-CN"/>
              </w:rPr>
            </w:pPr>
          </w:p>
        </w:tc>
        <w:tc>
          <w:tcPr>
            <w:tcW w:w="6100" w:type="dxa"/>
            <w:noWrap w:val="0"/>
            <w:vAlign w:val="center"/>
          </w:tcPr>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②实施方案是否全面、可行：</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方案全面合理，可行性强得</w:t>
            </w:r>
            <w:r>
              <w:rPr>
                <w:rFonts w:hint="eastAsia" w:ascii="宋体" w:hAnsi="宋体" w:eastAsia="宋体" w:cs="宋体"/>
                <w:highlight w:val="none"/>
                <w:lang w:val="en-US" w:eastAsia="zh-CN"/>
              </w:rPr>
              <w:t>5</w:t>
            </w:r>
            <w:r>
              <w:rPr>
                <w:rFonts w:hint="eastAsia" w:ascii="宋体" w:hAnsi="宋体" w:eastAsia="宋体" w:cs="宋体"/>
                <w:highlight w:val="none"/>
                <w:lang w:val="en-US" w:eastAsia="zh-Hans"/>
              </w:rPr>
              <w:t>分；</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方案</w:t>
            </w:r>
            <w:r>
              <w:rPr>
                <w:rFonts w:hint="eastAsia" w:ascii="宋体" w:hAnsi="宋体" w:eastAsia="宋体" w:cs="宋体"/>
                <w:highlight w:val="none"/>
                <w:lang w:val="en-US" w:eastAsia="zh-CN"/>
              </w:rPr>
              <w:t>欠</w:t>
            </w:r>
            <w:r>
              <w:rPr>
                <w:rFonts w:hint="eastAsia" w:ascii="宋体" w:hAnsi="宋体" w:eastAsia="宋体" w:cs="宋体"/>
                <w:highlight w:val="none"/>
                <w:lang w:val="en-US" w:eastAsia="zh-Hans"/>
              </w:rPr>
              <w:t>合理，</w:t>
            </w:r>
            <w:r>
              <w:rPr>
                <w:rFonts w:hint="eastAsia" w:ascii="宋体" w:hAnsi="宋体" w:eastAsia="宋体" w:cs="宋体"/>
                <w:highlight w:val="none"/>
                <w:lang w:val="en-US" w:eastAsia="zh-CN"/>
              </w:rPr>
              <w:t>欠缺的每处扣0.5分</w:t>
            </w:r>
            <w:r>
              <w:rPr>
                <w:rFonts w:hint="eastAsia" w:ascii="宋体" w:hAnsi="宋体" w:eastAsia="宋体" w:cs="宋体"/>
                <w:highlight w:val="none"/>
                <w:lang w:val="en-US" w:eastAsia="zh-Hans"/>
              </w:rPr>
              <w:t>；</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Hans"/>
              </w:rPr>
              <w:t>方案</w:t>
            </w:r>
            <w:r>
              <w:rPr>
                <w:rFonts w:hint="eastAsia" w:ascii="宋体" w:hAnsi="宋体" w:eastAsia="宋体" w:cs="宋体"/>
                <w:highlight w:val="none"/>
                <w:lang w:val="en-US" w:eastAsia="zh-CN"/>
              </w:rPr>
              <w:t>不</w:t>
            </w:r>
            <w:r>
              <w:rPr>
                <w:rFonts w:hint="eastAsia" w:ascii="宋体" w:hAnsi="宋体" w:eastAsia="宋体" w:cs="宋体"/>
                <w:highlight w:val="none"/>
                <w:lang w:val="en-US" w:eastAsia="zh-Hans"/>
              </w:rPr>
              <w:t>合理，</w:t>
            </w:r>
            <w:r>
              <w:rPr>
                <w:rFonts w:hint="eastAsia" w:ascii="宋体" w:hAnsi="宋体" w:eastAsia="宋体" w:cs="宋体"/>
                <w:highlight w:val="none"/>
                <w:lang w:val="en-US" w:eastAsia="zh-CN"/>
              </w:rPr>
              <w:t>欠缺</w:t>
            </w:r>
            <w:r>
              <w:rPr>
                <w:rFonts w:hint="eastAsia" w:ascii="宋体" w:hAnsi="宋体" w:eastAsia="宋体" w:cs="宋体"/>
                <w:highlight w:val="none"/>
                <w:lang w:val="en-US" w:eastAsia="zh-Hans"/>
              </w:rPr>
              <w:t>的</w:t>
            </w:r>
            <w:r>
              <w:rPr>
                <w:rFonts w:hint="eastAsia" w:ascii="宋体" w:hAnsi="宋体" w:eastAsia="宋体" w:cs="宋体"/>
                <w:highlight w:val="none"/>
                <w:lang w:val="en-US" w:eastAsia="zh-CN"/>
              </w:rPr>
              <w:t>每处扣1分；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未提供不得分。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0-5</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6</w:t>
            </w:r>
          </w:p>
        </w:tc>
        <w:tc>
          <w:tcPr>
            <w:tcW w:w="854" w:type="dxa"/>
            <w:noWrap w:val="0"/>
            <w:vAlign w:val="center"/>
          </w:tcPr>
          <w:p>
            <w:pPr>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重点难点分析及解决措施</w:t>
            </w:r>
          </w:p>
        </w:tc>
        <w:tc>
          <w:tcPr>
            <w:tcW w:w="6100" w:type="dxa"/>
            <w:noWrap w:val="0"/>
            <w:vAlign w:val="center"/>
          </w:tcPr>
          <w:p>
            <w:pPr>
              <w:rPr>
                <w:rFonts w:hint="eastAsia" w:ascii="宋体" w:hAnsi="宋体" w:eastAsia="宋体" w:cs="宋体"/>
                <w:highlight w:val="none"/>
                <w:lang w:val="en-US" w:eastAsia="zh-Hans"/>
              </w:rPr>
            </w:pPr>
            <w:r>
              <w:rPr>
                <w:rFonts w:hint="eastAsia" w:ascii="宋体" w:hAnsi="宋体" w:eastAsia="宋体" w:cs="宋体"/>
                <w:highlight w:val="none"/>
                <w:lang w:val="en-US" w:eastAsia="zh-CN"/>
              </w:rPr>
              <w:t>根据</w:t>
            </w:r>
            <w:r>
              <w:rPr>
                <w:rFonts w:hint="eastAsia" w:ascii="宋体" w:hAnsi="宋体" w:cs="Arial"/>
                <w:szCs w:val="21"/>
                <w:highlight w:val="none"/>
                <w:lang w:eastAsia="zh-CN" w:bidi="ar"/>
              </w:rPr>
              <w:t>供应商</w:t>
            </w:r>
            <w:r>
              <w:rPr>
                <w:rFonts w:hint="eastAsia" w:ascii="宋体" w:hAnsi="宋体" w:eastAsia="宋体" w:cs="宋体"/>
                <w:highlight w:val="none"/>
                <w:lang w:val="en-US" w:eastAsia="zh-Hans"/>
              </w:rPr>
              <w:t>对本项目的重点、难点问题分析</w:t>
            </w:r>
            <w:r>
              <w:rPr>
                <w:rFonts w:hint="eastAsia" w:ascii="宋体" w:hAnsi="宋体" w:eastAsia="宋体" w:cs="宋体"/>
                <w:highlight w:val="none"/>
                <w:lang w:val="en-US" w:eastAsia="zh-CN"/>
              </w:rPr>
              <w:t>及解决措施进行打分，</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分析具体、准确、全面</w:t>
            </w:r>
            <w:r>
              <w:rPr>
                <w:rFonts w:hint="eastAsia" w:ascii="宋体" w:hAnsi="宋体" w:eastAsia="宋体" w:cs="宋体"/>
                <w:highlight w:val="none"/>
                <w:lang w:val="en-US" w:eastAsia="zh-CN"/>
              </w:rPr>
              <w:t>、解决措施有效</w:t>
            </w:r>
            <w:r>
              <w:rPr>
                <w:rFonts w:hint="eastAsia" w:ascii="宋体" w:hAnsi="宋体" w:eastAsia="宋体" w:cs="宋体"/>
                <w:highlight w:val="none"/>
                <w:lang w:val="en-US" w:eastAsia="zh-Hans"/>
              </w:rPr>
              <w:t>得</w:t>
            </w:r>
            <w:r>
              <w:rPr>
                <w:rFonts w:hint="eastAsia" w:ascii="宋体" w:hAnsi="宋体" w:eastAsia="宋体" w:cs="宋体"/>
                <w:highlight w:val="none"/>
                <w:lang w:val="en-US" w:eastAsia="zh-CN"/>
              </w:rPr>
              <w:t>9</w:t>
            </w:r>
            <w:r>
              <w:rPr>
                <w:rFonts w:hint="eastAsia" w:ascii="宋体" w:hAnsi="宋体" w:eastAsia="宋体" w:cs="宋体"/>
                <w:highlight w:val="none"/>
                <w:lang w:val="en-US" w:eastAsia="zh-Hans"/>
              </w:rPr>
              <w:t>分；</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分析</w:t>
            </w:r>
            <w:r>
              <w:rPr>
                <w:rFonts w:hint="eastAsia" w:ascii="宋体" w:hAnsi="宋体" w:eastAsia="宋体" w:cs="宋体"/>
                <w:highlight w:val="none"/>
                <w:lang w:val="en-US" w:eastAsia="zh-CN"/>
              </w:rPr>
              <w:t>欠具体</w:t>
            </w:r>
            <w:r>
              <w:rPr>
                <w:rFonts w:hint="eastAsia" w:ascii="宋体" w:hAnsi="宋体" w:eastAsia="宋体" w:cs="宋体"/>
                <w:highlight w:val="none"/>
                <w:lang w:val="en-US" w:eastAsia="zh-Hans"/>
              </w:rPr>
              <w:t>、</w:t>
            </w:r>
            <w:r>
              <w:rPr>
                <w:rFonts w:hint="eastAsia" w:ascii="宋体" w:hAnsi="宋体" w:eastAsia="宋体" w:cs="宋体"/>
                <w:highlight w:val="none"/>
                <w:lang w:val="en-US" w:eastAsia="zh-CN"/>
              </w:rPr>
              <w:t>欠</w:t>
            </w:r>
            <w:r>
              <w:rPr>
                <w:rFonts w:hint="eastAsia" w:ascii="宋体" w:hAnsi="宋体" w:eastAsia="宋体" w:cs="宋体"/>
                <w:highlight w:val="none"/>
                <w:lang w:val="en-US" w:eastAsia="zh-Hans"/>
              </w:rPr>
              <w:t>准确的</w:t>
            </w:r>
            <w:r>
              <w:rPr>
                <w:rFonts w:hint="eastAsia" w:ascii="宋体" w:hAnsi="宋体" w:eastAsia="宋体" w:cs="宋体"/>
                <w:highlight w:val="none"/>
                <w:lang w:val="en-US" w:eastAsia="zh-CN"/>
              </w:rPr>
              <w:t>每处扣0.5分</w:t>
            </w:r>
            <w:r>
              <w:rPr>
                <w:rFonts w:hint="eastAsia" w:ascii="宋体" w:hAnsi="宋体" w:eastAsia="宋体" w:cs="宋体"/>
                <w:highlight w:val="none"/>
                <w:lang w:val="en-US" w:eastAsia="zh-Hans"/>
              </w:rPr>
              <w:t>；</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分析片面</w:t>
            </w:r>
            <w:r>
              <w:rPr>
                <w:rFonts w:hint="eastAsia" w:ascii="宋体" w:hAnsi="宋体" w:eastAsia="宋体" w:cs="宋体"/>
                <w:highlight w:val="none"/>
                <w:lang w:val="en-US" w:eastAsia="zh-CN"/>
              </w:rPr>
              <w:t>、</w:t>
            </w:r>
            <w:r>
              <w:rPr>
                <w:rFonts w:hint="eastAsia" w:ascii="宋体" w:hAnsi="宋体" w:eastAsia="宋体" w:cs="宋体"/>
                <w:highlight w:val="none"/>
                <w:lang w:val="en-US" w:eastAsia="zh-Hans"/>
              </w:rPr>
              <w:t>欠缺的</w:t>
            </w:r>
            <w:r>
              <w:rPr>
                <w:rFonts w:hint="eastAsia" w:ascii="宋体" w:hAnsi="宋体" w:eastAsia="宋体" w:cs="宋体"/>
                <w:highlight w:val="none"/>
                <w:lang w:val="en-US" w:eastAsia="zh-CN"/>
              </w:rPr>
              <w:t>每处扣1分</w:t>
            </w:r>
            <w:r>
              <w:rPr>
                <w:rFonts w:hint="eastAsia" w:ascii="宋体" w:hAnsi="宋体" w:eastAsia="宋体" w:cs="宋体"/>
                <w:highlight w:val="none"/>
                <w:lang w:val="en-US" w:eastAsia="zh-Hans"/>
              </w:rPr>
              <w:t xml:space="preserve">。  </w:t>
            </w:r>
          </w:p>
          <w:p>
            <w:pPr>
              <w:rPr>
                <w:rFonts w:hint="default"/>
                <w:highlight w:val="none"/>
                <w:lang w:val="en-US" w:eastAsia="zh-CN"/>
              </w:rPr>
            </w:pPr>
            <w:r>
              <w:rPr>
                <w:rFonts w:hint="eastAsia" w:ascii="宋体" w:hAnsi="宋体" w:eastAsia="宋体" w:cs="宋体"/>
                <w:highlight w:val="none"/>
                <w:lang w:val="en-US" w:eastAsia="zh-CN"/>
              </w:rPr>
              <w:t>未提供不得分。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0-9</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7</w:t>
            </w:r>
          </w:p>
        </w:tc>
        <w:tc>
          <w:tcPr>
            <w:tcW w:w="854" w:type="dxa"/>
            <w:noWrap w:val="0"/>
            <w:vAlign w:val="center"/>
          </w:tcPr>
          <w:p>
            <w:pPr>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实施进度计划</w:t>
            </w:r>
          </w:p>
        </w:tc>
        <w:tc>
          <w:tcPr>
            <w:tcW w:w="6100" w:type="dxa"/>
            <w:noWrap w:val="0"/>
            <w:vAlign w:val="center"/>
          </w:tcPr>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对本项目的实施进度计划以及完工期限做出承诺响应进行打分，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计划有效、考虑充分、承诺有效得4分；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计划不充分的每处扣0.5分；</w:t>
            </w:r>
          </w:p>
          <w:p>
            <w:pPr>
              <w:rPr>
                <w:rFonts w:hint="default" w:ascii="宋体" w:hAnsi="宋体" w:eastAsia="宋体" w:cs="宋体"/>
                <w:highlight w:val="none"/>
                <w:lang w:val="en-US" w:eastAsia="zh-CN"/>
              </w:rPr>
            </w:pPr>
            <w:r>
              <w:rPr>
                <w:rFonts w:hint="eastAsia" w:ascii="宋体" w:hAnsi="宋体" w:eastAsia="宋体" w:cs="宋体"/>
                <w:highlight w:val="none"/>
                <w:lang w:val="en-US" w:eastAsia="zh-CN"/>
              </w:rPr>
              <w:t>未提供不得分。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0-4</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8</w:t>
            </w:r>
          </w:p>
        </w:tc>
        <w:tc>
          <w:tcPr>
            <w:tcW w:w="854" w:type="dxa"/>
            <w:noWrap w:val="0"/>
            <w:vAlign w:val="center"/>
          </w:tcPr>
          <w:p>
            <w:pPr>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售后服务</w:t>
            </w:r>
          </w:p>
        </w:tc>
        <w:tc>
          <w:tcPr>
            <w:tcW w:w="6100" w:type="dxa"/>
            <w:noWrap w:val="0"/>
            <w:vAlign w:val="center"/>
          </w:tcPr>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根据</w:t>
            </w:r>
            <w:r>
              <w:rPr>
                <w:rFonts w:hint="eastAsia" w:ascii="宋体" w:hAnsi="宋体" w:cs="Arial"/>
                <w:szCs w:val="21"/>
                <w:highlight w:val="none"/>
                <w:lang w:eastAsia="zh-CN" w:bidi="ar"/>
              </w:rPr>
              <w:t>供应商</w:t>
            </w:r>
            <w:r>
              <w:rPr>
                <w:rFonts w:hint="eastAsia" w:ascii="宋体" w:hAnsi="宋体" w:eastAsia="宋体" w:cs="宋体"/>
                <w:highlight w:val="none"/>
                <w:lang w:val="en-US" w:eastAsia="zh-Hans"/>
              </w:rPr>
              <w:t>的</w:t>
            </w:r>
            <w:r>
              <w:rPr>
                <w:rFonts w:hint="eastAsia" w:ascii="宋体" w:hAnsi="宋体" w:eastAsia="宋体" w:cs="宋体"/>
                <w:highlight w:val="none"/>
                <w:lang w:val="en-US" w:eastAsia="zh-CN"/>
              </w:rPr>
              <w:t>售后</w:t>
            </w:r>
            <w:r>
              <w:rPr>
                <w:rFonts w:hint="eastAsia" w:ascii="宋体" w:hAnsi="宋体" w:eastAsia="宋体" w:cs="宋体"/>
                <w:highlight w:val="none"/>
                <w:lang w:val="en-US" w:eastAsia="zh-Hans"/>
              </w:rPr>
              <w:t>服务方案综合评估</w:t>
            </w:r>
            <w:r>
              <w:rPr>
                <w:rFonts w:hint="eastAsia" w:ascii="宋体" w:hAnsi="宋体" w:eastAsia="宋体" w:cs="宋体"/>
                <w:highlight w:val="none"/>
                <w:lang w:val="en-US" w:eastAsia="zh-CN"/>
              </w:rPr>
              <w:t>，从售后服务人员、服务能力、响应速度等方面考虑</w:t>
            </w:r>
            <w:r>
              <w:rPr>
                <w:rFonts w:hint="eastAsia" w:ascii="宋体" w:hAnsi="宋体" w:eastAsia="宋体" w:cs="宋体"/>
                <w:highlight w:val="none"/>
                <w:lang w:val="en-US" w:eastAsia="zh-Hans"/>
              </w:rPr>
              <w:t>：</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售后方案合理得4分；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方案不合理的每处扣0.5分；</w:t>
            </w:r>
          </w:p>
          <w:p>
            <w:pPr>
              <w:rPr>
                <w:rFonts w:hint="default" w:ascii="宋体" w:hAnsi="宋体" w:eastAsia="宋体" w:cs="宋体"/>
                <w:highlight w:val="none"/>
                <w:lang w:val="en-US" w:eastAsia="zh-CN"/>
              </w:rPr>
            </w:pPr>
            <w:r>
              <w:rPr>
                <w:rFonts w:hint="eastAsia" w:ascii="宋体" w:hAnsi="宋体" w:eastAsia="宋体" w:cs="宋体"/>
                <w:highlight w:val="none"/>
                <w:lang w:val="en-US" w:eastAsia="zh-CN"/>
              </w:rPr>
              <w:t>未提供不得分。</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0-4</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89"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9</w:t>
            </w:r>
          </w:p>
        </w:tc>
        <w:tc>
          <w:tcPr>
            <w:tcW w:w="854" w:type="dxa"/>
            <w:noWrap w:val="0"/>
            <w:vAlign w:val="center"/>
          </w:tcPr>
          <w:p>
            <w:pPr>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设备质保期及培训方案</w:t>
            </w:r>
          </w:p>
        </w:tc>
        <w:tc>
          <w:tcPr>
            <w:tcW w:w="6100" w:type="dxa"/>
            <w:noWrap w:val="0"/>
            <w:vAlign w:val="center"/>
          </w:tcPr>
          <w:p>
            <w:pPr>
              <w:rPr>
                <w:rFonts w:hint="eastAsia" w:ascii="宋体" w:hAnsi="宋体" w:eastAsia="宋体" w:cs="宋体"/>
                <w:highlight w:val="none"/>
                <w:lang w:val="en-US" w:eastAsia="zh-Hans"/>
              </w:rPr>
            </w:pPr>
            <w:r>
              <w:rPr>
                <w:rFonts w:hint="eastAsia" w:ascii="宋体" w:hAnsi="宋体" w:eastAsia="宋体" w:cs="宋体"/>
                <w:highlight w:val="none"/>
                <w:lang w:val="en-US" w:eastAsia="zh-Hans"/>
              </w:rPr>
              <w:t>1.</w:t>
            </w:r>
            <w:r>
              <w:rPr>
                <w:rFonts w:hint="eastAsia" w:ascii="宋体" w:hAnsi="宋体" w:eastAsia="宋体" w:cs="宋体"/>
                <w:highlight w:val="none"/>
                <w:lang w:val="en-US" w:eastAsia="zh-CN"/>
              </w:rPr>
              <w:t>质保</w:t>
            </w:r>
            <w:r>
              <w:rPr>
                <w:rFonts w:hint="eastAsia" w:ascii="宋体" w:hAnsi="宋体" w:eastAsia="宋体" w:cs="宋体"/>
                <w:highlight w:val="none"/>
                <w:lang w:val="en-US" w:eastAsia="zh-Hans"/>
              </w:rPr>
              <w:t>期内执行“三包”并能及时更换，保证在保修期内维修时提供备用</w:t>
            </w:r>
            <w:r>
              <w:rPr>
                <w:rFonts w:hint="eastAsia" w:ascii="宋体" w:hAnsi="宋体" w:eastAsia="宋体" w:cs="宋体"/>
                <w:highlight w:val="none"/>
                <w:lang w:val="en-US" w:eastAsia="zh-CN"/>
              </w:rPr>
              <w:t>零部件</w:t>
            </w:r>
            <w:r>
              <w:rPr>
                <w:rFonts w:hint="eastAsia" w:ascii="宋体" w:hAnsi="宋体" w:eastAsia="宋体" w:cs="宋体"/>
                <w:highlight w:val="none"/>
                <w:lang w:val="en-US" w:eastAsia="zh-Hans"/>
              </w:rPr>
              <w:t>，并提供定期保养、维护、维修，满足的得2分，不满足不得分；</w:t>
            </w:r>
          </w:p>
          <w:p>
            <w:pPr>
              <w:rPr>
                <w:rFonts w:hint="eastAsia" w:ascii="宋体" w:hAnsi="宋体" w:eastAsia="宋体" w:cs="宋体"/>
                <w:highlight w:val="none"/>
                <w:lang w:val="en-US" w:eastAsia="zh-Hans"/>
              </w:rPr>
            </w:pPr>
            <w:r>
              <w:rPr>
                <w:rFonts w:hint="eastAsia" w:ascii="宋体" w:hAnsi="宋体" w:eastAsia="宋体" w:cs="宋体"/>
                <w:highlight w:val="none"/>
                <w:lang w:val="en-US" w:eastAsia="zh-CN"/>
              </w:rPr>
              <w:t>（</w:t>
            </w:r>
            <w:r>
              <w:rPr>
                <w:rFonts w:hint="eastAsia" w:ascii="宋体" w:hAnsi="宋体" w:cs="Arial"/>
                <w:szCs w:val="21"/>
                <w:highlight w:val="none"/>
                <w:lang w:eastAsia="zh-CN" w:bidi="ar"/>
              </w:rPr>
              <w:t>供应商</w:t>
            </w:r>
            <w:r>
              <w:rPr>
                <w:rFonts w:hint="eastAsia" w:ascii="宋体" w:hAnsi="宋体" w:eastAsia="宋体" w:cs="宋体"/>
                <w:highlight w:val="none"/>
                <w:lang w:val="en-US" w:eastAsia="zh-Hans"/>
              </w:rPr>
              <w:t>提供的售后服务承诺书</w:t>
            </w:r>
            <w:r>
              <w:rPr>
                <w:rFonts w:hint="eastAsia" w:ascii="宋体" w:hAnsi="宋体" w:eastAsia="宋体" w:cs="宋体"/>
                <w:highlight w:val="none"/>
                <w:lang w:val="en-US" w:eastAsia="zh-CN"/>
              </w:rPr>
              <w:t>并</w:t>
            </w:r>
            <w:r>
              <w:rPr>
                <w:rFonts w:hint="eastAsia" w:ascii="宋体" w:hAnsi="宋体" w:eastAsia="宋体" w:cs="宋体"/>
                <w:highlight w:val="none"/>
                <w:lang w:val="en-US" w:eastAsia="zh-Hans"/>
              </w:rPr>
              <w:t>加盖公章</w:t>
            </w:r>
            <w:r>
              <w:rPr>
                <w:rFonts w:hint="eastAsia" w:ascii="宋体" w:hAnsi="宋体" w:eastAsia="宋体" w:cs="宋体"/>
                <w:highlight w:val="none"/>
                <w:lang w:val="en-US" w:eastAsia="zh-CN"/>
              </w:rPr>
              <w:t>）</w:t>
            </w:r>
            <w:r>
              <w:rPr>
                <w:rFonts w:hint="eastAsia" w:ascii="宋体" w:hAnsi="宋体" w:eastAsia="宋体" w:cs="宋体"/>
                <w:highlight w:val="none"/>
                <w:lang w:val="en-US" w:eastAsia="zh-Hans"/>
              </w:rPr>
              <w:t>。</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2.</w:t>
            </w:r>
            <w:r>
              <w:rPr>
                <w:rFonts w:hint="eastAsia" w:ascii="宋体" w:hAnsi="宋体" w:cs="Arial"/>
                <w:szCs w:val="21"/>
                <w:highlight w:val="none"/>
                <w:lang w:eastAsia="zh-CN" w:bidi="ar"/>
              </w:rPr>
              <w:t>供应商</w:t>
            </w:r>
            <w:r>
              <w:rPr>
                <w:rFonts w:hint="eastAsia" w:ascii="宋体" w:hAnsi="宋体" w:eastAsia="宋体" w:cs="宋体"/>
                <w:highlight w:val="none"/>
                <w:lang w:val="en-US" w:eastAsia="zh-Hans"/>
              </w:rPr>
              <w:t>负责为采购人培训操作人员，并有完整的培训方案，列出详细的培训内容、培训方式等说明</w:t>
            </w:r>
            <w:r>
              <w:rPr>
                <w:rFonts w:hint="eastAsia" w:ascii="宋体" w:hAnsi="宋体" w:eastAsia="宋体" w:cs="宋体"/>
                <w:highlight w:val="none"/>
                <w:lang w:val="en-US" w:eastAsia="zh-CN"/>
              </w:rPr>
              <w:t>。</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培训方案可行、合理得2分；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培训方案欠合理得1分；</w:t>
            </w:r>
          </w:p>
          <w:p>
            <w:pPr>
              <w:rPr>
                <w:rFonts w:hint="default" w:ascii="宋体" w:hAnsi="宋体" w:eastAsia="宋体" w:cs="宋体"/>
                <w:highlight w:val="none"/>
                <w:lang w:val="en-US" w:eastAsia="zh-CN"/>
              </w:rPr>
            </w:pPr>
            <w:r>
              <w:rPr>
                <w:rFonts w:hint="eastAsia" w:ascii="宋体" w:hAnsi="宋体" w:eastAsia="宋体" w:cs="宋体"/>
                <w:highlight w:val="none"/>
                <w:lang w:val="en-US" w:eastAsia="zh-CN"/>
              </w:rPr>
              <w:t>培训方案不合理、不可行不得分。</w:t>
            </w:r>
          </w:p>
          <w:p>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w:t>
            </w:r>
            <w:r>
              <w:rPr>
                <w:rFonts w:hint="eastAsia" w:ascii="宋体" w:hAnsi="宋体" w:cs="Arial"/>
                <w:szCs w:val="21"/>
                <w:highlight w:val="none"/>
                <w:lang w:eastAsia="zh-CN" w:bidi="ar"/>
              </w:rPr>
              <w:t>供应商</w:t>
            </w:r>
            <w:r>
              <w:rPr>
                <w:rFonts w:hint="eastAsia" w:ascii="宋体" w:hAnsi="宋体" w:eastAsia="宋体" w:cs="宋体"/>
                <w:highlight w:val="none"/>
                <w:lang w:val="en-US" w:eastAsia="zh-CN"/>
              </w:rPr>
              <w:t>提供培训方案）</w:t>
            </w:r>
          </w:p>
        </w:tc>
        <w:tc>
          <w:tcPr>
            <w:tcW w:w="1111"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宋体" w:hAnsi="宋体" w:eastAsia="宋体" w:cs="宋体"/>
                <w:highlight w:val="none"/>
                <w:lang w:val="en-US" w:eastAsia="zh-CN"/>
              </w:rPr>
            </w:pPr>
            <w:r>
              <w:rPr>
                <w:rFonts w:hint="eastAsia" w:ascii="宋体" w:hAnsi="宋体" w:eastAsia="宋体" w:cs="宋体"/>
                <w:highlight w:val="none"/>
                <w:lang w:val="en-US" w:eastAsia="zh-CN"/>
              </w:rPr>
              <w:t>0-4</w:t>
            </w:r>
          </w:p>
        </w:tc>
        <w:tc>
          <w:tcPr>
            <w:tcW w:w="1085" w:type="dxa"/>
            <w:noWrap w:val="0"/>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highlight w:val="none"/>
                <w:lang w:val="en-US" w:eastAsia="zh-CN"/>
              </w:rPr>
            </w:pPr>
            <w:r>
              <w:rPr>
                <w:rFonts w:hint="eastAsia" w:ascii="宋体" w:hAnsi="宋体" w:eastAsia="宋体" w:cs="宋体"/>
                <w:highlight w:val="none"/>
                <w:lang w:val="en-US" w:eastAsia="zh-CN"/>
              </w:rPr>
              <w:t>主观分</w:t>
            </w:r>
          </w:p>
        </w:tc>
      </w:tr>
    </w:tbl>
    <w:p>
      <w:pPr>
        <w:spacing w:line="360" w:lineRule="auto"/>
        <w:rPr>
          <w:rFonts w:hint="eastAsia" w:ascii="宋体" w:hAnsi="宋体" w:cs="宋体"/>
          <w:vanish/>
          <w:highlight w:val="none"/>
        </w:rPr>
      </w:pPr>
    </w:p>
    <w:p>
      <w:pPr>
        <w:keepNext w:val="0"/>
        <w:keepLines w:val="0"/>
        <w:pageBreakBefore w:val="0"/>
        <w:widowControl/>
        <w:kinsoku/>
        <w:wordWrap/>
        <w:overflowPunct/>
        <w:topLinePunct w:val="0"/>
        <w:autoSpaceDE/>
        <w:autoSpaceDN/>
        <w:bidi w:val="0"/>
        <w:adjustRightInd/>
        <w:snapToGrid/>
        <w:spacing w:line="360" w:lineRule="auto"/>
        <w:ind w:firstLine="442" w:firstLineChars="200"/>
        <w:textAlignment w:val="auto"/>
        <w:rPr>
          <w:rFonts w:hint="eastAsia" w:ascii="宋体" w:hAnsi="宋体" w:cs="宋体"/>
          <w:b/>
          <w:kern w:val="0"/>
          <w:sz w:val="22"/>
          <w:szCs w:val="22"/>
          <w:highlight w:val="none"/>
        </w:rPr>
      </w:pPr>
      <w:r>
        <w:rPr>
          <w:rFonts w:hint="eastAsia" w:ascii="宋体" w:hAnsi="宋体" w:cs="宋体"/>
          <w:b/>
          <w:kern w:val="0"/>
          <w:sz w:val="22"/>
          <w:szCs w:val="22"/>
          <w:highlight w:val="none"/>
        </w:rPr>
        <w:t>三、报价文件</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657" w:name="EB217c00f118724f6bb5745c5cec252819"/>
      <w:r>
        <w:rPr>
          <w:rFonts w:hint="eastAsia" w:ascii="宋体" w:hAnsi="宋体" w:eastAsia="宋体" w:cs="宋体"/>
          <w:color w:val="auto"/>
          <w:sz w:val="21"/>
          <w:szCs w:val="21"/>
          <w:highlight w:val="none"/>
        </w:rPr>
        <w:t>1、报价文件</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评标过程中，不得去掉报价中的最高报价和最低报价。</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对于未预留份额专门面向中小企业采购的采购项目，以及预留份额项目中的非预留部分采购包，对小型和微型企业产品（服务）给予20%的价格扣除；小型、微型企业的协议合同金额占到联合协议合同总金额30%以上的，给予联合体6%的价格扣除；</w:t>
      </w:r>
      <w:r>
        <w:rPr>
          <w:rFonts w:hint="eastAsia" w:ascii="宋体" w:hAnsi="宋体" w:eastAsia="宋体" w:cs="宋体"/>
          <w:color w:val="auto"/>
          <w:sz w:val="21"/>
          <w:szCs w:val="21"/>
          <w:highlight w:val="none"/>
        </w:rPr>
        <w:t>投标报价计算公式如下（本项目不适用）：</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投标报价=小微企业报价×（1-20%）；</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计算评标基准价和投标报价；</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评标基准价=投标报价中的最低报价；</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投标报价等于评标基准价的得</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分，其他投标人的报价得分按下列公式计算：</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投标报价得分=（评定基准价/投标报价）×报价权重×100。 </w:t>
      </w:r>
      <w:bookmarkEnd w:id="657"/>
    </w:p>
    <w:p>
      <w:pPr>
        <w:pStyle w:val="206"/>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2" w:firstLineChars="200"/>
        <w:textAlignment w:val="auto"/>
        <w:rPr>
          <w:rFonts w:hint="eastAsia" w:ascii="宋体" w:hAnsi="宋体" w:eastAsia="宋体" w:cs="宋体"/>
          <w:sz w:val="21"/>
          <w:szCs w:val="21"/>
          <w:highlight w:val="none"/>
        </w:rPr>
      </w:pPr>
      <w:r>
        <w:rPr>
          <w:rFonts w:hint="eastAsia" w:ascii="宋体" w:hAnsi="宋体" w:eastAsia="宋体" w:cs="宋体"/>
          <w:b/>
          <w:sz w:val="21"/>
          <w:szCs w:val="21"/>
          <w:highlight w:val="none"/>
        </w:rPr>
        <w:t>该磋商评审办法及评分标准仅适用于本项目采购，解释权属于采购人。</w:t>
      </w:r>
    </w:p>
    <w:sectPr>
      <w:pgSz w:w="11905" w:h="16838"/>
      <w:pgMar w:top="1440" w:right="1083" w:bottom="1440" w:left="1083" w:header="1134" w:footer="1134" w:gutter="0"/>
      <w:paperSrc/>
      <w:pgNumType w:fmt="decimal"/>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幼圆">
    <w:panose1 w:val="0201050906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文鼎小标宋简">
    <w:altName w:val="宋体"/>
    <w:panose1 w:val="00000000000000000000"/>
    <w:charset w:val="86"/>
    <w:family w:val="modern"/>
    <w:pitch w:val="default"/>
    <w:sig w:usb0="00000001" w:usb1="080E0000" w:usb2="00000010" w:usb3="00000000" w:csb0="00040000" w:csb1="00000000"/>
  </w:font>
  <w:font w:name="Gulim">
    <w:altName w:val="Malgun Gothic"/>
    <w:panose1 w:val="020B0600000101010101"/>
    <w:charset w:val="81"/>
    <w:family w:val="roman"/>
    <w:pitch w:val="default"/>
    <w:sig w:usb0="B00002AF" w:usb1="69D77CFB" w:usb2="00000030" w:usb3="00000000" w:csb0="4008009F" w:csb1="DFD70000"/>
  </w:font>
  <w:font w:name="华文细黑">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03" w:usb1="288F0000" w:usb2="00000006" w:usb3="00000000" w:csb0="00040001" w:csb1="00000000"/>
  </w:font>
  <w:font w:name="长城仿宋">
    <w:altName w:val="仿宋"/>
    <w:panose1 w:val="00000000000000000000"/>
    <w:charset w:val="86"/>
    <w:family w:val="modern"/>
    <w:pitch w:val="default"/>
    <w:sig w:usb0="00000001" w:usb1="080E0000" w:usb2="00000010" w:usb3="00000000" w:csb0="00040000" w:csb1="00000000"/>
  </w:font>
  <w:font w:name="等线">
    <w:panose1 w:val="02010600030101010101"/>
    <w:charset w:val="86"/>
    <w:family w:val="auto"/>
    <w:pitch w:val="default"/>
    <w:sig w:usb0="A00002BF" w:usb1="38CF7CFA" w:usb2="00000016" w:usb3="00000000" w:csb0="0004000F" w:csb1="00000000"/>
  </w:font>
  <w:font w:name="Beijing">
    <w:altName w:val="Arial"/>
    <w:panose1 w:val="00000000000000000000"/>
    <w:charset w:val="50"/>
    <w:family w:val="auto"/>
    <w:pitch w:val="default"/>
    <w:sig w:usb0="00000001"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rPr>
        <w:rFonts w:hint="eastAsia" w:ascii="宋体" w:hAnsi="宋体" w:eastAsia="宋体" w:cs="宋体"/>
      </w:rPr>
    </w:pPr>
    <w:r>
      <w:rPr>
        <w:rFonts w:hint="eastAsia" w:ascii="宋体" w:hAnsi="宋体" w:eastAsia="宋体" w:cs="宋体"/>
      </w:rPr>
      <w:t xml:space="preserve">招标代理机构：浙江鼎峰工程咨询有限公司       </w:t>
    </w:r>
    <w:r>
      <w:rPr>
        <w:rFonts w:hint="eastAsia" w:ascii="宋体" w:hAnsi="宋体" w:eastAsia="宋体" w:cs="宋体"/>
        <w:lang w:val="en-US" w:eastAsia="zh-CN"/>
      </w:rPr>
      <w:t xml:space="preserve">                                     </w:t>
    </w:r>
    <w:r>
      <w:rPr>
        <w:rFonts w:hint="eastAsia" w:ascii="宋体" w:hAnsi="宋体" w:eastAsia="宋体" w:cs="宋体"/>
      </w:rPr>
      <w:t xml:space="preserve">电话：0578-3311234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rPr>
        <w:rFonts w:hint="eastAsia" w:ascii="宋体" w:hAnsi="宋体" w:eastAsia="宋体" w:cs="宋体"/>
      </w:rPr>
    </w:pPr>
    <w:r>
      <w:rPr>
        <w:rFonts w:hint="eastAsia" w:ascii="宋体" w:hAnsi="宋体" w:eastAsia="宋体" w:cs="宋体"/>
      </w:rPr>
      <w:t xml:space="preserve">招标代理机构：浙江鼎峰工程咨询有限公司       </w:t>
    </w:r>
    <w:r>
      <w:rPr>
        <w:rFonts w:hint="eastAsia" w:ascii="宋体" w:hAnsi="宋体" w:eastAsia="宋体" w:cs="宋体"/>
        <w:lang w:val="en-US" w:eastAsia="zh-CN"/>
      </w:rPr>
      <w:t xml:space="preserve">                                     </w:t>
    </w:r>
    <w:r>
      <w:rPr>
        <w:rFonts w:hint="eastAsia" w:ascii="宋体" w:hAnsi="宋体" w:eastAsia="宋体" w:cs="宋体"/>
      </w:rPr>
      <w:t xml:space="preserve">电话：0578-3311234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rPr>
        <w:rFonts w:hint="eastAsia" w:ascii="宋体" w:hAnsi="宋体" w:eastAsia="宋体" w:cs="宋体"/>
      </w:rPr>
    </w:pPr>
    <w:r>
      <w:rPr>
        <w:rFonts w:hint="eastAsia" w:ascii="宋体" w:hAnsi="宋体" w:eastAsia="宋体" w:cs="宋体"/>
      </w:rPr>
      <w:t xml:space="preserve">招标代理机构：浙江鼎峰工程咨询有限公司       </w:t>
    </w:r>
    <w:r>
      <w:rPr>
        <w:rFonts w:hint="eastAsia" w:ascii="宋体" w:hAnsi="宋体" w:eastAsia="宋体" w:cs="宋体"/>
        <w:lang w:val="en-US" w:eastAsia="zh-CN"/>
      </w:rPr>
      <w:t xml:space="preserve">                                     </w:t>
    </w:r>
    <w:r>
      <w:rPr>
        <w:rFonts w:hint="eastAsia" w:ascii="宋体" w:hAnsi="宋体" w:eastAsia="宋体" w:cs="宋体"/>
      </w:rPr>
      <w:t xml:space="preserve">电话：0578-3311234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right="360"/>
      <w:rPr>
        <w:rFonts w:hint="eastAsia" w:ascii="宋体" w:hAnsi="宋体" w:eastAsia="宋体" w:cs="宋体"/>
      </w:rPr>
    </w:pPr>
    <w:r>
      <w:rPr>
        <w:rFonts w:hint="eastAsia" w:ascii="宋体" w:hAnsi="宋体" w:eastAsia="宋体" w:cs="宋体"/>
      </w:rPr>
      <w:t xml:space="preserve">招标代理机构：浙江鼎峰工程咨询有限公司       </w:t>
    </w:r>
    <w:r>
      <w:rPr>
        <w:rFonts w:hint="eastAsia" w:ascii="宋体" w:hAnsi="宋体" w:eastAsia="宋体" w:cs="宋体"/>
        <w:lang w:val="en-US" w:eastAsia="zh-CN"/>
      </w:rPr>
      <w:t xml:space="preserve">                                     </w:t>
    </w:r>
    <w:r>
      <w:rPr>
        <w:rFonts w:hint="eastAsia" w:ascii="宋体" w:hAnsi="宋体" w:eastAsia="宋体" w:cs="宋体"/>
      </w:rPr>
      <w:t xml:space="preserve">电话：0578-3311234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left"/>
      <w:rPr>
        <w:rFonts w:hint="default" w:ascii="宋体" w:hAnsi="宋体" w:eastAsia="宋体" w:cs="宋体"/>
        <w:sz w:val="21"/>
        <w:szCs w:val="21"/>
        <w:lang w:val="en-US" w:eastAsia="zh-CN"/>
      </w:rPr>
    </w:pPr>
    <w:r>
      <w:rPr>
        <w:rFonts w:hint="eastAsia" w:ascii="宋体" w:hAnsi="宋体" w:eastAsia="宋体" w:cs="宋体"/>
        <w:color w:val="000000"/>
        <w:sz w:val="18"/>
        <w:szCs w:val="18"/>
        <w:lang w:eastAsia="zh-CN"/>
      </w:rPr>
      <w:t>缙云县中医医院迁建工程项目污水处理设备采购项目</w:t>
    </w:r>
    <w:r>
      <w:rPr>
        <w:rFonts w:hint="eastAsia" w:ascii="宋体" w:hAnsi="宋体" w:eastAsia="宋体" w:cs="宋体"/>
        <w:color w:val="000000"/>
        <w:sz w:val="21"/>
        <w:szCs w:val="21"/>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left"/>
      <w:rPr>
        <w:rFonts w:hint="default" w:ascii="宋体" w:hAnsi="宋体" w:eastAsia="宋体" w:cs="宋体"/>
        <w:sz w:val="21"/>
        <w:szCs w:val="21"/>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4xJm0t4BAAC+AwAADgAAAGRycy9lMm9Eb2MueG1srVPBjtMwEL0j8Q+W 7zTZClAVNV0B1SIkBEgLH+A6TmPJ9lget0n5APgDTly48139jh07SReWyx64JOOZ8Zt5b8br68Ea dlQBNbiaXy1KzpST0Gi3r/mXzzfPVpxhFK4RBpyq+Ukhv948fbLufaWW0IFpVGAE4rDqfc27GH1V FCg7ZQUuwCtHwRaCFZGOYV80QfSEbk2xLMuXRQ+h8QGkQiTvdgzyCTE8BhDaVku1BXmwysURNSgj IlHCTnvkm9xt2yoZP7YtqshMzYlpzF8qQvYufYvNWlT7IHyn5dSCeEwLDzhZoR0VvUBtRRTsEPQ/ UFbLAAhtXEiwxUgkK0IsrsoH2tx2wqvMhaRGfxEd/x+s/HD8FJhuav6CMycsDfz84/v55+/zr2/s eZKn91hR1q2nvDi8hoGWZvYjORProQ02/YkPoziJe7qIq4bIZLq0Wq5WJYUkxeYD4Rf3133A+FaB ZcmoeaDpZVHF8T3GMXVOSdUc3Ghj8gSN+8tBmMlTpN7HHpMVh90wEdpBcyI+9AyoTgfhK2c9LUHN He08Z+adI43TvsxGmI3dbAgn6WLNI2ej+SaOe3XwQe+7vGmpKfSvDpE6zQRSG2PtqTsaa5ZgWsG0 N3+ec9b9s9vcAVBLAwQKAAAAAACHTuJAAAAAAAAAAAAAAAAABgAAAF9yZWxzL1BLAwQUAAAACACH TuJAihRmPNEAAACUAQAACwAAAF9yZWxzLy5yZWxzpZDBasMwDIbvg72D0X1xmsMYo04vo9Br6R7A 2IpjGltGMtn69vMOg2X0tqN+oe8T//7wmRa1IkukbGDX9aAwO/IxBwPvl+PTCyipNnu7UEYDNxQ4 jI8P+zMutrYjmWMR1ShZDMy1lletxc2YrHRUMLfNRJxsbSMHXay72oB66Ptnzb8ZMG6Y6uQN8MkP oC630sx/2Ck6JqGpdo6SpmmK7h5VB7Zlju7INuEbuUazHLAa8CwaB2pZ134EfV+/+6fe00c+47rV foeM649Xb7ocvwBQSwMEFAAAAAgAh07iQH7m5SD3AAAA4QEAABMAAABbQ29udGVudF9UeXBlc10u eG1slZFBTsMwEEX3SNzB8hYlTrtACCXpgrRLQKgcYGRPEotkbHlMaG+Pk7YbRJFY2jP/vye73BzG QUwY2Dqq5CovpEDSzljqKvm+32UPUnAEMjA4wkoekeWmvr0p90ePLFKauJJ9jP5RKdY9jsC580hp 0rowQkzH0CkP+gM6VOuiuFfaUUSKWZw7ZF022MLnEMX2kK5PJgEHluLptDizKgneD1ZDTKZqIvOD kp0JeUouO9xbz3dJQ6pfCfPkOuCce0lPE6xB8QohPsOYNJQJrIz7ooBT/nfJbDly5trWasybwE2K veF0sbrWjmvXOP3f8u2SunSr5YPqb1BLAQIUABQAAAAIAIdO4kB+5uUg9wAAAOEBAAATAAAAAAAA AAEAIAAAAEYEAABbQ29udGVudF9UeXBlc10ueG1sUEsBAhQACgAAAAAAh07iQAAAAAAAAAAAAAAA AAYAAAAAAAAAAAAQAAAAKAMAAF9yZWxzL1BLAQIUABQAAAAIAIdO4kCKFGY80QAAAJQBAAALAAAA AAAAAAEAIAAAAEwDAABfcmVscy8ucmVsc1BLAQIUAAoAAAAAAIdO4kAAAAAAAAAAAAAAAAAEAAAA AAAAAAAAEAAAAAAAAABkcnMvUEsBAhQAFAAAAAgAh07iQM6pebnPAAAABQEAAA8AAAAAAAAAAQAg AAAAIgAAAGRycy9kb3ducmV2LnhtbFBLAQIUABQAAAAIAIdO4kDjEmbS3gEAAL4DAAAOAAAAAAAA AAEAIAAAAB4BAABkcnMvZTJvRG9jLnhtbFBLBQYAAAAABgAGAFkBAABuBQAAAAA= ">
              <v:fill on="f" focussize="0,0"/>
              <v:stroke on="f"/>
              <v:imagedata o:title=""/>
              <o:lock v:ext="edit" aspectratio="f"/>
              <v:textbox inset="0mm,0mm,0mm,0mm" style="mso-fit-shape-to-text:t;">
                <w:txbxContent>
                  <w:p>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ascii="宋体" w:hAnsi="宋体" w:eastAsia="宋体" w:cs="宋体"/>
        <w:color w:val="000000"/>
        <w:sz w:val="18"/>
        <w:szCs w:val="18"/>
        <w:lang w:eastAsia="zh-CN"/>
      </w:rPr>
      <w:t>缙云县中医医院迁建工程项目污水处理设备采购项目</w:t>
    </w:r>
    <w:r>
      <w:rPr>
        <w:rFonts w:hint="eastAsia" w:ascii="宋体" w:hAnsi="宋体" w:eastAsia="宋体" w:cs="宋体"/>
        <w:color w:val="000000"/>
        <w:sz w:val="21"/>
        <w:szCs w:val="21"/>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both"/>
      <w:rPr>
        <w:rFonts w:hint="eastAsia" w:eastAsia="宋体"/>
        <w:lang w:eastAsia="zh-CN"/>
      </w:rPr>
    </w:pPr>
    <w:r>
      <w:rPr>
        <w:rFonts w:hint="eastAsia" w:ascii="宋体" w:hAnsi="宋体" w:eastAsia="宋体" w:cs="宋体"/>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t xml:space="preserve">第 </w:t>
                          </w:r>
                          <w:r>
                            <w:fldChar w:fldCharType="begin"/>
                          </w:r>
                          <w:r>
                            <w:instrText xml:space="preserve"> PAGE  \* MERGEFORMAT </w:instrText>
                          </w:r>
                          <w:r>
                            <w:fldChar w:fldCharType="separate"/>
                          </w:r>
                          <w:r>
                            <w:t>3</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21"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RnUtL94BAAC/AwAADgAAAGRycy9lMm9Eb2MueG1srVNNrtMwEN4jcQfL e5q0SKiKmj4B1UNICJAeHMB1nMaS/+SZNikHgBuwYsOec/UcjJ2kDx6bt2CTjGfG38z3zXhzM1jD TiqC9q7my0XJmXLSN9odav750+2zNWeAwjXCeKdqflbAb7ZPn2z6UKmV77xpVGQE4qDqQ807xFAV BchOWQELH5SjYOujFUjHeCiaKHpCt6ZYleWLovexCdFLBUDe3RjkE2J8DKBvWy3VzsujVQ5H1KiM QKIEnQ7At7nbtlUSP7QtKGSm5sQU85eKkL1P32K7EdUhitBpObUgHtPCA05WaEdFr1A7gYIdo/4H ymoZPfgWF9LbYiSSFSEWy/KBNnedCCpzIakhXEWH/wcr358+Rqabmj/nzAlLA798/3b58evy8ytb LZM+fYCK0u4CJeLwyg+0NbMfyJloD2206U+EGMVJ3fNVXTUgk+nSerVelxSSFJsPhF/cXw8R8I3y liWj5pHGl1UVp3eAY+qckqo5f6uNySM07i8HYSZPkXofe0wWDvthIrT3zZn40DugOp2PXzjraQtq 7mjpOTNvHYmcFmY24mzsZ0M4SRdrjpyN5mscF+sYoj50edVSUxBeHpE6zQRSG2PtqTuaa5Zg2sG0 OH+ec9b9u9v+BlBLAwQKAAAAAACHTuJAAAAAAAAAAAAAAAAABgAAAF9yZWxzL1BLAwQUAAAACACH TuJAihRmPNEAAACUAQAACwAAAF9yZWxzLy5yZWxzpZDBasMwDIbvg72D0X1xmsMYo04vo9Br6R7A 2IpjGltGMtn69vMOg2X0tqN+oe8T//7wmRa1IkukbGDX9aAwO/IxBwPvl+PTCyipNnu7UEYDNxQ4 jI8P+zMutrYjmWMR1ShZDMy1lletxc2YrHRUMLfNRJxsbSMHXay72oB66Ptnzb8ZMG6Y6uQN8MkP oC630sx/2Ck6JqGpdo6SpmmK7h5VB7Zlju7INuEbuUazHLAa8CwaB2pZ134EfV+/+6fe00c+47rV foeM649Xb7ocvwBQSwMEFAAAAAgAh07iQH7m5SD3AAAA4QEAABMAAABbQ29udGVudF9UeXBlc10u eG1slZFBTsMwEEX3SNzB8hYlTrtACCXpgrRLQKgcYGRPEotkbHlMaG+Pk7YbRJFY2jP/vye73BzG QUwY2Dqq5CovpEDSzljqKvm+32UPUnAEMjA4wkoekeWmvr0p90ePLFKauJJ9jP5RKdY9jsC580hp 0rowQkzH0CkP+gM6VOuiuFfaUUSKWZw7ZF022MLnEMX2kK5PJgEHluLptDizKgneD1ZDTKZqIvOD kp0JeUouO9xbz3dJQ6pfCfPkOuCce0lPE6xB8QohPsOYNJQJrIz7ooBT/nfJbDly5trWasybwE2K veF0sbrWjmvXOP3f8u2SunSr5YPqb1BLAQIUABQAAAAIAIdO4kB+5uUg9wAAAOEBAAATAAAAAAAA AAEAIAAAAEYEAABbQ29udGVudF9UeXBlc10ueG1sUEsBAhQACgAAAAAAh07iQAAAAAAAAAAAAAAA AAYAAAAAAAAAAAAQAAAAKAMAAF9yZWxzL1BLAQIUABQAAAAIAIdO4kCKFGY80QAAAJQBAAALAAAA AAAAAAEAIAAAAEwDAABfcmVscy8ucmVsc1BLAQIUAAoAAAAAAIdO4kAAAAAAAAAAAAAAAAAEAAAA AAAAAAAAEAAAAAAAAABkcnMvUEsBAhQAFAAAAAgAh07iQM6pebnPAAAABQEAAA8AAAAAAAAAAQAg AAAAIgAAAGRycy9kb3ducmV2LnhtbFBLAQIUABQAAAAIAIdO4kBGdS0v3gEAAL8DAAAOAAAAAAAA AAEAIAAAAB4BAABkcnMvZTJvRG9jLnhtbFBLBQYAAAAABgAGAFkBAABuBQAAAAA= ">
              <v:fill on="f" focussize="0,0"/>
              <v:stroke on="f"/>
              <v:imagedata o:title=""/>
              <o:lock v:ext="edit" aspectratio="f"/>
              <v:textbox inset="0mm,0mm,0mm,0mm" style="mso-fit-shape-to-text:t;">
                <w:txbxContent>
                  <w:p>
                    <w:pPr>
                      <w:pStyle w:val="28"/>
                    </w:pPr>
                    <w:r>
                      <w:t xml:space="preserve">第 </w:t>
                    </w:r>
                    <w:r>
                      <w:fldChar w:fldCharType="begin"/>
                    </w:r>
                    <w:r>
                      <w:instrText xml:space="preserve"> PAGE  \* MERGEFORMAT </w:instrText>
                    </w:r>
                    <w:r>
                      <w:fldChar w:fldCharType="separate"/>
                    </w:r>
                    <w:r>
                      <w:t>3</w:t>
                    </w:r>
                    <w:r>
                      <w:fldChar w:fldCharType="end"/>
                    </w:r>
                    <w:r>
                      <w:t xml:space="preserve"> 页</w:t>
                    </w:r>
                  </w:p>
                </w:txbxContent>
              </v:textbox>
            </v:shape>
          </w:pict>
        </mc:Fallback>
      </mc:AlternateContent>
    </w:r>
    <w:r>
      <w:rPr>
        <w:rFonts w:hint="eastAsia" w:ascii="宋体" w:hAnsi="宋体" w:eastAsia="宋体" w:cs="宋体"/>
        <w:lang w:eastAsia="zh-CN"/>
      </w:rPr>
      <w:t>缙云县中医医院迁建工程项目污水处理设备采购项目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both"/>
      <w:rPr>
        <w:rFonts w:hint="eastAsia" w:eastAsia="宋体"/>
        <w:lang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t xml:space="preserve">第 </w:t>
                          </w:r>
                          <w:r>
                            <w:fldChar w:fldCharType="begin"/>
                          </w:r>
                          <w:r>
                            <w:instrText xml:space="preserve"> PAGE  \* MERGEFORMAT </w:instrText>
                          </w:r>
                          <w:r>
                            <w:fldChar w:fldCharType="separate"/>
                          </w:r>
                          <w:r>
                            <w:t>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22"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MLjtgN8BAAC/AwAADgAAAGRycy9lMm9Eb2MueG1srVPBjtMwEL0j8Q+W 7zTZaIWqqukKtlqEhABp4QNcx2ks2R5r7DYpHwB/wIkLd76r38HYSbqwXPbAJRnPjN/MezNe3wzW sKPCoMHV/GpRcqachEa7fc0/f7p7seQsROEaYcCpmp9U4Deb58/WvV+pCjowjUJGIC6sel/zLka/ KoogO2VFWIBXjoItoBWRjrgvGhQ9oVtTVGX5sugBG48gVQjk3Y5BPiHiUwChbbVUW5AHq1wcUVEZ EYlS6LQPfJO7bVsl44e2DSoyU3NiGvOXipC9S99isxarPQrfaTm1IJ7SwiNOVmhHRS9QWxEFO6D+ B8pqiRCgjQsJthiJZEWIxVX5SJv7TniVuZDUwV9ED/8PVr4/fkSmm5pfc+aEpYGfv387//h1/vmV VVXSp/dhRWn3nhLj8BoG2prZH8iZaA8t2vQnQozipO7poq4aIpPp0rJaLksKSYrNB8IvHq57DPGN AsuSUXOk8WVVxfFdiGPqnJKqObjTxuQRGveXgzCTp0i9jz0mKw67YSK0g+ZEfOgdUJ0O8AtnPW1B zR0tPWfmrSOR08LMBs7GbjaEk3Sx5pGz0byN42IdPOp9l1ctNRX8q0OkTjOB1MZYe+qO5polmHYw Lc6f55z18O42vwFQSwMECgAAAAAAh07iQAAAAAAAAAAAAAAAAAYAAABfcmVscy9QSwMEFAAAAAgA h07iQIoUZjzRAAAAlAEAAAsAAABfcmVscy8ucmVsc6WQwWrDMAyG74O9g9F9cZrDGKNOL6PQa+ke wNiKYxpbRjLZ+vbzDoNl9LajfqHvE//+8JkWtSJLpGxg1/WgMDvyMQcD75fj0wsoqTZ7u1BGAzcU OIyPD/szLra2I5ljEdUoWQzMtZZXrcXNmKx0VDC3zUScbG0jB12su9qAeuj7Z82/GTBumOrkDfDJ D6Aut9LMf9gpOiahqXaOkqZpiu4eVQe2ZY7uyDbhG7lGsxywGvAsGgdqWdd+BH1fv/un3tNHPuO6 1X6HjOuPV2+6HL8AUEsDBBQAAAAIAIdO4kB+5uUg9wAAAOEBAAATAAAAW0NvbnRlbnRfVHlwZXNd LnhtbJWRQU7DMBBF90jcwfIWJU67QAgl6YK0S0CoHGBkTxKLZGx5TGhvj5O2G0SRWNoz/78nu9wc xkFMGNg6quQqL6RA0s5Y6ir5vt9lD1JwBDIwOMJKHpHlpr69KfdHjyxSmriSfYz+USnWPY7AufNI adK6MEJMx9ApD/oDOlTrorhX2lFEilmcO2RdNtjC5xDF9pCuTyYBB5bi6bQ4syoJ3g9WQ0ymaiLz g5KdCXlKLjvcW893SUOqXwnz5DrgnHtJTxOsQfEKIT7DmDSUCayM+6KAU/53yWw5cuba1mrMm8BN ir3hdLG61o5r1zj93/Ltkrp0q+WD6m9QSwECFAAUAAAACACHTuJAfublIPcAAADhAQAAEwAAAAAA AAABACAAAABHBAAAW0NvbnRlbnRfVHlwZXNdLnhtbFBLAQIUAAoAAAAAAIdO4kAAAAAAAAAAAAAA AAAGAAAAAAAAAAAAEAAAACkDAABfcmVscy9QSwECFAAUAAAACACHTuJAihRmPNEAAACUAQAACwAA AAAAAAABACAAAABNAwAAX3JlbHMvLnJlbHNQSwECFAAKAAAAAACHTuJAAAAAAAAAAAAAAAAABAAA AAAAAAAAABAAAAAAAAAAZHJzL1BLAQIUABQAAAAIAIdO4kDOqXm5zwAAAAUBAAAPAAAAAAAAAAEA IAAAACIAAABkcnMvZG93bnJldi54bWxQSwECFAAUAAAACACHTuJAMLjtgN8BAAC/AwAADgAAAAAA AAABACAAAAAeAQAAZHJzL2Uyb0RvYy54bWxQSwUGAAAAAAYABgBZAQAAbwUAAAAA ">
              <v:fill on="f" focussize="0,0"/>
              <v:stroke on="f"/>
              <v:imagedata o:title=""/>
              <o:lock v:ext="edit" aspectratio="f"/>
              <v:textbox inset="0mm,0mm,0mm,0mm" style="mso-fit-shape-to-text:t;">
                <w:txbxContent>
                  <w:p>
                    <w:pPr>
                      <w:pStyle w:val="28"/>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r>
      <w:rPr>
        <w:rFonts w:hint="eastAsia"/>
        <w:lang w:eastAsia="zh-CN"/>
      </w:rPr>
      <w:t>缙云县中医医院迁建工程项目污水处理设备采购项目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186056"/>
    <w:multiLevelType w:val="singleLevel"/>
    <w:tmpl w:val="B5186056"/>
    <w:lvl w:ilvl="0" w:tentative="0">
      <w:start w:val="1"/>
      <w:numFmt w:val="decimal"/>
      <w:pStyle w:val="12"/>
      <w:lvlText w:val="%1."/>
      <w:lvlJc w:val="left"/>
      <w:pPr>
        <w:tabs>
          <w:tab w:val="left" w:pos="780"/>
        </w:tabs>
        <w:ind w:left="780" w:hanging="360"/>
      </w:pPr>
    </w:lvl>
  </w:abstractNum>
  <w:abstractNum w:abstractNumId="1">
    <w:nsid w:val="763060DB"/>
    <w:multiLevelType w:val="multilevel"/>
    <w:tmpl w:val="763060DB"/>
    <w:lvl w:ilvl="0" w:tentative="0">
      <w:start w:val="1"/>
      <w:numFmt w:val="japaneseCounting"/>
      <w:lvlText w:val="第%1章"/>
      <w:lvlJc w:val="left"/>
      <w:pPr>
        <w:tabs>
          <w:tab w:val="left" w:pos="1995"/>
        </w:tabs>
        <w:ind w:left="1995" w:hanging="1275"/>
      </w:pPr>
      <w:rPr>
        <w:rFonts w:hint="eastAsia"/>
      </w:rPr>
    </w:lvl>
    <w:lvl w:ilvl="1" w:tentative="0">
      <w:start w:val="1"/>
      <w:numFmt w:val="japaneseCounting"/>
      <w:lvlText w:val="%2、"/>
      <w:lvlJc w:val="left"/>
      <w:pPr>
        <w:tabs>
          <w:tab w:val="left" w:pos="1860"/>
        </w:tabs>
        <w:ind w:left="1860" w:hanging="720"/>
      </w:pPr>
      <w:rPr>
        <w:rFonts w:hint="eastAsia"/>
      </w:rPr>
    </w:lvl>
    <w:lvl w:ilvl="2" w:tentative="0">
      <w:start w:val="1"/>
      <w:numFmt w:val="lowerRoman"/>
      <w:pStyle w:val="202"/>
      <w:lvlText w:val="%3."/>
      <w:lvlJc w:val="right"/>
      <w:pPr>
        <w:tabs>
          <w:tab w:val="left" w:pos="1980"/>
        </w:tabs>
        <w:ind w:left="1980" w:hanging="420"/>
      </w:pPr>
    </w:lvl>
    <w:lvl w:ilvl="3" w:tentative="0">
      <w:start w:val="1"/>
      <w:numFmt w:val="decimal"/>
      <w:lvlText w:val="%4."/>
      <w:lvlJc w:val="left"/>
      <w:pPr>
        <w:tabs>
          <w:tab w:val="left" w:pos="2400"/>
        </w:tabs>
        <w:ind w:left="2400" w:hanging="420"/>
      </w:pPr>
    </w:lvl>
    <w:lvl w:ilvl="4" w:tentative="0">
      <w:start w:val="1"/>
      <w:numFmt w:val="lowerLetter"/>
      <w:lvlText w:val="%5)"/>
      <w:lvlJc w:val="left"/>
      <w:pPr>
        <w:tabs>
          <w:tab w:val="left" w:pos="2820"/>
        </w:tabs>
        <w:ind w:left="2820" w:hanging="420"/>
      </w:pPr>
    </w:lvl>
    <w:lvl w:ilvl="5" w:tentative="0">
      <w:start w:val="1"/>
      <w:numFmt w:val="lowerRoman"/>
      <w:lvlText w:val="%6."/>
      <w:lvlJc w:val="right"/>
      <w:pPr>
        <w:tabs>
          <w:tab w:val="left" w:pos="3240"/>
        </w:tabs>
        <w:ind w:left="3240" w:hanging="420"/>
      </w:pPr>
    </w:lvl>
    <w:lvl w:ilvl="6" w:tentative="0">
      <w:start w:val="1"/>
      <w:numFmt w:val="decimal"/>
      <w:lvlText w:val="%7."/>
      <w:lvlJc w:val="left"/>
      <w:pPr>
        <w:tabs>
          <w:tab w:val="left" w:pos="3660"/>
        </w:tabs>
        <w:ind w:left="3660" w:hanging="420"/>
      </w:pPr>
    </w:lvl>
    <w:lvl w:ilvl="7" w:tentative="0">
      <w:start w:val="1"/>
      <w:numFmt w:val="lowerLetter"/>
      <w:lvlText w:val="%8)"/>
      <w:lvlJc w:val="left"/>
      <w:pPr>
        <w:tabs>
          <w:tab w:val="left" w:pos="4080"/>
        </w:tabs>
        <w:ind w:left="4080" w:hanging="420"/>
      </w:pPr>
    </w:lvl>
    <w:lvl w:ilvl="8" w:tentative="0">
      <w:start w:val="1"/>
      <w:numFmt w:val="lowerRoman"/>
      <w:lvlText w:val="%9."/>
      <w:lvlJc w:val="right"/>
      <w:pPr>
        <w:tabs>
          <w:tab w:val="left" w:pos="4500"/>
        </w:tabs>
        <w:ind w:left="45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0ZWVmOTMwOWY3ZDNlN2JlYWMzNjczMzhmN2RhOGQifQ=="/>
  </w:docVars>
  <w:rsids>
    <w:rsidRoot w:val="00172A27"/>
    <w:rsid w:val="0000026E"/>
    <w:rsid w:val="00002901"/>
    <w:rsid w:val="00004BE9"/>
    <w:rsid w:val="00005689"/>
    <w:rsid w:val="00005B77"/>
    <w:rsid w:val="00005F2C"/>
    <w:rsid w:val="0000628F"/>
    <w:rsid w:val="000078F3"/>
    <w:rsid w:val="000105B1"/>
    <w:rsid w:val="00012E28"/>
    <w:rsid w:val="000131BB"/>
    <w:rsid w:val="000165E2"/>
    <w:rsid w:val="000169E9"/>
    <w:rsid w:val="00016E9F"/>
    <w:rsid w:val="00017572"/>
    <w:rsid w:val="00017C74"/>
    <w:rsid w:val="000218B1"/>
    <w:rsid w:val="00021E17"/>
    <w:rsid w:val="00022D8A"/>
    <w:rsid w:val="00023144"/>
    <w:rsid w:val="00024A1D"/>
    <w:rsid w:val="000254DF"/>
    <w:rsid w:val="00025EC4"/>
    <w:rsid w:val="00030222"/>
    <w:rsid w:val="0003075A"/>
    <w:rsid w:val="00031EB4"/>
    <w:rsid w:val="00032423"/>
    <w:rsid w:val="00033C2A"/>
    <w:rsid w:val="00035A9E"/>
    <w:rsid w:val="0003693D"/>
    <w:rsid w:val="000375AC"/>
    <w:rsid w:val="00041671"/>
    <w:rsid w:val="0004213C"/>
    <w:rsid w:val="000427F9"/>
    <w:rsid w:val="00046E89"/>
    <w:rsid w:val="00051729"/>
    <w:rsid w:val="0005599A"/>
    <w:rsid w:val="00055BCF"/>
    <w:rsid w:val="00055F1D"/>
    <w:rsid w:val="000572F0"/>
    <w:rsid w:val="0005756F"/>
    <w:rsid w:val="0005793A"/>
    <w:rsid w:val="00061B3B"/>
    <w:rsid w:val="00061F29"/>
    <w:rsid w:val="00062A58"/>
    <w:rsid w:val="000648B8"/>
    <w:rsid w:val="00064B57"/>
    <w:rsid w:val="0006586E"/>
    <w:rsid w:val="0006791B"/>
    <w:rsid w:val="00067FB0"/>
    <w:rsid w:val="000713D6"/>
    <w:rsid w:val="000733F3"/>
    <w:rsid w:val="00075DF4"/>
    <w:rsid w:val="0007771C"/>
    <w:rsid w:val="000809DF"/>
    <w:rsid w:val="00083C30"/>
    <w:rsid w:val="000840B3"/>
    <w:rsid w:val="0008616F"/>
    <w:rsid w:val="000864D0"/>
    <w:rsid w:val="0008712A"/>
    <w:rsid w:val="00087503"/>
    <w:rsid w:val="0009216D"/>
    <w:rsid w:val="00094B9C"/>
    <w:rsid w:val="00094FE7"/>
    <w:rsid w:val="00095AB9"/>
    <w:rsid w:val="00095B3A"/>
    <w:rsid w:val="00096E0A"/>
    <w:rsid w:val="000A078E"/>
    <w:rsid w:val="000A1717"/>
    <w:rsid w:val="000A39FD"/>
    <w:rsid w:val="000A6268"/>
    <w:rsid w:val="000A656E"/>
    <w:rsid w:val="000A7CA5"/>
    <w:rsid w:val="000B014F"/>
    <w:rsid w:val="000B0E00"/>
    <w:rsid w:val="000B1405"/>
    <w:rsid w:val="000B3F16"/>
    <w:rsid w:val="000B5CE6"/>
    <w:rsid w:val="000B6651"/>
    <w:rsid w:val="000B7B11"/>
    <w:rsid w:val="000C1AFF"/>
    <w:rsid w:val="000C4D12"/>
    <w:rsid w:val="000D08D4"/>
    <w:rsid w:val="000D0E1D"/>
    <w:rsid w:val="000D1341"/>
    <w:rsid w:val="000D14A7"/>
    <w:rsid w:val="000D16D1"/>
    <w:rsid w:val="000D17C0"/>
    <w:rsid w:val="000D2228"/>
    <w:rsid w:val="000D3A80"/>
    <w:rsid w:val="000D7BE0"/>
    <w:rsid w:val="000E0D93"/>
    <w:rsid w:val="000E0EE8"/>
    <w:rsid w:val="000E1BD9"/>
    <w:rsid w:val="000E3197"/>
    <w:rsid w:val="000E422F"/>
    <w:rsid w:val="000E4D56"/>
    <w:rsid w:val="000E6DB0"/>
    <w:rsid w:val="000F1CF4"/>
    <w:rsid w:val="000F1D66"/>
    <w:rsid w:val="000F2E9A"/>
    <w:rsid w:val="000F6898"/>
    <w:rsid w:val="00100D6C"/>
    <w:rsid w:val="00100E87"/>
    <w:rsid w:val="00101BB2"/>
    <w:rsid w:val="001034A7"/>
    <w:rsid w:val="001060C2"/>
    <w:rsid w:val="00106D38"/>
    <w:rsid w:val="00107071"/>
    <w:rsid w:val="00110130"/>
    <w:rsid w:val="00111104"/>
    <w:rsid w:val="00111D8F"/>
    <w:rsid w:val="00111E1B"/>
    <w:rsid w:val="001122CB"/>
    <w:rsid w:val="00114227"/>
    <w:rsid w:val="00117098"/>
    <w:rsid w:val="00121A2D"/>
    <w:rsid w:val="00122E67"/>
    <w:rsid w:val="00124640"/>
    <w:rsid w:val="0012483C"/>
    <w:rsid w:val="001271F9"/>
    <w:rsid w:val="0013027D"/>
    <w:rsid w:val="00130CBC"/>
    <w:rsid w:val="00131D77"/>
    <w:rsid w:val="001328EF"/>
    <w:rsid w:val="0013569E"/>
    <w:rsid w:val="00136060"/>
    <w:rsid w:val="00137A57"/>
    <w:rsid w:val="0014115A"/>
    <w:rsid w:val="00141C32"/>
    <w:rsid w:val="00143432"/>
    <w:rsid w:val="00145AB3"/>
    <w:rsid w:val="00146E79"/>
    <w:rsid w:val="00151893"/>
    <w:rsid w:val="00151C22"/>
    <w:rsid w:val="001520D0"/>
    <w:rsid w:val="00152BA7"/>
    <w:rsid w:val="00152EC2"/>
    <w:rsid w:val="0015477D"/>
    <w:rsid w:val="00155194"/>
    <w:rsid w:val="001560E6"/>
    <w:rsid w:val="00156A4E"/>
    <w:rsid w:val="0016073F"/>
    <w:rsid w:val="001607F5"/>
    <w:rsid w:val="00161350"/>
    <w:rsid w:val="001617D1"/>
    <w:rsid w:val="00164CF1"/>
    <w:rsid w:val="00165987"/>
    <w:rsid w:val="001662D6"/>
    <w:rsid w:val="00167CB3"/>
    <w:rsid w:val="00171FC9"/>
    <w:rsid w:val="00172C20"/>
    <w:rsid w:val="001732EF"/>
    <w:rsid w:val="001747FE"/>
    <w:rsid w:val="00175B1A"/>
    <w:rsid w:val="00183F6A"/>
    <w:rsid w:val="001847A5"/>
    <w:rsid w:val="001851CB"/>
    <w:rsid w:val="0018658B"/>
    <w:rsid w:val="00186A6E"/>
    <w:rsid w:val="00187AA8"/>
    <w:rsid w:val="001900DF"/>
    <w:rsid w:val="00193B09"/>
    <w:rsid w:val="001941D4"/>
    <w:rsid w:val="001945E7"/>
    <w:rsid w:val="00194FFE"/>
    <w:rsid w:val="00195613"/>
    <w:rsid w:val="00195A42"/>
    <w:rsid w:val="00195BE3"/>
    <w:rsid w:val="00196442"/>
    <w:rsid w:val="001965BA"/>
    <w:rsid w:val="00197FDC"/>
    <w:rsid w:val="001A0E00"/>
    <w:rsid w:val="001A0F0E"/>
    <w:rsid w:val="001A0FA6"/>
    <w:rsid w:val="001A2B82"/>
    <w:rsid w:val="001A3DC1"/>
    <w:rsid w:val="001A4285"/>
    <w:rsid w:val="001A4A2B"/>
    <w:rsid w:val="001A7BE9"/>
    <w:rsid w:val="001A7E70"/>
    <w:rsid w:val="001B013B"/>
    <w:rsid w:val="001B01C2"/>
    <w:rsid w:val="001B11A9"/>
    <w:rsid w:val="001B1435"/>
    <w:rsid w:val="001B14DE"/>
    <w:rsid w:val="001B18CD"/>
    <w:rsid w:val="001B5FFF"/>
    <w:rsid w:val="001B606B"/>
    <w:rsid w:val="001B60A9"/>
    <w:rsid w:val="001B7657"/>
    <w:rsid w:val="001C0F06"/>
    <w:rsid w:val="001C1020"/>
    <w:rsid w:val="001C3826"/>
    <w:rsid w:val="001C39CA"/>
    <w:rsid w:val="001C4239"/>
    <w:rsid w:val="001C4C64"/>
    <w:rsid w:val="001D0105"/>
    <w:rsid w:val="001D202B"/>
    <w:rsid w:val="001D3883"/>
    <w:rsid w:val="001D65D0"/>
    <w:rsid w:val="001D7A8A"/>
    <w:rsid w:val="001D7C9E"/>
    <w:rsid w:val="001E1BB8"/>
    <w:rsid w:val="001E5B80"/>
    <w:rsid w:val="001E6054"/>
    <w:rsid w:val="001E71F4"/>
    <w:rsid w:val="001E7385"/>
    <w:rsid w:val="001E7509"/>
    <w:rsid w:val="001F4349"/>
    <w:rsid w:val="001F4F64"/>
    <w:rsid w:val="001F57D2"/>
    <w:rsid w:val="00201F2E"/>
    <w:rsid w:val="00202D13"/>
    <w:rsid w:val="00203D5C"/>
    <w:rsid w:val="00205393"/>
    <w:rsid w:val="00205E03"/>
    <w:rsid w:val="00212372"/>
    <w:rsid w:val="00212E37"/>
    <w:rsid w:val="00213CCB"/>
    <w:rsid w:val="0021772B"/>
    <w:rsid w:val="00217AA9"/>
    <w:rsid w:val="00222D4D"/>
    <w:rsid w:val="002232EE"/>
    <w:rsid w:val="00226732"/>
    <w:rsid w:val="0022690C"/>
    <w:rsid w:val="00227220"/>
    <w:rsid w:val="00227612"/>
    <w:rsid w:val="00230A21"/>
    <w:rsid w:val="002310EA"/>
    <w:rsid w:val="00233CD6"/>
    <w:rsid w:val="00234829"/>
    <w:rsid w:val="002352DC"/>
    <w:rsid w:val="00236389"/>
    <w:rsid w:val="0023695F"/>
    <w:rsid w:val="00236DCD"/>
    <w:rsid w:val="00241630"/>
    <w:rsid w:val="00241CE0"/>
    <w:rsid w:val="00242782"/>
    <w:rsid w:val="00242B9E"/>
    <w:rsid w:val="00243FF7"/>
    <w:rsid w:val="00244404"/>
    <w:rsid w:val="002448DA"/>
    <w:rsid w:val="00247343"/>
    <w:rsid w:val="00247542"/>
    <w:rsid w:val="0025050A"/>
    <w:rsid w:val="002530E8"/>
    <w:rsid w:val="00254C53"/>
    <w:rsid w:val="0025523B"/>
    <w:rsid w:val="002575F5"/>
    <w:rsid w:val="002627B7"/>
    <w:rsid w:val="00271B61"/>
    <w:rsid w:val="00272C5A"/>
    <w:rsid w:val="002750A2"/>
    <w:rsid w:val="00275402"/>
    <w:rsid w:val="0027660A"/>
    <w:rsid w:val="00277834"/>
    <w:rsid w:val="0028209B"/>
    <w:rsid w:val="0028494B"/>
    <w:rsid w:val="002901BC"/>
    <w:rsid w:val="00291FBC"/>
    <w:rsid w:val="00294FE6"/>
    <w:rsid w:val="0029595F"/>
    <w:rsid w:val="00295D70"/>
    <w:rsid w:val="002A0891"/>
    <w:rsid w:val="002A0DB7"/>
    <w:rsid w:val="002A14D8"/>
    <w:rsid w:val="002A1B21"/>
    <w:rsid w:val="002A46D7"/>
    <w:rsid w:val="002B1CD7"/>
    <w:rsid w:val="002B2708"/>
    <w:rsid w:val="002B2E2A"/>
    <w:rsid w:val="002B39F7"/>
    <w:rsid w:val="002B3F11"/>
    <w:rsid w:val="002B5361"/>
    <w:rsid w:val="002B5B7B"/>
    <w:rsid w:val="002B7B1D"/>
    <w:rsid w:val="002B7CAD"/>
    <w:rsid w:val="002C02DF"/>
    <w:rsid w:val="002C0A52"/>
    <w:rsid w:val="002C2C97"/>
    <w:rsid w:val="002C3D71"/>
    <w:rsid w:val="002C4473"/>
    <w:rsid w:val="002C6959"/>
    <w:rsid w:val="002D1499"/>
    <w:rsid w:val="002D165C"/>
    <w:rsid w:val="002D1CD7"/>
    <w:rsid w:val="002D1D24"/>
    <w:rsid w:val="002D4126"/>
    <w:rsid w:val="002D4E9C"/>
    <w:rsid w:val="002D5047"/>
    <w:rsid w:val="002D66DB"/>
    <w:rsid w:val="002D72DE"/>
    <w:rsid w:val="002E130E"/>
    <w:rsid w:val="002E1DF8"/>
    <w:rsid w:val="002E2776"/>
    <w:rsid w:val="002E501A"/>
    <w:rsid w:val="002E5D10"/>
    <w:rsid w:val="002E7DEB"/>
    <w:rsid w:val="002F0009"/>
    <w:rsid w:val="002F0BC2"/>
    <w:rsid w:val="002F5552"/>
    <w:rsid w:val="002F6D22"/>
    <w:rsid w:val="002F7B5F"/>
    <w:rsid w:val="0030049B"/>
    <w:rsid w:val="00300DDE"/>
    <w:rsid w:val="003012EC"/>
    <w:rsid w:val="00301920"/>
    <w:rsid w:val="00301FC5"/>
    <w:rsid w:val="00305065"/>
    <w:rsid w:val="00305719"/>
    <w:rsid w:val="003068ED"/>
    <w:rsid w:val="00310D7B"/>
    <w:rsid w:val="00311486"/>
    <w:rsid w:val="00311B5E"/>
    <w:rsid w:val="00311E05"/>
    <w:rsid w:val="0031249E"/>
    <w:rsid w:val="0031314E"/>
    <w:rsid w:val="00313425"/>
    <w:rsid w:val="00313B0A"/>
    <w:rsid w:val="00317329"/>
    <w:rsid w:val="00322CAB"/>
    <w:rsid w:val="00326BC7"/>
    <w:rsid w:val="003322F5"/>
    <w:rsid w:val="00332E25"/>
    <w:rsid w:val="00333602"/>
    <w:rsid w:val="0033429B"/>
    <w:rsid w:val="00334723"/>
    <w:rsid w:val="00334D81"/>
    <w:rsid w:val="00334E9C"/>
    <w:rsid w:val="00340367"/>
    <w:rsid w:val="00340938"/>
    <w:rsid w:val="00340A8E"/>
    <w:rsid w:val="00340DD4"/>
    <w:rsid w:val="00341E89"/>
    <w:rsid w:val="003431E2"/>
    <w:rsid w:val="00344852"/>
    <w:rsid w:val="003452EF"/>
    <w:rsid w:val="00345466"/>
    <w:rsid w:val="00345C9B"/>
    <w:rsid w:val="00346032"/>
    <w:rsid w:val="003463F4"/>
    <w:rsid w:val="00346828"/>
    <w:rsid w:val="003479E0"/>
    <w:rsid w:val="0035043E"/>
    <w:rsid w:val="00352505"/>
    <w:rsid w:val="00353472"/>
    <w:rsid w:val="003546B4"/>
    <w:rsid w:val="00360999"/>
    <w:rsid w:val="003633B7"/>
    <w:rsid w:val="00363740"/>
    <w:rsid w:val="00363D2C"/>
    <w:rsid w:val="00364114"/>
    <w:rsid w:val="00371179"/>
    <w:rsid w:val="00372200"/>
    <w:rsid w:val="00372466"/>
    <w:rsid w:val="003725EB"/>
    <w:rsid w:val="00373614"/>
    <w:rsid w:val="00373B97"/>
    <w:rsid w:val="00376AE1"/>
    <w:rsid w:val="00381643"/>
    <w:rsid w:val="003847EB"/>
    <w:rsid w:val="003859AC"/>
    <w:rsid w:val="003903A2"/>
    <w:rsid w:val="00391D1A"/>
    <w:rsid w:val="003966F1"/>
    <w:rsid w:val="003A1A02"/>
    <w:rsid w:val="003A20B2"/>
    <w:rsid w:val="003A24FE"/>
    <w:rsid w:val="003A2735"/>
    <w:rsid w:val="003A34B8"/>
    <w:rsid w:val="003A3D1E"/>
    <w:rsid w:val="003A3F57"/>
    <w:rsid w:val="003A5D2E"/>
    <w:rsid w:val="003B08B3"/>
    <w:rsid w:val="003B3483"/>
    <w:rsid w:val="003B44EA"/>
    <w:rsid w:val="003B45F1"/>
    <w:rsid w:val="003B4B7D"/>
    <w:rsid w:val="003B7CB8"/>
    <w:rsid w:val="003C1E2B"/>
    <w:rsid w:val="003C221D"/>
    <w:rsid w:val="003C3B77"/>
    <w:rsid w:val="003C4978"/>
    <w:rsid w:val="003C6010"/>
    <w:rsid w:val="003C7C71"/>
    <w:rsid w:val="003D0A56"/>
    <w:rsid w:val="003D1817"/>
    <w:rsid w:val="003D1991"/>
    <w:rsid w:val="003D1D4D"/>
    <w:rsid w:val="003D21CC"/>
    <w:rsid w:val="003D582F"/>
    <w:rsid w:val="003D712B"/>
    <w:rsid w:val="003E1BC5"/>
    <w:rsid w:val="003E30BA"/>
    <w:rsid w:val="003E322D"/>
    <w:rsid w:val="003E430C"/>
    <w:rsid w:val="003E64D9"/>
    <w:rsid w:val="003F0198"/>
    <w:rsid w:val="003F061A"/>
    <w:rsid w:val="003F0DDB"/>
    <w:rsid w:val="003F0DE7"/>
    <w:rsid w:val="003F10DC"/>
    <w:rsid w:val="003F14FF"/>
    <w:rsid w:val="003F269C"/>
    <w:rsid w:val="003F2C9B"/>
    <w:rsid w:val="003F2E18"/>
    <w:rsid w:val="003F4650"/>
    <w:rsid w:val="003F6136"/>
    <w:rsid w:val="003F655B"/>
    <w:rsid w:val="003F68B8"/>
    <w:rsid w:val="0040087F"/>
    <w:rsid w:val="00403FB9"/>
    <w:rsid w:val="00404E12"/>
    <w:rsid w:val="0040777F"/>
    <w:rsid w:val="00410E89"/>
    <w:rsid w:val="00410ED2"/>
    <w:rsid w:val="004119FF"/>
    <w:rsid w:val="00414CDD"/>
    <w:rsid w:val="00416319"/>
    <w:rsid w:val="0041671A"/>
    <w:rsid w:val="00417562"/>
    <w:rsid w:val="00417EE8"/>
    <w:rsid w:val="00420C16"/>
    <w:rsid w:val="00422B79"/>
    <w:rsid w:val="00427065"/>
    <w:rsid w:val="00430184"/>
    <w:rsid w:val="00432320"/>
    <w:rsid w:val="00432C97"/>
    <w:rsid w:val="00441850"/>
    <w:rsid w:val="00441F86"/>
    <w:rsid w:val="00442040"/>
    <w:rsid w:val="0044365D"/>
    <w:rsid w:val="00444592"/>
    <w:rsid w:val="00444D30"/>
    <w:rsid w:val="0044536E"/>
    <w:rsid w:val="0044543D"/>
    <w:rsid w:val="00451F3A"/>
    <w:rsid w:val="0045216A"/>
    <w:rsid w:val="00454F7A"/>
    <w:rsid w:val="0045671D"/>
    <w:rsid w:val="004606D0"/>
    <w:rsid w:val="00461D2C"/>
    <w:rsid w:val="0046445A"/>
    <w:rsid w:val="00465F5D"/>
    <w:rsid w:val="00467EC2"/>
    <w:rsid w:val="00471C76"/>
    <w:rsid w:val="004722F7"/>
    <w:rsid w:val="004728BD"/>
    <w:rsid w:val="00474A69"/>
    <w:rsid w:val="00476AA9"/>
    <w:rsid w:val="004774C3"/>
    <w:rsid w:val="00480FF5"/>
    <w:rsid w:val="0048114C"/>
    <w:rsid w:val="00481A5E"/>
    <w:rsid w:val="00482E5A"/>
    <w:rsid w:val="00484518"/>
    <w:rsid w:val="0048531D"/>
    <w:rsid w:val="00485DDB"/>
    <w:rsid w:val="00490D4F"/>
    <w:rsid w:val="004912D4"/>
    <w:rsid w:val="004932E0"/>
    <w:rsid w:val="004948C8"/>
    <w:rsid w:val="00495598"/>
    <w:rsid w:val="004957BB"/>
    <w:rsid w:val="00496F1C"/>
    <w:rsid w:val="004A06BF"/>
    <w:rsid w:val="004A0856"/>
    <w:rsid w:val="004A1542"/>
    <w:rsid w:val="004A1C1B"/>
    <w:rsid w:val="004A348F"/>
    <w:rsid w:val="004A3A22"/>
    <w:rsid w:val="004A7667"/>
    <w:rsid w:val="004A773B"/>
    <w:rsid w:val="004A7A08"/>
    <w:rsid w:val="004B10E4"/>
    <w:rsid w:val="004B1207"/>
    <w:rsid w:val="004B19F4"/>
    <w:rsid w:val="004B52B6"/>
    <w:rsid w:val="004B538D"/>
    <w:rsid w:val="004B6525"/>
    <w:rsid w:val="004C0D18"/>
    <w:rsid w:val="004C1FB6"/>
    <w:rsid w:val="004C3FA6"/>
    <w:rsid w:val="004C50AC"/>
    <w:rsid w:val="004D0BD1"/>
    <w:rsid w:val="004D0F47"/>
    <w:rsid w:val="004D2C1D"/>
    <w:rsid w:val="004D31D7"/>
    <w:rsid w:val="004D5277"/>
    <w:rsid w:val="004D5E0F"/>
    <w:rsid w:val="004D62E5"/>
    <w:rsid w:val="004D69C2"/>
    <w:rsid w:val="004E05BA"/>
    <w:rsid w:val="004E2C09"/>
    <w:rsid w:val="004E3CEB"/>
    <w:rsid w:val="004E40AB"/>
    <w:rsid w:val="004E45DC"/>
    <w:rsid w:val="004E51E8"/>
    <w:rsid w:val="004E742E"/>
    <w:rsid w:val="004F1102"/>
    <w:rsid w:val="004F4447"/>
    <w:rsid w:val="004F46BB"/>
    <w:rsid w:val="004F485D"/>
    <w:rsid w:val="004F6589"/>
    <w:rsid w:val="004F6ACD"/>
    <w:rsid w:val="004F78AF"/>
    <w:rsid w:val="005019F5"/>
    <w:rsid w:val="00501E37"/>
    <w:rsid w:val="00501E5A"/>
    <w:rsid w:val="00501FBC"/>
    <w:rsid w:val="005029D8"/>
    <w:rsid w:val="00504650"/>
    <w:rsid w:val="00504665"/>
    <w:rsid w:val="00504B25"/>
    <w:rsid w:val="005068D2"/>
    <w:rsid w:val="005071D1"/>
    <w:rsid w:val="00510ADB"/>
    <w:rsid w:val="00516690"/>
    <w:rsid w:val="0051711B"/>
    <w:rsid w:val="00517FC3"/>
    <w:rsid w:val="00527942"/>
    <w:rsid w:val="0053236E"/>
    <w:rsid w:val="0053332B"/>
    <w:rsid w:val="00534AE3"/>
    <w:rsid w:val="005365EB"/>
    <w:rsid w:val="00536D01"/>
    <w:rsid w:val="005376FC"/>
    <w:rsid w:val="00541DC3"/>
    <w:rsid w:val="00544160"/>
    <w:rsid w:val="00544180"/>
    <w:rsid w:val="005466E6"/>
    <w:rsid w:val="00550629"/>
    <w:rsid w:val="00552DD4"/>
    <w:rsid w:val="00554078"/>
    <w:rsid w:val="0055459F"/>
    <w:rsid w:val="00555139"/>
    <w:rsid w:val="00555B77"/>
    <w:rsid w:val="00556380"/>
    <w:rsid w:val="00556E21"/>
    <w:rsid w:val="005605BB"/>
    <w:rsid w:val="00563054"/>
    <w:rsid w:val="0056353A"/>
    <w:rsid w:val="0056443D"/>
    <w:rsid w:val="00565CB4"/>
    <w:rsid w:val="00565CE7"/>
    <w:rsid w:val="0056715C"/>
    <w:rsid w:val="0057011A"/>
    <w:rsid w:val="00570328"/>
    <w:rsid w:val="00570759"/>
    <w:rsid w:val="00571891"/>
    <w:rsid w:val="00572BE8"/>
    <w:rsid w:val="00575E79"/>
    <w:rsid w:val="00576ED8"/>
    <w:rsid w:val="005777DF"/>
    <w:rsid w:val="005829AD"/>
    <w:rsid w:val="00582D40"/>
    <w:rsid w:val="00583EF4"/>
    <w:rsid w:val="005846F6"/>
    <w:rsid w:val="00586B1F"/>
    <w:rsid w:val="00590F86"/>
    <w:rsid w:val="00592349"/>
    <w:rsid w:val="0059342D"/>
    <w:rsid w:val="005960BD"/>
    <w:rsid w:val="00597494"/>
    <w:rsid w:val="00597F86"/>
    <w:rsid w:val="005A1541"/>
    <w:rsid w:val="005A1A7D"/>
    <w:rsid w:val="005A35A1"/>
    <w:rsid w:val="005A386D"/>
    <w:rsid w:val="005A3F8C"/>
    <w:rsid w:val="005A49B1"/>
    <w:rsid w:val="005B1601"/>
    <w:rsid w:val="005B3194"/>
    <w:rsid w:val="005B374D"/>
    <w:rsid w:val="005B4C88"/>
    <w:rsid w:val="005B513C"/>
    <w:rsid w:val="005C1901"/>
    <w:rsid w:val="005C40C3"/>
    <w:rsid w:val="005C4452"/>
    <w:rsid w:val="005C51F8"/>
    <w:rsid w:val="005C5EFF"/>
    <w:rsid w:val="005C634D"/>
    <w:rsid w:val="005C6363"/>
    <w:rsid w:val="005C6FB2"/>
    <w:rsid w:val="005C77C8"/>
    <w:rsid w:val="005D1110"/>
    <w:rsid w:val="005D788C"/>
    <w:rsid w:val="005E0740"/>
    <w:rsid w:val="005E1C32"/>
    <w:rsid w:val="005E36EC"/>
    <w:rsid w:val="005E3B21"/>
    <w:rsid w:val="005E4C81"/>
    <w:rsid w:val="005E5372"/>
    <w:rsid w:val="005E60C0"/>
    <w:rsid w:val="005E6113"/>
    <w:rsid w:val="005E6341"/>
    <w:rsid w:val="005E73D2"/>
    <w:rsid w:val="005F1087"/>
    <w:rsid w:val="005F119C"/>
    <w:rsid w:val="005F1271"/>
    <w:rsid w:val="005F1CE4"/>
    <w:rsid w:val="005F2E90"/>
    <w:rsid w:val="005F3C80"/>
    <w:rsid w:val="005F5458"/>
    <w:rsid w:val="005F601A"/>
    <w:rsid w:val="005F6AC0"/>
    <w:rsid w:val="00601E10"/>
    <w:rsid w:val="00602A1B"/>
    <w:rsid w:val="00604DA8"/>
    <w:rsid w:val="00605D4E"/>
    <w:rsid w:val="0060622A"/>
    <w:rsid w:val="00610F2D"/>
    <w:rsid w:val="00615A7C"/>
    <w:rsid w:val="0061639D"/>
    <w:rsid w:val="00617559"/>
    <w:rsid w:val="00620469"/>
    <w:rsid w:val="00621440"/>
    <w:rsid w:val="006254F8"/>
    <w:rsid w:val="00630D9F"/>
    <w:rsid w:val="006320C8"/>
    <w:rsid w:val="006335FD"/>
    <w:rsid w:val="006337D4"/>
    <w:rsid w:val="00634BED"/>
    <w:rsid w:val="00635F05"/>
    <w:rsid w:val="0064381D"/>
    <w:rsid w:val="00643AA1"/>
    <w:rsid w:val="00646B97"/>
    <w:rsid w:val="00655566"/>
    <w:rsid w:val="00656C7D"/>
    <w:rsid w:val="0065706A"/>
    <w:rsid w:val="0066270B"/>
    <w:rsid w:val="0066271B"/>
    <w:rsid w:val="0066695C"/>
    <w:rsid w:val="00667417"/>
    <w:rsid w:val="006745FD"/>
    <w:rsid w:val="006763E4"/>
    <w:rsid w:val="00676452"/>
    <w:rsid w:val="00676AB8"/>
    <w:rsid w:val="006776DC"/>
    <w:rsid w:val="00684EE0"/>
    <w:rsid w:val="006859FE"/>
    <w:rsid w:val="00686566"/>
    <w:rsid w:val="006916C7"/>
    <w:rsid w:val="00691AC4"/>
    <w:rsid w:val="0069286A"/>
    <w:rsid w:val="006A1B8C"/>
    <w:rsid w:val="006A2B6B"/>
    <w:rsid w:val="006A78AE"/>
    <w:rsid w:val="006B1776"/>
    <w:rsid w:val="006B2406"/>
    <w:rsid w:val="006B3C21"/>
    <w:rsid w:val="006B7225"/>
    <w:rsid w:val="006B7BE9"/>
    <w:rsid w:val="006B7CC1"/>
    <w:rsid w:val="006C0192"/>
    <w:rsid w:val="006C26B4"/>
    <w:rsid w:val="006C359B"/>
    <w:rsid w:val="006D4CA4"/>
    <w:rsid w:val="006D58D6"/>
    <w:rsid w:val="006D5CC2"/>
    <w:rsid w:val="006D62F8"/>
    <w:rsid w:val="006D6631"/>
    <w:rsid w:val="006D6987"/>
    <w:rsid w:val="006D6AE6"/>
    <w:rsid w:val="006D6BA6"/>
    <w:rsid w:val="006D73A6"/>
    <w:rsid w:val="006E1739"/>
    <w:rsid w:val="006E18BB"/>
    <w:rsid w:val="006E27C6"/>
    <w:rsid w:val="006E2F2D"/>
    <w:rsid w:val="006E40E0"/>
    <w:rsid w:val="006E4FE4"/>
    <w:rsid w:val="006E6CBD"/>
    <w:rsid w:val="006E6EE0"/>
    <w:rsid w:val="006E7010"/>
    <w:rsid w:val="006F0263"/>
    <w:rsid w:val="006F4D4E"/>
    <w:rsid w:val="006F5851"/>
    <w:rsid w:val="00700E12"/>
    <w:rsid w:val="00702797"/>
    <w:rsid w:val="0070473B"/>
    <w:rsid w:val="007055F8"/>
    <w:rsid w:val="00706347"/>
    <w:rsid w:val="00707081"/>
    <w:rsid w:val="00707E36"/>
    <w:rsid w:val="007106C6"/>
    <w:rsid w:val="0071165A"/>
    <w:rsid w:val="00712FD3"/>
    <w:rsid w:val="00714647"/>
    <w:rsid w:val="007158B4"/>
    <w:rsid w:val="007168C3"/>
    <w:rsid w:val="0071769B"/>
    <w:rsid w:val="00717741"/>
    <w:rsid w:val="00717763"/>
    <w:rsid w:val="00721098"/>
    <w:rsid w:val="00721670"/>
    <w:rsid w:val="007246AE"/>
    <w:rsid w:val="007246CC"/>
    <w:rsid w:val="00725FEE"/>
    <w:rsid w:val="00726C0B"/>
    <w:rsid w:val="00726CB1"/>
    <w:rsid w:val="007302B2"/>
    <w:rsid w:val="00731D90"/>
    <w:rsid w:val="00731EDF"/>
    <w:rsid w:val="00734133"/>
    <w:rsid w:val="007349D5"/>
    <w:rsid w:val="00734E7F"/>
    <w:rsid w:val="00735717"/>
    <w:rsid w:val="007361E8"/>
    <w:rsid w:val="00736547"/>
    <w:rsid w:val="007367B1"/>
    <w:rsid w:val="007406C3"/>
    <w:rsid w:val="0074394D"/>
    <w:rsid w:val="00745B8C"/>
    <w:rsid w:val="00745C46"/>
    <w:rsid w:val="0075160F"/>
    <w:rsid w:val="00752418"/>
    <w:rsid w:val="00756191"/>
    <w:rsid w:val="00756323"/>
    <w:rsid w:val="0075718A"/>
    <w:rsid w:val="00760738"/>
    <w:rsid w:val="007620BD"/>
    <w:rsid w:val="0076227A"/>
    <w:rsid w:val="0076449A"/>
    <w:rsid w:val="007649CE"/>
    <w:rsid w:val="00765A82"/>
    <w:rsid w:val="007679FC"/>
    <w:rsid w:val="00772CF3"/>
    <w:rsid w:val="00773385"/>
    <w:rsid w:val="007754E8"/>
    <w:rsid w:val="0077583E"/>
    <w:rsid w:val="007775F2"/>
    <w:rsid w:val="00780236"/>
    <w:rsid w:val="00780802"/>
    <w:rsid w:val="00780813"/>
    <w:rsid w:val="00780E57"/>
    <w:rsid w:val="00781018"/>
    <w:rsid w:val="00781EC3"/>
    <w:rsid w:val="007822A9"/>
    <w:rsid w:val="00782BDB"/>
    <w:rsid w:val="00785D5B"/>
    <w:rsid w:val="00787276"/>
    <w:rsid w:val="0079207F"/>
    <w:rsid w:val="007928CB"/>
    <w:rsid w:val="00793B28"/>
    <w:rsid w:val="007962C8"/>
    <w:rsid w:val="007A0424"/>
    <w:rsid w:val="007A242D"/>
    <w:rsid w:val="007A3513"/>
    <w:rsid w:val="007A4164"/>
    <w:rsid w:val="007A4A87"/>
    <w:rsid w:val="007A721E"/>
    <w:rsid w:val="007B0389"/>
    <w:rsid w:val="007B0C87"/>
    <w:rsid w:val="007B1073"/>
    <w:rsid w:val="007B1997"/>
    <w:rsid w:val="007B2FA0"/>
    <w:rsid w:val="007C0A6A"/>
    <w:rsid w:val="007C14A3"/>
    <w:rsid w:val="007C205F"/>
    <w:rsid w:val="007C3780"/>
    <w:rsid w:val="007C384F"/>
    <w:rsid w:val="007D072A"/>
    <w:rsid w:val="007D1410"/>
    <w:rsid w:val="007D35B2"/>
    <w:rsid w:val="007D3CC5"/>
    <w:rsid w:val="007D554F"/>
    <w:rsid w:val="007D628F"/>
    <w:rsid w:val="007D6446"/>
    <w:rsid w:val="007D7CF2"/>
    <w:rsid w:val="007E3507"/>
    <w:rsid w:val="007E5B0C"/>
    <w:rsid w:val="007E6635"/>
    <w:rsid w:val="007F0F61"/>
    <w:rsid w:val="007F1F34"/>
    <w:rsid w:val="007F216D"/>
    <w:rsid w:val="007F6EAC"/>
    <w:rsid w:val="008027BB"/>
    <w:rsid w:val="00803075"/>
    <w:rsid w:val="0080396B"/>
    <w:rsid w:val="00804BED"/>
    <w:rsid w:val="008051EC"/>
    <w:rsid w:val="008125A3"/>
    <w:rsid w:val="00812D20"/>
    <w:rsid w:val="008133F5"/>
    <w:rsid w:val="00813B7D"/>
    <w:rsid w:val="0081487C"/>
    <w:rsid w:val="008159C2"/>
    <w:rsid w:val="00817D23"/>
    <w:rsid w:val="008214DA"/>
    <w:rsid w:val="008219B8"/>
    <w:rsid w:val="0082514A"/>
    <w:rsid w:val="00825415"/>
    <w:rsid w:val="00825AA1"/>
    <w:rsid w:val="0082745F"/>
    <w:rsid w:val="00831D11"/>
    <w:rsid w:val="00832814"/>
    <w:rsid w:val="008342A9"/>
    <w:rsid w:val="00835A67"/>
    <w:rsid w:val="008426D8"/>
    <w:rsid w:val="008463F2"/>
    <w:rsid w:val="00850B37"/>
    <w:rsid w:val="00850C0E"/>
    <w:rsid w:val="00850D3B"/>
    <w:rsid w:val="008560CB"/>
    <w:rsid w:val="00856622"/>
    <w:rsid w:val="00856B50"/>
    <w:rsid w:val="00857AC7"/>
    <w:rsid w:val="00861FB0"/>
    <w:rsid w:val="008621F9"/>
    <w:rsid w:val="00863D75"/>
    <w:rsid w:val="00866816"/>
    <w:rsid w:val="00867C6D"/>
    <w:rsid w:val="008727C7"/>
    <w:rsid w:val="00872BC5"/>
    <w:rsid w:val="008733A6"/>
    <w:rsid w:val="00873434"/>
    <w:rsid w:val="00876D82"/>
    <w:rsid w:val="00880017"/>
    <w:rsid w:val="0088044D"/>
    <w:rsid w:val="00880B48"/>
    <w:rsid w:val="00881243"/>
    <w:rsid w:val="00881ECC"/>
    <w:rsid w:val="00882AFB"/>
    <w:rsid w:val="00882DA1"/>
    <w:rsid w:val="00883A36"/>
    <w:rsid w:val="00884003"/>
    <w:rsid w:val="00884634"/>
    <w:rsid w:val="00885FE2"/>
    <w:rsid w:val="0088697E"/>
    <w:rsid w:val="0088709E"/>
    <w:rsid w:val="00887365"/>
    <w:rsid w:val="00890066"/>
    <w:rsid w:val="00890B99"/>
    <w:rsid w:val="00890CE6"/>
    <w:rsid w:val="00890D23"/>
    <w:rsid w:val="00891AAB"/>
    <w:rsid w:val="00891AD0"/>
    <w:rsid w:val="00893693"/>
    <w:rsid w:val="00893F66"/>
    <w:rsid w:val="00894644"/>
    <w:rsid w:val="00895E50"/>
    <w:rsid w:val="00896272"/>
    <w:rsid w:val="008A01D8"/>
    <w:rsid w:val="008A1671"/>
    <w:rsid w:val="008A1EA9"/>
    <w:rsid w:val="008A2AB0"/>
    <w:rsid w:val="008A3580"/>
    <w:rsid w:val="008A3EB6"/>
    <w:rsid w:val="008A4852"/>
    <w:rsid w:val="008A58DD"/>
    <w:rsid w:val="008A6D40"/>
    <w:rsid w:val="008B0B23"/>
    <w:rsid w:val="008B3224"/>
    <w:rsid w:val="008B424C"/>
    <w:rsid w:val="008B5109"/>
    <w:rsid w:val="008B6887"/>
    <w:rsid w:val="008C29C9"/>
    <w:rsid w:val="008C4AD7"/>
    <w:rsid w:val="008C5D5B"/>
    <w:rsid w:val="008D13F7"/>
    <w:rsid w:val="008D2070"/>
    <w:rsid w:val="008D48DE"/>
    <w:rsid w:val="008D61F1"/>
    <w:rsid w:val="008D6346"/>
    <w:rsid w:val="008D647B"/>
    <w:rsid w:val="008D6891"/>
    <w:rsid w:val="008D747C"/>
    <w:rsid w:val="008E01E5"/>
    <w:rsid w:val="008E2A60"/>
    <w:rsid w:val="008E3367"/>
    <w:rsid w:val="008E46A5"/>
    <w:rsid w:val="008E51DF"/>
    <w:rsid w:val="008E61FD"/>
    <w:rsid w:val="008E776B"/>
    <w:rsid w:val="008E7ADB"/>
    <w:rsid w:val="008F0E7E"/>
    <w:rsid w:val="008F213F"/>
    <w:rsid w:val="008F5F96"/>
    <w:rsid w:val="008F6882"/>
    <w:rsid w:val="008F6DAF"/>
    <w:rsid w:val="008F7EAF"/>
    <w:rsid w:val="0090062F"/>
    <w:rsid w:val="00903546"/>
    <w:rsid w:val="009036BA"/>
    <w:rsid w:val="009056F4"/>
    <w:rsid w:val="00906E64"/>
    <w:rsid w:val="00911CBF"/>
    <w:rsid w:val="00912E23"/>
    <w:rsid w:val="0091341C"/>
    <w:rsid w:val="00914FED"/>
    <w:rsid w:val="009168E9"/>
    <w:rsid w:val="00917997"/>
    <w:rsid w:val="0092046B"/>
    <w:rsid w:val="00920F33"/>
    <w:rsid w:val="0092435D"/>
    <w:rsid w:val="00924BAA"/>
    <w:rsid w:val="009269DE"/>
    <w:rsid w:val="00930203"/>
    <w:rsid w:val="00931F54"/>
    <w:rsid w:val="00932077"/>
    <w:rsid w:val="00932622"/>
    <w:rsid w:val="009367E1"/>
    <w:rsid w:val="00936D8D"/>
    <w:rsid w:val="00936E5E"/>
    <w:rsid w:val="00941674"/>
    <w:rsid w:val="00942166"/>
    <w:rsid w:val="00943192"/>
    <w:rsid w:val="00945E91"/>
    <w:rsid w:val="009462B2"/>
    <w:rsid w:val="00950633"/>
    <w:rsid w:val="00952266"/>
    <w:rsid w:val="00952365"/>
    <w:rsid w:val="00952D76"/>
    <w:rsid w:val="009541A6"/>
    <w:rsid w:val="009544F8"/>
    <w:rsid w:val="00957C39"/>
    <w:rsid w:val="00960F6B"/>
    <w:rsid w:val="0096160B"/>
    <w:rsid w:val="00961FA1"/>
    <w:rsid w:val="00962F86"/>
    <w:rsid w:val="00965494"/>
    <w:rsid w:val="00967A87"/>
    <w:rsid w:val="0097020E"/>
    <w:rsid w:val="00976E6C"/>
    <w:rsid w:val="00980DB1"/>
    <w:rsid w:val="00980E6E"/>
    <w:rsid w:val="00981DA6"/>
    <w:rsid w:val="009823EB"/>
    <w:rsid w:val="00983498"/>
    <w:rsid w:val="00985908"/>
    <w:rsid w:val="00985E73"/>
    <w:rsid w:val="00990E3B"/>
    <w:rsid w:val="009911C8"/>
    <w:rsid w:val="00993C2B"/>
    <w:rsid w:val="00994CF3"/>
    <w:rsid w:val="0099718C"/>
    <w:rsid w:val="009A0016"/>
    <w:rsid w:val="009A022D"/>
    <w:rsid w:val="009A0AB2"/>
    <w:rsid w:val="009A0BE7"/>
    <w:rsid w:val="009A12FE"/>
    <w:rsid w:val="009A15E7"/>
    <w:rsid w:val="009A4575"/>
    <w:rsid w:val="009A517C"/>
    <w:rsid w:val="009A56E5"/>
    <w:rsid w:val="009A56EA"/>
    <w:rsid w:val="009A5872"/>
    <w:rsid w:val="009A6775"/>
    <w:rsid w:val="009A78B8"/>
    <w:rsid w:val="009B13DB"/>
    <w:rsid w:val="009B40F9"/>
    <w:rsid w:val="009B75EA"/>
    <w:rsid w:val="009B7813"/>
    <w:rsid w:val="009C0D9D"/>
    <w:rsid w:val="009C0DD3"/>
    <w:rsid w:val="009C1101"/>
    <w:rsid w:val="009C2154"/>
    <w:rsid w:val="009C228A"/>
    <w:rsid w:val="009C2A53"/>
    <w:rsid w:val="009C3163"/>
    <w:rsid w:val="009C3574"/>
    <w:rsid w:val="009C6B2B"/>
    <w:rsid w:val="009C6E02"/>
    <w:rsid w:val="009D18FE"/>
    <w:rsid w:val="009D1B0E"/>
    <w:rsid w:val="009D270D"/>
    <w:rsid w:val="009D3376"/>
    <w:rsid w:val="009D3F31"/>
    <w:rsid w:val="009D4256"/>
    <w:rsid w:val="009D5535"/>
    <w:rsid w:val="009D5BE4"/>
    <w:rsid w:val="009D6F1A"/>
    <w:rsid w:val="009D787D"/>
    <w:rsid w:val="009D7D8C"/>
    <w:rsid w:val="009E03FE"/>
    <w:rsid w:val="009E30ED"/>
    <w:rsid w:val="009E417A"/>
    <w:rsid w:val="009E5347"/>
    <w:rsid w:val="009E55E0"/>
    <w:rsid w:val="009E5ECE"/>
    <w:rsid w:val="009F0920"/>
    <w:rsid w:val="009F1620"/>
    <w:rsid w:val="009F24AF"/>
    <w:rsid w:val="009F31AD"/>
    <w:rsid w:val="009F470C"/>
    <w:rsid w:val="009F4BBB"/>
    <w:rsid w:val="009F50CB"/>
    <w:rsid w:val="009F6177"/>
    <w:rsid w:val="009F780E"/>
    <w:rsid w:val="00A02718"/>
    <w:rsid w:val="00A03045"/>
    <w:rsid w:val="00A04C9F"/>
    <w:rsid w:val="00A06B88"/>
    <w:rsid w:val="00A1201A"/>
    <w:rsid w:val="00A15B1C"/>
    <w:rsid w:val="00A15DA4"/>
    <w:rsid w:val="00A1612C"/>
    <w:rsid w:val="00A211C8"/>
    <w:rsid w:val="00A21E21"/>
    <w:rsid w:val="00A227F4"/>
    <w:rsid w:val="00A2296B"/>
    <w:rsid w:val="00A22EB9"/>
    <w:rsid w:val="00A24239"/>
    <w:rsid w:val="00A2425A"/>
    <w:rsid w:val="00A26B4F"/>
    <w:rsid w:val="00A2755E"/>
    <w:rsid w:val="00A27997"/>
    <w:rsid w:val="00A27E33"/>
    <w:rsid w:val="00A3092F"/>
    <w:rsid w:val="00A31BF9"/>
    <w:rsid w:val="00A334EB"/>
    <w:rsid w:val="00A33732"/>
    <w:rsid w:val="00A3479D"/>
    <w:rsid w:val="00A358F2"/>
    <w:rsid w:val="00A36A8E"/>
    <w:rsid w:val="00A37F7F"/>
    <w:rsid w:val="00A414FF"/>
    <w:rsid w:val="00A41D82"/>
    <w:rsid w:val="00A4259D"/>
    <w:rsid w:val="00A42912"/>
    <w:rsid w:val="00A43866"/>
    <w:rsid w:val="00A450EB"/>
    <w:rsid w:val="00A46051"/>
    <w:rsid w:val="00A466FF"/>
    <w:rsid w:val="00A473BB"/>
    <w:rsid w:val="00A47B36"/>
    <w:rsid w:val="00A504B9"/>
    <w:rsid w:val="00A51866"/>
    <w:rsid w:val="00A52192"/>
    <w:rsid w:val="00A5274B"/>
    <w:rsid w:val="00A52F24"/>
    <w:rsid w:val="00A53E89"/>
    <w:rsid w:val="00A54075"/>
    <w:rsid w:val="00A54411"/>
    <w:rsid w:val="00A63004"/>
    <w:rsid w:val="00A637E7"/>
    <w:rsid w:val="00A65160"/>
    <w:rsid w:val="00A66122"/>
    <w:rsid w:val="00A7244F"/>
    <w:rsid w:val="00A724B9"/>
    <w:rsid w:val="00A72BC4"/>
    <w:rsid w:val="00A72DA2"/>
    <w:rsid w:val="00A72F0C"/>
    <w:rsid w:val="00A73CC3"/>
    <w:rsid w:val="00A74359"/>
    <w:rsid w:val="00A747D2"/>
    <w:rsid w:val="00A749CA"/>
    <w:rsid w:val="00A74FCA"/>
    <w:rsid w:val="00A76544"/>
    <w:rsid w:val="00A767E5"/>
    <w:rsid w:val="00A778A0"/>
    <w:rsid w:val="00A80456"/>
    <w:rsid w:val="00A80711"/>
    <w:rsid w:val="00A82C5E"/>
    <w:rsid w:val="00A82D26"/>
    <w:rsid w:val="00A83C77"/>
    <w:rsid w:val="00A843D1"/>
    <w:rsid w:val="00A84F3D"/>
    <w:rsid w:val="00A8589E"/>
    <w:rsid w:val="00A8628A"/>
    <w:rsid w:val="00A876ED"/>
    <w:rsid w:val="00A92CC0"/>
    <w:rsid w:val="00A92DC5"/>
    <w:rsid w:val="00A93AC2"/>
    <w:rsid w:val="00A951F8"/>
    <w:rsid w:val="00A95768"/>
    <w:rsid w:val="00A961B5"/>
    <w:rsid w:val="00A9748F"/>
    <w:rsid w:val="00A97906"/>
    <w:rsid w:val="00A97D4F"/>
    <w:rsid w:val="00AA0A64"/>
    <w:rsid w:val="00AA290A"/>
    <w:rsid w:val="00AA4F98"/>
    <w:rsid w:val="00AA6C1E"/>
    <w:rsid w:val="00AA6FD0"/>
    <w:rsid w:val="00AA7ACF"/>
    <w:rsid w:val="00AB028C"/>
    <w:rsid w:val="00AB1AFC"/>
    <w:rsid w:val="00AB28FD"/>
    <w:rsid w:val="00AB308C"/>
    <w:rsid w:val="00AB577B"/>
    <w:rsid w:val="00AB7832"/>
    <w:rsid w:val="00AC235B"/>
    <w:rsid w:val="00AC288E"/>
    <w:rsid w:val="00AC5015"/>
    <w:rsid w:val="00AC5144"/>
    <w:rsid w:val="00AD13BE"/>
    <w:rsid w:val="00AD311A"/>
    <w:rsid w:val="00AD3488"/>
    <w:rsid w:val="00AD4B9E"/>
    <w:rsid w:val="00AD4BE6"/>
    <w:rsid w:val="00AD6DCE"/>
    <w:rsid w:val="00AD7876"/>
    <w:rsid w:val="00AD7ABE"/>
    <w:rsid w:val="00AE0484"/>
    <w:rsid w:val="00AE052B"/>
    <w:rsid w:val="00AE06C7"/>
    <w:rsid w:val="00AE444D"/>
    <w:rsid w:val="00AF124A"/>
    <w:rsid w:val="00AF31BB"/>
    <w:rsid w:val="00AF3D47"/>
    <w:rsid w:val="00AF5A60"/>
    <w:rsid w:val="00B01794"/>
    <w:rsid w:val="00B06912"/>
    <w:rsid w:val="00B07A6E"/>
    <w:rsid w:val="00B107CD"/>
    <w:rsid w:val="00B1197C"/>
    <w:rsid w:val="00B13709"/>
    <w:rsid w:val="00B1494E"/>
    <w:rsid w:val="00B16519"/>
    <w:rsid w:val="00B16573"/>
    <w:rsid w:val="00B16C61"/>
    <w:rsid w:val="00B16EE8"/>
    <w:rsid w:val="00B17A39"/>
    <w:rsid w:val="00B2179B"/>
    <w:rsid w:val="00B21D24"/>
    <w:rsid w:val="00B220E0"/>
    <w:rsid w:val="00B227DA"/>
    <w:rsid w:val="00B26412"/>
    <w:rsid w:val="00B26B67"/>
    <w:rsid w:val="00B3231A"/>
    <w:rsid w:val="00B329DE"/>
    <w:rsid w:val="00B340C6"/>
    <w:rsid w:val="00B43F2A"/>
    <w:rsid w:val="00B4581A"/>
    <w:rsid w:val="00B47B5D"/>
    <w:rsid w:val="00B47CC4"/>
    <w:rsid w:val="00B521C3"/>
    <w:rsid w:val="00B526BD"/>
    <w:rsid w:val="00B52ED7"/>
    <w:rsid w:val="00B547CF"/>
    <w:rsid w:val="00B560F3"/>
    <w:rsid w:val="00B57AB8"/>
    <w:rsid w:val="00B60559"/>
    <w:rsid w:val="00B60634"/>
    <w:rsid w:val="00B610C7"/>
    <w:rsid w:val="00B61583"/>
    <w:rsid w:val="00B616BA"/>
    <w:rsid w:val="00B6487B"/>
    <w:rsid w:val="00B67B6F"/>
    <w:rsid w:val="00B70266"/>
    <w:rsid w:val="00B70ABB"/>
    <w:rsid w:val="00B72901"/>
    <w:rsid w:val="00B74D09"/>
    <w:rsid w:val="00B77408"/>
    <w:rsid w:val="00B778AE"/>
    <w:rsid w:val="00B815BA"/>
    <w:rsid w:val="00B826B2"/>
    <w:rsid w:val="00B83FF1"/>
    <w:rsid w:val="00B8634B"/>
    <w:rsid w:val="00B866D1"/>
    <w:rsid w:val="00B9177E"/>
    <w:rsid w:val="00B91B45"/>
    <w:rsid w:val="00B91E9B"/>
    <w:rsid w:val="00B94992"/>
    <w:rsid w:val="00B95D85"/>
    <w:rsid w:val="00B96928"/>
    <w:rsid w:val="00BA075C"/>
    <w:rsid w:val="00BA087D"/>
    <w:rsid w:val="00BA1154"/>
    <w:rsid w:val="00BA1C23"/>
    <w:rsid w:val="00BA20D4"/>
    <w:rsid w:val="00BA2583"/>
    <w:rsid w:val="00BA27AA"/>
    <w:rsid w:val="00BA2997"/>
    <w:rsid w:val="00BA3E52"/>
    <w:rsid w:val="00BA43AF"/>
    <w:rsid w:val="00BA441C"/>
    <w:rsid w:val="00BA5909"/>
    <w:rsid w:val="00BA5F67"/>
    <w:rsid w:val="00BA7041"/>
    <w:rsid w:val="00BA7960"/>
    <w:rsid w:val="00BB0D3D"/>
    <w:rsid w:val="00BB1DD8"/>
    <w:rsid w:val="00BB210F"/>
    <w:rsid w:val="00BB23FD"/>
    <w:rsid w:val="00BB3209"/>
    <w:rsid w:val="00BC1592"/>
    <w:rsid w:val="00BC388A"/>
    <w:rsid w:val="00BC773A"/>
    <w:rsid w:val="00BC7B1D"/>
    <w:rsid w:val="00BC7C34"/>
    <w:rsid w:val="00BD05A8"/>
    <w:rsid w:val="00BD1F5D"/>
    <w:rsid w:val="00BD2379"/>
    <w:rsid w:val="00BD29C8"/>
    <w:rsid w:val="00BD31FB"/>
    <w:rsid w:val="00BD4E02"/>
    <w:rsid w:val="00BE0963"/>
    <w:rsid w:val="00BE0C01"/>
    <w:rsid w:val="00BE0FA7"/>
    <w:rsid w:val="00BE1F29"/>
    <w:rsid w:val="00BE216E"/>
    <w:rsid w:val="00BE34CB"/>
    <w:rsid w:val="00BE3FAB"/>
    <w:rsid w:val="00BE54BB"/>
    <w:rsid w:val="00BE66F6"/>
    <w:rsid w:val="00BE6C34"/>
    <w:rsid w:val="00BE6C89"/>
    <w:rsid w:val="00BE7751"/>
    <w:rsid w:val="00BF00BB"/>
    <w:rsid w:val="00BF2327"/>
    <w:rsid w:val="00BF5CCE"/>
    <w:rsid w:val="00BF783A"/>
    <w:rsid w:val="00BF7A59"/>
    <w:rsid w:val="00C01F95"/>
    <w:rsid w:val="00C01FE7"/>
    <w:rsid w:val="00C02B75"/>
    <w:rsid w:val="00C02F97"/>
    <w:rsid w:val="00C039AF"/>
    <w:rsid w:val="00C04059"/>
    <w:rsid w:val="00C06973"/>
    <w:rsid w:val="00C07AC2"/>
    <w:rsid w:val="00C12439"/>
    <w:rsid w:val="00C128FF"/>
    <w:rsid w:val="00C13849"/>
    <w:rsid w:val="00C13ADE"/>
    <w:rsid w:val="00C14C57"/>
    <w:rsid w:val="00C15130"/>
    <w:rsid w:val="00C15536"/>
    <w:rsid w:val="00C169E9"/>
    <w:rsid w:val="00C210B5"/>
    <w:rsid w:val="00C2204D"/>
    <w:rsid w:val="00C22F62"/>
    <w:rsid w:val="00C22F95"/>
    <w:rsid w:val="00C23CF7"/>
    <w:rsid w:val="00C251D9"/>
    <w:rsid w:val="00C26176"/>
    <w:rsid w:val="00C2797C"/>
    <w:rsid w:val="00C30867"/>
    <w:rsid w:val="00C31863"/>
    <w:rsid w:val="00C37C2D"/>
    <w:rsid w:val="00C45842"/>
    <w:rsid w:val="00C45C29"/>
    <w:rsid w:val="00C5407C"/>
    <w:rsid w:val="00C540B9"/>
    <w:rsid w:val="00C548A6"/>
    <w:rsid w:val="00C5574E"/>
    <w:rsid w:val="00C563C6"/>
    <w:rsid w:val="00C61746"/>
    <w:rsid w:val="00C64363"/>
    <w:rsid w:val="00C6448C"/>
    <w:rsid w:val="00C64D1A"/>
    <w:rsid w:val="00C64ED5"/>
    <w:rsid w:val="00C658F7"/>
    <w:rsid w:val="00C66502"/>
    <w:rsid w:val="00C66AE4"/>
    <w:rsid w:val="00C71092"/>
    <w:rsid w:val="00C71360"/>
    <w:rsid w:val="00C72A93"/>
    <w:rsid w:val="00C73455"/>
    <w:rsid w:val="00C7426F"/>
    <w:rsid w:val="00C7477B"/>
    <w:rsid w:val="00C75B2F"/>
    <w:rsid w:val="00C765CC"/>
    <w:rsid w:val="00C76EBF"/>
    <w:rsid w:val="00C809E7"/>
    <w:rsid w:val="00C80D59"/>
    <w:rsid w:val="00C82285"/>
    <w:rsid w:val="00C845D1"/>
    <w:rsid w:val="00C849F7"/>
    <w:rsid w:val="00C872C0"/>
    <w:rsid w:val="00C920C5"/>
    <w:rsid w:val="00C96591"/>
    <w:rsid w:val="00CA1336"/>
    <w:rsid w:val="00CA22E1"/>
    <w:rsid w:val="00CA2BF5"/>
    <w:rsid w:val="00CA3A82"/>
    <w:rsid w:val="00CA577F"/>
    <w:rsid w:val="00CA60DD"/>
    <w:rsid w:val="00CA72F3"/>
    <w:rsid w:val="00CA73B3"/>
    <w:rsid w:val="00CA79BA"/>
    <w:rsid w:val="00CB2238"/>
    <w:rsid w:val="00CB25AD"/>
    <w:rsid w:val="00CB2845"/>
    <w:rsid w:val="00CB672D"/>
    <w:rsid w:val="00CC1852"/>
    <w:rsid w:val="00CC29B4"/>
    <w:rsid w:val="00CC49AD"/>
    <w:rsid w:val="00CC6477"/>
    <w:rsid w:val="00CC6C69"/>
    <w:rsid w:val="00CC7B9B"/>
    <w:rsid w:val="00CD0435"/>
    <w:rsid w:val="00CD1577"/>
    <w:rsid w:val="00CD3936"/>
    <w:rsid w:val="00CD5792"/>
    <w:rsid w:val="00CD59DA"/>
    <w:rsid w:val="00CD5C80"/>
    <w:rsid w:val="00CD5CBD"/>
    <w:rsid w:val="00CD6D24"/>
    <w:rsid w:val="00CE0EF2"/>
    <w:rsid w:val="00CE3B28"/>
    <w:rsid w:val="00CE436F"/>
    <w:rsid w:val="00CE4C25"/>
    <w:rsid w:val="00CE60ED"/>
    <w:rsid w:val="00CE7F71"/>
    <w:rsid w:val="00CF011B"/>
    <w:rsid w:val="00CF03C2"/>
    <w:rsid w:val="00CF0E34"/>
    <w:rsid w:val="00CF1110"/>
    <w:rsid w:val="00CF29DE"/>
    <w:rsid w:val="00CF427B"/>
    <w:rsid w:val="00CF6911"/>
    <w:rsid w:val="00D01487"/>
    <w:rsid w:val="00D03BB4"/>
    <w:rsid w:val="00D05924"/>
    <w:rsid w:val="00D0601B"/>
    <w:rsid w:val="00D07209"/>
    <w:rsid w:val="00D11668"/>
    <w:rsid w:val="00D11887"/>
    <w:rsid w:val="00D14123"/>
    <w:rsid w:val="00D1477A"/>
    <w:rsid w:val="00D157B3"/>
    <w:rsid w:val="00D15893"/>
    <w:rsid w:val="00D1723A"/>
    <w:rsid w:val="00D17C27"/>
    <w:rsid w:val="00D24E55"/>
    <w:rsid w:val="00D24FC7"/>
    <w:rsid w:val="00D25450"/>
    <w:rsid w:val="00D25C7B"/>
    <w:rsid w:val="00D26365"/>
    <w:rsid w:val="00D309AE"/>
    <w:rsid w:val="00D31356"/>
    <w:rsid w:val="00D35609"/>
    <w:rsid w:val="00D35E75"/>
    <w:rsid w:val="00D41169"/>
    <w:rsid w:val="00D41DC9"/>
    <w:rsid w:val="00D41E2C"/>
    <w:rsid w:val="00D4249C"/>
    <w:rsid w:val="00D42909"/>
    <w:rsid w:val="00D4390A"/>
    <w:rsid w:val="00D43AED"/>
    <w:rsid w:val="00D44E7D"/>
    <w:rsid w:val="00D44FF3"/>
    <w:rsid w:val="00D45B14"/>
    <w:rsid w:val="00D500AB"/>
    <w:rsid w:val="00D543B7"/>
    <w:rsid w:val="00D54801"/>
    <w:rsid w:val="00D54B84"/>
    <w:rsid w:val="00D54C7C"/>
    <w:rsid w:val="00D56142"/>
    <w:rsid w:val="00D56D83"/>
    <w:rsid w:val="00D6018F"/>
    <w:rsid w:val="00D617EE"/>
    <w:rsid w:val="00D61D7A"/>
    <w:rsid w:val="00D638F9"/>
    <w:rsid w:val="00D64AD1"/>
    <w:rsid w:val="00D66CF9"/>
    <w:rsid w:val="00D66E0F"/>
    <w:rsid w:val="00D703B8"/>
    <w:rsid w:val="00D704F2"/>
    <w:rsid w:val="00D729D4"/>
    <w:rsid w:val="00D73F44"/>
    <w:rsid w:val="00D817C6"/>
    <w:rsid w:val="00D84FFF"/>
    <w:rsid w:val="00D873D3"/>
    <w:rsid w:val="00D87AF4"/>
    <w:rsid w:val="00D91A87"/>
    <w:rsid w:val="00D91D19"/>
    <w:rsid w:val="00D92616"/>
    <w:rsid w:val="00D92CD4"/>
    <w:rsid w:val="00D934E3"/>
    <w:rsid w:val="00D938C0"/>
    <w:rsid w:val="00D93C72"/>
    <w:rsid w:val="00D94BF5"/>
    <w:rsid w:val="00D960E0"/>
    <w:rsid w:val="00D974EE"/>
    <w:rsid w:val="00DA3A36"/>
    <w:rsid w:val="00DA406B"/>
    <w:rsid w:val="00DA4835"/>
    <w:rsid w:val="00DA4D42"/>
    <w:rsid w:val="00DA65B8"/>
    <w:rsid w:val="00DB0AD1"/>
    <w:rsid w:val="00DB21EC"/>
    <w:rsid w:val="00DB247C"/>
    <w:rsid w:val="00DB337C"/>
    <w:rsid w:val="00DB3DEB"/>
    <w:rsid w:val="00DB440A"/>
    <w:rsid w:val="00DB4E6D"/>
    <w:rsid w:val="00DB5C50"/>
    <w:rsid w:val="00DB62A6"/>
    <w:rsid w:val="00DB6881"/>
    <w:rsid w:val="00DC0908"/>
    <w:rsid w:val="00DC0CB2"/>
    <w:rsid w:val="00DC3CBC"/>
    <w:rsid w:val="00DC3CC2"/>
    <w:rsid w:val="00DC55EA"/>
    <w:rsid w:val="00DC6297"/>
    <w:rsid w:val="00DD1C3C"/>
    <w:rsid w:val="00DD4D56"/>
    <w:rsid w:val="00DD5976"/>
    <w:rsid w:val="00DD6033"/>
    <w:rsid w:val="00DD7BCE"/>
    <w:rsid w:val="00DE6437"/>
    <w:rsid w:val="00DE6C26"/>
    <w:rsid w:val="00DE71AF"/>
    <w:rsid w:val="00DF0195"/>
    <w:rsid w:val="00DF115A"/>
    <w:rsid w:val="00DF1B27"/>
    <w:rsid w:val="00DF2B09"/>
    <w:rsid w:val="00DF45C8"/>
    <w:rsid w:val="00DF4711"/>
    <w:rsid w:val="00DF4E18"/>
    <w:rsid w:val="00DF5344"/>
    <w:rsid w:val="00DF7100"/>
    <w:rsid w:val="00E00243"/>
    <w:rsid w:val="00E052B0"/>
    <w:rsid w:val="00E103FB"/>
    <w:rsid w:val="00E12A28"/>
    <w:rsid w:val="00E13141"/>
    <w:rsid w:val="00E1328F"/>
    <w:rsid w:val="00E13537"/>
    <w:rsid w:val="00E14282"/>
    <w:rsid w:val="00E16424"/>
    <w:rsid w:val="00E16A79"/>
    <w:rsid w:val="00E175A6"/>
    <w:rsid w:val="00E2099D"/>
    <w:rsid w:val="00E21FF7"/>
    <w:rsid w:val="00E22C97"/>
    <w:rsid w:val="00E236CD"/>
    <w:rsid w:val="00E23B92"/>
    <w:rsid w:val="00E23F07"/>
    <w:rsid w:val="00E25EE5"/>
    <w:rsid w:val="00E26507"/>
    <w:rsid w:val="00E30A33"/>
    <w:rsid w:val="00E314FF"/>
    <w:rsid w:val="00E32B49"/>
    <w:rsid w:val="00E32F7E"/>
    <w:rsid w:val="00E33687"/>
    <w:rsid w:val="00E33D51"/>
    <w:rsid w:val="00E34472"/>
    <w:rsid w:val="00E3483E"/>
    <w:rsid w:val="00E36A31"/>
    <w:rsid w:val="00E4167E"/>
    <w:rsid w:val="00E43023"/>
    <w:rsid w:val="00E43EF6"/>
    <w:rsid w:val="00E444F6"/>
    <w:rsid w:val="00E44B79"/>
    <w:rsid w:val="00E458E8"/>
    <w:rsid w:val="00E51AA9"/>
    <w:rsid w:val="00E51C3E"/>
    <w:rsid w:val="00E5260C"/>
    <w:rsid w:val="00E542B3"/>
    <w:rsid w:val="00E54E2A"/>
    <w:rsid w:val="00E55257"/>
    <w:rsid w:val="00E60710"/>
    <w:rsid w:val="00E6074E"/>
    <w:rsid w:val="00E616D9"/>
    <w:rsid w:val="00E631D3"/>
    <w:rsid w:val="00E63D56"/>
    <w:rsid w:val="00E704BF"/>
    <w:rsid w:val="00E71019"/>
    <w:rsid w:val="00E72ACC"/>
    <w:rsid w:val="00E755F7"/>
    <w:rsid w:val="00E767D5"/>
    <w:rsid w:val="00E77CB0"/>
    <w:rsid w:val="00E80419"/>
    <w:rsid w:val="00E81E0F"/>
    <w:rsid w:val="00E8273E"/>
    <w:rsid w:val="00E83325"/>
    <w:rsid w:val="00E8437E"/>
    <w:rsid w:val="00E8455A"/>
    <w:rsid w:val="00E86CDC"/>
    <w:rsid w:val="00E8778E"/>
    <w:rsid w:val="00E908A4"/>
    <w:rsid w:val="00E920F2"/>
    <w:rsid w:val="00E928D3"/>
    <w:rsid w:val="00E92F43"/>
    <w:rsid w:val="00E9466B"/>
    <w:rsid w:val="00E958CC"/>
    <w:rsid w:val="00E96EEB"/>
    <w:rsid w:val="00E96FF2"/>
    <w:rsid w:val="00E9774E"/>
    <w:rsid w:val="00EA05A6"/>
    <w:rsid w:val="00EA0F53"/>
    <w:rsid w:val="00EA2E6D"/>
    <w:rsid w:val="00EA5C9C"/>
    <w:rsid w:val="00EA6903"/>
    <w:rsid w:val="00EA7674"/>
    <w:rsid w:val="00EA7E30"/>
    <w:rsid w:val="00EB2410"/>
    <w:rsid w:val="00EB285B"/>
    <w:rsid w:val="00EB4B13"/>
    <w:rsid w:val="00EB4FAE"/>
    <w:rsid w:val="00EB521F"/>
    <w:rsid w:val="00EB5A86"/>
    <w:rsid w:val="00EB68BE"/>
    <w:rsid w:val="00EB693B"/>
    <w:rsid w:val="00EC02F0"/>
    <w:rsid w:val="00EC200B"/>
    <w:rsid w:val="00EC20D0"/>
    <w:rsid w:val="00EC3D1A"/>
    <w:rsid w:val="00EC4222"/>
    <w:rsid w:val="00EC6E55"/>
    <w:rsid w:val="00EC73D5"/>
    <w:rsid w:val="00ED0006"/>
    <w:rsid w:val="00ED26AE"/>
    <w:rsid w:val="00ED2EAB"/>
    <w:rsid w:val="00ED3441"/>
    <w:rsid w:val="00ED3857"/>
    <w:rsid w:val="00ED7608"/>
    <w:rsid w:val="00EE27BA"/>
    <w:rsid w:val="00EE7129"/>
    <w:rsid w:val="00EF3EAC"/>
    <w:rsid w:val="00EF44E3"/>
    <w:rsid w:val="00EF6D68"/>
    <w:rsid w:val="00F01092"/>
    <w:rsid w:val="00F01B21"/>
    <w:rsid w:val="00F02149"/>
    <w:rsid w:val="00F0260F"/>
    <w:rsid w:val="00F02795"/>
    <w:rsid w:val="00F02BFF"/>
    <w:rsid w:val="00F060EA"/>
    <w:rsid w:val="00F063CC"/>
    <w:rsid w:val="00F06476"/>
    <w:rsid w:val="00F1052D"/>
    <w:rsid w:val="00F109B8"/>
    <w:rsid w:val="00F1748D"/>
    <w:rsid w:val="00F205EC"/>
    <w:rsid w:val="00F21445"/>
    <w:rsid w:val="00F21714"/>
    <w:rsid w:val="00F2187A"/>
    <w:rsid w:val="00F22F34"/>
    <w:rsid w:val="00F308AF"/>
    <w:rsid w:val="00F30E52"/>
    <w:rsid w:val="00F3135B"/>
    <w:rsid w:val="00F318B6"/>
    <w:rsid w:val="00F31D5F"/>
    <w:rsid w:val="00F33FA9"/>
    <w:rsid w:val="00F34DA5"/>
    <w:rsid w:val="00F366D3"/>
    <w:rsid w:val="00F37034"/>
    <w:rsid w:val="00F400AD"/>
    <w:rsid w:val="00F41646"/>
    <w:rsid w:val="00F4198C"/>
    <w:rsid w:val="00F422E9"/>
    <w:rsid w:val="00F432D1"/>
    <w:rsid w:val="00F4426B"/>
    <w:rsid w:val="00F468FA"/>
    <w:rsid w:val="00F47157"/>
    <w:rsid w:val="00F47A23"/>
    <w:rsid w:val="00F47C43"/>
    <w:rsid w:val="00F50604"/>
    <w:rsid w:val="00F50FE1"/>
    <w:rsid w:val="00F52C2D"/>
    <w:rsid w:val="00F532E9"/>
    <w:rsid w:val="00F5361E"/>
    <w:rsid w:val="00F57540"/>
    <w:rsid w:val="00F6236C"/>
    <w:rsid w:val="00F6384E"/>
    <w:rsid w:val="00F6446E"/>
    <w:rsid w:val="00F677D0"/>
    <w:rsid w:val="00F67B03"/>
    <w:rsid w:val="00F70384"/>
    <w:rsid w:val="00F7062A"/>
    <w:rsid w:val="00F71751"/>
    <w:rsid w:val="00F72159"/>
    <w:rsid w:val="00F722EC"/>
    <w:rsid w:val="00F76C21"/>
    <w:rsid w:val="00F772DA"/>
    <w:rsid w:val="00F80A22"/>
    <w:rsid w:val="00F8124A"/>
    <w:rsid w:val="00F815B4"/>
    <w:rsid w:val="00F82141"/>
    <w:rsid w:val="00F821B4"/>
    <w:rsid w:val="00F83E7D"/>
    <w:rsid w:val="00F87F8F"/>
    <w:rsid w:val="00F91666"/>
    <w:rsid w:val="00F9250F"/>
    <w:rsid w:val="00F94346"/>
    <w:rsid w:val="00F94DBF"/>
    <w:rsid w:val="00F97FBB"/>
    <w:rsid w:val="00FA076C"/>
    <w:rsid w:val="00FA0FEA"/>
    <w:rsid w:val="00FA2B29"/>
    <w:rsid w:val="00FA39F8"/>
    <w:rsid w:val="00FA4350"/>
    <w:rsid w:val="00FA4BCD"/>
    <w:rsid w:val="00FA72E4"/>
    <w:rsid w:val="00FA7EA6"/>
    <w:rsid w:val="00FB082C"/>
    <w:rsid w:val="00FB3EBA"/>
    <w:rsid w:val="00FB734E"/>
    <w:rsid w:val="00FC059D"/>
    <w:rsid w:val="00FC16A0"/>
    <w:rsid w:val="00FC17F6"/>
    <w:rsid w:val="00FC327E"/>
    <w:rsid w:val="00FC36C2"/>
    <w:rsid w:val="00FC4C6E"/>
    <w:rsid w:val="00FC633F"/>
    <w:rsid w:val="00FC6EA8"/>
    <w:rsid w:val="00FD1389"/>
    <w:rsid w:val="00FD1DC8"/>
    <w:rsid w:val="00FD4E7F"/>
    <w:rsid w:val="00FD6B43"/>
    <w:rsid w:val="00FD7603"/>
    <w:rsid w:val="00FE121F"/>
    <w:rsid w:val="00FE275A"/>
    <w:rsid w:val="00FE3143"/>
    <w:rsid w:val="00FE3771"/>
    <w:rsid w:val="00FE3CBD"/>
    <w:rsid w:val="00FF4C76"/>
    <w:rsid w:val="00FF5ED2"/>
    <w:rsid w:val="00FF6232"/>
    <w:rsid w:val="00FF79A9"/>
    <w:rsid w:val="00FF7E2A"/>
    <w:rsid w:val="01037EC3"/>
    <w:rsid w:val="010E4C5D"/>
    <w:rsid w:val="011419D2"/>
    <w:rsid w:val="01151973"/>
    <w:rsid w:val="01197CE1"/>
    <w:rsid w:val="011E457E"/>
    <w:rsid w:val="01260B21"/>
    <w:rsid w:val="01284C10"/>
    <w:rsid w:val="012C34E4"/>
    <w:rsid w:val="012F4A53"/>
    <w:rsid w:val="01382669"/>
    <w:rsid w:val="01395018"/>
    <w:rsid w:val="01573B13"/>
    <w:rsid w:val="015C10C4"/>
    <w:rsid w:val="015E6237"/>
    <w:rsid w:val="016565E0"/>
    <w:rsid w:val="016C0FA1"/>
    <w:rsid w:val="016E5000"/>
    <w:rsid w:val="01751E00"/>
    <w:rsid w:val="017F323C"/>
    <w:rsid w:val="018C0157"/>
    <w:rsid w:val="019B2A6C"/>
    <w:rsid w:val="01A47995"/>
    <w:rsid w:val="01B74094"/>
    <w:rsid w:val="01B87FD5"/>
    <w:rsid w:val="01BB5FC7"/>
    <w:rsid w:val="01BE0AD1"/>
    <w:rsid w:val="01D06A8D"/>
    <w:rsid w:val="01E45C77"/>
    <w:rsid w:val="01E96738"/>
    <w:rsid w:val="01F40602"/>
    <w:rsid w:val="020822B3"/>
    <w:rsid w:val="020D2BFE"/>
    <w:rsid w:val="022E2D68"/>
    <w:rsid w:val="0233363E"/>
    <w:rsid w:val="023826D0"/>
    <w:rsid w:val="023952A1"/>
    <w:rsid w:val="023B4E7B"/>
    <w:rsid w:val="023C1331"/>
    <w:rsid w:val="023C37B3"/>
    <w:rsid w:val="023C4E17"/>
    <w:rsid w:val="02496A91"/>
    <w:rsid w:val="02516FD7"/>
    <w:rsid w:val="0255313F"/>
    <w:rsid w:val="025C2995"/>
    <w:rsid w:val="026414E8"/>
    <w:rsid w:val="02684FE7"/>
    <w:rsid w:val="026A4134"/>
    <w:rsid w:val="02736455"/>
    <w:rsid w:val="027B5816"/>
    <w:rsid w:val="028644D3"/>
    <w:rsid w:val="02873A6B"/>
    <w:rsid w:val="029770EC"/>
    <w:rsid w:val="029815D7"/>
    <w:rsid w:val="02992350"/>
    <w:rsid w:val="029F025E"/>
    <w:rsid w:val="02A05E8C"/>
    <w:rsid w:val="02A56E89"/>
    <w:rsid w:val="02AA6DBA"/>
    <w:rsid w:val="02AD119A"/>
    <w:rsid w:val="02B16289"/>
    <w:rsid w:val="02BD0CBE"/>
    <w:rsid w:val="02C056C9"/>
    <w:rsid w:val="02C3663D"/>
    <w:rsid w:val="02C5676D"/>
    <w:rsid w:val="02D0202C"/>
    <w:rsid w:val="02D74B03"/>
    <w:rsid w:val="02DD635A"/>
    <w:rsid w:val="02EA1944"/>
    <w:rsid w:val="02F45ACA"/>
    <w:rsid w:val="02F80FC0"/>
    <w:rsid w:val="03047670"/>
    <w:rsid w:val="03076553"/>
    <w:rsid w:val="030A7672"/>
    <w:rsid w:val="0314203E"/>
    <w:rsid w:val="03161B57"/>
    <w:rsid w:val="031A6E6C"/>
    <w:rsid w:val="032558AB"/>
    <w:rsid w:val="032F673F"/>
    <w:rsid w:val="03342D85"/>
    <w:rsid w:val="033A2A0D"/>
    <w:rsid w:val="035110AD"/>
    <w:rsid w:val="035156E0"/>
    <w:rsid w:val="03531A1D"/>
    <w:rsid w:val="0356003D"/>
    <w:rsid w:val="035D4076"/>
    <w:rsid w:val="03611F69"/>
    <w:rsid w:val="03614355"/>
    <w:rsid w:val="03622654"/>
    <w:rsid w:val="036672C9"/>
    <w:rsid w:val="0373789E"/>
    <w:rsid w:val="03792968"/>
    <w:rsid w:val="037B0BBB"/>
    <w:rsid w:val="037B15C3"/>
    <w:rsid w:val="037E09DE"/>
    <w:rsid w:val="037F50CD"/>
    <w:rsid w:val="03862A77"/>
    <w:rsid w:val="03863A4F"/>
    <w:rsid w:val="039173E9"/>
    <w:rsid w:val="03947DA7"/>
    <w:rsid w:val="03982047"/>
    <w:rsid w:val="03A6166D"/>
    <w:rsid w:val="03A639DC"/>
    <w:rsid w:val="03AB7869"/>
    <w:rsid w:val="03B07A7E"/>
    <w:rsid w:val="03B93F33"/>
    <w:rsid w:val="03BD206A"/>
    <w:rsid w:val="03C573B9"/>
    <w:rsid w:val="03CF502B"/>
    <w:rsid w:val="03D755D9"/>
    <w:rsid w:val="03D903A1"/>
    <w:rsid w:val="03DA2A74"/>
    <w:rsid w:val="03ED3C63"/>
    <w:rsid w:val="03F6494A"/>
    <w:rsid w:val="03F7414F"/>
    <w:rsid w:val="04073BE6"/>
    <w:rsid w:val="040F0873"/>
    <w:rsid w:val="04115E30"/>
    <w:rsid w:val="042635EF"/>
    <w:rsid w:val="04287C94"/>
    <w:rsid w:val="042B15DB"/>
    <w:rsid w:val="04305A92"/>
    <w:rsid w:val="04391A7E"/>
    <w:rsid w:val="043F2F66"/>
    <w:rsid w:val="044161D0"/>
    <w:rsid w:val="04573296"/>
    <w:rsid w:val="045E5922"/>
    <w:rsid w:val="045F4DED"/>
    <w:rsid w:val="04604A2B"/>
    <w:rsid w:val="046B192D"/>
    <w:rsid w:val="046E5C18"/>
    <w:rsid w:val="0470431E"/>
    <w:rsid w:val="047D5906"/>
    <w:rsid w:val="048416E6"/>
    <w:rsid w:val="04885D36"/>
    <w:rsid w:val="048D3353"/>
    <w:rsid w:val="048E7480"/>
    <w:rsid w:val="04912063"/>
    <w:rsid w:val="04A2438B"/>
    <w:rsid w:val="04A838C7"/>
    <w:rsid w:val="04A84E8C"/>
    <w:rsid w:val="04AB74EA"/>
    <w:rsid w:val="04AD7905"/>
    <w:rsid w:val="04C512E6"/>
    <w:rsid w:val="04C86E57"/>
    <w:rsid w:val="04CB4231"/>
    <w:rsid w:val="04DF1670"/>
    <w:rsid w:val="04DF6742"/>
    <w:rsid w:val="04E37CAB"/>
    <w:rsid w:val="04F04D33"/>
    <w:rsid w:val="04F30D22"/>
    <w:rsid w:val="050F04DE"/>
    <w:rsid w:val="051660EF"/>
    <w:rsid w:val="0519082B"/>
    <w:rsid w:val="052A3C08"/>
    <w:rsid w:val="052B7A72"/>
    <w:rsid w:val="052D3A02"/>
    <w:rsid w:val="052F6CFA"/>
    <w:rsid w:val="0530233A"/>
    <w:rsid w:val="054543D7"/>
    <w:rsid w:val="055521BA"/>
    <w:rsid w:val="05585942"/>
    <w:rsid w:val="05655A24"/>
    <w:rsid w:val="056D3997"/>
    <w:rsid w:val="056D6047"/>
    <w:rsid w:val="057E34A0"/>
    <w:rsid w:val="057F4832"/>
    <w:rsid w:val="057F7BE5"/>
    <w:rsid w:val="058C092D"/>
    <w:rsid w:val="05946408"/>
    <w:rsid w:val="059B514A"/>
    <w:rsid w:val="05A03755"/>
    <w:rsid w:val="05A65AB5"/>
    <w:rsid w:val="05A92A1D"/>
    <w:rsid w:val="05AA75A3"/>
    <w:rsid w:val="05B9190B"/>
    <w:rsid w:val="05BF6EA2"/>
    <w:rsid w:val="05C13570"/>
    <w:rsid w:val="05DB2798"/>
    <w:rsid w:val="05DE53F2"/>
    <w:rsid w:val="05DE66BE"/>
    <w:rsid w:val="05DF5CAA"/>
    <w:rsid w:val="05E32322"/>
    <w:rsid w:val="05E60E82"/>
    <w:rsid w:val="05E671F7"/>
    <w:rsid w:val="05EB2603"/>
    <w:rsid w:val="05EE4670"/>
    <w:rsid w:val="05F03CF9"/>
    <w:rsid w:val="05F17846"/>
    <w:rsid w:val="05F30FDF"/>
    <w:rsid w:val="060A4716"/>
    <w:rsid w:val="06143FB0"/>
    <w:rsid w:val="06162F07"/>
    <w:rsid w:val="06206D4E"/>
    <w:rsid w:val="062525EC"/>
    <w:rsid w:val="06331FFA"/>
    <w:rsid w:val="06417596"/>
    <w:rsid w:val="064779D4"/>
    <w:rsid w:val="06547860"/>
    <w:rsid w:val="06586EC3"/>
    <w:rsid w:val="06591F08"/>
    <w:rsid w:val="06686D84"/>
    <w:rsid w:val="06736728"/>
    <w:rsid w:val="067A735F"/>
    <w:rsid w:val="067E3D0F"/>
    <w:rsid w:val="068B0680"/>
    <w:rsid w:val="068C7894"/>
    <w:rsid w:val="069D79CB"/>
    <w:rsid w:val="06A1647A"/>
    <w:rsid w:val="06A3711F"/>
    <w:rsid w:val="06A708EE"/>
    <w:rsid w:val="06AB11B7"/>
    <w:rsid w:val="06B9391F"/>
    <w:rsid w:val="06C54019"/>
    <w:rsid w:val="06CD0B44"/>
    <w:rsid w:val="06E4782C"/>
    <w:rsid w:val="06EA2F20"/>
    <w:rsid w:val="06EE5A2D"/>
    <w:rsid w:val="06F35A5D"/>
    <w:rsid w:val="070A6CE7"/>
    <w:rsid w:val="070F5D71"/>
    <w:rsid w:val="070F7487"/>
    <w:rsid w:val="07162767"/>
    <w:rsid w:val="0727299A"/>
    <w:rsid w:val="07281E6C"/>
    <w:rsid w:val="07282543"/>
    <w:rsid w:val="07290CBE"/>
    <w:rsid w:val="07491710"/>
    <w:rsid w:val="0749650E"/>
    <w:rsid w:val="074F3A0C"/>
    <w:rsid w:val="07590C16"/>
    <w:rsid w:val="07665311"/>
    <w:rsid w:val="076A196A"/>
    <w:rsid w:val="07741065"/>
    <w:rsid w:val="078D59D2"/>
    <w:rsid w:val="07947E81"/>
    <w:rsid w:val="07A1518E"/>
    <w:rsid w:val="07A45B0C"/>
    <w:rsid w:val="07A61645"/>
    <w:rsid w:val="07A87CE1"/>
    <w:rsid w:val="07BB058C"/>
    <w:rsid w:val="07CC56E3"/>
    <w:rsid w:val="07D71CEE"/>
    <w:rsid w:val="07D94A4E"/>
    <w:rsid w:val="07E03D3B"/>
    <w:rsid w:val="07E32246"/>
    <w:rsid w:val="07E8637B"/>
    <w:rsid w:val="07EA126F"/>
    <w:rsid w:val="07F13920"/>
    <w:rsid w:val="07F43A9E"/>
    <w:rsid w:val="07F5453E"/>
    <w:rsid w:val="07F66A92"/>
    <w:rsid w:val="07FC1C4A"/>
    <w:rsid w:val="07FE1B6A"/>
    <w:rsid w:val="08073184"/>
    <w:rsid w:val="08104BFB"/>
    <w:rsid w:val="0813072F"/>
    <w:rsid w:val="08142866"/>
    <w:rsid w:val="08216A16"/>
    <w:rsid w:val="082920BD"/>
    <w:rsid w:val="08422707"/>
    <w:rsid w:val="084B6C7C"/>
    <w:rsid w:val="085E35AA"/>
    <w:rsid w:val="08650FA7"/>
    <w:rsid w:val="08785772"/>
    <w:rsid w:val="087D62BA"/>
    <w:rsid w:val="08872ABC"/>
    <w:rsid w:val="088A1E83"/>
    <w:rsid w:val="08902126"/>
    <w:rsid w:val="089F6321"/>
    <w:rsid w:val="08AB13FD"/>
    <w:rsid w:val="08B35BF9"/>
    <w:rsid w:val="08B650C6"/>
    <w:rsid w:val="08B74224"/>
    <w:rsid w:val="08C573BE"/>
    <w:rsid w:val="08D61E95"/>
    <w:rsid w:val="08F04E07"/>
    <w:rsid w:val="08F44A05"/>
    <w:rsid w:val="08FC4724"/>
    <w:rsid w:val="090048B1"/>
    <w:rsid w:val="09023ED9"/>
    <w:rsid w:val="09033A27"/>
    <w:rsid w:val="09073848"/>
    <w:rsid w:val="09110D6F"/>
    <w:rsid w:val="09197006"/>
    <w:rsid w:val="091F56BE"/>
    <w:rsid w:val="093E76C7"/>
    <w:rsid w:val="09457ED1"/>
    <w:rsid w:val="09491428"/>
    <w:rsid w:val="09493C77"/>
    <w:rsid w:val="094C1CA7"/>
    <w:rsid w:val="095004ED"/>
    <w:rsid w:val="095253C7"/>
    <w:rsid w:val="09585C27"/>
    <w:rsid w:val="09623040"/>
    <w:rsid w:val="096315C9"/>
    <w:rsid w:val="096878A0"/>
    <w:rsid w:val="09690A9E"/>
    <w:rsid w:val="096A2A5F"/>
    <w:rsid w:val="096F7758"/>
    <w:rsid w:val="097221BB"/>
    <w:rsid w:val="09773B45"/>
    <w:rsid w:val="097C284C"/>
    <w:rsid w:val="097E4761"/>
    <w:rsid w:val="09851D04"/>
    <w:rsid w:val="09866D8A"/>
    <w:rsid w:val="098F26D8"/>
    <w:rsid w:val="098F57B6"/>
    <w:rsid w:val="09942234"/>
    <w:rsid w:val="09984B82"/>
    <w:rsid w:val="099B04E0"/>
    <w:rsid w:val="099E77A8"/>
    <w:rsid w:val="09AB168B"/>
    <w:rsid w:val="09AD6395"/>
    <w:rsid w:val="09BB362B"/>
    <w:rsid w:val="09C062F3"/>
    <w:rsid w:val="09CD631A"/>
    <w:rsid w:val="09D84F28"/>
    <w:rsid w:val="09E14EF2"/>
    <w:rsid w:val="09E151BF"/>
    <w:rsid w:val="09E50DE3"/>
    <w:rsid w:val="09E638BB"/>
    <w:rsid w:val="09F342F1"/>
    <w:rsid w:val="09F95D68"/>
    <w:rsid w:val="0A027367"/>
    <w:rsid w:val="0A034284"/>
    <w:rsid w:val="0A03446D"/>
    <w:rsid w:val="0A0524E6"/>
    <w:rsid w:val="0A0D2C60"/>
    <w:rsid w:val="0A0E14C0"/>
    <w:rsid w:val="0A144571"/>
    <w:rsid w:val="0A167B6F"/>
    <w:rsid w:val="0A1C36D3"/>
    <w:rsid w:val="0A1C6ACA"/>
    <w:rsid w:val="0A1E2DC8"/>
    <w:rsid w:val="0A442A3C"/>
    <w:rsid w:val="0A477B56"/>
    <w:rsid w:val="0A4964A0"/>
    <w:rsid w:val="0A496ADC"/>
    <w:rsid w:val="0A53248C"/>
    <w:rsid w:val="0A54111B"/>
    <w:rsid w:val="0A551699"/>
    <w:rsid w:val="0A624FB9"/>
    <w:rsid w:val="0A627F2E"/>
    <w:rsid w:val="0A64307E"/>
    <w:rsid w:val="0A656D79"/>
    <w:rsid w:val="0A6B6859"/>
    <w:rsid w:val="0A7C5DC6"/>
    <w:rsid w:val="0A92134C"/>
    <w:rsid w:val="0AB43808"/>
    <w:rsid w:val="0AB865F0"/>
    <w:rsid w:val="0AC73FC8"/>
    <w:rsid w:val="0ACD62B4"/>
    <w:rsid w:val="0ACF7538"/>
    <w:rsid w:val="0ADD2DF0"/>
    <w:rsid w:val="0AE97B7D"/>
    <w:rsid w:val="0AED5EC7"/>
    <w:rsid w:val="0AEE3D69"/>
    <w:rsid w:val="0AFE2A9E"/>
    <w:rsid w:val="0AFF18A8"/>
    <w:rsid w:val="0B0A12A5"/>
    <w:rsid w:val="0B0A6548"/>
    <w:rsid w:val="0B2726DD"/>
    <w:rsid w:val="0B2B4846"/>
    <w:rsid w:val="0B3D6AFD"/>
    <w:rsid w:val="0B431D19"/>
    <w:rsid w:val="0B5503CF"/>
    <w:rsid w:val="0B596729"/>
    <w:rsid w:val="0B5E078C"/>
    <w:rsid w:val="0B5E289E"/>
    <w:rsid w:val="0B612388"/>
    <w:rsid w:val="0B622721"/>
    <w:rsid w:val="0B665C63"/>
    <w:rsid w:val="0B682CAB"/>
    <w:rsid w:val="0B6C4598"/>
    <w:rsid w:val="0B7E4664"/>
    <w:rsid w:val="0B847BF9"/>
    <w:rsid w:val="0B861133"/>
    <w:rsid w:val="0B8C2821"/>
    <w:rsid w:val="0B8E64DB"/>
    <w:rsid w:val="0B915CDA"/>
    <w:rsid w:val="0B9432B1"/>
    <w:rsid w:val="0B984D8F"/>
    <w:rsid w:val="0BA12573"/>
    <w:rsid w:val="0BB55C09"/>
    <w:rsid w:val="0BBE4877"/>
    <w:rsid w:val="0BC155DA"/>
    <w:rsid w:val="0BCE61BD"/>
    <w:rsid w:val="0BCF2526"/>
    <w:rsid w:val="0BD2521C"/>
    <w:rsid w:val="0BD972DE"/>
    <w:rsid w:val="0BE80927"/>
    <w:rsid w:val="0BF27BA3"/>
    <w:rsid w:val="0BFE314C"/>
    <w:rsid w:val="0C01734C"/>
    <w:rsid w:val="0C0E410A"/>
    <w:rsid w:val="0C100CB6"/>
    <w:rsid w:val="0C152355"/>
    <w:rsid w:val="0C1A2A3A"/>
    <w:rsid w:val="0C1F1AAD"/>
    <w:rsid w:val="0C234ECC"/>
    <w:rsid w:val="0C281B36"/>
    <w:rsid w:val="0C28399C"/>
    <w:rsid w:val="0C2C0DB3"/>
    <w:rsid w:val="0C2D5BC2"/>
    <w:rsid w:val="0C335E58"/>
    <w:rsid w:val="0C3E35F3"/>
    <w:rsid w:val="0C414F19"/>
    <w:rsid w:val="0C431604"/>
    <w:rsid w:val="0C467474"/>
    <w:rsid w:val="0C476113"/>
    <w:rsid w:val="0C501BE0"/>
    <w:rsid w:val="0C5662DC"/>
    <w:rsid w:val="0C577D4B"/>
    <w:rsid w:val="0C5E2E99"/>
    <w:rsid w:val="0C5F5D02"/>
    <w:rsid w:val="0C653CD4"/>
    <w:rsid w:val="0C687EBD"/>
    <w:rsid w:val="0C7559B9"/>
    <w:rsid w:val="0C7C2DA5"/>
    <w:rsid w:val="0C831895"/>
    <w:rsid w:val="0C832D94"/>
    <w:rsid w:val="0C87217C"/>
    <w:rsid w:val="0C8E44C1"/>
    <w:rsid w:val="0C917685"/>
    <w:rsid w:val="0C9763CC"/>
    <w:rsid w:val="0C9E0179"/>
    <w:rsid w:val="0CA74961"/>
    <w:rsid w:val="0CAC2533"/>
    <w:rsid w:val="0CB8715A"/>
    <w:rsid w:val="0CBE5C9D"/>
    <w:rsid w:val="0CC954FA"/>
    <w:rsid w:val="0CD66359"/>
    <w:rsid w:val="0CE06513"/>
    <w:rsid w:val="0CEA528C"/>
    <w:rsid w:val="0CF76D88"/>
    <w:rsid w:val="0CFE0DC7"/>
    <w:rsid w:val="0CFE28C0"/>
    <w:rsid w:val="0D003A74"/>
    <w:rsid w:val="0D0A7152"/>
    <w:rsid w:val="0D0F1397"/>
    <w:rsid w:val="0D1523BB"/>
    <w:rsid w:val="0D1859DF"/>
    <w:rsid w:val="0D231B0D"/>
    <w:rsid w:val="0D3E2322"/>
    <w:rsid w:val="0D4106F3"/>
    <w:rsid w:val="0D4903E8"/>
    <w:rsid w:val="0D570673"/>
    <w:rsid w:val="0D5B6CDF"/>
    <w:rsid w:val="0D646464"/>
    <w:rsid w:val="0D6F1ACD"/>
    <w:rsid w:val="0D7E2891"/>
    <w:rsid w:val="0D895F1D"/>
    <w:rsid w:val="0D9F2503"/>
    <w:rsid w:val="0DA52F58"/>
    <w:rsid w:val="0DA90E87"/>
    <w:rsid w:val="0DB42479"/>
    <w:rsid w:val="0DB9692C"/>
    <w:rsid w:val="0DBC069B"/>
    <w:rsid w:val="0DC418BD"/>
    <w:rsid w:val="0DC70D2E"/>
    <w:rsid w:val="0DDF16DA"/>
    <w:rsid w:val="0DEB3535"/>
    <w:rsid w:val="0DF15F10"/>
    <w:rsid w:val="0DF349B7"/>
    <w:rsid w:val="0DF913EB"/>
    <w:rsid w:val="0DFE5C64"/>
    <w:rsid w:val="0E013110"/>
    <w:rsid w:val="0E024983"/>
    <w:rsid w:val="0E062452"/>
    <w:rsid w:val="0E06374D"/>
    <w:rsid w:val="0E0D6658"/>
    <w:rsid w:val="0E0F6090"/>
    <w:rsid w:val="0E152630"/>
    <w:rsid w:val="0E1B514C"/>
    <w:rsid w:val="0E345571"/>
    <w:rsid w:val="0E357AF6"/>
    <w:rsid w:val="0E4232A3"/>
    <w:rsid w:val="0E49532C"/>
    <w:rsid w:val="0E4D54B9"/>
    <w:rsid w:val="0E51461C"/>
    <w:rsid w:val="0E515D90"/>
    <w:rsid w:val="0E5F5BBD"/>
    <w:rsid w:val="0E6A354D"/>
    <w:rsid w:val="0E6D2AA6"/>
    <w:rsid w:val="0E733C9C"/>
    <w:rsid w:val="0E76426C"/>
    <w:rsid w:val="0E785E28"/>
    <w:rsid w:val="0E7F2E79"/>
    <w:rsid w:val="0E823566"/>
    <w:rsid w:val="0E826642"/>
    <w:rsid w:val="0E876E15"/>
    <w:rsid w:val="0E941B37"/>
    <w:rsid w:val="0E97498E"/>
    <w:rsid w:val="0E982BF1"/>
    <w:rsid w:val="0E985263"/>
    <w:rsid w:val="0E9B0C68"/>
    <w:rsid w:val="0E9C0543"/>
    <w:rsid w:val="0E9E667F"/>
    <w:rsid w:val="0EA5702D"/>
    <w:rsid w:val="0EA81EED"/>
    <w:rsid w:val="0EA83095"/>
    <w:rsid w:val="0EAB2B34"/>
    <w:rsid w:val="0EAC58A9"/>
    <w:rsid w:val="0EB651CA"/>
    <w:rsid w:val="0EB93B29"/>
    <w:rsid w:val="0ECC1ACA"/>
    <w:rsid w:val="0EDE25BB"/>
    <w:rsid w:val="0EE03DDB"/>
    <w:rsid w:val="0EE65678"/>
    <w:rsid w:val="0EEE599D"/>
    <w:rsid w:val="0EFF7C9F"/>
    <w:rsid w:val="0F0860E9"/>
    <w:rsid w:val="0F0E4D4D"/>
    <w:rsid w:val="0F0F0CC3"/>
    <w:rsid w:val="0F0F2D5A"/>
    <w:rsid w:val="0F133CC6"/>
    <w:rsid w:val="0F1367BD"/>
    <w:rsid w:val="0F14351C"/>
    <w:rsid w:val="0F165EF6"/>
    <w:rsid w:val="0F3A5C19"/>
    <w:rsid w:val="0F4632F8"/>
    <w:rsid w:val="0F5B2AC5"/>
    <w:rsid w:val="0F651880"/>
    <w:rsid w:val="0F653884"/>
    <w:rsid w:val="0F665BC7"/>
    <w:rsid w:val="0F706100"/>
    <w:rsid w:val="0F7A3F04"/>
    <w:rsid w:val="0F7E31F1"/>
    <w:rsid w:val="0F8D7C4A"/>
    <w:rsid w:val="0FA26AAE"/>
    <w:rsid w:val="0FA86913"/>
    <w:rsid w:val="0FB35B99"/>
    <w:rsid w:val="0FBC60E1"/>
    <w:rsid w:val="0FBE3403"/>
    <w:rsid w:val="0FD31CC7"/>
    <w:rsid w:val="0FD62B7A"/>
    <w:rsid w:val="0FDB16E8"/>
    <w:rsid w:val="0FDD163C"/>
    <w:rsid w:val="0FE02DBB"/>
    <w:rsid w:val="0FE5344B"/>
    <w:rsid w:val="0FE67B78"/>
    <w:rsid w:val="0FEC75B7"/>
    <w:rsid w:val="0FF22FB9"/>
    <w:rsid w:val="0FF512EB"/>
    <w:rsid w:val="10020045"/>
    <w:rsid w:val="10032E77"/>
    <w:rsid w:val="10055109"/>
    <w:rsid w:val="10056BCE"/>
    <w:rsid w:val="10075DEA"/>
    <w:rsid w:val="10260EB5"/>
    <w:rsid w:val="10260F59"/>
    <w:rsid w:val="10292B80"/>
    <w:rsid w:val="10321608"/>
    <w:rsid w:val="103F33B2"/>
    <w:rsid w:val="10457700"/>
    <w:rsid w:val="104C5B6F"/>
    <w:rsid w:val="105B24CF"/>
    <w:rsid w:val="105C0E07"/>
    <w:rsid w:val="10776CE9"/>
    <w:rsid w:val="107B5111"/>
    <w:rsid w:val="107D0495"/>
    <w:rsid w:val="107F1FB1"/>
    <w:rsid w:val="10850780"/>
    <w:rsid w:val="10A064D0"/>
    <w:rsid w:val="10A90FB8"/>
    <w:rsid w:val="10B93DC2"/>
    <w:rsid w:val="10CF3F1B"/>
    <w:rsid w:val="10E04A72"/>
    <w:rsid w:val="10E156F1"/>
    <w:rsid w:val="10E24929"/>
    <w:rsid w:val="10E75605"/>
    <w:rsid w:val="10E838C0"/>
    <w:rsid w:val="10E85DAD"/>
    <w:rsid w:val="10EC058C"/>
    <w:rsid w:val="10F16889"/>
    <w:rsid w:val="10F93ED3"/>
    <w:rsid w:val="11017AD2"/>
    <w:rsid w:val="1103418A"/>
    <w:rsid w:val="11041F52"/>
    <w:rsid w:val="110501B9"/>
    <w:rsid w:val="11081890"/>
    <w:rsid w:val="110D0592"/>
    <w:rsid w:val="111B181B"/>
    <w:rsid w:val="112C3EF0"/>
    <w:rsid w:val="11307CAA"/>
    <w:rsid w:val="1132454C"/>
    <w:rsid w:val="113F356E"/>
    <w:rsid w:val="1142292F"/>
    <w:rsid w:val="1147652C"/>
    <w:rsid w:val="115776AE"/>
    <w:rsid w:val="115E15DC"/>
    <w:rsid w:val="11657A71"/>
    <w:rsid w:val="116C1326"/>
    <w:rsid w:val="117201AD"/>
    <w:rsid w:val="117C05FB"/>
    <w:rsid w:val="117D6942"/>
    <w:rsid w:val="11801882"/>
    <w:rsid w:val="118266B8"/>
    <w:rsid w:val="11875983"/>
    <w:rsid w:val="119C228C"/>
    <w:rsid w:val="11AC2538"/>
    <w:rsid w:val="11AC58B7"/>
    <w:rsid w:val="11B23799"/>
    <w:rsid w:val="11BB3C24"/>
    <w:rsid w:val="11BC6D50"/>
    <w:rsid w:val="11CC7BA8"/>
    <w:rsid w:val="11D652A1"/>
    <w:rsid w:val="11DD55A3"/>
    <w:rsid w:val="11E513D3"/>
    <w:rsid w:val="11E645C3"/>
    <w:rsid w:val="11E7393E"/>
    <w:rsid w:val="11E97A80"/>
    <w:rsid w:val="11F34199"/>
    <w:rsid w:val="11F549EC"/>
    <w:rsid w:val="11F62942"/>
    <w:rsid w:val="11FA7F03"/>
    <w:rsid w:val="12080872"/>
    <w:rsid w:val="120A7CE3"/>
    <w:rsid w:val="120D6845"/>
    <w:rsid w:val="12152F8F"/>
    <w:rsid w:val="12153EA8"/>
    <w:rsid w:val="1216222B"/>
    <w:rsid w:val="12320E5D"/>
    <w:rsid w:val="123814E5"/>
    <w:rsid w:val="12530D04"/>
    <w:rsid w:val="125448A5"/>
    <w:rsid w:val="12691700"/>
    <w:rsid w:val="126C76CB"/>
    <w:rsid w:val="127C274F"/>
    <w:rsid w:val="127E4191"/>
    <w:rsid w:val="127F540D"/>
    <w:rsid w:val="129F1F22"/>
    <w:rsid w:val="12A60575"/>
    <w:rsid w:val="12A91AC5"/>
    <w:rsid w:val="12BD3406"/>
    <w:rsid w:val="12C15E5A"/>
    <w:rsid w:val="12C308D1"/>
    <w:rsid w:val="12CA2F05"/>
    <w:rsid w:val="12DA72AD"/>
    <w:rsid w:val="12DC3362"/>
    <w:rsid w:val="12E00931"/>
    <w:rsid w:val="12E03311"/>
    <w:rsid w:val="12E27315"/>
    <w:rsid w:val="12E459B1"/>
    <w:rsid w:val="12F12A9A"/>
    <w:rsid w:val="1306255E"/>
    <w:rsid w:val="130D1F51"/>
    <w:rsid w:val="130D2F59"/>
    <w:rsid w:val="130E0EC5"/>
    <w:rsid w:val="13194E9A"/>
    <w:rsid w:val="13227D49"/>
    <w:rsid w:val="13245B47"/>
    <w:rsid w:val="132D21F6"/>
    <w:rsid w:val="132E2AA9"/>
    <w:rsid w:val="132F62D2"/>
    <w:rsid w:val="13330810"/>
    <w:rsid w:val="1338799A"/>
    <w:rsid w:val="133F6B2B"/>
    <w:rsid w:val="13435DB2"/>
    <w:rsid w:val="1346582A"/>
    <w:rsid w:val="134A310C"/>
    <w:rsid w:val="134C5FB3"/>
    <w:rsid w:val="135763CE"/>
    <w:rsid w:val="13584CEB"/>
    <w:rsid w:val="13623F20"/>
    <w:rsid w:val="136441CE"/>
    <w:rsid w:val="138E5768"/>
    <w:rsid w:val="13935DCA"/>
    <w:rsid w:val="139E71E0"/>
    <w:rsid w:val="13A64910"/>
    <w:rsid w:val="13A83417"/>
    <w:rsid w:val="13AC12DF"/>
    <w:rsid w:val="13B10B88"/>
    <w:rsid w:val="13B46099"/>
    <w:rsid w:val="13B5265C"/>
    <w:rsid w:val="13B862F9"/>
    <w:rsid w:val="13C469A2"/>
    <w:rsid w:val="13D06224"/>
    <w:rsid w:val="13D77433"/>
    <w:rsid w:val="13DF1849"/>
    <w:rsid w:val="13DF7D8D"/>
    <w:rsid w:val="13E156B5"/>
    <w:rsid w:val="13E902AE"/>
    <w:rsid w:val="13ED0597"/>
    <w:rsid w:val="13EF30E1"/>
    <w:rsid w:val="140350F1"/>
    <w:rsid w:val="14064ABD"/>
    <w:rsid w:val="14070298"/>
    <w:rsid w:val="140C6068"/>
    <w:rsid w:val="140D22C4"/>
    <w:rsid w:val="1414284B"/>
    <w:rsid w:val="14142E38"/>
    <w:rsid w:val="14143870"/>
    <w:rsid w:val="142B68D3"/>
    <w:rsid w:val="143B263C"/>
    <w:rsid w:val="143B5ABD"/>
    <w:rsid w:val="14411F7A"/>
    <w:rsid w:val="144347FA"/>
    <w:rsid w:val="1448083C"/>
    <w:rsid w:val="144F429F"/>
    <w:rsid w:val="14535FF1"/>
    <w:rsid w:val="145B3636"/>
    <w:rsid w:val="146A2B1E"/>
    <w:rsid w:val="146B08F3"/>
    <w:rsid w:val="146F07FA"/>
    <w:rsid w:val="146F4EE8"/>
    <w:rsid w:val="14706A6C"/>
    <w:rsid w:val="14757DAD"/>
    <w:rsid w:val="14806894"/>
    <w:rsid w:val="148F6512"/>
    <w:rsid w:val="148F6ECD"/>
    <w:rsid w:val="149D0FED"/>
    <w:rsid w:val="14AA6898"/>
    <w:rsid w:val="14AE38BE"/>
    <w:rsid w:val="14B0017F"/>
    <w:rsid w:val="14B12243"/>
    <w:rsid w:val="14B25E79"/>
    <w:rsid w:val="14B42DD7"/>
    <w:rsid w:val="14B8049E"/>
    <w:rsid w:val="14C50C91"/>
    <w:rsid w:val="14C82DCE"/>
    <w:rsid w:val="14D01A4F"/>
    <w:rsid w:val="14D12EFC"/>
    <w:rsid w:val="14D21568"/>
    <w:rsid w:val="14D9162C"/>
    <w:rsid w:val="14DD5F0D"/>
    <w:rsid w:val="14E10753"/>
    <w:rsid w:val="14E84123"/>
    <w:rsid w:val="14E97648"/>
    <w:rsid w:val="14F427BF"/>
    <w:rsid w:val="14FA4934"/>
    <w:rsid w:val="14FF520C"/>
    <w:rsid w:val="150B27F2"/>
    <w:rsid w:val="15121C84"/>
    <w:rsid w:val="15143661"/>
    <w:rsid w:val="151477CA"/>
    <w:rsid w:val="15404173"/>
    <w:rsid w:val="154A7805"/>
    <w:rsid w:val="154C7F64"/>
    <w:rsid w:val="15521769"/>
    <w:rsid w:val="15605210"/>
    <w:rsid w:val="156D4E3B"/>
    <w:rsid w:val="15735598"/>
    <w:rsid w:val="15783497"/>
    <w:rsid w:val="157C0F6F"/>
    <w:rsid w:val="15852081"/>
    <w:rsid w:val="158C52E3"/>
    <w:rsid w:val="1590505E"/>
    <w:rsid w:val="1593314E"/>
    <w:rsid w:val="159361E0"/>
    <w:rsid w:val="15A848C3"/>
    <w:rsid w:val="15AB6BFC"/>
    <w:rsid w:val="15B14D7D"/>
    <w:rsid w:val="15B21EA5"/>
    <w:rsid w:val="15B44CB1"/>
    <w:rsid w:val="15B57A0B"/>
    <w:rsid w:val="15BF67CE"/>
    <w:rsid w:val="15CE655C"/>
    <w:rsid w:val="15E00424"/>
    <w:rsid w:val="15F14C9F"/>
    <w:rsid w:val="15F33C85"/>
    <w:rsid w:val="15F82B87"/>
    <w:rsid w:val="15FD4403"/>
    <w:rsid w:val="16036AB9"/>
    <w:rsid w:val="160C0B27"/>
    <w:rsid w:val="161707CC"/>
    <w:rsid w:val="161A7C62"/>
    <w:rsid w:val="161E52DE"/>
    <w:rsid w:val="16220A1A"/>
    <w:rsid w:val="1627354F"/>
    <w:rsid w:val="163045DC"/>
    <w:rsid w:val="163271A7"/>
    <w:rsid w:val="163429CE"/>
    <w:rsid w:val="163D44DD"/>
    <w:rsid w:val="163D6004"/>
    <w:rsid w:val="164E3846"/>
    <w:rsid w:val="16536F87"/>
    <w:rsid w:val="165463BA"/>
    <w:rsid w:val="16571298"/>
    <w:rsid w:val="16577D3B"/>
    <w:rsid w:val="16581DDD"/>
    <w:rsid w:val="16634935"/>
    <w:rsid w:val="16674F17"/>
    <w:rsid w:val="166E40BB"/>
    <w:rsid w:val="167361BF"/>
    <w:rsid w:val="167B7E22"/>
    <w:rsid w:val="168530E9"/>
    <w:rsid w:val="169556DA"/>
    <w:rsid w:val="16970BB1"/>
    <w:rsid w:val="169A0C7C"/>
    <w:rsid w:val="169C278D"/>
    <w:rsid w:val="16AD3150"/>
    <w:rsid w:val="16AF66B2"/>
    <w:rsid w:val="16B051E2"/>
    <w:rsid w:val="16B52931"/>
    <w:rsid w:val="16B54837"/>
    <w:rsid w:val="16BB09CF"/>
    <w:rsid w:val="16BB290C"/>
    <w:rsid w:val="16BB6F4A"/>
    <w:rsid w:val="16BE1E47"/>
    <w:rsid w:val="16BF7A8D"/>
    <w:rsid w:val="16C13456"/>
    <w:rsid w:val="16C66B41"/>
    <w:rsid w:val="16D74469"/>
    <w:rsid w:val="16DA3F2E"/>
    <w:rsid w:val="16DD78E1"/>
    <w:rsid w:val="16E37117"/>
    <w:rsid w:val="16E442DC"/>
    <w:rsid w:val="16E514BF"/>
    <w:rsid w:val="16E6508A"/>
    <w:rsid w:val="16F61FB1"/>
    <w:rsid w:val="16F77AE3"/>
    <w:rsid w:val="170513F4"/>
    <w:rsid w:val="170701E4"/>
    <w:rsid w:val="170C08D2"/>
    <w:rsid w:val="170C256E"/>
    <w:rsid w:val="170D1FE0"/>
    <w:rsid w:val="171365C7"/>
    <w:rsid w:val="172420F4"/>
    <w:rsid w:val="1726179A"/>
    <w:rsid w:val="172B3CAE"/>
    <w:rsid w:val="17332415"/>
    <w:rsid w:val="17363260"/>
    <w:rsid w:val="173842E0"/>
    <w:rsid w:val="17430E2C"/>
    <w:rsid w:val="17451576"/>
    <w:rsid w:val="1755065F"/>
    <w:rsid w:val="175F1A68"/>
    <w:rsid w:val="176355F1"/>
    <w:rsid w:val="176B3D10"/>
    <w:rsid w:val="176F6E21"/>
    <w:rsid w:val="17824C23"/>
    <w:rsid w:val="17844DF1"/>
    <w:rsid w:val="178D299C"/>
    <w:rsid w:val="17955FEC"/>
    <w:rsid w:val="17987AA6"/>
    <w:rsid w:val="179A2463"/>
    <w:rsid w:val="17A51045"/>
    <w:rsid w:val="17B54DD5"/>
    <w:rsid w:val="17BB5615"/>
    <w:rsid w:val="17BF3DB0"/>
    <w:rsid w:val="17C2714B"/>
    <w:rsid w:val="17DD36F6"/>
    <w:rsid w:val="17DE091D"/>
    <w:rsid w:val="17F2745E"/>
    <w:rsid w:val="1804317A"/>
    <w:rsid w:val="18107062"/>
    <w:rsid w:val="181276B9"/>
    <w:rsid w:val="18181D10"/>
    <w:rsid w:val="181E2024"/>
    <w:rsid w:val="182A7D39"/>
    <w:rsid w:val="182F40F7"/>
    <w:rsid w:val="1834363D"/>
    <w:rsid w:val="184438BB"/>
    <w:rsid w:val="184E0181"/>
    <w:rsid w:val="185404DE"/>
    <w:rsid w:val="186259FC"/>
    <w:rsid w:val="18670CA2"/>
    <w:rsid w:val="186C1E6B"/>
    <w:rsid w:val="18700E9F"/>
    <w:rsid w:val="18712819"/>
    <w:rsid w:val="1874373A"/>
    <w:rsid w:val="18743F6E"/>
    <w:rsid w:val="18763F46"/>
    <w:rsid w:val="187B4431"/>
    <w:rsid w:val="187E0854"/>
    <w:rsid w:val="18951E25"/>
    <w:rsid w:val="18953CCD"/>
    <w:rsid w:val="189D3F17"/>
    <w:rsid w:val="18AD0324"/>
    <w:rsid w:val="18AD6FD7"/>
    <w:rsid w:val="18AE2B60"/>
    <w:rsid w:val="18D01299"/>
    <w:rsid w:val="18D43C2A"/>
    <w:rsid w:val="18D5235C"/>
    <w:rsid w:val="18EF0B8A"/>
    <w:rsid w:val="18F669FA"/>
    <w:rsid w:val="1902569E"/>
    <w:rsid w:val="190C157A"/>
    <w:rsid w:val="19124C03"/>
    <w:rsid w:val="191303F6"/>
    <w:rsid w:val="19176B49"/>
    <w:rsid w:val="192B1778"/>
    <w:rsid w:val="1932147A"/>
    <w:rsid w:val="193E3971"/>
    <w:rsid w:val="19404316"/>
    <w:rsid w:val="194D74B2"/>
    <w:rsid w:val="19545F91"/>
    <w:rsid w:val="1957425B"/>
    <w:rsid w:val="195A1CD0"/>
    <w:rsid w:val="195B160D"/>
    <w:rsid w:val="19737B93"/>
    <w:rsid w:val="19746BBB"/>
    <w:rsid w:val="197B5221"/>
    <w:rsid w:val="198C1689"/>
    <w:rsid w:val="199B6335"/>
    <w:rsid w:val="199F5598"/>
    <w:rsid w:val="19AE1CF4"/>
    <w:rsid w:val="19AF01CF"/>
    <w:rsid w:val="19B3317D"/>
    <w:rsid w:val="19B80DD0"/>
    <w:rsid w:val="19BA322A"/>
    <w:rsid w:val="19BA3573"/>
    <w:rsid w:val="19BB7D00"/>
    <w:rsid w:val="19BD0194"/>
    <w:rsid w:val="19C21AD8"/>
    <w:rsid w:val="19C91F0D"/>
    <w:rsid w:val="19D2496B"/>
    <w:rsid w:val="19E25DE6"/>
    <w:rsid w:val="19E369CF"/>
    <w:rsid w:val="19EB2E5A"/>
    <w:rsid w:val="19F551BB"/>
    <w:rsid w:val="19F609AA"/>
    <w:rsid w:val="19FB2710"/>
    <w:rsid w:val="19FB5FE8"/>
    <w:rsid w:val="19FC2411"/>
    <w:rsid w:val="19FD44DD"/>
    <w:rsid w:val="1A0025D4"/>
    <w:rsid w:val="1A066314"/>
    <w:rsid w:val="1A1A40D2"/>
    <w:rsid w:val="1A2541B7"/>
    <w:rsid w:val="1A3653C8"/>
    <w:rsid w:val="1A4333BF"/>
    <w:rsid w:val="1A4A6DB2"/>
    <w:rsid w:val="1A4A7ABC"/>
    <w:rsid w:val="1A5A2D60"/>
    <w:rsid w:val="1A5D3D58"/>
    <w:rsid w:val="1A701F30"/>
    <w:rsid w:val="1A72379D"/>
    <w:rsid w:val="1A7C79C3"/>
    <w:rsid w:val="1A803D0D"/>
    <w:rsid w:val="1A864E68"/>
    <w:rsid w:val="1A872DB7"/>
    <w:rsid w:val="1A8B26F2"/>
    <w:rsid w:val="1A8D2190"/>
    <w:rsid w:val="1A9A3BD9"/>
    <w:rsid w:val="1A9D1136"/>
    <w:rsid w:val="1AA952EE"/>
    <w:rsid w:val="1AB33541"/>
    <w:rsid w:val="1AB61698"/>
    <w:rsid w:val="1ABA7787"/>
    <w:rsid w:val="1AC22EB9"/>
    <w:rsid w:val="1AC64E6B"/>
    <w:rsid w:val="1AD0039B"/>
    <w:rsid w:val="1AD6566A"/>
    <w:rsid w:val="1AD93EC8"/>
    <w:rsid w:val="1ADC32A2"/>
    <w:rsid w:val="1AE877F9"/>
    <w:rsid w:val="1AF86801"/>
    <w:rsid w:val="1AFF05A1"/>
    <w:rsid w:val="1B00626A"/>
    <w:rsid w:val="1B091D1E"/>
    <w:rsid w:val="1B0A74B1"/>
    <w:rsid w:val="1B124768"/>
    <w:rsid w:val="1B185113"/>
    <w:rsid w:val="1B204254"/>
    <w:rsid w:val="1B215879"/>
    <w:rsid w:val="1B32415D"/>
    <w:rsid w:val="1B334486"/>
    <w:rsid w:val="1B4519E2"/>
    <w:rsid w:val="1B452C2D"/>
    <w:rsid w:val="1B525F3E"/>
    <w:rsid w:val="1B5A2AA1"/>
    <w:rsid w:val="1B633629"/>
    <w:rsid w:val="1B7707D7"/>
    <w:rsid w:val="1B77145E"/>
    <w:rsid w:val="1B7B4251"/>
    <w:rsid w:val="1B7E26D0"/>
    <w:rsid w:val="1B813A96"/>
    <w:rsid w:val="1B826BF2"/>
    <w:rsid w:val="1B874865"/>
    <w:rsid w:val="1B906601"/>
    <w:rsid w:val="1B910F69"/>
    <w:rsid w:val="1B935ED2"/>
    <w:rsid w:val="1BA00B86"/>
    <w:rsid w:val="1BA73C31"/>
    <w:rsid w:val="1BA7704D"/>
    <w:rsid w:val="1BB4047C"/>
    <w:rsid w:val="1BBC52C0"/>
    <w:rsid w:val="1BC31BF1"/>
    <w:rsid w:val="1BC57B40"/>
    <w:rsid w:val="1BCA1B18"/>
    <w:rsid w:val="1BCE54CE"/>
    <w:rsid w:val="1BE73290"/>
    <w:rsid w:val="1BF172C8"/>
    <w:rsid w:val="1C0B0D92"/>
    <w:rsid w:val="1C0F388B"/>
    <w:rsid w:val="1C121CF9"/>
    <w:rsid w:val="1C1464B8"/>
    <w:rsid w:val="1C2341A2"/>
    <w:rsid w:val="1C290566"/>
    <w:rsid w:val="1C4257E8"/>
    <w:rsid w:val="1C590715"/>
    <w:rsid w:val="1C5B0B67"/>
    <w:rsid w:val="1C6244F3"/>
    <w:rsid w:val="1C6C6B9D"/>
    <w:rsid w:val="1C733F26"/>
    <w:rsid w:val="1C793E97"/>
    <w:rsid w:val="1C837916"/>
    <w:rsid w:val="1C872CDB"/>
    <w:rsid w:val="1C897769"/>
    <w:rsid w:val="1C902BAA"/>
    <w:rsid w:val="1C915014"/>
    <w:rsid w:val="1C982038"/>
    <w:rsid w:val="1C982755"/>
    <w:rsid w:val="1CA35CBE"/>
    <w:rsid w:val="1CBE3841"/>
    <w:rsid w:val="1CC25AFF"/>
    <w:rsid w:val="1CC2723E"/>
    <w:rsid w:val="1CC7095D"/>
    <w:rsid w:val="1CC86CA8"/>
    <w:rsid w:val="1CDA26F4"/>
    <w:rsid w:val="1CE86566"/>
    <w:rsid w:val="1CEA59CF"/>
    <w:rsid w:val="1CED5884"/>
    <w:rsid w:val="1CEE360F"/>
    <w:rsid w:val="1CFA16FF"/>
    <w:rsid w:val="1CFB1FAD"/>
    <w:rsid w:val="1D1345B6"/>
    <w:rsid w:val="1D163151"/>
    <w:rsid w:val="1D182676"/>
    <w:rsid w:val="1D1A215A"/>
    <w:rsid w:val="1D1C3424"/>
    <w:rsid w:val="1D1D198D"/>
    <w:rsid w:val="1D1D1EE4"/>
    <w:rsid w:val="1D1E238F"/>
    <w:rsid w:val="1D2352F9"/>
    <w:rsid w:val="1D2F109A"/>
    <w:rsid w:val="1D383AC0"/>
    <w:rsid w:val="1D3915A8"/>
    <w:rsid w:val="1D3B76D1"/>
    <w:rsid w:val="1D3F7753"/>
    <w:rsid w:val="1D4B0178"/>
    <w:rsid w:val="1D5047C3"/>
    <w:rsid w:val="1D524481"/>
    <w:rsid w:val="1D632254"/>
    <w:rsid w:val="1D691AB6"/>
    <w:rsid w:val="1D6A0694"/>
    <w:rsid w:val="1D6E626E"/>
    <w:rsid w:val="1D743ADD"/>
    <w:rsid w:val="1D762F10"/>
    <w:rsid w:val="1D7E6BB9"/>
    <w:rsid w:val="1D7F08B9"/>
    <w:rsid w:val="1D7F7692"/>
    <w:rsid w:val="1D8074EB"/>
    <w:rsid w:val="1D81109B"/>
    <w:rsid w:val="1D812A56"/>
    <w:rsid w:val="1D8D19BF"/>
    <w:rsid w:val="1D907182"/>
    <w:rsid w:val="1DAC74E1"/>
    <w:rsid w:val="1DBA6C2A"/>
    <w:rsid w:val="1DBB7050"/>
    <w:rsid w:val="1DBC76D5"/>
    <w:rsid w:val="1DCD19A4"/>
    <w:rsid w:val="1DD5570A"/>
    <w:rsid w:val="1DD7758F"/>
    <w:rsid w:val="1DDA6205"/>
    <w:rsid w:val="1DE95B5D"/>
    <w:rsid w:val="1DED6744"/>
    <w:rsid w:val="1DF44233"/>
    <w:rsid w:val="1DF71F41"/>
    <w:rsid w:val="1E120209"/>
    <w:rsid w:val="1E171809"/>
    <w:rsid w:val="1E224814"/>
    <w:rsid w:val="1E2C58E8"/>
    <w:rsid w:val="1E2D36D2"/>
    <w:rsid w:val="1E335AF1"/>
    <w:rsid w:val="1E372571"/>
    <w:rsid w:val="1E3D68FC"/>
    <w:rsid w:val="1E4A5D6E"/>
    <w:rsid w:val="1E4A791F"/>
    <w:rsid w:val="1E521FDB"/>
    <w:rsid w:val="1E581723"/>
    <w:rsid w:val="1E5A20FC"/>
    <w:rsid w:val="1E5B4563"/>
    <w:rsid w:val="1E74021D"/>
    <w:rsid w:val="1E7C6661"/>
    <w:rsid w:val="1E7D266C"/>
    <w:rsid w:val="1E93768C"/>
    <w:rsid w:val="1E940F64"/>
    <w:rsid w:val="1E9745A4"/>
    <w:rsid w:val="1E9D2609"/>
    <w:rsid w:val="1E9E548D"/>
    <w:rsid w:val="1EA82EA9"/>
    <w:rsid w:val="1EA95DBC"/>
    <w:rsid w:val="1EAB0047"/>
    <w:rsid w:val="1EB701D9"/>
    <w:rsid w:val="1EB853CE"/>
    <w:rsid w:val="1EC5013F"/>
    <w:rsid w:val="1ECC629F"/>
    <w:rsid w:val="1EDA2FAC"/>
    <w:rsid w:val="1EEC69B6"/>
    <w:rsid w:val="1EF135C6"/>
    <w:rsid w:val="1EF322C0"/>
    <w:rsid w:val="1EFB3FB4"/>
    <w:rsid w:val="1EFF3176"/>
    <w:rsid w:val="1F014DB5"/>
    <w:rsid w:val="1F0661B3"/>
    <w:rsid w:val="1F091A51"/>
    <w:rsid w:val="1F0A635E"/>
    <w:rsid w:val="1F185E6D"/>
    <w:rsid w:val="1F215001"/>
    <w:rsid w:val="1F332CA6"/>
    <w:rsid w:val="1F3A371A"/>
    <w:rsid w:val="1F483ABB"/>
    <w:rsid w:val="1F5323CC"/>
    <w:rsid w:val="1F562A30"/>
    <w:rsid w:val="1F5C510C"/>
    <w:rsid w:val="1F600A1D"/>
    <w:rsid w:val="1F623370"/>
    <w:rsid w:val="1F6C4E03"/>
    <w:rsid w:val="1F701682"/>
    <w:rsid w:val="1F726924"/>
    <w:rsid w:val="1F773263"/>
    <w:rsid w:val="1F79113C"/>
    <w:rsid w:val="1F796A74"/>
    <w:rsid w:val="1F7C0FE1"/>
    <w:rsid w:val="1F8A2A8E"/>
    <w:rsid w:val="1F8D0609"/>
    <w:rsid w:val="1F8F2606"/>
    <w:rsid w:val="1F8F3A4E"/>
    <w:rsid w:val="1F9B185B"/>
    <w:rsid w:val="1FA463A0"/>
    <w:rsid w:val="1FA71D51"/>
    <w:rsid w:val="1FB36A5F"/>
    <w:rsid w:val="1FBC3245"/>
    <w:rsid w:val="1FC530B3"/>
    <w:rsid w:val="1FD25FAB"/>
    <w:rsid w:val="1FD263B1"/>
    <w:rsid w:val="1FD55D81"/>
    <w:rsid w:val="1FE23DC5"/>
    <w:rsid w:val="1FE26757"/>
    <w:rsid w:val="1FE347F2"/>
    <w:rsid w:val="1FEC5510"/>
    <w:rsid w:val="1FF36F03"/>
    <w:rsid w:val="1FFC6F88"/>
    <w:rsid w:val="200E3981"/>
    <w:rsid w:val="201C0987"/>
    <w:rsid w:val="20213C78"/>
    <w:rsid w:val="20271DD4"/>
    <w:rsid w:val="202E3FCA"/>
    <w:rsid w:val="20320EE0"/>
    <w:rsid w:val="2035079E"/>
    <w:rsid w:val="204956F4"/>
    <w:rsid w:val="20543ECC"/>
    <w:rsid w:val="205451ED"/>
    <w:rsid w:val="205509FD"/>
    <w:rsid w:val="205C66AC"/>
    <w:rsid w:val="205E5502"/>
    <w:rsid w:val="2060784B"/>
    <w:rsid w:val="20667A23"/>
    <w:rsid w:val="206A3B16"/>
    <w:rsid w:val="20724C71"/>
    <w:rsid w:val="2074045F"/>
    <w:rsid w:val="2080260A"/>
    <w:rsid w:val="20853D90"/>
    <w:rsid w:val="20891326"/>
    <w:rsid w:val="208D6625"/>
    <w:rsid w:val="2093481C"/>
    <w:rsid w:val="20965A88"/>
    <w:rsid w:val="20997115"/>
    <w:rsid w:val="20A8627C"/>
    <w:rsid w:val="20AA51EA"/>
    <w:rsid w:val="20AF3BB4"/>
    <w:rsid w:val="20B81AB5"/>
    <w:rsid w:val="20B91C67"/>
    <w:rsid w:val="20BA280C"/>
    <w:rsid w:val="20BB10BF"/>
    <w:rsid w:val="20C55662"/>
    <w:rsid w:val="20C952D1"/>
    <w:rsid w:val="20E409B0"/>
    <w:rsid w:val="20E95D13"/>
    <w:rsid w:val="20EA7DBA"/>
    <w:rsid w:val="20EB1A8B"/>
    <w:rsid w:val="20F541D9"/>
    <w:rsid w:val="20FF6F0D"/>
    <w:rsid w:val="210A1595"/>
    <w:rsid w:val="210B02E1"/>
    <w:rsid w:val="210C121B"/>
    <w:rsid w:val="21143E7B"/>
    <w:rsid w:val="2116489E"/>
    <w:rsid w:val="2117316C"/>
    <w:rsid w:val="211F298D"/>
    <w:rsid w:val="21241A2B"/>
    <w:rsid w:val="212C345A"/>
    <w:rsid w:val="212D4152"/>
    <w:rsid w:val="213A031C"/>
    <w:rsid w:val="2140389D"/>
    <w:rsid w:val="21444F8B"/>
    <w:rsid w:val="214E4EE9"/>
    <w:rsid w:val="21520878"/>
    <w:rsid w:val="21522B9A"/>
    <w:rsid w:val="21546F29"/>
    <w:rsid w:val="21582E98"/>
    <w:rsid w:val="215D113C"/>
    <w:rsid w:val="216058D1"/>
    <w:rsid w:val="21680E9A"/>
    <w:rsid w:val="216935BC"/>
    <w:rsid w:val="216E5043"/>
    <w:rsid w:val="216F4B60"/>
    <w:rsid w:val="217B3AF9"/>
    <w:rsid w:val="217C0935"/>
    <w:rsid w:val="217D55BD"/>
    <w:rsid w:val="218501B7"/>
    <w:rsid w:val="21937D88"/>
    <w:rsid w:val="2198186C"/>
    <w:rsid w:val="219C0BE1"/>
    <w:rsid w:val="21A826E1"/>
    <w:rsid w:val="21AE4866"/>
    <w:rsid w:val="21B37B9E"/>
    <w:rsid w:val="21CE15B9"/>
    <w:rsid w:val="21DD2B60"/>
    <w:rsid w:val="21E30C71"/>
    <w:rsid w:val="21EC7BA8"/>
    <w:rsid w:val="21F625AE"/>
    <w:rsid w:val="21FE738D"/>
    <w:rsid w:val="220036B9"/>
    <w:rsid w:val="220D4FA8"/>
    <w:rsid w:val="22141EB4"/>
    <w:rsid w:val="22154503"/>
    <w:rsid w:val="22155222"/>
    <w:rsid w:val="22172C3A"/>
    <w:rsid w:val="222018DF"/>
    <w:rsid w:val="22232332"/>
    <w:rsid w:val="222421D0"/>
    <w:rsid w:val="222620EF"/>
    <w:rsid w:val="22374F29"/>
    <w:rsid w:val="223905D4"/>
    <w:rsid w:val="223B0960"/>
    <w:rsid w:val="22427DEF"/>
    <w:rsid w:val="22462048"/>
    <w:rsid w:val="2255003C"/>
    <w:rsid w:val="225A024E"/>
    <w:rsid w:val="22662B7E"/>
    <w:rsid w:val="226A52F9"/>
    <w:rsid w:val="228B7D11"/>
    <w:rsid w:val="228C7D3B"/>
    <w:rsid w:val="228D22E9"/>
    <w:rsid w:val="22B115B2"/>
    <w:rsid w:val="22B5567F"/>
    <w:rsid w:val="22C06500"/>
    <w:rsid w:val="22C449B9"/>
    <w:rsid w:val="22C83FDC"/>
    <w:rsid w:val="22CA35C3"/>
    <w:rsid w:val="22CC0779"/>
    <w:rsid w:val="22D473D4"/>
    <w:rsid w:val="22E51116"/>
    <w:rsid w:val="22E67894"/>
    <w:rsid w:val="22E92354"/>
    <w:rsid w:val="22EC1C2A"/>
    <w:rsid w:val="22F06D15"/>
    <w:rsid w:val="22F222D0"/>
    <w:rsid w:val="22FB4722"/>
    <w:rsid w:val="22FC1A0D"/>
    <w:rsid w:val="22FF3BDC"/>
    <w:rsid w:val="23033B66"/>
    <w:rsid w:val="230D4A0A"/>
    <w:rsid w:val="231511F1"/>
    <w:rsid w:val="231B6E6A"/>
    <w:rsid w:val="231C3305"/>
    <w:rsid w:val="231E6699"/>
    <w:rsid w:val="2320448D"/>
    <w:rsid w:val="232A5C8F"/>
    <w:rsid w:val="232E6124"/>
    <w:rsid w:val="232F61E4"/>
    <w:rsid w:val="2351501A"/>
    <w:rsid w:val="23556E96"/>
    <w:rsid w:val="23643E2E"/>
    <w:rsid w:val="237446C2"/>
    <w:rsid w:val="237763BA"/>
    <w:rsid w:val="237E2B2C"/>
    <w:rsid w:val="238566B7"/>
    <w:rsid w:val="238E72F6"/>
    <w:rsid w:val="23994F01"/>
    <w:rsid w:val="239B4DC7"/>
    <w:rsid w:val="239D64C5"/>
    <w:rsid w:val="23A76463"/>
    <w:rsid w:val="23AD515C"/>
    <w:rsid w:val="23B360CE"/>
    <w:rsid w:val="23B66BD2"/>
    <w:rsid w:val="23B80137"/>
    <w:rsid w:val="23BA6B2D"/>
    <w:rsid w:val="23BD161F"/>
    <w:rsid w:val="23C75DC6"/>
    <w:rsid w:val="23CB7665"/>
    <w:rsid w:val="23D030B6"/>
    <w:rsid w:val="23D16183"/>
    <w:rsid w:val="23DB67C0"/>
    <w:rsid w:val="23E80E77"/>
    <w:rsid w:val="23E95DFD"/>
    <w:rsid w:val="23EC18F1"/>
    <w:rsid w:val="23ED576F"/>
    <w:rsid w:val="24012C2E"/>
    <w:rsid w:val="240550C3"/>
    <w:rsid w:val="240F5A90"/>
    <w:rsid w:val="24106653"/>
    <w:rsid w:val="24164147"/>
    <w:rsid w:val="24197494"/>
    <w:rsid w:val="241E08FD"/>
    <w:rsid w:val="24227145"/>
    <w:rsid w:val="243A5559"/>
    <w:rsid w:val="24411BB9"/>
    <w:rsid w:val="244B0A92"/>
    <w:rsid w:val="2457217A"/>
    <w:rsid w:val="245A7C32"/>
    <w:rsid w:val="24621365"/>
    <w:rsid w:val="2467660B"/>
    <w:rsid w:val="246A0D24"/>
    <w:rsid w:val="24750EC8"/>
    <w:rsid w:val="247D6715"/>
    <w:rsid w:val="248A2BE7"/>
    <w:rsid w:val="24963D9F"/>
    <w:rsid w:val="24B05ABC"/>
    <w:rsid w:val="24B21B8E"/>
    <w:rsid w:val="24B41CFB"/>
    <w:rsid w:val="24B51ECA"/>
    <w:rsid w:val="24B9532A"/>
    <w:rsid w:val="24BA7F4A"/>
    <w:rsid w:val="24C05AD9"/>
    <w:rsid w:val="24C3163B"/>
    <w:rsid w:val="24D10C8F"/>
    <w:rsid w:val="24D1665E"/>
    <w:rsid w:val="24D764AD"/>
    <w:rsid w:val="24E73DD4"/>
    <w:rsid w:val="24F23FC5"/>
    <w:rsid w:val="24F24BEA"/>
    <w:rsid w:val="250152CA"/>
    <w:rsid w:val="25022059"/>
    <w:rsid w:val="25046A0C"/>
    <w:rsid w:val="250E7655"/>
    <w:rsid w:val="251B0069"/>
    <w:rsid w:val="251E0FBB"/>
    <w:rsid w:val="252858EF"/>
    <w:rsid w:val="252E70E8"/>
    <w:rsid w:val="25356093"/>
    <w:rsid w:val="253913C2"/>
    <w:rsid w:val="25392A64"/>
    <w:rsid w:val="253B28B5"/>
    <w:rsid w:val="2540390D"/>
    <w:rsid w:val="2557621D"/>
    <w:rsid w:val="255B35D4"/>
    <w:rsid w:val="255D6C3D"/>
    <w:rsid w:val="2576257B"/>
    <w:rsid w:val="257758B0"/>
    <w:rsid w:val="257E064F"/>
    <w:rsid w:val="25840422"/>
    <w:rsid w:val="25851CED"/>
    <w:rsid w:val="2588283E"/>
    <w:rsid w:val="258A47D4"/>
    <w:rsid w:val="258E77C0"/>
    <w:rsid w:val="25925214"/>
    <w:rsid w:val="2598787A"/>
    <w:rsid w:val="259A239D"/>
    <w:rsid w:val="25A47BA1"/>
    <w:rsid w:val="25AD1C80"/>
    <w:rsid w:val="25D96B62"/>
    <w:rsid w:val="25DB192E"/>
    <w:rsid w:val="25DC213D"/>
    <w:rsid w:val="25EC34BD"/>
    <w:rsid w:val="25F91780"/>
    <w:rsid w:val="2605353A"/>
    <w:rsid w:val="26056399"/>
    <w:rsid w:val="260678A5"/>
    <w:rsid w:val="260A7605"/>
    <w:rsid w:val="260C44CD"/>
    <w:rsid w:val="260D618B"/>
    <w:rsid w:val="261108BA"/>
    <w:rsid w:val="261165A1"/>
    <w:rsid w:val="26142262"/>
    <w:rsid w:val="261633B2"/>
    <w:rsid w:val="26193DDF"/>
    <w:rsid w:val="26194F58"/>
    <w:rsid w:val="2624469E"/>
    <w:rsid w:val="2628108B"/>
    <w:rsid w:val="262B1F3D"/>
    <w:rsid w:val="263952BC"/>
    <w:rsid w:val="263B3587"/>
    <w:rsid w:val="263E6CD9"/>
    <w:rsid w:val="26425096"/>
    <w:rsid w:val="26453B93"/>
    <w:rsid w:val="264B2324"/>
    <w:rsid w:val="265708C4"/>
    <w:rsid w:val="265E675E"/>
    <w:rsid w:val="26602189"/>
    <w:rsid w:val="266A5FD2"/>
    <w:rsid w:val="2673476E"/>
    <w:rsid w:val="26764332"/>
    <w:rsid w:val="267A7CC4"/>
    <w:rsid w:val="267E0F4E"/>
    <w:rsid w:val="268A1E14"/>
    <w:rsid w:val="268A58A2"/>
    <w:rsid w:val="269B3E0C"/>
    <w:rsid w:val="269B72EA"/>
    <w:rsid w:val="26A11572"/>
    <w:rsid w:val="26A76BB9"/>
    <w:rsid w:val="26BD62EF"/>
    <w:rsid w:val="26BF7282"/>
    <w:rsid w:val="26C6337C"/>
    <w:rsid w:val="26CB6C26"/>
    <w:rsid w:val="26CD1820"/>
    <w:rsid w:val="26D40BB6"/>
    <w:rsid w:val="26D40CC8"/>
    <w:rsid w:val="26D97172"/>
    <w:rsid w:val="26EC3B56"/>
    <w:rsid w:val="26ED31EF"/>
    <w:rsid w:val="26F1147D"/>
    <w:rsid w:val="26F41128"/>
    <w:rsid w:val="27075469"/>
    <w:rsid w:val="270E1B1F"/>
    <w:rsid w:val="270F1450"/>
    <w:rsid w:val="271E15EC"/>
    <w:rsid w:val="272066E7"/>
    <w:rsid w:val="27206FB3"/>
    <w:rsid w:val="272508B4"/>
    <w:rsid w:val="272B1FD5"/>
    <w:rsid w:val="272E6D1E"/>
    <w:rsid w:val="27304943"/>
    <w:rsid w:val="273570C2"/>
    <w:rsid w:val="273625B5"/>
    <w:rsid w:val="2740175F"/>
    <w:rsid w:val="27472100"/>
    <w:rsid w:val="27481268"/>
    <w:rsid w:val="274A1FA1"/>
    <w:rsid w:val="27565BBB"/>
    <w:rsid w:val="27657641"/>
    <w:rsid w:val="27673A2C"/>
    <w:rsid w:val="27735875"/>
    <w:rsid w:val="27787F6E"/>
    <w:rsid w:val="277A1C97"/>
    <w:rsid w:val="277F44AE"/>
    <w:rsid w:val="27834B74"/>
    <w:rsid w:val="278953F2"/>
    <w:rsid w:val="279918E0"/>
    <w:rsid w:val="27A504B9"/>
    <w:rsid w:val="27A75249"/>
    <w:rsid w:val="27AD7DAF"/>
    <w:rsid w:val="27B11360"/>
    <w:rsid w:val="27C70B67"/>
    <w:rsid w:val="27C815BD"/>
    <w:rsid w:val="27C96862"/>
    <w:rsid w:val="27CE2FC5"/>
    <w:rsid w:val="27D019DA"/>
    <w:rsid w:val="27D1537C"/>
    <w:rsid w:val="27DB2DBB"/>
    <w:rsid w:val="27DE3B79"/>
    <w:rsid w:val="27E033A2"/>
    <w:rsid w:val="27E160A9"/>
    <w:rsid w:val="27E2469C"/>
    <w:rsid w:val="27F85A95"/>
    <w:rsid w:val="28036C1D"/>
    <w:rsid w:val="280B5E14"/>
    <w:rsid w:val="280C26D8"/>
    <w:rsid w:val="281239F6"/>
    <w:rsid w:val="28125BB8"/>
    <w:rsid w:val="28177201"/>
    <w:rsid w:val="28245DBB"/>
    <w:rsid w:val="28342E65"/>
    <w:rsid w:val="28377972"/>
    <w:rsid w:val="2838393C"/>
    <w:rsid w:val="283C0799"/>
    <w:rsid w:val="283E7A1B"/>
    <w:rsid w:val="2841100D"/>
    <w:rsid w:val="2849353E"/>
    <w:rsid w:val="284B2C52"/>
    <w:rsid w:val="28534F99"/>
    <w:rsid w:val="28542E7E"/>
    <w:rsid w:val="285F4B0C"/>
    <w:rsid w:val="286155E4"/>
    <w:rsid w:val="286F2AE3"/>
    <w:rsid w:val="28701FC6"/>
    <w:rsid w:val="28716AA0"/>
    <w:rsid w:val="28765326"/>
    <w:rsid w:val="28834C9E"/>
    <w:rsid w:val="28847070"/>
    <w:rsid w:val="288577D6"/>
    <w:rsid w:val="28870B4E"/>
    <w:rsid w:val="289327F7"/>
    <w:rsid w:val="28944322"/>
    <w:rsid w:val="28996392"/>
    <w:rsid w:val="28A70CC6"/>
    <w:rsid w:val="28B35DA4"/>
    <w:rsid w:val="28B55A7F"/>
    <w:rsid w:val="28BC3E3A"/>
    <w:rsid w:val="28BF3FDB"/>
    <w:rsid w:val="28D206D2"/>
    <w:rsid w:val="28DC304D"/>
    <w:rsid w:val="28E478D8"/>
    <w:rsid w:val="28E92198"/>
    <w:rsid w:val="28EB6F79"/>
    <w:rsid w:val="28F13D9D"/>
    <w:rsid w:val="28F51E9C"/>
    <w:rsid w:val="2900512A"/>
    <w:rsid w:val="2904384D"/>
    <w:rsid w:val="2909710D"/>
    <w:rsid w:val="290C07F0"/>
    <w:rsid w:val="291B6465"/>
    <w:rsid w:val="292330F7"/>
    <w:rsid w:val="292E0B92"/>
    <w:rsid w:val="292E22DB"/>
    <w:rsid w:val="292F727B"/>
    <w:rsid w:val="293A2AD9"/>
    <w:rsid w:val="293B3290"/>
    <w:rsid w:val="293C51FA"/>
    <w:rsid w:val="2940731E"/>
    <w:rsid w:val="294305DE"/>
    <w:rsid w:val="294F4E8E"/>
    <w:rsid w:val="29655E39"/>
    <w:rsid w:val="296D217B"/>
    <w:rsid w:val="296E7335"/>
    <w:rsid w:val="297220CC"/>
    <w:rsid w:val="2973643B"/>
    <w:rsid w:val="29791FD7"/>
    <w:rsid w:val="297D4984"/>
    <w:rsid w:val="29893481"/>
    <w:rsid w:val="29941EAE"/>
    <w:rsid w:val="29A30A29"/>
    <w:rsid w:val="29B63761"/>
    <w:rsid w:val="29BC393D"/>
    <w:rsid w:val="29BD0395"/>
    <w:rsid w:val="29C262BB"/>
    <w:rsid w:val="29D3448A"/>
    <w:rsid w:val="29D4444C"/>
    <w:rsid w:val="29D6404D"/>
    <w:rsid w:val="29DC2AA1"/>
    <w:rsid w:val="29DF788D"/>
    <w:rsid w:val="29E20F25"/>
    <w:rsid w:val="29E35CC9"/>
    <w:rsid w:val="29E73039"/>
    <w:rsid w:val="29F565B3"/>
    <w:rsid w:val="29FA5561"/>
    <w:rsid w:val="2A0925D8"/>
    <w:rsid w:val="2A103570"/>
    <w:rsid w:val="2A1657F3"/>
    <w:rsid w:val="2A175540"/>
    <w:rsid w:val="2A200C82"/>
    <w:rsid w:val="2A24097C"/>
    <w:rsid w:val="2A2D22C7"/>
    <w:rsid w:val="2A2F0750"/>
    <w:rsid w:val="2A321881"/>
    <w:rsid w:val="2A346D0B"/>
    <w:rsid w:val="2A446E37"/>
    <w:rsid w:val="2A4E648A"/>
    <w:rsid w:val="2A53019E"/>
    <w:rsid w:val="2A557BBB"/>
    <w:rsid w:val="2A651779"/>
    <w:rsid w:val="2A6F4EFD"/>
    <w:rsid w:val="2A7303CF"/>
    <w:rsid w:val="2A740DCD"/>
    <w:rsid w:val="2A78364C"/>
    <w:rsid w:val="2A795BE3"/>
    <w:rsid w:val="2A7E5D3A"/>
    <w:rsid w:val="2A8119E3"/>
    <w:rsid w:val="2A826A75"/>
    <w:rsid w:val="2A83359C"/>
    <w:rsid w:val="2A857B98"/>
    <w:rsid w:val="2A9C1960"/>
    <w:rsid w:val="2AA61351"/>
    <w:rsid w:val="2AAD393F"/>
    <w:rsid w:val="2AAD52ED"/>
    <w:rsid w:val="2AAF757C"/>
    <w:rsid w:val="2AB66038"/>
    <w:rsid w:val="2AB90E9E"/>
    <w:rsid w:val="2ABD74FE"/>
    <w:rsid w:val="2AC1796D"/>
    <w:rsid w:val="2ADD7936"/>
    <w:rsid w:val="2AE70478"/>
    <w:rsid w:val="2AEA6823"/>
    <w:rsid w:val="2AF73206"/>
    <w:rsid w:val="2AF83DBF"/>
    <w:rsid w:val="2AFF0153"/>
    <w:rsid w:val="2AFF61E9"/>
    <w:rsid w:val="2B146D14"/>
    <w:rsid w:val="2B153EF5"/>
    <w:rsid w:val="2B1A44FF"/>
    <w:rsid w:val="2B1F5024"/>
    <w:rsid w:val="2B234681"/>
    <w:rsid w:val="2B261DD7"/>
    <w:rsid w:val="2B287437"/>
    <w:rsid w:val="2B2B7345"/>
    <w:rsid w:val="2B3222F2"/>
    <w:rsid w:val="2B373986"/>
    <w:rsid w:val="2B381B9F"/>
    <w:rsid w:val="2B3F244C"/>
    <w:rsid w:val="2B533D48"/>
    <w:rsid w:val="2B5432CC"/>
    <w:rsid w:val="2B5903D4"/>
    <w:rsid w:val="2B5C3407"/>
    <w:rsid w:val="2B5C3C44"/>
    <w:rsid w:val="2B5D3585"/>
    <w:rsid w:val="2B637489"/>
    <w:rsid w:val="2B647096"/>
    <w:rsid w:val="2B6C7A66"/>
    <w:rsid w:val="2B6D1850"/>
    <w:rsid w:val="2B724C67"/>
    <w:rsid w:val="2B782A1F"/>
    <w:rsid w:val="2B7C07F9"/>
    <w:rsid w:val="2B80151A"/>
    <w:rsid w:val="2B81525B"/>
    <w:rsid w:val="2B8876E9"/>
    <w:rsid w:val="2B937CDC"/>
    <w:rsid w:val="2B995D32"/>
    <w:rsid w:val="2B9B3029"/>
    <w:rsid w:val="2B9B64FA"/>
    <w:rsid w:val="2BA11867"/>
    <w:rsid w:val="2BBE2458"/>
    <w:rsid w:val="2BBE645F"/>
    <w:rsid w:val="2BC06835"/>
    <w:rsid w:val="2BCB218E"/>
    <w:rsid w:val="2BD2760B"/>
    <w:rsid w:val="2BD32BEB"/>
    <w:rsid w:val="2BD32F8E"/>
    <w:rsid w:val="2BDA2E28"/>
    <w:rsid w:val="2BDC76EF"/>
    <w:rsid w:val="2BE44A92"/>
    <w:rsid w:val="2BE76C10"/>
    <w:rsid w:val="2BEA2DDE"/>
    <w:rsid w:val="2BEE7CF9"/>
    <w:rsid w:val="2BF5094B"/>
    <w:rsid w:val="2BF805CA"/>
    <w:rsid w:val="2C015E10"/>
    <w:rsid w:val="2C022A0F"/>
    <w:rsid w:val="2C03656F"/>
    <w:rsid w:val="2C04259F"/>
    <w:rsid w:val="2C097512"/>
    <w:rsid w:val="2C0C0D19"/>
    <w:rsid w:val="2C116AD1"/>
    <w:rsid w:val="2C122652"/>
    <w:rsid w:val="2C163734"/>
    <w:rsid w:val="2C1D3306"/>
    <w:rsid w:val="2C1F4713"/>
    <w:rsid w:val="2C283019"/>
    <w:rsid w:val="2C2B7F3C"/>
    <w:rsid w:val="2C2F4D9C"/>
    <w:rsid w:val="2C3840B1"/>
    <w:rsid w:val="2C3841C9"/>
    <w:rsid w:val="2C387CAA"/>
    <w:rsid w:val="2C3D7DA5"/>
    <w:rsid w:val="2C4226F6"/>
    <w:rsid w:val="2C466CE1"/>
    <w:rsid w:val="2C4722D2"/>
    <w:rsid w:val="2C473DBF"/>
    <w:rsid w:val="2C557A73"/>
    <w:rsid w:val="2C6421B7"/>
    <w:rsid w:val="2C697531"/>
    <w:rsid w:val="2C6A4A41"/>
    <w:rsid w:val="2C6A5997"/>
    <w:rsid w:val="2C6E62CA"/>
    <w:rsid w:val="2C7232F1"/>
    <w:rsid w:val="2C74498D"/>
    <w:rsid w:val="2C7A4305"/>
    <w:rsid w:val="2C851C3E"/>
    <w:rsid w:val="2C855DAC"/>
    <w:rsid w:val="2C884334"/>
    <w:rsid w:val="2C992219"/>
    <w:rsid w:val="2C9B204B"/>
    <w:rsid w:val="2CA46622"/>
    <w:rsid w:val="2CA91024"/>
    <w:rsid w:val="2CB361A5"/>
    <w:rsid w:val="2CC51EF3"/>
    <w:rsid w:val="2CC60430"/>
    <w:rsid w:val="2CDE5C1B"/>
    <w:rsid w:val="2CE364B1"/>
    <w:rsid w:val="2CEC0004"/>
    <w:rsid w:val="2CF00429"/>
    <w:rsid w:val="2CF6084F"/>
    <w:rsid w:val="2D0D7222"/>
    <w:rsid w:val="2D0E0FF4"/>
    <w:rsid w:val="2D0F597E"/>
    <w:rsid w:val="2D26521F"/>
    <w:rsid w:val="2D320E4E"/>
    <w:rsid w:val="2D3519ED"/>
    <w:rsid w:val="2D3D7178"/>
    <w:rsid w:val="2D443A60"/>
    <w:rsid w:val="2D445E75"/>
    <w:rsid w:val="2D4C5C73"/>
    <w:rsid w:val="2D5D2C5F"/>
    <w:rsid w:val="2D66111E"/>
    <w:rsid w:val="2D6B2B7E"/>
    <w:rsid w:val="2D6C4296"/>
    <w:rsid w:val="2D756D21"/>
    <w:rsid w:val="2D762EC6"/>
    <w:rsid w:val="2D7D3287"/>
    <w:rsid w:val="2D7E6359"/>
    <w:rsid w:val="2DA06097"/>
    <w:rsid w:val="2DA43AF9"/>
    <w:rsid w:val="2DAE5282"/>
    <w:rsid w:val="2DB67D65"/>
    <w:rsid w:val="2DC51ADF"/>
    <w:rsid w:val="2DC932F1"/>
    <w:rsid w:val="2DCB764A"/>
    <w:rsid w:val="2DCD5D54"/>
    <w:rsid w:val="2DCE7001"/>
    <w:rsid w:val="2DDD7025"/>
    <w:rsid w:val="2DE060E7"/>
    <w:rsid w:val="2DE64E6E"/>
    <w:rsid w:val="2DE81822"/>
    <w:rsid w:val="2DF61A39"/>
    <w:rsid w:val="2DFB2564"/>
    <w:rsid w:val="2DFE6C08"/>
    <w:rsid w:val="2E00469C"/>
    <w:rsid w:val="2E035BFB"/>
    <w:rsid w:val="2E0D0910"/>
    <w:rsid w:val="2E0D38E6"/>
    <w:rsid w:val="2E121D9A"/>
    <w:rsid w:val="2E124C1F"/>
    <w:rsid w:val="2E175298"/>
    <w:rsid w:val="2E27089B"/>
    <w:rsid w:val="2E2B5150"/>
    <w:rsid w:val="2E2B5417"/>
    <w:rsid w:val="2E2F3854"/>
    <w:rsid w:val="2E314855"/>
    <w:rsid w:val="2E3265B7"/>
    <w:rsid w:val="2E366541"/>
    <w:rsid w:val="2E441C63"/>
    <w:rsid w:val="2E444903"/>
    <w:rsid w:val="2E4B5344"/>
    <w:rsid w:val="2E513FEB"/>
    <w:rsid w:val="2E556066"/>
    <w:rsid w:val="2E557D41"/>
    <w:rsid w:val="2E575CE5"/>
    <w:rsid w:val="2E635260"/>
    <w:rsid w:val="2E6544B1"/>
    <w:rsid w:val="2E6B29D3"/>
    <w:rsid w:val="2E7368C6"/>
    <w:rsid w:val="2E7552A7"/>
    <w:rsid w:val="2E861045"/>
    <w:rsid w:val="2E864FF0"/>
    <w:rsid w:val="2E89343E"/>
    <w:rsid w:val="2E8E4021"/>
    <w:rsid w:val="2E9845C1"/>
    <w:rsid w:val="2E995CC7"/>
    <w:rsid w:val="2E9E012C"/>
    <w:rsid w:val="2EB35574"/>
    <w:rsid w:val="2EB83212"/>
    <w:rsid w:val="2EBC3F54"/>
    <w:rsid w:val="2EBF00B3"/>
    <w:rsid w:val="2ED63B48"/>
    <w:rsid w:val="2EE240FD"/>
    <w:rsid w:val="2EF83AC3"/>
    <w:rsid w:val="2EF83BE5"/>
    <w:rsid w:val="2EFE0CD2"/>
    <w:rsid w:val="2F0D0E1E"/>
    <w:rsid w:val="2F1228E1"/>
    <w:rsid w:val="2F1405EB"/>
    <w:rsid w:val="2F144C68"/>
    <w:rsid w:val="2F1A1C1B"/>
    <w:rsid w:val="2F1D0548"/>
    <w:rsid w:val="2F2373E7"/>
    <w:rsid w:val="2F25798D"/>
    <w:rsid w:val="2F2B7701"/>
    <w:rsid w:val="2F3A5581"/>
    <w:rsid w:val="2F3F0889"/>
    <w:rsid w:val="2F3F2E91"/>
    <w:rsid w:val="2F3F2FA2"/>
    <w:rsid w:val="2F405E38"/>
    <w:rsid w:val="2F431340"/>
    <w:rsid w:val="2F490799"/>
    <w:rsid w:val="2F4C1A23"/>
    <w:rsid w:val="2F5164AC"/>
    <w:rsid w:val="2F704411"/>
    <w:rsid w:val="2F7073CF"/>
    <w:rsid w:val="2F722771"/>
    <w:rsid w:val="2F7D3914"/>
    <w:rsid w:val="2F827A5E"/>
    <w:rsid w:val="2F836C9F"/>
    <w:rsid w:val="2F87443F"/>
    <w:rsid w:val="2F880D3B"/>
    <w:rsid w:val="2F8D08C3"/>
    <w:rsid w:val="2F9154D6"/>
    <w:rsid w:val="2F917175"/>
    <w:rsid w:val="2F9673B8"/>
    <w:rsid w:val="2F9D31F6"/>
    <w:rsid w:val="2FA771DF"/>
    <w:rsid w:val="2FB4573E"/>
    <w:rsid w:val="2FB55764"/>
    <w:rsid w:val="2FCD0CD8"/>
    <w:rsid w:val="2FD505B1"/>
    <w:rsid w:val="2FD50C59"/>
    <w:rsid w:val="2FD77336"/>
    <w:rsid w:val="2FDA7D84"/>
    <w:rsid w:val="2FDD29B0"/>
    <w:rsid w:val="2FE66D18"/>
    <w:rsid w:val="2FED5B33"/>
    <w:rsid w:val="2FF47073"/>
    <w:rsid w:val="2FF818BA"/>
    <w:rsid w:val="2FF953E8"/>
    <w:rsid w:val="2FF96642"/>
    <w:rsid w:val="2FFE2E5D"/>
    <w:rsid w:val="30020133"/>
    <w:rsid w:val="30054C55"/>
    <w:rsid w:val="300C346B"/>
    <w:rsid w:val="300D2A21"/>
    <w:rsid w:val="3012162E"/>
    <w:rsid w:val="301A377C"/>
    <w:rsid w:val="301D02B9"/>
    <w:rsid w:val="302133F3"/>
    <w:rsid w:val="302177F7"/>
    <w:rsid w:val="302E2EF4"/>
    <w:rsid w:val="30327943"/>
    <w:rsid w:val="3037035F"/>
    <w:rsid w:val="3041038A"/>
    <w:rsid w:val="30475E30"/>
    <w:rsid w:val="305158FB"/>
    <w:rsid w:val="30530011"/>
    <w:rsid w:val="30592B8D"/>
    <w:rsid w:val="305B3092"/>
    <w:rsid w:val="3065539F"/>
    <w:rsid w:val="3067240B"/>
    <w:rsid w:val="306F1DBD"/>
    <w:rsid w:val="30751997"/>
    <w:rsid w:val="30837582"/>
    <w:rsid w:val="30931E34"/>
    <w:rsid w:val="30A56294"/>
    <w:rsid w:val="30A94B7F"/>
    <w:rsid w:val="30AD075B"/>
    <w:rsid w:val="30B02567"/>
    <w:rsid w:val="30B04E27"/>
    <w:rsid w:val="30B24378"/>
    <w:rsid w:val="30B47711"/>
    <w:rsid w:val="30BC5BB7"/>
    <w:rsid w:val="30C47BC8"/>
    <w:rsid w:val="30C64BA7"/>
    <w:rsid w:val="30C93A93"/>
    <w:rsid w:val="30CB315B"/>
    <w:rsid w:val="30CE1022"/>
    <w:rsid w:val="30D156FE"/>
    <w:rsid w:val="30D276C2"/>
    <w:rsid w:val="30DF6C55"/>
    <w:rsid w:val="30E11543"/>
    <w:rsid w:val="30E2185C"/>
    <w:rsid w:val="30E42053"/>
    <w:rsid w:val="30EA7D14"/>
    <w:rsid w:val="30F0277D"/>
    <w:rsid w:val="30F87185"/>
    <w:rsid w:val="30FA33DC"/>
    <w:rsid w:val="30FA3624"/>
    <w:rsid w:val="31030FEC"/>
    <w:rsid w:val="310B7829"/>
    <w:rsid w:val="310F4AEF"/>
    <w:rsid w:val="31166DE3"/>
    <w:rsid w:val="311C7DB5"/>
    <w:rsid w:val="31387F77"/>
    <w:rsid w:val="313F54DB"/>
    <w:rsid w:val="314961B6"/>
    <w:rsid w:val="314B289F"/>
    <w:rsid w:val="314F3376"/>
    <w:rsid w:val="314F3970"/>
    <w:rsid w:val="31564C8D"/>
    <w:rsid w:val="31595EE0"/>
    <w:rsid w:val="315D551A"/>
    <w:rsid w:val="315F36AD"/>
    <w:rsid w:val="31650664"/>
    <w:rsid w:val="31662C71"/>
    <w:rsid w:val="316905A7"/>
    <w:rsid w:val="316D3427"/>
    <w:rsid w:val="317140E5"/>
    <w:rsid w:val="31762E8B"/>
    <w:rsid w:val="317E6003"/>
    <w:rsid w:val="318162FD"/>
    <w:rsid w:val="318A1ADB"/>
    <w:rsid w:val="318D42D2"/>
    <w:rsid w:val="31905A3E"/>
    <w:rsid w:val="31931D67"/>
    <w:rsid w:val="31972AA8"/>
    <w:rsid w:val="319834F2"/>
    <w:rsid w:val="31AB7DA2"/>
    <w:rsid w:val="31B31BE6"/>
    <w:rsid w:val="31B5097C"/>
    <w:rsid w:val="31B56F97"/>
    <w:rsid w:val="31B91ABD"/>
    <w:rsid w:val="31BB4273"/>
    <w:rsid w:val="31C559E0"/>
    <w:rsid w:val="31C67850"/>
    <w:rsid w:val="31CA4F64"/>
    <w:rsid w:val="31CE0A51"/>
    <w:rsid w:val="31D2228D"/>
    <w:rsid w:val="31D36F97"/>
    <w:rsid w:val="31D863C1"/>
    <w:rsid w:val="31DD79A1"/>
    <w:rsid w:val="31F12B1F"/>
    <w:rsid w:val="32043258"/>
    <w:rsid w:val="32116E77"/>
    <w:rsid w:val="321A667D"/>
    <w:rsid w:val="321E1D8E"/>
    <w:rsid w:val="3221710C"/>
    <w:rsid w:val="322C5A5F"/>
    <w:rsid w:val="322E531D"/>
    <w:rsid w:val="323256F6"/>
    <w:rsid w:val="32362973"/>
    <w:rsid w:val="323B50FC"/>
    <w:rsid w:val="323C2A55"/>
    <w:rsid w:val="323F0B8E"/>
    <w:rsid w:val="324011C2"/>
    <w:rsid w:val="32445FFC"/>
    <w:rsid w:val="324C3F22"/>
    <w:rsid w:val="325A3905"/>
    <w:rsid w:val="3268332E"/>
    <w:rsid w:val="326A2FB3"/>
    <w:rsid w:val="326E6078"/>
    <w:rsid w:val="327052AF"/>
    <w:rsid w:val="32755C4A"/>
    <w:rsid w:val="327E4312"/>
    <w:rsid w:val="328C338F"/>
    <w:rsid w:val="32964B09"/>
    <w:rsid w:val="329A0462"/>
    <w:rsid w:val="329B32CA"/>
    <w:rsid w:val="329B4860"/>
    <w:rsid w:val="329C0C4C"/>
    <w:rsid w:val="32A0392B"/>
    <w:rsid w:val="32AC094E"/>
    <w:rsid w:val="32AD3782"/>
    <w:rsid w:val="32BE12FB"/>
    <w:rsid w:val="32CA0AAF"/>
    <w:rsid w:val="32D3784A"/>
    <w:rsid w:val="32D85708"/>
    <w:rsid w:val="32DC50D9"/>
    <w:rsid w:val="32DD144F"/>
    <w:rsid w:val="32DE43A0"/>
    <w:rsid w:val="32E35ECC"/>
    <w:rsid w:val="32EB6FE9"/>
    <w:rsid w:val="32F21F30"/>
    <w:rsid w:val="32FC735B"/>
    <w:rsid w:val="32FC7740"/>
    <w:rsid w:val="330C7FBD"/>
    <w:rsid w:val="33101F81"/>
    <w:rsid w:val="331E1494"/>
    <w:rsid w:val="332149AD"/>
    <w:rsid w:val="332252C4"/>
    <w:rsid w:val="332579A8"/>
    <w:rsid w:val="33311E1D"/>
    <w:rsid w:val="33367F61"/>
    <w:rsid w:val="333C27E7"/>
    <w:rsid w:val="333D01B9"/>
    <w:rsid w:val="33401C41"/>
    <w:rsid w:val="33404766"/>
    <w:rsid w:val="3341553A"/>
    <w:rsid w:val="33431AC2"/>
    <w:rsid w:val="334A5D48"/>
    <w:rsid w:val="33523DDE"/>
    <w:rsid w:val="33632873"/>
    <w:rsid w:val="336E595D"/>
    <w:rsid w:val="33763C22"/>
    <w:rsid w:val="33796643"/>
    <w:rsid w:val="337F0F6B"/>
    <w:rsid w:val="3381316C"/>
    <w:rsid w:val="33835B53"/>
    <w:rsid w:val="338752E9"/>
    <w:rsid w:val="33894900"/>
    <w:rsid w:val="338C6DB2"/>
    <w:rsid w:val="339E3A3C"/>
    <w:rsid w:val="33A146B4"/>
    <w:rsid w:val="33A44E48"/>
    <w:rsid w:val="33A81A86"/>
    <w:rsid w:val="33AB5034"/>
    <w:rsid w:val="33B061A8"/>
    <w:rsid w:val="33B07A44"/>
    <w:rsid w:val="33B4667C"/>
    <w:rsid w:val="33BD5A83"/>
    <w:rsid w:val="33C55CA7"/>
    <w:rsid w:val="33C702ED"/>
    <w:rsid w:val="33D1062F"/>
    <w:rsid w:val="33DF0711"/>
    <w:rsid w:val="33DF70AE"/>
    <w:rsid w:val="33F12A50"/>
    <w:rsid w:val="33F321BA"/>
    <w:rsid w:val="33F35483"/>
    <w:rsid w:val="33F64577"/>
    <w:rsid w:val="33FA2516"/>
    <w:rsid w:val="3400529A"/>
    <w:rsid w:val="34015D1F"/>
    <w:rsid w:val="34057516"/>
    <w:rsid w:val="340D5C9C"/>
    <w:rsid w:val="3411331F"/>
    <w:rsid w:val="3413678E"/>
    <w:rsid w:val="3416751D"/>
    <w:rsid w:val="34190265"/>
    <w:rsid w:val="34275018"/>
    <w:rsid w:val="342A3CB4"/>
    <w:rsid w:val="342A6CDC"/>
    <w:rsid w:val="342E0EC7"/>
    <w:rsid w:val="343047D3"/>
    <w:rsid w:val="34335C86"/>
    <w:rsid w:val="34413517"/>
    <w:rsid w:val="34480E32"/>
    <w:rsid w:val="3458015E"/>
    <w:rsid w:val="345D645F"/>
    <w:rsid w:val="346D5D12"/>
    <w:rsid w:val="346F4F4A"/>
    <w:rsid w:val="347253F1"/>
    <w:rsid w:val="34841945"/>
    <w:rsid w:val="34851430"/>
    <w:rsid w:val="3491429F"/>
    <w:rsid w:val="34A07D9E"/>
    <w:rsid w:val="34AB299B"/>
    <w:rsid w:val="34AF6BAB"/>
    <w:rsid w:val="34BD2CCA"/>
    <w:rsid w:val="34C100BA"/>
    <w:rsid w:val="34C14371"/>
    <w:rsid w:val="34C5273B"/>
    <w:rsid w:val="34D74FDC"/>
    <w:rsid w:val="34E46BB5"/>
    <w:rsid w:val="34E6755F"/>
    <w:rsid w:val="34EF2C76"/>
    <w:rsid w:val="34F5115F"/>
    <w:rsid w:val="34F571F2"/>
    <w:rsid w:val="34FA54B2"/>
    <w:rsid w:val="34FD580A"/>
    <w:rsid w:val="34FF15BB"/>
    <w:rsid w:val="34FF53C5"/>
    <w:rsid w:val="350471C8"/>
    <w:rsid w:val="35090B63"/>
    <w:rsid w:val="350A1DCF"/>
    <w:rsid w:val="35134613"/>
    <w:rsid w:val="35197E42"/>
    <w:rsid w:val="352152C8"/>
    <w:rsid w:val="35233077"/>
    <w:rsid w:val="352A41A8"/>
    <w:rsid w:val="353642AB"/>
    <w:rsid w:val="353D722E"/>
    <w:rsid w:val="354562EB"/>
    <w:rsid w:val="3545752B"/>
    <w:rsid w:val="35530079"/>
    <w:rsid w:val="356B157C"/>
    <w:rsid w:val="356E6CE1"/>
    <w:rsid w:val="35731BF7"/>
    <w:rsid w:val="35770921"/>
    <w:rsid w:val="357A177D"/>
    <w:rsid w:val="357C4031"/>
    <w:rsid w:val="357F677C"/>
    <w:rsid w:val="35833F14"/>
    <w:rsid w:val="358538AB"/>
    <w:rsid w:val="3589251A"/>
    <w:rsid w:val="358C0F12"/>
    <w:rsid w:val="358E04EE"/>
    <w:rsid w:val="358F6692"/>
    <w:rsid w:val="359B4004"/>
    <w:rsid w:val="359F0C3E"/>
    <w:rsid w:val="35A52F92"/>
    <w:rsid w:val="35AE79BB"/>
    <w:rsid w:val="35AF0064"/>
    <w:rsid w:val="35B278FC"/>
    <w:rsid w:val="35C03996"/>
    <w:rsid w:val="35C14C4F"/>
    <w:rsid w:val="35C50ABB"/>
    <w:rsid w:val="35C961DE"/>
    <w:rsid w:val="35CB6607"/>
    <w:rsid w:val="35D7264D"/>
    <w:rsid w:val="35D801BB"/>
    <w:rsid w:val="35D92FA2"/>
    <w:rsid w:val="35E90436"/>
    <w:rsid w:val="35EB5811"/>
    <w:rsid w:val="35FF44CF"/>
    <w:rsid w:val="3603072D"/>
    <w:rsid w:val="36045036"/>
    <w:rsid w:val="36045D13"/>
    <w:rsid w:val="360C2E3B"/>
    <w:rsid w:val="36143A97"/>
    <w:rsid w:val="36266B61"/>
    <w:rsid w:val="362672F5"/>
    <w:rsid w:val="36274348"/>
    <w:rsid w:val="36285F30"/>
    <w:rsid w:val="362D1923"/>
    <w:rsid w:val="36350803"/>
    <w:rsid w:val="36355306"/>
    <w:rsid w:val="36363350"/>
    <w:rsid w:val="36395E3D"/>
    <w:rsid w:val="364B6400"/>
    <w:rsid w:val="365E6403"/>
    <w:rsid w:val="369669D9"/>
    <w:rsid w:val="36973A0B"/>
    <w:rsid w:val="369D5712"/>
    <w:rsid w:val="36A5579C"/>
    <w:rsid w:val="36B648BD"/>
    <w:rsid w:val="36B778B1"/>
    <w:rsid w:val="36B9131E"/>
    <w:rsid w:val="36BB1878"/>
    <w:rsid w:val="36C4095C"/>
    <w:rsid w:val="36D57254"/>
    <w:rsid w:val="36D6086F"/>
    <w:rsid w:val="36DA091C"/>
    <w:rsid w:val="36DE73AC"/>
    <w:rsid w:val="36F05BEF"/>
    <w:rsid w:val="36F476F6"/>
    <w:rsid w:val="37033D62"/>
    <w:rsid w:val="37047B9A"/>
    <w:rsid w:val="37115737"/>
    <w:rsid w:val="37152F66"/>
    <w:rsid w:val="372535A5"/>
    <w:rsid w:val="373339AD"/>
    <w:rsid w:val="37350E90"/>
    <w:rsid w:val="37496F18"/>
    <w:rsid w:val="375210A4"/>
    <w:rsid w:val="375F04D5"/>
    <w:rsid w:val="376614D0"/>
    <w:rsid w:val="37674BA9"/>
    <w:rsid w:val="37695B54"/>
    <w:rsid w:val="376B0DD8"/>
    <w:rsid w:val="376F3D58"/>
    <w:rsid w:val="377157E3"/>
    <w:rsid w:val="37797999"/>
    <w:rsid w:val="377C2B98"/>
    <w:rsid w:val="37833BE3"/>
    <w:rsid w:val="37861616"/>
    <w:rsid w:val="378958C2"/>
    <w:rsid w:val="378A0189"/>
    <w:rsid w:val="379133BF"/>
    <w:rsid w:val="37922808"/>
    <w:rsid w:val="37923A35"/>
    <w:rsid w:val="379903EB"/>
    <w:rsid w:val="379D4B9D"/>
    <w:rsid w:val="37A1136B"/>
    <w:rsid w:val="37C2506F"/>
    <w:rsid w:val="37CB454D"/>
    <w:rsid w:val="37CE4C3E"/>
    <w:rsid w:val="37D868A7"/>
    <w:rsid w:val="37E26AA1"/>
    <w:rsid w:val="37E869F0"/>
    <w:rsid w:val="37F1019A"/>
    <w:rsid w:val="37F8082F"/>
    <w:rsid w:val="37F82C04"/>
    <w:rsid w:val="37F92A1F"/>
    <w:rsid w:val="37F947FE"/>
    <w:rsid w:val="37FC411A"/>
    <w:rsid w:val="38014A11"/>
    <w:rsid w:val="38021B52"/>
    <w:rsid w:val="381210C9"/>
    <w:rsid w:val="381946E1"/>
    <w:rsid w:val="382209C5"/>
    <w:rsid w:val="382A0C93"/>
    <w:rsid w:val="382A7217"/>
    <w:rsid w:val="382C1FE9"/>
    <w:rsid w:val="383A5062"/>
    <w:rsid w:val="38460FDE"/>
    <w:rsid w:val="38503863"/>
    <w:rsid w:val="385A458B"/>
    <w:rsid w:val="385F2B13"/>
    <w:rsid w:val="38637BAE"/>
    <w:rsid w:val="386862D0"/>
    <w:rsid w:val="38773614"/>
    <w:rsid w:val="387827D6"/>
    <w:rsid w:val="38811766"/>
    <w:rsid w:val="38957B7A"/>
    <w:rsid w:val="38AE462F"/>
    <w:rsid w:val="38AF6B6C"/>
    <w:rsid w:val="38B54187"/>
    <w:rsid w:val="38B862F2"/>
    <w:rsid w:val="38BD78FC"/>
    <w:rsid w:val="38BE2B69"/>
    <w:rsid w:val="38C422D5"/>
    <w:rsid w:val="38C61715"/>
    <w:rsid w:val="38CA2742"/>
    <w:rsid w:val="38DC2C9A"/>
    <w:rsid w:val="38DF05E7"/>
    <w:rsid w:val="38E04B22"/>
    <w:rsid w:val="38E1363B"/>
    <w:rsid w:val="38E3317A"/>
    <w:rsid w:val="38E96AA5"/>
    <w:rsid w:val="38FD4668"/>
    <w:rsid w:val="390123BC"/>
    <w:rsid w:val="39024102"/>
    <w:rsid w:val="39083EAB"/>
    <w:rsid w:val="390959D2"/>
    <w:rsid w:val="390973DE"/>
    <w:rsid w:val="390C0223"/>
    <w:rsid w:val="390F1B06"/>
    <w:rsid w:val="3911678C"/>
    <w:rsid w:val="39132A9B"/>
    <w:rsid w:val="39142CF2"/>
    <w:rsid w:val="39151F7A"/>
    <w:rsid w:val="39237490"/>
    <w:rsid w:val="392444CA"/>
    <w:rsid w:val="392F4262"/>
    <w:rsid w:val="39413994"/>
    <w:rsid w:val="3947568C"/>
    <w:rsid w:val="394A0BBD"/>
    <w:rsid w:val="394E6FC4"/>
    <w:rsid w:val="395F11AE"/>
    <w:rsid w:val="39613168"/>
    <w:rsid w:val="3962620A"/>
    <w:rsid w:val="396C0E37"/>
    <w:rsid w:val="396F40FE"/>
    <w:rsid w:val="39872F22"/>
    <w:rsid w:val="39873CDB"/>
    <w:rsid w:val="398E611F"/>
    <w:rsid w:val="3995388E"/>
    <w:rsid w:val="399C0723"/>
    <w:rsid w:val="39A06546"/>
    <w:rsid w:val="39A34E01"/>
    <w:rsid w:val="39AB0F30"/>
    <w:rsid w:val="39AD2D1B"/>
    <w:rsid w:val="39AF09E0"/>
    <w:rsid w:val="39BC6836"/>
    <w:rsid w:val="39C05339"/>
    <w:rsid w:val="39C71362"/>
    <w:rsid w:val="39C7774A"/>
    <w:rsid w:val="39CE7593"/>
    <w:rsid w:val="39D81032"/>
    <w:rsid w:val="39DF2EE9"/>
    <w:rsid w:val="39DF4383"/>
    <w:rsid w:val="39EA2B7D"/>
    <w:rsid w:val="39EE19B3"/>
    <w:rsid w:val="39F51828"/>
    <w:rsid w:val="3A165730"/>
    <w:rsid w:val="3A1759FE"/>
    <w:rsid w:val="3A1E40A8"/>
    <w:rsid w:val="3A1F14E8"/>
    <w:rsid w:val="3A215DA4"/>
    <w:rsid w:val="3A237DED"/>
    <w:rsid w:val="3A2A6087"/>
    <w:rsid w:val="3A305611"/>
    <w:rsid w:val="3A356783"/>
    <w:rsid w:val="3A3812C4"/>
    <w:rsid w:val="3A41329C"/>
    <w:rsid w:val="3A43323B"/>
    <w:rsid w:val="3A4A7EE4"/>
    <w:rsid w:val="3A4B0633"/>
    <w:rsid w:val="3A5C7F6C"/>
    <w:rsid w:val="3A5F717C"/>
    <w:rsid w:val="3A704832"/>
    <w:rsid w:val="3A762CD3"/>
    <w:rsid w:val="3A7922AF"/>
    <w:rsid w:val="3A7D1094"/>
    <w:rsid w:val="3A7F57CF"/>
    <w:rsid w:val="3A883655"/>
    <w:rsid w:val="3A8A4029"/>
    <w:rsid w:val="3AB72576"/>
    <w:rsid w:val="3AD34038"/>
    <w:rsid w:val="3AD63323"/>
    <w:rsid w:val="3AD80B27"/>
    <w:rsid w:val="3ADC46E1"/>
    <w:rsid w:val="3AE42F73"/>
    <w:rsid w:val="3AE833AF"/>
    <w:rsid w:val="3AF07B06"/>
    <w:rsid w:val="3AFB5C9C"/>
    <w:rsid w:val="3B0C3829"/>
    <w:rsid w:val="3B0E755F"/>
    <w:rsid w:val="3B164849"/>
    <w:rsid w:val="3B1946E1"/>
    <w:rsid w:val="3B1D0E7B"/>
    <w:rsid w:val="3B2174CA"/>
    <w:rsid w:val="3B226923"/>
    <w:rsid w:val="3B2428F4"/>
    <w:rsid w:val="3B251655"/>
    <w:rsid w:val="3B2C0432"/>
    <w:rsid w:val="3B3634CE"/>
    <w:rsid w:val="3B370F6F"/>
    <w:rsid w:val="3B3779E1"/>
    <w:rsid w:val="3B395AAF"/>
    <w:rsid w:val="3B3B4F65"/>
    <w:rsid w:val="3B3F5D44"/>
    <w:rsid w:val="3B461160"/>
    <w:rsid w:val="3B540C9C"/>
    <w:rsid w:val="3B5A6803"/>
    <w:rsid w:val="3B5E42DF"/>
    <w:rsid w:val="3B6049CB"/>
    <w:rsid w:val="3B657FF1"/>
    <w:rsid w:val="3B67137E"/>
    <w:rsid w:val="3B6B451D"/>
    <w:rsid w:val="3B760507"/>
    <w:rsid w:val="3B900DC8"/>
    <w:rsid w:val="3B90157C"/>
    <w:rsid w:val="3B921974"/>
    <w:rsid w:val="3B942FA4"/>
    <w:rsid w:val="3B9D57F6"/>
    <w:rsid w:val="3BA10975"/>
    <w:rsid w:val="3BA4440B"/>
    <w:rsid w:val="3BA56A4E"/>
    <w:rsid w:val="3BAF6483"/>
    <w:rsid w:val="3BB00237"/>
    <w:rsid w:val="3BB024C0"/>
    <w:rsid w:val="3BB45D4F"/>
    <w:rsid w:val="3BBC19F2"/>
    <w:rsid w:val="3BBE7DC1"/>
    <w:rsid w:val="3BC36BC5"/>
    <w:rsid w:val="3BD5188A"/>
    <w:rsid w:val="3BDD33A3"/>
    <w:rsid w:val="3BE8274F"/>
    <w:rsid w:val="3BEF4CB2"/>
    <w:rsid w:val="3BF611BA"/>
    <w:rsid w:val="3BF828E3"/>
    <w:rsid w:val="3BFE778D"/>
    <w:rsid w:val="3C123480"/>
    <w:rsid w:val="3C127211"/>
    <w:rsid w:val="3C15441F"/>
    <w:rsid w:val="3C170939"/>
    <w:rsid w:val="3C2317D2"/>
    <w:rsid w:val="3C3744B2"/>
    <w:rsid w:val="3C385A1D"/>
    <w:rsid w:val="3C3E07F0"/>
    <w:rsid w:val="3C403CF2"/>
    <w:rsid w:val="3C414DA5"/>
    <w:rsid w:val="3C43510A"/>
    <w:rsid w:val="3C466358"/>
    <w:rsid w:val="3C5B42D4"/>
    <w:rsid w:val="3C602DED"/>
    <w:rsid w:val="3C6333F1"/>
    <w:rsid w:val="3C6D41FE"/>
    <w:rsid w:val="3C6E024A"/>
    <w:rsid w:val="3C6F3A08"/>
    <w:rsid w:val="3C6F4D3B"/>
    <w:rsid w:val="3C7D1B3E"/>
    <w:rsid w:val="3C7D6C7C"/>
    <w:rsid w:val="3C93083D"/>
    <w:rsid w:val="3C9C6FE7"/>
    <w:rsid w:val="3CA424EB"/>
    <w:rsid w:val="3CAC5CFE"/>
    <w:rsid w:val="3CB04C77"/>
    <w:rsid w:val="3CB20819"/>
    <w:rsid w:val="3CC65269"/>
    <w:rsid w:val="3CCD2EEF"/>
    <w:rsid w:val="3CD0064E"/>
    <w:rsid w:val="3CEB4AD7"/>
    <w:rsid w:val="3CEC0184"/>
    <w:rsid w:val="3CF216D3"/>
    <w:rsid w:val="3CF73F9A"/>
    <w:rsid w:val="3CFE5A5C"/>
    <w:rsid w:val="3D0E6843"/>
    <w:rsid w:val="3D191DAA"/>
    <w:rsid w:val="3D23672F"/>
    <w:rsid w:val="3D2502C8"/>
    <w:rsid w:val="3D2F0AF9"/>
    <w:rsid w:val="3D371C50"/>
    <w:rsid w:val="3D462E65"/>
    <w:rsid w:val="3D490A1B"/>
    <w:rsid w:val="3D4D1D31"/>
    <w:rsid w:val="3D501A9C"/>
    <w:rsid w:val="3D506C30"/>
    <w:rsid w:val="3D532B00"/>
    <w:rsid w:val="3D59186F"/>
    <w:rsid w:val="3D652CAB"/>
    <w:rsid w:val="3D705C19"/>
    <w:rsid w:val="3D7238DB"/>
    <w:rsid w:val="3D9730E1"/>
    <w:rsid w:val="3D9848F1"/>
    <w:rsid w:val="3D994F0A"/>
    <w:rsid w:val="3DA32A96"/>
    <w:rsid w:val="3DBB6A54"/>
    <w:rsid w:val="3DC24854"/>
    <w:rsid w:val="3DD1349B"/>
    <w:rsid w:val="3DD221B7"/>
    <w:rsid w:val="3DD96EC9"/>
    <w:rsid w:val="3DE51256"/>
    <w:rsid w:val="3DEA715D"/>
    <w:rsid w:val="3DF21B38"/>
    <w:rsid w:val="3DF56140"/>
    <w:rsid w:val="3DFC57FB"/>
    <w:rsid w:val="3E002D50"/>
    <w:rsid w:val="3E0130BA"/>
    <w:rsid w:val="3E0A6511"/>
    <w:rsid w:val="3E0E2FD5"/>
    <w:rsid w:val="3E134054"/>
    <w:rsid w:val="3E245A8F"/>
    <w:rsid w:val="3E246F3D"/>
    <w:rsid w:val="3E247A20"/>
    <w:rsid w:val="3E2574A0"/>
    <w:rsid w:val="3E2616C1"/>
    <w:rsid w:val="3E5018B8"/>
    <w:rsid w:val="3E5978BF"/>
    <w:rsid w:val="3E5D5542"/>
    <w:rsid w:val="3E5E1B99"/>
    <w:rsid w:val="3E601746"/>
    <w:rsid w:val="3E636CAD"/>
    <w:rsid w:val="3E672DAD"/>
    <w:rsid w:val="3E761F02"/>
    <w:rsid w:val="3E7714D4"/>
    <w:rsid w:val="3E774C34"/>
    <w:rsid w:val="3E8652B1"/>
    <w:rsid w:val="3E8A31E1"/>
    <w:rsid w:val="3E983C64"/>
    <w:rsid w:val="3E9F341D"/>
    <w:rsid w:val="3E9F3605"/>
    <w:rsid w:val="3EA301D9"/>
    <w:rsid w:val="3EA52DC6"/>
    <w:rsid w:val="3EAC433E"/>
    <w:rsid w:val="3EAD435E"/>
    <w:rsid w:val="3EB017AE"/>
    <w:rsid w:val="3EB3776D"/>
    <w:rsid w:val="3EBA4F1D"/>
    <w:rsid w:val="3EBB1052"/>
    <w:rsid w:val="3EBD59F1"/>
    <w:rsid w:val="3ECA3F0B"/>
    <w:rsid w:val="3ED15734"/>
    <w:rsid w:val="3ED72927"/>
    <w:rsid w:val="3EE07013"/>
    <w:rsid w:val="3EE65880"/>
    <w:rsid w:val="3EEA4CDA"/>
    <w:rsid w:val="3EEB2CEE"/>
    <w:rsid w:val="3EEB5763"/>
    <w:rsid w:val="3EF15879"/>
    <w:rsid w:val="3EFA4CF0"/>
    <w:rsid w:val="3F001489"/>
    <w:rsid w:val="3F012400"/>
    <w:rsid w:val="3F031E07"/>
    <w:rsid w:val="3F06588A"/>
    <w:rsid w:val="3F070F45"/>
    <w:rsid w:val="3F075CF5"/>
    <w:rsid w:val="3F094364"/>
    <w:rsid w:val="3F1C75CF"/>
    <w:rsid w:val="3F3562C5"/>
    <w:rsid w:val="3F376DC9"/>
    <w:rsid w:val="3F43318E"/>
    <w:rsid w:val="3F4476C8"/>
    <w:rsid w:val="3F4B3F97"/>
    <w:rsid w:val="3F4F57E3"/>
    <w:rsid w:val="3F512FF6"/>
    <w:rsid w:val="3F5354C3"/>
    <w:rsid w:val="3F5F0544"/>
    <w:rsid w:val="3F6019F8"/>
    <w:rsid w:val="3F620BFB"/>
    <w:rsid w:val="3F6F1933"/>
    <w:rsid w:val="3F7444E5"/>
    <w:rsid w:val="3F7A0CD8"/>
    <w:rsid w:val="3F7E228C"/>
    <w:rsid w:val="3F832409"/>
    <w:rsid w:val="3F842939"/>
    <w:rsid w:val="3F93596D"/>
    <w:rsid w:val="3F9D4C38"/>
    <w:rsid w:val="3F9E1081"/>
    <w:rsid w:val="3F9E16ED"/>
    <w:rsid w:val="3F9F3FA7"/>
    <w:rsid w:val="3FA61A86"/>
    <w:rsid w:val="3FAA0AB2"/>
    <w:rsid w:val="3FAE078D"/>
    <w:rsid w:val="3FB10395"/>
    <w:rsid w:val="3FBC57F2"/>
    <w:rsid w:val="3FC93641"/>
    <w:rsid w:val="3FD65AB3"/>
    <w:rsid w:val="3FD74631"/>
    <w:rsid w:val="3FDC23A1"/>
    <w:rsid w:val="3FFC319E"/>
    <w:rsid w:val="4009584A"/>
    <w:rsid w:val="401D4686"/>
    <w:rsid w:val="401D4C7D"/>
    <w:rsid w:val="401E6A87"/>
    <w:rsid w:val="40292E09"/>
    <w:rsid w:val="402B539A"/>
    <w:rsid w:val="402E6F08"/>
    <w:rsid w:val="402F7D87"/>
    <w:rsid w:val="40392E75"/>
    <w:rsid w:val="404C3734"/>
    <w:rsid w:val="404E3885"/>
    <w:rsid w:val="40503C97"/>
    <w:rsid w:val="405215C2"/>
    <w:rsid w:val="407436A1"/>
    <w:rsid w:val="4078565D"/>
    <w:rsid w:val="407A7741"/>
    <w:rsid w:val="408562FD"/>
    <w:rsid w:val="40892FE2"/>
    <w:rsid w:val="40985426"/>
    <w:rsid w:val="40A30765"/>
    <w:rsid w:val="40A403A8"/>
    <w:rsid w:val="40A51E9D"/>
    <w:rsid w:val="40A72F9D"/>
    <w:rsid w:val="40B90DA1"/>
    <w:rsid w:val="40BF26F0"/>
    <w:rsid w:val="40C30F41"/>
    <w:rsid w:val="40C37CEF"/>
    <w:rsid w:val="40CA2584"/>
    <w:rsid w:val="40CB1AEF"/>
    <w:rsid w:val="40CD665F"/>
    <w:rsid w:val="40E56ECA"/>
    <w:rsid w:val="40E84C83"/>
    <w:rsid w:val="40FF56B8"/>
    <w:rsid w:val="410522E3"/>
    <w:rsid w:val="410561AA"/>
    <w:rsid w:val="41066C94"/>
    <w:rsid w:val="411573CE"/>
    <w:rsid w:val="411D1DFD"/>
    <w:rsid w:val="41202C33"/>
    <w:rsid w:val="413B50A6"/>
    <w:rsid w:val="413C758F"/>
    <w:rsid w:val="413F69B3"/>
    <w:rsid w:val="414363F5"/>
    <w:rsid w:val="414F153C"/>
    <w:rsid w:val="41517657"/>
    <w:rsid w:val="41571710"/>
    <w:rsid w:val="4158397F"/>
    <w:rsid w:val="4174093A"/>
    <w:rsid w:val="41834CBF"/>
    <w:rsid w:val="41882259"/>
    <w:rsid w:val="41910EF6"/>
    <w:rsid w:val="419541D6"/>
    <w:rsid w:val="41A61DF4"/>
    <w:rsid w:val="41CF7C84"/>
    <w:rsid w:val="41D059A2"/>
    <w:rsid w:val="41D16B08"/>
    <w:rsid w:val="41D962F9"/>
    <w:rsid w:val="41DE236A"/>
    <w:rsid w:val="41E3117C"/>
    <w:rsid w:val="41F11061"/>
    <w:rsid w:val="41F56A74"/>
    <w:rsid w:val="41F67DF1"/>
    <w:rsid w:val="41FA4EFD"/>
    <w:rsid w:val="41FD6096"/>
    <w:rsid w:val="41FE4420"/>
    <w:rsid w:val="42062F0F"/>
    <w:rsid w:val="420C61CC"/>
    <w:rsid w:val="421B2F82"/>
    <w:rsid w:val="42257AF2"/>
    <w:rsid w:val="4235176C"/>
    <w:rsid w:val="42427976"/>
    <w:rsid w:val="424524DD"/>
    <w:rsid w:val="425B33BA"/>
    <w:rsid w:val="425D457D"/>
    <w:rsid w:val="425E559F"/>
    <w:rsid w:val="427A51A5"/>
    <w:rsid w:val="42821A19"/>
    <w:rsid w:val="4286412E"/>
    <w:rsid w:val="428C2C05"/>
    <w:rsid w:val="42A13630"/>
    <w:rsid w:val="42A7322A"/>
    <w:rsid w:val="42A9499E"/>
    <w:rsid w:val="42AA1D1F"/>
    <w:rsid w:val="42B25162"/>
    <w:rsid w:val="42BA7393"/>
    <w:rsid w:val="42BC10CB"/>
    <w:rsid w:val="42CA288C"/>
    <w:rsid w:val="42D04AEA"/>
    <w:rsid w:val="42D25B81"/>
    <w:rsid w:val="42D31E6E"/>
    <w:rsid w:val="42DD08BF"/>
    <w:rsid w:val="42EC4F17"/>
    <w:rsid w:val="42FB6DBC"/>
    <w:rsid w:val="43021CD7"/>
    <w:rsid w:val="430867A7"/>
    <w:rsid w:val="430A5773"/>
    <w:rsid w:val="430D6E9D"/>
    <w:rsid w:val="431969CB"/>
    <w:rsid w:val="431A0AF5"/>
    <w:rsid w:val="43314AEF"/>
    <w:rsid w:val="43332558"/>
    <w:rsid w:val="433A6249"/>
    <w:rsid w:val="43400D24"/>
    <w:rsid w:val="43432C09"/>
    <w:rsid w:val="43437DA3"/>
    <w:rsid w:val="43445A59"/>
    <w:rsid w:val="43515EAA"/>
    <w:rsid w:val="435707E8"/>
    <w:rsid w:val="435F3089"/>
    <w:rsid w:val="436902AD"/>
    <w:rsid w:val="436C15B0"/>
    <w:rsid w:val="436E4ACC"/>
    <w:rsid w:val="43716E0C"/>
    <w:rsid w:val="43756195"/>
    <w:rsid w:val="437A5AFE"/>
    <w:rsid w:val="438352F9"/>
    <w:rsid w:val="43863346"/>
    <w:rsid w:val="438C1210"/>
    <w:rsid w:val="438C79CF"/>
    <w:rsid w:val="438E300D"/>
    <w:rsid w:val="438E50C7"/>
    <w:rsid w:val="43922E0F"/>
    <w:rsid w:val="4395664D"/>
    <w:rsid w:val="43A801E8"/>
    <w:rsid w:val="43AB4587"/>
    <w:rsid w:val="43AF194F"/>
    <w:rsid w:val="43AF72A0"/>
    <w:rsid w:val="43B20829"/>
    <w:rsid w:val="43B21B3C"/>
    <w:rsid w:val="43B61A64"/>
    <w:rsid w:val="43B940E5"/>
    <w:rsid w:val="43D3205C"/>
    <w:rsid w:val="43DE4677"/>
    <w:rsid w:val="43E03D2B"/>
    <w:rsid w:val="43E248C0"/>
    <w:rsid w:val="43E91D65"/>
    <w:rsid w:val="43ED7E6A"/>
    <w:rsid w:val="43F63370"/>
    <w:rsid w:val="44020B44"/>
    <w:rsid w:val="44027CCE"/>
    <w:rsid w:val="441719EB"/>
    <w:rsid w:val="441C0974"/>
    <w:rsid w:val="44240C76"/>
    <w:rsid w:val="442B231B"/>
    <w:rsid w:val="44305CED"/>
    <w:rsid w:val="4431551A"/>
    <w:rsid w:val="44337740"/>
    <w:rsid w:val="444C5BD8"/>
    <w:rsid w:val="444D7FB7"/>
    <w:rsid w:val="4457071E"/>
    <w:rsid w:val="445A1192"/>
    <w:rsid w:val="445A389E"/>
    <w:rsid w:val="44600D07"/>
    <w:rsid w:val="44605AE4"/>
    <w:rsid w:val="446159B6"/>
    <w:rsid w:val="4465660B"/>
    <w:rsid w:val="446A6A10"/>
    <w:rsid w:val="446F5BD8"/>
    <w:rsid w:val="44707DDE"/>
    <w:rsid w:val="44737F63"/>
    <w:rsid w:val="44790A72"/>
    <w:rsid w:val="447D436F"/>
    <w:rsid w:val="448979F5"/>
    <w:rsid w:val="448F0F7C"/>
    <w:rsid w:val="44911DF8"/>
    <w:rsid w:val="44967BFE"/>
    <w:rsid w:val="449D6DA3"/>
    <w:rsid w:val="44BB6B4D"/>
    <w:rsid w:val="44C03F74"/>
    <w:rsid w:val="44C22C86"/>
    <w:rsid w:val="44C65D26"/>
    <w:rsid w:val="44CC2A51"/>
    <w:rsid w:val="44D16F97"/>
    <w:rsid w:val="44D94969"/>
    <w:rsid w:val="44DA29BC"/>
    <w:rsid w:val="44DF78DC"/>
    <w:rsid w:val="44E72281"/>
    <w:rsid w:val="44F404F2"/>
    <w:rsid w:val="44F706A6"/>
    <w:rsid w:val="44FE4E97"/>
    <w:rsid w:val="44FF5C81"/>
    <w:rsid w:val="451A5FCC"/>
    <w:rsid w:val="451F3A0C"/>
    <w:rsid w:val="452203B0"/>
    <w:rsid w:val="452A29E2"/>
    <w:rsid w:val="45352A25"/>
    <w:rsid w:val="45383F9A"/>
    <w:rsid w:val="45484228"/>
    <w:rsid w:val="454D7D6F"/>
    <w:rsid w:val="455107D6"/>
    <w:rsid w:val="455424C3"/>
    <w:rsid w:val="455B3B19"/>
    <w:rsid w:val="455D4EBE"/>
    <w:rsid w:val="455F3542"/>
    <w:rsid w:val="45675CA0"/>
    <w:rsid w:val="45686CEA"/>
    <w:rsid w:val="456B795E"/>
    <w:rsid w:val="457F4BC7"/>
    <w:rsid w:val="45816024"/>
    <w:rsid w:val="45824D6D"/>
    <w:rsid w:val="458F293E"/>
    <w:rsid w:val="45A262D8"/>
    <w:rsid w:val="45A40CCC"/>
    <w:rsid w:val="45A95269"/>
    <w:rsid w:val="45AC6AE5"/>
    <w:rsid w:val="45B4676C"/>
    <w:rsid w:val="45B56F4C"/>
    <w:rsid w:val="45B91D98"/>
    <w:rsid w:val="45BA3C32"/>
    <w:rsid w:val="45BD345F"/>
    <w:rsid w:val="45C70037"/>
    <w:rsid w:val="45E10D1A"/>
    <w:rsid w:val="45E66209"/>
    <w:rsid w:val="45ED1A15"/>
    <w:rsid w:val="45ED462D"/>
    <w:rsid w:val="45EF7078"/>
    <w:rsid w:val="45F75B92"/>
    <w:rsid w:val="45FD7B25"/>
    <w:rsid w:val="460613D2"/>
    <w:rsid w:val="461560B2"/>
    <w:rsid w:val="46190276"/>
    <w:rsid w:val="46247BE6"/>
    <w:rsid w:val="462C5519"/>
    <w:rsid w:val="463C09D6"/>
    <w:rsid w:val="464055CC"/>
    <w:rsid w:val="464936B5"/>
    <w:rsid w:val="464F4C1C"/>
    <w:rsid w:val="465B56DC"/>
    <w:rsid w:val="466758E6"/>
    <w:rsid w:val="46806A08"/>
    <w:rsid w:val="46875502"/>
    <w:rsid w:val="46A72CFE"/>
    <w:rsid w:val="46AB0F36"/>
    <w:rsid w:val="46AC242C"/>
    <w:rsid w:val="46BA3992"/>
    <w:rsid w:val="46BB5D92"/>
    <w:rsid w:val="46C20070"/>
    <w:rsid w:val="46C439DA"/>
    <w:rsid w:val="46C573D6"/>
    <w:rsid w:val="46D31CDF"/>
    <w:rsid w:val="46D86B32"/>
    <w:rsid w:val="46D9371C"/>
    <w:rsid w:val="46DC2327"/>
    <w:rsid w:val="46E030F0"/>
    <w:rsid w:val="46E20E31"/>
    <w:rsid w:val="46E44C50"/>
    <w:rsid w:val="46F91C38"/>
    <w:rsid w:val="46FD10DB"/>
    <w:rsid w:val="470F63B2"/>
    <w:rsid w:val="47101AA3"/>
    <w:rsid w:val="4717275B"/>
    <w:rsid w:val="471748B3"/>
    <w:rsid w:val="47186E4F"/>
    <w:rsid w:val="471C3305"/>
    <w:rsid w:val="47302A21"/>
    <w:rsid w:val="473179E1"/>
    <w:rsid w:val="47370611"/>
    <w:rsid w:val="473C0F95"/>
    <w:rsid w:val="474915C6"/>
    <w:rsid w:val="474F28FD"/>
    <w:rsid w:val="47540E22"/>
    <w:rsid w:val="475A57C4"/>
    <w:rsid w:val="476017DF"/>
    <w:rsid w:val="47625972"/>
    <w:rsid w:val="4779678C"/>
    <w:rsid w:val="477A708F"/>
    <w:rsid w:val="478203C0"/>
    <w:rsid w:val="4789797C"/>
    <w:rsid w:val="478D3956"/>
    <w:rsid w:val="47953F3F"/>
    <w:rsid w:val="47971955"/>
    <w:rsid w:val="479868D5"/>
    <w:rsid w:val="479F0B4C"/>
    <w:rsid w:val="47A70578"/>
    <w:rsid w:val="47AC7CE1"/>
    <w:rsid w:val="47CA3CF4"/>
    <w:rsid w:val="47CB141F"/>
    <w:rsid w:val="47CC5270"/>
    <w:rsid w:val="47D37251"/>
    <w:rsid w:val="47DD5650"/>
    <w:rsid w:val="47E10C42"/>
    <w:rsid w:val="47EF665A"/>
    <w:rsid w:val="47F0626B"/>
    <w:rsid w:val="47F6064A"/>
    <w:rsid w:val="47FF2206"/>
    <w:rsid w:val="48013227"/>
    <w:rsid w:val="480D6D33"/>
    <w:rsid w:val="481559A3"/>
    <w:rsid w:val="481A16FA"/>
    <w:rsid w:val="481C2C29"/>
    <w:rsid w:val="481C4831"/>
    <w:rsid w:val="481F0AAE"/>
    <w:rsid w:val="482368FF"/>
    <w:rsid w:val="482676A4"/>
    <w:rsid w:val="48275236"/>
    <w:rsid w:val="48293A81"/>
    <w:rsid w:val="482976E2"/>
    <w:rsid w:val="482B1AC5"/>
    <w:rsid w:val="482B6784"/>
    <w:rsid w:val="482F25FC"/>
    <w:rsid w:val="482F3504"/>
    <w:rsid w:val="483F0081"/>
    <w:rsid w:val="48405A05"/>
    <w:rsid w:val="48427933"/>
    <w:rsid w:val="48427BA9"/>
    <w:rsid w:val="48434575"/>
    <w:rsid w:val="484A397A"/>
    <w:rsid w:val="484B6B33"/>
    <w:rsid w:val="48502F8E"/>
    <w:rsid w:val="48543B8F"/>
    <w:rsid w:val="48633B0A"/>
    <w:rsid w:val="48641537"/>
    <w:rsid w:val="4864199A"/>
    <w:rsid w:val="4869728F"/>
    <w:rsid w:val="486A7E1A"/>
    <w:rsid w:val="486C3DF4"/>
    <w:rsid w:val="48724CD7"/>
    <w:rsid w:val="48733940"/>
    <w:rsid w:val="489575E0"/>
    <w:rsid w:val="48997109"/>
    <w:rsid w:val="489D0455"/>
    <w:rsid w:val="48A64F46"/>
    <w:rsid w:val="48A66DA7"/>
    <w:rsid w:val="48AC661B"/>
    <w:rsid w:val="48BA0713"/>
    <w:rsid w:val="48C33D54"/>
    <w:rsid w:val="48C74D5A"/>
    <w:rsid w:val="48C87844"/>
    <w:rsid w:val="48D14163"/>
    <w:rsid w:val="48E62261"/>
    <w:rsid w:val="48E82175"/>
    <w:rsid w:val="48E834DC"/>
    <w:rsid w:val="48E870E7"/>
    <w:rsid w:val="48F8587B"/>
    <w:rsid w:val="48F977FE"/>
    <w:rsid w:val="48FB64CA"/>
    <w:rsid w:val="48FE5AEA"/>
    <w:rsid w:val="49064D95"/>
    <w:rsid w:val="4908737E"/>
    <w:rsid w:val="491938EE"/>
    <w:rsid w:val="492023FE"/>
    <w:rsid w:val="49227198"/>
    <w:rsid w:val="49253D95"/>
    <w:rsid w:val="492A6E99"/>
    <w:rsid w:val="492E734A"/>
    <w:rsid w:val="49364091"/>
    <w:rsid w:val="494B5FDF"/>
    <w:rsid w:val="494F284F"/>
    <w:rsid w:val="49531363"/>
    <w:rsid w:val="49543BE6"/>
    <w:rsid w:val="495502AD"/>
    <w:rsid w:val="495A6647"/>
    <w:rsid w:val="495A6CBC"/>
    <w:rsid w:val="49626449"/>
    <w:rsid w:val="496F25E5"/>
    <w:rsid w:val="49724388"/>
    <w:rsid w:val="49772E3F"/>
    <w:rsid w:val="49822DDB"/>
    <w:rsid w:val="498463E6"/>
    <w:rsid w:val="49871D8E"/>
    <w:rsid w:val="49884F4C"/>
    <w:rsid w:val="49A364EA"/>
    <w:rsid w:val="49A548D8"/>
    <w:rsid w:val="49A623D7"/>
    <w:rsid w:val="49A94645"/>
    <w:rsid w:val="49A95BC3"/>
    <w:rsid w:val="49AC47A4"/>
    <w:rsid w:val="49BA174B"/>
    <w:rsid w:val="49C645CF"/>
    <w:rsid w:val="49D2118A"/>
    <w:rsid w:val="49D43B9F"/>
    <w:rsid w:val="49DE3565"/>
    <w:rsid w:val="49DE6203"/>
    <w:rsid w:val="49E30E31"/>
    <w:rsid w:val="49E54FED"/>
    <w:rsid w:val="49F5275A"/>
    <w:rsid w:val="49F94354"/>
    <w:rsid w:val="49FC5A51"/>
    <w:rsid w:val="4A035C2C"/>
    <w:rsid w:val="4A0B0186"/>
    <w:rsid w:val="4A0D7120"/>
    <w:rsid w:val="4A1564FD"/>
    <w:rsid w:val="4A1F35A9"/>
    <w:rsid w:val="4A2238B2"/>
    <w:rsid w:val="4A2B1C94"/>
    <w:rsid w:val="4A2E6920"/>
    <w:rsid w:val="4A3426A9"/>
    <w:rsid w:val="4A366346"/>
    <w:rsid w:val="4A386146"/>
    <w:rsid w:val="4A3A4C36"/>
    <w:rsid w:val="4A410448"/>
    <w:rsid w:val="4A483D62"/>
    <w:rsid w:val="4A512227"/>
    <w:rsid w:val="4A594E71"/>
    <w:rsid w:val="4A5C5C3E"/>
    <w:rsid w:val="4A677B24"/>
    <w:rsid w:val="4A727F0E"/>
    <w:rsid w:val="4A745066"/>
    <w:rsid w:val="4A777B9B"/>
    <w:rsid w:val="4A79448B"/>
    <w:rsid w:val="4A7F69EB"/>
    <w:rsid w:val="4A8561FD"/>
    <w:rsid w:val="4A8A62E2"/>
    <w:rsid w:val="4A8D1D4A"/>
    <w:rsid w:val="4A973CB1"/>
    <w:rsid w:val="4AA12D9B"/>
    <w:rsid w:val="4AA476FB"/>
    <w:rsid w:val="4AAB11CD"/>
    <w:rsid w:val="4AAD3EC1"/>
    <w:rsid w:val="4AAE7155"/>
    <w:rsid w:val="4AB356AE"/>
    <w:rsid w:val="4AC5484B"/>
    <w:rsid w:val="4ACE4959"/>
    <w:rsid w:val="4ADA7CE1"/>
    <w:rsid w:val="4AE20F42"/>
    <w:rsid w:val="4AE303F0"/>
    <w:rsid w:val="4AE42CCD"/>
    <w:rsid w:val="4AF04628"/>
    <w:rsid w:val="4AF94E30"/>
    <w:rsid w:val="4AFA4343"/>
    <w:rsid w:val="4AFC02F6"/>
    <w:rsid w:val="4B156F97"/>
    <w:rsid w:val="4B294DDA"/>
    <w:rsid w:val="4B3008FB"/>
    <w:rsid w:val="4B4C2865"/>
    <w:rsid w:val="4B4C799B"/>
    <w:rsid w:val="4B597090"/>
    <w:rsid w:val="4B597F92"/>
    <w:rsid w:val="4B635E4C"/>
    <w:rsid w:val="4B647BC0"/>
    <w:rsid w:val="4B66054D"/>
    <w:rsid w:val="4B913121"/>
    <w:rsid w:val="4B9B77BD"/>
    <w:rsid w:val="4BA6467C"/>
    <w:rsid w:val="4BA70BA4"/>
    <w:rsid w:val="4BB97A78"/>
    <w:rsid w:val="4BBE277F"/>
    <w:rsid w:val="4BBE40D7"/>
    <w:rsid w:val="4BC1288C"/>
    <w:rsid w:val="4BC23FAE"/>
    <w:rsid w:val="4BD36108"/>
    <w:rsid w:val="4BD74AC0"/>
    <w:rsid w:val="4BDD4510"/>
    <w:rsid w:val="4BDE1BD7"/>
    <w:rsid w:val="4BE04CD4"/>
    <w:rsid w:val="4BE6529B"/>
    <w:rsid w:val="4BE81894"/>
    <w:rsid w:val="4BEA4A2D"/>
    <w:rsid w:val="4BEC4180"/>
    <w:rsid w:val="4BED4059"/>
    <w:rsid w:val="4BF25D2E"/>
    <w:rsid w:val="4BF74963"/>
    <w:rsid w:val="4BFE07B2"/>
    <w:rsid w:val="4BFF51AF"/>
    <w:rsid w:val="4C0949C2"/>
    <w:rsid w:val="4C222021"/>
    <w:rsid w:val="4C256953"/>
    <w:rsid w:val="4C2A61ED"/>
    <w:rsid w:val="4C30578A"/>
    <w:rsid w:val="4C320182"/>
    <w:rsid w:val="4C321B7A"/>
    <w:rsid w:val="4C355A01"/>
    <w:rsid w:val="4C363DCD"/>
    <w:rsid w:val="4C4B313E"/>
    <w:rsid w:val="4C586C2C"/>
    <w:rsid w:val="4C591B55"/>
    <w:rsid w:val="4C594099"/>
    <w:rsid w:val="4C5F0FEB"/>
    <w:rsid w:val="4C637161"/>
    <w:rsid w:val="4C651E42"/>
    <w:rsid w:val="4C680FF0"/>
    <w:rsid w:val="4C6A51E6"/>
    <w:rsid w:val="4C716889"/>
    <w:rsid w:val="4C7264D6"/>
    <w:rsid w:val="4C77513D"/>
    <w:rsid w:val="4C793455"/>
    <w:rsid w:val="4C79557A"/>
    <w:rsid w:val="4C86529F"/>
    <w:rsid w:val="4C8A74C0"/>
    <w:rsid w:val="4C942A4A"/>
    <w:rsid w:val="4C94647F"/>
    <w:rsid w:val="4C9778BC"/>
    <w:rsid w:val="4C9C23DD"/>
    <w:rsid w:val="4CA26813"/>
    <w:rsid w:val="4CA76C01"/>
    <w:rsid w:val="4CA813AA"/>
    <w:rsid w:val="4CAA54B7"/>
    <w:rsid w:val="4CAC349D"/>
    <w:rsid w:val="4CB46760"/>
    <w:rsid w:val="4CC528E0"/>
    <w:rsid w:val="4CC93971"/>
    <w:rsid w:val="4CD5009D"/>
    <w:rsid w:val="4CD57FBE"/>
    <w:rsid w:val="4CD9234A"/>
    <w:rsid w:val="4CDC5428"/>
    <w:rsid w:val="4CDE6E75"/>
    <w:rsid w:val="4CE716F0"/>
    <w:rsid w:val="4CE8455F"/>
    <w:rsid w:val="4CEE0CE9"/>
    <w:rsid w:val="4CEF0CF6"/>
    <w:rsid w:val="4CF35613"/>
    <w:rsid w:val="4CF370F6"/>
    <w:rsid w:val="4CF66575"/>
    <w:rsid w:val="4D1C7862"/>
    <w:rsid w:val="4D230977"/>
    <w:rsid w:val="4D232FD6"/>
    <w:rsid w:val="4D267823"/>
    <w:rsid w:val="4D2F42E9"/>
    <w:rsid w:val="4D331F40"/>
    <w:rsid w:val="4D3326EB"/>
    <w:rsid w:val="4D3675BC"/>
    <w:rsid w:val="4D37311E"/>
    <w:rsid w:val="4D3857A8"/>
    <w:rsid w:val="4D405F70"/>
    <w:rsid w:val="4D4D1C79"/>
    <w:rsid w:val="4D587E21"/>
    <w:rsid w:val="4D591707"/>
    <w:rsid w:val="4D617A6D"/>
    <w:rsid w:val="4D6E76FF"/>
    <w:rsid w:val="4D763E06"/>
    <w:rsid w:val="4D7D7120"/>
    <w:rsid w:val="4D8009C6"/>
    <w:rsid w:val="4D8D46B1"/>
    <w:rsid w:val="4D9A02CA"/>
    <w:rsid w:val="4D9B2160"/>
    <w:rsid w:val="4DA92202"/>
    <w:rsid w:val="4DAD4D79"/>
    <w:rsid w:val="4DB3504A"/>
    <w:rsid w:val="4DB52CE0"/>
    <w:rsid w:val="4DBB4F17"/>
    <w:rsid w:val="4DBC342A"/>
    <w:rsid w:val="4DBC3764"/>
    <w:rsid w:val="4DBE31D7"/>
    <w:rsid w:val="4DC20177"/>
    <w:rsid w:val="4DC26901"/>
    <w:rsid w:val="4DC404CD"/>
    <w:rsid w:val="4DC57BF6"/>
    <w:rsid w:val="4DC77F2C"/>
    <w:rsid w:val="4DCC1578"/>
    <w:rsid w:val="4DCD69BF"/>
    <w:rsid w:val="4DD46B21"/>
    <w:rsid w:val="4DD8667B"/>
    <w:rsid w:val="4DDA4CE5"/>
    <w:rsid w:val="4DDB3B89"/>
    <w:rsid w:val="4DE2123E"/>
    <w:rsid w:val="4DEB0029"/>
    <w:rsid w:val="4DEE0304"/>
    <w:rsid w:val="4DF76CBD"/>
    <w:rsid w:val="4E046C99"/>
    <w:rsid w:val="4E0535C0"/>
    <w:rsid w:val="4E141D71"/>
    <w:rsid w:val="4E1517BE"/>
    <w:rsid w:val="4E1B2451"/>
    <w:rsid w:val="4E1D175A"/>
    <w:rsid w:val="4E1E460B"/>
    <w:rsid w:val="4E25741C"/>
    <w:rsid w:val="4E2E21EC"/>
    <w:rsid w:val="4E3A2BBF"/>
    <w:rsid w:val="4E3C2EAA"/>
    <w:rsid w:val="4E3C4E24"/>
    <w:rsid w:val="4E451E6C"/>
    <w:rsid w:val="4E48105F"/>
    <w:rsid w:val="4E4E70CE"/>
    <w:rsid w:val="4E5169E2"/>
    <w:rsid w:val="4E62289F"/>
    <w:rsid w:val="4E735A79"/>
    <w:rsid w:val="4E7C4AEF"/>
    <w:rsid w:val="4E7E56D1"/>
    <w:rsid w:val="4E7E6E87"/>
    <w:rsid w:val="4E806936"/>
    <w:rsid w:val="4E807407"/>
    <w:rsid w:val="4E83236D"/>
    <w:rsid w:val="4E865E1F"/>
    <w:rsid w:val="4E8D2DBE"/>
    <w:rsid w:val="4E9C71F1"/>
    <w:rsid w:val="4E9D491C"/>
    <w:rsid w:val="4EA222B8"/>
    <w:rsid w:val="4EA63E59"/>
    <w:rsid w:val="4EB66438"/>
    <w:rsid w:val="4EB84223"/>
    <w:rsid w:val="4EC22FF1"/>
    <w:rsid w:val="4EC66288"/>
    <w:rsid w:val="4ED42FB1"/>
    <w:rsid w:val="4ED51F16"/>
    <w:rsid w:val="4EE24E3A"/>
    <w:rsid w:val="4EE60AA3"/>
    <w:rsid w:val="4EE95ABC"/>
    <w:rsid w:val="4F0F3DCE"/>
    <w:rsid w:val="4F164CFA"/>
    <w:rsid w:val="4F1B2D36"/>
    <w:rsid w:val="4F1E1A2E"/>
    <w:rsid w:val="4F232E8B"/>
    <w:rsid w:val="4F2A51C4"/>
    <w:rsid w:val="4F3609A6"/>
    <w:rsid w:val="4F3D1165"/>
    <w:rsid w:val="4F4C4C75"/>
    <w:rsid w:val="4F515A7D"/>
    <w:rsid w:val="4F5A6570"/>
    <w:rsid w:val="4F621137"/>
    <w:rsid w:val="4F701229"/>
    <w:rsid w:val="4F755A9B"/>
    <w:rsid w:val="4F755F07"/>
    <w:rsid w:val="4F785119"/>
    <w:rsid w:val="4F7F6611"/>
    <w:rsid w:val="4F8056E8"/>
    <w:rsid w:val="4F82619A"/>
    <w:rsid w:val="4F907A4E"/>
    <w:rsid w:val="4F927079"/>
    <w:rsid w:val="4F9A06D3"/>
    <w:rsid w:val="4FAB3741"/>
    <w:rsid w:val="4FAD33A2"/>
    <w:rsid w:val="4FC27459"/>
    <w:rsid w:val="4FC7696F"/>
    <w:rsid w:val="4FC82315"/>
    <w:rsid w:val="4FC92C1A"/>
    <w:rsid w:val="4FD05638"/>
    <w:rsid w:val="4FD87E22"/>
    <w:rsid w:val="4FDC2D5B"/>
    <w:rsid w:val="4FDD4DBE"/>
    <w:rsid w:val="4FDD6516"/>
    <w:rsid w:val="4FDE06FA"/>
    <w:rsid w:val="4FE46CF2"/>
    <w:rsid w:val="4FEC179E"/>
    <w:rsid w:val="4FF55AFA"/>
    <w:rsid w:val="500115A3"/>
    <w:rsid w:val="5002169D"/>
    <w:rsid w:val="50071467"/>
    <w:rsid w:val="500B5A98"/>
    <w:rsid w:val="50111506"/>
    <w:rsid w:val="501C3ECE"/>
    <w:rsid w:val="502918AA"/>
    <w:rsid w:val="502C5CD0"/>
    <w:rsid w:val="50301EF2"/>
    <w:rsid w:val="50386D0E"/>
    <w:rsid w:val="503C01DD"/>
    <w:rsid w:val="50466B08"/>
    <w:rsid w:val="505C57C5"/>
    <w:rsid w:val="50603411"/>
    <w:rsid w:val="50620B0F"/>
    <w:rsid w:val="506B4447"/>
    <w:rsid w:val="50704321"/>
    <w:rsid w:val="507132C3"/>
    <w:rsid w:val="507D586F"/>
    <w:rsid w:val="50885C3C"/>
    <w:rsid w:val="50893D8F"/>
    <w:rsid w:val="50932C85"/>
    <w:rsid w:val="50A941CF"/>
    <w:rsid w:val="50AA4201"/>
    <w:rsid w:val="50AB5B9F"/>
    <w:rsid w:val="50B92FED"/>
    <w:rsid w:val="50BF6AC2"/>
    <w:rsid w:val="50C41590"/>
    <w:rsid w:val="50C84AB4"/>
    <w:rsid w:val="50CD1EFF"/>
    <w:rsid w:val="50D25760"/>
    <w:rsid w:val="50D72740"/>
    <w:rsid w:val="50E170A2"/>
    <w:rsid w:val="50F245A3"/>
    <w:rsid w:val="50F53726"/>
    <w:rsid w:val="50F6301B"/>
    <w:rsid w:val="50FA70FE"/>
    <w:rsid w:val="511F145F"/>
    <w:rsid w:val="51215AAE"/>
    <w:rsid w:val="512C420C"/>
    <w:rsid w:val="512C5584"/>
    <w:rsid w:val="512D4DA1"/>
    <w:rsid w:val="512E4EF8"/>
    <w:rsid w:val="512E5FA5"/>
    <w:rsid w:val="513238C1"/>
    <w:rsid w:val="5137612B"/>
    <w:rsid w:val="513854E7"/>
    <w:rsid w:val="514101E2"/>
    <w:rsid w:val="51426326"/>
    <w:rsid w:val="514352F7"/>
    <w:rsid w:val="51501CA0"/>
    <w:rsid w:val="515172CA"/>
    <w:rsid w:val="51563F58"/>
    <w:rsid w:val="515925CF"/>
    <w:rsid w:val="515C4BD2"/>
    <w:rsid w:val="51600E2A"/>
    <w:rsid w:val="51651532"/>
    <w:rsid w:val="51691A00"/>
    <w:rsid w:val="51701BAE"/>
    <w:rsid w:val="51751F0F"/>
    <w:rsid w:val="5175252B"/>
    <w:rsid w:val="517A5EA1"/>
    <w:rsid w:val="518B1CAD"/>
    <w:rsid w:val="518E7DF8"/>
    <w:rsid w:val="519365B9"/>
    <w:rsid w:val="51946F44"/>
    <w:rsid w:val="519810AA"/>
    <w:rsid w:val="519828A7"/>
    <w:rsid w:val="5198532A"/>
    <w:rsid w:val="519E6C32"/>
    <w:rsid w:val="51B142F3"/>
    <w:rsid w:val="51B518BD"/>
    <w:rsid w:val="51BE087C"/>
    <w:rsid w:val="51C36C3F"/>
    <w:rsid w:val="51CB09CB"/>
    <w:rsid w:val="51D7550F"/>
    <w:rsid w:val="51E2686B"/>
    <w:rsid w:val="51E8766F"/>
    <w:rsid w:val="51F34A2B"/>
    <w:rsid w:val="51F44856"/>
    <w:rsid w:val="51F4715A"/>
    <w:rsid w:val="52082B33"/>
    <w:rsid w:val="520C2D5F"/>
    <w:rsid w:val="521269BA"/>
    <w:rsid w:val="52137D0E"/>
    <w:rsid w:val="521E2410"/>
    <w:rsid w:val="522307D5"/>
    <w:rsid w:val="52341332"/>
    <w:rsid w:val="523972F2"/>
    <w:rsid w:val="5248054A"/>
    <w:rsid w:val="525435D7"/>
    <w:rsid w:val="52656676"/>
    <w:rsid w:val="527F703D"/>
    <w:rsid w:val="5288223C"/>
    <w:rsid w:val="528B1BF6"/>
    <w:rsid w:val="528F5047"/>
    <w:rsid w:val="52913DAF"/>
    <w:rsid w:val="52943481"/>
    <w:rsid w:val="52961FB9"/>
    <w:rsid w:val="529A3F2C"/>
    <w:rsid w:val="529E7E5B"/>
    <w:rsid w:val="52A15B9E"/>
    <w:rsid w:val="52A30921"/>
    <w:rsid w:val="52A826F7"/>
    <w:rsid w:val="52AA6E83"/>
    <w:rsid w:val="52AD36E4"/>
    <w:rsid w:val="52BB15D0"/>
    <w:rsid w:val="52BB28DC"/>
    <w:rsid w:val="52BD533F"/>
    <w:rsid w:val="52C53B9D"/>
    <w:rsid w:val="52CA6B65"/>
    <w:rsid w:val="52CD0741"/>
    <w:rsid w:val="52D526DA"/>
    <w:rsid w:val="52D970E6"/>
    <w:rsid w:val="52EA503C"/>
    <w:rsid w:val="52F073C5"/>
    <w:rsid w:val="52F711B5"/>
    <w:rsid w:val="52F846CA"/>
    <w:rsid w:val="53065AAA"/>
    <w:rsid w:val="53080078"/>
    <w:rsid w:val="53122FAE"/>
    <w:rsid w:val="532476EF"/>
    <w:rsid w:val="53296276"/>
    <w:rsid w:val="53356E1A"/>
    <w:rsid w:val="533A4AA1"/>
    <w:rsid w:val="5344091B"/>
    <w:rsid w:val="535F0D34"/>
    <w:rsid w:val="536939A8"/>
    <w:rsid w:val="5379073A"/>
    <w:rsid w:val="537E55A7"/>
    <w:rsid w:val="537F7C63"/>
    <w:rsid w:val="53853869"/>
    <w:rsid w:val="53880951"/>
    <w:rsid w:val="538A1B28"/>
    <w:rsid w:val="538A6D90"/>
    <w:rsid w:val="538C3904"/>
    <w:rsid w:val="538F54F6"/>
    <w:rsid w:val="53955B4C"/>
    <w:rsid w:val="539B0803"/>
    <w:rsid w:val="539C700B"/>
    <w:rsid w:val="53A7158E"/>
    <w:rsid w:val="53BA1776"/>
    <w:rsid w:val="53BB50AC"/>
    <w:rsid w:val="53C65909"/>
    <w:rsid w:val="53CA1459"/>
    <w:rsid w:val="53D511A6"/>
    <w:rsid w:val="53D64BCB"/>
    <w:rsid w:val="53EC0BD9"/>
    <w:rsid w:val="53EF30E2"/>
    <w:rsid w:val="540D77D9"/>
    <w:rsid w:val="54143A3A"/>
    <w:rsid w:val="541E54CB"/>
    <w:rsid w:val="54292AE8"/>
    <w:rsid w:val="542E68AD"/>
    <w:rsid w:val="54374999"/>
    <w:rsid w:val="54397FB7"/>
    <w:rsid w:val="5443213D"/>
    <w:rsid w:val="544F55EE"/>
    <w:rsid w:val="545B071C"/>
    <w:rsid w:val="546B1B8B"/>
    <w:rsid w:val="54751AAA"/>
    <w:rsid w:val="54845B20"/>
    <w:rsid w:val="548F103B"/>
    <w:rsid w:val="54907CF5"/>
    <w:rsid w:val="54927FDC"/>
    <w:rsid w:val="549A27CE"/>
    <w:rsid w:val="549E4844"/>
    <w:rsid w:val="54A354B4"/>
    <w:rsid w:val="54A529FA"/>
    <w:rsid w:val="54A77B63"/>
    <w:rsid w:val="54AA4C87"/>
    <w:rsid w:val="54B4091C"/>
    <w:rsid w:val="54B5148C"/>
    <w:rsid w:val="54B67B86"/>
    <w:rsid w:val="54CA0FB5"/>
    <w:rsid w:val="54CC7603"/>
    <w:rsid w:val="54CE3AA7"/>
    <w:rsid w:val="54D658E7"/>
    <w:rsid w:val="54DA6330"/>
    <w:rsid w:val="54DD5A7F"/>
    <w:rsid w:val="54E01F6A"/>
    <w:rsid w:val="54E51762"/>
    <w:rsid w:val="54F845A7"/>
    <w:rsid w:val="54FA14C3"/>
    <w:rsid w:val="54FD5F5A"/>
    <w:rsid w:val="54FE5688"/>
    <w:rsid w:val="55052CC3"/>
    <w:rsid w:val="550728D9"/>
    <w:rsid w:val="550B0F24"/>
    <w:rsid w:val="550B1FA2"/>
    <w:rsid w:val="550B4597"/>
    <w:rsid w:val="550F461B"/>
    <w:rsid w:val="55320D2F"/>
    <w:rsid w:val="553B449B"/>
    <w:rsid w:val="55441857"/>
    <w:rsid w:val="554967A4"/>
    <w:rsid w:val="554A7E27"/>
    <w:rsid w:val="555E0A5F"/>
    <w:rsid w:val="5562616D"/>
    <w:rsid w:val="55813304"/>
    <w:rsid w:val="55833B3E"/>
    <w:rsid w:val="55841841"/>
    <w:rsid w:val="55845D3B"/>
    <w:rsid w:val="55872E29"/>
    <w:rsid w:val="558943D7"/>
    <w:rsid w:val="55910011"/>
    <w:rsid w:val="559C2307"/>
    <w:rsid w:val="559C3590"/>
    <w:rsid w:val="55AC79AC"/>
    <w:rsid w:val="55B14967"/>
    <w:rsid w:val="55C33F14"/>
    <w:rsid w:val="55C51D6D"/>
    <w:rsid w:val="55C74577"/>
    <w:rsid w:val="55CD1F6F"/>
    <w:rsid w:val="55CF7A91"/>
    <w:rsid w:val="55F34AA9"/>
    <w:rsid w:val="560E576D"/>
    <w:rsid w:val="561C5A46"/>
    <w:rsid w:val="56213224"/>
    <w:rsid w:val="562300F7"/>
    <w:rsid w:val="56277430"/>
    <w:rsid w:val="562872A2"/>
    <w:rsid w:val="562F04C3"/>
    <w:rsid w:val="56313ED1"/>
    <w:rsid w:val="5639469D"/>
    <w:rsid w:val="56487FFB"/>
    <w:rsid w:val="564F1DD0"/>
    <w:rsid w:val="565D31A8"/>
    <w:rsid w:val="56622B08"/>
    <w:rsid w:val="56650FBB"/>
    <w:rsid w:val="566A2E0C"/>
    <w:rsid w:val="5671356F"/>
    <w:rsid w:val="56751058"/>
    <w:rsid w:val="56757125"/>
    <w:rsid w:val="567F297D"/>
    <w:rsid w:val="56815ACA"/>
    <w:rsid w:val="568B3C8D"/>
    <w:rsid w:val="569071B7"/>
    <w:rsid w:val="56927E3F"/>
    <w:rsid w:val="56963F1B"/>
    <w:rsid w:val="56964D1D"/>
    <w:rsid w:val="569E667C"/>
    <w:rsid w:val="56A35797"/>
    <w:rsid w:val="56A43C0D"/>
    <w:rsid w:val="56AF28F7"/>
    <w:rsid w:val="56B179DD"/>
    <w:rsid w:val="56B52F1D"/>
    <w:rsid w:val="56C67487"/>
    <w:rsid w:val="56CC174A"/>
    <w:rsid w:val="56DB7A46"/>
    <w:rsid w:val="56E76D43"/>
    <w:rsid w:val="56F04877"/>
    <w:rsid w:val="56F43B79"/>
    <w:rsid w:val="56F4656B"/>
    <w:rsid w:val="56FD22AA"/>
    <w:rsid w:val="57001B8E"/>
    <w:rsid w:val="57066AA7"/>
    <w:rsid w:val="570E6A90"/>
    <w:rsid w:val="571A5E14"/>
    <w:rsid w:val="572C1D4D"/>
    <w:rsid w:val="5732255E"/>
    <w:rsid w:val="5738520C"/>
    <w:rsid w:val="57392044"/>
    <w:rsid w:val="573B14C2"/>
    <w:rsid w:val="573C5F8B"/>
    <w:rsid w:val="57417A0B"/>
    <w:rsid w:val="57430425"/>
    <w:rsid w:val="574B4B48"/>
    <w:rsid w:val="574B7272"/>
    <w:rsid w:val="57580313"/>
    <w:rsid w:val="57587E7C"/>
    <w:rsid w:val="57613FE3"/>
    <w:rsid w:val="57675A05"/>
    <w:rsid w:val="5769323C"/>
    <w:rsid w:val="577620AE"/>
    <w:rsid w:val="577A0E21"/>
    <w:rsid w:val="57807FEA"/>
    <w:rsid w:val="57832FE9"/>
    <w:rsid w:val="57833DCE"/>
    <w:rsid w:val="578B2EAF"/>
    <w:rsid w:val="57A529AE"/>
    <w:rsid w:val="57A9177C"/>
    <w:rsid w:val="57B123DF"/>
    <w:rsid w:val="57B90B24"/>
    <w:rsid w:val="57C52852"/>
    <w:rsid w:val="57CB63E7"/>
    <w:rsid w:val="57CD1561"/>
    <w:rsid w:val="57D165DD"/>
    <w:rsid w:val="57D51E20"/>
    <w:rsid w:val="57D904B8"/>
    <w:rsid w:val="57E44D88"/>
    <w:rsid w:val="57E611E8"/>
    <w:rsid w:val="57F04008"/>
    <w:rsid w:val="57F145CA"/>
    <w:rsid w:val="57F65D5C"/>
    <w:rsid w:val="57F94CA0"/>
    <w:rsid w:val="57FD05CB"/>
    <w:rsid w:val="580044F4"/>
    <w:rsid w:val="58044C05"/>
    <w:rsid w:val="58044C45"/>
    <w:rsid w:val="58087351"/>
    <w:rsid w:val="581304A7"/>
    <w:rsid w:val="58184BBF"/>
    <w:rsid w:val="581A1322"/>
    <w:rsid w:val="58244E33"/>
    <w:rsid w:val="58300776"/>
    <w:rsid w:val="5832169E"/>
    <w:rsid w:val="5832583F"/>
    <w:rsid w:val="583E3225"/>
    <w:rsid w:val="58420F9B"/>
    <w:rsid w:val="584B6339"/>
    <w:rsid w:val="58521F9E"/>
    <w:rsid w:val="58535F61"/>
    <w:rsid w:val="58621F7E"/>
    <w:rsid w:val="5869138A"/>
    <w:rsid w:val="58692147"/>
    <w:rsid w:val="586B42FC"/>
    <w:rsid w:val="587271C1"/>
    <w:rsid w:val="587A47D7"/>
    <w:rsid w:val="587C6E7F"/>
    <w:rsid w:val="588562F7"/>
    <w:rsid w:val="58860454"/>
    <w:rsid w:val="588E4E09"/>
    <w:rsid w:val="589936D6"/>
    <w:rsid w:val="58B34857"/>
    <w:rsid w:val="58BE6380"/>
    <w:rsid w:val="58C61EBA"/>
    <w:rsid w:val="58C800C8"/>
    <w:rsid w:val="58DD217F"/>
    <w:rsid w:val="58E36DEC"/>
    <w:rsid w:val="58F717F7"/>
    <w:rsid w:val="58F740FA"/>
    <w:rsid w:val="58FB58BB"/>
    <w:rsid w:val="5902195F"/>
    <w:rsid w:val="59096ED1"/>
    <w:rsid w:val="59124F2C"/>
    <w:rsid w:val="59226A1F"/>
    <w:rsid w:val="593058FE"/>
    <w:rsid w:val="593A697F"/>
    <w:rsid w:val="59440359"/>
    <w:rsid w:val="5944340C"/>
    <w:rsid w:val="59444C41"/>
    <w:rsid w:val="594B1005"/>
    <w:rsid w:val="595D6AB0"/>
    <w:rsid w:val="596E41C9"/>
    <w:rsid w:val="59771406"/>
    <w:rsid w:val="598335D5"/>
    <w:rsid w:val="599454E3"/>
    <w:rsid w:val="5998471D"/>
    <w:rsid w:val="5998521B"/>
    <w:rsid w:val="59A246D5"/>
    <w:rsid w:val="59A903FD"/>
    <w:rsid w:val="59B368E2"/>
    <w:rsid w:val="59BB14E1"/>
    <w:rsid w:val="59C10E3B"/>
    <w:rsid w:val="59C261CB"/>
    <w:rsid w:val="59C94729"/>
    <w:rsid w:val="59C96E8A"/>
    <w:rsid w:val="59CA2CED"/>
    <w:rsid w:val="59CE10A9"/>
    <w:rsid w:val="59D3626A"/>
    <w:rsid w:val="59DB3E39"/>
    <w:rsid w:val="59DF0B89"/>
    <w:rsid w:val="59F32F2D"/>
    <w:rsid w:val="59FB3A4A"/>
    <w:rsid w:val="5A041940"/>
    <w:rsid w:val="5A17494B"/>
    <w:rsid w:val="5A1841B6"/>
    <w:rsid w:val="5A1C2BD5"/>
    <w:rsid w:val="5A255A72"/>
    <w:rsid w:val="5A315424"/>
    <w:rsid w:val="5A31629C"/>
    <w:rsid w:val="5A341CC9"/>
    <w:rsid w:val="5A3F2709"/>
    <w:rsid w:val="5A3F466D"/>
    <w:rsid w:val="5A403211"/>
    <w:rsid w:val="5A480C50"/>
    <w:rsid w:val="5A4B3CAE"/>
    <w:rsid w:val="5A5617BC"/>
    <w:rsid w:val="5A650FC0"/>
    <w:rsid w:val="5A673932"/>
    <w:rsid w:val="5A796880"/>
    <w:rsid w:val="5A8072DC"/>
    <w:rsid w:val="5A82748D"/>
    <w:rsid w:val="5A8D0F14"/>
    <w:rsid w:val="5A9756BD"/>
    <w:rsid w:val="5AA2476F"/>
    <w:rsid w:val="5AB7537F"/>
    <w:rsid w:val="5ABD62CE"/>
    <w:rsid w:val="5AC40FFA"/>
    <w:rsid w:val="5AC95939"/>
    <w:rsid w:val="5ACE0DAA"/>
    <w:rsid w:val="5AD0086E"/>
    <w:rsid w:val="5AD7316F"/>
    <w:rsid w:val="5ADB005D"/>
    <w:rsid w:val="5ADC0752"/>
    <w:rsid w:val="5ADD2038"/>
    <w:rsid w:val="5AEC0BE8"/>
    <w:rsid w:val="5AF86ED4"/>
    <w:rsid w:val="5B024C95"/>
    <w:rsid w:val="5B103576"/>
    <w:rsid w:val="5B1274C8"/>
    <w:rsid w:val="5B1E125F"/>
    <w:rsid w:val="5B2568B6"/>
    <w:rsid w:val="5B280010"/>
    <w:rsid w:val="5B62573A"/>
    <w:rsid w:val="5B6D4370"/>
    <w:rsid w:val="5B763768"/>
    <w:rsid w:val="5B8552D4"/>
    <w:rsid w:val="5B8A78C3"/>
    <w:rsid w:val="5B8C4224"/>
    <w:rsid w:val="5B904078"/>
    <w:rsid w:val="5B912F28"/>
    <w:rsid w:val="5B9766CA"/>
    <w:rsid w:val="5B983002"/>
    <w:rsid w:val="5BAA1356"/>
    <w:rsid w:val="5BB055E7"/>
    <w:rsid w:val="5BB64E0F"/>
    <w:rsid w:val="5BB9179D"/>
    <w:rsid w:val="5BCA1CC1"/>
    <w:rsid w:val="5BCC36DC"/>
    <w:rsid w:val="5BCD7313"/>
    <w:rsid w:val="5BCF180A"/>
    <w:rsid w:val="5BD719B1"/>
    <w:rsid w:val="5BD934E5"/>
    <w:rsid w:val="5BDF37E0"/>
    <w:rsid w:val="5BE135B0"/>
    <w:rsid w:val="5BF02FC3"/>
    <w:rsid w:val="5BF20804"/>
    <w:rsid w:val="5C007A19"/>
    <w:rsid w:val="5C061599"/>
    <w:rsid w:val="5C0A3FE8"/>
    <w:rsid w:val="5C0F7CEF"/>
    <w:rsid w:val="5C18374F"/>
    <w:rsid w:val="5C192F91"/>
    <w:rsid w:val="5C195CAC"/>
    <w:rsid w:val="5C2A09D3"/>
    <w:rsid w:val="5C366A07"/>
    <w:rsid w:val="5C3A62DE"/>
    <w:rsid w:val="5C417244"/>
    <w:rsid w:val="5C4315F2"/>
    <w:rsid w:val="5C4921B5"/>
    <w:rsid w:val="5C493933"/>
    <w:rsid w:val="5C514982"/>
    <w:rsid w:val="5C531C4F"/>
    <w:rsid w:val="5C564DB9"/>
    <w:rsid w:val="5C577F57"/>
    <w:rsid w:val="5C5A1297"/>
    <w:rsid w:val="5C697295"/>
    <w:rsid w:val="5C6E2BA7"/>
    <w:rsid w:val="5C713A4E"/>
    <w:rsid w:val="5C7A5843"/>
    <w:rsid w:val="5C7B26FA"/>
    <w:rsid w:val="5C7E75CC"/>
    <w:rsid w:val="5C8B3CE0"/>
    <w:rsid w:val="5C8C13F5"/>
    <w:rsid w:val="5C915592"/>
    <w:rsid w:val="5CA227A8"/>
    <w:rsid w:val="5CA87005"/>
    <w:rsid w:val="5CAE4CAF"/>
    <w:rsid w:val="5CB76F4D"/>
    <w:rsid w:val="5CB9021B"/>
    <w:rsid w:val="5CBE507C"/>
    <w:rsid w:val="5CC679CD"/>
    <w:rsid w:val="5CCA3F23"/>
    <w:rsid w:val="5CD01F00"/>
    <w:rsid w:val="5CDF72C6"/>
    <w:rsid w:val="5CEC6D18"/>
    <w:rsid w:val="5CEF2A8D"/>
    <w:rsid w:val="5CF229E2"/>
    <w:rsid w:val="5CF357A4"/>
    <w:rsid w:val="5D014A4B"/>
    <w:rsid w:val="5D081F0E"/>
    <w:rsid w:val="5D094C2B"/>
    <w:rsid w:val="5D121882"/>
    <w:rsid w:val="5D1E62BE"/>
    <w:rsid w:val="5D2240FB"/>
    <w:rsid w:val="5D394E1E"/>
    <w:rsid w:val="5D3A0316"/>
    <w:rsid w:val="5D3F27BC"/>
    <w:rsid w:val="5D41329E"/>
    <w:rsid w:val="5D45320E"/>
    <w:rsid w:val="5D4C6B10"/>
    <w:rsid w:val="5D5170F6"/>
    <w:rsid w:val="5D67366C"/>
    <w:rsid w:val="5D6D1245"/>
    <w:rsid w:val="5D6D6F6B"/>
    <w:rsid w:val="5D753156"/>
    <w:rsid w:val="5D7E46F6"/>
    <w:rsid w:val="5D80303B"/>
    <w:rsid w:val="5D824E2D"/>
    <w:rsid w:val="5D8714F7"/>
    <w:rsid w:val="5D8916F9"/>
    <w:rsid w:val="5DA2115E"/>
    <w:rsid w:val="5DA440D0"/>
    <w:rsid w:val="5DA87E54"/>
    <w:rsid w:val="5DAD4973"/>
    <w:rsid w:val="5DB815B7"/>
    <w:rsid w:val="5DB828EB"/>
    <w:rsid w:val="5DBA7B13"/>
    <w:rsid w:val="5DC726D6"/>
    <w:rsid w:val="5DC91CAB"/>
    <w:rsid w:val="5DD919B1"/>
    <w:rsid w:val="5DE51A4E"/>
    <w:rsid w:val="5DE6209F"/>
    <w:rsid w:val="5DEB6DAA"/>
    <w:rsid w:val="5DFC414B"/>
    <w:rsid w:val="5E0303E5"/>
    <w:rsid w:val="5E0B1125"/>
    <w:rsid w:val="5E112E3A"/>
    <w:rsid w:val="5E144C9F"/>
    <w:rsid w:val="5E177998"/>
    <w:rsid w:val="5E2002BE"/>
    <w:rsid w:val="5E2636F4"/>
    <w:rsid w:val="5E2D1009"/>
    <w:rsid w:val="5E2D6D72"/>
    <w:rsid w:val="5E2F22B0"/>
    <w:rsid w:val="5E32322F"/>
    <w:rsid w:val="5E327113"/>
    <w:rsid w:val="5E346928"/>
    <w:rsid w:val="5E407C7E"/>
    <w:rsid w:val="5E451DC5"/>
    <w:rsid w:val="5E492982"/>
    <w:rsid w:val="5E4C2E61"/>
    <w:rsid w:val="5E4E1292"/>
    <w:rsid w:val="5E501D1F"/>
    <w:rsid w:val="5E563DE2"/>
    <w:rsid w:val="5E602996"/>
    <w:rsid w:val="5E6120B7"/>
    <w:rsid w:val="5E61260F"/>
    <w:rsid w:val="5E6647E7"/>
    <w:rsid w:val="5E682BDC"/>
    <w:rsid w:val="5E6914BF"/>
    <w:rsid w:val="5E7319AD"/>
    <w:rsid w:val="5E801BC7"/>
    <w:rsid w:val="5E853A63"/>
    <w:rsid w:val="5E853E15"/>
    <w:rsid w:val="5E861119"/>
    <w:rsid w:val="5E92224E"/>
    <w:rsid w:val="5E9D3904"/>
    <w:rsid w:val="5E9D6C98"/>
    <w:rsid w:val="5EA04F5B"/>
    <w:rsid w:val="5EA31BDB"/>
    <w:rsid w:val="5EA42C9D"/>
    <w:rsid w:val="5EA855E4"/>
    <w:rsid w:val="5EAC7607"/>
    <w:rsid w:val="5EB727F5"/>
    <w:rsid w:val="5EBB5B24"/>
    <w:rsid w:val="5EC4414D"/>
    <w:rsid w:val="5EC66D42"/>
    <w:rsid w:val="5ED058AB"/>
    <w:rsid w:val="5ED12057"/>
    <w:rsid w:val="5ED1337F"/>
    <w:rsid w:val="5ED40BBA"/>
    <w:rsid w:val="5ED74B43"/>
    <w:rsid w:val="5EE05CDC"/>
    <w:rsid w:val="5EEF38FF"/>
    <w:rsid w:val="5EF255A8"/>
    <w:rsid w:val="5EF446BC"/>
    <w:rsid w:val="5EFA3673"/>
    <w:rsid w:val="5EFD31B1"/>
    <w:rsid w:val="5EFE2AC0"/>
    <w:rsid w:val="5F0020CC"/>
    <w:rsid w:val="5F0635B9"/>
    <w:rsid w:val="5F0C4F19"/>
    <w:rsid w:val="5F103E8F"/>
    <w:rsid w:val="5F3061A5"/>
    <w:rsid w:val="5F356E98"/>
    <w:rsid w:val="5F373469"/>
    <w:rsid w:val="5F3D5379"/>
    <w:rsid w:val="5F3E002B"/>
    <w:rsid w:val="5F497FAD"/>
    <w:rsid w:val="5F4A0DD7"/>
    <w:rsid w:val="5F681F1D"/>
    <w:rsid w:val="5F6863F8"/>
    <w:rsid w:val="5F6A4D60"/>
    <w:rsid w:val="5F6F39A3"/>
    <w:rsid w:val="5F726337"/>
    <w:rsid w:val="5F7A3694"/>
    <w:rsid w:val="5F7C4067"/>
    <w:rsid w:val="5F8E23D5"/>
    <w:rsid w:val="5F971D82"/>
    <w:rsid w:val="5F97792E"/>
    <w:rsid w:val="5F993E2F"/>
    <w:rsid w:val="5F9C6526"/>
    <w:rsid w:val="5FA50C64"/>
    <w:rsid w:val="5FA63D9C"/>
    <w:rsid w:val="5FAC6581"/>
    <w:rsid w:val="5FAD3AEA"/>
    <w:rsid w:val="5FB00978"/>
    <w:rsid w:val="5FB16D7D"/>
    <w:rsid w:val="5FC07E46"/>
    <w:rsid w:val="5FCD15CD"/>
    <w:rsid w:val="5FD4282A"/>
    <w:rsid w:val="5FDB03C6"/>
    <w:rsid w:val="5FDB5835"/>
    <w:rsid w:val="5FDC0574"/>
    <w:rsid w:val="5FEE7A29"/>
    <w:rsid w:val="5FF17D55"/>
    <w:rsid w:val="5FF4555F"/>
    <w:rsid w:val="600B62EA"/>
    <w:rsid w:val="60157BC5"/>
    <w:rsid w:val="601B0D3D"/>
    <w:rsid w:val="601D4F9E"/>
    <w:rsid w:val="6020045A"/>
    <w:rsid w:val="60214E95"/>
    <w:rsid w:val="6022014B"/>
    <w:rsid w:val="602A619A"/>
    <w:rsid w:val="602B2A46"/>
    <w:rsid w:val="60312D7B"/>
    <w:rsid w:val="60384B3B"/>
    <w:rsid w:val="60397C09"/>
    <w:rsid w:val="6042451C"/>
    <w:rsid w:val="60430D8F"/>
    <w:rsid w:val="604443B0"/>
    <w:rsid w:val="60506E95"/>
    <w:rsid w:val="60537357"/>
    <w:rsid w:val="60560A7E"/>
    <w:rsid w:val="606478AE"/>
    <w:rsid w:val="60647EF4"/>
    <w:rsid w:val="607656AE"/>
    <w:rsid w:val="60777F4B"/>
    <w:rsid w:val="607A64DA"/>
    <w:rsid w:val="607D4F59"/>
    <w:rsid w:val="60870181"/>
    <w:rsid w:val="60884EB9"/>
    <w:rsid w:val="608B3797"/>
    <w:rsid w:val="60902A86"/>
    <w:rsid w:val="609F63E4"/>
    <w:rsid w:val="60A55C79"/>
    <w:rsid w:val="60C520E0"/>
    <w:rsid w:val="60CB7A76"/>
    <w:rsid w:val="60CF14B0"/>
    <w:rsid w:val="60CF3392"/>
    <w:rsid w:val="60CF4F43"/>
    <w:rsid w:val="60D050D9"/>
    <w:rsid w:val="60D1519C"/>
    <w:rsid w:val="60D30B01"/>
    <w:rsid w:val="60D60457"/>
    <w:rsid w:val="60D711D0"/>
    <w:rsid w:val="60DA71BB"/>
    <w:rsid w:val="60E7548A"/>
    <w:rsid w:val="60E8480C"/>
    <w:rsid w:val="60EB314B"/>
    <w:rsid w:val="60F50A49"/>
    <w:rsid w:val="60F6247C"/>
    <w:rsid w:val="60FD43BF"/>
    <w:rsid w:val="6102390F"/>
    <w:rsid w:val="610A03BD"/>
    <w:rsid w:val="611D2541"/>
    <w:rsid w:val="6123315D"/>
    <w:rsid w:val="61252DAF"/>
    <w:rsid w:val="612B5363"/>
    <w:rsid w:val="61353D4A"/>
    <w:rsid w:val="613F224D"/>
    <w:rsid w:val="61484C0F"/>
    <w:rsid w:val="615269FA"/>
    <w:rsid w:val="61590399"/>
    <w:rsid w:val="617D3332"/>
    <w:rsid w:val="61874A08"/>
    <w:rsid w:val="618A57FE"/>
    <w:rsid w:val="618F6E74"/>
    <w:rsid w:val="619A1C39"/>
    <w:rsid w:val="61A134C4"/>
    <w:rsid w:val="61A52EA9"/>
    <w:rsid w:val="61A5314A"/>
    <w:rsid w:val="61AA552C"/>
    <w:rsid w:val="61AF1358"/>
    <w:rsid w:val="61C5137D"/>
    <w:rsid w:val="61C71A4B"/>
    <w:rsid w:val="61CB5106"/>
    <w:rsid w:val="61DE29BB"/>
    <w:rsid w:val="61E46D57"/>
    <w:rsid w:val="61F37242"/>
    <w:rsid w:val="61F61542"/>
    <w:rsid w:val="61F649E3"/>
    <w:rsid w:val="61FA6816"/>
    <w:rsid w:val="61FF4C7C"/>
    <w:rsid w:val="62077D36"/>
    <w:rsid w:val="62122B7D"/>
    <w:rsid w:val="621B03CC"/>
    <w:rsid w:val="621D79A3"/>
    <w:rsid w:val="623657B8"/>
    <w:rsid w:val="6238661A"/>
    <w:rsid w:val="62426A55"/>
    <w:rsid w:val="62444B97"/>
    <w:rsid w:val="624721BC"/>
    <w:rsid w:val="624B55B6"/>
    <w:rsid w:val="62541401"/>
    <w:rsid w:val="62554F9C"/>
    <w:rsid w:val="62562095"/>
    <w:rsid w:val="6256562A"/>
    <w:rsid w:val="625B2FC4"/>
    <w:rsid w:val="62667BDC"/>
    <w:rsid w:val="626B7569"/>
    <w:rsid w:val="626F5DF9"/>
    <w:rsid w:val="62725DD8"/>
    <w:rsid w:val="62744932"/>
    <w:rsid w:val="627A4A82"/>
    <w:rsid w:val="627B74AB"/>
    <w:rsid w:val="62862020"/>
    <w:rsid w:val="62942AA5"/>
    <w:rsid w:val="629B73AC"/>
    <w:rsid w:val="62A464DE"/>
    <w:rsid w:val="62AA4ADD"/>
    <w:rsid w:val="62AE1283"/>
    <w:rsid w:val="62B87CBC"/>
    <w:rsid w:val="62C21E48"/>
    <w:rsid w:val="62CD65C2"/>
    <w:rsid w:val="62CE765A"/>
    <w:rsid w:val="62D600AD"/>
    <w:rsid w:val="62DD0974"/>
    <w:rsid w:val="62E077FF"/>
    <w:rsid w:val="62E21E92"/>
    <w:rsid w:val="62E319FD"/>
    <w:rsid w:val="62EB776E"/>
    <w:rsid w:val="62F822B8"/>
    <w:rsid w:val="630E6ED4"/>
    <w:rsid w:val="63102224"/>
    <w:rsid w:val="631669F1"/>
    <w:rsid w:val="631844EC"/>
    <w:rsid w:val="63185A08"/>
    <w:rsid w:val="631E7E42"/>
    <w:rsid w:val="63264190"/>
    <w:rsid w:val="63271737"/>
    <w:rsid w:val="632C751D"/>
    <w:rsid w:val="6331107E"/>
    <w:rsid w:val="63394B25"/>
    <w:rsid w:val="633A74F8"/>
    <w:rsid w:val="634761CF"/>
    <w:rsid w:val="634F3DC0"/>
    <w:rsid w:val="63503374"/>
    <w:rsid w:val="636367F6"/>
    <w:rsid w:val="636B7B77"/>
    <w:rsid w:val="63705E01"/>
    <w:rsid w:val="63760A8D"/>
    <w:rsid w:val="63766080"/>
    <w:rsid w:val="6388305A"/>
    <w:rsid w:val="63911317"/>
    <w:rsid w:val="63936C18"/>
    <w:rsid w:val="639D7752"/>
    <w:rsid w:val="639F596D"/>
    <w:rsid w:val="63AC41F0"/>
    <w:rsid w:val="63AF0C1D"/>
    <w:rsid w:val="63B3794F"/>
    <w:rsid w:val="63B42878"/>
    <w:rsid w:val="63B81B91"/>
    <w:rsid w:val="63C22794"/>
    <w:rsid w:val="63C61AA5"/>
    <w:rsid w:val="63CA4565"/>
    <w:rsid w:val="63D8429F"/>
    <w:rsid w:val="63DF1127"/>
    <w:rsid w:val="63E07A4B"/>
    <w:rsid w:val="63E201FF"/>
    <w:rsid w:val="63EA78E2"/>
    <w:rsid w:val="63F253AA"/>
    <w:rsid w:val="63FB442A"/>
    <w:rsid w:val="63FE67A4"/>
    <w:rsid w:val="63FF13EF"/>
    <w:rsid w:val="63FF7190"/>
    <w:rsid w:val="64002FB4"/>
    <w:rsid w:val="64022F72"/>
    <w:rsid w:val="640970FF"/>
    <w:rsid w:val="640B491E"/>
    <w:rsid w:val="641259E3"/>
    <w:rsid w:val="64203AB5"/>
    <w:rsid w:val="642970D9"/>
    <w:rsid w:val="642F149C"/>
    <w:rsid w:val="643C1282"/>
    <w:rsid w:val="64490F42"/>
    <w:rsid w:val="644D3D07"/>
    <w:rsid w:val="64596337"/>
    <w:rsid w:val="645A632F"/>
    <w:rsid w:val="646D0626"/>
    <w:rsid w:val="64784F29"/>
    <w:rsid w:val="647F655C"/>
    <w:rsid w:val="64990634"/>
    <w:rsid w:val="649E796C"/>
    <w:rsid w:val="64A85F96"/>
    <w:rsid w:val="64AB7555"/>
    <w:rsid w:val="64AD087B"/>
    <w:rsid w:val="64AE1B7C"/>
    <w:rsid w:val="64AF31D6"/>
    <w:rsid w:val="64B21EF7"/>
    <w:rsid w:val="64B30426"/>
    <w:rsid w:val="64C5315D"/>
    <w:rsid w:val="64C56ADD"/>
    <w:rsid w:val="64CF7B00"/>
    <w:rsid w:val="64D34C5F"/>
    <w:rsid w:val="64D46D4B"/>
    <w:rsid w:val="64DA4535"/>
    <w:rsid w:val="64E77A56"/>
    <w:rsid w:val="64F362C3"/>
    <w:rsid w:val="650C2246"/>
    <w:rsid w:val="651C14ED"/>
    <w:rsid w:val="6526083F"/>
    <w:rsid w:val="65283356"/>
    <w:rsid w:val="65287AF6"/>
    <w:rsid w:val="65293614"/>
    <w:rsid w:val="652E420B"/>
    <w:rsid w:val="65346E5E"/>
    <w:rsid w:val="653538E0"/>
    <w:rsid w:val="65354B29"/>
    <w:rsid w:val="654620A4"/>
    <w:rsid w:val="65465F20"/>
    <w:rsid w:val="654E7B30"/>
    <w:rsid w:val="655559FF"/>
    <w:rsid w:val="65584A66"/>
    <w:rsid w:val="6559178C"/>
    <w:rsid w:val="655C5778"/>
    <w:rsid w:val="655D3287"/>
    <w:rsid w:val="65640929"/>
    <w:rsid w:val="657739D4"/>
    <w:rsid w:val="65792FD8"/>
    <w:rsid w:val="657C1614"/>
    <w:rsid w:val="65812033"/>
    <w:rsid w:val="659264E6"/>
    <w:rsid w:val="659642BC"/>
    <w:rsid w:val="65971923"/>
    <w:rsid w:val="659943C1"/>
    <w:rsid w:val="65996D67"/>
    <w:rsid w:val="659A4C69"/>
    <w:rsid w:val="65A307FF"/>
    <w:rsid w:val="65A31532"/>
    <w:rsid w:val="65A920E1"/>
    <w:rsid w:val="65B77E01"/>
    <w:rsid w:val="65B9781F"/>
    <w:rsid w:val="65BA1670"/>
    <w:rsid w:val="65BF666A"/>
    <w:rsid w:val="65C8677F"/>
    <w:rsid w:val="65CB0B10"/>
    <w:rsid w:val="65CB4FB4"/>
    <w:rsid w:val="65CC4882"/>
    <w:rsid w:val="65D200F0"/>
    <w:rsid w:val="65DA35DE"/>
    <w:rsid w:val="65DA5B91"/>
    <w:rsid w:val="65DC7380"/>
    <w:rsid w:val="65DF525A"/>
    <w:rsid w:val="65E064BA"/>
    <w:rsid w:val="65EB77B3"/>
    <w:rsid w:val="65F75DA9"/>
    <w:rsid w:val="65F964E7"/>
    <w:rsid w:val="65FB66B6"/>
    <w:rsid w:val="65FC7CE6"/>
    <w:rsid w:val="66007E3E"/>
    <w:rsid w:val="661C7BE2"/>
    <w:rsid w:val="662238A4"/>
    <w:rsid w:val="66265EE1"/>
    <w:rsid w:val="662B6476"/>
    <w:rsid w:val="6635702E"/>
    <w:rsid w:val="66382EC7"/>
    <w:rsid w:val="663D3CCC"/>
    <w:rsid w:val="66451336"/>
    <w:rsid w:val="664F24CC"/>
    <w:rsid w:val="665B55DD"/>
    <w:rsid w:val="665C7523"/>
    <w:rsid w:val="665D0F8E"/>
    <w:rsid w:val="666040F8"/>
    <w:rsid w:val="66666CE6"/>
    <w:rsid w:val="66745BD9"/>
    <w:rsid w:val="667E2026"/>
    <w:rsid w:val="667F061F"/>
    <w:rsid w:val="66814D52"/>
    <w:rsid w:val="668F17F1"/>
    <w:rsid w:val="668F4BCC"/>
    <w:rsid w:val="66A617FA"/>
    <w:rsid w:val="66AA3789"/>
    <w:rsid w:val="66C50DC3"/>
    <w:rsid w:val="66C76EAF"/>
    <w:rsid w:val="66D16214"/>
    <w:rsid w:val="66D86216"/>
    <w:rsid w:val="66D947DA"/>
    <w:rsid w:val="66D94BF1"/>
    <w:rsid w:val="66E85245"/>
    <w:rsid w:val="66F32A63"/>
    <w:rsid w:val="66FE799B"/>
    <w:rsid w:val="67017F95"/>
    <w:rsid w:val="67185FD7"/>
    <w:rsid w:val="672162C1"/>
    <w:rsid w:val="67226E55"/>
    <w:rsid w:val="67272774"/>
    <w:rsid w:val="67301B70"/>
    <w:rsid w:val="67587205"/>
    <w:rsid w:val="675F457D"/>
    <w:rsid w:val="67663974"/>
    <w:rsid w:val="678C7530"/>
    <w:rsid w:val="678C75D6"/>
    <w:rsid w:val="679206DC"/>
    <w:rsid w:val="67947BE6"/>
    <w:rsid w:val="67A15EDF"/>
    <w:rsid w:val="67A16D3E"/>
    <w:rsid w:val="67AC19E7"/>
    <w:rsid w:val="67B760C0"/>
    <w:rsid w:val="67C66474"/>
    <w:rsid w:val="67C761C4"/>
    <w:rsid w:val="67CB32B7"/>
    <w:rsid w:val="67CE316A"/>
    <w:rsid w:val="67CF6A1D"/>
    <w:rsid w:val="67D362D9"/>
    <w:rsid w:val="67E43803"/>
    <w:rsid w:val="67EE2F7F"/>
    <w:rsid w:val="67F64D7B"/>
    <w:rsid w:val="67FC0B42"/>
    <w:rsid w:val="68031664"/>
    <w:rsid w:val="68091278"/>
    <w:rsid w:val="6816694D"/>
    <w:rsid w:val="681C4628"/>
    <w:rsid w:val="681D0B01"/>
    <w:rsid w:val="68451EFB"/>
    <w:rsid w:val="68496680"/>
    <w:rsid w:val="684A3EDE"/>
    <w:rsid w:val="684E0E2B"/>
    <w:rsid w:val="685017A0"/>
    <w:rsid w:val="685662AA"/>
    <w:rsid w:val="6858720E"/>
    <w:rsid w:val="68675A2B"/>
    <w:rsid w:val="686E7C18"/>
    <w:rsid w:val="687061DF"/>
    <w:rsid w:val="6871070A"/>
    <w:rsid w:val="68841906"/>
    <w:rsid w:val="68873A14"/>
    <w:rsid w:val="688867E2"/>
    <w:rsid w:val="68936EA6"/>
    <w:rsid w:val="689A7E1A"/>
    <w:rsid w:val="689E1749"/>
    <w:rsid w:val="68A742ED"/>
    <w:rsid w:val="68AA2317"/>
    <w:rsid w:val="68AA5354"/>
    <w:rsid w:val="68CA6CF5"/>
    <w:rsid w:val="68D31C2B"/>
    <w:rsid w:val="68DC118F"/>
    <w:rsid w:val="68E63EB3"/>
    <w:rsid w:val="68E84305"/>
    <w:rsid w:val="68EE0AE2"/>
    <w:rsid w:val="68EE4FFF"/>
    <w:rsid w:val="68F175E3"/>
    <w:rsid w:val="68FC2508"/>
    <w:rsid w:val="69004988"/>
    <w:rsid w:val="69160588"/>
    <w:rsid w:val="693442E0"/>
    <w:rsid w:val="693B5FAC"/>
    <w:rsid w:val="6956463D"/>
    <w:rsid w:val="695A0B14"/>
    <w:rsid w:val="69787545"/>
    <w:rsid w:val="69837F2E"/>
    <w:rsid w:val="698C6808"/>
    <w:rsid w:val="699A2798"/>
    <w:rsid w:val="699F351D"/>
    <w:rsid w:val="69A00D58"/>
    <w:rsid w:val="69A21E16"/>
    <w:rsid w:val="69C277E9"/>
    <w:rsid w:val="69C8165E"/>
    <w:rsid w:val="69C8369D"/>
    <w:rsid w:val="69D31D5A"/>
    <w:rsid w:val="69DC4027"/>
    <w:rsid w:val="69DE66BE"/>
    <w:rsid w:val="69F00A94"/>
    <w:rsid w:val="69F111F5"/>
    <w:rsid w:val="69F41EE8"/>
    <w:rsid w:val="69F616D6"/>
    <w:rsid w:val="69F74F22"/>
    <w:rsid w:val="6A083C46"/>
    <w:rsid w:val="6A0B04CF"/>
    <w:rsid w:val="6A1457FA"/>
    <w:rsid w:val="6A1975F8"/>
    <w:rsid w:val="6A3F454C"/>
    <w:rsid w:val="6A3F68F3"/>
    <w:rsid w:val="6A412B25"/>
    <w:rsid w:val="6A427C9D"/>
    <w:rsid w:val="6A460625"/>
    <w:rsid w:val="6A46361D"/>
    <w:rsid w:val="6A4B2883"/>
    <w:rsid w:val="6A4F2F78"/>
    <w:rsid w:val="6A5B4F4E"/>
    <w:rsid w:val="6A5D63E6"/>
    <w:rsid w:val="6A7D13B5"/>
    <w:rsid w:val="6A7E784C"/>
    <w:rsid w:val="6A833EAB"/>
    <w:rsid w:val="6A890921"/>
    <w:rsid w:val="6A8D5266"/>
    <w:rsid w:val="6A987ACE"/>
    <w:rsid w:val="6AA74886"/>
    <w:rsid w:val="6AA869A2"/>
    <w:rsid w:val="6AAC5A3C"/>
    <w:rsid w:val="6AAC6016"/>
    <w:rsid w:val="6ABB1D2C"/>
    <w:rsid w:val="6ACB4713"/>
    <w:rsid w:val="6AD32DEA"/>
    <w:rsid w:val="6AE449EB"/>
    <w:rsid w:val="6AEF5603"/>
    <w:rsid w:val="6AEF6322"/>
    <w:rsid w:val="6AF50AB2"/>
    <w:rsid w:val="6AFE54AF"/>
    <w:rsid w:val="6B0074AE"/>
    <w:rsid w:val="6B04596C"/>
    <w:rsid w:val="6B065121"/>
    <w:rsid w:val="6B066542"/>
    <w:rsid w:val="6B073CBA"/>
    <w:rsid w:val="6B0A6AC7"/>
    <w:rsid w:val="6B0F5DCE"/>
    <w:rsid w:val="6B163A47"/>
    <w:rsid w:val="6B164D96"/>
    <w:rsid w:val="6B1F4057"/>
    <w:rsid w:val="6B202BE8"/>
    <w:rsid w:val="6B2807B2"/>
    <w:rsid w:val="6B350BC8"/>
    <w:rsid w:val="6B366EC8"/>
    <w:rsid w:val="6B3875FD"/>
    <w:rsid w:val="6B387DF8"/>
    <w:rsid w:val="6B3929BF"/>
    <w:rsid w:val="6B3D58CD"/>
    <w:rsid w:val="6B47528C"/>
    <w:rsid w:val="6B4B3F8A"/>
    <w:rsid w:val="6B574A9F"/>
    <w:rsid w:val="6B5A22FA"/>
    <w:rsid w:val="6B6A2BA7"/>
    <w:rsid w:val="6B6F525C"/>
    <w:rsid w:val="6B730FCE"/>
    <w:rsid w:val="6B762CC0"/>
    <w:rsid w:val="6B7F2EAB"/>
    <w:rsid w:val="6B8046B7"/>
    <w:rsid w:val="6B817F21"/>
    <w:rsid w:val="6B84372A"/>
    <w:rsid w:val="6B8A6784"/>
    <w:rsid w:val="6B9442BB"/>
    <w:rsid w:val="6B965409"/>
    <w:rsid w:val="6BA76C48"/>
    <w:rsid w:val="6BA7744F"/>
    <w:rsid w:val="6BB93380"/>
    <w:rsid w:val="6BBC11E2"/>
    <w:rsid w:val="6BC154C5"/>
    <w:rsid w:val="6BC541E0"/>
    <w:rsid w:val="6BC5783D"/>
    <w:rsid w:val="6BCA2021"/>
    <w:rsid w:val="6BDB1118"/>
    <w:rsid w:val="6BDC5B59"/>
    <w:rsid w:val="6BDD2AC9"/>
    <w:rsid w:val="6BE44BFB"/>
    <w:rsid w:val="6BE80EED"/>
    <w:rsid w:val="6BE95385"/>
    <w:rsid w:val="6BF06994"/>
    <w:rsid w:val="6BF44B49"/>
    <w:rsid w:val="6BFC5F5F"/>
    <w:rsid w:val="6BFE2B33"/>
    <w:rsid w:val="6BFE34C5"/>
    <w:rsid w:val="6C026B38"/>
    <w:rsid w:val="6C067803"/>
    <w:rsid w:val="6C080E98"/>
    <w:rsid w:val="6C0A0CE6"/>
    <w:rsid w:val="6C0F45CE"/>
    <w:rsid w:val="6C1C0317"/>
    <w:rsid w:val="6C2213CC"/>
    <w:rsid w:val="6C255CDF"/>
    <w:rsid w:val="6C2878F8"/>
    <w:rsid w:val="6C3854D2"/>
    <w:rsid w:val="6C4443DB"/>
    <w:rsid w:val="6C45780A"/>
    <w:rsid w:val="6C4B4C09"/>
    <w:rsid w:val="6C4D0C93"/>
    <w:rsid w:val="6C6121CE"/>
    <w:rsid w:val="6C6226CE"/>
    <w:rsid w:val="6C6440D1"/>
    <w:rsid w:val="6C754FCF"/>
    <w:rsid w:val="6C7A6553"/>
    <w:rsid w:val="6C7B26E0"/>
    <w:rsid w:val="6C810FA2"/>
    <w:rsid w:val="6C857290"/>
    <w:rsid w:val="6C863D15"/>
    <w:rsid w:val="6C877A70"/>
    <w:rsid w:val="6C893AC8"/>
    <w:rsid w:val="6C8A543D"/>
    <w:rsid w:val="6C8F2770"/>
    <w:rsid w:val="6C8F396D"/>
    <w:rsid w:val="6C937955"/>
    <w:rsid w:val="6C9736F1"/>
    <w:rsid w:val="6CA55DD8"/>
    <w:rsid w:val="6CA918BA"/>
    <w:rsid w:val="6CB73101"/>
    <w:rsid w:val="6CC04222"/>
    <w:rsid w:val="6CC52FAB"/>
    <w:rsid w:val="6CC835E5"/>
    <w:rsid w:val="6CCE20E2"/>
    <w:rsid w:val="6CD679A4"/>
    <w:rsid w:val="6CDA2D92"/>
    <w:rsid w:val="6CDF4428"/>
    <w:rsid w:val="6CE711D1"/>
    <w:rsid w:val="6CE74021"/>
    <w:rsid w:val="6CEE5C86"/>
    <w:rsid w:val="6CF163C2"/>
    <w:rsid w:val="6CF555B0"/>
    <w:rsid w:val="6D01510D"/>
    <w:rsid w:val="6D023972"/>
    <w:rsid w:val="6D127C0D"/>
    <w:rsid w:val="6D151CC7"/>
    <w:rsid w:val="6D171E64"/>
    <w:rsid w:val="6D1B116F"/>
    <w:rsid w:val="6D1D5D0F"/>
    <w:rsid w:val="6D1E3E67"/>
    <w:rsid w:val="6D1E6FD7"/>
    <w:rsid w:val="6D283B0F"/>
    <w:rsid w:val="6D2A2C7F"/>
    <w:rsid w:val="6D2D5F6A"/>
    <w:rsid w:val="6D34557B"/>
    <w:rsid w:val="6D396E69"/>
    <w:rsid w:val="6D3A43C4"/>
    <w:rsid w:val="6D4633D4"/>
    <w:rsid w:val="6D4E25B3"/>
    <w:rsid w:val="6D575167"/>
    <w:rsid w:val="6D580EDE"/>
    <w:rsid w:val="6D5A3A66"/>
    <w:rsid w:val="6D5E670D"/>
    <w:rsid w:val="6D5F34A8"/>
    <w:rsid w:val="6D6A2F1E"/>
    <w:rsid w:val="6D810EED"/>
    <w:rsid w:val="6D8532DC"/>
    <w:rsid w:val="6D861DB2"/>
    <w:rsid w:val="6D8C4F88"/>
    <w:rsid w:val="6D901B30"/>
    <w:rsid w:val="6D935989"/>
    <w:rsid w:val="6D9F1D42"/>
    <w:rsid w:val="6DA37F1E"/>
    <w:rsid w:val="6DA43467"/>
    <w:rsid w:val="6DA5211F"/>
    <w:rsid w:val="6DAC5011"/>
    <w:rsid w:val="6DB374DF"/>
    <w:rsid w:val="6DB67DAC"/>
    <w:rsid w:val="6DB74E45"/>
    <w:rsid w:val="6DD30B12"/>
    <w:rsid w:val="6DD8201C"/>
    <w:rsid w:val="6DE413D7"/>
    <w:rsid w:val="6DE57D58"/>
    <w:rsid w:val="6DEB3A0D"/>
    <w:rsid w:val="6DF528CD"/>
    <w:rsid w:val="6DF841BF"/>
    <w:rsid w:val="6DFB4E16"/>
    <w:rsid w:val="6DFE72FE"/>
    <w:rsid w:val="6E013D12"/>
    <w:rsid w:val="6E041B89"/>
    <w:rsid w:val="6E133FEF"/>
    <w:rsid w:val="6E2C1522"/>
    <w:rsid w:val="6E2D011E"/>
    <w:rsid w:val="6E3D1064"/>
    <w:rsid w:val="6E445903"/>
    <w:rsid w:val="6E450A66"/>
    <w:rsid w:val="6E456907"/>
    <w:rsid w:val="6E4F22DD"/>
    <w:rsid w:val="6E516A6D"/>
    <w:rsid w:val="6E590FD0"/>
    <w:rsid w:val="6E6209D6"/>
    <w:rsid w:val="6E654A29"/>
    <w:rsid w:val="6E71512F"/>
    <w:rsid w:val="6E773F5F"/>
    <w:rsid w:val="6E781D7D"/>
    <w:rsid w:val="6E7B0E75"/>
    <w:rsid w:val="6E7B23D7"/>
    <w:rsid w:val="6E85511B"/>
    <w:rsid w:val="6E8822D0"/>
    <w:rsid w:val="6E8D44D0"/>
    <w:rsid w:val="6E8E59C8"/>
    <w:rsid w:val="6E8F6AB7"/>
    <w:rsid w:val="6E9B5FAD"/>
    <w:rsid w:val="6E9D1075"/>
    <w:rsid w:val="6E9E14B7"/>
    <w:rsid w:val="6EA10E7C"/>
    <w:rsid w:val="6EA2729E"/>
    <w:rsid w:val="6EA27DB2"/>
    <w:rsid w:val="6EAB7753"/>
    <w:rsid w:val="6EAC2091"/>
    <w:rsid w:val="6EC04D6D"/>
    <w:rsid w:val="6EC620FB"/>
    <w:rsid w:val="6EC8180A"/>
    <w:rsid w:val="6ED42267"/>
    <w:rsid w:val="6EDD36BA"/>
    <w:rsid w:val="6EE67D00"/>
    <w:rsid w:val="6EE7256D"/>
    <w:rsid w:val="6EEA1357"/>
    <w:rsid w:val="6EEA4AA3"/>
    <w:rsid w:val="6EEB6C7A"/>
    <w:rsid w:val="6EED27B1"/>
    <w:rsid w:val="6EF43265"/>
    <w:rsid w:val="6EFF6BB4"/>
    <w:rsid w:val="6F005670"/>
    <w:rsid w:val="6F0C5B6F"/>
    <w:rsid w:val="6F153E6C"/>
    <w:rsid w:val="6F1B72B2"/>
    <w:rsid w:val="6F1E1834"/>
    <w:rsid w:val="6F207A32"/>
    <w:rsid w:val="6F213E96"/>
    <w:rsid w:val="6F342E0D"/>
    <w:rsid w:val="6F370C5A"/>
    <w:rsid w:val="6F3A64AC"/>
    <w:rsid w:val="6F3B1053"/>
    <w:rsid w:val="6F3C2815"/>
    <w:rsid w:val="6F3C79CA"/>
    <w:rsid w:val="6F3F5052"/>
    <w:rsid w:val="6F5C3ED1"/>
    <w:rsid w:val="6F5F65E6"/>
    <w:rsid w:val="6F6E72BF"/>
    <w:rsid w:val="6F712ACE"/>
    <w:rsid w:val="6F721A1D"/>
    <w:rsid w:val="6F7C176C"/>
    <w:rsid w:val="6F8751AE"/>
    <w:rsid w:val="6F885493"/>
    <w:rsid w:val="6F990006"/>
    <w:rsid w:val="6F9E5B7A"/>
    <w:rsid w:val="6FA57D10"/>
    <w:rsid w:val="6FB10873"/>
    <w:rsid w:val="6FB74E60"/>
    <w:rsid w:val="6FBB52CE"/>
    <w:rsid w:val="6FC10258"/>
    <w:rsid w:val="6FCA0CA1"/>
    <w:rsid w:val="6FCA17FB"/>
    <w:rsid w:val="6FD679FD"/>
    <w:rsid w:val="6FD74CAA"/>
    <w:rsid w:val="6FDD577E"/>
    <w:rsid w:val="6FE16EE1"/>
    <w:rsid w:val="6FE82DDD"/>
    <w:rsid w:val="6FEE0771"/>
    <w:rsid w:val="6FF6672A"/>
    <w:rsid w:val="6FFE4EBC"/>
    <w:rsid w:val="70031ADC"/>
    <w:rsid w:val="700621B2"/>
    <w:rsid w:val="700C35E0"/>
    <w:rsid w:val="700C4AC7"/>
    <w:rsid w:val="70140382"/>
    <w:rsid w:val="70152A9A"/>
    <w:rsid w:val="70153446"/>
    <w:rsid w:val="701B3E96"/>
    <w:rsid w:val="701B6D58"/>
    <w:rsid w:val="701F1568"/>
    <w:rsid w:val="70256598"/>
    <w:rsid w:val="702978D9"/>
    <w:rsid w:val="702E2AE1"/>
    <w:rsid w:val="702E6AA4"/>
    <w:rsid w:val="70352FF4"/>
    <w:rsid w:val="703640BF"/>
    <w:rsid w:val="70392103"/>
    <w:rsid w:val="703F650C"/>
    <w:rsid w:val="704961CB"/>
    <w:rsid w:val="705108E7"/>
    <w:rsid w:val="705155E7"/>
    <w:rsid w:val="70543F27"/>
    <w:rsid w:val="70593D07"/>
    <w:rsid w:val="706169BF"/>
    <w:rsid w:val="70696D35"/>
    <w:rsid w:val="706F6FB6"/>
    <w:rsid w:val="70713A5C"/>
    <w:rsid w:val="707E42B2"/>
    <w:rsid w:val="70830131"/>
    <w:rsid w:val="708F23E0"/>
    <w:rsid w:val="7097427D"/>
    <w:rsid w:val="709E20B7"/>
    <w:rsid w:val="70A923EE"/>
    <w:rsid w:val="70AA6FA9"/>
    <w:rsid w:val="70B222D6"/>
    <w:rsid w:val="70B42B92"/>
    <w:rsid w:val="70B42C80"/>
    <w:rsid w:val="70B61689"/>
    <w:rsid w:val="70B667EF"/>
    <w:rsid w:val="70B778B4"/>
    <w:rsid w:val="70BB200E"/>
    <w:rsid w:val="70BF6BE9"/>
    <w:rsid w:val="70C34D81"/>
    <w:rsid w:val="70C55BFC"/>
    <w:rsid w:val="70C56EDC"/>
    <w:rsid w:val="70CB2A7C"/>
    <w:rsid w:val="70D72183"/>
    <w:rsid w:val="70E44655"/>
    <w:rsid w:val="70E63138"/>
    <w:rsid w:val="70EA5177"/>
    <w:rsid w:val="70EA53DD"/>
    <w:rsid w:val="70ED6A0E"/>
    <w:rsid w:val="70ED6EE1"/>
    <w:rsid w:val="70F44AB2"/>
    <w:rsid w:val="71002FFA"/>
    <w:rsid w:val="71045367"/>
    <w:rsid w:val="710464C7"/>
    <w:rsid w:val="71066EA0"/>
    <w:rsid w:val="710C79B5"/>
    <w:rsid w:val="710E7D3D"/>
    <w:rsid w:val="71182D1B"/>
    <w:rsid w:val="711D3A76"/>
    <w:rsid w:val="711E5F98"/>
    <w:rsid w:val="7120760A"/>
    <w:rsid w:val="714E04F7"/>
    <w:rsid w:val="715F4B98"/>
    <w:rsid w:val="716A3183"/>
    <w:rsid w:val="71760F11"/>
    <w:rsid w:val="717A5AA7"/>
    <w:rsid w:val="717C7162"/>
    <w:rsid w:val="717D3CD5"/>
    <w:rsid w:val="71850DCB"/>
    <w:rsid w:val="719018FB"/>
    <w:rsid w:val="719466DA"/>
    <w:rsid w:val="719873B6"/>
    <w:rsid w:val="719C2626"/>
    <w:rsid w:val="719C63DF"/>
    <w:rsid w:val="71A14D39"/>
    <w:rsid w:val="71A94A2A"/>
    <w:rsid w:val="71B374B1"/>
    <w:rsid w:val="71BA0993"/>
    <w:rsid w:val="71CE6050"/>
    <w:rsid w:val="71CF2FF9"/>
    <w:rsid w:val="71DC3CB0"/>
    <w:rsid w:val="71F24A43"/>
    <w:rsid w:val="71F313DD"/>
    <w:rsid w:val="71F34E40"/>
    <w:rsid w:val="71F36EB1"/>
    <w:rsid w:val="71F72600"/>
    <w:rsid w:val="72021D5D"/>
    <w:rsid w:val="721714AB"/>
    <w:rsid w:val="72171998"/>
    <w:rsid w:val="72180310"/>
    <w:rsid w:val="721C3FD9"/>
    <w:rsid w:val="721D31A6"/>
    <w:rsid w:val="722332F3"/>
    <w:rsid w:val="72241F34"/>
    <w:rsid w:val="724B6551"/>
    <w:rsid w:val="724B6EAE"/>
    <w:rsid w:val="724E0FB5"/>
    <w:rsid w:val="72511E69"/>
    <w:rsid w:val="725169EF"/>
    <w:rsid w:val="725D421B"/>
    <w:rsid w:val="725F79A5"/>
    <w:rsid w:val="7265261F"/>
    <w:rsid w:val="72760726"/>
    <w:rsid w:val="72790194"/>
    <w:rsid w:val="72833999"/>
    <w:rsid w:val="7287629D"/>
    <w:rsid w:val="728E35F1"/>
    <w:rsid w:val="72906405"/>
    <w:rsid w:val="72916B7F"/>
    <w:rsid w:val="729C2E11"/>
    <w:rsid w:val="72A032FE"/>
    <w:rsid w:val="72A037B9"/>
    <w:rsid w:val="72A83C28"/>
    <w:rsid w:val="72AB4D76"/>
    <w:rsid w:val="72AB53A5"/>
    <w:rsid w:val="72AE6C65"/>
    <w:rsid w:val="72B648D7"/>
    <w:rsid w:val="72B9339D"/>
    <w:rsid w:val="72BB1F0C"/>
    <w:rsid w:val="72C0705F"/>
    <w:rsid w:val="72C07BB3"/>
    <w:rsid w:val="72CE7F48"/>
    <w:rsid w:val="72D03618"/>
    <w:rsid w:val="72E2468B"/>
    <w:rsid w:val="72E43BFB"/>
    <w:rsid w:val="72E56DAF"/>
    <w:rsid w:val="72E77059"/>
    <w:rsid w:val="72FF5F92"/>
    <w:rsid w:val="73062C09"/>
    <w:rsid w:val="73066DE5"/>
    <w:rsid w:val="73092A4F"/>
    <w:rsid w:val="732B7F0D"/>
    <w:rsid w:val="732C4748"/>
    <w:rsid w:val="733D30E0"/>
    <w:rsid w:val="73406B38"/>
    <w:rsid w:val="7342612F"/>
    <w:rsid w:val="73450F08"/>
    <w:rsid w:val="73563A14"/>
    <w:rsid w:val="736B0067"/>
    <w:rsid w:val="73765B39"/>
    <w:rsid w:val="737C1903"/>
    <w:rsid w:val="738619C1"/>
    <w:rsid w:val="738A42F1"/>
    <w:rsid w:val="738E3AB9"/>
    <w:rsid w:val="739065BC"/>
    <w:rsid w:val="73923409"/>
    <w:rsid w:val="739724CE"/>
    <w:rsid w:val="739B168F"/>
    <w:rsid w:val="73A16CFB"/>
    <w:rsid w:val="73A255C1"/>
    <w:rsid w:val="73B334AF"/>
    <w:rsid w:val="73B86888"/>
    <w:rsid w:val="73D35785"/>
    <w:rsid w:val="73D82E38"/>
    <w:rsid w:val="73F039AC"/>
    <w:rsid w:val="73F314E3"/>
    <w:rsid w:val="73F41B79"/>
    <w:rsid w:val="73FD6108"/>
    <w:rsid w:val="7400051E"/>
    <w:rsid w:val="740404D8"/>
    <w:rsid w:val="740833C6"/>
    <w:rsid w:val="74086EB5"/>
    <w:rsid w:val="74181304"/>
    <w:rsid w:val="74190D1B"/>
    <w:rsid w:val="74340423"/>
    <w:rsid w:val="743B46F4"/>
    <w:rsid w:val="743E2D03"/>
    <w:rsid w:val="744646C9"/>
    <w:rsid w:val="744C627E"/>
    <w:rsid w:val="745042EC"/>
    <w:rsid w:val="74505862"/>
    <w:rsid w:val="745132C7"/>
    <w:rsid w:val="74577DD0"/>
    <w:rsid w:val="74626C89"/>
    <w:rsid w:val="746621ED"/>
    <w:rsid w:val="74676B45"/>
    <w:rsid w:val="746D5F5D"/>
    <w:rsid w:val="748B22B6"/>
    <w:rsid w:val="74A36E05"/>
    <w:rsid w:val="74A87419"/>
    <w:rsid w:val="74AF13CC"/>
    <w:rsid w:val="74B51313"/>
    <w:rsid w:val="74BB0C08"/>
    <w:rsid w:val="74BF7FEB"/>
    <w:rsid w:val="74CE70BD"/>
    <w:rsid w:val="74D76839"/>
    <w:rsid w:val="74E37335"/>
    <w:rsid w:val="74E91888"/>
    <w:rsid w:val="74EB2FFE"/>
    <w:rsid w:val="74FD0D8D"/>
    <w:rsid w:val="75053818"/>
    <w:rsid w:val="750724A3"/>
    <w:rsid w:val="7514475E"/>
    <w:rsid w:val="751678CE"/>
    <w:rsid w:val="75177A3B"/>
    <w:rsid w:val="75193067"/>
    <w:rsid w:val="7520013D"/>
    <w:rsid w:val="75202E6C"/>
    <w:rsid w:val="752336E6"/>
    <w:rsid w:val="75294D05"/>
    <w:rsid w:val="75297777"/>
    <w:rsid w:val="752D5510"/>
    <w:rsid w:val="75373201"/>
    <w:rsid w:val="753B10E2"/>
    <w:rsid w:val="754674E3"/>
    <w:rsid w:val="754730F9"/>
    <w:rsid w:val="75485924"/>
    <w:rsid w:val="755E1D00"/>
    <w:rsid w:val="75685E27"/>
    <w:rsid w:val="75702A52"/>
    <w:rsid w:val="758F19AF"/>
    <w:rsid w:val="759167FC"/>
    <w:rsid w:val="759430D6"/>
    <w:rsid w:val="75955D0A"/>
    <w:rsid w:val="75984F37"/>
    <w:rsid w:val="759D2027"/>
    <w:rsid w:val="759F1EF2"/>
    <w:rsid w:val="759F45BB"/>
    <w:rsid w:val="75AE38BE"/>
    <w:rsid w:val="75B04C94"/>
    <w:rsid w:val="75B36542"/>
    <w:rsid w:val="75BA79F6"/>
    <w:rsid w:val="75BB05C3"/>
    <w:rsid w:val="75C43331"/>
    <w:rsid w:val="75C77FAE"/>
    <w:rsid w:val="75C91039"/>
    <w:rsid w:val="75CE15BB"/>
    <w:rsid w:val="75CF553F"/>
    <w:rsid w:val="75D82CCE"/>
    <w:rsid w:val="75E45F38"/>
    <w:rsid w:val="75EC7E9C"/>
    <w:rsid w:val="75F01F05"/>
    <w:rsid w:val="75FA2D4B"/>
    <w:rsid w:val="75FE6FB3"/>
    <w:rsid w:val="76085578"/>
    <w:rsid w:val="760B6DB2"/>
    <w:rsid w:val="760B7E8B"/>
    <w:rsid w:val="760C61B1"/>
    <w:rsid w:val="7614728E"/>
    <w:rsid w:val="761473C8"/>
    <w:rsid w:val="761C0E19"/>
    <w:rsid w:val="76236070"/>
    <w:rsid w:val="762A1217"/>
    <w:rsid w:val="76302A7E"/>
    <w:rsid w:val="763040B0"/>
    <w:rsid w:val="763B1BDB"/>
    <w:rsid w:val="76520BEB"/>
    <w:rsid w:val="76547281"/>
    <w:rsid w:val="76563BF7"/>
    <w:rsid w:val="765928FC"/>
    <w:rsid w:val="765A35D1"/>
    <w:rsid w:val="765F070B"/>
    <w:rsid w:val="76687CB6"/>
    <w:rsid w:val="766E602B"/>
    <w:rsid w:val="767A7900"/>
    <w:rsid w:val="76805E30"/>
    <w:rsid w:val="768A1200"/>
    <w:rsid w:val="768C5BAC"/>
    <w:rsid w:val="76903B86"/>
    <w:rsid w:val="7692076A"/>
    <w:rsid w:val="769C05DC"/>
    <w:rsid w:val="769E2278"/>
    <w:rsid w:val="76A11A98"/>
    <w:rsid w:val="76A52E1C"/>
    <w:rsid w:val="76A6331F"/>
    <w:rsid w:val="76B2657C"/>
    <w:rsid w:val="76C20083"/>
    <w:rsid w:val="76C832F2"/>
    <w:rsid w:val="76E35DC4"/>
    <w:rsid w:val="76E40BD9"/>
    <w:rsid w:val="76E73652"/>
    <w:rsid w:val="76EE5E38"/>
    <w:rsid w:val="76F73D82"/>
    <w:rsid w:val="76F9035F"/>
    <w:rsid w:val="76F9356A"/>
    <w:rsid w:val="76FA7664"/>
    <w:rsid w:val="770655BC"/>
    <w:rsid w:val="770C453C"/>
    <w:rsid w:val="77111E60"/>
    <w:rsid w:val="77144FD9"/>
    <w:rsid w:val="77145798"/>
    <w:rsid w:val="77483CC4"/>
    <w:rsid w:val="775F6961"/>
    <w:rsid w:val="77807600"/>
    <w:rsid w:val="7789446C"/>
    <w:rsid w:val="7793325C"/>
    <w:rsid w:val="779730C6"/>
    <w:rsid w:val="7798054D"/>
    <w:rsid w:val="77AC296D"/>
    <w:rsid w:val="77B6528F"/>
    <w:rsid w:val="77C04CAE"/>
    <w:rsid w:val="77C848D0"/>
    <w:rsid w:val="77C91F54"/>
    <w:rsid w:val="77CB58A5"/>
    <w:rsid w:val="77CF71D3"/>
    <w:rsid w:val="77D32F28"/>
    <w:rsid w:val="77D520FE"/>
    <w:rsid w:val="77D73344"/>
    <w:rsid w:val="77DE4AC8"/>
    <w:rsid w:val="77E05745"/>
    <w:rsid w:val="77E76C4F"/>
    <w:rsid w:val="77E872FF"/>
    <w:rsid w:val="780743F5"/>
    <w:rsid w:val="780B759B"/>
    <w:rsid w:val="780D503B"/>
    <w:rsid w:val="781173A2"/>
    <w:rsid w:val="78135A3E"/>
    <w:rsid w:val="781B0C6C"/>
    <w:rsid w:val="781F5107"/>
    <w:rsid w:val="7823153E"/>
    <w:rsid w:val="78272AD2"/>
    <w:rsid w:val="782803E8"/>
    <w:rsid w:val="782C4112"/>
    <w:rsid w:val="7831284C"/>
    <w:rsid w:val="78337B71"/>
    <w:rsid w:val="784756B4"/>
    <w:rsid w:val="784A61BA"/>
    <w:rsid w:val="785F5D9A"/>
    <w:rsid w:val="786C35A6"/>
    <w:rsid w:val="786D2338"/>
    <w:rsid w:val="786D41BD"/>
    <w:rsid w:val="7870237F"/>
    <w:rsid w:val="78721C62"/>
    <w:rsid w:val="78747991"/>
    <w:rsid w:val="78A0481B"/>
    <w:rsid w:val="78A31AFF"/>
    <w:rsid w:val="78A37082"/>
    <w:rsid w:val="78A62FD0"/>
    <w:rsid w:val="78A87484"/>
    <w:rsid w:val="78B258F0"/>
    <w:rsid w:val="78B260EE"/>
    <w:rsid w:val="78CA4C57"/>
    <w:rsid w:val="78CC43CD"/>
    <w:rsid w:val="78D46946"/>
    <w:rsid w:val="78D865A3"/>
    <w:rsid w:val="78D94A34"/>
    <w:rsid w:val="78DB1BC9"/>
    <w:rsid w:val="78E12E6A"/>
    <w:rsid w:val="78F72F6D"/>
    <w:rsid w:val="78F97711"/>
    <w:rsid w:val="78FF6EFB"/>
    <w:rsid w:val="79004525"/>
    <w:rsid w:val="7907447D"/>
    <w:rsid w:val="7911757A"/>
    <w:rsid w:val="79137E3E"/>
    <w:rsid w:val="791649E7"/>
    <w:rsid w:val="791B709B"/>
    <w:rsid w:val="792518C1"/>
    <w:rsid w:val="793624A8"/>
    <w:rsid w:val="793B697A"/>
    <w:rsid w:val="79444E65"/>
    <w:rsid w:val="79507900"/>
    <w:rsid w:val="795127E8"/>
    <w:rsid w:val="79530561"/>
    <w:rsid w:val="79533C02"/>
    <w:rsid w:val="79536322"/>
    <w:rsid w:val="79565203"/>
    <w:rsid w:val="795D4643"/>
    <w:rsid w:val="79643EB4"/>
    <w:rsid w:val="79690080"/>
    <w:rsid w:val="796C1E7D"/>
    <w:rsid w:val="797178C2"/>
    <w:rsid w:val="79787E08"/>
    <w:rsid w:val="797D0EFA"/>
    <w:rsid w:val="79913163"/>
    <w:rsid w:val="79921906"/>
    <w:rsid w:val="799928CB"/>
    <w:rsid w:val="799B1BAA"/>
    <w:rsid w:val="799E5249"/>
    <w:rsid w:val="79A47D7B"/>
    <w:rsid w:val="79B624C0"/>
    <w:rsid w:val="79BE6BF7"/>
    <w:rsid w:val="79C869D8"/>
    <w:rsid w:val="79DB3867"/>
    <w:rsid w:val="79EE7126"/>
    <w:rsid w:val="79F20B71"/>
    <w:rsid w:val="79FC2F6B"/>
    <w:rsid w:val="79FF4D98"/>
    <w:rsid w:val="7A056508"/>
    <w:rsid w:val="7A0D42F8"/>
    <w:rsid w:val="7A0E7234"/>
    <w:rsid w:val="7A0F25A2"/>
    <w:rsid w:val="7A216A47"/>
    <w:rsid w:val="7A3657E0"/>
    <w:rsid w:val="7A3A208F"/>
    <w:rsid w:val="7A3B7146"/>
    <w:rsid w:val="7A444D55"/>
    <w:rsid w:val="7A4814FB"/>
    <w:rsid w:val="7A513FB6"/>
    <w:rsid w:val="7A5502B8"/>
    <w:rsid w:val="7A553ABC"/>
    <w:rsid w:val="7A5A0A5C"/>
    <w:rsid w:val="7A5F69CC"/>
    <w:rsid w:val="7A7B26AD"/>
    <w:rsid w:val="7A7E4875"/>
    <w:rsid w:val="7A892319"/>
    <w:rsid w:val="7A9262BD"/>
    <w:rsid w:val="7A9A127E"/>
    <w:rsid w:val="7AB07079"/>
    <w:rsid w:val="7AB607D9"/>
    <w:rsid w:val="7ABA5186"/>
    <w:rsid w:val="7ACB31FB"/>
    <w:rsid w:val="7ACC3C99"/>
    <w:rsid w:val="7AD2380C"/>
    <w:rsid w:val="7AD635D1"/>
    <w:rsid w:val="7ADB2991"/>
    <w:rsid w:val="7ADB62FC"/>
    <w:rsid w:val="7ADD4701"/>
    <w:rsid w:val="7AE419D8"/>
    <w:rsid w:val="7AE661A6"/>
    <w:rsid w:val="7AE8102A"/>
    <w:rsid w:val="7AED4A83"/>
    <w:rsid w:val="7B006DE5"/>
    <w:rsid w:val="7B03181F"/>
    <w:rsid w:val="7B1038BA"/>
    <w:rsid w:val="7B34756A"/>
    <w:rsid w:val="7B3B22DE"/>
    <w:rsid w:val="7B536A19"/>
    <w:rsid w:val="7B57450C"/>
    <w:rsid w:val="7B5A6870"/>
    <w:rsid w:val="7B5D715B"/>
    <w:rsid w:val="7B602807"/>
    <w:rsid w:val="7B624DB3"/>
    <w:rsid w:val="7B645BD1"/>
    <w:rsid w:val="7B7570F3"/>
    <w:rsid w:val="7B7F6110"/>
    <w:rsid w:val="7B8657AD"/>
    <w:rsid w:val="7B8732D3"/>
    <w:rsid w:val="7B907B7C"/>
    <w:rsid w:val="7B914740"/>
    <w:rsid w:val="7B947F77"/>
    <w:rsid w:val="7B9664B7"/>
    <w:rsid w:val="7BAB0EF2"/>
    <w:rsid w:val="7BB96C8D"/>
    <w:rsid w:val="7BC063F8"/>
    <w:rsid w:val="7BC801EF"/>
    <w:rsid w:val="7BD85994"/>
    <w:rsid w:val="7BE06CB6"/>
    <w:rsid w:val="7BE129E3"/>
    <w:rsid w:val="7BE5250D"/>
    <w:rsid w:val="7BE725A8"/>
    <w:rsid w:val="7BE905FB"/>
    <w:rsid w:val="7BEA40C8"/>
    <w:rsid w:val="7BF56B78"/>
    <w:rsid w:val="7C062B72"/>
    <w:rsid w:val="7C0C3966"/>
    <w:rsid w:val="7C0C7827"/>
    <w:rsid w:val="7C152B1A"/>
    <w:rsid w:val="7C1831CF"/>
    <w:rsid w:val="7C2B02E0"/>
    <w:rsid w:val="7C2D3667"/>
    <w:rsid w:val="7C2D463C"/>
    <w:rsid w:val="7C312183"/>
    <w:rsid w:val="7C312A12"/>
    <w:rsid w:val="7C32169D"/>
    <w:rsid w:val="7C477E8A"/>
    <w:rsid w:val="7C56768C"/>
    <w:rsid w:val="7C5E1319"/>
    <w:rsid w:val="7C60629D"/>
    <w:rsid w:val="7C6747B5"/>
    <w:rsid w:val="7C7078AF"/>
    <w:rsid w:val="7C726333"/>
    <w:rsid w:val="7C790298"/>
    <w:rsid w:val="7C80291E"/>
    <w:rsid w:val="7C8F3CC3"/>
    <w:rsid w:val="7C9064ED"/>
    <w:rsid w:val="7CA174F3"/>
    <w:rsid w:val="7CA55A57"/>
    <w:rsid w:val="7CAF6554"/>
    <w:rsid w:val="7CB21CA0"/>
    <w:rsid w:val="7CB30B03"/>
    <w:rsid w:val="7CB436B8"/>
    <w:rsid w:val="7CB628C0"/>
    <w:rsid w:val="7CB71EC4"/>
    <w:rsid w:val="7CBE15FE"/>
    <w:rsid w:val="7CC16251"/>
    <w:rsid w:val="7CC80EA4"/>
    <w:rsid w:val="7CCD55CF"/>
    <w:rsid w:val="7CCF2162"/>
    <w:rsid w:val="7CD21FCC"/>
    <w:rsid w:val="7CE3569C"/>
    <w:rsid w:val="7CE51858"/>
    <w:rsid w:val="7CF927B1"/>
    <w:rsid w:val="7D036A35"/>
    <w:rsid w:val="7D0A1C7E"/>
    <w:rsid w:val="7D0E7F32"/>
    <w:rsid w:val="7D1646C8"/>
    <w:rsid w:val="7D2A0678"/>
    <w:rsid w:val="7D2F3BDC"/>
    <w:rsid w:val="7D33335B"/>
    <w:rsid w:val="7D43322A"/>
    <w:rsid w:val="7D437647"/>
    <w:rsid w:val="7D456622"/>
    <w:rsid w:val="7D4836C0"/>
    <w:rsid w:val="7D5109B8"/>
    <w:rsid w:val="7D553C43"/>
    <w:rsid w:val="7D5865FD"/>
    <w:rsid w:val="7D5E7307"/>
    <w:rsid w:val="7D6D601C"/>
    <w:rsid w:val="7D6E0AEB"/>
    <w:rsid w:val="7D6E545C"/>
    <w:rsid w:val="7D853519"/>
    <w:rsid w:val="7D8C3ADB"/>
    <w:rsid w:val="7D8D727A"/>
    <w:rsid w:val="7D9A5A93"/>
    <w:rsid w:val="7DA82296"/>
    <w:rsid w:val="7DB149CD"/>
    <w:rsid w:val="7DB766B7"/>
    <w:rsid w:val="7DBE5657"/>
    <w:rsid w:val="7DBF72D1"/>
    <w:rsid w:val="7DC8626C"/>
    <w:rsid w:val="7DCD0A80"/>
    <w:rsid w:val="7DD83CEC"/>
    <w:rsid w:val="7DD94F0B"/>
    <w:rsid w:val="7DDA593C"/>
    <w:rsid w:val="7DDC7906"/>
    <w:rsid w:val="7DDF2F52"/>
    <w:rsid w:val="7DE253DF"/>
    <w:rsid w:val="7DE82A43"/>
    <w:rsid w:val="7DEB4663"/>
    <w:rsid w:val="7DF74F04"/>
    <w:rsid w:val="7DFB2B00"/>
    <w:rsid w:val="7DFF04D3"/>
    <w:rsid w:val="7E141027"/>
    <w:rsid w:val="7E2750F0"/>
    <w:rsid w:val="7E2D125A"/>
    <w:rsid w:val="7E35729A"/>
    <w:rsid w:val="7E363475"/>
    <w:rsid w:val="7E453946"/>
    <w:rsid w:val="7E4A299F"/>
    <w:rsid w:val="7E525E1A"/>
    <w:rsid w:val="7E5664C0"/>
    <w:rsid w:val="7E6647ED"/>
    <w:rsid w:val="7E682493"/>
    <w:rsid w:val="7E684DAB"/>
    <w:rsid w:val="7E6C149C"/>
    <w:rsid w:val="7E6F33A2"/>
    <w:rsid w:val="7E6F60A7"/>
    <w:rsid w:val="7E7057F6"/>
    <w:rsid w:val="7E7A2C7B"/>
    <w:rsid w:val="7E822261"/>
    <w:rsid w:val="7E8C56BA"/>
    <w:rsid w:val="7E965555"/>
    <w:rsid w:val="7E980E05"/>
    <w:rsid w:val="7EA0637F"/>
    <w:rsid w:val="7EB85B2F"/>
    <w:rsid w:val="7EC71C88"/>
    <w:rsid w:val="7EC779C7"/>
    <w:rsid w:val="7EC940BF"/>
    <w:rsid w:val="7ECF1E67"/>
    <w:rsid w:val="7ECF6F64"/>
    <w:rsid w:val="7EDA7C1F"/>
    <w:rsid w:val="7EDB21BE"/>
    <w:rsid w:val="7EEB432E"/>
    <w:rsid w:val="7EED5BCC"/>
    <w:rsid w:val="7F087EE6"/>
    <w:rsid w:val="7F0D40BC"/>
    <w:rsid w:val="7F145E5A"/>
    <w:rsid w:val="7F173E6E"/>
    <w:rsid w:val="7F1B5C9C"/>
    <w:rsid w:val="7F1D7A39"/>
    <w:rsid w:val="7F216FC3"/>
    <w:rsid w:val="7F296E2C"/>
    <w:rsid w:val="7F2D41F7"/>
    <w:rsid w:val="7F380944"/>
    <w:rsid w:val="7F455D29"/>
    <w:rsid w:val="7F4A5147"/>
    <w:rsid w:val="7F507E7E"/>
    <w:rsid w:val="7F56130A"/>
    <w:rsid w:val="7F592236"/>
    <w:rsid w:val="7F635E92"/>
    <w:rsid w:val="7F727B89"/>
    <w:rsid w:val="7F817BC2"/>
    <w:rsid w:val="7F821D27"/>
    <w:rsid w:val="7F8E2A60"/>
    <w:rsid w:val="7F942CCD"/>
    <w:rsid w:val="7F956B58"/>
    <w:rsid w:val="7F9F7566"/>
    <w:rsid w:val="7FA676B9"/>
    <w:rsid w:val="7FAA3F16"/>
    <w:rsid w:val="7FB1081B"/>
    <w:rsid w:val="7FC25462"/>
    <w:rsid w:val="7FC3453B"/>
    <w:rsid w:val="7FC841C1"/>
    <w:rsid w:val="7FD340FE"/>
    <w:rsid w:val="7FD91B3E"/>
    <w:rsid w:val="7FE77193"/>
    <w:rsid w:val="7FEF558F"/>
    <w:rsid w:val="7FF355F3"/>
    <w:rsid w:val="7FF5542B"/>
    <w:rsid w:val="7FFC7B97"/>
    <w:rsid w:val="7FFF657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nhideWhenUsed="0" w:uiPriority="0" w:semiHidden="0" w:name="footnote reference"/>
    <w:lsdException w:unhideWhenUsed="0" w:uiPriority="0" w:semiHidden="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nhideWhenUsed="0" w:uiPriority="0" w:semiHidden="0" w:name="List"/>
    <w:lsdException w:uiPriority="99" w:name="List Bullet"/>
    <w:lsdException w:unhideWhenUsed="0" w:uiPriority="0" w:semiHidden="0" w:name="List Number"/>
    <w:lsdException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nhideWhenUsed="0" w:uiPriority="0" w:semiHidden="0" w:name="Default Paragraph Font"/>
    <w:lsdException w:unhideWhenUsed="0"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iPriority="99"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iPriority="99" w:semiHidden="0" w:name="HTML Cite"/>
    <w:lsdException w:uiPriority="99" w:semiHidden="0" w:name="HTML Code"/>
    <w:lsdException w:uiPriority="99" w:name="HTML Definition"/>
    <w:lsdException w:uiPriority="99" w:name="HTML Keyboard"/>
    <w:lsdException w:unhideWhenUsed="0" w:uiPriority="0" w:semiHidden="0" w:name="HTML Preformatted"/>
    <w:lsdException w:uiPriority="99" w:name="HTML Sample"/>
    <w:lsdException w:uiPriority="99" w:name="HTML Typewriter"/>
    <w:lsdException w:uiPriority="99" w:name="HTML Variable"/>
    <w:lsdException w:unhideWhenUsed="0" w:uiPriority="0"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0" w:semiHidden="0" w:name="Table Grid"/>
    <w:lsdException w:uiPriority="99" w:name="Table Theme"/>
    <w:lsdException w:unhideWhenUsed="0" w:uiPriority="0" w:semiHidden="0"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paragraph" w:styleId="3">
    <w:name w:val="heading 1"/>
    <w:basedOn w:val="1"/>
    <w:next w:val="1"/>
    <w:link w:val="80"/>
    <w:qFormat/>
    <w:uiPriority w:val="0"/>
    <w:pPr>
      <w:keepNext/>
      <w:keepLines/>
      <w:adjustRightInd w:val="0"/>
      <w:spacing w:before="120" w:line="360" w:lineRule="auto"/>
      <w:jc w:val="center"/>
      <w:textAlignment w:val="baseline"/>
      <w:outlineLvl w:val="0"/>
    </w:pPr>
    <w:rPr>
      <w:b/>
      <w:bCs/>
      <w:kern w:val="44"/>
      <w:sz w:val="32"/>
      <w:szCs w:val="20"/>
    </w:rPr>
  </w:style>
  <w:style w:type="paragraph" w:styleId="4">
    <w:name w:val="heading 2"/>
    <w:basedOn w:val="1"/>
    <w:next w:val="1"/>
    <w:link w:val="57"/>
    <w:qFormat/>
    <w:uiPriority w:val="0"/>
    <w:pPr>
      <w:keepNext/>
      <w:keepLines/>
      <w:spacing w:line="416" w:lineRule="auto"/>
      <w:outlineLvl w:val="1"/>
    </w:pPr>
    <w:rPr>
      <w:rFonts w:ascii="Arial" w:hAnsi="Arial"/>
      <w:b/>
      <w:bCs/>
      <w:szCs w:val="32"/>
    </w:rPr>
  </w:style>
  <w:style w:type="paragraph" w:styleId="5">
    <w:name w:val="heading 3"/>
    <w:basedOn w:val="1"/>
    <w:next w:val="6"/>
    <w:qFormat/>
    <w:uiPriority w:val="0"/>
    <w:pPr>
      <w:keepNext/>
      <w:keepLines/>
      <w:snapToGrid w:val="0"/>
      <w:spacing w:line="360" w:lineRule="auto"/>
      <w:jc w:val="left"/>
      <w:outlineLvl w:val="2"/>
    </w:pPr>
    <w:rPr>
      <w:rFonts w:ascii="Times New Roman" w:hAnsi="Times New Roman" w:eastAsia="宋体" w:cs="Times New Roman"/>
      <w:b/>
      <w:bCs/>
      <w:sz w:val="24"/>
      <w:szCs w:val="32"/>
    </w:rPr>
  </w:style>
  <w:style w:type="paragraph" w:styleId="8">
    <w:name w:val="heading 4"/>
    <w:basedOn w:val="1"/>
    <w:next w:val="1"/>
    <w:link w:val="60"/>
    <w:qFormat/>
    <w:uiPriority w:val="0"/>
    <w:pPr>
      <w:keepNext/>
      <w:keepLines/>
      <w:spacing w:before="280" w:after="290" w:line="376" w:lineRule="auto"/>
      <w:outlineLvl w:val="3"/>
    </w:pPr>
    <w:rPr>
      <w:rFonts w:ascii="Cambria" w:hAnsi="Cambria"/>
      <w:b/>
      <w:bCs/>
      <w:sz w:val="28"/>
      <w:szCs w:val="28"/>
    </w:rPr>
  </w:style>
  <w:style w:type="paragraph" w:styleId="9">
    <w:name w:val="heading 5"/>
    <w:basedOn w:val="1"/>
    <w:next w:val="1"/>
    <w:link w:val="61"/>
    <w:qFormat/>
    <w:uiPriority w:val="0"/>
    <w:pPr>
      <w:keepNext/>
      <w:keepLines/>
      <w:spacing w:before="280" w:after="290" w:line="376" w:lineRule="auto"/>
      <w:outlineLvl w:val="4"/>
    </w:pPr>
    <w:rPr>
      <w:b/>
      <w:bCs/>
      <w:sz w:val="28"/>
      <w:szCs w:val="28"/>
    </w:rPr>
  </w:style>
  <w:style w:type="paragraph" w:styleId="10">
    <w:name w:val="heading 6"/>
    <w:basedOn w:val="1"/>
    <w:next w:val="1"/>
    <w:link w:val="62"/>
    <w:qFormat/>
    <w:uiPriority w:val="0"/>
    <w:pPr>
      <w:keepNext/>
      <w:keepLines/>
      <w:spacing w:before="240" w:after="64" w:line="320" w:lineRule="auto"/>
      <w:outlineLvl w:val="5"/>
    </w:pPr>
    <w:rPr>
      <w:rFonts w:ascii="Cambria" w:hAnsi="Cambria"/>
      <w:b/>
      <w:bCs/>
      <w:sz w:val="24"/>
    </w:rPr>
  </w:style>
  <w:style w:type="character" w:default="1" w:styleId="45">
    <w:name w:val="Default Paragraph Font"/>
    <w:link w:val="46"/>
    <w:uiPriority w:val="0"/>
    <w:rPr>
      <w:rFonts w:ascii="仿宋_GB2312" w:hAnsi="Times New Roman" w:eastAsia="仿宋_GB2312" w:cs="Times New Roman"/>
      <w:b/>
      <w:sz w:val="32"/>
      <w:szCs w:val="32"/>
    </w:rPr>
  </w:style>
  <w:style w:type="table" w:default="1" w:styleId="43">
    <w:name w:val="Normal Table"/>
    <w:uiPriority w:val="0"/>
    <w:pPr>
      <w:keepNext w:val="0"/>
      <w:keepLines w:val="0"/>
      <w:widowControl/>
      <w:suppressLineNumbers w:val="0"/>
      <w:spacing w:before="0" w:beforeAutospacing="0" w:after="0" w:afterAutospacing="0"/>
      <w:ind w:left="0" w:right="0"/>
    </w:pPr>
    <w:rPr>
      <w:rFonts w:hint="default" w:ascii="Times New Roman" w:hAnsi="Times New Roman" w:eastAsia="Times New Roman" w:cs="Times New Roman"/>
      <w:sz w:val="20"/>
      <w:szCs w:val="20"/>
    </w:rPr>
    <w:tblPr>
      <w:tblStyle w:val="43"/>
      <w:tblCellMar>
        <w:top w:w="0" w:type="dxa"/>
        <w:left w:w="108" w:type="dxa"/>
        <w:bottom w:w="0" w:type="dxa"/>
        <w:right w:w="108" w:type="dxa"/>
      </w:tblCellMar>
    </w:tblPr>
  </w:style>
  <w:style w:type="paragraph" w:styleId="2">
    <w:name w:val="toc 1"/>
    <w:basedOn w:val="1"/>
    <w:next w:val="1"/>
    <w:uiPriority w:val="39"/>
    <w:pPr>
      <w:tabs>
        <w:tab w:val="right" w:leader="dot" w:pos="9060"/>
      </w:tabs>
      <w:spacing w:before="10" w:after="10"/>
    </w:pPr>
    <w:rPr>
      <w:rFonts w:ascii="Times New Roman" w:hAnsi="Times New Roman" w:eastAsia="宋体" w:cs="Times New Roman"/>
    </w:rPr>
  </w:style>
  <w:style w:type="paragraph" w:styleId="6">
    <w:name w:val="Normal Indent"/>
    <w:basedOn w:val="1"/>
    <w:next w:val="7"/>
    <w:link w:val="58"/>
    <w:uiPriority w:val="0"/>
    <w:pPr>
      <w:ind w:firstLine="420"/>
    </w:pPr>
    <w:rPr>
      <w:szCs w:val="20"/>
    </w:rPr>
  </w:style>
  <w:style w:type="paragraph" w:styleId="7">
    <w:name w:val="Body Text Indent"/>
    <w:basedOn w:val="1"/>
    <w:link w:val="59"/>
    <w:uiPriority w:val="0"/>
    <w:pPr>
      <w:spacing w:after="120"/>
      <w:ind w:left="420" w:leftChars="200"/>
    </w:pPr>
  </w:style>
  <w:style w:type="paragraph" w:styleId="11">
    <w:name w:val="toc 7"/>
    <w:basedOn w:val="1"/>
    <w:next w:val="1"/>
    <w:uiPriority w:val="0"/>
    <w:pPr>
      <w:ind w:left="2520" w:leftChars="1200"/>
    </w:pPr>
    <w:rPr>
      <w:rFonts w:ascii="Calibri" w:hAnsi="Calibri" w:eastAsia="宋体" w:cs="Times New Roman"/>
      <w:szCs w:val="22"/>
    </w:rPr>
  </w:style>
  <w:style w:type="paragraph" w:styleId="12">
    <w:name w:val="List Number 2"/>
    <w:basedOn w:val="1"/>
    <w:unhideWhenUsed/>
    <w:uiPriority w:val="99"/>
    <w:pPr>
      <w:numPr>
        <w:ilvl w:val="0"/>
        <w:numId w:val="1"/>
      </w:numPr>
    </w:pPr>
  </w:style>
  <w:style w:type="paragraph" w:styleId="13">
    <w:name w:val="List Number"/>
    <w:basedOn w:val="1"/>
    <w:uiPriority w:val="0"/>
    <w:pPr>
      <w:widowControl/>
      <w:tabs>
        <w:tab w:val="left" w:pos="454"/>
        <w:tab w:val="left" w:pos="525"/>
        <w:tab w:val="left" w:pos="720"/>
      </w:tabs>
      <w:spacing w:after="50" w:afterLines="50"/>
      <w:ind w:left="454" w:hanging="284"/>
      <w:jc w:val="left"/>
    </w:pPr>
    <w:rPr>
      <w:rFonts w:ascii="Times New Roman" w:hAnsi="Times New Roman" w:eastAsia="宋体" w:cs="Times New Roman"/>
      <w:kern w:val="0"/>
      <w:sz w:val="24"/>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Document Map"/>
    <w:basedOn w:val="1"/>
    <w:link w:val="63"/>
    <w:uiPriority w:val="0"/>
    <w:rPr>
      <w:rFonts w:ascii="宋体"/>
      <w:sz w:val="18"/>
      <w:szCs w:val="18"/>
    </w:rPr>
  </w:style>
  <w:style w:type="paragraph" w:styleId="16">
    <w:name w:val="annotation text"/>
    <w:basedOn w:val="1"/>
    <w:link w:val="64"/>
    <w:uiPriority w:val="0"/>
    <w:pPr>
      <w:jc w:val="left"/>
    </w:pPr>
  </w:style>
  <w:style w:type="paragraph" w:styleId="17">
    <w:name w:val="Body Text 3"/>
    <w:basedOn w:val="1"/>
    <w:link w:val="65"/>
    <w:uiPriority w:val="0"/>
    <w:pPr>
      <w:spacing w:after="120"/>
    </w:pPr>
    <w:rPr>
      <w:sz w:val="16"/>
      <w:szCs w:val="16"/>
    </w:rPr>
  </w:style>
  <w:style w:type="paragraph" w:styleId="18">
    <w:name w:val="Body Text"/>
    <w:basedOn w:val="1"/>
    <w:next w:val="1"/>
    <w:link w:val="66"/>
    <w:uiPriority w:val="0"/>
    <w:pPr>
      <w:spacing w:after="120"/>
    </w:pPr>
  </w:style>
  <w:style w:type="paragraph" w:styleId="19">
    <w:name w:val="List 2"/>
    <w:basedOn w:val="1"/>
    <w:uiPriority w:val="0"/>
    <w:pPr>
      <w:ind w:left="100" w:leftChars="200" w:hanging="200" w:hangingChars="200"/>
    </w:pPr>
    <w:rPr>
      <w:rFonts w:ascii="Times New Roman" w:hAnsi="Times New Roman" w:eastAsia="宋体" w:cs="Times New Roman"/>
    </w:rPr>
  </w:style>
  <w:style w:type="paragraph" w:styleId="20">
    <w:name w:val="toc 5"/>
    <w:basedOn w:val="1"/>
    <w:next w:val="1"/>
    <w:uiPriority w:val="0"/>
    <w:pPr>
      <w:ind w:left="1680" w:leftChars="800"/>
    </w:pPr>
    <w:rPr>
      <w:rFonts w:ascii="Calibri" w:hAnsi="Calibri" w:eastAsia="宋体" w:cs="Times New Roman"/>
      <w:szCs w:val="22"/>
    </w:rPr>
  </w:style>
  <w:style w:type="paragraph" w:styleId="21">
    <w:name w:val="toc 3"/>
    <w:basedOn w:val="1"/>
    <w:next w:val="1"/>
    <w:uiPriority w:val="39"/>
    <w:pPr>
      <w:ind w:left="840" w:leftChars="400"/>
    </w:pPr>
    <w:rPr>
      <w:rFonts w:ascii="Times New Roman" w:hAnsi="Times New Roman" w:eastAsia="宋体" w:cs="Times New Roman"/>
    </w:rPr>
  </w:style>
  <w:style w:type="paragraph" w:styleId="22">
    <w:name w:val="Plain Text"/>
    <w:basedOn w:val="1"/>
    <w:next w:val="1"/>
    <w:link w:val="67"/>
    <w:uiPriority w:val="0"/>
    <w:pPr>
      <w:spacing w:before="156" w:beforeLines="50" w:after="156" w:afterLines="50" w:line="400" w:lineRule="exact"/>
    </w:pPr>
    <w:rPr>
      <w:rFonts w:ascii="宋体" w:hAnsi="Courier New"/>
      <w:sz w:val="24"/>
    </w:rPr>
  </w:style>
  <w:style w:type="paragraph" w:styleId="23">
    <w:name w:val="toc 8"/>
    <w:basedOn w:val="1"/>
    <w:next w:val="1"/>
    <w:uiPriority w:val="0"/>
    <w:pPr>
      <w:ind w:left="2940" w:leftChars="1400"/>
    </w:pPr>
    <w:rPr>
      <w:rFonts w:ascii="Calibri" w:hAnsi="Calibri" w:eastAsia="宋体" w:cs="Times New Roman"/>
      <w:szCs w:val="22"/>
    </w:rPr>
  </w:style>
  <w:style w:type="paragraph" w:styleId="24">
    <w:name w:val="Date"/>
    <w:basedOn w:val="1"/>
    <w:next w:val="1"/>
    <w:link w:val="68"/>
    <w:uiPriority w:val="0"/>
    <w:pPr>
      <w:ind w:left="100" w:leftChars="2500"/>
    </w:pPr>
  </w:style>
  <w:style w:type="paragraph" w:styleId="25">
    <w:name w:val="Body Text Indent 2"/>
    <w:basedOn w:val="1"/>
    <w:link w:val="69"/>
    <w:uiPriority w:val="0"/>
    <w:pPr>
      <w:snapToGrid w:val="0"/>
      <w:ind w:firstLine="542" w:firstLineChars="225"/>
    </w:pPr>
    <w:rPr>
      <w:rFonts w:ascii="仿宋_GB2312" w:hAnsi="宋体"/>
      <w:b/>
      <w:bCs/>
      <w:color w:val="000000"/>
      <w:sz w:val="24"/>
    </w:rPr>
  </w:style>
  <w:style w:type="paragraph" w:styleId="26">
    <w:name w:val="Balloon Text"/>
    <w:basedOn w:val="1"/>
    <w:link w:val="70"/>
    <w:uiPriority w:val="0"/>
    <w:rPr>
      <w:sz w:val="18"/>
      <w:szCs w:val="18"/>
    </w:rPr>
  </w:style>
  <w:style w:type="paragraph" w:styleId="27">
    <w:name w:val="footer"/>
    <w:basedOn w:val="1"/>
    <w:link w:val="71"/>
    <w:uiPriority w:val="0"/>
    <w:pPr>
      <w:tabs>
        <w:tab w:val="center" w:pos="4153"/>
        <w:tab w:val="right" w:pos="8306"/>
      </w:tabs>
      <w:snapToGrid w:val="0"/>
      <w:jc w:val="left"/>
    </w:pPr>
    <w:rPr>
      <w:rFonts w:eastAsia="黑体"/>
      <w:snapToGrid w:val="0"/>
      <w:kern w:val="0"/>
      <w:sz w:val="18"/>
      <w:szCs w:val="18"/>
    </w:rPr>
  </w:style>
  <w:style w:type="paragraph" w:styleId="28">
    <w:name w:val="header"/>
    <w:basedOn w:val="1"/>
    <w:link w:val="72"/>
    <w:uiPriority w:val="0"/>
    <w:pPr>
      <w:pBdr>
        <w:bottom w:val="single" w:color="auto" w:sz="6" w:space="1"/>
      </w:pBdr>
      <w:tabs>
        <w:tab w:val="center" w:pos="4153"/>
        <w:tab w:val="right" w:pos="8306"/>
      </w:tabs>
      <w:snapToGrid w:val="0"/>
      <w:jc w:val="center"/>
    </w:pPr>
    <w:rPr>
      <w:sz w:val="18"/>
      <w:szCs w:val="18"/>
    </w:rPr>
  </w:style>
  <w:style w:type="paragraph" w:styleId="29">
    <w:name w:val="toc 4"/>
    <w:basedOn w:val="1"/>
    <w:next w:val="1"/>
    <w:uiPriority w:val="0"/>
    <w:pPr>
      <w:ind w:left="1260" w:leftChars="600"/>
    </w:pPr>
    <w:rPr>
      <w:rFonts w:ascii="Calibri" w:hAnsi="Calibri" w:eastAsia="宋体" w:cs="Times New Roman"/>
      <w:szCs w:val="22"/>
    </w:rPr>
  </w:style>
  <w:style w:type="paragraph" w:styleId="30">
    <w:name w:val="Subtitle"/>
    <w:basedOn w:val="1"/>
    <w:next w:val="1"/>
    <w:qFormat/>
    <w:uiPriority w:val="0"/>
    <w:pPr>
      <w:spacing w:before="240" w:beforeLines="0" w:after="60" w:afterLines="0" w:line="312" w:lineRule="auto"/>
      <w:jc w:val="center"/>
      <w:outlineLvl w:val="1"/>
    </w:pPr>
    <w:rPr>
      <w:rFonts w:ascii="@华文中宋" w:hAnsi="@华文中宋" w:cs="@华文中宋"/>
      <w:b/>
      <w:bCs/>
      <w:kern w:val="28"/>
      <w:sz w:val="32"/>
      <w:szCs w:val="32"/>
    </w:rPr>
  </w:style>
  <w:style w:type="paragraph" w:styleId="31">
    <w:name w:val="List"/>
    <w:basedOn w:val="1"/>
    <w:uiPriority w:val="0"/>
    <w:pPr>
      <w:ind w:left="200" w:hanging="200" w:hangingChars="200"/>
    </w:pPr>
    <w:rPr>
      <w:rFonts w:ascii="Times New Roman" w:hAnsi="Times New Roman" w:eastAsia="宋体" w:cs="Times New Roman"/>
    </w:rPr>
  </w:style>
  <w:style w:type="paragraph" w:styleId="32">
    <w:name w:val="footnote text"/>
    <w:basedOn w:val="1"/>
    <w:link w:val="73"/>
    <w:uiPriority w:val="0"/>
    <w:pPr>
      <w:snapToGrid w:val="0"/>
      <w:jc w:val="left"/>
    </w:pPr>
    <w:rPr>
      <w:rFonts w:ascii="Tahoma" w:hAnsi="Tahoma"/>
      <w:sz w:val="18"/>
      <w:szCs w:val="18"/>
    </w:rPr>
  </w:style>
  <w:style w:type="paragraph" w:styleId="33">
    <w:name w:val="toc 6"/>
    <w:basedOn w:val="1"/>
    <w:next w:val="1"/>
    <w:uiPriority w:val="0"/>
    <w:pPr>
      <w:ind w:left="2100" w:leftChars="1000"/>
    </w:pPr>
    <w:rPr>
      <w:rFonts w:ascii="Calibri" w:hAnsi="Calibri" w:eastAsia="宋体" w:cs="Times New Roman"/>
      <w:szCs w:val="22"/>
    </w:rPr>
  </w:style>
  <w:style w:type="paragraph" w:styleId="34">
    <w:name w:val="Body Text Indent 3"/>
    <w:basedOn w:val="1"/>
    <w:link w:val="74"/>
    <w:uiPriority w:val="0"/>
    <w:pPr>
      <w:spacing w:line="360" w:lineRule="auto"/>
      <w:ind w:firstLine="420" w:firstLineChars="200"/>
    </w:pPr>
    <w:rPr>
      <w:szCs w:val="20"/>
    </w:rPr>
  </w:style>
  <w:style w:type="paragraph" w:styleId="35">
    <w:name w:val="toc 2"/>
    <w:basedOn w:val="1"/>
    <w:next w:val="1"/>
    <w:uiPriority w:val="39"/>
    <w:pPr>
      <w:tabs>
        <w:tab w:val="left" w:pos="1470"/>
        <w:tab w:val="right" w:leader="dot" w:pos="9060"/>
      </w:tabs>
      <w:ind w:left="420" w:leftChars="200" w:firstLine="430" w:firstLineChars="205"/>
    </w:pPr>
    <w:rPr>
      <w:rFonts w:ascii="Times New Roman" w:hAnsi="Times New Roman" w:eastAsia="宋体" w:cs="Times New Roman"/>
    </w:rPr>
  </w:style>
  <w:style w:type="paragraph" w:styleId="36">
    <w:name w:val="toc 9"/>
    <w:basedOn w:val="1"/>
    <w:next w:val="1"/>
    <w:uiPriority w:val="0"/>
    <w:pPr>
      <w:ind w:left="3360" w:leftChars="1600"/>
    </w:pPr>
    <w:rPr>
      <w:rFonts w:ascii="Calibri" w:hAnsi="Calibri" w:eastAsia="宋体" w:cs="Times New Roman"/>
      <w:szCs w:val="22"/>
    </w:rPr>
  </w:style>
  <w:style w:type="paragraph" w:styleId="37">
    <w:name w:val="HTML Preformatted"/>
    <w:basedOn w:val="1"/>
    <w:link w:val="75"/>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38">
    <w:name w:val="Normal (Web)"/>
    <w:basedOn w:val="1"/>
    <w:uiPriority w:val="0"/>
    <w:pPr>
      <w:widowControl/>
      <w:spacing w:before="100" w:beforeAutospacing="1" w:after="100" w:afterAutospacing="1"/>
      <w:jc w:val="left"/>
    </w:pPr>
    <w:rPr>
      <w:rFonts w:ascii="宋体" w:hAnsi="宋体" w:eastAsia="宋体" w:cs="宋体"/>
      <w:kern w:val="0"/>
      <w:sz w:val="24"/>
    </w:rPr>
  </w:style>
  <w:style w:type="paragraph" w:styleId="39">
    <w:name w:val="Title"/>
    <w:basedOn w:val="1"/>
    <w:next w:val="1"/>
    <w:link w:val="76"/>
    <w:qFormat/>
    <w:uiPriority w:val="0"/>
    <w:pPr>
      <w:spacing w:before="240" w:after="60"/>
      <w:jc w:val="center"/>
      <w:outlineLvl w:val="0"/>
    </w:pPr>
    <w:rPr>
      <w:rFonts w:ascii="Arial" w:hAnsi="Arial"/>
      <w:b/>
      <w:bCs/>
      <w:sz w:val="32"/>
      <w:szCs w:val="32"/>
    </w:rPr>
  </w:style>
  <w:style w:type="paragraph" w:styleId="40">
    <w:name w:val="annotation subject"/>
    <w:basedOn w:val="16"/>
    <w:next w:val="16"/>
    <w:link w:val="77"/>
    <w:uiPriority w:val="0"/>
    <w:rPr>
      <w:rFonts w:ascii="Times New Roman" w:hAnsi="Times New Roman" w:eastAsia="宋体" w:cs="Times New Roman"/>
      <w:b/>
      <w:bCs/>
    </w:rPr>
  </w:style>
  <w:style w:type="paragraph" w:styleId="41">
    <w:name w:val="Body Text First Indent"/>
    <w:basedOn w:val="18"/>
    <w:next w:val="1"/>
    <w:link w:val="78"/>
    <w:uiPriority w:val="0"/>
    <w:pPr>
      <w:ind w:firstLine="420" w:firstLineChars="100"/>
    </w:pPr>
    <w:rPr>
      <w:szCs w:val="22"/>
    </w:rPr>
  </w:style>
  <w:style w:type="paragraph" w:styleId="42">
    <w:name w:val="Body Text First Indent 2"/>
    <w:basedOn w:val="7"/>
    <w:next w:val="41"/>
    <w:link w:val="79"/>
    <w:qFormat/>
    <w:uiPriority w:val="0"/>
    <w:pPr>
      <w:spacing w:after="120"/>
      <w:ind w:left="420" w:leftChars="200" w:firstLine="420"/>
    </w:pPr>
    <w:rPr>
      <w:rFonts w:cs="宋体"/>
      <w:sz w:val="21"/>
      <w:szCs w:val="21"/>
    </w:rPr>
  </w:style>
  <w:style w:type="table" w:styleId="44">
    <w:name w:val="Table Grid"/>
    <w:basedOn w:val="43"/>
    <w:uiPriority w:val="0"/>
    <w:pPr>
      <w:widowControl w:val="0"/>
      <w:jc w:val="both"/>
    </w:pPr>
    <w:rPr>
      <w:rFonts w:ascii="Times New Roman" w:hAnsi="Times New Roman" w:eastAsia="宋体" w:cs="Times New Roman"/>
    </w:rPr>
    <w:tblPr>
      <w:tblStyle w:val="4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6">
    <w:name w:val="Char"/>
    <w:basedOn w:val="1"/>
    <w:link w:val="45"/>
    <w:uiPriority w:val="0"/>
    <w:rPr>
      <w:rFonts w:ascii="仿宋_GB2312" w:hAnsi="Times New Roman" w:eastAsia="仿宋_GB2312" w:cs="Times New Roman"/>
      <w:b/>
      <w:sz w:val="32"/>
      <w:szCs w:val="32"/>
    </w:rPr>
  </w:style>
  <w:style w:type="character" w:styleId="47">
    <w:name w:val="Strong"/>
    <w:qFormat/>
    <w:uiPriority w:val="22"/>
  </w:style>
  <w:style w:type="character" w:styleId="48">
    <w:name w:val="page number"/>
    <w:uiPriority w:val="0"/>
    <w:rPr>
      <w:rFonts w:ascii="Times New Roman" w:hAnsi="Times New Roman" w:eastAsia="宋体" w:cs="Times New Roman"/>
    </w:rPr>
  </w:style>
  <w:style w:type="character" w:styleId="49">
    <w:name w:val="FollowedHyperlink"/>
    <w:uiPriority w:val="0"/>
    <w:rPr>
      <w:rFonts w:ascii="Times New Roman" w:hAnsi="Times New Roman" w:eastAsia="宋体" w:cs="Times New Roman"/>
      <w:color w:val="000000"/>
      <w:u w:val="none"/>
    </w:rPr>
  </w:style>
  <w:style w:type="character" w:styleId="50">
    <w:name w:val="Emphasis"/>
    <w:qFormat/>
    <w:uiPriority w:val="0"/>
    <w:rPr>
      <w:rFonts w:ascii="Times New Roman" w:hAnsi="Times New Roman" w:eastAsia="幼圆" w:cs="Times New Roman"/>
      <w:b/>
      <w:caps/>
      <w:spacing w:val="10"/>
      <w:sz w:val="18"/>
    </w:rPr>
  </w:style>
  <w:style w:type="character" w:styleId="51">
    <w:name w:val="Hyperlink"/>
    <w:basedOn w:val="45"/>
    <w:uiPriority w:val="99"/>
    <w:rPr>
      <w:rFonts w:ascii="Times New Roman" w:hAnsi="Times New Roman" w:eastAsia="宋体" w:cs="Times New Roman"/>
      <w:color w:val="000000"/>
      <w:u w:val="none"/>
    </w:rPr>
  </w:style>
  <w:style w:type="character" w:styleId="52">
    <w:name w:val="HTML Code"/>
    <w:unhideWhenUsed/>
    <w:uiPriority w:val="99"/>
    <w:rPr>
      <w:rFonts w:ascii="Courier New" w:hAnsi="Courier New"/>
      <w:sz w:val="20"/>
    </w:rPr>
  </w:style>
  <w:style w:type="character" w:styleId="53">
    <w:name w:val="annotation reference"/>
    <w:uiPriority w:val="0"/>
    <w:rPr>
      <w:rFonts w:ascii="Times New Roman" w:hAnsi="Times New Roman" w:eastAsia="宋体" w:cs="Times New Roman"/>
      <w:sz w:val="21"/>
      <w:szCs w:val="21"/>
    </w:rPr>
  </w:style>
  <w:style w:type="character" w:styleId="54">
    <w:name w:val="HTML Cite"/>
    <w:unhideWhenUsed/>
    <w:uiPriority w:val="99"/>
  </w:style>
  <w:style w:type="character" w:styleId="55">
    <w:name w:val="footnote reference"/>
    <w:uiPriority w:val="0"/>
    <w:rPr>
      <w:rFonts w:ascii="Tahoma" w:hAnsi="Tahoma" w:eastAsia="宋体" w:cs="Times New Roman"/>
      <w:kern w:val="2"/>
      <w:sz w:val="24"/>
      <w:szCs w:val="24"/>
      <w:vertAlign w:val="superscript"/>
      <w:lang w:val="en-US" w:eastAsia="zh-CN" w:bidi="ar-SA"/>
    </w:rPr>
  </w:style>
  <w:style w:type="character" w:customStyle="1" w:styleId="56">
    <w:name w:val="标题 1 字符"/>
    <w:link w:val="3"/>
    <w:uiPriority w:val="0"/>
    <w:rPr>
      <w:rFonts w:ascii="Times New Roman" w:hAnsi="Times New Roman" w:eastAsia="宋体" w:cs="Times New Roman"/>
      <w:b/>
      <w:bCs/>
      <w:kern w:val="44"/>
      <w:sz w:val="32"/>
      <w:lang w:val="en-US" w:eastAsia="zh-CN" w:bidi="ar-SA"/>
    </w:rPr>
  </w:style>
  <w:style w:type="character" w:customStyle="1" w:styleId="57">
    <w:name w:val="标题 2 字符"/>
    <w:link w:val="4"/>
    <w:uiPriority w:val="0"/>
    <w:rPr>
      <w:rFonts w:ascii="Arial" w:hAnsi="Arial" w:eastAsia="宋体" w:cs="Times New Roman"/>
      <w:b/>
      <w:bCs/>
      <w:kern w:val="2"/>
      <w:sz w:val="21"/>
      <w:szCs w:val="32"/>
    </w:rPr>
  </w:style>
  <w:style w:type="character" w:customStyle="1" w:styleId="58">
    <w:name w:val="正文缩进 字符"/>
    <w:link w:val="6"/>
    <w:uiPriority w:val="0"/>
    <w:rPr>
      <w:rFonts w:ascii="Times New Roman" w:hAnsi="Times New Roman" w:eastAsia="宋体" w:cs="Times New Roman"/>
      <w:kern w:val="2"/>
      <w:sz w:val="21"/>
      <w:lang w:val="en-US" w:eastAsia="zh-CN" w:bidi="ar-SA"/>
    </w:rPr>
  </w:style>
  <w:style w:type="character" w:customStyle="1" w:styleId="59">
    <w:name w:val="正文文本缩进 字符"/>
    <w:link w:val="7"/>
    <w:uiPriority w:val="0"/>
    <w:rPr>
      <w:rFonts w:ascii="Times New Roman" w:hAnsi="Times New Roman" w:eastAsia="宋体" w:cs="Times New Roman"/>
      <w:kern w:val="2"/>
      <w:sz w:val="21"/>
      <w:szCs w:val="24"/>
    </w:rPr>
  </w:style>
  <w:style w:type="character" w:customStyle="1" w:styleId="60">
    <w:name w:val="标题 4 字符"/>
    <w:link w:val="8"/>
    <w:uiPriority w:val="0"/>
    <w:rPr>
      <w:rFonts w:ascii="Cambria" w:hAnsi="Cambria" w:eastAsia="宋体" w:cs="Times New Roman"/>
      <w:b/>
      <w:bCs/>
      <w:kern w:val="2"/>
      <w:sz w:val="28"/>
      <w:szCs w:val="28"/>
    </w:rPr>
  </w:style>
  <w:style w:type="character" w:customStyle="1" w:styleId="61">
    <w:name w:val="标题 5 字符"/>
    <w:link w:val="9"/>
    <w:uiPriority w:val="0"/>
    <w:rPr>
      <w:rFonts w:ascii="Times New Roman" w:hAnsi="Times New Roman" w:eastAsia="宋体" w:cs="Times New Roman"/>
      <w:b/>
      <w:bCs/>
      <w:kern w:val="2"/>
      <w:sz w:val="28"/>
      <w:szCs w:val="28"/>
    </w:rPr>
  </w:style>
  <w:style w:type="character" w:customStyle="1" w:styleId="62">
    <w:name w:val="标题 6 字符"/>
    <w:link w:val="10"/>
    <w:uiPriority w:val="0"/>
    <w:rPr>
      <w:rFonts w:ascii="Cambria" w:hAnsi="Cambria" w:eastAsia="宋体" w:cs="Times New Roman"/>
      <w:b/>
      <w:bCs/>
      <w:kern w:val="2"/>
      <w:sz w:val="24"/>
      <w:szCs w:val="24"/>
    </w:rPr>
  </w:style>
  <w:style w:type="character" w:customStyle="1" w:styleId="63">
    <w:name w:val="文档结构图 字符"/>
    <w:link w:val="15"/>
    <w:uiPriority w:val="0"/>
    <w:rPr>
      <w:rFonts w:ascii="宋体" w:hAnsi="Times New Roman" w:eastAsia="宋体" w:cs="Times New Roman"/>
      <w:kern w:val="2"/>
      <w:sz w:val="18"/>
      <w:szCs w:val="18"/>
    </w:rPr>
  </w:style>
  <w:style w:type="character" w:customStyle="1" w:styleId="64">
    <w:name w:val="批注文字 字符"/>
    <w:link w:val="16"/>
    <w:uiPriority w:val="0"/>
    <w:rPr>
      <w:rFonts w:ascii="Times New Roman" w:hAnsi="Times New Roman" w:eastAsia="宋体" w:cs="Times New Roman"/>
      <w:kern w:val="2"/>
      <w:sz w:val="21"/>
      <w:szCs w:val="24"/>
    </w:rPr>
  </w:style>
  <w:style w:type="character" w:customStyle="1" w:styleId="65">
    <w:name w:val="正文文本 3 字符"/>
    <w:link w:val="17"/>
    <w:uiPriority w:val="0"/>
    <w:rPr>
      <w:rFonts w:ascii="Times New Roman" w:hAnsi="Times New Roman" w:eastAsia="宋体" w:cs="Times New Roman"/>
      <w:kern w:val="2"/>
      <w:sz w:val="16"/>
      <w:szCs w:val="16"/>
    </w:rPr>
  </w:style>
  <w:style w:type="character" w:customStyle="1" w:styleId="66">
    <w:name w:val="正文文本 字符"/>
    <w:link w:val="18"/>
    <w:uiPriority w:val="0"/>
    <w:rPr>
      <w:rFonts w:ascii="Times New Roman" w:hAnsi="Times New Roman" w:eastAsia="宋体" w:cs="Times New Roman"/>
      <w:kern w:val="2"/>
      <w:sz w:val="21"/>
      <w:szCs w:val="24"/>
    </w:rPr>
  </w:style>
  <w:style w:type="character" w:customStyle="1" w:styleId="67">
    <w:name w:val="纯文本 字符"/>
    <w:link w:val="22"/>
    <w:uiPriority w:val="0"/>
    <w:rPr>
      <w:rFonts w:ascii="宋体" w:hAnsi="Courier New" w:eastAsia="宋体" w:cs="Times New Roman"/>
      <w:kern w:val="2"/>
      <w:sz w:val="24"/>
      <w:szCs w:val="24"/>
      <w:lang w:val="en-US" w:eastAsia="zh-CN" w:bidi="ar-SA"/>
    </w:rPr>
  </w:style>
  <w:style w:type="character" w:customStyle="1" w:styleId="68">
    <w:name w:val="日期 字符"/>
    <w:link w:val="24"/>
    <w:uiPriority w:val="0"/>
    <w:rPr>
      <w:rFonts w:ascii="Times New Roman" w:hAnsi="Times New Roman" w:eastAsia="宋体" w:cs="Times New Roman"/>
      <w:kern w:val="2"/>
      <w:sz w:val="21"/>
      <w:szCs w:val="24"/>
    </w:rPr>
  </w:style>
  <w:style w:type="character" w:customStyle="1" w:styleId="69">
    <w:name w:val="正文文本缩进 2 字符"/>
    <w:link w:val="25"/>
    <w:uiPriority w:val="0"/>
    <w:rPr>
      <w:rFonts w:ascii="仿宋_GB2312" w:hAnsi="宋体" w:eastAsia="宋体" w:cs="Arial"/>
      <w:b/>
      <w:bCs/>
      <w:color w:val="000000"/>
      <w:kern w:val="2"/>
      <w:sz w:val="24"/>
      <w:szCs w:val="24"/>
    </w:rPr>
  </w:style>
  <w:style w:type="character" w:customStyle="1" w:styleId="70">
    <w:name w:val="批注框文本 字符"/>
    <w:link w:val="26"/>
    <w:uiPriority w:val="0"/>
    <w:rPr>
      <w:rFonts w:ascii="Times New Roman" w:hAnsi="Times New Roman" w:eastAsia="宋体" w:cs="Times New Roman"/>
      <w:kern w:val="2"/>
      <w:sz w:val="18"/>
      <w:szCs w:val="18"/>
    </w:rPr>
  </w:style>
  <w:style w:type="character" w:customStyle="1" w:styleId="71">
    <w:name w:val="页脚 字符"/>
    <w:link w:val="27"/>
    <w:uiPriority w:val="0"/>
    <w:rPr>
      <w:rFonts w:ascii="Times New Roman" w:hAnsi="Times New Roman" w:eastAsia="黑体" w:cs="Times New Roman"/>
      <w:snapToGrid w:val="0"/>
      <w:sz w:val="18"/>
      <w:szCs w:val="18"/>
    </w:rPr>
  </w:style>
  <w:style w:type="character" w:customStyle="1" w:styleId="72">
    <w:name w:val="页眉 字符"/>
    <w:link w:val="28"/>
    <w:uiPriority w:val="0"/>
    <w:rPr>
      <w:rFonts w:ascii="Times New Roman" w:hAnsi="Times New Roman" w:eastAsia="宋体" w:cs="Times New Roman"/>
      <w:kern w:val="2"/>
      <w:sz w:val="18"/>
      <w:szCs w:val="18"/>
    </w:rPr>
  </w:style>
  <w:style w:type="character" w:customStyle="1" w:styleId="73">
    <w:name w:val="脚注文本 字符"/>
    <w:link w:val="32"/>
    <w:uiPriority w:val="0"/>
    <w:rPr>
      <w:rFonts w:ascii="Tahoma" w:hAnsi="Tahoma" w:eastAsia="宋体" w:cs="Times New Roman"/>
      <w:kern w:val="2"/>
      <w:sz w:val="18"/>
      <w:szCs w:val="18"/>
    </w:rPr>
  </w:style>
  <w:style w:type="character" w:customStyle="1" w:styleId="74">
    <w:name w:val="正文文本缩进 3 字符"/>
    <w:link w:val="34"/>
    <w:uiPriority w:val="0"/>
    <w:rPr>
      <w:rFonts w:ascii="Times New Roman" w:hAnsi="Times New Roman" w:eastAsia="宋体" w:cs="Times New Roman"/>
      <w:kern w:val="2"/>
      <w:sz w:val="21"/>
    </w:rPr>
  </w:style>
  <w:style w:type="character" w:customStyle="1" w:styleId="75">
    <w:name w:val="HTML 预设格式 字符"/>
    <w:link w:val="37"/>
    <w:uiPriority w:val="0"/>
    <w:rPr>
      <w:rFonts w:ascii="Arial" w:hAnsi="Arial" w:eastAsia="宋体" w:cs="Arial"/>
      <w:sz w:val="24"/>
      <w:szCs w:val="24"/>
    </w:rPr>
  </w:style>
  <w:style w:type="character" w:customStyle="1" w:styleId="76">
    <w:name w:val="标题 字符"/>
    <w:link w:val="39"/>
    <w:uiPriority w:val="0"/>
    <w:rPr>
      <w:rFonts w:ascii="Arial" w:hAnsi="Arial" w:eastAsia="宋体" w:cs="Arial"/>
      <w:b/>
      <w:bCs/>
      <w:kern w:val="2"/>
      <w:sz w:val="32"/>
      <w:szCs w:val="32"/>
    </w:rPr>
  </w:style>
  <w:style w:type="character" w:customStyle="1" w:styleId="77">
    <w:name w:val="批注主题 字符"/>
    <w:link w:val="40"/>
    <w:uiPriority w:val="0"/>
    <w:rPr>
      <w:rFonts w:ascii="Times New Roman" w:hAnsi="Times New Roman" w:eastAsia="宋体" w:cs="Times New Roman"/>
      <w:kern w:val="2"/>
      <w:sz w:val="21"/>
      <w:szCs w:val="24"/>
    </w:rPr>
  </w:style>
  <w:style w:type="character" w:customStyle="1" w:styleId="78">
    <w:name w:val="正文文本首行缩进 字符"/>
    <w:link w:val="41"/>
    <w:uiPriority w:val="0"/>
    <w:rPr>
      <w:rFonts w:ascii="Times New Roman" w:hAnsi="Times New Roman" w:eastAsia="宋体" w:cs="Times New Roman"/>
      <w:kern w:val="2"/>
      <w:sz w:val="21"/>
      <w:szCs w:val="22"/>
    </w:rPr>
  </w:style>
  <w:style w:type="character" w:customStyle="1" w:styleId="79">
    <w:name w:val="正文文本首行缩进 2 字符"/>
    <w:link w:val="42"/>
    <w:uiPriority w:val="0"/>
    <w:rPr>
      <w:rFonts w:hint="default" w:ascii="Calibri" w:hAnsi="Calibri" w:eastAsia="宋体" w:cs="Calibri"/>
      <w:kern w:val="2"/>
      <w:sz w:val="21"/>
      <w:szCs w:val="24"/>
      <w:lang w:val="en-US" w:eastAsia="zh-CN" w:bidi="ar"/>
    </w:rPr>
  </w:style>
  <w:style w:type="character" w:customStyle="1" w:styleId="80">
    <w:name w:val="标题 1字符"/>
    <w:link w:val="3"/>
    <w:uiPriority w:val="0"/>
    <w:rPr>
      <w:rFonts w:ascii="Times New Roman" w:hAnsi="Times New Roman" w:eastAsia="宋体" w:cs="Times New Roman"/>
      <w:b/>
      <w:bCs/>
      <w:kern w:val="44"/>
      <w:sz w:val="32"/>
      <w:lang w:val="en-US" w:eastAsia="zh-CN" w:bidi="ar-SA"/>
    </w:rPr>
  </w:style>
  <w:style w:type="paragraph" w:customStyle="1" w:styleId="81">
    <w:name w:val="目录 62"/>
    <w:next w:val="1"/>
    <w:qFormat/>
    <w:uiPriority w:val="0"/>
    <w:rPr>
      <w:rFonts w:ascii="Times New Roman" w:hAnsi="Times New Roman" w:eastAsia="宋体" w:cs="Times New Roman"/>
      <w:sz w:val="21"/>
      <w:lang w:val="en-US" w:eastAsia="zh-CN" w:bidi="ar-SA"/>
    </w:rPr>
  </w:style>
  <w:style w:type="character" w:customStyle="1" w:styleId="82">
    <w:name w:val="标题 Char1"/>
    <w:uiPriority w:val="0"/>
    <w:rPr>
      <w:rFonts w:ascii="Cambria" w:hAnsi="Cambria" w:eastAsia="宋体" w:cs="Times New Roman"/>
      <w:b/>
      <w:bCs/>
      <w:kern w:val="2"/>
      <w:sz w:val="32"/>
      <w:szCs w:val="32"/>
    </w:rPr>
  </w:style>
  <w:style w:type="character" w:customStyle="1" w:styleId="83">
    <w:name w:val="p141"/>
    <w:uiPriority w:val="0"/>
    <w:rPr>
      <w:rFonts w:ascii="Times New Roman" w:hAnsi="Times New Roman" w:eastAsia="宋体" w:cs="Times New Roman"/>
      <w:sz w:val="21"/>
      <w:szCs w:val="21"/>
      <w:u w:val="none"/>
    </w:rPr>
  </w:style>
  <w:style w:type="character" w:customStyle="1" w:styleId="84">
    <w:name w:val="hui"/>
    <w:uiPriority w:val="0"/>
    <w:rPr>
      <w:rFonts w:ascii="Times New Roman" w:hAnsi="Times New Roman" w:eastAsia="宋体" w:cs="Times New Roman"/>
    </w:rPr>
  </w:style>
  <w:style w:type="character" w:customStyle="1" w:styleId="85">
    <w:name w:val="正文小标题 Char"/>
    <w:aliases w:val="正文顶格 Char Char"/>
    <w:uiPriority w:val="0"/>
    <w:rPr>
      <w:rFonts w:ascii="Times New Roman" w:hAnsi="Times New Roman" w:eastAsia="宋体" w:cs="Times New Roman"/>
      <w:kern w:val="2"/>
      <w:sz w:val="21"/>
      <w:szCs w:val="24"/>
    </w:rPr>
  </w:style>
  <w:style w:type="character" w:customStyle="1" w:styleId="86">
    <w:name w:val="列出段落 Char"/>
    <w:aliases w:val="编号 Char,列出段落12 Char,列出段落4 Char,正文段落1 Char,符号列表 Char"/>
    <w:link w:val="87"/>
    <w:uiPriority w:val="0"/>
    <w:rPr>
      <w:rFonts w:ascii="Times New Roman" w:hAnsi="Times New Roman" w:eastAsia="宋体" w:cs="Times New Roman"/>
      <w:kern w:val="2"/>
      <w:sz w:val="21"/>
      <w:szCs w:val="24"/>
    </w:rPr>
  </w:style>
  <w:style w:type="paragraph" w:customStyle="1" w:styleId="87">
    <w:name w:val="列出段落2"/>
    <w:basedOn w:val="1"/>
    <w:link w:val="86"/>
    <w:uiPriority w:val="0"/>
    <w:pPr>
      <w:ind w:firstLine="420" w:firstLineChars="200"/>
    </w:pPr>
  </w:style>
  <w:style w:type="character" w:customStyle="1" w:styleId="88">
    <w:name w:val="apple-style-span"/>
    <w:uiPriority w:val="0"/>
    <w:rPr>
      <w:rFonts w:ascii="Times New Roman" w:hAnsi="Times New Roman" w:eastAsia="宋体" w:cs="Times New Roman"/>
    </w:rPr>
  </w:style>
  <w:style w:type="character" w:customStyle="1" w:styleId="89">
    <w:name w:val="NormalCharacter"/>
    <w:qFormat/>
    <w:uiPriority w:val="0"/>
    <w:rPr>
      <w:rFonts w:ascii="Times New Roman" w:hAnsi="Times New Roman" w:eastAsia="宋体"/>
    </w:rPr>
  </w:style>
  <w:style w:type="character" w:customStyle="1" w:styleId="90">
    <w:name w:val="正文缩进 Char1"/>
    <w:link w:val="91"/>
    <w:uiPriority w:val="0"/>
    <w:rPr>
      <w:rFonts w:ascii="Times New Roman" w:hAnsi="Times New Roman" w:eastAsia="宋体" w:cs="Times New Roman"/>
    </w:rPr>
  </w:style>
  <w:style w:type="paragraph" w:customStyle="1" w:styleId="91">
    <w:name w:val="Normal Indent"/>
    <w:basedOn w:val="1"/>
    <w:link w:val="90"/>
    <w:uiPriority w:val="0"/>
    <w:pPr>
      <w:widowControl/>
      <w:ind w:firstLine="420"/>
      <w:jc w:val="left"/>
    </w:pPr>
    <w:rPr>
      <w:rFonts w:ascii="Times New Roman" w:hAnsi="Times New Roman" w:eastAsia="宋体" w:cs="Times New Roman"/>
      <w:kern w:val="0"/>
      <w:sz w:val="20"/>
      <w:szCs w:val="20"/>
    </w:rPr>
  </w:style>
  <w:style w:type="character" w:customStyle="1" w:styleId="92">
    <w:name w:val="ca-39"/>
    <w:uiPriority w:val="0"/>
    <w:rPr>
      <w:rFonts w:ascii="Times New Roman" w:hAnsi="Times New Roman" w:eastAsia="宋体" w:cs="Times New Roman"/>
    </w:rPr>
  </w:style>
  <w:style w:type="character" w:customStyle="1" w:styleId="93">
    <w:name w:val="正文文本缩进 3 Char1"/>
    <w:uiPriority w:val="0"/>
    <w:rPr>
      <w:rFonts w:ascii="Times New Roman" w:hAnsi="Times New Roman" w:eastAsia="宋体" w:cs="Times New Roman"/>
      <w:kern w:val="2"/>
      <w:sz w:val="16"/>
      <w:szCs w:val="16"/>
    </w:rPr>
  </w:style>
  <w:style w:type="character" w:customStyle="1" w:styleId="94">
    <w:name w:val="List Paragraph Char"/>
    <w:link w:val="95"/>
    <w:uiPriority w:val="0"/>
    <w:rPr>
      <w:rFonts w:ascii="Calibri" w:hAnsi="Calibri" w:eastAsia="宋体" w:cs="Times New Roman"/>
      <w:kern w:val="2"/>
      <w:sz w:val="21"/>
      <w:szCs w:val="22"/>
    </w:rPr>
  </w:style>
  <w:style w:type="paragraph" w:customStyle="1" w:styleId="95">
    <w:name w:val="列出段落1"/>
    <w:basedOn w:val="1"/>
    <w:link w:val="94"/>
    <w:uiPriority w:val="0"/>
    <w:pPr>
      <w:ind w:firstLine="420" w:firstLineChars="200"/>
    </w:pPr>
    <w:rPr>
      <w:rFonts w:ascii="Calibri" w:hAnsi="Calibri"/>
      <w:szCs w:val="22"/>
    </w:rPr>
  </w:style>
  <w:style w:type="character" w:customStyle="1" w:styleId="96">
    <w:name w:val="普通文字 Char Char1"/>
    <w:aliases w:val="纯文本 Char Char Char,纯文本 Char Char1,普通文字 Char Char Char1,普通文字 Char1,普通文字 Char Char Char Char1,普通文字 Char Char Char Char Char,正 文 1 Char,Texte Char,小 Char,0921 Char,Plain Text Char,普通文字1 Char,普通文字2 Char,普通文字3 Char,普通文字4 Char,普通文字5 Char"/>
    <w:uiPriority w:val="0"/>
    <w:rPr>
      <w:rFonts w:hint="eastAsia" w:ascii="宋体" w:hAnsi="Courier New" w:eastAsia="宋体" w:cs="宋体"/>
      <w:kern w:val="2"/>
      <w:sz w:val="24"/>
      <w:szCs w:val="24"/>
      <w:lang w:val="en-US" w:eastAsia="zh-CN" w:bidi="ar"/>
    </w:rPr>
  </w:style>
  <w:style w:type="character" w:styleId="97">
    <w:name w:val="Placeholder Text"/>
    <w:uiPriority w:val="0"/>
    <w:rPr>
      <w:rFonts w:ascii="Times New Roman" w:hAnsi="Times New Roman" w:eastAsia="宋体" w:cs="Times New Roman"/>
      <w:color w:val="808080"/>
    </w:rPr>
  </w:style>
  <w:style w:type="character" w:customStyle="1" w:styleId="98">
    <w:name w:val="文档结构图 Char"/>
    <w:link w:val="99"/>
    <w:uiPriority w:val="0"/>
    <w:rPr>
      <w:rFonts w:ascii="宋体" w:hAnsi="Times New Roman" w:eastAsia="宋体" w:cs="Times New Roman"/>
      <w:sz w:val="18"/>
      <w:szCs w:val="18"/>
    </w:rPr>
  </w:style>
  <w:style w:type="paragraph" w:customStyle="1" w:styleId="99">
    <w:name w:val="Document Map"/>
    <w:basedOn w:val="1"/>
    <w:link w:val="98"/>
    <w:uiPriority w:val="0"/>
    <w:rPr>
      <w:rFonts w:ascii="宋体"/>
      <w:kern w:val="0"/>
      <w:sz w:val="18"/>
      <w:szCs w:val="18"/>
    </w:rPr>
  </w:style>
  <w:style w:type="character" w:customStyle="1" w:styleId="100">
    <w:name w:val="标题 3 Char"/>
    <w:aliases w:val="h3 Char,3rd level Char,Level 3 Head Char,H3 Char,Heading 3 - old Char,level_3 Char,PIM 3 Char,sect1.2.3 Char,prop3 Char,3heading Char,heading 3 Char,Heading 31 Char,ISO2 Char,L3 Char,l3 Char,CT Char,sect1.2.31 Char,sect1.2.32 Char,sl3 Char"/>
    <w:uiPriority w:val="0"/>
    <w:rPr>
      <w:rFonts w:ascii="Times New Roman" w:hAnsi="Times New Roman" w:eastAsia="黑体" w:cs="Times New Roman"/>
      <w:b/>
      <w:sz w:val="28"/>
      <w:lang w:val="en-US" w:eastAsia="zh-CN" w:bidi="ar-SA"/>
    </w:rPr>
  </w:style>
  <w:style w:type="character" w:customStyle="1" w:styleId="101">
    <w:name w:val="样式 首行缩进:  0.74 厘米 Char"/>
    <w:link w:val="102"/>
    <w:uiPriority w:val="0"/>
    <w:rPr>
      <w:rFonts w:ascii="宋体" w:hAnsi="宋体" w:eastAsia="宋体" w:cs="宋体"/>
      <w:b/>
      <w:kern w:val="2"/>
      <w:sz w:val="24"/>
      <w:szCs w:val="24"/>
    </w:rPr>
  </w:style>
  <w:style w:type="paragraph" w:customStyle="1" w:styleId="102">
    <w:name w:val="样式 首行缩进:  0.74 厘米"/>
    <w:basedOn w:val="1"/>
    <w:link w:val="101"/>
    <w:uiPriority w:val="0"/>
    <w:pPr>
      <w:tabs>
        <w:tab w:val="left" w:pos="851"/>
      </w:tabs>
      <w:spacing w:line="360" w:lineRule="auto"/>
    </w:pPr>
    <w:rPr>
      <w:rFonts w:ascii="宋体" w:hAnsi="宋体"/>
      <w:b/>
      <w:sz w:val="24"/>
    </w:rPr>
  </w:style>
  <w:style w:type="character" w:customStyle="1" w:styleId="103">
    <w:name w:val="无间距字符"/>
    <w:link w:val="104"/>
    <w:uiPriority w:val="0"/>
    <w:rPr>
      <w:rFonts w:ascii="Calibri" w:hAnsi="Calibri"/>
      <w:sz w:val="22"/>
      <w:szCs w:val="22"/>
      <w:lang w:val="en-US" w:eastAsia="zh-CN" w:bidi="ar-SA"/>
    </w:rPr>
  </w:style>
  <w:style w:type="paragraph" w:customStyle="1" w:styleId="104">
    <w:name w:val="无间距"/>
    <w:link w:val="103"/>
    <w:qFormat/>
    <w:uiPriority w:val="0"/>
    <w:rPr>
      <w:rFonts w:ascii="Calibri" w:hAnsi="Calibri"/>
      <w:sz w:val="22"/>
      <w:szCs w:val="22"/>
      <w:lang w:val="en-US" w:eastAsia="zh-CN" w:bidi="ar-SA"/>
    </w:rPr>
  </w:style>
  <w:style w:type="character" w:customStyle="1" w:styleId="105">
    <w:name w:val="纯文本 Char1"/>
    <w:aliases w:val="普通文字 Char Char2,纯文本 Char Char2,普通文字 Char Char Char2,普通文字 Char Char Char Char2,普通文字 Char Char Char Char Char1,Texte Char1,普通文字1 Char1,普通文字2 Char1,普通文字3 Char1,普通文字4 Char1,普通文字5 Char1,普通文字6 Char1,普通文字11 Char1,普通文字21 Char1,普通文字31 Char1,普通文字7 Char"/>
    <w:uiPriority w:val="0"/>
    <w:rPr>
      <w:rFonts w:ascii="宋体" w:hAnsi="Courier New" w:eastAsia="宋体" w:cs="Times New Roman"/>
      <w:szCs w:val="20"/>
    </w:rPr>
  </w:style>
  <w:style w:type="character" w:customStyle="1" w:styleId="106">
    <w:name w:val="脚注文本 Char1"/>
    <w:uiPriority w:val="0"/>
    <w:rPr>
      <w:rFonts w:ascii="Times New Roman" w:hAnsi="Times New Roman" w:eastAsia="宋体" w:cs="Times New Roman"/>
      <w:kern w:val="2"/>
      <w:sz w:val="18"/>
      <w:szCs w:val="18"/>
    </w:rPr>
  </w:style>
  <w:style w:type="character" w:customStyle="1" w:styleId="107">
    <w:name w:val="font61"/>
    <w:uiPriority w:val="0"/>
    <w:rPr>
      <w:rFonts w:hint="eastAsia" w:ascii="微软雅黑" w:hAnsi="微软雅黑" w:eastAsia="微软雅黑" w:cs="微软雅黑"/>
      <w:color w:val="000000"/>
      <w:sz w:val="20"/>
      <w:szCs w:val="20"/>
      <w:u w:val="none"/>
    </w:rPr>
  </w:style>
  <w:style w:type="character" w:customStyle="1" w:styleId="108">
    <w:name w:val="标题 1 Char Char"/>
    <w:uiPriority w:val="0"/>
    <w:rPr>
      <w:rFonts w:ascii="Times New Roman" w:hAnsi="Times New Roman" w:eastAsia="宋体" w:cs="Times New Roman"/>
      <w:b/>
      <w:spacing w:val="-2"/>
      <w:sz w:val="24"/>
      <w:lang w:val="en-US" w:eastAsia="zh-CN" w:bidi="ar-SA"/>
    </w:rPr>
  </w:style>
  <w:style w:type="character" w:customStyle="1" w:styleId="109">
    <w:name w:val="批注主题 Char1"/>
    <w:uiPriority w:val="0"/>
    <w:rPr>
      <w:rFonts w:ascii="Times New Roman" w:hAnsi="Times New Roman" w:eastAsia="宋体" w:cs="Times New Roman"/>
      <w:b/>
      <w:bCs/>
      <w:kern w:val="2"/>
      <w:sz w:val="21"/>
      <w:szCs w:val="24"/>
    </w:rPr>
  </w:style>
  <w:style w:type="character" w:customStyle="1" w:styleId="110">
    <w:name w:val="标书1 Char"/>
    <w:aliases w:val="h1 Char,H1 Char,L1 Char,boc Char,Section Head Char,1st level Char,l1 Char,1 Char,H11 Char,H12 Char,H13 Char,H14 Char,H15 Char,H16 Char,H17 Char,Level 1 Topic Heading Char,L1 Heading 1 Char,h11 Char,1st level1 Char,heading 11 Char,h12 Char"/>
    <w:uiPriority w:val="0"/>
    <w:rPr>
      <w:rFonts w:hint="eastAsia" w:ascii="宋体" w:hAnsi="宋体" w:eastAsia="宋体" w:cs="宋体"/>
      <w:bCs/>
      <w:kern w:val="44"/>
      <w:sz w:val="44"/>
      <w:lang w:val="en-US" w:eastAsia="zh-CN" w:bidi="ar"/>
    </w:rPr>
  </w:style>
  <w:style w:type="character" w:customStyle="1" w:styleId="111">
    <w:name w:val="h2 Char"/>
    <w:aliases w:val="节名 Char,sect 1.2 Char,H2 Char,2nd level Char,2 Char,Header 2 Char,UNDERRUBRIK 1-2 Char,标题 1.1 Char,Title2 Char,Underrubrik1 Char,prop2 Char,标题二 Char,H21 Char,Heading 2 Hidden Char,Heading 2 CCBS Char,heading 2 Char,Level 2 Topic Heading Char"/>
    <w:uiPriority w:val="0"/>
    <w:rPr>
      <w:rFonts w:ascii="Arial" w:hAnsi="Arial" w:eastAsia="黑体" w:cs="Times New Roman"/>
      <w:b/>
      <w:bCs/>
      <w:kern w:val="2"/>
      <w:sz w:val="32"/>
      <w:szCs w:val="32"/>
      <w:lang w:val="en-US" w:eastAsia="zh-CN" w:bidi="ar-SA"/>
    </w:rPr>
  </w:style>
  <w:style w:type="character" w:customStyle="1" w:styleId="112">
    <w:name w:val="apple-converted-space"/>
    <w:uiPriority w:val="0"/>
    <w:rPr>
      <w:rFonts w:ascii="Times New Roman" w:hAnsi="Times New Roman" w:eastAsia="宋体" w:cs="Times New Roman"/>
    </w:rPr>
  </w:style>
  <w:style w:type="character" w:customStyle="1" w:styleId="113">
    <w:name w:val="cpxl1"/>
    <w:uiPriority w:val="0"/>
    <w:rPr>
      <w:rFonts w:ascii="Times New Roman" w:hAnsi="Times New Roman" w:eastAsia="宋体" w:cs="Times New Roman"/>
      <w:color w:val="000000"/>
      <w:sz w:val="24"/>
      <w:szCs w:val="24"/>
      <w:u w:val="none"/>
    </w:rPr>
  </w:style>
  <w:style w:type="character" w:customStyle="1" w:styleId="114">
    <w:name w:val="正文二级标题 Char"/>
    <w:aliases w:val="h2 Char,Heading 2 Hidden Char,Heading 2 CCBS Char,2nd level Char,2 Char,Header 2 Char,H2 Char,l2 Char,DO NOT USE_h2 Char,chn Char,Chapter Number/Appendix Letter Char,sect 1.2 Char,第一章 标题 2 Char,heading 2 Char,PIM2 Char,Titre3 Char,HD2 Char"/>
    <w:uiPriority w:val="0"/>
    <w:rPr>
      <w:rFonts w:hint="default" w:ascii="Arial" w:hAnsi="Arial" w:eastAsia="黑体" w:cs="Arial"/>
      <w:b/>
      <w:kern w:val="2"/>
      <w:sz w:val="32"/>
      <w:szCs w:val="32"/>
      <w:lang w:val="en-US" w:eastAsia="zh-CN" w:bidi="ar"/>
    </w:rPr>
  </w:style>
  <w:style w:type="character" w:customStyle="1" w:styleId="115">
    <w:name w:val="日期 Char"/>
    <w:uiPriority w:val="0"/>
    <w:rPr>
      <w:rFonts w:ascii="Times New Roman" w:hAnsi="Times New Roman" w:eastAsia="宋体" w:cs="Times New Roman"/>
      <w:kern w:val="2"/>
      <w:sz w:val="24"/>
    </w:rPr>
  </w:style>
  <w:style w:type="character" w:customStyle="1" w:styleId="116">
    <w:name w:val="font01"/>
    <w:uiPriority w:val="0"/>
    <w:rPr>
      <w:rFonts w:hint="eastAsia" w:ascii="宋体" w:hAnsi="宋体" w:eastAsia="宋体" w:cs="宋体"/>
      <w:color w:val="000000"/>
      <w:kern w:val="0"/>
      <w:sz w:val="24"/>
      <w:szCs w:val="24"/>
      <w:u w:val="none"/>
    </w:rPr>
  </w:style>
  <w:style w:type="character" w:customStyle="1" w:styleId="117">
    <w:name w:val="Heading 2 Hidden Char2"/>
    <w:aliases w:val="Heading 2 CCBS Char2,Titre3 Char2,H2 Char2,h2 Char2,第一章 标题 2 Char1,ISO1 Char1,Underrubrik1 Char1,prop2 Char1,heading 2 Char2,Reset numbering Char1,Small Chapter) Char1,sect 1.2 Char1,H21 Char2,R2 Char1,Level 2 Topic Heading Char1"/>
    <w:uiPriority w:val="0"/>
    <w:rPr>
      <w:rFonts w:ascii="Arial" w:hAnsi="Arial" w:eastAsia="黑体" w:cs="Times New Roman"/>
      <w:b/>
      <w:bCs/>
      <w:kern w:val="2"/>
      <w:sz w:val="32"/>
      <w:szCs w:val="32"/>
      <w:lang w:val="en-US" w:eastAsia="zh-CN" w:bidi="ar-SA"/>
    </w:rPr>
  </w:style>
  <w:style w:type="character" w:customStyle="1" w:styleId="118">
    <w:name w:val="正文文本 Char"/>
    <w:uiPriority w:val="0"/>
    <w:rPr>
      <w:rFonts w:ascii="Times New Roman" w:hAnsi="Times New Roman" w:eastAsia="宋体" w:cs="Times New Roman"/>
      <w:kern w:val="2"/>
      <w:sz w:val="21"/>
      <w:szCs w:val="24"/>
    </w:rPr>
  </w:style>
  <w:style w:type="character" w:customStyle="1" w:styleId="119">
    <w:name w:val="标题 2 Char"/>
    <w:uiPriority w:val="0"/>
    <w:rPr>
      <w:rFonts w:hint="eastAsia" w:ascii="文鼎小标宋简" w:hAnsi="Times New Roman" w:eastAsia="文鼎小标宋简" w:cs="Times New Roman"/>
      <w:b/>
      <w:sz w:val="36"/>
      <w:lang w:val="en-US" w:eastAsia="zh-CN" w:bidi="ar-SA"/>
    </w:rPr>
  </w:style>
  <w:style w:type="character" w:customStyle="1" w:styleId="120">
    <w:name w:val="fontstyle01"/>
    <w:basedOn w:val="45"/>
    <w:qFormat/>
    <w:uiPriority w:val="0"/>
    <w:rPr>
      <w:rFonts w:hint="eastAsia" w:ascii="宋体" w:hAnsi="宋体" w:eastAsia="宋体"/>
      <w:color w:val="000000"/>
      <w:sz w:val="24"/>
      <w:szCs w:val="24"/>
    </w:rPr>
  </w:style>
  <w:style w:type="paragraph" w:customStyle="1" w:styleId="121">
    <w:name w:val="纯文本_3"/>
    <w:basedOn w:val="122"/>
    <w:uiPriority w:val="0"/>
    <w:rPr>
      <w:rFonts w:ascii="宋体" w:hAnsi="Courier New"/>
      <w:szCs w:val="20"/>
    </w:rPr>
  </w:style>
  <w:style w:type="paragraph" w:customStyle="1" w:styleId="122">
    <w:name w:val="正文_5"/>
    <w:uiPriority w:val="0"/>
    <w:pPr>
      <w:widowControl w:val="0"/>
      <w:jc w:val="both"/>
    </w:pPr>
    <w:rPr>
      <w:kern w:val="2"/>
      <w:sz w:val="21"/>
      <w:szCs w:val="24"/>
      <w:lang w:val="en-US" w:eastAsia="zh-CN" w:bidi="ar-SA"/>
    </w:rPr>
  </w:style>
  <w:style w:type="paragraph" w:customStyle="1" w:styleId="123">
    <w:name w:val="font10"/>
    <w:basedOn w:val="1"/>
    <w:uiPriority w:val="0"/>
    <w:pPr>
      <w:widowControl/>
      <w:spacing w:before="100" w:beforeAutospacing="1" w:after="100" w:afterAutospacing="1"/>
      <w:jc w:val="left"/>
    </w:pPr>
    <w:rPr>
      <w:rFonts w:ascii="Gulim" w:hAnsi="Gulim" w:eastAsia="Gulim" w:cs="宋体"/>
      <w:b/>
      <w:bCs/>
      <w:kern w:val="0"/>
      <w:sz w:val="20"/>
      <w:szCs w:val="20"/>
    </w:rPr>
  </w:style>
  <w:style w:type="paragraph" w:customStyle="1" w:styleId="124">
    <w:name w:val="xl10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25">
    <w:name w:val="GP标题2"/>
    <w:basedOn w:val="1"/>
    <w:next w:val="1"/>
    <w:uiPriority w:val="0"/>
    <w:pPr>
      <w:spacing w:before="156" w:beforeLines="50" w:after="156" w:afterLines="50" w:line="360" w:lineRule="auto"/>
      <w:jc w:val="left"/>
      <w:outlineLvl w:val="1"/>
    </w:pPr>
    <w:rPr>
      <w:rFonts w:ascii="华文细黑" w:hAnsi="华文细黑" w:eastAsia="华文细黑" w:cs="Times New Roman"/>
      <w:b/>
      <w:sz w:val="32"/>
      <w:szCs w:val="21"/>
    </w:rPr>
  </w:style>
  <w:style w:type="paragraph" w:customStyle="1" w:styleId="126">
    <w:name w:val="正文_8_0_0"/>
    <w:uiPriority w:val="0"/>
    <w:pPr>
      <w:widowControl w:val="0"/>
      <w:jc w:val="both"/>
    </w:pPr>
    <w:rPr>
      <w:rFonts w:ascii="Calibri" w:hAnsi="Calibri"/>
      <w:kern w:val="2"/>
      <w:sz w:val="21"/>
      <w:szCs w:val="22"/>
      <w:lang w:val="en-US" w:eastAsia="zh-CN" w:bidi="ar-SA"/>
    </w:rPr>
  </w:style>
  <w:style w:type="paragraph" w:customStyle="1" w:styleId="127">
    <w:name w:val="xl91"/>
    <w:basedOn w:val="1"/>
    <w:uiPriority w:val="0"/>
    <w:pPr>
      <w:widowControl/>
      <w:pBdr>
        <w:top w:val="single" w:color="auto" w:sz="4" w:space="0"/>
        <w:left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28">
    <w:name w:val="xl93"/>
    <w:basedOn w:val="1"/>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129">
    <w:name w:val="xl10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Gulim" w:hAnsi="Gulim" w:eastAsia="Gulim" w:cs="宋体"/>
      <w:kern w:val="0"/>
      <w:sz w:val="20"/>
      <w:szCs w:val="20"/>
    </w:rPr>
  </w:style>
  <w:style w:type="paragraph" w:customStyle="1" w:styleId="130">
    <w:name w:val="_Style 3"/>
    <w:qFormat/>
    <w:uiPriority w:val="0"/>
    <w:pPr>
      <w:widowControl w:val="0"/>
      <w:jc w:val="both"/>
    </w:pPr>
    <w:rPr>
      <w:rFonts w:ascii="Calibri" w:hAnsi="Calibri"/>
      <w:kern w:val="2"/>
      <w:sz w:val="21"/>
      <w:szCs w:val="22"/>
      <w:lang w:val="en-US" w:eastAsia="zh-CN" w:bidi="ar-SA"/>
    </w:rPr>
  </w:style>
  <w:style w:type="paragraph" w:customStyle="1" w:styleId="131">
    <w:name w:val=" Char"/>
    <w:basedOn w:val="1"/>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32">
    <w:name w:val="xl8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eastAsia="宋体" w:cs="宋体"/>
      <w:kern w:val="0"/>
      <w:sz w:val="20"/>
      <w:szCs w:val="20"/>
    </w:rPr>
  </w:style>
  <w:style w:type="paragraph" w:customStyle="1" w:styleId="133">
    <w:name w:val="font9"/>
    <w:basedOn w:val="1"/>
    <w:uiPriority w:val="0"/>
    <w:pPr>
      <w:widowControl/>
      <w:spacing w:before="100" w:beforeAutospacing="1" w:after="100" w:afterAutospacing="1"/>
      <w:jc w:val="left"/>
    </w:pPr>
    <w:rPr>
      <w:rFonts w:ascii="新宋体" w:hAnsi="新宋体" w:eastAsia="新宋体" w:cs="宋体"/>
      <w:kern w:val="0"/>
      <w:sz w:val="20"/>
      <w:szCs w:val="20"/>
    </w:rPr>
  </w:style>
  <w:style w:type="paragraph" w:customStyle="1" w:styleId="134">
    <w:name w:val="def正文"/>
    <w:basedOn w:val="18"/>
    <w:uiPriority w:val="0"/>
    <w:pPr>
      <w:widowControl/>
      <w:spacing w:after="0" w:line="360" w:lineRule="auto"/>
      <w:ind w:firstLine="510"/>
      <w:jc w:val="left"/>
    </w:pPr>
    <w:rPr>
      <w:rFonts w:ascii="Times New Roman" w:hAnsi="Calibri" w:eastAsia="宋体" w:cs="Times New Roman"/>
      <w:kern w:val="0"/>
      <w:sz w:val="24"/>
      <w:szCs w:val="22"/>
      <w:lang/>
    </w:rPr>
  </w:style>
  <w:style w:type="paragraph" w:customStyle="1" w:styleId="135">
    <w:name w:val="xl10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kern w:val="0"/>
      <w:sz w:val="20"/>
      <w:szCs w:val="20"/>
    </w:rPr>
  </w:style>
  <w:style w:type="paragraph" w:customStyle="1" w:styleId="136">
    <w:name w:val="xl92"/>
    <w:basedOn w:val="1"/>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ascii="宋体" w:hAnsi="宋体" w:eastAsia="宋体" w:cs="宋体"/>
      <w:kern w:val="0"/>
      <w:sz w:val="20"/>
      <w:szCs w:val="20"/>
    </w:rPr>
  </w:style>
  <w:style w:type="paragraph" w:customStyle="1" w:styleId="137">
    <w:name w:val="a正文"/>
    <w:basedOn w:val="1"/>
    <w:uiPriority w:val="0"/>
    <w:pPr>
      <w:spacing w:line="360" w:lineRule="auto"/>
      <w:ind w:firstLine="480" w:firstLineChars="200"/>
    </w:pPr>
    <w:rPr>
      <w:rFonts w:ascii="宋体" w:hAnsi="宋体" w:eastAsia="宋体" w:cs="Times New Roman"/>
      <w:kern w:val="0"/>
      <w:sz w:val="24"/>
      <w:szCs w:val="20"/>
    </w:rPr>
  </w:style>
  <w:style w:type="paragraph" w:customStyle="1" w:styleId="138">
    <w:name w:val="xl94"/>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ulim" w:hAnsi="Gulim" w:eastAsia="Gulim" w:cs="宋体"/>
      <w:b/>
      <w:bCs/>
      <w:kern w:val="0"/>
      <w:sz w:val="20"/>
      <w:szCs w:val="20"/>
    </w:rPr>
  </w:style>
  <w:style w:type="paragraph" w:customStyle="1" w:styleId="139">
    <w:name w:val="xl105"/>
    <w:basedOn w:val="1"/>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eastAsia="宋体" w:cs="宋体"/>
      <w:b/>
      <w:bCs/>
      <w:kern w:val="0"/>
      <w:sz w:val="20"/>
      <w:szCs w:val="20"/>
    </w:rPr>
  </w:style>
  <w:style w:type="paragraph" w:customStyle="1" w:styleId="140">
    <w:name w:val="正文_8"/>
    <w:qFormat/>
    <w:uiPriority w:val="0"/>
    <w:pPr>
      <w:widowControl w:val="0"/>
      <w:jc w:val="both"/>
    </w:pPr>
    <w:rPr>
      <w:kern w:val="2"/>
      <w:sz w:val="21"/>
      <w:szCs w:val="24"/>
      <w:lang w:val="en-US" w:eastAsia="zh-CN" w:bidi="ar-SA"/>
    </w:rPr>
  </w:style>
  <w:style w:type="paragraph" w:customStyle="1" w:styleId="141">
    <w:name w:val="font8"/>
    <w:basedOn w:val="1"/>
    <w:uiPriority w:val="0"/>
    <w:pPr>
      <w:widowControl/>
      <w:spacing w:before="100" w:beforeAutospacing="1" w:after="100" w:afterAutospacing="1"/>
      <w:jc w:val="left"/>
    </w:pPr>
    <w:rPr>
      <w:rFonts w:ascii="Gulim" w:hAnsi="Gulim" w:eastAsia="Gulim" w:cs="宋体"/>
      <w:kern w:val="0"/>
      <w:sz w:val="20"/>
      <w:szCs w:val="20"/>
    </w:rPr>
  </w:style>
  <w:style w:type="paragraph" w:customStyle="1" w:styleId="142">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paragraph" w:customStyle="1" w:styleId="143">
    <w:name w:val="xl10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ulim" w:hAnsi="Gulim" w:eastAsia="Gulim" w:cs="宋体"/>
      <w:b/>
      <w:bCs/>
      <w:kern w:val="0"/>
      <w:sz w:val="20"/>
      <w:szCs w:val="20"/>
    </w:rPr>
  </w:style>
  <w:style w:type="paragraph" w:customStyle="1" w:styleId="144">
    <w:name w:val="正文_1"/>
    <w:qFormat/>
    <w:uiPriority w:val="0"/>
    <w:pPr>
      <w:widowControl w:val="0"/>
      <w:jc w:val="both"/>
    </w:pPr>
    <w:rPr>
      <w:kern w:val="2"/>
      <w:sz w:val="21"/>
      <w:szCs w:val="24"/>
      <w:lang w:val="en-US" w:eastAsia="zh-CN" w:bidi="ar-SA"/>
    </w:rPr>
  </w:style>
  <w:style w:type="paragraph" w:customStyle="1" w:styleId="145">
    <w:name w:val="正文段"/>
    <w:basedOn w:val="1"/>
    <w:uiPriority w:val="0"/>
    <w:pPr>
      <w:widowControl/>
      <w:snapToGrid w:val="0"/>
      <w:spacing w:after="50" w:afterLines="50"/>
      <w:ind w:firstLine="200" w:firstLineChars="200"/>
    </w:pPr>
    <w:rPr>
      <w:rFonts w:ascii="Times New Roman" w:hAnsi="Times New Roman" w:eastAsia="宋体" w:cs="Times New Roman"/>
      <w:kern w:val="0"/>
      <w:sz w:val="24"/>
      <w:szCs w:val="20"/>
    </w:rPr>
  </w:style>
  <w:style w:type="paragraph" w:customStyle="1" w:styleId="146">
    <w:name w:val="HT_列表项目编号2"/>
    <w:basedOn w:val="1"/>
    <w:next w:val="1"/>
    <w:uiPriority w:val="0"/>
    <w:pPr>
      <w:spacing w:before="156" w:beforeLines="50" w:line="360" w:lineRule="auto"/>
      <w:contextualSpacing/>
    </w:pPr>
    <w:rPr>
      <w:rFonts w:ascii="Times New Roman" w:hAnsi="Times New Roman" w:eastAsia="宋体" w:cs="Times New Roman"/>
      <w:b/>
      <w:sz w:val="24"/>
      <w:szCs w:val="20"/>
    </w:rPr>
  </w:style>
  <w:style w:type="paragraph" w:customStyle="1" w:styleId="147">
    <w:name w:val="Default"/>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148">
    <w:name w:val="font7"/>
    <w:basedOn w:val="1"/>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49">
    <w:name w:val="reader-word-layer reader-word-s11-6"/>
    <w:basedOn w:val="1"/>
    <w:uiPriority w:val="0"/>
    <w:pPr>
      <w:widowControl/>
      <w:spacing w:before="100" w:beforeAutospacing="1" w:after="100" w:afterAutospacing="1"/>
      <w:jc w:val="left"/>
    </w:pPr>
    <w:rPr>
      <w:rFonts w:ascii="宋体" w:hAnsi="宋体" w:eastAsia="宋体" w:cs="宋体"/>
      <w:kern w:val="0"/>
      <w:sz w:val="24"/>
    </w:rPr>
  </w:style>
  <w:style w:type="paragraph" w:customStyle="1" w:styleId="150">
    <w:name w:val="xl8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51">
    <w:name w:val="正文_11"/>
    <w:uiPriority w:val="0"/>
    <w:pPr>
      <w:widowControl w:val="0"/>
      <w:jc w:val="both"/>
    </w:pPr>
    <w:rPr>
      <w:rFonts w:ascii="Calibri" w:hAnsi="Calibri"/>
      <w:kern w:val="2"/>
      <w:sz w:val="21"/>
      <w:szCs w:val="22"/>
      <w:lang w:val="en-US" w:eastAsia="zh-CN" w:bidi="ar-SA"/>
    </w:rPr>
  </w:style>
  <w:style w:type="paragraph" w:customStyle="1" w:styleId="152">
    <w:name w:val="默认段落字体 Para Char"/>
    <w:basedOn w:val="1"/>
    <w:uiPriority w:val="0"/>
    <w:pPr>
      <w:adjustRightInd w:val="0"/>
      <w:spacing w:line="360" w:lineRule="auto"/>
      <w:ind w:firstLine="480"/>
    </w:pPr>
    <w:rPr>
      <w:rFonts w:ascii="宋体" w:hAnsi="宋体" w:eastAsia="宋体" w:cs="Times New Roman"/>
      <w:kern w:val="0"/>
      <w:sz w:val="24"/>
      <w:szCs w:val="20"/>
    </w:rPr>
  </w:style>
  <w:style w:type="paragraph" w:customStyle="1" w:styleId="153">
    <w:name w:val="Other|1"/>
    <w:basedOn w:val="1"/>
    <w:qFormat/>
    <w:uiPriority w:val="0"/>
    <w:rPr>
      <w:rFonts w:ascii="宋体" w:hAnsi="宋体" w:cs="宋体"/>
      <w:sz w:val="19"/>
      <w:szCs w:val="19"/>
      <w:lang w:val="zh-CN" w:bidi="zh-CN"/>
    </w:rPr>
  </w:style>
  <w:style w:type="paragraph" w:customStyle="1" w:styleId="154">
    <w:name w:val="纯文本_0"/>
    <w:basedOn w:val="155"/>
    <w:unhideWhenUsed/>
    <w:qFormat/>
    <w:uiPriority w:val="0"/>
    <w:rPr>
      <w:rFonts w:ascii="宋体" w:hAnsi="Courier New"/>
      <w:kern w:val="0"/>
      <w:sz w:val="20"/>
      <w:szCs w:val="20"/>
    </w:rPr>
  </w:style>
  <w:style w:type="paragraph" w:customStyle="1" w:styleId="155">
    <w:name w:val="正文_0_0"/>
    <w:qFormat/>
    <w:uiPriority w:val="0"/>
    <w:pPr>
      <w:widowControl w:val="0"/>
      <w:jc w:val="both"/>
    </w:pPr>
    <w:rPr>
      <w:rFonts w:ascii="Calibri" w:hAnsi="Calibri"/>
      <w:kern w:val="2"/>
      <w:sz w:val="21"/>
      <w:szCs w:val="22"/>
      <w:lang w:val="en-US" w:eastAsia="zh-CN" w:bidi="ar-SA"/>
    </w:rPr>
  </w:style>
  <w:style w:type="paragraph" w:customStyle="1" w:styleId="156">
    <w:name w:val="xl9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57">
    <w:name w:val="正文_13_0"/>
    <w:qFormat/>
    <w:uiPriority w:val="0"/>
    <w:pPr>
      <w:widowControl w:val="0"/>
      <w:jc w:val="both"/>
    </w:pPr>
    <w:rPr>
      <w:kern w:val="2"/>
      <w:sz w:val="21"/>
      <w:szCs w:val="24"/>
      <w:lang w:val="en-US" w:eastAsia="zh-CN" w:bidi="ar-SA"/>
    </w:rPr>
  </w:style>
  <w:style w:type="paragraph" w:customStyle="1" w:styleId="158">
    <w:name w:val="纯文本1"/>
    <w:basedOn w:val="1"/>
    <w:uiPriority w:val="0"/>
    <w:pPr>
      <w:adjustRightInd w:val="0"/>
      <w:jc w:val="left"/>
    </w:pPr>
    <w:rPr>
      <w:rFonts w:ascii="宋体" w:hAnsi="Courier New"/>
      <w:sz w:val="24"/>
      <w:szCs w:val="20"/>
    </w:rPr>
  </w:style>
  <w:style w:type="paragraph" w:customStyle="1" w:styleId="159">
    <w:name w:val="HT_正文缩进"/>
    <w:basedOn w:val="1"/>
    <w:uiPriority w:val="0"/>
    <w:pPr>
      <w:spacing w:before="156" w:beforeLines="50" w:line="300" w:lineRule="auto"/>
      <w:ind w:firstLine="480" w:firstLineChars="200"/>
    </w:pPr>
    <w:rPr>
      <w:rFonts w:ascii="Times New Roman" w:hAnsi="Times New Roman" w:eastAsia="宋体" w:cs="Times New Roman"/>
      <w:sz w:val="24"/>
      <w:szCs w:val="20"/>
    </w:rPr>
  </w:style>
  <w:style w:type="paragraph" w:customStyle="1" w:styleId="160">
    <w:name w:val="默认段落字体 Para Char Char Char Char Char Char Char Char Char1 Char Char Char Char"/>
    <w:basedOn w:val="1"/>
    <w:uiPriority w:val="0"/>
    <w:rPr>
      <w:rFonts w:ascii="Tahoma" w:hAnsi="Tahoma" w:eastAsia="宋体" w:cs="Times New Roman"/>
      <w:sz w:val="24"/>
      <w:szCs w:val="20"/>
    </w:rPr>
  </w:style>
  <w:style w:type="paragraph" w:customStyle="1" w:styleId="161">
    <w:name w:val="Normal_21"/>
    <w:uiPriority w:val="0"/>
    <w:rPr>
      <w:rFonts w:ascii="黑体" w:hAnsi="黑体" w:eastAsia="黑体"/>
      <w:b/>
      <w:sz w:val="32"/>
      <w:szCs w:val="24"/>
      <w:lang w:val="en-US" w:eastAsia="zh-CN" w:bidi="ar-SA"/>
    </w:rPr>
  </w:style>
  <w:style w:type="paragraph" w:customStyle="1" w:styleId="162">
    <w:name w:val="Char Char1 Char Char Char Char Char Char Char"/>
    <w:basedOn w:val="1"/>
    <w:uiPriority w:val="0"/>
    <w:rPr>
      <w:rFonts w:ascii="Tahoma" w:hAnsi="Tahoma" w:eastAsia="宋体" w:cs="Times New Roman"/>
      <w:sz w:val="24"/>
    </w:rPr>
  </w:style>
  <w:style w:type="paragraph" w:customStyle="1" w:styleId="163">
    <w:name w:val="Plain Text"/>
    <w:basedOn w:val="1"/>
    <w:uiPriority w:val="0"/>
    <w:pPr>
      <w:adjustRightInd w:val="0"/>
      <w:jc w:val="left"/>
      <w:textAlignment w:val="baseline"/>
    </w:pPr>
    <w:rPr>
      <w:rFonts w:ascii="宋体" w:hAnsi="Courier New" w:eastAsia="宋体" w:cs="Times New Roman"/>
      <w:sz w:val="24"/>
      <w:szCs w:val="20"/>
    </w:rPr>
  </w:style>
  <w:style w:type="paragraph" w:customStyle="1" w:styleId="164">
    <w:name w:val="正文文字缩进 2"/>
    <w:basedOn w:val="1"/>
    <w:next w:val="1"/>
    <w:uiPriority w:val="0"/>
    <w:pPr>
      <w:widowControl/>
      <w:spacing w:after="120" w:line="480" w:lineRule="auto"/>
      <w:ind w:left="420"/>
    </w:pPr>
    <w:rPr>
      <w:rFonts w:ascii="Times New Roman" w:hAnsi="Times New Roman" w:eastAsia="宋体" w:cs="Times New Roman"/>
      <w:color w:val="000000"/>
      <w:szCs w:val="20"/>
    </w:rPr>
  </w:style>
  <w:style w:type="paragraph" w:customStyle="1" w:styleId="165">
    <w:name w:val="GP正文(首行缩进)"/>
    <w:basedOn w:val="1"/>
    <w:uiPriority w:val="0"/>
    <w:pPr>
      <w:spacing w:line="360" w:lineRule="auto"/>
      <w:ind w:firstLine="200" w:firstLineChars="200"/>
      <w:jc w:val="left"/>
    </w:pPr>
    <w:rPr>
      <w:rFonts w:ascii="Times New Roman" w:hAnsi="Times New Roman" w:eastAsia="宋体" w:cs="Times New Roman"/>
      <w:sz w:val="24"/>
      <w:szCs w:val="21"/>
    </w:rPr>
  </w:style>
  <w:style w:type="paragraph" w:customStyle="1" w:styleId="166">
    <w:name w:val="xl9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b/>
      <w:bCs/>
      <w:kern w:val="0"/>
      <w:sz w:val="20"/>
      <w:szCs w:val="20"/>
    </w:rPr>
  </w:style>
  <w:style w:type="paragraph" w:customStyle="1" w:styleId="167">
    <w:name w:val="文档正文"/>
    <w:basedOn w:val="1"/>
    <w:uiPriority w:val="0"/>
    <w:pPr>
      <w:adjustRightInd w:val="0"/>
      <w:spacing w:line="480" w:lineRule="atLeast"/>
      <w:ind w:firstLine="567"/>
      <w:textAlignment w:val="baseline"/>
    </w:pPr>
    <w:rPr>
      <w:rFonts w:ascii="长城仿宋" w:hAnsi="Times New Roman" w:eastAsia="宋体" w:cs="Times New Roman"/>
      <w:kern w:val="0"/>
      <w:sz w:val="24"/>
      <w:szCs w:val="20"/>
    </w:rPr>
  </w:style>
  <w:style w:type="paragraph" w:customStyle="1" w:styleId="168">
    <w:name w:val="xl8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eastAsia="宋体" w:cs="宋体"/>
      <w:kern w:val="0"/>
      <w:sz w:val="20"/>
      <w:szCs w:val="20"/>
    </w:rPr>
  </w:style>
  <w:style w:type="paragraph" w:customStyle="1" w:styleId="169">
    <w:name w:val=" Char Char Char Char"/>
    <w:basedOn w:val="1"/>
    <w:uiPriority w:val="0"/>
    <w:pPr>
      <w:ind w:left="-48"/>
    </w:pPr>
    <w:rPr>
      <w:rFonts w:ascii="Times New Roman" w:hAnsi="Times New Roman" w:eastAsia="宋体" w:cs="Times New Roman"/>
    </w:rPr>
  </w:style>
  <w:style w:type="paragraph" w:customStyle="1" w:styleId="170">
    <w:name w:val="BodyText1I"/>
    <w:basedOn w:val="171"/>
    <w:qFormat/>
    <w:uiPriority w:val="0"/>
    <w:pPr>
      <w:spacing w:line="360" w:lineRule="auto"/>
      <w:ind w:firstLine="200" w:firstLineChars="200"/>
      <w:jc w:val="left"/>
    </w:pPr>
    <w:rPr>
      <w:bCs/>
      <w:sz w:val="24"/>
    </w:rPr>
  </w:style>
  <w:style w:type="paragraph" w:customStyle="1" w:styleId="171">
    <w:name w:val="BodyText"/>
    <w:basedOn w:val="1"/>
    <w:next w:val="170"/>
    <w:qFormat/>
    <w:uiPriority w:val="0"/>
    <w:pPr>
      <w:spacing w:after="120"/>
    </w:pPr>
    <w:rPr>
      <w:sz w:val="28"/>
    </w:rPr>
  </w:style>
  <w:style w:type="paragraph" w:customStyle="1" w:styleId="172">
    <w:name w:val="xl8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eastAsia="宋体" w:cs="宋体"/>
      <w:b/>
      <w:bCs/>
      <w:kern w:val="0"/>
      <w:sz w:val="20"/>
      <w:szCs w:val="20"/>
    </w:rPr>
  </w:style>
  <w:style w:type="paragraph" w:customStyle="1" w:styleId="173">
    <w:name w:val="xl85"/>
    <w:basedOn w:val="1"/>
    <w:uiPriority w:val="0"/>
    <w:pPr>
      <w:widowControl/>
      <w:spacing w:before="100" w:beforeAutospacing="1" w:after="100" w:afterAutospacing="1"/>
      <w:jc w:val="left"/>
      <w:textAlignment w:val="center"/>
    </w:pPr>
    <w:rPr>
      <w:rFonts w:ascii="宋体" w:hAnsi="宋体" w:eastAsia="宋体" w:cs="宋体"/>
      <w:kern w:val="0"/>
      <w:sz w:val="20"/>
      <w:szCs w:val="20"/>
    </w:rPr>
  </w:style>
  <w:style w:type="paragraph" w:customStyle="1" w:styleId="174">
    <w:name w:val="正文_10_0"/>
    <w:uiPriority w:val="0"/>
    <w:pPr>
      <w:widowControl w:val="0"/>
      <w:jc w:val="both"/>
    </w:pPr>
    <w:rPr>
      <w:rFonts w:ascii="Calibri" w:hAnsi="Calibri"/>
      <w:kern w:val="2"/>
      <w:sz w:val="21"/>
      <w:szCs w:val="22"/>
      <w:lang w:val="en-US" w:eastAsia="zh-CN" w:bidi="ar-SA"/>
    </w:rPr>
  </w:style>
  <w:style w:type="paragraph" w:customStyle="1" w:styleId="175">
    <w:name w:val="xl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0"/>
      <w:szCs w:val="20"/>
    </w:rPr>
  </w:style>
  <w:style w:type="paragraph" w:customStyle="1" w:styleId="176">
    <w:name w:val="xl8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kern w:val="0"/>
      <w:sz w:val="20"/>
      <w:szCs w:val="20"/>
    </w:rPr>
  </w:style>
  <w:style w:type="paragraph" w:customStyle="1" w:styleId="177">
    <w:name w:val="彩色列表 - 强调文字颜色 11"/>
    <w:basedOn w:val="1"/>
    <w:qFormat/>
    <w:uiPriority w:val="0"/>
    <w:pPr>
      <w:ind w:firstLine="420" w:firstLineChars="200"/>
    </w:pPr>
    <w:rPr>
      <w:rFonts w:ascii="Calibri" w:hAnsi="Calibri"/>
      <w:sz w:val="24"/>
    </w:rPr>
  </w:style>
  <w:style w:type="paragraph" w:customStyle="1" w:styleId="178">
    <w:name w:val="普通(网站)1"/>
    <w:basedOn w:val="1"/>
    <w:qFormat/>
    <w:uiPriority w:val="0"/>
    <w:pPr>
      <w:jc w:val="left"/>
    </w:pPr>
    <w:rPr>
      <w:rFonts w:ascii="Calibri" w:hAnsi="Calibri"/>
      <w:kern w:val="0"/>
      <w:sz w:val="24"/>
    </w:rPr>
  </w:style>
  <w:style w:type="paragraph" w:customStyle="1" w:styleId="179">
    <w:name w:val="彩色底纹 - 强调文字颜色 61"/>
    <w:basedOn w:val="3"/>
    <w:next w:val="1"/>
    <w:qFormat/>
    <w:uiPriority w:val="0"/>
    <w:pPr>
      <w:widowControl/>
      <w:adjustRightInd/>
      <w:spacing w:before="480" w:line="276" w:lineRule="auto"/>
      <w:jc w:val="left"/>
      <w:textAlignment w:val="auto"/>
      <w:outlineLvl w:val="9"/>
    </w:pPr>
    <w:rPr>
      <w:rFonts w:ascii="Cambria" w:hAnsi="Cambria" w:eastAsia="宋体" w:cs="Times New Roman"/>
      <w:b w:val="0"/>
      <w:color w:val="365F91"/>
      <w:kern w:val="0"/>
      <w:sz w:val="28"/>
      <w:szCs w:val="28"/>
    </w:rPr>
  </w:style>
  <w:style w:type="paragraph" w:customStyle="1" w:styleId="180">
    <w:name w:val="正文_21"/>
    <w:uiPriority w:val="0"/>
    <w:pPr>
      <w:widowControl w:val="0"/>
      <w:jc w:val="both"/>
    </w:pPr>
    <w:rPr>
      <w:rFonts w:ascii="Calibri" w:hAnsi="Calibri"/>
      <w:kern w:val="2"/>
      <w:sz w:val="21"/>
      <w:szCs w:val="22"/>
      <w:lang w:val="en-US" w:eastAsia="zh-CN" w:bidi="ar-SA"/>
    </w:rPr>
  </w:style>
  <w:style w:type="paragraph" w:customStyle="1" w:styleId="181">
    <w:name w:val="xl86"/>
    <w:basedOn w:val="1"/>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eastAsia="宋体" w:cs="宋体"/>
      <w:b/>
      <w:bCs/>
      <w:kern w:val="0"/>
      <w:sz w:val="20"/>
      <w:szCs w:val="20"/>
    </w:rPr>
  </w:style>
  <w:style w:type="paragraph" w:customStyle="1" w:styleId="182">
    <w:name w:val=" Char Char Char1 Char"/>
    <w:basedOn w:val="1"/>
    <w:uiPriority w:val="0"/>
    <w:rPr>
      <w:rFonts w:ascii="Times New Roman" w:hAnsi="Times New Roman" w:eastAsia="宋体" w:cs="Times New Roman"/>
      <w:szCs w:val="20"/>
    </w:rPr>
  </w:style>
  <w:style w:type="paragraph" w:customStyle="1" w:styleId="183">
    <w:name w:val=" Char2"/>
    <w:basedOn w:val="1"/>
    <w:uiPriority w:val="0"/>
    <w:rPr>
      <w:rFonts w:ascii="仿宋_GB2312" w:hAnsi="Times New Roman" w:eastAsia="仿宋_GB2312" w:cs="Times New Roman"/>
      <w:b/>
      <w:sz w:val="32"/>
      <w:szCs w:val="32"/>
    </w:rPr>
  </w:style>
  <w:style w:type="paragraph" w:customStyle="1" w:styleId="184">
    <w:name w:val="reader-word-layer reader-word-s11-2"/>
    <w:basedOn w:val="1"/>
    <w:uiPriority w:val="0"/>
    <w:pPr>
      <w:widowControl/>
      <w:spacing w:before="100" w:beforeAutospacing="1" w:after="100" w:afterAutospacing="1"/>
      <w:jc w:val="left"/>
    </w:pPr>
    <w:rPr>
      <w:rFonts w:ascii="宋体" w:hAnsi="宋体" w:eastAsia="宋体" w:cs="宋体"/>
      <w:kern w:val="0"/>
      <w:sz w:val="24"/>
    </w:rPr>
  </w:style>
  <w:style w:type="paragraph" w:customStyle="1" w:styleId="185">
    <w:name w:val="正文_17"/>
    <w:qFormat/>
    <w:uiPriority w:val="0"/>
    <w:pPr>
      <w:widowControl w:val="0"/>
      <w:jc w:val="both"/>
    </w:pPr>
    <w:rPr>
      <w:kern w:val="2"/>
      <w:sz w:val="21"/>
      <w:szCs w:val="24"/>
      <w:lang w:val="en-US" w:eastAsia="zh-CN" w:bidi="ar-SA"/>
    </w:rPr>
  </w:style>
  <w:style w:type="paragraph" w:customStyle="1" w:styleId="186">
    <w:name w:val="UserStyle_61"/>
    <w:qFormat/>
    <w:uiPriority w:val="0"/>
    <w:pPr>
      <w:textAlignment w:val="baseline"/>
    </w:pPr>
    <w:rPr>
      <w:rFonts w:ascii="宋体" w:hAnsi="Calibri" w:eastAsia="等线"/>
      <w:color w:val="000000"/>
      <w:sz w:val="24"/>
      <w:szCs w:val="24"/>
      <w:lang w:val="en-US" w:eastAsia="zh-CN" w:bidi="ar-SA"/>
    </w:rPr>
  </w:style>
  <w:style w:type="paragraph" w:customStyle="1" w:styleId="187">
    <w:name w:val="xl10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188">
    <w:name w:val="reader-word-layer reader-word-s1-10"/>
    <w:basedOn w:val="1"/>
    <w:uiPriority w:val="0"/>
    <w:pPr>
      <w:widowControl/>
      <w:spacing w:before="100" w:beforeAutospacing="1" w:after="100" w:afterAutospacing="1"/>
      <w:jc w:val="left"/>
    </w:pPr>
    <w:rPr>
      <w:rFonts w:ascii="宋体" w:hAnsi="宋体" w:eastAsia="宋体" w:cs="宋体"/>
      <w:kern w:val="0"/>
      <w:sz w:val="24"/>
    </w:rPr>
  </w:style>
  <w:style w:type="paragraph" w:customStyle="1" w:styleId="189">
    <w:name w:val="纯文本_0_0"/>
    <w:basedOn w:val="190"/>
    <w:qFormat/>
    <w:uiPriority w:val="0"/>
    <w:rPr>
      <w:rFonts w:ascii="宋体" w:hAnsi="Courier New"/>
      <w:szCs w:val="21"/>
    </w:rPr>
  </w:style>
  <w:style w:type="paragraph" w:customStyle="1" w:styleId="190">
    <w:name w:val="正文_1_0"/>
    <w:uiPriority w:val="0"/>
    <w:pPr>
      <w:widowControl w:val="0"/>
      <w:jc w:val="both"/>
    </w:pPr>
    <w:rPr>
      <w:kern w:val="2"/>
      <w:sz w:val="21"/>
      <w:szCs w:val="24"/>
      <w:lang w:val="en-US" w:eastAsia="zh-CN" w:bidi="ar-SA"/>
    </w:rPr>
  </w:style>
  <w:style w:type="paragraph" w:customStyle="1" w:styleId="191">
    <w:name w:val="普通(网站)_0"/>
    <w:basedOn w:val="144"/>
    <w:unhideWhenUsed/>
    <w:qFormat/>
    <w:uiPriority w:val="99"/>
    <w:pPr>
      <w:widowControl/>
      <w:spacing w:before="100" w:beforeAutospacing="1" w:after="100" w:afterAutospacing="1"/>
      <w:jc w:val="left"/>
    </w:pPr>
    <w:rPr>
      <w:rFonts w:ascii="宋体" w:hAnsi="宋体"/>
      <w:kern w:val="0"/>
      <w:sz w:val="24"/>
      <w:szCs w:val="22"/>
    </w:rPr>
  </w:style>
  <w:style w:type="paragraph" w:customStyle="1" w:styleId="192">
    <w:name w:val="正文_3_0"/>
    <w:qFormat/>
    <w:uiPriority w:val="0"/>
    <w:pPr>
      <w:widowControl w:val="0"/>
      <w:jc w:val="both"/>
    </w:pPr>
    <w:rPr>
      <w:kern w:val="2"/>
      <w:sz w:val="21"/>
      <w:szCs w:val="24"/>
      <w:lang w:val="en-US" w:eastAsia="zh-CN" w:bidi="ar-SA"/>
    </w:rPr>
  </w:style>
  <w:style w:type="paragraph" w:customStyle="1" w:styleId="193">
    <w:name w:val="S4-L15-C"/>
    <w:basedOn w:val="1"/>
    <w:uiPriority w:val="0"/>
    <w:pPr>
      <w:spacing w:after="120" w:line="360" w:lineRule="auto"/>
      <w:jc w:val="center"/>
    </w:pPr>
    <w:rPr>
      <w:rFonts w:ascii="Times New Roman" w:hAnsi="Times New Roman" w:eastAsia="宋体" w:cs="Times New Roman"/>
      <w:szCs w:val="20"/>
    </w:rPr>
  </w:style>
  <w:style w:type="paragraph" w:customStyle="1" w:styleId="194">
    <w:name w:val="Paragraph Text"/>
    <w:basedOn w:val="1"/>
    <w:uiPriority w:val="0"/>
    <w:pPr>
      <w:widowControl/>
      <w:spacing w:line="320" w:lineRule="exact"/>
      <w:jc w:val="left"/>
    </w:pPr>
    <w:rPr>
      <w:rFonts w:ascii="Beijing" w:hAnsi="Times New Roman" w:eastAsia="Times New Roman" w:cs="Times New Roman"/>
      <w:kern w:val="0"/>
      <w:sz w:val="18"/>
      <w:szCs w:val="18"/>
      <w:lang/>
    </w:rPr>
  </w:style>
  <w:style w:type="paragraph" w:customStyle="1" w:styleId="195">
    <w:name w:val="xl108"/>
    <w:basedOn w:val="1"/>
    <w:uiPriority w:val="0"/>
    <w:pPr>
      <w:widowControl/>
      <w:spacing w:before="100" w:beforeAutospacing="1" w:after="100" w:afterAutospacing="1"/>
      <w:jc w:val="center"/>
      <w:textAlignment w:val="center"/>
    </w:pPr>
    <w:rPr>
      <w:rFonts w:ascii="宋体" w:hAnsi="宋体" w:eastAsia="宋体" w:cs="宋体"/>
      <w:kern w:val="0"/>
      <w:sz w:val="20"/>
      <w:szCs w:val="20"/>
    </w:rPr>
  </w:style>
  <w:style w:type="paragraph" w:customStyle="1" w:styleId="196">
    <w:name w:val="Table Paragraph"/>
    <w:basedOn w:val="1"/>
    <w:unhideWhenUsed/>
    <w:qFormat/>
    <w:uiPriority w:val="1"/>
    <w:pPr>
      <w:spacing w:before="120" w:beforeLines="0" w:afterLines="0"/>
      <w:jc w:val="center"/>
    </w:pPr>
    <w:rPr>
      <w:rFonts w:hint="eastAsia"/>
      <w:sz w:val="24"/>
    </w:rPr>
  </w:style>
  <w:style w:type="paragraph" w:customStyle="1" w:styleId="197">
    <w:name w:val="表内文字"/>
    <w:basedOn w:val="1"/>
    <w:uiPriority w:val="0"/>
    <w:pPr>
      <w:tabs>
        <w:tab w:val="left" w:pos="1418"/>
      </w:tabs>
      <w:spacing w:line="360" w:lineRule="auto"/>
      <w:jc w:val="center"/>
    </w:pPr>
    <w:rPr>
      <w:rFonts w:ascii="仿宋_GB2312" w:hAnsi="Times New Roman" w:eastAsia="仿宋_GB2312" w:cs="Times New Roman"/>
      <w:spacing w:val="-20"/>
      <w:kern w:val="0"/>
      <w:sz w:val="24"/>
    </w:rPr>
  </w:style>
  <w:style w:type="paragraph" w:customStyle="1" w:styleId="198">
    <w:name w:val="paragraph1"/>
    <w:basedOn w:val="1"/>
    <w:uiPriority w:val="0"/>
    <w:pPr>
      <w:spacing w:after="93" w:afterLines="30" w:line="360" w:lineRule="auto"/>
      <w:ind w:firstLine="480" w:firstLineChars="200"/>
    </w:pPr>
    <w:rPr>
      <w:rFonts w:ascii="Arial" w:hAnsi="Arial" w:eastAsia="宋体" w:cs="Times New Roman"/>
      <w:sz w:val="24"/>
    </w:rPr>
  </w:style>
  <w:style w:type="paragraph" w:customStyle="1" w:styleId="199">
    <w:name w:val="msonormalcxspmiddle"/>
    <w:basedOn w:val="1"/>
    <w:uiPriority w:val="0"/>
    <w:pPr>
      <w:widowControl/>
      <w:spacing w:before="100" w:beforeAutospacing="1" w:after="100" w:afterAutospacing="1"/>
      <w:jc w:val="left"/>
    </w:pPr>
    <w:rPr>
      <w:rFonts w:ascii="宋体" w:hAnsi="宋体" w:eastAsia="宋体" w:cs="宋体"/>
      <w:kern w:val="0"/>
      <w:sz w:val="24"/>
    </w:rPr>
  </w:style>
  <w:style w:type="paragraph" w:customStyle="1" w:styleId="200">
    <w:name w:val="Normal_22"/>
    <w:uiPriority w:val="0"/>
    <w:pPr>
      <w:widowControl w:val="0"/>
      <w:jc w:val="both"/>
    </w:pPr>
    <w:rPr>
      <w:rFonts w:eastAsia="Times New Roman"/>
      <w:lang w:val="en-US" w:eastAsia="zh-CN" w:bidi="ar-SA"/>
    </w:rPr>
  </w:style>
  <w:style w:type="paragraph" w:customStyle="1" w:styleId="201">
    <w:name w:val="纯文本_1"/>
    <w:basedOn w:val="192"/>
    <w:qFormat/>
    <w:uiPriority w:val="0"/>
    <w:rPr>
      <w:rFonts w:ascii="宋体" w:hAnsi="Courier New"/>
      <w:szCs w:val="20"/>
    </w:rPr>
  </w:style>
  <w:style w:type="paragraph" w:customStyle="1" w:styleId="202">
    <w:name w:val="二级条标题"/>
    <w:basedOn w:val="1"/>
    <w:next w:val="1"/>
    <w:qFormat/>
    <w:uiPriority w:val="0"/>
    <w:pPr>
      <w:widowControl/>
      <w:numPr>
        <w:ilvl w:val="2"/>
        <w:numId w:val="2"/>
      </w:numPr>
      <w:spacing w:before="50" w:after="50"/>
      <w:jc w:val="left"/>
      <w:outlineLvl w:val="3"/>
    </w:pPr>
    <w:rPr>
      <w:rFonts w:ascii="黑体" w:hAnsi="Times New Roman" w:eastAsia="黑体"/>
      <w:kern w:val="0"/>
      <w:szCs w:val="21"/>
    </w:rPr>
  </w:style>
  <w:style w:type="paragraph" w:customStyle="1" w:styleId="203">
    <w:name w:val="xl9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204">
    <w:name w:val="Table - Text"/>
    <w:basedOn w:val="1"/>
    <w:uiPriority w:val="0"/>
    <w:pPr>
      <w:widowControl/>
      <w:spacing w:before="60" w:afterLines="50"/>
      <w:jc w:val="left"/>
    </w:pPr>
    <w:rPr>
      <w:rFonts w:ascii="Times New Roman" w:hAnsi="Times New Roman" w:eastAsia="宋体" w:cs="Times New Roman"/>
      <w:kern w:val="0"/>
      <w:szCs w:val="20"/>
      <w:lang w:eastAsia="en-US"/>
    </w:rPr>
  </w:style>
  <w:style w:type="paragraph" w:customStyle="1" w:styleId="205">
    <w:name w:val="xl9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kern w:val="0"/>
      <w:sz w:val="20"/>
      <w:szCs w:val="20"/>
    </w:rPr>
  </w:style>
  <w:style w:type="paragraph" w:customStyle="1" w:styleId="206">
    <w:name w:val="p0"/>
    <w:basedOn w:val="1"/>
    <w:uiPriority w:val="0"/>
    <w:pPr>
      <w:widowControl/>
      <w:spacing w:before="100" w:beforeAutospacing="1" w:after="100" w:afterAutospacing="1"/>
      <w:jc w:val="left"/>
    </w:pPr>
    <w:rPr>
      <w:rFonts w:ascii="宋体" w:hAnsi="宋体" w:cs="宋体"/>
      <w:kern w:val="0"/>
      <w:sz w:val="24"/>
    </w:rPr>
  </w:style>
  <w:style w:type="paragraph" w:customStyle="1" w:styleId="207">
    <w:name w:val="样式1"/>
    <w:basedOn w:val="1"/>
    <w:uiPriority w:val="0"/>
    <w:pPr>
      <w:tabs>
        <w:tab w:val="left" w:pos="960"/>
      </w:tabs>
      <w:adjustRightInd w:val="0"/>
      <w:ind w:left="960" w:hanging="420"/>
      <w:textAlignment w:val="baseline"/>
    </w:pPr>
    <w:rPr>
      <w:rFonts w:ascii="宋体" w:hAnsi="宋体" w:eastAsia="宋体" w:cs="Times New Roman"/>
      <w:kern w:val="0"/>
      <w:szCs w:val="20"/>
    </w:rPr>
  </w:style>
  <w:style w:type="paragraph" w:customStyle="1" w:styleId="208">
    <w:name w:val="List Paragraph"/>
    <w:basedOn w:val="1"/>
    <w:uiPriority w:val="0"/>
    <w:pPr>
      <w:ind w:firstLine="420" w:firstLineChars="200"/>
    </w:pPr>
    <w:rPr>
      <w:rFonts w:ascii="Calibri" w:hAnsi="Calibri" w:eastAsia="宋体" w:cs="Times New Roman"/>
      <w:szCs w:val="22"/>
    </w:rPr>
  </w:style>
  <w:style w:type="paragraph" w:customStyle="1" w:styleId="209">
    <w:name w:val="xl10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ulim" w:hAnsi="Gulim" w:eastAsia="Gulim" w:cs="宋体"/>
      <w:kern w:val="0"/>
      <w:sz w:val="20"/>
      <w:szCs w:val="20"/>
    </w:rPr>
  </w:style>
  <w:style w:type="paragraph" w:customStyle="1" w:styleId="210">
    <w:name w:val="xl9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211">
    <w:name w:val="正文2"/>
    <w:basedOn w:val="1"/>
    <w:uiPriority w:val="0"/>
    <w:pPr>
      <w:spacing w:before="156" w:line="360" w:lineRule="auto"/>
      <w:ind w:firstLine="510" w:firstLineChars="200"/>
    </w:pPr>
    <w:rPr>
      <w:rFonts w:ascii="Times New Roman" w:hAnsi="Times New Roman" w:eastAsia="宋体" w:cs="Times New Roman"/>
      <w:sz w:val="24"/>
      <w:szCs w:val="20"/>
    </w:rPr>
  </w:style>
  <w:style w:type="paragraph" w:styleId="212">
    <w:name w:val="No Spacing"/>
    <w:qFormat/>
    <w:uiPriority w:val="1"/>
    <w:pPr>
      <w:widowControl w:val="0"/>
      <w:jc w:val="both"/>
    </w:pPr>
    <w:rPr>
      <w:rFonts w:cs="Calibri"/>
      <w:kern w:val="2"/>
      <w:sz w:val="21"/>
      <w:szCs w:val="22"/>
      <w:lang w:val="en-US" w:eastAsia="zh-CN" w:bidi="ar-SA"/>
    </w:rPr>
  </w:style>
  <w:style w:type="paragraph" w:customStyle="1" w:styleId="213">
    <w:name w:val="reader-word-layer"/>
    <w:basedOn w:val="1"/>
    <w:uiPriority w:val="0"/>
    <w:pPr>
      <w:widowControl/>
      <w:spacing w:before="100" w:beforeAutospacing="1" w:after="100" w:afterAutospacing="1"/>
      <w:jc w:val="left"/>
    </w:pPr>
    <w:rPr>
      <w:rFonts w:ascii="宋体" w:hAnsi="宋体" w:eastAsia="宋体" w:cs="宋体"/>
      <w:kern w:val="0"/>
      <w:sz w:val="24"/>
    </w:rPr>
  </w:style>
  <w:style w:type="paragraph" w:customStyle="1" w:styleId="214">
    <w:name w:val="xl9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ulim" w:hAnsi="Gulim" w:eastAsia="Gulim" w:cs="宋体"/>
      <w:b/>
      <w:bCs/>
      <w:kern w:val="0"/>
      <w:sz w:val="20"/>
      <w:szCs w:val="20"/>
    </w:rPr>
  </w:style>
  <w:style w:type="paragraph" w:customStyle="1" w:styleId="215">
    <w:name w:val="xl87"/>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ulim" w:hAnsi="Gulim" w:eastAsia="Gulim" w:cs="宋体"/>
      <w:kern w:val="0"/>
      <w:sz w:val="20"/>
      <w:szCs w:val="20"/>
    </w:rPr>
  </w:style>
  <w:style w:type="paragraph" w:customStyle="1" w:styleId="216">
    <w:name w:val="正文_4"/>
    <w:qFormat/>
    <w:uiPriority w:val="0"/>
    <w:pPr>
      <w:widowControl w:val="0"/>
      <w:jc w:val="both"/>
    </w:pPr>
    <w:rPr>
      <w:kern w:val="2"/>
      <w:sz w:val="21"/>
      <w:szCs w:val="24"/>
      <w:lang w:val="en-US" w:eastAsia="zh-CN" w:bidi="ar-SA"/>
    </w:rPr>
  </w:style>
  <w:style w:type="paragraph" w:customStyle="1" w:styleId="217">
    <w:name w:val="font5"/>
    <w:basedOn w:val="1"/>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18">
    <w:name w:val="默认段落字体 Para Char Char Char Char"/>
    <w:basedOn w:val="1"/>
    <w:uiPriority w:val="0"/>
    <w:rPr>
      <w:rFonts w:ascii="Times New Roman" w:hAnsi="Times New Roman" w:eastAsia="宋体" w:cs="Times New Roman"/>
    </w:rPr>
  </w:style>
  <w:style w:type="paragraph" w:customStyle="1" w:styleId="219">
    <w:name w:val="xl84"/>
    <w:basedOn w:val="1"/>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eastAsia="宋体" w:cs="宋体"/>
      <w:b/>
      <w:bCs/>
      <w:kern w:val="0"/>
      <w:sz w:val="20"/>
      <w:szCs w:val="20"/>
    </w:rPr>
  </w:style>
  <w:style w:type="paragraph" w:customStyle="1" w:styleId="220">
    <w:name w:val="正文_2"/>
    <w:uiPriority w:val="0"/>
    <w:pPr>
      <w:widowControl w:val="0"/>
      <w:jc w:val="both"/>
    </w:pPr>
    <w:rPr>
      <w:kern w:val="2"/>
      <w:sz w:val="21"/>
      <w:szCs w:val="24"/>
      <w:lang w:val="en-US" w:eastAsia="zh-CN" w:bidi="ar-SA"/>
    </w:rPr>
  </w:style>
  <w:style w:type="paragraph" w:customStyle="1" w:styleId="221">
    <w:name w:val="标题3333"/>
    <w:basedOn w:val="1"/>
    <w:uiPriority w:val="0"/>
    <w:pPr>
      <w:ind w:left="-171" w:leftChars="-171" w:hanging="359" w:hangingChars="149"/>
    </w:pPr>
    <w:rPr>
      <w:rFonts w:ascii="宋体" w:hAnsi="宋体" w:eastAsia="宋体" w:cs="Times New Roman"/>
      <w:b/>
      <w:sz w:val="24"/>
      <w:szCs w:val="20"/>
    </w:rPr>
  </w:style>
  <w:style w:type="paragraph" w:customStyle="1" w:styleId="222">
    <w:name w:val="TableText"/>
    <w:basedOn w:val="1"/>
    <w:uiPriority w:val="0"/>
    <w:pPr>
      <w:snapToGrid w:val="0"/>
      <w:spacing w:before="62" w:beforeLines="20" w:after="62" w:afterLines="20"/>
      <w:jc w:val="center"/>
    </w:pPr>
    <w:rPr>
      <w:rFonts w:hint="eastAsia" w:ascii="Times New Roman" w:hAnsi="Times New Roman" w:eastAsia="宋体" w:cs="Times New Roman"/>
      <w:szCs w:val="20"/>
    </w:rPr>
  </w:style>
  <w:style w:type="paragraph" w:customStyle="1" w:styleId="223">
    <w:name w:val="xl10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224">
    <w:name w:val="font6"/>
    <w:basedOn w:val="1"/>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25">
    <w:name w:val=" Char Char Char"/>
    <w:basedOn w:val="15"/>
    <w:uiPriority w:val="0"/>
    <w:pPr>
      <w:shd w:val="clear" w:color="auto" w:fill="000080"/>
    </w:pPr>
    <w:rPr>
      <w:rFonts w:ascii="Times New Roman" w:hAnsi="Times New Roman" w:eastAsia="宋体" w:cs="Times New Roman"/>
      <w:sz w:val="21"/>
      <w:szCs w:val="24"/>
    </w:rPr>
  </w:style>
  <w:style w:type="paragraph" w:customStyle="1" w:styleId="226">
    <w:name w:val="font11"/>
    <w:basedOn w:val="1"/>
    <w:uiPriority w:val="0"/>
    <w:pPr>
      <w:widowControl/>
      <w:spacing w:before="100" w:beforeAutospacing="1" w:after="100" w:afterAutospacing="1"/>
      <w:jc w:val="left"/>
    </w:pPr>
    <w:rPr>
      <w:rFonts w:ascii="新宋体" w:hAnsi="新宋体" w:eastAsia="新宋体" w:cs="宋体"/>
      <w:b/>
      <w:bCs/>
      <w:kern w:val="0"/>
      <w:sz w:val="20"/>
      <w:szCs w:val="20"/>
    </w:rPr>
  </w:style>
  <w:style w:type="paragraph" w:customStyle="1" w:styleId="227">
    <w:name w:val="普通文字"/>
    <w:basedOn w:val="1"/>
    <w:next w:val="1"/>
    <w:qFormat/>
    <w:uiPriority w:val="0"/>
    <w:rPr>
      <w:rFonts w:ascii="宋体"/>
    </w:rPr>
  </w:style>
  <w:style w:type="paragraph" w:customStyle="1" w:styleId="228">
    <w:name w:val="pa-18"/>
    <w:basedOn w:val="1"/>
    <w:uiPriority w:val="0"/>
    <w:pPr>
      <w:widowControl/>
      <w:spacing w:before="150" w:after="150"/>
      <w:jc w:val="left"/>
    </w:pPr>
    <w:rPr>
      <w:rFonts w:ascii="宋体" w:hAnsi="宋体" w:eastAsia="宋体" w:cs="宋体"/>
      <w:kern w:val="0"/>
      <w:sz w:val="24"/>
    </w:rPr>
  </w:style>
  <w:style w:type="paragraph" w:customStyle="1" w:styleId="229">
    <w:name w:val="正文缩进1"/>
    <w:basedOn w:val="1"/>
    <w:next w:val="7"/>
    <w:qFormat/>
    <w:uiPriority w:val="0"/>
    <w:pPr>
      <w:spacing w:line="300" w:lineRule="auto"/>
      <w:ind w:firstLine="425"/>
    </w:pPr>
    <w:rPr>
      <w:szCs w:val="20"/>
    </w:rPr>
  </w:style>
  <w:style w:type="paragraph" w:customStyle="1" w:styleId="2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31">
    <w:name w:val="lsw表格文字"/>
    <w:basedOn w:val="1"/>
    <w:qFormat/>
    <w:uiPriority w:val="0"/>
    <w:pPr>
      <w:ind w:leftChars="-32" w:hanging="67" w:hangingChars="32"/>
      <w:jc w:val="center"/>
    </w:pPr>
    <w:rPr>
      <w:rFonts w:ascii="Calibri" w:hAnsi="Calibri" w:eastAsia="宋体" w:cs="Times New Roman"/>
      <w:szCs w:val="24"/>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oter4.xml" Type="http://schemas.openxmlformats.org/officeDocument/2006/relationships/footer"/><Relationship Id="rId11" Target="theme/theme1.xml" Type="http://schemas.openxmlformats.org/officeDocument/2006/relationships/theme"/><Relationship Id="rId12" Target="media/image1.emf" Type="http://schemas.openxmlformats.org/officeDocument/2006/relationships/image"/><Relationship Id="rId13" Target="../customXml/item1.xml" Type="http://schemas.openxmlformats.org/officeDocument/2006/relationships/customXml"/><Relationship Id="rId14" Target="numbering.xml" Type="http://schemas.openxmlformats.org/officeDocument/2006/relationships/numbering"/><Relationship Id="rId15"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header2.xml" Type="http://schemas.openxmlformats.org/officeDocument/2006/relationships/header"/><Relationship Id="rId6" Target="header3.xml" Type="http://schemas.openxmlformats.org/officeDocument/2006/relationships/header"/><Relationship Id="rId7" Target="header4.xml" Type="http://schemas.openxmlformats.org/officeDocument/2006/relationships/header"/><Relationship Id="rId8" Target="footer2.xml" Type="http://schemas.openxmlformats.org/officeDocument/2006/relationships/footer"/><Relationship Id="rId9" Target="footer3.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67</Pages>
  <Words>34384</Words>
  <Characters>37834</Characters>
  <Lines>402</Lines>
  <Paragraphs>113</Paragraphs>
  <TotalTime>36</TotalTime>
  <ScaleCrop>false</ScaleCrop>
  <LinksUpToDate>false</LinksUpToDate>
  <CharactersWithSpaces>41559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2019-09-12T08:56:00Z</dcterms:created>
  <dc:creator>oempc</dc:creator>
  <cp:lastModifiedBy>＞眺望未来-</cp:lastModifiedBy>
  <cp:lastPrinted>2023-09-11T00:37:00Z</cp:lastPrinted>
  <dcterms:modified xsi:type="dcterms:W3CDTF">2024-01-31T01:39:30Z</dcterms:modified>
  <cp:revision>2</cp:revision>
  <dc:title>缙云县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EFF4F4681BA84559A0B6BADB25C6C386_13</vt:lpwstr>
  </property>
</Properties>
</file>