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5A7ADC">
      <w:pPr>
        <w:spacing w:line="960" w:lineRule="auto"/>
        <w:ind w:firstLine="420"/>
        <w:rPr>
          <w:rFonts w:ascii="仿宋" w:hAnsi="仿宋" w:eastAsia="仿宋"/>
          <w:color w:val="auto"/>
          <w:highlight w:val="none"/>
        </w:rPr>
      </w:pPr>
    </w:p>
    <w:p w14:paraId="74E1A528">
      <w:pPr>
        <w:spacing w:line="960" w:lineRule="auto"/>
        <w:rPr>
          <w:rFonts w:ascii="仿宋" w:hAnsi="仿宋" w:eastAsia="仿宋"/>
          <w:color w:val="auto"/>
          <w:highlight w:val="none"/>
        </w:rPr>
      </w:pPr>
    </w:p>
    <w:p w14:paraId="4C7D18F6">
      <w:pPr>
        <w:jc w:val="center"/>
        <w:rPr>
          <w:rFonts w:ascii="仿宋" w:hAnsi="仿宋" w:eastAsia="仿宋" w:cs="仿宋"/>
          <w:b/>
          <w:color w:val="auto"/>
          <w:sz w:val="72"/>
          <w:szCs w:val="72"/>
          <w:highlight w:val="none"/>
        </w:rPr>
      </w:pPr>
      <w:bookmarkStart w:id="0" w:name="_Toc493956011"/>
      <w:bookmarkStart w:id="1" w:name="_Toc493928401"/>
      <w:r>
        <w:rPr>
          <w:rFonts w:hint="eastAsia" w:ascii="仿宋" w:hAnsi="仿宋" w:eastAsia="仿宋" w:cs="仿宋"/>
          <w:b/>
          <w:color w:val="auto"/>
          <w:sz w:val="72"/>
          <w:szCs w:val="72"/>
          <w:highlight w:val="none"/>
        </w:rPr>
        <w:t>竞争性磋商文件</w:t>
      </w:r>
      <w:bookmarkEnd w:id="0"/>
      <w:bookmarkEnd w:id="1"/>
    </w:p>
    <w:p w14:paraId="290E9400">
      <w:pPr>
        <w:spacing w:line="480" w:lineRule="auto"/>
        <w:rPr>
          <w:rFonts w:ascii="仿宋" w:hAnsi="仿宋" w:eastAsia="仿宋" w:cs="仿宋"/>
          <w:color w:val="auto"/>
          <w:highlight w:val="none"/>
        </w:rPr>
      </w:pPr>
    </w:p>
    <w:p w14:paraId="3B2F6EE6">
      <w:pPr>
        <w:spacing w:line="480" w:lineRule="auto"/>
        <w:rPr>
          <w:rFonts w:ascii="仿宋" w:hAnsi="仿宋" w:eastAsia="仿宋" w:cs="仿宋"/>
          <w:color w:val="auto"/>
          <w:highlight w:val="none"/>
        </w:rPr>
      </w:pPr>
    </w:p>
    <w:p w14:paraId="534BD1F4">
      <w:pPr>
        <w:spacing w:line="480" w:lineRule="auto"/>
        <w:rPr>
          <w:rFonts w:ascii="仿宋" w:hAnsi="仿宋" w:eastAsia="仿宋" w:cs="仿宋"/>
          <w:color w:val="auto"/>
          <w:highlight w:val="none"/>
        </w:rPr>
      </w:pPr>
    </w:p>
    <w:p w14:paraId="18809984">
      <w:pPr>
        <w:spacing w:line="480" w:lineRule="auto"/>
        <w:rPr>
          <w:rFonts w:ascii="仿宋" w:hAnsi="仿宋" w:eastAsia="仿宋" w:cs="仿宋"/>
          <w:color w:val="auto"/>
          <w:highlight w:val="none"/>
        </w:rPr>
      </w:pPr>
    </w:p>
    <w:p w14:paraId="1380B77C">
      <w:pPr>
        <w:spacing w:line="480" w:lineRule="auto"/>
        <w:rPr>
          <w:rFonts w:ascii="仿宋" w:hAnsi="仿宋" w:eastAsia="仿宋" w:cs="仿宋"/>
          <w:color w:val="auto"/>
          <w:highlight w:val="none"/>
        </w:rPr>
      </w:pPr>
    </w:p>
    <w:p w14:paraId="2CF9358D">
      <w:pPr>
        <w:spacing w:line="480" w:lineRule="auto"/>
        <w:rPr>
          <w:rFonts w:ascii="仿宋" w:hAnsi="仿宋" w:eastAsia="仿宋" w:cs="仿宋"/>
          <w:color w:val="auto"/>
          <w:highlight w:val="none"/>
        </w:rPr>
      </w:pPr>
    </w:p>
    <w:p w14:paraId="4139BFFC">
      <w:pPr>
        <w:spacing w:line="480" w:lineRule="auto"/>
        <w:rPr>
          <w:rFonts w:ascii="仿宋" w:hAnsi="仿宋" w:eastAsia="仿宋" w:cs="仿宋"/>
          <w:color w:val="auto"/>
          <w:highlight w:val="none"/>
        </w:rPr>
      </w:pPr>
    </w:p>
    <w:tbl>
      <w:tblPr>
        <w:tblStyle w:val="20"/>
        <w:tblW w:w="0" w:type="auto"/>
        <w:jc w:val="center"/>
        <w:tblLayout w:type="fixed"/>
        <w:tblCellMar>
          <w:top w:w="0" w:type="dxa"/>
          <w:left w:w="108" w:type="dxa"/>
          <w:bottom w:w="0" w:type="dxa"/>
          <w:right w:w="108" w:type="dxa"/>
        </w:tblCellMar>
      </w:tblPr>
      <w:tblGrid>
        <w:gridCol w:w="2311"/>
        <w:gridCol w:w="5142"/>
      </w:tblGrid>
      <w:tr w14:paraId="3EF3ECD6">
        <w:tblPrEx>
          <w:tblCellMar>
            <w:top w:w="0" w:type="dxa"/>
            <w:left w:w="108" w:type="dxa"/>
            <w:bottom w:w="0" w:type="dxa"/>
            <w:right w:w="108" w:type="dxa"/>
          </w:tblCellMar>
        </w:tblPrEx>
        <w:trPr>
          <w:trHeight w:val="737" w:hRule="atLeast"/>
          <w:jc w:val="center"/>
        </w:trPr>
        <w:tc>
          <w:tcPr>
            <w:tcW w:w="2311" w:type="dxa"/>
            <w:vAlign w:val="center"/>
          </w:tcPr>
          <w:p w14:paraId="53C1BF56">
            <w:pPr>
              <w:ind w:right="-109" w:rightChars="-52"/>
              <w:jc w:val="distribute"/>
              <w:rPr>
                <w:rFonts w:ascii="仿宋" w:hAnsi="仿宋" w:eastAsia="仿宋" w:cs="仿宋"/>
                <w:color w:val="auto"/>
                <w:sz w:val="32"/>
                <w:szCs w:val="32"/>
                <w:highlight w:val="none"/>
              </w:rPr>
            </w:pPr>
            <w:bookmarkStart w:id="2" w:name="_Toc493956012"/>
            <w:bookmarkStart w:id="3" w:name="_Toc493928402"/>
            <w:r>
              <w:rPr>
                <w:rFonts w:hint="eastAsia" w:ascii="仿宋" w:hAnsi="仿宋" w:eastAsia="仿宋" w:cs="仿宋"/>
                <w:color w:val="auto"/>
                <w:sz w:val="32"/>
                <w:szCs w:val="32"/>
                <w:highlight w:val="none"/>
              </w:rPr>
              <w:t>项目编号：</w:t>
            </w:r>
            <w:bookmarkEnd w:id="2"/>
            <w:bookmarkEnd w:id="3"/>
          </w:p>
        </w:tc>
        <w:tc>
          <w:tcPr>
            <w:tcW w:w="5142" w:type="dxa"/>
            <w:vAlign w:val="center"/>
          </w:tcPr>
          <w:p w14:paraId="6D497C44">
            <w:pPr>
              <w:ind w:left="-103" w:leftChars="-49"/>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兴华招采(2025)</w:t>
            </w:r>
            <w:r>
              <w:rPr>
                <w:rFonts w:hint="eastAsia" w:ascii="仿宋" w:hAnsi="仿宋" w:eastAsia="仿宋" w:cs="仿宋"/>
                <w:color w:val="auto"/>
                <w:sz w:val="32"/>
                <w:szCs w:val="32"/>
                <w:highlight w:val="none"/>
                <w:lang w:val="en-US" w:eastAsia="zh-CN"/>
              </w:rPr>
              <w:t>46</w:t>
            </w:r>
            <w:r>
              <w:rPr>
                <w:rFonts w:hint="eastAsia" w:ascii="仿宋" w:hAnsi="仿宋" w:eastAsia="仿宋" w:cs="仿宋"/>
                <w:color w:val="auto"/>
                <w:sz w:val="32"/>
                <w:szCs w:val="32"/>
                <w:highlight w:val="none"/>
              </w:rPr>
              <w:t>号</w:t>
            </w:r>
          </w:p>
        </w:tc>
      </w:tr>
      <w:tr w14:paraId="6100E20C">
        <w:tblPrEx>
          <w:tblCellMar>
            <w:top w:w="0" w:type="dxa"/>
            <w:left w:w="108" w:type="dxa"/>
            <w:bottom w:w="0" w:type="dxa"/>
            <w:right w:w="108" w:type="dxa"/>
          </w:tblCellMar>
        </w:tblPrEx>
        <w:trPr>
          <w:trHeight w:val="722" w:hRule="atLeast"/>
          <w:jc w:val="center"/>
        </w:trPr>
        <w:tc>
          <w:tcPr>
            <w:tcW w:w="2311" w:type="dxa"/>
            <w:vAlign w:val="center"/>
          </w:tcPr>
          <w:p w14:paraId="1A19681F">
            <w:pPr>
              <w:ind w:right="-109" w:rightChars="-52"/>
              <w:jc w:val="distribute"/>
              <w:rPr>
                <w:rFonts w:ascii="仿宋" w:hAnsi="仿宋" w:eastAsia="仿宋" w:cs="仿宋"/>
                <w:color w:val="auto"/>
                <w:sz w:val="32"/>
                <w:szCs w:val="32"/>
                <w:highlight w:val="none"/>
              </w:rPr>
            </w:pPr>
            <w:bookmarkStart w:id="4" w:name="_Toc493956014"/>
            <w:bookmarkStart w:id="5" w:name="_Toc493928404"/>
            <w:r>
              <w:rPr>
                <w:rFonts w:hint="eastAsia" w:ascii="仿宋" w:hAnsi="仿宋" w:eastAsia="仿宋" w:cs="仿宋"/>
                <w:color w:val="auto"/>
                <w:sz w:val="32"/>
                <w:szCs w:val="32"/>
                <w:highlight w:val="none"/>
              </w:rPr>
              <w:t>项目名称：</w:t>
            </w:r>
            <w:bookmarkEnd w:id="4"/>
            <w:bookmarkEnd w:id="5"/>
          </w:p>
        </w:tc>
        <w:tc>
          <w:tcPr>
            <w:tcW w:w="5142" w:type="dxa"/>
            <w:vAlign w:val="center"/>
          </w:tcPr>
          <w:p w14:paraId="4204844C">
            <w:pPr>
              <w:ind w:left="-103" w:leftChars="-49"/>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2025年庆元县公共图书馆（城市书房、阅读驿站）图书购置项目</w:t>
            </w:r>
            <w:r>
              <w:rPr>
                <w:rFonts w:hint="eastAsia" w:ascii="仿宋" w:hAnsi="仿宋" w:eastAsia="仿宋" w:cs="仿宋"/>
                <w:color w:val="auto"/>
                <w:sz w:val="32"/>
                <w:szCs w:val="32"/>
                <w:highlight w:val="none"/>
              </w:rPr>
              <w:t xml:space="preserve"> </w:t>
            </w:r>
          </w:p>
        </w:tc>
      </w:tr>
      <w:tr w14:paraId="0192821F">
        <w:tblPrEx>
          <w:tblCellMar>
            <w:top w:w="0" w:type="dxa"/>
            <w:left w:w="108" w:type="dxa"/>
            <w:bottom w:w="0" w:type="dxa"/>
            <w:right w:w="108" w:type="dxa"/>
          </w:tblCellMar>
        </w:tblPrEx>
        <w:trPr>
          <w:trHeight w:val="724" w:hRule="atLeast"/>
          <w:jc w:val="center"/>
        </w:trPr>
        <w:tc>
          <w:tcPr>
            <w:tcW w:w="2311" w:type="dxa"/>
            <w:vAlign w:val="center"/>
          </w:tcPr>
          <w:p w14:paraId="4F907BEC">
            <w:pPr>
              <w:ind w:right="-109" w:rightChars="-52"/>
              <w:jc w:val="distribute"/>
              <w:rPr>
                <w:rFonts w:ascii="仿宋" w:hAnsi="仿宋" w:eastAsia="仿宋" w:cs="仿宋"/>
                <w:color w:val="auto"/>
                <w:sz w:val="32"/>
                <w:szCs w:val="32"/>
                <w:highlight w:val="none"/>
              </w:rPr>
            </w:pPr>
            <w:bookmarkStart w:id="6" w:name="_Toc493956016"/>
            <w:bookmarkStart w:id="7" w:name="_Toc493928406"/>
            <w:r>
              <w:rPr>
                <w:rFonts w:hint="eastAsia" w:ascii="仿宋" w:hAnsi="仿宋" w:eastAsia="仿宋" w:cs="仿宋"/>
                <w:color w:val="auto"/>
                <w:sz w:val="32"/>
                <w:szCs w:val="32"/>
                <w:highlight w:val="none"/>
              </w:rPr>
              <w:t>采 购 人：</w:t>
            </w:r>
            <w:bookmarkEnd w:id="6"/>
            <w:bookmarkEnd w:id="7"/>
          </w:p>
        </w:tc>
        <w:tc>
          <w:tcPr>
            <w:tcW w:w="5142" w:type="dxa"/>
            <w:vAlign w:val="center"/>
          </w:tcPr>
          <w:p w14:paraId="167BD066">
            <w:pPr>
              <w:ind w:left="-103" w:leftChars="-49"/>
              <w:jc w:val="left"/>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庆元县文化和广电旅游体育局</w:t>
            </w:r>
          </w:p>
        </w:tc>
      </w:tr>
      <w:tr w14:paraId="361BD1F1">
        <w:tblPrEx>
          <w:tblCellMar>
            <w:top w:w="0" w:type="dxa"/>
            <w:left w:w="108" w:type="dxa"/>
            <w:bottom w:w="0" w:type="dxa"/>
            <w:right w:w="108" w:type="dxa"/>
          </w:tblCellMar>
        </w:tblPrEx>
        <w:trPr>
          <w:trHeight w:val="737" w:hRule="atLeast"/>
          <w:jc w:val="center"/>
        </w:trPr>
        <w:tc>
          <w:tcPr>
            <w:tcW w:w="2311" w:type="dxa"/>
            <w:vAlign w:val="center"/>
          </w:tcPr>
          <w:p w14:paraId="51BEC223">
            <w:pPr>
              <w:ind w:right="-109" w:rightChars="-52"/>
              <w:jc w:val="distribute"/>
              <w:rPr>
                <w:rFonts w:ascii="仿宋" w:hAnsi="仿宋" w:eastAsia="仿宋" w:cs="仿宋"/>
                <w:color w:val="auto"/>
                <w:sz w:val="32"/>
                <w:szCs w:val="32"/>
                <w:highlight w:val="none"/>
              </w:rPr>
            </w:pPr>
          </w:p>
        </w:tc>
        <w:tc>
          <w:tcPr>
            <w:tcW w:w="5142" w:type="dxa"/>
            <w:vAlign w:val="center"/>
          </w:tcPr>
          <w:p w14:paraId="168A4439">
            <w:pPr>
              <w:ind w:left="-103" w:leftChars="-49"/>
              <w:jc w:val="left"/>
              <w:rPr>
                <w:rFonts w:ascii="仿宋" w:hAnsi="仿宋" w:eastAsia="仿宋" w:cs="仿宋"/>
                <w:color w:val="auto"/>
                <w:sz w:val="32"/>
                <w:szCs w:val="32"/>
                <w:highlight w:val="none"/>
              </w:rPr>
            </w:pPr>
          </w:p>
        </w:tc>
      </w:tr>
      <w:tr w14:paraId="72379E8E">
        <w:tblPrEx>
          <w:tblCellMar>
            <w:top w:w="0" w:type="dxa"/>
            <w:left w:w="108" w:type="dxa"/>
            <w:bottom w:w="0" w:type="dxa"/>
            <w:right w:w="108" w:type="dxa"/>
          </w:tblCellMar>
        </w:tblPrEx>
        <w:trPr>
          <w:trHeight w:val="737" w:hRule="atLeast"/>
          <w:jc w:val="center"/>
        </w:trPr>
        <w:tc>
          <w:tcPr>
            <w:tcW w:w="2311" w:type="dxa"/>
            <w:vAlign w:val="center"/>
          </w:tcPr>
          <w:p w14:paraId="33A115AE">
            <w:pPr>
              <w:ind w:right="-109" w:rightChars="-52"/>
              <w:jc w:val="distribute"/>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采购代理机构：</w:t>
            </w:r>
          </w:p>
        </w:tc>
        <w:tc>
          <w:tcPr>
            <w:tcW w:w="5142" w:type="dxa"/>
            <w:vAlign w:val="center"/>
          </w:tcPr>
          <w:p w14:paraId="3E5F8FC2">
            <w:pPr>
              <w:ind w:left="-103" w:leftChars="-49"/>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浙江丽水兴华工程管理有限公司</w:t>
            </w:r>
          </w:p>
        </w:tc>
      </w:tr>
      <w:tr w14:paraId="05E882FA">
        <w:tblPrEx>
          <w:tblCellMar>
            <w:top w:w="0" w:type="dxa"/>
            <w:left w:w="108" w:type="dxa"/>
            <w:bottom w:w="0" w:type="dxa"/>
            <w:right w:w="108" w:type="dxa"/>
          </w:tblCellMar>
        </w:tblPrEx>
        <w:trPr>
          <w:trHeight w:val="737" w:hRule="atLeast"/>
          <w:jc w:val="center"/>
        </w:trPr>
        <w:tc>
          <w:tcPr>
            <w:tcW w:w="2311" w:type="dxa"/>
            <w:vAlign w:val="center"/>
          </w:tcPr>
          <w:p w14:paraId="41FED539">
            <w:pPr>
              <w:ind w:right="-109" w:rightChars="-52"/>
              <w:jc w:val="distribute"/>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地        址：</w:t>
            </w:r>
          </w:p>
        </w:tc>
        <w:tc>
          <w:tcPr>
            <w:tcW w:w="5142" w:type="dxa"/>
            <w:vAlign w:val="center"/>
          </w:tcPr>
          <w:p w14:paraId="12D45F81">
            <w:pPr>
              <w:ind w:left="-103" w:leftChars="-49"/>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庆元县城南中路104号 </w:t>
            </w:r>
          </w:p>
        </w:tc>
      </w:tr>
      <w:tr w14:paraId="45E37D22">
        <w:tblPrEx>
          <w:tblCellMar>
            <w:top w:w="0" w:type="dxa"/>
            <w:left w:w="108" w:type="dxa"/>
            <w:bottom w:w="0" w:type="dxa"/>
            <w:right w:w="108" w:type="dxa"/>
          </w:tblCellMar>
        </w:tblPrEx>
        <w:trPr>
          <w:trHeight w:val="737" w:hRule="atLeast"/>
          <w:jc w:val="center"/>
        </w:trPr>
        <w:tc>
          <w:tcPr>
            <w:tcW w:w="2311" w:type="dxa"/>
            <w:vAlign w:val="center"/>
          </w:tcPr>
          <w:p w14:paraId="7A5D4F1E">
            <w:pPr>
              <w:ind w:right="-84" w:rightChars="-40"/>
              <w:rPr>
                <w:rFonts w:ascii="仿宋" w:hAnsi="仿宋" w:eastAsia="仿宋" w:cs="仿宋"/>
                <w:color w:val="auto"/>
                <w:sz w:val="32"/>
                <w:szCs w:val="32"/>
                <w:highlight w:val="none"/>
              </w:rPr>
            </w:pPr>
          </w:p>
        </w:tc>
        <w:tc>
          <w:tcPr>
            <w:tcW w:w="5142" w:type="dxa"/>
            <w:vAlign w:val="center"/>
          </w:tcPr>
          <w:p w14:paraId="7315659C">
            <w:pPr>
              <w:ind w:left="-103" w:leftChars="-49"/>
              <w:rPr>
                <w:rFonts w:ascii="仿宋" w:hAnsi="仿宋" w:eastAsia="仿宋" w:cs="仿宋"/>
                <w:color w:val="auto"/>
                <w:sz w:val="32"/>
                <w:szCs w:val="32"/>
                <w:highlight w:val="none"/>
              </w:rPr>
            </w:pPr>
          </w:p>
        </w:tc>
      </w:tr>
      <w:tr w14:paraId="6149EEDF">
        <w:tblPrEx>
          <w:tblCellMar>
            <w:top w:w="0" w:type="dxa"/>
            <w:left w:w="108" w:type="dxa"/>
            <w:bottom w:w="0" w:type="dxa"/>
            <w:right w:w="108" w:type="dxa"/>
          </w:tblCellMar>
        </w:tblPrEx>
        <w:trPr>
          <w:trHeight w:val="737" w:hRule="atLeast"/>
          <w:jc w:val="center"/>
        </w:trPr>
        <w:tc>
          <w:tcPr>
            <w:tcW w:w="7453" w:type="dxa"/>
            <w:gridSpan w:val="2"/>
            <w:vAlign w:val="center"/>
          </w:tcPr>
          <w:p w14:paraId="6C019DC0">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2025年</w:t>
            </w:r>
            <w:r>
              <w:rPr>
                <w:rFonts w:hint="eastAsia" w:ascii="仿宋" w:hAnsi="仿宋" w:eastAsia="仿宋" w:cs="仿宋"/>
                <w:color w:val="auto"/>
                <w:sz w:val="32"/>
                <w:szCs w:val="32"/>
                <w:highlight w:val="none"/>
                <w:lang w:val="en-US" w:eastAsia="zh-CN"/>
              </w:rPr>
              <w:t>6</w:t>
            </w:r>
            <w:r>
              <w:rPr>
                <w:rFonts w:hint="eastAsia" w:ascii="仿宋" w:hAnsi="仿宋" w:eastAsia="仿宋" w:cs="仿宋"/>
                <w:color w:val="auto"/>
                <w:sz w:val="32"/>
                <w:szCs w:val="32"/>
                <w:highlight w:val="none"/>
              </w:rPr>
              <w:t>月</w:t>
            </w:r>
          </w:p>
        </w:tc>
      </w:tr>
    </w:tbl>
    <w:p w14:paraId="797EEFC7">
      <w:pPr>
        <w:pStyle w:val="19"/>
        <w:spacing w:after="240"/>
        <w:rPr>
          <w:rFonts w:ascii="仿宋" w:hAnsi="仿宋" w:eastAsia="仿宋" w:cs="仿宋"/>
          <w:color w:val="auto"/>
          <w:highlight w:val="none"/>
        </w:rPr>
        <w:sectPr>
          <w:headerReference r:id="rId5" w:type="first"/>
          <w:footerReference r:id="rId7" w:type="first"/>
          <w:headerReference r:id="rId3" w:type="default"/>
          <w:headerReference r:id="rId4" w:type="even"/>
          <w:footerReference r:id="rId6" w:type="even"/>
          <w:pgSz w:w="11906" w:h="16838"/>
          <w:pgMar w:top="1440" w:right="1797" w:bottom="1440" w:left="1797" w:header="851" w:footer="851" w:gutter="0"/>
          <w:pgBorders>
            <w:top w:val="none" w:sz="0" w:space="0"/>
            <w:left w:val="none" w:sz="0" w:space="0"/>
            <w:bottom w:val="none" w:sz="0" w:space="0"/>
            <w:right w:val="none" w:sz="0" w:space="0"/>
          </w:pgBorders>
          <w:pgNumType w:start="1"/>
          <w:cols w:space="720" w:num="1"/>
          <w:docGrid w:linePitch="312" w:charSpace="0"/>
        </w:sectPr>
      </w:pPr>
    </w:p>
    <w:p w14:paraId="175D79D4">
      <w:pPr>
        <w:pStyle w:val="19"/>
        <w:spacing w:after="240"/>
        <w:rPr>
          <w:rFonts w:ascii="仿宋" w:hAnsi="仿宋" w:eastAsia="仿宋" w:cs="仿宋"/>
          <w:color w:val="auto"/>
          <w:highlight w:val="none"/>
        </w:rPr>
      </w:pPr>
      <w:bookmarkStart w:id="8" w:name="_Toc5149"/>
      <w:bookmarkStart w:id="9" w:name="_Toc13699"/>
      <w:bookmarkStart w:id="10" w:name="_Toc82682911"/>
      <w:bookmarkStart w:id="11" w:name="_Toc530551803"/>
      <w:bookmarkStart w:id="12" w:name="_Toc21021"/>
      <w:bookmarkStart w:id="13" w:name="_Toc14738"/>
      <w:bookmarkStart w:id="14" w:name="_Toc15532"/>
      <w:bookmarkStart w:id="15" w:name="_Toc2325"/>
      <w:bookmarkStart w:id="16" w:name="_Toc78290309"/>
      <w:bookmarkStart w:id="17" w:name="_Toc531358958"/>
      <w:bookmarkStart w:id="18" w:name="_Toc27944"/>
      <w:bookmarkStart w:id="19" w:name="_Toc19129"/>
      <w:bookmarkStart w:id="20" w:name="_Toc17253"/>
      <w:bookmarkStart w:id="21" w:name="_Toc20206"/>
      <w:bookmarkStart w:id="22" w:name="_Toc23857"/>
      <w:bookmarkStart w:id="23" w:name="_Toc11525"/>
      <w:bookmarkStart w:id="24" w:name="_Toc12059"/>
      <w:bookmarkStart w:id="25" w:name="_Toc12858"/>
      <w:bookmarkStart w:id="26" w:name="_Toc89950962"/>
      <w:bookmarkStart w:id="27" w:name="_Toc10764"/>
      <w:bookmarkStart w:id="28" w:name="_Toc5781"/>
      <w:bookmarkStart w:id="29" w:name="_Toc21327"/>
      <w:bookmarkStart w:id="30" w:name="_Toc18225"/>
      <w:bookmarkStart w:id="31" w:name="_Toc6732"/>
      <w:bookmarkStart w:id="32" w:name="_Toc13052"/>
      <w:bookmarkStart w:id="33" w:name="_Toc86677079"/>
      <w:bookmarkStart w:id="34" w:name="_Toc22792"/>
      <w:bookmarkStart w:id="35" w:name="_Toc1506"/>
      <w:bookmarkStart w:id="36" w:name="_Toc14650"/>
      <w:bookmarkStart w:id="37" w:name="_Toc22838"/>
      <w:bookmarkStart w:id="38" w:name="_Toc78212304"/>
      <w:bookmarkStart w:id="39" w:name="_Toc15156"/>
      <w:bookmarkStart w:id="40" w:name="_Toc16155"/>
      <w:r>
        <w:rPr>
          <w:rFonts w:hint="eastAsia" w:ascii="仿宋" w:hAnsi="仿宋" w:eastAsia="仿宋" w:cs="仿宋"/>
          <w:color w:val="auto"/>
          <w:highlight w:val="none"/>
        </w:rPr>
        <w:t>目  录</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Start w:id="41" w:name="_Toc69635410"/>
    </w:p>
    <w:p w14:paraId="7385B743">
      <w:pPr>
        <w:pStyle w:val="14"/>
        <w:tabs>
          <w:tab w:val="right" w:leader="dot" w:pos="8312"/>
          <w:tab w:val="clear" w:pos="9060"/>
        </w:tabs>
        <w:rPr>
          <w:rFonts w:ascii="仿宋" w:hAnsi="仿宋" w:eastAsia="仿宋" w:cs="仿宋"/>
          <w:b w:val="0"/>
          <w:color w:val="auto"/>
          <w:sz w:val="24"/>
          <w:szCs w:val="24"/>
          <w:highlight w:val="none"/>
        </w:rPr>
      </w:pPr>
    </w:p>
    <w:p w14:paraId="29AA4833">
      <w:pPr>
        <w:pStyle w:val="14"/>
        <w:tabs>
          <w:tab w:val="right" w:leader="dot" w:pos="8312"/>
          <w:tab w:val="clear" w:pos="9060"/>
        </w:tabs>
        <w:rPr>
          <w:color w:val="auto"/>
          <w:sz w:val="24"/>
          <w:szCs w:val="24"/>
          <w:highlight w:val="none"/>
        </w:rPr>
      </w:pPr>
      <w:r>
        <w:rPr>
          <w:rFonts w:hint="eastAsia" w:ascii="仿宋" w:hAnsi="仿宋" w:eastAsia="仿宋" w:cs="仿宋"/>
          <w:b w:val="0"/>
          <w:color w:val="auto"/>
          <w:sz w:val="24"/>
          <w:szCs w:val="24"/>
          <w:highlight w:val="none"/>
        </w:rPr>
        <w:fldChar w:fldCharType="begin"/>
      </w:r>
      <w:r>
        <w:rPr>
          <w:rFonts w:hint="eastAsia" w:ascii="仿宋" w:hAnsi="仿宋" w:eastAsia="仿宋" w:cs="仿宋"/>
          <w:b w:val="0"/>
          <w:color w:val="auto"/>
          <w:sz w:val="24"/>
          <w:szCs w:val="24"/>
          <w:highlight w:val="none"/>
        </w:rPr>
        <w:instrText xml:space="preserve"> TOC \o "1-3" \h \z \u </w:instrText>
      </w:r>
      <w:r>
        <w:rPr>
          <w:rFonts w:hint="eastAsia" w:ascii="仿宋" w:hAnsi="仿宋" w:eastAsia="仿宋" w:cs="仿宋"/>
          <w:b w:val="0"/>
          <w:color w:val="auto"/>
          <w:sz w:val="24"/>
          <w:szCs w:val="24"/>
          <w:highlight w:val="none"/>
        </w:rPr>
        <w:fldChar w:fldCharType="separate"/>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_Toc6217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第一章  竞争性磋商采购公告（邀请）</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_Toc6217 \h </w:instrText>
      </w:r>
      <w:r>
        <w:rPr>
          <w:color w:val="auto"/>
          <w:sz w:val="24"/>
          <w:szCs w:val="24"/>
          <w:highlight w:val="none"/>
        </w:rPr>
        <w:fldChar w:fldCharType="separate"/>
      </w:r>
      <w:r>
        <w:rPr>
          <w:color w:val="auto"/>
          <w:sz w:val="24"/>
          <w:szCs w:val="24"/>
          <w:highlight w:val="none"/>
        </w:rPr>
        <w:t>4</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1E7B2EC7">
      <w:pPr>
        <w:pStyle w:val="14"/>
        <w:tabs>
          <w:tab w:val="right" w:leader="dot" w:pos="8312"/>
          <w:tab w:val="clear" w:pos="9060"/>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_Toc12444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lang w:val="en-US" w:eastAsia="zh-CN"/>
        </w:rPr>
        <w:t xml:space="preserve">第二章 </w:t>
      </w:r>
      <w:r>
        <w:rPr>
          <w:rFonts w:hint="eastAsia" w:ascii="仿宋" w:hAnsi="仿宋" w:eastAsia="仿宋" w:cs="仿宋"/>
          <w:color w:val="auto"/>
          <w:sz w:val="24"/>
          <w:szCs w:val="24"/>
          <w:highlight w:val="none"/>
        </w:rPr>
        <w:t>采购需求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_Toc12444 \h </w:instrText>
      </w:r>
      <w:r>
        <w:rPr>
          <w:color w:val="auto"/>
          <w:sz w:val="24"/>
          <w:szCs w:val="24"/>
          <w:highlight w:val="none"/>
        </w:rPr>
        <w:fldChar w:fldCharType="separate"/>
      </w:r>
      <w:r>
        <w:rPr>
          <w:color w:val="auto"/>
          <w:sz w:val="24"/>
          <w:szCs w:val="24"/>
          <w:highlight w:val="none"/>
        </w:rPr>
        <w:t>7</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70149B4D">
      <w:pPr>
        <w:pStyle w:val="9"/>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_Toc20145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0"/>
          <w:w w:val="100"/>
          <w:kern w:val="2"/>
          <w:sz w:val="24"/>
          <w:szCs w:val="24"/>
          <w:highlight w:val="none"/>
        </w:rPr>
        <w:t xml:space="preserve">一、 </w:t>
      </w:r>
      <w:r>
        <w:rPr>
          <w:rFonts w:hint="eastAsia" w:ascii="仿宋" w:hAnsi="仿宋" w:eastAsia="仿宋" w:cs="仿宋"/>
          <w:color w:val="auto"/>
          <w:sz w:val="24"/>
          <w:szCs w:val="24"/>
          <w:highlight w:val="none"/>
        </w:rPr>
        <w:t>招标内容</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_Toc20145 \h </w:instrText>
      </w:r>
      <w:r>
        <w:rPr>
          <w:color w:val="auto"/>
          <w:sz w:val="24"/>
          <w:szCs w:val="24"/>
          <w:highlight w:val="none"/>
        </w:rPr>
        <w:fldChar w:fldCharType="separate"/>
      </w:r>
      <w:r>
        <w:rPr>
          <w:color w:val="auto"/>
          <w:sz w:val="24"/>
          <w:szCs w:val="24"/>
          <w:highlight w:val="none"/>
        </w:rPr>
        <w:t>7</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0794FD92">
      <w:pPr>
        <w:pStyle w:val="9"/>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_Toc29179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二、基本条件</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_Toc29179 \h </w:instrText>
      </w:r>
      <w:r>
        <w:rPr>
          <w:color w:val="auto"/>
          <w:sz w:val="24"/>
          <w:szCs w:val="24"/>
          <w:highlight w:val="none"/>
        </w:rPr>
        <w:fldChar w:fldCharType="separate"/>
      </w:r>
      <w:r>
        <w:rPr>
          <w:color w:val="auto"/>
          <w:sz w:val="24"/>
          <w:szCs w:val="24"/>
          <w:highlight w:val="none"/>
        </w:rPr>
        <w:t>7</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62DD4CB5">
      <w:pPr>
        <w:pStyle w:val="9"/>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_Toc14192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三、报价要求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_Toc14192 \h </w:instrText>
      </w:r>
      <w:r>
        <w:rPr>
          <w:color w:val="auto"/>
          <w:sz w:val="24"/>
          <w:szCs w:val="24"/>
          <w:highlight w:val="none"/>
        </w:rPr>
        <w:fldChar w:fldCharType="separate"/>
      </w:r>
      <w:r>
        <w:rPr>
          <w:color w:val="auto"/>
          <w:sz w:val="24"/>
          <w:szCs w:val="24"/>
          <w:highlight w:val="none"/>
        </w:rPr>
        <w:t>11</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379DFA0B">
      <w:pPr>
        <w:pStyle w:val="9"/>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_Toc8515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四、图书验收要求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_Toc8515 \h </w:instrText>
      </w:r>
      <w:r>
        <w:rPr>
          <w:color w:val="auto"/>
          <w:sz w:val="24"/>
          <w:szCs w:val="24"/>
          <w:highlight w:val="none"/>
        </w:rPr>
        <w:fldChar w:fldCharType="separate"/>
      </w:r>
      <w:r>
        <w:rPr>
          <w:color w:val="auto"/>
          <w:sz w:val="24"/>
          <w:szCs w:val="24"/>
          <w:highlight w:val="none"/>
        </w:rPr>
        <w:t>11</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109FC76F">
      <w:pPr>
        <w:pStyle w:val="9"/>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_Toc7329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五、货款结算方式及付款</w:t>
      </w:r>
      <w:bookmarkStart w:id="514" w:name="_GoBack"/>
      <w:bookmarkEnd w:id="514"/>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_Toc7329 \h </w:instrText>
      </w:r>
      <w:r>
        <w:rPr>
          <w:color w:val="auto"/>
          <w:sz w:val="24"/>
          <w:szCs w:val="24"/>
          <w:highlight w:val="none"/>
        </w:rPr>
        <w:fldChar w:fldCharType="separate"/>
      </w:r>
      <w:r>
        <w:rPr>
          <w:color w:val="auto"/>
          <w:sz w:val="24"/>
          <w:szCs w:val="24"/>
          <w:highlight w:val="none"/>
        </w:rPr>
        <w:t>12</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10D41360">
      <w:pPr>
        <w:pStyle w:val="9"/>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_Toc2484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六、供货时间和地点</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_Toc2484 \h </w:instrText>
      </w:r>
      <w:r>
        <w:rPr>
          <w:color w:val="auto"/>
          <w:sz w:val="24"/>
          <w:szCs w:val="24"/>
          <w:highlight w:val="none"/>
        </w:rPr>
        <w:fldChar w:fldCharType="separate"/>
      </w:r>
      <w:r>
        <w:rPr>
          <w:color w:val="auto"/>
          <w:sz w:val="24"/>
          <w:szCs w:val="24"/>
          <w:highlight w:val="none"/>
        </w:rPr>
        <w:t>12</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3F1AB662">
      <w:pPr>
        <w:pStyle w:val="9"/>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_Toc18406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0"/>
          <w:w w:val="100"/>
          <w:kern w:val="2"/>
          <w:sz w:val="24"/>
          <w:szCs w:val="24"/>
          <w:highlight w:val="none"/>
          <w:lang w:val="en-US" w:eastAsia="zh-CN"/>
        </w:rPr>
        <w:t>七、其他要求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_Toc18406 \h </w:instrText>
      </w:r>
      <w:r>
        <w:rPr>
          <w:color w:val="auto"/>
          <w:sz w:val="24"/>
          <w:szCs w:val="24"/>
          <w:highlight w:val="none"/>
        </w:rPr>
        <w:fldChar w:fldCharType="separate"/>
      </w:r>
      <w:r>
        <w:rPr>
          <w:color w:val="auto"/>
          <w:sz w:val="24"/>
          <w:szCs w:val="24"/>
          <w:highlight w:val="none"/>
        </w:rPr>
        <w:t>12</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37B30DC1">
      <w:pPr>
        <w:pStyle w:val="14"/>
        <w:tabs>
          <w:tab w:val="right" w:leader="dot" w:pos="8312"/>
          <w:tab w:val="clear" w:pos="9060"/>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_Toc21565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第三章  供应商须知</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_Toc21565 \h </w:instrText>
      </w:r>
      <w:r>
        <w:rPr>
          <w:color w:val="auto"/>
          <w:sz w:val="24"/>
          <w:szCs w:val="24"/>
          <w:highlight w:val="none"/>
        </w:rPr>
        <w:fldChar w:fldCharType="separate"/>
      </w:r>
      <w:r>
        <w:rPr>
          <w:color w:val="auto"/>
          <w:sz w:val="24"/>
          <w:szCs w:val="24"/>
          <w:highlight w:val="none"/>
        </w:rPr>
        <w:t>13</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2DFADEF5">
      <w:pPr>
        <w:pStyle w:val="17"/>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_Toc5349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供应商须知前附表（一）</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_Toc5349 \h </w:instrText>
      </w:r>
      <w:r>
        <w:rPr>
          <w:color w:val="auto"/>
          <w:sz w:val="24"/>
          <w:szCs w:val="24"/>
          <w:highlight w:val="none"/>
        </w:rPr>
        <w:fldChar w:fldCharType="separate"/>
      </w:r>
      <w:r>
        <w:rPr>
          <w:color w:val="auto"/>
          <w:sz w:val="24"/>
          <w:szCs w:val="24"/>
          <w:highlight w:val="none"/>
        </w:rPr>
        <w:t>13</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25D3EB24">
      <w:pPr>
        <w:pStyle w:val="17"/>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_Toc12951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供应商须知前附表（二）</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_Toc12951 \h </w:instrText>
      </w:r>
      <w:r>
        <w:rPr>
          <w:color w:val="auto"/>
          <w:sz w:val="24"/>
          <w:szCs w:val="24"/>
          <w:highlight w:val="none"/>
        </w:rPr>
        <w:fldChar w:fldCharType="separate"/>
      </w:r>
      <w:r>
        <w:rPr>
          <w:color w:val="auto"/>
          <w:sz w:val="24"/>
          <w:szCs w:val="24"/>
          <w:highlight w:val="none"/>
        </w:rPr>
        <w:t>15</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701CD78E">
      <w:pPr>
        <w:pStyle w:val="17"/>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_Toc18544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一    总则</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_Toc18544 \h </w:instrText>
      </w:r>
      <w:r>
        <w:rPr>
          <w:color w:val="auto"/>
          <w:sz w:val="24"/>
          <w:szCs w:val="24"/>
          <w:highlight w:val="none"/>
        </w:rPr>
        <w:fldChar w:fldCharType="separate"/>
      </w:r>
      <w:r>
        <w:rPr>
          <w:color w:val="auto"/>
          <w:sz w:val="24"/>
          <w:szCs w:val="24"/>
          <w:highlight w:val="none"/>
        </w:rPr>
        <w:t>16</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17488A47">
      <w:pPr>
        <w:pStyle w:val="9"/>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_Toc20551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1.1     适用范围</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_Toc20551 \h </w:instrText>
      </w:r>
      <w:r>
        <w:rPr>
          <w:color w:val="auto"/>
          <w:sz w:val="24"/>
          <w:szCs w:val="24"/>
          <w:highlight w:val="none"/>
        </w:rPr>
        <w:fldChar w:fldCharType="separate"/>
      </w:r>
      <w:r>
        <w:rPr>
          <w:color w:val="auto"/>
          <w:sz w:val="24"/>
          <w:szCs w:val="24"/>
          <w:highlight w:val="none"/>
        </w:rPr>
        <w:t>16</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5A6585D5">
      <w:pPr>
        <w:pStyle w:val="9"/>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_Toc23054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1.2     定义</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_Toc23054 \h </w:instrText>
      </w:r>
      <w:r>
        <w:rPr>
          <w:color w:val="auto"/>
          <w:sz w:val="24"/>
          <w:szCs w:val="24"/>
          <w:highlight w:val="none"/>
        </w:rPr>
        <w:fldChar w:fldCharType="separate"/>
      </w:r>
      <w:r>
        <w:rPr>
          <w:color w:val="auto"/>
          <w:sz w:val="24"/>
          <w:szCs w:val="24"/>
          <w:highlight w:val="none"/>
        </w:rPr>
        <w:t>16</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54A61060">
      <w:pPr>
        <w:pStyle w:val="9"/>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_Toc8319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1.3     供应商应具备资格条件</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_Toc8319 \h </w:instrText>
      </w:r>
      <w:r>
        <w:rPr>
          <w:color w:val="auto"/>
          <w:sz w:val="24"/>
          <w:szCs w:val="24"/>
          <w:highlight w:val="none"/>
        </w:rPr>
        <w:fldChar w:fldCharType="separate"/>
      </w:r>
      <w:r>
        <w:rPr>
          <w:color w:val="auto"/>
          <w:sz w:val="24"/>
          <w:szCs w:val="24"/>
          <w:highlight w:val="none"/>
        </w:rPr>
        <w:t>17</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6A0F175F">
      <w:pPr>
        <w:pStyle w:val="9"/>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_Toc2764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1.4     联合体</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_Toc2764 \h </w:instrText>
      </w:r>
      <w:r>
        <w:rPr>
          <w:color w:val="auto"/>
          <w:sz w:val="24"/>
          <w:szCs w:val="24"/>
          <w:highlight w:val="none"/>
        </w:rPr>
        <w:fldChar w:fldCharType="separate"/>
      </w:r>
      <w:r>
        <w:rPr>
          <w:color w:val="auto"/>
          <w:sz w:val="24"/>
          <w:szCs w:val="24"/>
          <w:highlight w:val="none"/>
        </w:rPr>
        <w:t>17</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12D32056">
      <w:pPr>
        <w:pStyle w:val="9"/>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_Toc6199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1.5     磋商响应文件的语言及计量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_Toc6199 \h </w:instrText>
      </w:r>
      <w:r>
        <w:rPr>
          <w:color w:val="auto"/>
          <w:sz w:val="24"/>
          <w:szCs w:val="24"/>
          <w:highlight w:val="none"/>
        </w:rPr>
        <w:fldChar w:fldCharType="separate"/>
      </w:r>
      <w:r>
        <w:rPr>
          <w:color w:val="auto"/>
          <w:sz w:val="24"/>
          <w:szCs w:val="24"/>
          <w:highlight w:val="none"/>
        </w:rPr>
        <w:t>17</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7D033642">
      <w:pPr>
        <w:pStyle w:val="9"/>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_Toc15218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1.6     磋商费用</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_Toc15218 \h </w:instrText>
      </w:r>
      <w:r>
        <w:rPr>
          <w:color w:val="auto"/>
          <w:sz w:val="24"/>
          <w:szCs w:val="24"/>
          <w:highlight w:val="none"/>
        </w:rPr>
        <w:fldChar w:fldCharType="separate"/>
      </w:r>
      <w:r>
        <w:rPr>
          <w:color w:val="auto"/>
          <w:sz w:val="24"/>
          <w:szCs w:val="24"/>
          <w:highlight w:val="none"/>
        </w:rPr>
        <w:t>17</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3162A433">
      <w:pPr>
        <w:pStyle w:val="9"/>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_Toc7677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1.7     现场踏勘</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_Toc7677 \h </w:instrText>
      </w:r>
      <w:r>
        <w:rPr>
          <w:color w:val="auto"/>
          <w:sz w:val="24"/>
          <w:szCs w:val="24"/>
          <w:highlight w:val="none"/>
        </w:rPr>
        <w:fldChar w:fldCharType="separate"/>
      </w:r>
      <w:r>
        <w:rPr>
          <w:color w:val="auto"/>
          <w:sz w:val="24"/>
          <w:szCs w:val="24"/>
          <w:highlight w:val="none"/>
        </w:rPr>
        <w:t>17</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4B38FB0A">
      <w:pPr>
        <w:pStyle w:val="9"/>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_Toc17815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1.8     答疑会</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_Toc17815 \h </w:instrText>
      </w:r>
      <w:r>
        <w:rPr>
          <w:color w:val="auto"/>
          <w:sz w:val="24"/>
          <w:szCs w:val="24"/>
          <w:highlight w:val="none"/>
        </w:rPr>
        <w:fldChar w:fldCharType="separate"/>
      </w:r>
      <w:r>
        <w:rPr>
          <w:color w:val="auto"/>
          <w:sz w:val="24"/>
          <w:szCs w:val="24"/>
          <w:highlight w:val="none"/>
        </w:rPr>
        <w:t>18</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63748760">
      <w:pPr>
        <w:pStyle w:val="9"/>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_Toc1351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1.9     分包</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_Toc1351 \h </w:instrText>
      </w:r>
      <w:r>
        <w:rPr>
          <w:color w:val="auto"/>
          <w:sz w:val="24"/>
          <w:szCs w:val="24"/>
          <w:highlight w:val="none"/>
        </w:rPr>
        <w:fldChar w:fldCharType="separate"/>
      </w:r>
      <w:r>
        <w:rPr>
          <w:color w:val="auto"/>
          <w:sz w:val="24"/>
          <w:szCs w:val="24"/>
          <w:highlight w:val="none"/>
        </w:rPr>
        <w:t>18</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4FF3D5FA">
      <w:pPr>
        <w:pStyle w:val="9"/>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_Toc30252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1.10    保密</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_Toc30252 \h </w:instrText>
      </w:r>
      <w:r>
        <w:rPr>
          <w:color w:val="auto"/>
          <w:sz w:val="24"/>
          <w:szCs w:val="24"/>
          <w:highlight w:val="none"/>
        </w:rPr>
        <w:fldChar w:fldCharType="separate"/>
      </w:r>
      <w:r>
        <w:rPr>
          <w:color w:val="auto"/>
          <w:sz w:val="24"/>
          <w:szCs w:val="24"/>
          <w:highlight w:val="none"/>
        </w:rPr>
        <w:t>18</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123CC6C2">
      <w:pPr>
        <w:pStyle w:val="9"/>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_Toc32110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1.11    政府采购政策</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_Toc32110 \h </w:instrText>
      </w:r>
      <w:r>
        <w:rPr>
          <w:color w:val="auto"/>
          <w:sz w:val="24"/>
          <w:szCs w:val="24"/>
          <w:highlight w:val="none"/>
        </w:rPr>
        <w:fldChar w:fldCharType="separate"/>
      </w:r>
      <w:r>
        <w:rPr>
          <w:color w:val="auto"/>
          <w:sz w:val="24"/>
          <w:szCs w:val="24"/>
          <w:highlight w:val="none"/>
        </w:rPr>
        <w:t>18</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636B0D06">
      <w:pPr>
        <w:pStyle w:val="9"/>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_Toc7089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1.12    信用信息记录查询</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_Toc7089 \h </w:instrText>
      </w:r>
      <w:r>
        <w:rPr>
          <w:color w:val="auto"/>
          <w:sz w:val="24"/>
          <w:szCs w:val="24"/>
          <w:highlight w:val="none"/>
        </w:rPr>
        <w:fldChar w:fldCharType="separate"/>
      </w:r>
      <w:r>
        <w:rPr>
          <w:color w:val="auto"/>
          <w:sz w:val="24"/>
          <w:szCs w:val="24"/>
          <w:highlight w:val="none"/>
        </w:rPr>
        <w:t>19</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3B259A9F">
      <w:pPr>
        <w:pStyle w:val="9"/>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_Toc1892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1.13    质疑和投诉</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_Toc1892 \h </w:instrText>
      </w:r>
      <w:r>
        <w:rPr>
          <w:color w:val="auto"/>
          <w:sz w:val="24"/>
          <w:szCs w:val="24"/>
          <w:highlight w:val="none"/>
        </w:rPr>
        <w:fldChar w:fldCharType="separate"/>
      </w:r>
      <w:r>
        <w:rPr>
          <w:color w:val="auto"/>
          <w:sz w:val="24"/>
          <w:szCs w:val="24"/>
          <w:highlight w:val="none"/>
        </w:rPr>
        <w:t>19</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7A241073">
      <w:pPr>
        <w:pStyle w:val="9"/>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_Toc32136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1.14    特别声明</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_Toc32136 \h </w:instrText>
      </w:r>
      <w:r>
        <w:rPr>
          <w:color w:val="auto"/>
          <w:sz w:val="24"/>
          <w:szCs w:val="24"/>
          <w:highlight w:val="none"/>
        </w:rPr>
        <w:fldChar w:fldCharType="separate"/>
      </w:r>
      <w:r>
        <w:rPr>
          <w:color w:val="auto"/>
          <w:sz w:val="24"/>
          <w:szCs w:val="24"/>
          <w:highlight w:val="none"/>
        </w:rPr>
        <w:t>20</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0AABFE94">
      <w:pPr>
        <w:pStyle w:val="17"/>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_Toc2388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二    磋商文件</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_Toc2388 \h </w:instrText>
      </w:r>
      <w:r>
        <w:rPr>
          <w:color w:val="auto"/>
          <w:sz w:val="24"/>
          <w:szCs w:val="24"/>
          <w:highlight w:val="none"/>
        </w:rPr>
        <w:fldChar w:fldCharType="separate"/>
      </w:r>
      <w:r>
        <w:rPr>
          <w:color w:val="auto"/>
          <w:sz w:val="24"/>
          <w:szCs w:val="24"/>
          <w:highlight w:val="none"/>
        </w:rPr>
        <w:t>21</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4F5C837B">
      <w:pPr>
        <w:pStyle w:val="9"/>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_Toc3452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2.1     磋商文件的组成</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_Toc3452 \h </w:instrText>
      </w:r>
      <w:r>
        <w:rPr>
          <w:color w:val="auto"/>
          <w:sz w:val="24"/>
          <w:szCs w:val="24"/>
          <w:highlight w:val="none"/>
        </w:rPr>
        <w:fldChar w:fldCharType="separate"/>
      </w:r>
      <w:r>
        <w:rPr>
          <w:color w:val="auto"/>
          <w:sz w:val="24"/>
          <w:szCs w:val="24"/>
          <w:highlight w:val="none"/>
        </w:rPr>
        <w:t>21</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48D86411">
      <w:pPr>
        <w:pStyle w:val="9"/>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_Toc29649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2.2     磋商文件的澄清、修改</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_Toc29649 \h </w:instrText>
      </w:r>
      <w:r>
        <w:rPr>
          <w:color w:val="auto"/>
          <w:sz w:val="24"/>
          <w:szCs w:val="24"/>
          <w:highlight w:val="none"/>
        </w:rPr>
        <w:fldChar w:fldCharType="separate"/>
      </w:r>
      <w:r>
        <w:rPr>
          <w:color w:val="auto"/>
          <w:sz w:val="24"/>
          <w:szCs w:val="24"/>
          <w:highlight w:val="none"/>
        </w:rPr>
        <w:t>21</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6B6B8081">
      <w:pPr>
        <w:pStyle w:val="17"/>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_Toc27674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三    磋商响应文件</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_Toc27674 \h </w:instrText>
      </w:r>
      <w:r>
        <w:rPr>
          <w:color w:val="auto"/>
          <w:sz w:val="24"/>
          <w:szCs w:val="24"/>
          <w:highlight w:val="none"/>
        </w:rPr>
        <w:fldChar w:fldCharType="separate"/>
      </w:r>
      <w:r>
        <w:rPr>
          <w:color w:val="auto"/>
          <w:sz w:val="24"/>
          <w:szCs w:val="24"/>
          <w:highlight w:val="none"/>
        </w:rPr>
        <w:t>21</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613748C1">
      <w:pPr>
        <w:pStyle w:val="9"/>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_Toc13907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3.1     磋商响应文件的形式和效力</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_Toc13907 \h </w:instrText>
      </w:r>
      <w:r>
        <w:rPr>
          <w:color w:val="auto"/>
          <w:sz w:val="24"/>
          <w:szCs w:val="24"/>
          <w:highlight w:val="none"/>
        </w:rPr>
        <w:fldChar w:fldCharType="separate"/>
      </w:r>
      <w:r>
        <w:rPr>
          <w:color w:val="auto"/>
          <w:sz w:val="24"/>
          <w:szCs w:val="24"/>
          <w:highlight w:val="none"/>
        </w:rPr>
        <w:t>21</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043C6FD0">
      <w:pPr>
        <w:pStyle w:val="9"/>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_Toc24469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3.2     在线磋商响应（电子投标）说明</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_Toc24469 \h </w:instrText>
      </w:r>
      <w:r>
        <w:rPr>
          <w:color w:val="auto"/>
          <w:sz w:val="24"/>
          <w:szCs w:val="24"/>
          <w:highlight w:val="none"/>
        </w:rPr>
        <w:fldChar w:fldCharType="separate"/>
      </w:r>
      <w:r>
        <w:rPr>
          <w:color w:val="auto"/>
          <w:sz w:val="24"/>
          <w:szCs w:val="24"/>
          <w:highlight w:val="none"/>
        </w:rPr>
        <w:t>22</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1D569BFA">
      <w:pPr>
        <w:pStyle w:val="9"/>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_Toc10363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3.3     磋商响应文件组成</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_Toc10363 \h </w:instrText>
      </w:r>
      <w:r>
        <w:rPr>
          <w:color w:val="auto"/>
          <w:sz w:val="24"/>
          <w:szCs w:val="24"/>
          <w:highlight w:val="none"/>
        </w:rPr>
        <w:fldChar w:fldCharType="separate"/>
      </w:r>
      <w:r>
        <w:rPr>
          <w:color w:val="auto"/>
          <w:sz w:val="24"/>
          <w:szCs w:val="24"/>
          <w:highlight w:val="none"/>
        </w:rPr>
        <w:t>22</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280CCE52">
      <w:pPr>
        <w:pStyle w:val="9"/>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_Toc10871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3.4     资格审查文件的组成</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_Toc10871 \h </w:instrText>
      </w:r>
      <w:r>
        <w:rPr>
          <w:color w:val="auto"/>
          <w:sz w:val="24"/>
          <w:szCs w:val="24"/>
          <w:highlight w:val="none"/>
        </w:rPr>
        <w:fldChar w:fldCharType="separate"/>
      </w:r>
      <w:r>
        <w:rPr>
          <w:color w:val="auto"/>
          <w:sz w:val="24"/>
          <w:szCs w:val="24"/>
          <w:highlight w:val="none"/>
        </w:rPr>
        <w:t>22</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5B5DE301">
      <w:pPr>
        <w:pStyle w:val="9"/>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_Toc20070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3.5     资信商务及技术文件的组成</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_Toc20070 \h </w:instrText>
      </w:r>
      <w:r>
        <w:rPr>
          <w:color w:val="auto"/>
          <w:sz w:val="24"/>
          <w:szCs w:val="24"/>
          <w:highlight w:val="none"/>
        </w:rPr>
        <w:fldChar w:fldCharType="separate"/>
      </w:r>
      <w:r>
        <w:rPr>
          <w:color w:val="auto"/>
          <w:sz w:val="24"/>
          <w:szCs w:val="24"/>
          <w:highlight w:val="none"/>
        </w:rPr>
        <w:t>23</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759E141C">
      <w:pPr>
        <w:pStyle w:val="9"/>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_Toc25889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3.6     报价文件的组成</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_Toc25889 \h </w:instrText>
      </w:r>
      <w:r>
        <w:rPr>
          <w:color w:val="auto"/>
          <w:sz w:val="24"/>
          <w:szCs w:val="24"/>
          <w:highlight w:val="none"/>
        </w:rPr>
        <w:fldChar w:fldCharType="separate"/>
      </w:r>
      <w:r>
        <w:rPr>
          <w:color w:val="auto"/>
          <w:sz w:val="24"/>
          <w:szCs w:val="24"/>
          <w:highlight w:val="none"/>
        </w:rPr>
        <w:t>23</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0029FAEF">
      <w:pPr>
        <w:pStyle w:val="17"/>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_Toc22726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四    磋商响应文件的编制</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_Toc22726 \h </w:instrText>
      </w:r>
      <w:r>
        <w:rPr>
          <w:color w:val="auto"/>
          <w:sz w:val="24"/>
          <w:szCs w:val="24"/>
          <w:highlight w:val="none"/>
        </w:rPr>
        <w:fldChar w:fldCharType="separate"/>
      </w:r>
      <w:r>
        <w:rPr>
          <w:color w:val="auto"/>
          <w:sz w:val="24"/>
          <w:szCs w:val="24"/>
          <w:highlight w:val="none"/>
        </w:rPr>
        <w:t>23</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68EA93CA">
      <w:pPr>
        <w:pStyle w:val="9"/>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_Toc22538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4.1     磋商响应文件编制</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_Toc22538 \h </w:instrText>
      </w:r>
      <w:r>
        <w:rPr>
          <w:color w:val="auto"/>
          <w:sz w:val="24"/>
          <w:szCs w:val="24"/>
          <w:highlight w:val="none"/>
        </w:rPr>
        <w:fldChar w:fldCharType="separate"/>
      </w:r>
      <w:r>
        <w:rPr>
          <w:color w:val="auto"/>
          <w:sz w:val="24"/>
          <w:szCs w:val="24"/>
          <w:highlight w:val="none"/>
        </w:rPr>
        <w:t>23</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2C3C7442">
      <w:pPr>
        <w:pStyle w:val="9"/>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_Toc1687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4.2     磋商报价要求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_Toc1687 \h </w:instrText>
      </w:r>
      <w:r>
        <w:rPr>
          <w:color w:val="auto"/>
          <w:sz w:val="24"/>
          <w:szCs w:val="24"/>
          <w:highlight w:val="none"/>
        </w:rPr>
        <w:fldChar w:fldCharType="separate"/>
      </w:r>
      <w:r>
        <w:rPr>
          <w:color w:val="auto"/>
          <w:sz w:val="24"/>
          <w:szCs w:val="24"/>
          <w:highlight w:val="none"/>
        </w:rPr>
        <w:t>23</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7167C57D">
      <w:pPr>
        <w:pStyle w:val="9"/>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_Toc1298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4.3     磋商有效期</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_Toc1298 \h </w:instrText>
      </w:r>
      <w:r>
        <w:rPr>
          <w:color w:val="auto"/>
          <w:sz w:val="24"/>
          <w:szCs w:val="24"/>
          <w:highlight w:val="none"/>
        </w:rPr>
        <w:fldChar w:fldCharType="separate"/>
      </w:r>
      <w:r>
        <w:rPr>
          <w:color w:val="auto"/>
          <w:sz w:val="24"/>
          <w:szCs w:val="24"/>
          <w:highlight w:val="none"/>
        </w:rPr>
        <w:t>23</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569BC91A">
      <w:pPr>
        <w:pStyle w:val="9"/>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_Toc32172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4.4     磋商响应文件格式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_Toc32172 \h </w:instrText>
      </w:r>
      <w:r>
        <w:rPr>
          <w:color w:val="auto"/>
          <w:sz w:val="24"/>
          <w:szCs w:val="24"/>
          <w:highlight w:val="none"/>
        </w:rPr>
        <w:fldChar w:fldCharType="separate"/>
      </w:r>
      <w:r>
        <w:rPr>
          <w:color w:val="auto"/>
          <w:sz w:val="24"/>
          <w:szCs w:val="24"/>
          <w:highlight w:val="none"/>
        </w:rPr>
        <w:t>23</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601AE025">
      <w:pPr>
        <w:pStyle w:val="9"/>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_Toc16494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4.5     磋商响应文件份数及签署</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_Toc16494 \h </w:instrText>
      </w:r>
      <w:r>
        <w:rPr>
          <w:color w:val="auto"/>
          <w:sz w:val="24"/>
          <w:szCs w:val="24"/>
          <w:highlight w:val="none"/>
        </w:rPr>
        <w:fldChar w:fldCharType="separate"/>
      </w:r>
      <w:r>
        <w:rPr>
          <w:color w:val="auto"/>
          <w:sz w:val="24"/>
          <w:szCs w:val="24"/>
          <w:highlight w:val="none"/>
        </w:rPr>
        <w:t>24</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2DB763CD">
      <w:pPr>
        <w:pStyle w:val="17"/>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_Toc6245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五    磋商响应文件的提交</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_Toc6245 \h </w:instrText>
      </w:r>
      <w:r>
        <w:rPr>
          <w:color w:val="auto"/>
          <w:sz w:val="24"/>
          <w:szCs w:val="24"/>
          <w:highlight w:val="none"/>
        </w:rPr>
        <w:fldChar w:fldCharType="separate"/>
      </w:r>
      <w:r>
        <w:rPr>
          <w:color w:val="auto"/>
          <w:sz w:val="24"/>
          <w:szCs w:val="24"/>
          <w:highlight w:val="none"/>
        </w:rPr>
        <w:t>24</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680EEFF5">
      <w:pPr>
        <w:pStyle w:val="9"/>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_Toc32248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5.1     磋商响应文件导入和加密</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_Toc32248 \h </w:instrText>
      </w:r>
      <w:r>
        <w:rPr>
          <w:color w:val="auto"/>
          <w:sz w:val="24"/>
          <w:szCs w:val="24"/>
          <w:highlight w:val="none"/>
        </w:rPr>
        <w:fldChar w:fldCharType="separate"/>
      </w:r>
      <w:r>
        <w:rPr>
          <w:color w:val="auto"/>
          <w:sz w:val="24"/>
          <w:szCs w:val="24"/>
          <w:highlight w:val="none"/>
        </w:rPr>
        <w:t>24</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136EC916">
      <w:pPr>
        <w:pStyle w:val="9"/>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_Toc23114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5.2     磋商响应文件的提交</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_Toc23114 \h </w:instrText>
      </w:r>
      <w:r>
        <w:rPr>
          <w:color w:val="auto"/>
          <w:sz w:val="24"/>
          <w:szCs w:val="24"/>
          <w:highlight w:val="none"/>
        </w:rPr>
        <w:fldChar w:fldCharType="separate"/>
      </w:r>
      <w:r>
        <w:rPr>
          <w:color w:val="auto"/>
          <w:sz w:val="24"/>
          <w:szCs w:val="24"/>
          <w:highlight w:val="none"/>
        </w:rPr>
        <w:t>24</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71370414">
      <w:pPr>
        <w:pStyle w:val="9"/>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_Toc24033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5.3     磋商响应文件修改和撤回</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_Toc24033 \h </w:instrText>
      </w:r>
      <w:r>
        <w:rPr>
          <w:color w:val="auto"/>
          <w:sz w:val="24"/>
          <w:szCs w:val="24"/>
          <w:highlight w:val="none"/>
        </w:rPr>
        <w:fldChar w:fldCharType="separate"/>
      </w:r>
      <w:r>
        <w:rPr>
          <w:color w:val="auto"/>
          <w:sz w:val="24"/>
          <w:szCs w:val="24"/>
          <w:highlight w:val="none"/>
        </w:rPr>
        <w:t>24</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2395FCF1">
      <w:pPr>
        <w:pStyle w:val="9"/>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_Toc2664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5.4     备选磋商方案</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_Toc2664 \h </w:instrText>
      </w:r>
      <w:r>
        <w:rPr>
          <w:color w:val="auto"/>
          <w:sz w:val="24"/>
          <w:szCs w:val="24"/>
          <w:highlight w:val="none"/>
        </w:rPr>
        <w:fldChar w:fldCharType="separate"/>
      </w:r>
      <w:r>
        <w:rPr>
          <w:color w:val="auto"/>
          <w:sz w:val="24"/>
          <w:szCs w:val="24"/>
          <w:highlight w:val="none"/>
        </w:rPr>
        <w:t>24</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524580E5">
      <w:pPr>
        <w:pStyle w:val="9"/>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_Toc7194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color w:val="auto"/>
          <w:sz w:val="24"/>
          <w:szCs w:val="24"/>
          <w:highlight w:val="none"/>
        </w:rPr>
        <w:t>5.5     磋商诚实信用</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_Toc7194 \h </w:instrText>
      </w:r>
      <w:r>
        <w:rPr>
          <w:color w:val="auto"/>
          <w:sz w:val="24"/>
          <w:szCs w:val="24"/>
          <w:highlight w:val="none"/>
        </w:rPr>
        <w:fldChar w:fldCharType="separate"/>
      </w:r>
      <w:r>
        <w:rPr>
          <w:color w:val="auto"/>
          <w:sz w:val="24"/>
          <w:szCs w:val="24"/>
          <w:highlight w:val="none"/>
        </w:rPr>
        <w:t>25</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425DAE8B">
      <w:pPr>
        <w:pStyle w:val="17"/>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_Toc10654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六    开标、资格审查、磋商和评审</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_Toc10654 \h </w:instrText>
      </w:r>
      <w:r>
        <w:rPr>
          <w:color w:val="auto"/>
          <w:sz w:val="24"/>
          <w:szCs w:val="24"/>
          <w:highlight w:val="none"/>
        </w:rPr>
        <w:fldChar w:fldCharType="separate"/>
      </w:r>
      <w:r>
        <w:rPr>
          <w:color w:val="auto"/>
          <w:sz w:val="24"/>
          <w:szCs w:val="24"/>
          <w:highlight w:val="none"/>
        </w:rPr>
        <w:t>25</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085FC976">
      <w:pPr>
        <w:pStyle w:val="9"/>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_Toc24566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6.1     开标</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_Toc24566 \h </w:instrText>
      </w:r>
      <w:r>
        <w:rPr>
          <w:color w:val="auto"/>
          <w:sz w:val="24"/>
          <w:szCs w:val="24"/>
          <w:highlight w:val="none"/>
        </w:rPr>
        <w:fldChar w:fldCharType="separate"/>
      </w:r>
      <w:r>
        <w:rPr>
          <w:color w:val="auto"/>
          <w:sz w:val="24"/>
          <w:szCs w:val="24"/>
          <w:highlight w:val="none"/>
        </w:rPr>
        <w:t>25</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67BB2153">
      <w:pPr>
        <w:pStyle w:val="9"/>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_Toc27704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6.2     资格审查</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_Toc27704 \h </w:instrText>
      </w:r>
      <w:r>
        <w:rPr>
          <w:color w:val="auto"/>
          <w:sz w:val="24"/>
          <w:szCs w:val="24"/>
          <w:highlight w:val="none"/>
        </w:rPr>
        <w:fldChar w:fldCharType="separate"/>
      </w:r>
      <w:r>
        <w:rPr>
          <w:color w:val="auto"/>
          <w:sz w:val="24"/>
          <w:szCs w:val="24"/>
          <w:highlight w:val="none"/>
        </w:rPr>
        <w:t>26</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0A410246">
      <w:pPr>
        <w:pStyle w:val="9"/>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_Toc5574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6.3     磋商和评审</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_Toc5574 \h </w:instrText>
      </w:r>
      <w:r>
        <w:rPr>
          <w:color w:val="auto"/>
          <w:sz w:val="24"/>
          <w:szCs w:val="24"/>
          <w:highlight w:val="none"/>
        </w:rPr>
        <w:fldChar w:fldCharType="separate"/>
      </w:r>
      <w:r>
        <w:rPr>
          <w:color w:val="auto"/>
          <w:sz w:val="24"/>
          <w:szCs w:val="24"/>
          <w:highlight w:val="none"/>
        </w:rPr>
        <w:t>27</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115ABEFC">
      <w:pPr>
        <w:pStyle w:val="9"/>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_Toc22927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6.4     磋商响应文件的澄清、说明或补正</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_Toc22927 \h </w:instrText>
      </w:r>
      <w:r>
        <w:rPr>
          <w:color w:val="auto"/>
          <w:sz w:val="24"/>
          <w:szCs w:val="24"/>
          <w:highlight w:val="none"/>
        </w:rPr>
        <w:fldChar w:fldCharType="separate"/>
      </w:r>
      <w:r>
        <w:rPr>
          <w:color w:val="auto"/>
          <w:sz w:val="24"/>
          <w:szCs w:val="24"/>
          <w:highlight w:val="none"/>
        </w:rPr>
        <w:t>29</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3BAA4CDD">
      <w:pPr>
        <w:pStyle w:val="9"/>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_Toc2698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6.5     报价错误修正</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_Toc2698 \h </w:instrText>
      </w:r>
      <w:r>
        <w:rPr>
          <w:color w:val="auto"/>
          <w:sz w:val="24"/>
          <w:szCs w:val="24"/>
          <w:highlight w:val="none"/>
        </w:rPr>
        <w:fldChar w:fldCharType="separate"/>
      </w:r>
      <w:r>
        <w:rPr>
          <w:color w:val="auto"/>
          <w:sz w:val="24"/>
          <w:szCs w:val="24"/>
          <w:highlight w:val="none"/>
        </w:rPr>
        <w:t>29</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65BCE5A9">
      <w:pPr>
        <w:pStyle w:val="9"/>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_Toc2442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6.6     评审报告</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_Toc2442 \h </w:instrText>
      </w:r>
      <w:r>
        <w:rPr>
          <w:color w:val="auto"/>
          <w:sz w:val="24"/>
          <w:szCs w:val="24"/>
          <w:highlight w:val="none"/>
        </w:rPr>
        <w:fldChar w:fldCharType="separate"/>
      </w:r>
      <w:r>
        <w:rPr>
          <w:color w:val="auto"/>
          <w:sz w:val="24"/>
          <w:szCs w:val="24"/>
          <w:highlight w:val="none"/>
        </w:rPr>
        <w:t>30</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0AB7A0C1">
      <w:pPr>
        <w:pStyle w:val="17"/>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_Toc485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七    响应无效的情形</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_Toc485 \h </w:instrText>
      </w:r>
      <w:r>
        <w:rPr>
          <w:color w:val="auto"/>
          <w:sz w:val="24"/>
          <w:szCs w:val="24"/>
          <w:highlight w:val="none"/>
        </w:rPr>
        <w:fldChar w:fldCharType="separate"/>
      </w:r>
      <w:r>
        <w:rPr>
          <w:color w:val="auto"/>
          <w:sz w:val="24"/>
          <w:szCs w:val="24"/>
          <w:highlight w:val="none"/>
        </w:rPr>
        <w:t>30</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10B80A97">
      <w:pPr>
        <w:pStyle w:val="9"/>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_Toc30509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7.1     在开标时，如发现有以下情形之一的，其响应无效</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_Toc30509 \h </w:instrText>
      </w:r>
      <w:r>
        <w:rPr>
          <w:color w:val="auto"/>
          <w:sz w:val="24"/>
          <w:szCs w:val="24"/>
          <w:highlight w:val="none"/>
        </w:rPr>
        <w:fldChar w:fldCharType="separate"/>
      </w:r>
      <w:r>
        <w:rPr>
          <w:color w:val="auto"/>
          <w:sz w:val="24"/>
          <w:szCs w:val="24"/>
          <w:highlight w:val="none"/>
        </w:rPr>
        <w:t>30</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398EDF67">
      <w:pPr>
        <w:pStyle w:val="9"/>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_Toc248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7.2     在符合性审查时，如发现下列情形之一的，其响应无效</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_Toc248 \h </w:instrText>
      </w:r>
      <w:r>
        <w:rPr>
          <w:color w:val="auto"/>
          <w:sz w:val="24"/>
          <w:szCs w:val="24"/>
          <w:highlight w:val="none"/>
        </w:rPr>
        <w:fldChar w:fldCharType="separate"/>
      </w:r>
      <w:r>
        <w:rPr>
          <w:color w:val="auto"/>
          <w:sz w:val="24"/>
          <w:szCs w:val="24"/>
          <w:highlight w:val="none"/>
        </w:rPr>
        <w:t>30</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21E02B2A">
      <w:pPr>
        <w:pStyle w:val="9"/>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_Toc22684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7.3     在资信商务技术评审时，如发现下列情形之一的，其响应无效</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_Toc22684 \h </w:instrText>
      </w:r>
      <w:r>
        <w:rPr>
          <w:color w:val="auto"/>
          <w:sz w:val="24"/>
          <w:szCs w:val="24"/>
          <w:highlight w:val="none"/>
        </w:rPr>
        <w:fldChar w:fldCharType="separate"/>
      </w:r>
      <w:r>
        <w:rPr>
          <w:color w:val="auto"/>
          <w:sz w:val="24"/>
          <w:szCs w:val="24"/>
          <w:highlight w:val="none"/>
        </w:rPr>
        <w:t>30</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63C5CC31">
      <w:pPr>
        <w:pStyle w:val="9"/>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_Toc7378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7.4     在报价评审时，如发现下列情形之一的，其响应无效</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_Toc7378 \h </w:instrText>
      </w:r>
      <w:r>
        <w:rPr>
          <w:color w:val="auto"/>
          <w:sz w:val="24"/>
          <w:szCs w:val="24"/>
          <w:highlight w:val="none"/>
        </w:rPr>
        <w:fldChar w:fldCharType="separate"/>
      </w:r>
      <w:r>
        <w:rPr>
          <w:color w:val="auto"/>
          <w:sz w:val="24"/>
          <w:szCs w:val="24"/>
          <w:highlight w:val="none"/>
        </w:rPr>
        <w:t>31</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05356702">
      <w:pPr>
        <w:pStyle w:val="9"/>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_Toc12347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7.5     如有下列情形之一的，其响应无效</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_Toc12347 \h </w:instrText>
      </w:r>
      <w:r>
        <w:rPr>
          <w:color w:val="auto"/>
          <w:sz w:val="24"/>
          <w:szCs w:val="24"/>
          <w:highlight w:val="none"/>
        </w:rPr>
        <w:fldChar w:fldCharType="separate"/>
      </w:r>
      <w:r>
        <w:rPr>
          <w:color w:val="auto"/>
          <w:sz w:val="24"/>
          <w:szCs w:val="24"/>
          <w:highlight w:val="none"/>
        </w:rPr>
        <w:t>31</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702740DD">
      <w:pPr>
        <w:pStyle w:val="17"/>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_Toc20881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八    成交和合同</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_Toc20881 \h </w:instrText>
      </w:r>
      <w:r>
        <w:rPr>
          <w:color w:val="auto"/>
          <w:sz w:val="24"/>
          <w:szCs w:val="24"/>
          <w:highlight w:val="none"/>
        </w:rPr>
        <w:fldChar w:fldCharType="separate"/>
      </w:r>
      <w:r>
        <w:rPr>
          <w:color w:val="auto"/>
          <w:sz w:val="24"/>
          <w:szCs w:val="24"/>
          <w:highlight w:val="none"/>
        </w:rPr>
        <w:t>32</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7B808611">
      <w:pPr>
        <w:pStyle w:val="9"/>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_Toc10196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8.1     成交</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_Toc10196 \h </w:instrText>
      </w:r>
      <w:r>
        <w:rPr>
          <w:color w:val="auto"/>
          <w:sz w:val="24"/>
          <w:szCs w:val="24"/>
          <w:highlight w:val="none"/>
        </w:rPr>
        <w:fldChar w:fldCharType="separate"/>
      </w:r>
      <w:r>
        <w:rPr>
          <w:color w:val="auto"/>
          <w:sz w:val="24"/>
          <w:szCs w:val="24"/>
          <w:highlight w:val="none"/>
        </w:rPr>
        <w:t>32</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7F176442">
      <w:pPr>
        <w:pStyle w:val="9"/>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_Toc20333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8.2     成交公告和成交通知书</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_Toc20333 \h </w:instrText>
      </w:r>
      <w:r>
        <w:rPr>
          <w:color w:val="auto"/>
          <w:sz w:val="24"/>
          <w:szCs w:val="24"/>
          <w:highlight w:val="none"/>
        </w:rPr>
        <w:fldChar w:fldCharType="separate"/>
      </w:r>
      <w:r>
        <w:rPr>
          <w:color w:val="auto"/>
          <w:sz w:val="24"/>
          <w:szCs w:val="24"/>
          <w:highlight w:val="none"/>
        </w:rPr>
        <w:t>32</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3C5E1E9F">
      <w:pPr>
        <w:pStyle w:val="9"/>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_Toc3563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8.3     履约保证金</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_Toc3563 \h </w:instrText>
      </w:r>
      <w:r>
        <w:rPr>
          <w:color w:val="auto"/>
          <w:sz w:val="24"/>
          <w:szCs w:val="24"/>
          <w:highlight w:val="none"/>
        </w:rPr>
        <w:fldChar w:fldCharType="separate"/>
      </w:r>
      <w:r>
        <w:rPr>
          <w:color w:val="auto"/>
          <w:sz w:val="24"/>
          <w:szCs w:val="24"/>
          <w:highlight w:val="none"/>
        </w:rPr>
        <w:t>32</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3B6CE139">
      <w:pPr>
        <w:pStyle w:val="9"/>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_Toc21830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8.4     合同</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_Toc21830 \h </w:instrText>
      </w:r>
      <w:r>
        <w:rPr>
          <w:color w:val="auto"/>
          <w:sz w:val="24"/>
          <w:szCs w:val="24"/>
          <w:highlight w:val="none"/>
        </w:rPr>
        <w:fldChar w:fldCharType="separate"/>
      </w:r>
      <w:r>
        <w:rPr>
          <w:color w:val="auto"/>
          <w:sz w:val="24"/>
          <w:szCs w:val="24"/>
          <w:highlight w:val="none"/>
        </w:rPr>
        <w:t>33</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0A08C9F5">
      <w:pPr>
        <w:pStyle w:val="17"/>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_Toc20132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九    其他事项</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_Toc20132 \h </w:instrText>
      </w:r>
      <w:r>
        <w:rPr>
          <w:color w:val="auto"/>
          <w:sz w:val="24"/>
          <w:szCs w:val="24"/>
          <w:highlight w:val="none"/>
        </w:rPr>
        <w:fldChar w:fldCharType="separate"/>
      </w:r>
      <w:r>
        <w:rPr>
          <w:color w:val="auto"/>
          <w:sz w:val="24"/>
          <w:szCs w:val="24"/>
          <w:highlight w:val="none"/>
        </w:rPr>
        <w:t>33</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3588FB7A">
      <w:pPr>
        <w:pStyle w:val="9"/>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_Toc11371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9.1     解释权</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_Toc11371 \h </w:instrText>
      </w:r>
      <w:r>
        <w:rPr>
          <w:color w:val="auto"/>
          <w:sz w:val="24"/>
          <w:szCs w:val="24"/>
          <w:highlight w:val="none"/>
        </w:rPr>
        <w:fldChar w:fldCharType="separate"/>
      </w:r>
      <w:r>
        <w:rPr>
          <w:color w:val="auto"/>
          <w:sz w:val="24"/>
          <w:szCs w:val="24"/>
          <w:highlight w:val="none"/>
        </w:rPr>
        <w:t>33</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4FC37E16">
      <w:pPr>
        <w:pStyle w:val="9"/>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_Toc19688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9.2     采购代理服务费</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_Toc19688 \h </w:instrText>
      </w:r>
      <w:r>
        <w:rPr>
          <w:color w:val="auto"/>
          <w:sz w:val="24"/>
          <w:szCs w:val="24"/>
          <w:highlight w:val="none"/>
        </w:rPr>
        <w:fldChar w:fldCharType="separate"/>
      </w:r>
      <w:r>
        <w:rPr>
          <w:color w:val="auto"/>
          <w:sz w:val="24"/>
          <w:szCs w:val="24"/>
          <w:highlight w:val="none"/>
        </w:rPr>
        <w:t>33</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68393756">
      <w:pPr>
        <w:pStyle w:val="14"/>
        <w:tabs>
          <w:tab w:val="right" w:leader="dot" w:pos="8312"/>
          <w:tab w:val="clear" w:pos="9060"/>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_Toc14248 </w:instrText>
      </w:r>
      <w:r>
        <w:rPr>
          <w:rFonts w:hint="eastAsia" w:ascii="仿宋" w:hAnsi="仿宋" w:eastAsia="仿宋" w:cs="仿宋"/>
          <w:color w:val="auto"/>
          <w:sz w:val="24"/>
          <w:szCs w:val="24"/>
          <w:highlight w:val="none"/>
        </w:rPr>
        <w:fldChar w:fldCharType="separate"/>
      </w:r>
      <w:r>
        <w:rPr>
          <w:rFonts w:hint="eastAsia" w:ascii="仿宋" w:hAnsi="仿宋" w:eastAsia="仿宋"/>
          <w:color w:val="auto"/>
          <w:sz w:val="24"/>
          <w:szCs w:val="24"/>
          <w:highlight w:val="none"/>
        </w:rPr>
        <w:t>第四章  合同格式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_Toc14248 \h </w:instrText>
      </w:r>
      <w:r>
        <w:rPr>
          <w:color w:val="auto"/>
          <w:sz w:val="24"/>
          <w:szCs w:val="24"/>
          <w:highlight w:val="none"/>
        </w:rPr>
        <w:fldChar w:fldCharType="separate"/>
      </w:r>
      <w:r>
        <w:rPr>
          <w:color w:val="auto"/>
          <w:sz w:val="24"/>
          <w:szCs w:val="24"/>
          <w:highlight w:val="none"/>
        </w:rPr>
        <w:t>34</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5335AE3B">
      <w:pPr>
        <w:pStyle w:val="14"/>
        <w:tabs>
          <w:tab w:val="right" w:leader="dot" w:pos="8312"/>
          <w:tab w:val="clear" w:pos="9060"/>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_Toc26032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第五章  磋商响应文件格式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_Toc26032 \h </w:instrText>
      </w:r>
      <w:r>
        <w:rPr>
          <w:color w:val="auto"/>
          <w:sz w:val="24"/>
          <w:szCs w:val="24"/>
          <w:highlight w:val="none"/>
        </w:rPr>
        <w:fldChar w:fldCharType="separate"/>
      </w:r>
      <w:r>
        <w:rPr>
          <w:color w:val="auto"/>
          <w:sz w:val="24"/>
          <w:szCs w:val="24"/>
          <w:highlight w:val="none"/>
        </w:rPr>
        <w:t>42</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49B71524">
      <w:pPr>
        <w:pStyle w:val="17"/>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_Toc22512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一  资格审查文件格式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_Toc22512 \h </w:instrText>
      </w:r>
      <w:r>
        <w:rPr>
          <w:color w:val="auto"/>
          <w:sz w:val="24"/>
          <w:szCs w:val="24"/>
          <w:highlight w:val="none"/>
        </w:rPr>
        <w:fldChar w:fldCharType="separate"/>
      </w:r>
      <w:r>
        <w:rPr>
          <w:color w:val="auto"/>
          <w:sz w:val="24"/>
          <w:szCs w:val="24"/>
          <w:highlight w:val="none"/>
        </w:rPr>
        <w:t>42</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59CBCE1A">
      <w:pPr>
        <w:pStyle w:val="9"/>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_Toc30361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1.1    资格审查文件封面格式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_Toc30361 \h </w:instrText>
      </w:r>
      <w:r>
        <w:rPr>
          <w:color w:val="auto"/>
          <w:sz w:val="24"/>
          <w:szCs w:val="24"/>
          <w:highlight w:val="none"/>
        </w:rPr>
        <w:fldChar w:fldCharType="separate"/>
      </w:r>
      <w:r>
        <w:rPr>
          <w:color w:val="auto"/>
          <w:sz w:val="24"/>
          <w:szCs w:val="24"/>
          <w:highlight w:val="none"/>
        </w:rPr>
        <w:t>42</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2D8398FA">
      <w:pPr>
        <w:pStyle w:val="9"/>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_Toc15123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1.2    资格审查文件目录</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_Toc15123 \h </w:instrText>
      </w:r>
      <w:r>
        <w:rPr>
          <w:color w:val="auto"/>
          <w:sz w:val="24"/>
          <w:szCs w:val="24"/>
          <w:highlight w:val="none"/>
        </w:rPr>
        <w:fldChar w:fldCharType="separate"/>
      </w:r>
      <w:r>
        <w:rPr>
          <w:color w:val="auto"/>
          <w:sz w:val="24"/>
          <w:szCs w:val="24"/>
          <w:highlight w:val="none"/>
        </w:rPr>
        <w:t>43</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30DA6E60">
      <w:pPr>
        <w:pStyle w:val="9"/>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_Toc18995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1.3    有效营业执照电子文档</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_Toc18995 \h </w:instrText>
      </w:r>
      <w:r>
        <w:rPr>
          <w:color w:val="auto"/>
          <w:sz w:val="24"/>
          <w:szCs w:val="24"/>
          <w:highlight w:val="none"/>
        </w:rPr>
        <w:fldChar w:fldCharType="separate"/>
      </w:r>
      <w:r>
        <w:rPr>
          <w:color w:val="auto"/>
          <w:sz w:val="24"/>
          <w:szCs w:val="24"/>
          <w:highlight w:val="none"/>
        </w:rPr>
        <w:t>43</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465D2CB4">
      <w:pPr>
        <w:pStyle w:val="9"/>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_Toc3423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1.4    负责人身份证电子文档</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_Toc3423 \h </w:instrText>
      </w:r>
      <w:r>
        <w:rPr>
          <w:color w:val="auto"/>
          <w:sz w:val="24"/>
          <w:szCs w:val="24"/>
          <w:highlight w:val="none"/>
        </w:rPr>
        <w:fldChar w:fldCharType="separate"/>
      </w:r>
      <w:r>
        <w:rPr>
          <w:color w:val="auto"/>
          <w:sz w:val="24"/>
          <w:szCs w:val="24"/>
          <w:highlight w:val="none"/>
        </w:rPr>
        <w:t>43</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27D29B4B">
      <w:pPr>
        <w:pStyle w:val="9"/>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_Toc8101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1.5    授权委托书格式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_Toc8101 \h </w:instrText>
      </w:r>
      <w:r>
        <w:rPr>
          <w:color w:val="auto"/>
          <w:sz w:val="24"/>
          <w:szCs w:val="24"/>
          <w:highlight w:val="none"/>
        </w:rPr>
        <w:fldChar w:fldCharType="separate"/>
      </w:r>
      <w:r>
        <w:rPr>
          <w:color w:val="auto"/>
          <w:sz w:val="24"/>
          <w:szCs w:val="24"/>
          <w:highlight w:val="none"/>
        </w:rPr>
        <w:t>44</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1D57C713">
      <w:pPr>
        <w:pStyle w:val="9"/>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_Toc3365 </w:instrText>
      </w:r>
      <w:r>
        <w:rPr>
          <w:rFonts w:hint="eastAsia" w:ascii="仿宋" w:hAnsi="仿宋" w:eastAsia="仿宋" w:cs="仿宋"/>
          <w:color w:val="auto"/>
          <w:sz w:val="24"/>
          <w:szCs w:val="24"/>
          <w:highlight w:val="none"/>
        </w:rPr>
        <w:fldChar w:fldCharType="separate"/>
      </w:r>
      <w:r>
        <w:rPr>
          <w:rFonts w:hint="eastAsia" w:ascii="仿宋" w:hAnsi="仿宋" w:eastAsia="仿宋"/>
          <w:color w:val="auto"/>
          <w:sz w:val="24"/>
          <w:szCs w:val="24"/>
          <w:highlight w:val="none"/>
        </w:rPr>
        <w:t>1.6    具有良好的财务会计制度、依法缴纳税收和社会保障资金的承诺函格式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_Toc3365 \h </w:instrText>
      </w:r>
      <w:r>
        <w:rPr>
          <w:color w:val="auto"/>
          <w:sz w:val="24"/>
          <w:szCs w:val="24"/>
          <w:highlight w:val="none"/>
        </w:rPr>
        <w:fldChar w:fldCharType="separate"/>
      </w:r>
      <w:r>
        <w:rPr>
          <w:color w:val="auto"/>
          <w:sz w:val="24"/>
          <w:szCs w:val="24"/>
          <w:highlight w:val="none"/>
        </w:rPr>
        <w:t>45</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7142D70B">
      <w:pPr>
        <w:pStyle w:val="9"/>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_Toc28830 </w:instrText>
      </w:r>
      <w:r>
        <w:rPr>
          <w:rFonts w:hint="eastAsia" w:ascii="仿宋" w:hAnsi="仿宋" w:eastAsia="仿宋" w:cs="仿宋"/>
          <w:color w:val="auto"/>
          <w:sz w:val="24"/>
          <w:szCs w:val="24"/>
          <w:highlight w:val="none"/>
        </w:rPr>
        <w:fldChar w:fldCharType="separate"/>
      </w:r>
      <w:r>
        <w:rPr>
          <w:rFonts w:hint="eastAsia" w:ascii="仿宋" w:hAnsi="仿宋" w:eastAsia="仿宋"/>
          <w:color w:val="auto"/>
          <w:sz w:val="24"/>
          <w:szCs w:val="24"/>
          <w:highlight w:val="none"/>
        </w:rPr>
        <w:t>1.</w:t>
      </w:r>
      <w:r>
        <w:rPr>
          <w:rFonts w:ascii="仿宋" w:hAnsi="仿宋" w:eastAsia="仿宋"/>
          <w:color w:val="auto"/>
          <w:sz w:val="24"/>
          <w:szCs w:val="24"/>
          <w:highlight w:val="none"/>
        </w:rPr>
        <w:t>7</w:t>
      </w:r>
      <w:r>
        <w:rPr>
          <w:rFonts w:hint="eastAsia" w:ascii="仿宋" w:hAnsi="仿宋" w:eastAsia="仿宋"/>
          <w:color w:val="auto"/>
          <w:sz w:val="24"/>
          <w:szCs w:val="24"/>
          <w:highlight w:val="none"/>
        </w:rPr>
        <w:t xml:space="preserve">    具有</w:t>
      </w:r>
      <w:r>
        <w:rPr>
          <w:rFonts w:ascii="仿宋" w:hAnsi="仿宋" w:eastAsia="仿宋"/>
          <w:color w:val="auto"/>
          <w:sz w:val="24"/>
          <w:szCs w:val="24"/>
          <w:highlight w:val="none"/>
        </w:rPr>
        <w:t>履行合同</w:t>
      </w:r>
      <w:r>
        <w:rPr>
          <w:rFonts w:hint="eastAsia" w:ascii="仿宋" w:hAnsi="仿宋" w:eastAsia="仿宋"/>
          <w:color w:val="auto"/>
          <w:sz w:val="24"/>
          <w:szCs w:val="24"/>
          <w:highlight w:val="none"/>
        </w:rPr>
        <w:t>所必需</w:t>
      </w:r>
      <w:r>
        <w:rPr>
          <w:rFonts w:ascii="仿宋" w:hAnsi="仿宋" w:eastAsia="仿宋"/>
          <w:color w:val="auto"/>
          <w:sz w:val="24"/>
          <w:szCs w:val="24"/>
          <w:highlight w:val="none"/>
        </w:rPr>
        <w:t>的</w:t>
      </w:r>
      <w:r>
        <w:rPr>
          <w:rFonts w:hint="eastAsia" w:ascii="仿宋" w:hAnsi="仿宋" w:eastAsia="仿宋"/>
          <w:color w:val="auto"/>
          <w:sz w:val="24"/>
          <w:szCs w:val="24"/>
          <w:highlight w:val="none"/>
        </w:rPr>
        <w:t>设备</w:t>
      </w:r>
      <w:r>
        <w:rPr>
          <w:rFonts w:ascii="仿宋" w:hAnsi="仿宋" w:eastAsia="仿宋"/>
          <w:color w:val="auto"/>
          <w:sz w:val="24"/>
          <w:szCs w:val="24"/>
          <w:highlight w:val="none"/>
        </w:rPr>
        <w:t>和</w:t>
      </w:r>
      <w:r>
        <w:rPr>
          <w:rFonts w:hint="eastAsia" w:ascii="仿宋" w:hAnsi="仿宋" w:eastAsia="仿宋"/>
          <w:color w:val="auto"/>
          <w:sz w:val="24"/>
          <w:szCs w:val="24"/>
          <w:highlight w:val="none"/>
        </w:rPr>
        <w:t>专业</w:t>
      </w:r>
      <w:r>
        <w:rPr>
          <w:rFonts w:ascii="仿宋" w:hAnsi="仿宋" w:eastAsia="仿宋"/>
          <w:color w:val="auto"/>
          <w:sz w:val="24"/>
          <w:szCs w:val="24"/>
          <w:highlight w:val="none"/>
        </w:rPr>
        <w:t>技术能力</w:t>
      </w:r>
      <w:r>
        <w:rPr>
          <w:rFonts w:hint="eastAsia" w:ascii="仿宋" w:hAnsi="仿宋" w:eastAsia="仿宋"/>
          <w:color w:val="auto"/>
          <w:sz w:val="24"/>
          <w:szCs w:val="24"/>
          <w:highlight w:val="none"/>
        </w:rPr>
        <w:t>承诺</w:t>
      </w:r>
      <w:r>
        <w:rPr>
          <w:rFonts w:ascii="仿宋" w:hAnsi="仿宋" w:eastAsia="仿宋"/>
          <w:color w:val="auto"/>
          <w:sz w:val="24"/>
          <w:szCs w:val="24"/>
          <w:highlight w:val="none"/>
        </w:rPr>
        <w:t>函格式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_Toc28830 \h </w:instrText>
      </w:r>
      <w:r>
        <w:rPr>
          <w:color w:val="auto"/>
          <w:sz w:val="24"/>
          <w:szCs w:val="24"/>
          <w:highlight w:val="none"/>
        </w:rPr>
        <w:fldChar w:fldCharType="separate"/>
      </w:r>
      <w:r>
        <w:rPr>
          <w:color w:val="auto"/>
          <w:sz w:val="24"/>
          <w:szCs w:val="24"/>
          <w:highlight w:val="none"/>
        </w:rPr>
        <w:t>46</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5BA3B1C0">
      <w:pPr>
        <w:pStyle w:val="9"/>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_Toc14193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1.8    无重大违法记录声明书格式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_Toc14193 \h </w:instrText>
      </w:r>
      <w:r>
        <w:rPr>
          <w:color w:val="auto"/>
          <w:sz w:val="24"/>
          <w:szCs w:val="24"/>
          <w:highlight w:val="none"/>
        </w:rPr>
        <w:fldChar w:fldCharType="separate"/>
      </w:r>
      <w:r>
        <w:rPr>
          <w:color w:val="auto"/>
          <w:sz w:val="24"/>
          <w:szCs w:val="24"/>
          <w:highlight w:val="none"/>
        </w:rPr>
        <w:t>47</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1AD04F95">
      <w:pPr>
        <w:pStyle w:val="9"/>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_Toc28594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   特定资格条件证明材料附件（若有）</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_Toc28594 \h </w:instrText>
      </w:r>
      <w:r>
        <w:rPr>
          <w:color w:val="auto"/>
          <w:sz w:val="24"/>
          <w:szCs w:val="24"/>
          <w:highlight w:val="none"/>
        </w:rPr>
        <w:fldChar w:fldCharType="separate"/>
      </w:r>
      <w:r>
        <w:rPr>
          <w:color w:val="auto"/>
          <w:sz w:val="24"/>
          <w:szCs w:val="24"/>
          <w:highlight w:val="none"/>
        </w:rPr>
        <w:t>48</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2D9B8C29">
      <w:pPr>
        <w:pStyle w:val="9"/>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_Toc16245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1.1</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 xml:space="preserve">   其他</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_Toc16245 \h </w:instrText>
      </w:r>
      <w:r>
        <w:rPr>
          <w:color w:val="auto"/>
          <w:sz w:val="24"/>
          <w:szCs w:val="24"/>
          <w:highlight w:val="none"/>
        </w:rPr>
        <w:fldChar w:fldCharType="separate"/>
      </w:r>
      <w:r>
        <w:rPr>
          <w:color w:val="auto"/>
          <w:sz w:val="24"/>
          <w:szCs w:val="24"/>
          <w:highlight w:val="none"/>
        </w:rPr>
        <w:t>48</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5003C2E5">
      <w:pPr>
        <w:pStyle w:val="17"/>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_Toc19075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二  资信商务及技术文件格式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_Toc19075 \h </w:instrText>
      </w:r>
      <w:r>
        <w:rPr>
          <w:color w:val="auto"/>
          <w:sz w:val="24"/>
          <w:szCs w:val="24"/>
          <w:highlight w:val="none"/>
        </w:rPr>
        <w:fldChar w:fldCharType="separate"/>
      </w:r>
      <w:r>
        <w:rPr>
          <w:color w:val="auto"/>
          <w:sz w:val="24"/>
          <w:szCs w:val="24"/>
          <w:highlight w:val="none"/>
        </w:rPr>
        <w:t>49</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65B1B4BD">
      <w:pPr>
        <w:pStyle w:val="9"/>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_Toc20100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2.1    资信及商务文件封面格式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_Toc20100 \h </w:instrText>
      </w:r>
      <w:r>
        <w:rPr>
          <w:color w:val="auto"/>
          <w:sz w:val="24"/>
          <w:szCs w:val="24"/>
          <w:highlight w:val="none"/>
        </w:rPr>
        <w:fldChar w:fldCharType="separate"/>
      </w:r>
      <w:r>
        <w:rPr>
          <w:color w:val="auto"/>
          <w:sz w:val="24"/>
          <w:szCs w:val="24"/>
          <w:highlight w:val="none"/>
        </w:rPr>
        <w:t>49</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5F5C539D">
      <w:pPr>
        <w:pStyle w:val="9"/>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_Toc22131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2.2    资信商务及技术文件目录</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_Toc22131 \h </w:instrText>
      </w:r>
      <w:r>
        <w:rPr>
          <w:color w:val="auto"/>
          <w:sz w:val="24"/>
          <w:szCs w:val="24"/>
          <w:highlight w:val="none"/>
        </w:rPr>
        <w:fldChar w:fldCharType="separate"/>
      </w:r>
      <w:r>
        <w:rPr>
          <w:color w:val="auto"/>
          <w:sz w:val="24"/>
          <w:szCs w:val="24"/>
          <w:highlight w:val="none"/>
        </w:rPr>
        <w:t>50</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401FA62D">
      <w:pPr>
        <w:pStyle w:val="9"/>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_Toc14466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2.3    磋商响应函格式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_Toc14466 \h </w:instrText>
      </w:r>
      <w:r>
        <w:rPr>
          <w:color w:val="auto"/>
          <w:sz w:val="24"/>
          <w:szCs w:val="24"/>
          <w:highlight w:val="none"/>
        </w:rPr>
        <w:fldChar w:fldCharType="separate"/>
      </w:r>
      <w:r>
        <w:rPr>
          <w:color w:val="auto"/>
          <w:sz w:val="24"/>
          <w:szCs w:val="24"/>
          <w:highlight w:val="none"/>
        </w:rPr>
        <w:t>50</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2F1CA60D">
      <w:pPr>
        <w:pStyle w:val="9"/>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_Toc17330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2.4    节能环保产品格式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_Toc17330 \h </w:instrText>
      </w:r>
      <w:r>
        <w:rPr>
          <w:color w:val="auto"/>
          <w:sz w:val="24"/>
          <w:szCs w:val="24"/>
          <w:highlight w:val="none"/>
        </w:rPr>
        <w:fldChar w:fldCharType="separate"/>
      </w:r>
      <w:r>
        <w:rPr>
          <w:color w:val="auto"/>
          <w:sz w:val="24"/>
          <w:szCs w:val="24"/>
          <w:highlight w:val="none"/>
        </w:rPr>
        <w:t>52</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2B9F27CA">
      <w:pPr>
        <w:pStyle w:val="9"/>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_Toc28982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2.5    类似案例成功的业绩格式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_Toc28982 \h </w:instrText>
      </w:r>
      <w:r>
        <w:rPr>
          <w:color w:val="auto"/>
          <w:sz w:val="24"/>
          <w:szCs w:val="24"/>
          <w:highlight w:val="none"/>
        </w:rPr>
        <w:fldChar w:fldCharType="separate"/>
      </w:r>
      <w:r>
        <w:rPr>
          <w:color w:val="auto"/>
          <w:sz w:val="24"/>
          <w:szCs w:val="24"/>
          <w:highlight w:val="none"/>
        </w:rPr>
        <w:t>52</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162E0083">
      <w:pPr>
        <w:pStyle w:val="9"/>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_Toc4577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2.6    商务响应表格式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_Toc4577 \h </w:instrText>
      </w:r>
      <w:r>
        <w:rPr>
          <w:color w:val="auto"/>
          <w:sz w:val="24"/>
          <w:szCs w:val="24"/>
          <w:highlight w:val="none"/>
        </w:rPr>
        <w:fldChar w:fldCharType="separate"/>
      </w:r>
      <w:r>
        <w:rPr>
          <w:color w:val="auto"/>
          <w:sz w:val="24"/>
          <w:szCs w:val="24"/>
          <w:highlight w:val="none"/>
        </w:rPr>
        <w:t>53</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13657C08">
      <w:pPr>
        <w:pStyle w:val="9"/>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_Toc12522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2.7    技术服务</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_Toc12522 \h </w:instrText>
      </w:r>
      <w:r>
        <w:rPr>
          <w:color w:val="auto"/>
          <w:sz w:val="24"/>
          <w:szCs w:val="24"/>
          <w:highlight w:val="none"/>
        </w:rPr>
        <w:fldChar w:fldCharType="separate"/>
      </w:r>
      <w:r>
        <w:rPr>
          <w:color w:val="auto"/>
          <w:sz w:val="24"/>
          <w:szCs w:val="24"/>
          <w:highlight w:val="none"/>
        </w:rPr>
        <w:t>53</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37176017">
      <w:pPr>
        <w:pStyle w:val="9"/>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_Toc6818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2.8    售后服务</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_Toc6818 \h </w:instrText>
      </w:r>
      <w:r>
        <w:rPr>
          <w:color w:val="auto"/>
          <w:sz w:val="24"/>
          <w:szCs w:val="24"/>
          <w:highlight w:val="none"/>
        </w:rPr>
        <w:fldChar w:fldCharType="separate"/>
      </w:r>
      <w:r>
        <w:rPr>
          <w:color w:val="auto"/>
          <w:sz w:val="24"/>
          <w:szCs w:val="24"/>
          <w:highlight w:val="none"/>
        </w:rPr>
        <w:t>54</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78FE2EF4">
      <w:pPr>
        <w:pStyle w:val="9"/>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_Toc27443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2.9    对本项目总体要求的理解</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_Toc27443 \h </w:instrText>
      </w:r>
      <w:r>
        <w:rPr>
          <w:color w:val="auto"/>
          <w:sz w:val="24"/>
          <w:szCs w:val="24"/>
          <w:highlight w:val="none"/>
        </w:rPr>
        <w:fldChar w:fldCharType="separate"/>
      </w:r>
      <w:r>
        <w:rPr>
          <w:color w:val="auto"/>
          <w:sz w:val="24"/>
          <w:szCs w:val="24"/>
          <w:highlight w:val="none"/>
        </w:rPr>
        <w:t>54</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329B02FF">
      <w:pPr>
        <w:pStyle w:val="9"/>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_Toc27080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2.10    实施方案及实施计划</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_Toc27080 \h </w:instrText>
      </w:r>
      <w:r>
        <w:rPr>
          <w:color w:val="auto"/>
          <w:sz w:val="24"/>
          <w:szCs w:val="24"/>
          <w:highlight w:val="none"/>
        </w:rPr>
        <w:fldChar w:fldCharType="separate"/>
      </w:r>
      <w:r>
        <w:rPr>
          <w:color w:val="auto"/>
          <w:sz w:val="24"/>
          <w:szCs w:val="24"/>
          <w:highlight w:val="none"/>
        </w:rPr>
        <w:t>54</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32EBBAAF">
      <w:pPr>
        <w:pStyle w:val="9"/>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_Toc4317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2.11    投标产品配置清单格式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_Toc4317 \h </w:instrText>
      </w:r>
      <w:r>
        <w:rPr>
          <w:color w:val="auto"/>
          <w:sz w:val="24"/>
          <w:szCs w:val="24"/>
          <w:highlight w:val="none"/>
        </w:rPr>
        <w:fldChar w:fldCharType="separate"/>
      </w:r>
      <w:r>
        <w:rPr>
          <w:color w:val="auto"/>
          <w:sz w:val="24"/>
          <w:szCs w:val="24"/>
          <w:highlight w:val="none"/>
        </w:rPr>
        <w:t>55</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795EBD40">
      <w:pPr>
        <w:pStyle w:val="9"/>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_Toc6162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2.12    技术规格偏离表格式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_Toc6162 \h </w:instrText>
      </w:r>
      <w:r>
        <w:rPr>
          <w:color w:val="auto"/>
          <w:sz w:val="24"/>
          <w:szCs w:val="24"/>
          <w:highlight w:val="none"/>
        </w:rPr>
        <w:fldChar w:fldCharType="separate"/>
      </w:r>
      <w:r>
        <w:rPr>
          <w:color w:val="auto"/>
          <w:sz w:val="24"/>
          <w:szCs w:val="24"/>
          <w:highlight w:val="none"/>
        </w:rPr>
        <w:t>55</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519948E9">
      <w:pPr>
        <w:pStyle w:val="9"/>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_Toc7755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2.13    拟投入的设施设备格式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_Toc7755 \h </w:instrText>
      </w:r>
      <w:r>
        <w:rPr>
          <w:color w:val="auto"/>
          <w:sz w:val="24"/>
          <w:szCs w:val="24"/>
          <w:highlight w:val="none"/>
        </w:rPr>
        <w:fldChar w:fldCharType="separate"/>
      </w:r>
      <w:r>
        <w:rPr>
          <w:color w:val="auto"/>
          <w:sz w:val="24"/>
          <w:szCs w:val="24"/>
          <w:highlight w:val="none"/>
        </w:rPr>
        <w:t>56</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73FB4B37">
      <w:pPr>
        <w:pStyle w:val="9"/>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_Toc17542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2.14    拟投入的项目班子格式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_Toc17542 \h </w:instrText>
      </w:r>
      <w:r>
        <w:rPr>
          <w:color w:val="auto"/>
          <w:sz w:val="24"/>
          <w:szCs w:val="24"/>
          <w:highlight w:val="none"/>
        </w:rPr>
        <w:fldChar w:fldCharType="separate"/>
      </w:r>
      <w:r>
        <w:rPr>
          <w:color w:val="auto"/>
          <w:sz w:val="24"/>
          <w:szCs w:val="24"/>
          <w:highlight w:val="none"/>
        </w:rPr>
        <w:t>57</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0598BE45">
      <w:pPr>
        <w:pStyle w:val="9"/>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_Toc16848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2.15    质量保证措施方案</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_Toc16848 \h </w:instrText>
      </w:r>
      <w:r>
        <w:rPr>
          <w:color w:val="auto"/>
          <w:sz w:val="24"/>
          <w:szCs w:val="24"/>
          <w:highlight w:val="none"/>
        </w:rPr>
        <w:fldChar w:fldCharType="separate"/>
      </w:r>
      <w:r>
        <w:rPr>
          <w:color w:val="auto"/>
          <w:sz w:val="24"/>
          <w:szCs w:val="24"/>
          <w:highlight w:val="none"/>
        </w:rPr>
        <w:t>57</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1748F758">
      <w:pPr>
        <w:pStyle w:val="9"/>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_Toc27119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2.16    安装、调试、验收方案</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_Toc27119 \h </w:instrText>
      </w:r>
      <w:r>
        <w:rPr>
          <w:color w:val="auto"/>
          <w:sz w:val="24"/>
          <w:szCs w:val="24"/>
          <w:highlight w:val="none"/>
        </w:rPr>
        <w:fldChar w:fldCharType="separate"/>
      </w:r>
      <w:r>
        <w:rPr>
          <w:color w:val="auto"/>
          <w:sz w:val="24"/>
          <w:szCs w:val="24"/>
          <w:highlight w:val="none"/>
        </w:rPr>
        <w:t>58</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5D41CBF2">
      <w:pPr>
        <w:pStyle w:val="9"/>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_Toc456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2.17    投标人需要说明的其他文件和说明</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_Toc456 \h </w:instrText>
      </w:r>
      <w:r>
        <w:rPr>
          <w:color w:val="auto"/>
          <w:sz w:val="24"/>
          <w:szCs w:val="24"/>
          <w:highlight w:val="none"/>
        </w:rPr>
        <w:fldChar w:fldCharType="separate"/>
      </w:r>
      <w:r>
        <w:rPr>
          <w:color w:val="auto"/>
          <w:sz w:val="24"/>
          <w:szCs w:val="24"/>
          <w:highlight w:val="none"/>
        </w:rPr>
        <w:t>58</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328629D6">
      <w:pPr>
        <w:pStyle w:val="17"/>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_Toc30991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三  报价文件格式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_Toc30991 \h </w:instrText>
      </w:r>
      <w:r>
        <w:rPr>
          <w:color w:val="auto"/>
          <w:sz w:val="24"/>
          <w:szCs w:val="24"/>
          <w:highlight w:val="none"/>
        </w:rPr>
        <w:fldChar w:fldCharType="separate"/>
      </w:r>
      <w:r>
        <w:rPr>
          <w:color w:val="auto"/>
          <w:sz w:val="24"/>
          <w:szCs w:val="24"/>
          <w:highlight w:val="none"/>
        </w:rPr>
        <w:t>59</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5A4F396B">
      <w:pPr>
        <w:pStyle w:val="9"/>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_Toc18550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3.1     报价文件封面格式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_Toc18550 \h </w:instrText>
      </w:r>
      <w:r>
        <w:rPr>
          <w:color w:val="auto"/>
          <w:sz w:val="24"/>
          <w:szCs w:val="24"/>
          <w:highlight w:val="none"/>
        </w:rPr>
        <w:fldChar w:fldCharType="separate"/>
      </w:r>
      <w:r>
        <w:rPr>
          <w:color w:val="auto"/>
          <w:sz w:val="24"/>
          <w:szCs w:val="24"/>
          <w:highlight w:val="none"/>
        </w:rPr>
        <w:t>59</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74815DE6">
      <w:pPr>
        <w:pStyle w:val="9"/>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_Toc9593 </w:instrText>
      </w:r>
      <w:r>
        <w:rPr>
          <w:rFonts w:hint="eastAsia" w:ascii="仿宋" w:hAnsi="仿宋" w:eastAsia="仿宋" w:cs="仿宋"/>
          <w:color w:val="auto"/>
          <w:sz w:val="24"/>
          <w:szCs w:val="24"/>
          <w:highlight w:val="none"/>
        </w:rPr>
        <w:fldChar w:fldCharType="separate"/>
      </w:r>
      <w:r>
        <w:rPr>
          <w:rFonts w:ascii="仿宋" w:hAnsi="仿宋" w:eastAsia="仿宋"/>
          <w:color w:val="auto"/>
          <w:sz w:val="24"/>
          <w:szCs w:val="24"/>
          <w:highlight w:val="none"/>
        </w:rPr>
        <w:t>3.2</w:t>
      </w:r>
      <w:r>
        <w:rPr>
          <w:rFonts w:hint="eastAsia" w:ascii="仿宋" w:hAnsi="仿宋" w:eastAsia="仿宋"/>
          <w:color w:val="auto"/>
          <w:sz w:val="24"/>
          <w:szCs w:val="24"/>
          <w:highlight w:val="none"/>
        </w:rPr>
        <w:t xml:space="preserve"> </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报价文件</w:t>
      </w:r>
      <w:r>
        <w:rPr>
          <w:rFonts w:ascii="仿宋" w:hAnsi="仿宋" w:eastAsia="仿宋"/>
          <w:color w:val="auto"/>
          <w:sz w:val="24"/>
          <w:szCs w:val="24"/>
          <w:highlight w:val="none"/>
        </w:rPr>
        <w:t>目录</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_Toc9593 \h </w:instrText>
      </w:r>
      <w:r>
        <w:rPr>
          <w:color w:val="auto"/>
          <w:sz w:val="24"/>
          <w:szCs w:val="24"/>
          <w:highlight w:val="none"/>
        </w:rPr>
        <w:fldChar w:fldCharType="separate"/>
      </w:r>
      <w:r>
        <w:rPr>
          <w:color w:val="auto"/>
          <w:sz w:val="24"/>
          <w:szCs w:val="24"/>
          <w:highlight w:val="none"/>
        </w:rPr>
        <w:t>59</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4FF3E0D0">
      <w:pPr>
        <w:pStyle w:val="9"/>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_Toc11262 </w:instrText>
      </w:r>
      <w:r>
        <w:rPr>
          <w:rFonts w:hint="eastAsia" w:ascii="仿宋" w:hAnsi="仿宋" w:eastAsia="仿宋" w:cs="仿宋"/>
          <w:color w:val="auto"/>
          <w:sz w:val="24"/>
          <w:szCs w:val="24"/>
          <w:highlight w:val="none"/>
        </w:rPr>
        <w:fldChar w:fldCharType="separate"/>
      </w:r>
      <w:r>
        <w:rPr>
          <w:rFonts w:ascii="仿宋" w:hAnsi="仿宋" w:eastAsia="仿宋"/>
          <w:color w:val="auto"/>
          <w:sz w:val="24"/>
          <w:szCs w:val="24"/>
          <w:highlight w:val="none"/>
        </w:rPr>
        <w:t>3.3</w:t>
      </w:r>
      <w:r>
        <w:rPr>
          <w:rFonts w:hint="eastAsia" w:ascii="仿宋" w:hAnsi="仿宋" w:eastAsia="仿宋"/>
          <w:color w:val="auto"/>
          <w:sz w:val="24"/>
          <w:szCs w:val="24"/>
          <w:highlight w:val="none"/>
        </w:rPr>
        <w:t xml:space="preserve"> </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开标一览表格式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_Toc11262 \h </w:instrText>
      </w:r>
      <w:r>
        <w:rPr>
          <w:color w:val="auto"/>
          <w:sz w:val="24"/>
          <w:szCs w:val="24"/>
          <w:highlight w:val="none"/>
        </w:rPr>
        <w:fldChar w:fldCharType="separate"/>
      </w:r>
      <w:r>
        <w:rPr>
          <w:color w:val="auto"/>
          <w:sz w:val="24"/>
          <w:szCs w:val="24"/>
          <w:highlight w:val="none"/>
        </w:rPr>
        <w:t>60</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04CC12DB">
      <w:pPr>
        <w:pStyle w:val="9"/>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_Toc565 </w:instrText>
      </w:r>
      <w:r>
        <w:rPr>
          <w:rFonts w:hint="eastAsia" w:ascii="仿宋" w:hAnsi="仿宋" w:eastAsia="仿宋" w:cs="仿宋"/>
          <w:color w:val="auto"/>
          <w:sz w:val="24"/>
          <w:szCs w:val="24"/>
          <w:highlight w:val="none"/>
        </w:rPr>
        <w:fldChar w:fldCharType="separate"/>
      </w:r>
      <w:r>
        <w:rPr>
          <w:rFonts w:hint="eastAsia" w:ascii="仿宋" w:hAnsi="仿宋" w:eastAsia="仿宋"/>
          <w:color w:val="auto"/>
          <w:sz w:val="24"/>
          <w:szCs w:val="24"/>
          <w:highlight w:val="none"/>
          <w:lang w:val="en-US" w:eastAsia="zh-CN"/>
        </w:rPr>
        <w:t>3.4</w:t>
      </w:r>
      <w:r>
        <w:rPr>
          <w:rFonts w:hint="eastAsia" w:ascii="仿宋" w:hAnsi="仿宋" w:eastAsia="仿宋"/>
          <w:color w:val="auto"/>
          <w:sz w:val="24"/>
          <w:szCs w:val="24"/>
          <w:highlight w:val="none"/>
        </w:rPr>
        <w:t xml:space="preserve">     中小企业声明函格式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_Toc565 \h </w:instrText>
      </w:r>
      <w:r>
        <w:rPr>
          <w:color w:val="auto"/>
          <w:sz w:val="24"/>
          <w:szCs w:val="24"/>
          <w:highlight w:val="none"/>
        </w:rPr>
        <w:fldChar w:fldCharType="separate"/>
      </w:r>
      <w:r>
        <w:rPr>
          <w:color w:val="auto"/>
          <w:sz w:val="24"/>
          <w:szCs w:val="24"/>
          <w:highlight w:val="none"/>
        </w:rPr>
        <w:t>61</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63EB82EC">
      <w:pPr>
        <w:pStyle w:val="9"/>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_Toc15084 </w:instrText>
      </w:r>
      <w:r>
        <w:rPr>
          <w:rFonts w:hint="eastAsia" w:ascii="仿宋" w:hAnsi="仿宋" w:eastAsia="仿宋" w:cs="仿宋"/>
          <w:color w:val="auto"/>
          <w:sz w:val="24"/>
          <w:szCs w:val="24"/>
          <w:highlight w:val="none"/>
        </w:rPr>
        <w:fldChar w:fldCharType="separate"/>
      </w:r>
      <w:r>
        <w:rPr>
          <w:rFonts w:hint="eastAsia" w:ascii="仿宋" w:hAnsi="仿宋" w:eastAsia="仿宋"/>
          <w:color w:val="auto"/>
          <w:sz w:val="24"/>
          <w:szCs w:val="24"/>
          <w:highlight w:val="none"/>
          <w:lang w:val="en-US" w:eastAsia="zh-CN"/>
        </w:rPr>
        <w:t>3.5</w:t>
      </w:r>
      <w:r>
        <w:rPr>
          <w:rFonts w:hint="eastAsia" w:ascii="仿宋" w:hAnsi="仿宋" w:eastAsia="仿宋"/>
          <w:color w:val="auto"/>
          <w:sz w:val="24"/>
          <w:szCs w:val="24"/>
          <w:highlight w:val="none"/>
        </w:rPr>
        <w:t xml:space="preserve">     残疾人福利性单位声明函格式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_Toc15084 \h </w:instrText>
      </w:r>
      <w:r>
        <w:rPr>
          <w:color w:val="auto"/>
          <w:sz w:val="24"/>
          <w:szCs w:val="24"/>
          <w:highlight w:val="none"/>
        </w:rPr>
        <w:fldChar w:fldCharType="separate"/>
      </w:r>
      <w:r>
        <w:rPr>
          <w:color w:val="auto"/>
          <w:sz w:val="24"/>
          <w:szCs w:val="24"/>
          <w:highlight w:val="none"/>
        </w:rPr>
        <w:t>62</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4ECDB30F">
      <w:pPr>
        <w:pStyle w:val="9"/>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_Toc13474 </w:instrText>
      </w:r>
      <w:r>
        <w:rPr>
          <w:rFonts w:hint="eastAsia" w:ascii="仿宋" w:hAnsi="仿宋" w:eastAsia="仿宋" w:cs="仿宋"/>
          <w:color w:val="auto"/>
          <w:sz w:val="24"/>
          <w:szCs w:val="24"/>
          <w:highlight w:val="none"/>
        </w:rPr>
        <w:fldChar w:fldCharType="separate"/>
      </w:r>
      <w:r>
        <w:rPr>
          <w:rFonts w:hint="eastAsia" w:ascii="仿宋" w:hAnsi="仿宋" w:eastAsia="仿宋"/>
          <w:color w:val="auto"/>
          <w:sz w:val="24"/>
          <w:szCs w:val="24"/>
          <w:highlight w:val="none"/>
          <w:lang w:val="en-US" w:eastAsia="zh-CN"/>
        </w:rPr>
        <w:t>3.6</w:t>
      </w:r>
      <w:r>
        <w:rPr>
          <w:rFonts w:hint="eastAsia" w:ascii="仿宋" w:hAnsi="仿宋" w:eastAsia="仿宋"/>
          <w:color w:val="auto"/>
          <w:sz w:val="24"/>
          <w:szCs w:val="24"/>
          <w:highlight w:val="none"/>
        </w:rPr>
        <w:t xml:space="preserve">    监狱企业证明格式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_Toc13474 \h </w:instrText>
      </w:r>
      <w:r>
        <w:rPr>
          <w:color w:val="auto"/>
          <w:sz w:val="24"/>
          <w:szCs w:val="24"/>
          <w:highlight w:val="none"/>
        </w:rPr>
        <w:fldChar w:fldCharType="separate"/>
      </w:r>
      <w:r>
        <w:rPr>
          <w:color w:val="auto"/>
          <w:sz w:val="24"/>
          <w:szCs w:val="24"/>
          <w:highlight w:val="none"/>
        </w:rPr>
        <w:t>63</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1B6BB92F">
      <w:pPr>
        <w:pStyle w:val="14"/>
        <w:tabs>
          <w:tab w:val="right" w:leader="dot" w:pos="8312"/>
          <w:tab w:val="clear" w:pos="9060"/>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_Toc6691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第六章  评审办法和细则</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_Toc6691 \h </w:instrText>
      </w:r>
      <w:r>
        <w:rPr>
          <w:color w:val="auto"/>
          <w:sz w:val="24"/>
          <w:szCs w:val="24"/>
          <w:highlight w:val="none"/>
        </w:rPr>
        <w:fldChar w:fldCharType="separate"/>
      </w:r>
      <w:r>
        <w:rPr>
          <w:color w:val="auto"/>
          <w:sz w:val="24"/>
          <w:szCs w:val="24"/>
          <w:highlight w:val="none"/>
        </w:rPr>
        <w:t>64</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6E15A810">
      <w:pPr>
        <w:pStyle w:val="17"/>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_Toc30503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一    总则</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_Toc30503 \h </w:instrText>
      </w:r>
      <w:r>
        <w:rPr>
          <w:color w:val="auto"/>
          <w:sz w:val="24"/>
          <w:szCs w:val="24"/>
          <w:highlight w:val="none"/>
        </w:rPr>
        <w:fldChar w:fldCharType="separate"/>
      </w:r>
      <w:r>
        <w:rPr>
          <w:color w:val="auto"/>
          <w:sz w:val="24"/>
          <w:szCs w:val="24"/>
          <w:highlight w:val="none"/>
        </w:rPr>
        <w:t>64</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4264A541">
      <w:pPr>
        <w:pStyle w:val="17"/>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_Toc26420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二    评审一般规定</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_Toc26420 \h </w:instrText>
      </w:r>
      <w:r>
        <w:rPr>
          <w:color w:val="auto"/>
          <w:sz w:val="24"/>
          <w:szCs w:val="24"/>
          <w:highlight w:val="none"/>
        </w:rPr>
        <w:fldChar w:fldCharType="separate"/>
      </w:r>
      <w:r>
        <w:rPr>
          <w:color w:val="auto"/>
          <w:sz w:val="24"/>
          <w:szCs w:val="24"/>
          <w:highlight w:val="none"/>
        </w:rPr>
        <w:t>64</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73B6BAC1">
      <w:pPr>
        <w:pStyle w:val="17"/>
        <w:tabs>
          <w:tab w:val="right" w:leader="dot" w:pos="8312"/>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_Toc12982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三    评审内容及标准</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_Toc12982 \h </w:instrText>
      </w:r>
      <w:r>
        <w:rPr>
          <w:color w:val="auto"/>
          <w:sz w:val="24"/>
          <w:szCs w:val="24"/>
          <w:highlight w:val="none"/>
        </w:rPr>
        <w:fldChar w:fldCharType="separate"/>
      </w:r>
      <w:r>
        <w:rPr>
          <w:color w:val="auto"/>
          <w:sz w:val="24"/>
          <w:szCs w:val="24"/>
          <w:highlight w:val="none"/>
        </w:rPr>
        <w:t>64</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2D902E1C">
      <w:pPr>
        <w:pStyle w:val="14"/>
        <w:tabs>
          <w:tab w:val="right" w:leader="dot" w:pos="8312"/>
          <w:tab w:val="clear" w:pos="9060"/>
        </w:tabs>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_Toc10849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附件：政府采购活动现场确认声明书</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_Toc10849 \h </w:instrText>
      </w:r>
      <w:r>
        <w:rPr>
          <w:color w:val="auto"/>
          <w:sz w:val="24"/>
          <w:szCs w:val="24"/>
          <w:highlight w:val="none"/>
        </w:rPr>
        <w:fldChar w:fldCharType="separate"/>
      </w:r>
      <w:r>
        <w:rPr>
          <w:color w:val="auto"/>
          <w:sz w:val="24"/>
          <w:szCs w:val="24"/>
          <w:highlight w:val="none"/>
        </w:rPr>
        <w:t>69</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46AE56DD">
      <w:pPr>
        <w:pStyle w:val="19"/>
        <w:spacing w:before="0" w:after="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end"/>
      </w:r>
      <w:bookmarkEnd w:id="41"/>
      <w:bookmarkStart w:id="42" w:name="_Toc493956018"/>
      <w:bookmarkStart w:id="43" w:name="_Toc531358959"/>
      <w:bookmarkStart w:id="44" w:name="_Toc530551804"/>
    </w:p>
    <w:p w14:paraId="29E1EC4A">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39515453">
      <w:pPr>
        <w:pStyle w:val="19"/>
        <w:spacing w:before="0" w:after="0"/>
        <w:rPr>
          <w:rFonts w:ascii="仿宋" w:hAnsi="仿宋" w:eastAsia="仿宋" w:cs="仿宋"/>
          <w:color w:val="auto"/>
          <w:sz w:val="36"/>
          <w:szCs w:val="36"/>
          <w:highlight w:val="none"/>
        </w:rPr>
      </w:pPr>
      <w:bookmarkStart w:id="45" w:name="_Toc6217"/>
      <w:r>
        <w:rPr>
          <w:rFonts w:hint="eastAsia" w:ascii="仿宋" w:hAnsi="仿宋" w:eastAsia="仿宋" w:cs="仿宋"/>
          <w:color w:val="auto"/>
          <w:sz w:val="36"/>
          <w:szCs w:val="36"/>
          <w:highlight w:val="none"/>
        </w:rPr>
        <w:t xml:space="preserve">第一章  </w:t>
      </w:r>
      <w:bookmarkEnd w:id="42"/>
      <w:r>
        <w:rPr>
          <w:rFonts w:hint="eastAsia" w:ascii="仿宋" w:hAnsi="仿宋" w:eastAsia="仿宋" w:cs="仿宋"/>
          <w:color w:val="auto"/>
          <w:sz w:val="36"/>
          <w:szCs w:val="36"/>
          <w:highlight w:val="none"/>
        </w:rPr>
        <w:t>竞争性磋商采购公告</w:t>
      </w:r>
      <w:bookmarkEnd w:id="43"/>
      <w:bookmarkEnd w:id="44"/>
      <w:r>
        <w:rPr>
          <w:rFonts w:hint="eastAsia" w:ascii="仿宋" w:hAnsi="仿宋" w:eastAsia="仿宋" w:cs="仿宋"/>
          <w:color w:val="auto"/>
          <w:sz w:val="36"/>
          <w:szCs w:val="36"/>
          <w:highlight w:val="none"/>
        </w:rPr>
        <w:t>（邀请）</w:t>
      </w:r>
      <w:bookmarkEnd w:id="45"/>
    </w:p>
    <w:p w14:paraId="2B8759BD">
      <w:pPr>
        <w:pBdr>
          <w:top w:val="single" w:color="auto" w:sz="4" w:space="0"/>
          <w:left w:val="single" w:color="auto" w:sz="4" w:space="4"/>
          <w:bottom w:val="single" w:color="auto" w:sz="4" w:space="1"/>
          <w:right w:val="single" w:color="auto" w:sz="4" w:space="4"/>
        </w:pBdr>
        <w:wordWrap w:val="0"/>
        <w:spacing w:line="440" w:lineRule="atLeast"/>
        <w:rPr>
          <w:rFonts w:ascii="仿宋" w:hAnsi="仿宋" w:eastAsia="仿宋" w:cs="仿宋"/>
          <w:color w:val="auto"/>
          <w:sz w:val="24"/>
          <w:szCs w:val="24"/>
          <w:highlight w:val="none"/>
        </w:rPr>
      </w:pPr>
      <w:bookmarkStart w:id="46" w:name="EBf1e27c6183244f4a8f3fc355defd653e"/>
      <w:r>
        <w:rPr>
          <w:rFonts w:hint="eastAsia" w:ascii="仿宋" w:hAnsi="仿宋" w:eastAsia="仿宋" w:cs="仿宋"/>
          <w:color w:val="auto"/>
          <w:sz w:val="24"/>
          <w:szCs w:val="24"/>
          <w:highlight w:val="none"/>
        </w:rPr>
        <w:t>项目概况：</w:t>
      </w:r>
    </w:p>
    <w:p w14:paraId="498DC84A">
      <w:pPr>
        <w:pBdr>
          <w:top w:val="single" w:color="auto" w:sz="4" w:space="0"/>
          <w:left w:val="single" w:color="auto" w:sz="4" w:space="4"/>
          <w:bottom w:val="single" w:color="auto" w:sz="4" w:space="1"/>
          <w:right w:val="single" w:color="auto" w:sz="4" w:space="4"/>
        </w:pBdr>
        <w:wordWrap w:val="0"/>
        <w:spacing w:line="440" w:lineRule="atLeas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lang w:eastAsia="zh-CN"/>
        </w:rPr>
        <w:t>2025年庆元县公共图书馆（城市书房、阅读驿站）图书购置项目</w:t>
      </w:r>
      <w:r>
        <w:rPr>
          <w:rFonts w:hint="eastAsia" w:ascii="仿宋" w:hAnsi="仿宋" w:eastAsia="仿宋" w:cs="仿宋"/>
          <w:color w:val="auto"/>
          <w:sz w:val="24"/>
          <w:szCs w:val="24"/>
          <w:highlight w:val="none"/>
        </w:rPr>
        <w:t>的潜在供应商应在浙江政府采购网（</w:t>
      </w:r>
      <w:r>
        <w:rPr>
          <w:color w:val="auto"/>
          <w:highlight w:val="none"/>
        </w:rPr>
        <w:fldChar w:fldCharType="begin"/>
      </w:r>
      <w:r>
        <w:rPr>
          <w:color w:val="auto"/>
          <w:highlight w:val="none"/>
        </w:rPr>
        <w:instrText xml:space="preserve"> HYPERLINK "http://zfcg.czt.zj.gov.cn/" </w:instrText>
      </w:r>
      <w:r>
        <w:rPr>
          <w:color w:val="auto"/>
          <w:highlight w:val="none"/>
        </w:rPr>
        <w:fldChar w:fldCharType="separate"/>
      </w:r>
      <w:r>
        <w:rPr>
          <w:rFonts w:hint="eastAsia" w:ascii="仿宋" w:hAnsi="仿宋" w:eastAsia="仿宋" w:cs="仿宋"/>
          <w:color w:val="auto"/>
          <w:sz w:val="24"/>
          <w:szCs w:val="24"/>
          <w:highlight w:val="none"/>
          <w:u w:val="single"/>
        </w:rPr>
        <w:t>zfcg.czt.zj.gov.cn</w:t>
      </w:r>
      <w:r>
        <w:rPr>
          <w:rFonts w:hint="eastAsia" w:ascii="仿宋" w:hAnsi="仿宋" w:eastAsia="仿宋" w:cs="仿宋"/>
          <w:color w:val="auto"/>
          <w:sz w:val="24"/>
          <w:szCs w:val="24"/>
          <w:highlight w:val="none"/>
          <w:u w:val="single"/>
        </w:rPr>
        <w:fldChar w:fldCharType="end"/>
      </w:r>
      <w:r>
        <w:rPr>
          <w:rFonts w:hint="eastAsia" w:ascii="仿宋" w:hAnsi="仿宋" w:eastAsia="仿宋" w:cs="仿宋"/>
          <w:color w:val="auto"/>
          <w:sz w:val="24"/>
          <w:szCs w:val="24"/>
          <w:highlight w:val="none"/>
        </w:rPr>
        <w:t>），丽水市公共资源交易网（</w:t>
      </w:r>
      <w:r>
        <w:rPr>
          <w:rFonts w:hint="eastAsia" w:ascii="仿宋" w:hAnsi="仿宋" w:eastAsia="仿宋" w:cs="仿宋"/>
          <w:color w:val="auto"/>
          <w:sz w:val="24"/>
          <w:szCs w:val="24"/>
          <w:highlight w:val="none"/>
          <w:u w:val="single"/>
        </w:rPr>
        <w:t>lssggzy.lishui.gov.cn</w:t>
      </w:r>
      <w:r>
        <w:rPr>
          <w:rFonts w:hint="eastAsia" w:ascii="仿宋" w:hAnsi="仿宋" w:eastAsia="仿宋" w:cs="仿宋"/>
          <w:color w:val="auto"/>
          <w:sz w:val="24"/>
          <w:szCs w:val="24"/>
          <w:highlight w:val="none"/>
        </w:rPr>
        <w:t>）采购公告附件中自行获取采购文件，并于</w:t>
      </w:r>
      <w:r>
        <w:rPr>
          <w:rFonts w:hint="eastAsia" w:ascii="仿宋" w:hAnsi="仿宋" w:eastAsia="仿宋" w:cs="仿宋"/>
          <w:bCs/>
          <w:snapToGrid w:val="0"/>
          <w:color w:val="auto"/>
          <w:sz w:val="24"/>
          <w:szCs w:val="24"/>
          <w:highlight w:val="none"/>
          <w:u w:val="single"/>
        </w:rPr>
        <w:t>2025年</w:t>
      </w:r>
      <w:r>
        <w:rPr>
          <w:rFonts w:hint="eastAsia" w:ascii="仿宋" w:hAnsi="仿宋" w:eastAsia="仿宋" w:cs="仿宋"/>
          <w:bCs/>
          <w:snapToGrid w:val="0"/>
          <w:color w:val="auto"/>
          <w:sz w:val="24"/>
          <w:szCs w:val="24"/>
          <w:highlight w:val="none"/>
          <w:u w:val="single"/>
          <w:lang w:val="en-US" w:eastAsia="zh-CN"/>
        </w:rPr>
        <w:t>7</w:t>
      </w:r>
      <w:r>
        <w:rPr>
          <w:rFonts w:hint="eastAsia" w:ascii="仿宋" w:hAnsi="仿宋" w:eastAsia="仿宋" w:cs="仿宋"/>
          <w:bCs/>
          <w:snapToGrid w:val="0"/>
          <w:color w:val="auto"/>
          <w:sz w:val="24"/>
          <w:szCs w:val="24"/>
          <w:highlight w:val="none"/>
          <w:u w:val="single"/>
        </w:rPr>
        <w:t>月</w:t>
      </w:r>
      <w:r>
        <w:rPr>
          <w:rFonts w:hint="eastAsia" w:ascii="仿宋" w:hAnsi="仿宋" w:eastAsia="仿宋" w:cs="仿宋"/>
          <w:bCs/>
          <w:snapToGrid w:val="0"/>
          <w:color w:val="auto"/>
          <w:sz w:val="24"/>
          <w:szCs w:val="24"/>
          <w:highlight w:val="none"/>
          <w:u w:val="single"/>
          <w:lang w:val="en-US" w:eastAsia="zh-CN"/>
        </w:rPr>
        <w:t xml:space="preserve">  10</w:t>
      </w:r>
      <w:r>
        <w:rPr>
          <w:rFonts w:hint="eastAsia" w:ascii="仿宋" w:hAnsi="仿宋" w:eastAsia="仿宋" w:cs="仿宋"/>
          <w:bCs/>
          <w:snapToGrid w:val="0"/>
          <w:color w:val="auto"/>
          <w:sz w:val="24"/>
          <w:szCs w:val="24"/>
          <w:highlight w:val="none"/>
          <w:u w:val="single"/>
        </w:rPr>
        <w:t>日9:00</w:t>
      </w:r>
      <w:r>
        <w:rPr>
          <w:rFonts w:hint="eastAsia" w:ascii="仿宋" w:hAnsi="仿宋" w:eastAsia="仿宋" w:cs="仿宋"/>
          <w:bCs/>
          <w:color w:val="auto"/>
          <w:sz w:val="24"/>
          <w:szCs w:val="24"/>
          <w:highlight w:val="none"/>
        </w:rPr>
        <w:t>（北京时间）前提交响应文件</w:t>
      </w:r>
      <w:r>
        <w:rPr>
          <w:rFonts w:hint="eastAsia" w:ascii="仿宋" w:hAnsi="仿宋" w:eastAsia="仿宋" w:cs="仿宋"/>
          <w:color w:val="auto"/>
          <w:sz w:val="24"/>
          <w:szCs w:val="24"/>
          <w:highlight w:val="none"/>
        </w:rPr>
        <w:t>。</w:t>
      </w:r>
    </w:p>
    <w:p w14:paraId="6A06EDE9">
      <w:pPr>
        <w:wordWrap w:val="0"/>
        <w:spacing w:line="420" w:lineRule="exact"/>
        <w:rPr>
          <w:rFonts w:ascii="仿宋" w:hAnsi="仿宋" w:eastAsia="仿宋" w:cs="仿宋"/>
          <w:b/>
          <w:color w:val="auto"/>
          <w:sz w:val="24"/>
          <w:szCs w:val="24"/>
          <w:highlight w:val="none"/>
        </w:rPr>
      </w:pPr>
      <w:bookmarkStart w:id="47" w:name="_Toc35393629"/>
      <w:bookmarkStart w:id="48" w:name="_Toc35393798"/>
      <w:bookmarkStart w:id="49" w:name="_Toc28359089"/>
      <w:bookmarkStart w:id="50" w:name="_Toc28359012"/>
      <w:r>
        <w:rPr>
          <w:rFonts w:hint="eastAsia" w:ascii="仿宋" w:hAnsi="仿宋" w:eastAsia="仿宋" w:cs="仿宋"/>
          <w:b/>
          <w:color w:val="auto"/>
          <w:sz w:val="24"/>
          <w:szCs w:val="24"/>
          <w:highlight w:val="none"/>
        </w:rPr>
        <w:t>一、项目基本情况</w:t>
      </w:r>
      <w:bookmarkEnd w:id="47"/>
      <w:bookmarkEnd w:id="48"/>
      <w:bookmarkEnd w:id="49"/>
      <w:bookmarkEnd w:id="50"/>
    </w:p>
    <w:p w14:paraId="3834E227">
      <w:pPr>
        <w:wordWrap w:val="0"/>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w:t>
      </w:r>
      <w:r>
        <w:rPr>
          <w:rFonts w:hint="eastAsia" w:ascii="仿宋" w:hAnsi="仿宋" w:eastAsia="仿宋" w:cs="仿宋"/>
          <w:bCs/>
          <w:snapToGrid w:val="0"/>
          <w:color w:val="auto"/>
          <w:sz w:val="24"/>
          <w:szCs w:val="24"/>
          <w:highlight w:val="none"/>
        </w:rPr>
        <w:t>兴华招采(2025)</w:t>
      </w:r>
      <w:r>
        <w:rPr>
          <w:rFonts w:hint="eastAsia" w:ascii="仿宋" w:hAnsi="仿宋" w:eastAsia="仿宋" w:cs="仿宋"/>
          <w:bCs/>
          <w:snapToGrid w:val="0"/>
          <w:color w:val="auto"/>
          <w:sz w:val="24"/>
          <w:szCs w:val="24"/>
          <w:highlight w:val="none"/>
          <w:lang w:val="en-US" w:eastAsia="zh-CN"/>
        </w:rPr>
        <w:t>46</w:t>
      </w:r>
      <w:r>
        <w:rPr>
          <w:rFonts w:hint="eastAsia" w:ascii="仿宋" w:hAnsi="仿宋" w:eastAsia="仿宋" w:cs="仿宋"/>
          <w:bCs/>
          <w:snapToGrid w:val="0"/>
          <w:color w:val="auto"/>
          <w:sz w:val="24"/>
          <w:szCs w:val="24"/>
          <w:highlight w:val="none"/>
        </w:rPr>
        <w:t>号</w:t>
      </w:r>
    </w:p>
    <w:p w14:paraId="47432464">
      <w:pPr>
        <w:wordWrap w:val="0"/>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2025年庆元县公共图书馆（城市书房、阅读驿站）图书购置项目</w:t>
      </w:r>
    </w:p>
    <w:p w14:paraId="7FD4956F">
      <w:pPr>
        <w:wordWrap w:val="0"/>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采购方式：竞争性磋商</w:t>
      </w:r>
    </w:p>
    <w:p w14:paraId="6A708580">
      <w:pPr>
        <w:wordWrap w:val="0"/>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采购需求：见采购文件第二章</w:t>
      </w:r>
    </w:p>
    <w:p w14:paraId="584CE2D9">
      <w:pPr>
        <w:wordWrap w:val="0"/>
        <w:spacing w:line="440" w:lineRule="exact"/>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标项一</w:t>
      </w:r>
    </w:p>
    <w:p w14:paraId="786B4790">
      <w:pPr>
        <w:wordWrap w:val="0"/>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数量：1</w:t>
      </w:r>
    </w:p>
    <w:p w14:paraId="6C9E75BD">
      <w:pPr>
        <w:wordWrap w:val="0"/>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单位：批</w:t>
      </w:r>
    </w:p>
    <w:p w14:paraId="31356A7C">
      <w:pPr>
        <w:wordWrap w:val="0"/>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预算金额：</w:t>
      </w:r>
      <w:r>
        <w:rPr>
          <w:rFonts w:hint="eastAsia" w:ascii="仿宋" w:hAnsi="仿宋" w:eastAsia="仿宋" w:cs="仿宋"/>
          <w:color w:val="auto"/>
          <w:sz w:val="24"/>
          <w:szCs w:val="24"/>
          <w:highlight w:val="none"/>
          <w:lang w:val="en-US" w:eastAsia="zh-CN"/>
        </w:rPr>
        <w:t>50</w:t>
      </w:r>
      <w:r>
        <w:rPr>
          <w:rFonts w:hint="eastAsia" w:ascii="仿宋" w:hAnsi="仿宋" w:eastAsia="仿宋" w:cs="仿宋"/>
          <w:color w:val="auto"/>
          <w:sz w:val="24"/>
          <w:szCs w:val="24"/>
          <w:highlight w:val="none"/>
        </w:rPr>
        <w:t>万</w:t>
      </w:r>
    </w:p>
    <w:p w14:paraId="1B192363">
      <w:pPr>
        <w:wordWrap w:val="0"/>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简要规格描述：见采购文件第二章</w:t>
      </w:r>
    </w:p>
    <w:p w14:paraId="73D616F0">
      <w:pPr>
        <w:wordWrap w:val="0"/>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备注：无</w:t>
      </w:r>
    </w:p>
    <w:p w14:paraId="7DBAFADE">
      <w:pPr>
        <w:wordWrap w:val="0"/>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合同履行期限：见采购文件第二章</w:t>
      </w:r>
    </w:p>
    <w:p w14:paraId="0E63D0A4">
      <w:pPr>
        <w:wordWrap w:val="0"/>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联合体投标：</w:t>
      </w:r>
      <w:r>
        <w:rPr>
          <w:rFonts w:hint="eastAsia" w:ascii="仿宋" w:hAnsi="仿宋" w:eastAsia="仿宋" w:cs="仿宋"/>
          <w:color w:val="auto"/>
          <w:sz w:val="24"/>
          <w:szCs w:val="24"/>
          <w:highlight w:val="none"/>
        </w:rPr>
        <w:sym w:font="Wingdings" w:char="00FE"/>
      </w:r>
      <w:r>
        <w:rPr>
          <w:rFonts w:hint="eastAsia" w:ascii="仿宋" w:hAnsi="仿宋" w:eastAsia="仿宋" w:cs="仿宋"/>
          <w:color w:val="auto"/>
          <w:sz w:val="24"/>
          <w:szCs w:val="24"/>
          <w:highlight w:val="none"/>
        </w:rPr>
        <w:t>不接受</w:t>
      </w:r>
    </w:p>
    <w:p w14:paraId="3B962390">
      <w:pPr>
        <w:wordWrap w:val="0"/>
        <w:spacing w:line="420" w:lineRule="exact"/>
        <w:rPr>
          <w:rFonts w:ascii="仿宋" w:hAnsi="仿宋" w:eastAsia="仿宋" w:cs="仿宋"/>
          <w:b/>
          <w:color w:val="auto"/>
          <w:sz w:val="24"/>
          <w:szCs w:val="24"/>
          <w:highlight w:val="none"/>
        </w:rPr>
      </w:pPr>
      <w:bookmarkStart w:id="51" w:name="_Toc35393630"/>
      <w:bookmarkStart w:id="52" w:name="_Toc28359013"/>
      <w:bookmarkStart w:id="53" w:name="_Toc35393799"/>
      <w:bookmarkStart w:id="54" w:name="_Toc28359090"/>
      <w:r>
        <w:rPr>
          <w:rFonts w:hint="eastAsia" w:ascii="仿宋" w:hAnsi="仿宋" w:eastAsia="仿宋" w:cs="仿宋"/>
          <w:b/>
          <w:color w:val="auto"/>
          <w:sz w:val="24"/>
          <w:szCs w:val="24"/>
          <w:highlight w:val="none"/>
        </w:rPr>
        <w:t>二、申请人的资格要求</w:t>
      </w:r>
      <w:bookmarkEnd w:id="51"/>
      <w:bookmarkEnd w:id="52"/>
      <w:bookmarkEnd w:id="53"/>
      <w:bookmarkEnd w:id="54"/>
    </w:p>
    <w:p w14:paraId="20A763D5">
      <w:pPr>
        <w:wordWrap w:val="0"/>
        <w:spacing w:line="440" w:lineRule="exact"/>
        <w:ind w:firstLine="480" w:firstLineChars="200"/>
        <w:rPr>
          <w:rFonts w:ascii="仿宋" w:hAnsi="仿宋" w:eastAsia="仿宋" w:cs="仿宋"/>
          <w:color w:val="auto"/>
          <w:sz w:val="24"/>
          <w:szCs w:val="24"/>
          <w:highlight w:val="none"/>
        </w:rPr>
      </w:pPr>
      <w:bookmarkStart w:id="55" w:name="_Toc35393800"/>
      <w:bookmarkStart w:id="56" w:name="_Toc28359014"/>
      <w:bookmarkStart w:id="57" w:name="_Toc28359091"/>
      <w:bookmarkStart w:id="58" w:name="_Toc35393631"/>
      <w:r>
        <w:rPr>
          <w:rFonts w:hint="eastAsia" w:ascii="仿宋" w:hAnsi="仿宋" w:eastAsia="仿宋" w:cs="仿宋"/>
          <w:color w:val="auto"/>
          <w:sz w:val="24"/>
          <w:szCs w:val="24"/>
          <w:highlight w:val="none"/>
        </w:rPr>
        <w:t>1. 满足《中华人民共和国政府采购法》第二十二条规定；未被“信用中国”网站（</w:t>
      </w:r>
      <w:r>
        <w:rPr>
          <w:rFonts w:hint="eastAsia" w:ascii="仿宋" w:hAnsi="仿宋" w:eastAsia="仿宋" w:cs="仿宋"/>
          <w:color w:val="auto"/>
          <w:sz w:val="24"/>
          <w:szCs w:val="24"/>
          <w:highlight w:val="none"/>
          <w:u w:val="single"/>
        </w:rPr>
        <w:t>www.creditchina.gov.cn</w:t>
      </w:r>
      <w:r>
        <w:rPr>
          <w:rFonts w:hint="eastAsia" w:ascii="仿宋" w:hAnsi="仿宋" w:eastAsia="仿宋" w:cs="仿宋"/>
          <w:color w:val="auto"/>
          <w:sz w:val="24"/>
          <w:szCs w:val="24"/>
          <w:highlight w:val="none"/>
        </w:rPr>
        <w:t>）、中国政府采购网（</w:t>
      </w:r>
      <w:r>
        <w:rPr>
          <w:rFonts w:hint="eastAsia" w:ascii="仿宋" w:hAnsi="仿宋" w:eastAsia="仿宋" w:cs="仿宋"/>
          <w:color w:val="auto"/>
          <w:sz w:val="24"/>
          <w:szCs w:val="24"/>
          <w:highlight w:val="none"/>
          <w:u w:val="single"/>
        </w:rPr>
        <w:t>www.ccgp.gov.cn</w:t>
      </w:r>
      <w:r>
        <w:rPr>
          <w:rFonts w:hint="eastAsia" w:ascii="仿宋" w:hAnsi="仿宋" w:eastAsia="仿宋" w:cs="仿宋"/>
          <w:color w:val="auto"/>
          <w:sz w:val="24"/>
          <w:szCs w:val="24"/>
          <w:highlight w:val="none"/>
        </w:rPr>
        <w:t>）列入失信被执行人、重大税收违法当事人名单、政府采购严重违法失信行为记录名单；</w:t>
      </w:r>
    </w:p>
    <w:p w14:paraId="7F232AD3">
      <w:pPr>
        <w:wordWrap w:val="0"/>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 落实政府采购政策需满足的资格要求：</w:t>
      </w:r>
      <w:r>
        <w:rPr>
          <w:rFonts w:hint="eastAsia" w:ascii="仿宋" w:hAnsi="仿宋" w:eastAsia="仿宋" w:cs="仿宋"/>
          <w:color w:val="auto"/>
          <w:sz w:val="24"/>
          <w:szCs w:val="24"/>
          <w:highlight w:val="none"/>
          <w:lang w:val="en-US" w:eastAsia="zh-CN"/>
        </w:rPr>
        <w:t>无</w:t>
      </w:r>
      <w:r>
        <w:rPr>
          <w:rFonts w:hint="eastAsia" w:ascii="仿宋" w:hAnsi="仿宋" w:eastAsia="仿宋" w:cs="仿宋"/>
          <w:color w:val="auto"/>
          <w:sz w:val="24"/>
          <w:szCs w:val="24"/>
          <w:highlight w:val="none"/>
        </w:rPr>
        <w:t>。</w:t>
      </w:r>
    </w:p>
    <w:p w14:paraId="0B439DAB">
      <w:pPr>
        <w:wordWrap w:val="0"/>
        <w:spacing w:line="42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 本项目的特定资格要求：具有政府相关部门颁发的出版物经营许可证。</w:t>
      </w:r>
    </w:p>
    <w:bookmarkEnd w:id="55"/>
    <w:bookmarkEnd w:id="56"/>
    <w:bookmarkEnd w:id="57"/>
    <w:bookmarkEnd w:id="58"/>
    <w:p w14:paraId="6FC19C71">
      <w:pPr>
        <w:spacing w:line="440" w:lineRule="exact"/>
        <w:jc w:val="left"/>
        <w:rPr>
          <w:rFonts w:ascii="仿宋" w:hAnsi="仿宋" w:eastAsia="仿宋" w:cs="仿宋"/>
          <w:b/>
          <w:color w:val="auto"/>
          <w:sz w:val="24"/>
          <w:szCs w:val="24"/>
          <w:highlight w:val="none"/>
        </w:rPr>
      </w:pPr>
      <w:bookmarkStart w:id="59" w:name="_Toc28359092"/>
      <w:bookmarkStart w:id="60" w:name="_Toc28359015"/>
      <w:bookmarkStart w:id="61" w:name="_Toc35393632"/>
      <w:bookmarkStart w:id="62" w:name="_Toc35393801"/>
      <w:r>
        <w:rPr>
          <w:rFonts w:hint="eastAsia" w:ascii="仿宋" w:hAnsi="仿宋" w:eastAsia="仿宋" w:cs="仿宋"/>
          <w:b/>
          <w:color w:val="auto"/>
          <w:sz w:val="24"/>
          <w:szCs w:val="24"/>
          <w:highlight w:val="none"/>
        </w:rPr>
        <w:t>三、获取（下载）采购文件</w:t>
      </w:r>
    </w:p>
    <w:p w14:paraId="29E9C08C">
      <w:pPr>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 时间：发布公告之日至</w:t>
      </w:r>
      <w:r>
        <w:rPr>
          <w:rFonts w:hint="eastAsia" w:ascii="仿宋" w:hAnsi="仿宋" w:eastAsia="仿宋" w:cs="仿宋"/>
          <w:bCs/>
          <w:snapToGrid w:val="0"/>
          <w:color w:val="auto"/>
          <w:sz w:val="24"/>
          <w:szCs w:val="24"/>
          <w:highlight w:val="none"/>
          <w:u w:val="single"/>
        </w:rPr>
        <w:t>2025年</w:t>
      </w:r>
      <w:r>
        <w:rPr>
          <w:rFonts w:hint="eastAsia" w:ascii="仿宋" w:hAnsi="仿宋" w:eastAsia="仿宋" w:cs="仿宋"/>
          <w:bCs/>
          <w:snapToGrid w:val="0"/>
          <w:color w:val="auto"/>
          <w:sz w:val="24"/>
          <w:szCs w:val="24"/>
          <w:highlight w:val="none"/>
          <w:u w:val="single"/>
          <w:lang w:val="en-US" w:eastAsia="zh-CN"/>
        </w:rPr>
        <w:t>7</w:t>
      </w:r>
      <w:r>
        <w:rPr>
          <w:rFonts w:hint="eastAsia" w:ascii="仿宋" w:hAnsi="仿宋" w:eastAsia="仿宋" w:cs="仿宋"/>
          <w:bCs/>
          <w:snapToGrid w:val="0"/>
          <w:color w:val="auto"/>
          <w:sz w:val="24"/>
          <w:szCs w:val="24"/>
          <w:highlight w:val="none"/>
          <w:u w:val="single"/>
        </w:rPr>
        <w:t>月</w:t>
      </w:r>
      <w:r>
        <w:rPr>
          <w:rFonts w:hint="eastAsia" w:ascii="仿宋" w:hAnsi="仿宋" w:eastAsia="仿宋" w:cs="仿宋"/>
          <w:bCs/>
          <w:snapToGrid w:val="0"/>
          <w:color w:val="auto"/>
          <w:sz w:val="24"/>
          <w:szCs w:val="24"/>
          <w:highlight w:val="none"/>
          <w:u w:val="single"/>
          <w:lang w:val="en-US" w:eastAsia="zh-CN"/>
        </w:rPr>
        <w:t>10</w:t>
      </w:r>
      <w:r>
        <w:rPr>
          <w:rFonts w:hint="eastAsia" w:ascii="仿宋" w:hAnsi="仿宋" w:eastAsia="仿宋" w:cs="仿宋"/>
          <w:bCs/>
          <w:snapToGrid w:val="0"/>
          <w:color w:val="auto"/>
          <w:sz w:val="24"/>
          <w:szCs w:val="24"/>
          <w:highlight w:val="none"/>
          <w:u w:val="single"/>
        </w:rPr>
        <w:t>日</w:t>
      </w:r>
      <w:r>
        <w:rPr>
          <w:rFonts w:hint="eastAsia" w:ascii="仿宋" w:hAnsi="仿宋" w:eastAsia="仿宋" w:cs="仿宋"/>
          <w:color w:val="auto"/>
          <w:sz w:val="24"/>
          <w:szCs w:val="24"/>
          <w:highlight w:val="none"/>
        </w:rPr>
        <w:t>，每天上午00:00至12:00，下午12:00至23:59（北京时间，线上获取法定节假日均可，线下获取文件法定节假日除外）</w:t>
      </w:r>
    </w:p>
    <w:p w14:paraId="03E63225">
      <w:pPr>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 地点：浙江政府采购网</w:t>
      </w:r>
      <w:r>
        <w:rPr>
          <w:rFonts w:hint="eastAsia" w:ascii="仿宋" w:hAnsi="仿宋" w:eastAsia="仿宋" w:cs="仿宋"/>
          <w:color w:val="auto"/>
          <w:sz w:val="24"/>
          <w:szCs w:val="24"/>
          <w:highlight w:val="none"/>
          <w:u w:val="single"/>
        </w:rPr>
        <w:t>（</w:t>
      </w:r>
      <w:r>
        <w:rPr>
          <w:color w:val="auto"/>
          <w:highlight w:val="none"/>
        </w:rPr>
        <w:fldChar w:fldCharType="begin"/>
      </w:r>
      <w:r>
        <w:rPr>
          <w:color w:val="auto"/>
          <w:highlight w:val="none"/>
        </w:rPr>
        <w:instrText xml:space="preserve"> HYPERLINK "http://zfcg.czt.zj.gov.cn" </w:instrText>
      </w:r>
      <w:r>
        <w:rPr>
          <w:color w:val="auto"/>
          <w:highlight w:val="none"/>
        </w:rPr>
        <w:fldChar w:fldCharType="separate"/>
      </w:r>
      <w:r>
        <w:rPr>
          <w:rStyle w:val="24"/>
          <w:rFonts w:hint="eastAsia" w:ascii="仿宋" w:hAnsi="仿宋" w:eastAsia="仿宋" w:cs="仿宋"/>
          <w:color w:val="auto"/>
          <w:sz w:val="24"/>
          <w:szCs w:val="24"/>
          <w:highlight w:val="none"/>
        </w:rPr>
        <w:t>http://zfcg.czt.zj.gov.cn</w:t>
      </w:r>
      <w:r>
        <w:rPr>
          <w:rStyle w:val="24"/>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，丽水市公共资源交易网（</w:t>
      </w:r>
      <w:r>
        <w:rPr>
          <w:rFonts w:hint="eastAsia" w:ascii="仿宋" w:hAnsi="仿宋" w:eastAsia="仿宋" w:cs="仿宋"/>
          <w:color w:val="auto"/>
          <w:sz w:val="24"/>
          <w:szCs w:val="24"/>
          <w:highlight w:val="none"/>
          <w:u w:val="single"/>
        </w:rPr>
        <w:t>http://lssggzy.lishui.gov.cn</w:t>
      </w:r>
      <w:r>
        <w:rPr>
          <w:rFonts w:hint="eastAsia" w:ascii="仿宋" w:hAnsi="仿宋" w:eastAsia="仿宋" w:cs="仿宋"/>
          <w:color w:val="auto"/>
          <w:sz w:val="24"/>
          <w:szCs w:val="24"/>
          <w:highlight w:val="none"/>
        </w:rPr>
        <w:t>）公告附件</w:t>
      </w:r>
    </w:p>
    <w:p w14:paraId="5A6C6931">
      <w:pPr>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 方式：自行下载获取</w:t>
      </w:r>
    </w:p>
    <w:p w14:paraId="0E0B7B49">
      <w:pPr>
        <w:wordWrap w:val="0"/>
        <w:snapToGrid w:val="0"/>
        <w:spacing w:line="440" w:lineRule="exact"/>
        <w:ind w:firstLine="51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 1 \* GB2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⑴</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浙江政府采购网注册正式供应商-用户入驻/登录</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t>用户登录-项目采购-获取采购文件管理；</w:t>
      </w:r>
    </w:p>
    <w:p w14:paraId="49C7783D">
      <w:pPr>
        <w:wordWrap w:val="0"/>
        <w:snapToGrid w:val="0"/>
        <w:spacing w:line="440" w:lineRule="exact"/>
        <w:ind w:firstLine="51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 2 \* GB2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⑵</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未在浙江省政府采购网</w:t>
      </w:r>
      <w:r>
        <w:rPr>
          <w:rFonts w:hint="eastAsia" w:ascii="仿宋" w:hAnsi="仿宋" w:eastAsia="仿宋" w:cs="仿宋"/>
          <w:color w:val="auto"/>
          <w:sz w:val="24"/>
          <w:szCs w:val="24"/>
          <w:highlight w:val="none"/>
          <w:u w:val="single"/>
        </w:rPr>
        <w:t>（</w:t>
      </w:r>
      <w:r>
        <w:rPr>
          <w:color w:val="auto"/>
          <w:highlight w:val="none"/>
        </w:rPr>
        <w:fldChar w:fldCharType="begin"/>
      </w:r>
      <w:r>
        <w:rPr>
          <w:color w:val="auto"/>
          <w:highlight w:val="none"/>
        </w:rPr>
        <w:instrText xml:space="preserve"> HYPERLINK "http://zfcg.czt.zj.gov.cn" </w:instrText>
      </w:r>
      <w:r>
        <w:rPr>
          <w:color w:val="auto"/>
          <w:highlight w:val="none"/>
        </w:rPr>
        <w:fldChar w:fldCharType="separate"/>
      </w:r>
      <w:r>
        <w:rPr>
          <w:rStyle w:val="24"/>
          <w:rFonts w:hint="eastAsia" w:ascii="仿宋" w:hAnsi="仿宋" w:eastAsia="仿宋" w:cs="仿宋"/>
          <w:color w:val="auto"/>
          <w:sz w:val="24"/>
          <w:szCs w:val="24"/>
          <w:highlight w:val="none"/>
        </w:rPr>
        <w:t>http://zfcg.czt.zj.gov.cn</w:t>
      </w:r>
      <w:r>
        <w:rPr>
          <w:rStyle w:val="24"/>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注册成为正式供应商的，请注册完成审核成功后方可登录获取，注册流程见网址：</w:t>
      </w:r>
      <w:r>
        <w:rPr>
          <w:rFonts w:hint="eastAsia" w:ascii="仿宋" w:hAnsi="仿宋" w:eastAsia="仿宋" w:cs="仿宋"/>
          <w:color w:val="auto"/>
          <w:sz w:val="24"/>
          <w:szCs w:val="24"/>
          <w:highlight w:val="none"/>
          <w:u w:val="single"/>
        </w:rPr>
        <w:t>http://</w:t>
      </w:r>
      <w:r>
        <w:rPr>
          <w:color w:val="auto"/>
          <w:highlight w:val="none"/>
        </w:rPr>
        <w:fldChar w:fldCharType="begin"/>
      </w:r>
      <w:r>
        <w:rPr>
          <w:color w:val="auto"/>
          <w:highlight w:val="none"/>
        </w:rPr>
        <w:instrText xml:space="preserve"> HYPERLINK "http://zfcg.czt.zj.gov.cn/register/2017-07-24/6728.html?_=2020-03-09%2006:00:22" </w:instrText>
      </w:r>
      <w:r>
        <w:rPr>
          <w:color w:val="auto"/>
          <w:highlight w:val="none"/>
        </w:rPr>
        <w:fldChar w:fldCharType="separate"/>
      </w:r>
      <w:r>
        <w:rPr>
          <w:rFonts w:hint="eastAsia" w:ascii="仿宋" w:hAnsi="仿宋" w:eastAsia="仿宋" w:cs="仿宋"/>
          <w:color w:val="auto"/>
          <w:sz w:val="24"/>
          <w:szCs w:val="24"/>
          <w:highlight w:val="none"/>
          <w:u w:val="single"/>
        </w:rPr>
        <w:t>zfcg.czt.zj.gov.cn/register/2017-07-24/6728.html?_=2020-03-09%207:</w:t>
      </w:r>
      <w:bookmarkStart w:id="63" w:name="_Hlt34749271"/>
      <w:bookmarkStart w:id="64" w:name="_Hlt34749270"/>
      <w:r>
        <w:rPr>
          <w:rFonts w:hint="eastAsia" w:ascii="仿宋" w:hAnsi="仿宋" w:eastAsia="仿宋" w:cs="仿宋"/>
          <w:color w:val="auto"/>
          <w:sz w:val="24"/>
          <w:szCs w:val="24"/>
          <w:highlight w:val="none"/>
          <w:u w:val="single"/>
        </w:rPr>
        <w:t>0</w:t>
      </w:r>
      <w:bookmarkEnd w:id="63"/>
      <w:bookmarkEnd w:id="64"/>
      <w:r>
        <w:rPr>
          <w:rFonts w:hint="eastAsia" w:ascii="仿宋" w:hAnsi="仿宋" w:eastAsia="仿宋" w:cs="仿宋"/>
          <w:color w:val="auto"/>
          <w:sz w:val="24"/>
          <w:szCs w:val="24"/>
          <w:highlight w:val="none"/>
          <w:u w:val="single"/>
        </w:rPr>
        <w:t>0:22</w:t>
      </w:r>
      <w:r>
        <w:rPr>
          <w:rFonts w:hint="eastAsia" w:ascii="仿宋" w:hAnsi="仿宋" w:eastAsia="仿宋" w:cs="仿宋"/>
          <w:color w:val="auto"/>
          <w:sz w:val="24"/>
          <w:szCs w:val="24"/>
          <w:highlight w:val="none"/>
          <w:u w:val="single"/>
        </w:rPr>
        <w:fldChar w:fldCharType="end"/>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，注册咨询电话：95763；</w:t>
      </w:r>
    </w:p>
    <w:p w14:paraId="2E263CC4">
      <w:pPr>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 3 \* GB2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⑶</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在浙江政府采购网采购公告附件中以“游客”身份（或丽水市公共资源交易网）获取的采购文件在仅供阅览；潜在供应商未按上述第</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 1 \* GB2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⑴</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条方式获取采购文件的不得对采购文件提起质疑投诉。</w:t>
      </w:r>
    </w:p>
    <w:p w14:paraId="4740F3A3">
      <w:pPr>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 售价：0元</w:t>
      </w:r>
    </w:p>
    <w:bookmarkEnd w:id="59"/>
    <w:bookmarkEnd w:id="60"/>
    <w:bookmarkEnd w:id="61"/>
    <w:bookmarkEnd w:id="62"/>
    <w:p w14:paraId="0DB49C0B">
      <w:pPr>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四、响应文件提交（上传）</w:t>
      </w:r>
    </w:p>
    <w:p w14:paraId="27E40491">
      <w:pPr>
        <w:spacing w:line="440" w:lineRule="exact"/>
        <w:ind w:firstLine="480" w:firstLineChars="200"/>
        <w:rPr>
          <w:rFonts w:ascii="仿宋" w:hAnsi="仿宋" w:eastAsia="仿宋" w:cs="仿宋"/>
          <w:bCs/>
          <w:color w:val="auto"/>
          <w:sz w:val="24"/>
          <w:szCs w:val="24"/>
          <w:highlight w:val="none"/>
          <w:u w:val="single"/>
        </w:rPr>
      </w:pPr>
      <w:r>
        <w:rPr>
          <w:rFonts w:hint="eastAsia" w:ascii="仿宋" w:hAnsi="仿宋" w:eastAsia="仿宋" w:cs="仿宋"/>
          <w:color w:val="auto"/>
          <w:sz w:val="24"/>
          <w:szCs w:val="24"/>
          <w:highlight w:val="none"/>
        </w:rPr>
        <w:t>1. 截止时间：2</w:t>
      </w:r>
      <w:r>
        <w:rPr>
          <w:rFonts w:hint="eastAsia" w:ascii="仿宋" w:hAnsi="仿宋" w:eastAsia="仿宋" w:cs="仿宋"/>
          <w:color w:val="auto"/>
          <w:sz w:val="24"/>
          <w:szCs w:val="24"/>
          <w:highlight w:val="none"/>
          <w:u w:val="single"/>
        </w:rPr>
        <w:t>025年</w:t>
      </w:r>
      <w:r>
        <w:rPr>
          <w:rFonts w:hint="eastAsia" w:ascii="仿宋" w:hAnsi="仿宋" w:eastAsia="仿宋" w:cs="仿宋"/>
          <w:color w:val="auto"/>
          <w:sz w:val="24"/>
          <w:szCs w:val="24"/>
          <w:highlight w:val="none"/>
          <w:u w:val="single"/>
          <w:lang w:val="en-US" w:eastAsia="zh-CN"/>
        </w:rPr>
        <w:t>7</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10</w:t>
      </w:r>
      <w:r>
        <w:rPr>
          <w:rFonts w:hint="eastAsia" w:ascii="仿宋" w:hAnsi="仿宋" w:eastAsia="仿宋" w:cs="仿宋"/>
          <w:color w:val="auto"/>
          <w:sz w:val="24"/>
          <w:szCs w:val="24"/>
          <w:highlight w:val="none"/>
          <w:u w:val="single"/>
        </w:rPr>
        <w:t>日9:00（</w:t>
      </w:r>
      <w:r>
        <w:rPr>
          <w:rFonts w:hint="eastAsia" w:ascii="仿宋" w:hAnsi="仿宋" w:eastAsia="仿宋" w:cs="仿宋"/>
          <w:bCs/>
          <w:color w:val="auto"/>
          <w:sz w:val="24"/>
          <w:szCs w:val="24"/>
          <w:highlight w:val="none"/>
          <w:u w:val="single"/>
        </w:rPr>
        <w:t>北京时间）</w:t>
      </w:r>
      <w:r>
        <w:rPr>
          <w:rFonts w:hint="eastAsia" w:ascii="仿宋" w:hAnsi="仿宋" w:eastAsia="仿宋" w:cs="仿宋"/>
          <w:bCs/>
          <w:color w:val="auto"/>
          <w:sz w:val="24"/>
          <w:szCs w:val="24"/>
          <w:highlight w:val="none"/>
        </w:rPr>
        <w:t>；</w:t>
      </w:r>
    </w:p>
    <w:p w14:paraId="3855AFE0">
      <w:pPr>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 地点：</w:t>
      </w:r>
    </w:p>
    <w:p w14:paraId="4AB78489">
      <w:pPr>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 1 \* GB2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⑴</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 xml:space="preserve"> 电子加密磋商响应文件：在“政府采购云平台”上传提交，“电子加密磋商响应文件”成功上传提交后，供应商自行打印磋商响应文件接收回执。</w:t>
      </w:r>
    </w:p>
    <w:p w14:paraId="251000C3">
      <w:pPr>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 2 \* GB2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⑵</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备份磋商响应文件：供应商自行确定是否提交；若提交请将备份磋商响应文件以电子邮件的形式发送至（23469090@qq.com），备份磋商响应文件在“电子加密磋商响应文件”在线解密失败后启用，否则不予以启用；未在规定时间内发送备份磋商响应文件造成的响应无效或失败由供应商自行承当。</w:t>
      </w:r>
    </w:p>
    <w:p w14:paraId="542815AE">
      <w:pPr>
        <w:wordWrap w:val="0"/>
        <w:spacing w:line="420" w:lineRule="exact"/>
        <w:rPr>
          <w:rFonts w:ascii="仿宋" w:hAnsi="仿宋" w:eastAsia="仿宋" w:cs="仿宋"/>
          <w:b/>
          <w:color w:val="auto"/>
          <w:sz w:val="24"/>
          <w:szCs w:val="24"/>
          <w:highlight w:val="none"/>
        </w:rPr>
      </w:pPr>
      <w:bookmarkStart w:id="65" w:name="_Toc28359093"/>
      <w:bookmarkStart w:id="66" w:name="_Toc28359016"/>
      <w:bookmarkStart w:id="67" w:name="_Toc35393633"/>
      <w:bookmarkStart w:id="68" w:name="_Toc35393802"/>
      <w:r>
        <w:rPr>
          <w:rFonts w:hint="eastAsia" w:ascii="仿宋" w:hAnsi="仿宋" w:eastAsia="仿宋" w:cs="仿宋"/>
          <w:b/>
          <w:color w:val="auto"/>
          <w:sz w:val="24"/>
          <w:szCs w:val="24"/>
          <w:highlight w:val="none"/>
        </w:rPr>
        <w:t>五、响应文件开启</w:t>
      </w:r>
      <w:bookmarkEnd w:id="65"/>
      <w:bookmarkEnd w:id="66"/>
      <w:bookmarkEnd w:id="67"/>
      <w:bookmarkEnd w:id="68"/>
    </w:p>
    <w:p w14:paraId="3E8C129D">
      <w:pPr>
        <w:wordWrap w:val="0"/>
        <w:spacing w:line="420" w:lineRule="exact"/>
        <w:ind w:firstLine="480" w:firstLineChars="200"/>
        <w:rPr>
          <w:rFonts w:ascii="仿宋" w:hAnsi="仿宋" w:eastAsia="仿宋" w:cs="仿宋"/>
          <w:bCs/>
          <w:color w:val="auto"/>
          <w:sz w:val="24"/>
          <w:szCs w:val="24"/>
          <w:highlight w:val="none"/>
          <w:u w:val="single"/>
        </w:rPr>
      </w:pPr>
      <w:r>
        <w:rPr>
          <w:rFonts w:hint="eastAsia" w:ascii="仿宋" w:hAnsi="仿宋" w:eastAsia="仿宋" w:cs="仿宋"/>
          <w:color w:val="auto"/>
          <w:sz w:val="24"/>
          <w:szCs w:val="24"/>
          <w:highlight w:val="none"/>
        </w:rPr>
        <w:t>开启时间：</w:t>
      </w:r>
      <w:r>
        <w:rPr>
          <w:rFonts w:hint="eastAsia" w:ascii="仿宋" w:hAnsi="仿宋" w:eastAsia="仿宋" w:cs="仿宋"/>
          <w:color w:val="auto"/>
          <w:sz w:val="24"/>
          <w:szCs w:val="24"/>
          <w:highlight w:val="none"/>
          <w:u w:val="single"/>
        </w:rPr>
        <w:t>2025年</w:t>
      </w:r>
      <w:r>
        <w:rPr>
          <w:rFonts w:hint="eastAsia" w:ascii="仿宋" w:hAnsi="仿宋" w:eastAsia="仿宋" w:cs="仿宋"/>
          <w:color w:val="auto"/>
          <w:sz w:val="24"/>
          <w:szCs w:val="24"/>
          <w:highlight w:val="none"/>
          <w:u w:val="single"/>
          <w:lang w:val="en-US" w:eastAsia="zh-CN"/>
        </w:rPr>
        <w:t>7</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10</w:t>
      </w:r>
      <w:r>
        <w:rPr>
          <w:rFonts w:hint="eastAsia" w:ascii="仿宋" w:hAnsi="仿宋" w:eastAsia="仿宋" w:cs="仿宋"/>
          <w:color w:val="auto"/>
          <w:sz w:val="24"/>
          <w:szCs w:val="24"/>
          <w:highlight w:val="none"/>
          <w:u w:val="single"/>
        </w:rPr>
        <w:t>日9:00</w:t>
      </w:r>
      <w:r>
        <w:rPr>
          <w:rFonts w:hint="eastAsia" w:ascii="仿宋" w:hAnsi="仿宋" w:eastAsia="仿宋" w:cs="仿宋"/>
          <w:bCs/>
          <w:color w:val="auto"/>
          <w:sz w:val="24"/>
          <w:szCs w:val="24"/>
          <w:highlight w:val="none"/>
          <w:u w:val="single"/>
        </w:rPr>
        <w:t>（北京时间）</w:t>
      </w:r>
    </w:p>
    <w:p w14:paraId="47B79CE4">
      <w:pPr>
        <w:wordWrap w:val="0"/>
        <w:spacing w:line="420" w:lineRule="exact"/>
        <w:ind w:firstLine="480" w:firstLineChars="200"/>
        <w:rPr>
          <w:rFonts w:ascii="仿宋" w:hAnsi="仿宋" w:eastAsia="仿宋" w:cs="仿宋"/>
          <w:bCs/>
          <w:color w:val="auto"/>
          <w:sz w:val="24"/>
          <w:szCs w:val="24"/>
          <w:highlight w:val="none"/>
          <w:u w:val="single"/>
        </w:rPr>
      </w:pPr>
      <w:r>
        <w:rPr>
          <w:rFonts w:hint="eastAsia" w:ascii="仿宋" w:hAnsi="仿宋" w:eastAsia="仿宋" w:cs="仿宋"/>
          <w:color w:val="auto"/>
          <w:sz w:val="24"/>
          <w:szCs w:val="24"/>
          <w:highlight w:val="none"/>
        </w:rPr>
        <w:t>地点（网址）：</w:t>
      </w:r>
      <w:r>
        <w:rPr>
          <w:rFonts w:hint="eastAsia" w:ascii="仿宋" w:hAnsi="仿宋" w:eastAsia="仿宋" w:cs="仿宋"/>
          <w:bCs/>
          <w:color w:val="auto"/>
          <w:sz w:val="24"/>
          <w:szCs w:val="24"/>
          <w:highlight w:val="none"/>
        </w:rPr>
        <w:t>浙江政府采购网—用户入驻/登录—用户登录—项目采购—开标评标—进入开标大厅</w:t>
      </w:r>
    </w:p>
    <w:p w14:paraId="535DE7F6">
      <w:pPr>
        <w:wordWrap w:val="0"/>
        <w:spacing w:line="420" w:lineRule="exact"/>
        <w:rPr>
          <w:rFonts w:ascii="仿宋" w:hAnsi="仿宋" w:eastAsia="仿宋" w:cs="仿宋"/>
          <w:b/>
          <w:color w:val="auto"/>
          <w:sz w:val="24"/>
          <w:szCs w:val="24"/>
          <w:highlight w:val="none"/>
        </w:rPr>
      </w:pPr>
      <w:bookmarkStart w:id="69" w:name="_Toc35393803"/>
      <w:bookmarkStart w:id="70" w:name="_Toc28359017"/>
      <w:bookmarkStart w:id="71" w:name="_Toc28359094"/>
      <w:bookmarkStart w:id="72" w:name="_Toc35393634"/>
      <w:r>
        <w:rPr>
          <w:rFonts w:hint="eastAsia" w:ascii="仿宋" w:hAnsi="仿宋" w:eastAsia="仿宋" w:cs="仿宋"/>
          <w:b/>
          <w:color w:val="auto"/>
          <w:sz w:val="24"/>
          <w:szCs w:val="24"/>
          <w:highlight w:val="none"/>
        </w:rPr>
        <w:t>六、公告期限</w:t>
      </w:r>
      <w:bookmarkEnd w:id="69"/>
      <w:bookmarkEnd w:id="70"/>
      <w:bookmarkEnd w:id="71"/>
      <w:bookmarkEnd w:id="72"/>
    </w:p>
    <w:p w14:paraId="2FE005C0">
      <w:pPr>
        <w:wordWrap w:val="0"/>
        <w:spacing w:line="42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自本公告发布之日起3个工作日。</w:t>
      </w:r>
    </w:p>
    <w:p w14:paraId="27A7099D">
      <w:pPr>
        <w:wordWrap w:val="0"/>
        <w:spacing w:line="420" w:lineRule="exact"/>
        <w:rPr>
          <w:rFonts w:ascii="仿宋" w:hAnsi="仿宋" w:eastAsia="仿宋" w:cs="仿宋"/>
          <w:b/>
          <w:color w:val="auto"/>
          <w:sz w:val="24"/>
          <w:szCs w:val="24"/>
          <w:highlight w:val="none"/>
        </w:rPr>
      </w:pPr>
      <w:bookmarkStart w:id="73" w:name="_Toc35393626"/>
      <w:bookmarkStart w:id="74" w:name="_Toc35393795"/>
      <w:r>
        <w:rPr>
          <w:rFonts w:hint="eastAsia" w:ascii="仿宋" w:hAnsi="仿宋" w:eastAsia="仿宋" w:cs="仿宋"/>
          <w:b/>
          <w:color w:val="auto"/>
          <w:sz w:val="24"/>
          <w:szCs w:val="24"/>
          <w:highlight w:val="none"/>
        </w:rPr>
        <w:t>七、其他补充事宜</w:t>
      </w:r>
      <w:bookmarkEnd w:id="73"/>
      <w:bookmarkEnd w:id="74"/>
    </w:p>
    <w:p w14:paraId="58ADF0F2">
      <w:pPr>
        <w:wordWrap w:val="0"/>
        <w:snapToGrid w:val="0"/>
        <w:spacing w:line="440" w:lineRule="exact"/>
        <w:ind w:firstLine="51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 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7A1C799">
      <w:pPr>
        <w:wordWrap w:val="0"/>
        <w:snapToGrid w:val="0"/>
        <w:spacing w:line="420" w:lineRule="exact"/>
        <w:ind w:firstLine="51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 其他事项：</w:t>
      </w:r>
      <w:r>
        <w:rPr>
          <w:rFonts w:hint="eastAsia" w:ascii="仿宋" w:hAnsi="仿宋" w:eastAsia="仿宋" w:cs="仿宋"/>
          <w:bCs/>
          <w:snapToGrid w:val="0"/>
          <w:color w:val="auto"/>
          <w:sz w:val="24"/>
          <w:szCs w:val="24"/>
          <w:highlight w:val="none"/>
        </w:rPr>
        <w:tab/>
      </w:r>
      <w:r>
        <w:rPr>
          <w:rFonts w:hint="eastAsia" w:ascii="仿宋" w:hAnsi="仿宋" w:eastAsia="仿宋" w:cs="仿宋"/>
          <w:bCs/>
          <w:snapToGrid w:val="0"/>
          <w:color w:val="auto"/>
          <w:sz w:val="24"/>
          <w:szCs w:val="24"/>
          <w:highlight w:val="none"/>
        </w:rPr>
        <w:t>本项目全程电子招投标，相关的操作规程务必关注《政府采购项目电子交易管理操作指南-供应商》（网址：</w:t>
      </w:r>
      <w:r>
        <w:rPr>
          <w:color w:val="auto"/>
          <w:highlight w:val="none"/>
        </w:rPr>
        <w:fldChar w:fldCharType="begin"/>
      </w:r>
      <w:r>
        <w:rPr>
          <w:color w:val="auto"/>
          <w:highlight w:val="none"/>
        </w:rPr>
        <w:instrText xml:space="preserve"> HYPERLINK "https://service.zcygov.cn/" \l "/knowledges/CW1EtGwBFdiHxlNd6I3m/6IMVAG0BFdiHxlNdQ8Na" </w:instrText>
      </w:r>
      <w:r>
        <w:rPr>
          <w:color w:val="auto"/>
          <w:highlight w:val="none"/>
        </w:rPr>
        <w:fldChar w:fldCharType="separate"/>
      </w:r>
      <w:r>
        <w:rPr>
          <w:rStyle w:val="24"/>
          <w:rFonts w:hint="eastAsia" w:ascii="仿宋" w:hAnsi="仿宋" w:eastAsia="仿宋" w:cs="仿宋"/>
          <w:color w:val="auto"/>
          <w:sz w:val="24"/>
          <w:szCs w:val="24"/>
          <w:highlight w:val="none"/>
        </w:rPr>
        <w:t>https://service.zcygov.cn/#/knowledges/CW1EtGwBFdiHxlNd6I3m/6IMVAG0BFdiHxlNdQ8Na</w:t>
      </w:r>
      <w:r>
        <w:rPr>
          <w:rStyle w:val="24"/>
          <w:rFonts w:hint="eastAsia" w:ascii="仿宋" w:hAnsi="仿宋" w:eastAsia="仿宋" w:cs="仿宋"/>
          <w:color w:val="auto"/>
          <w:sz w:val="24"/>
          <w:szCs w:val="24"/>
          <w:highlight w:val="none"/>
        </w:rPr>
        <w:fldChar w:fldCharType="end"/>
      </w:r>
      <w:r>
        <w:rPr>
          <w:rFonts w:hint="eastAsia" w:ascii="仿宋" w:hAnsi="仿宋" w:eastAsia="仿宋" w:cs="仿宋"/>
          <w:bCs/>
          <w:snapToGrid w:val="0"/>
          <w:color w:val="auto"/>
          <w:sz w:val="24"/>
          <w:szCs w:val="24"/>
          <w:highlight w:val="none"/>
        </w:rPr>
        <w:t>）</w:t>
      </w:r>
    </w:p>
    <w:p w14:paraId="1D8C2FE1">
      <w:pPr>
        <w:wordWrap w:val="0"/>
        <w:snapToGrid w:val="0"/>
        <w:spacing w:line="440" w:lineRule="exact"/>
        <w:rPr>
          <w:rFonts w:ascii="仿宋" w:hAnsi="仿宋" w:eastAsia="仿宋" w:cs="仿宋"/>
          <w:color w:val="auto"/>
          <w:sz w:val="24"/>
          <w:szCs w:val="24"/>
          <w:highlight w:val="none"/>
        </w:rPr>
      </w:pPr>
      <w:bookmarkStart w:id="75" w:name="_Toc35393796"/>
      <w:bookmarkStart w:id="76" w:name="_Toc35393627"/>
      <w:bookmarkStart w:id="77" w:name="_Toc28359085"/>
      <w:bookmarkStart w:id="78" w:name="_Toc28359008"/>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八、</w:t>
      </w:r>
      <w:bookmarkEnd w:id="75"/>
      <w:bookmarkEnd w:id="76"/>
      <w:bookmarkEnd w:id="77"/>
      <w:bookmarkEnd w:id="78"/>
      <w:r>
        <w:rPr>
          <w:rFonts w:hint="eastAsia" w:ascii="仿宋" w:hAnsi="仿宋" w:eastAsia="仿宋" w:cs="仿宋"/>
          <w:b/>
          <w:bCs/>
          <w:color w:val="auto"/>
          <w:sz w:val="24"/>
          <w:szCs w:val="24"/>
          <w:highlight w:val="none"/>
        </w:rPr>
        <w:t>凡对本次采购提出询问、质疑、投诉，请按以下方式联系</w:t>
      </w:r>
    </w:p>
    <w:p w14:paraId="2805FFCB">
      <w:pPr>
        <w:wordWrap w:val="0"/>
        <w:snapToGrid w:val="0"/>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1. 采购人信息</w:t>
      </w:r>
    </w:p>
    <w:p w14:paraId="4CF66305">
      <w:pPr>
        <w:wordWrap w:val="0"/>
        <w:snapToGrid w:val="0"/>
        <w:spacing w:line="440" w:lineRule="exact"/>
        <w:ind w:firstLine="720" w:firstLineChars="3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名  称：</w:t>
      </w:r>
      <w:r>
        <w:rPr>
          <w:rFonts w:hint="eastAsia" w:ascii="仿宋" w:hAnsi="仿宋" w:eastAsia="仿宋" w:cs="仿宋"/>
          <w:color w:val="auto"/>
          <w:sz w:val="24"/>
          <w:szCs w:val="24"/>
          <w:highlight w:val="none"/>
          <w:lang w:eastAsia="zh-CN"/>
        </w:rPr>
        <w:t>庆元县文化和广电旅游体育局</w:t>
      </w:r>
    </w:p>
    <w:p w14:paraId="0268EB50">
      <w:pPr>
        <w:wordWrap w:val="0"/>
        <w:snapToGrid w:val="0"/>
        <w:spacing w:line="440" w:lineRule="exact"/>
        <w:ind w:firstLine="720" w:firstLineChars="3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地  址： </w:t>
      </w:r>
      <w:r>
        <w:rPr>
          <w:rFonts w:hint="eastAsia" w:ascii="仿宋" w:hAnsi="仿宋" w:eastAsia="仿宋" w:cs="仿宋"/>
          <w:color w:val="auto"/>
          <w:sz w:val="24"/>
          <w:szCs w:val="24"/>
          <w:highlight w:val="none"/>
          <w:lang w:eastAsia="zh-CN"/>
        </w:rPr>
        <w:t>庆元县濛洲街道云鹤路24号</w:t>
      </w:r>
    </w:p>
    <w:p w14:paraId="6E8A535E">
      <w:pPr>
        <w:wordWrap w:val="0"/>
        <w:snapToGrid w:val="0"/>
        <w:spacing w:line="440" w:lineRule="exact"/>
        <w:ind w:left="718" w:leftChars="342" w:firstLine="0"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项目联系人（询问）：</w:t>
      </w:r>
      <w:r>
        <w:rPr>
          <w:rFonts w:hint="eastAsia" w:ascii="仿宋" w:hAnsi="仿宋" w:eastAsia="仿宋" w:cs="仿宋"/>
          <w:color w:val="auto"/>
          <w:sz w:val="24"/>
          <w:szCs w:val="24"/>
          <w:highlight w:val="none"/>
          <w:lang w:val="en-US" w:eastAsia="zh-CN"/>
        </w:rPr>
        <w:t xml:space="preserve">吴祥锦 </w:t>
      </w:r>
      <w:r>
        <w:rPr>
          <w:rFonts w:hint="eastAsia" w:ascii="仿宋" w:hAnsi="仿宋" w:eastAsia="仿宋" w:cs="仿宋"/>
          <w:color w:val="auto"/>
          <w:sz w:val="24"/>
          <w:szCs w:val="24"/>
          <w:highlight w:val="none"/>
          <w:lang w:eastAsia="zh-CN"/>
        </w:rPr>
        <w:t xml:space="preserve"> 项目联系方式（询问）：</w:t>
      </w:r>
      <w:r>
        <w:rPr>
          <w:rFonts w:hint="eastAsia" w:ascii="仿宋" w:hAnsi="仿宋" w:eastAsia="仿宋" w:cs="仿宋"/>
          <w:color w:val="auto"/>
          <w:sz w:val="24"/>
          <w:szCs w:val="24"/>
          <w:highlight w:val="none"/>
          <w:lang w:val="en-US" w:eastAsia="zh-CN"/>
        </w:rPr>
        <w:t xml:space="preserve">13695782561   </w:t>
      </w:r>
      <w:r>
        <w:rPr>
          <w:rFonts w:hint="eastAsia" w:ascii="仿宋" w:hAnsi="仿宋" w:eastAsia="仿宋" w:cs="仿宋"/>
          <w:color w:val="auto"/>
          <w:sz w:val="24"/>
          <w:szCs w:val="24"/>
          <w:highlight w:val="none"/>
        </w:rPr>
        <w:t>质疑联系人：</w:t>
      </w:r>
      <w:r>
        <w:rPr>
          <w:rFonts w:hint="eastAsia" w:ascii="仿宋" w:hAnsi="仿宋" w:eastAsia="仿宋" w:cs="仿宋"/>
          <w:color w:val="auto"/>
          <w:sz w:val="24"/>
          <w:szCs w:val="24"/>
          <w:highlight w:val="none"/>
          <w:lang w:val="en-US" w:eastAsia="zh-CN"/>
        </w:rPr>
        <w:t xml:space="preserve">吴祥锦 </w:t>
      </w:r>
      <w:r>
        <w:rPr>
          <w:rFonts w:hint="eastAsia" w:ascii="仿宋" w:hAnsi="仿宋" w:eastAsia="仿宋" w:cs="仿宋"/>
          <w:color w:val="auto"/>
          <w:sz w:val="24"/>
          <w:szCs w:val="24"/>
          <w:highlight w:val="none"/>
        </w:rPr>
        <w:t xml:space="preserve">         质疑联系方式：</w:t>
      </w:r>
      <w:r>
        <w:rPr>
          <w:rFonts w:hint="eastAsia" w:ascii="仿宋" w:hAnsi="仿宋" w:eastAsia="仿宋" w:cs="仿宋"/>
          <w:color w:val="auto"/>
          <w:sz w:val="24"/>
          <w:szCs w:val="24"/>
          <w:highlight w:val="none"/>
          <w:lang w:val="en-US" w:eastAsia="zh-CN"/>
        </w:rPr>
        <w:t xml:space="preserve">13695782561   </w:t>
      </w:r>
    </w:p>
    <w:p w14:paraId="1DA94A70">
      <w:pPr>
        <w:wordWrap w:val="0"/>
        <w:snapToGrid w:val="0"/>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 采购代理机构信息</w:t>
      </w:r>
    </w:p>
    <w:p w14:paraId="578097DC">
      <w:pPr>
        <w:wordWrap w:val="0"/>
        <w:snapToGrid w:val="0"/>
        <w:spacing w:line="440" w:lineRule="exact"/>
        <w:ind w:firstLine="720" w:firstLineChars="3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名  称：浙江丽水兴华工程管理有限公司</w:t>
      </w:r>
    </w:p>
    <w:p w14:paraId="724B38C9">
      <w:pPr>
        <w:wordWrap w:val="0"/>
        <w:snapToGrid w:val="0"/>
        <w:spacing w:line="440" w:lineRule="exact"/>
        <w:ind w:firstLine="720" w:firstLineChars="3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地  址：庆元县城南中路104号 </w:t>
      </w:r>
    </w:p>
    <w:p w14:paraId="59AEAFC7">
      <w:pPr>
        <w:wordWrap w:val="0"/>
        <w:snapToGrid w:val="0"/>
        <w:spacing w:line="440" w:lineRule="exact"/>
        <w:ind w:firstLine="720" w:firstLineChars="3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项目联系人（询问）：江丽燕  项目联系方式（询问）：0578-2360555</w:t>
      </w:r>
    </w:p>
    <w:p w14:paraId="0826C326">
      <w:pPr>
        <w:wordWrap w:val="0"/>
        <w:snapToGrid w:val="0"/>
        <w:spacing w:line="440" w:lineRule="exact"/>
        <w:ind w:firstLine="720" w:firstLineChars="3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质疑联系人：</w:t>
      </w:r>
      <w:r>
        <w:rPr>
          <w:rFonts w:hint="eastAsia" w:ascii="仿宋" w:hAnsi="仿宋" w:eastAsia="仿宋" w:cs="仿宋"/>
          <w:bCs/>
          <w:snapToGrid w:val="0"/>
          <w:color w:val="auto"/>
          <w:sz w:val="24"/>
          <w:szCs w:val="24"/>
          <w:highlight w:val="none"/>
        </w:rPr>
        <w:t>洪跃华</w:t>
      </w:r>
      <w:r>
        <w:rPr>
          <w:rFonts w:hint="eastAsia" w:ascii="宋体" w:hAnsi="宋体" w:eastAsia="仿宋" w:cs="宋体"/>
          <w:color w:val="auto"/>
          <w:sz w:val="24"/>
          <w:szCs w:val="24"/>
          <w:highlight w:val="none"/>
        </w:rPr>
        <w:t> </w:t>
      </w:r>
      <w:r>
        <w:rPr>
          <w:rFonts w:hint="eastAsia" w:ascii="仿宋" w:hAnsi="仿宋" w:eastAsia="仿宋" w:cs="仿宋"/>
          <w:color w:val="auto"/>
          <w:sz w:val="24"/>
          <w:szCs w:val="24"/>
          <w:highlight w:val="none"/>
        </w:rPr>
        <w:t xml:space="preserve">        质疑联系方式：0578-</w:t>
      </w:r>
      <w:r>
        <w:rPr>
          <w:rFonts w:hint="eastAsia" w:ascii="仿宋" w:hAnsi="仿宋" w:eastAsia="仿宋" w:cs="仿宋"/>
          <w:color w:val="auto"/>
          <w:sz w:val="24"/>
          <w:szCs w:val="24"/>
          <w:highlight w:val="none"/>
          <w:lang w:val="en-US" w:eastAsia="zh-CN"/>
        </w:rPr>
        <w:t>2121823</w:t>
      </w:r>
    </w:p>
    <w:p w14:paraId="56B0E43E">
      <w:pPr>
        <w:pStyle w:val="25"/>
        <w:rPr>
          <w:rFonts w:ascii="仿宋" w:hAnsi="仿宋" w:eastAsia="仿宋"/>
          <w:color w:val="auto"/>
          <w:highlight w:val="none"/>
        </w:rPr>
      </w:pPr>
      <w:r>
        <w:rPr>
          <w:rFonts w:hint="eastAsia" w:ascii="仿宋" w:hAnsi="仿宋" w:eastAsia="仿宋" w:cs="仿宋"/>
          <w:color w:val="auto"/>
          <w:szCs w:val="24"/>
          <w:highlight w:val="none"/>
        </w:rPr>
        <w:t xml:space="preserve">     传   真：</w:t>
      </w:r>
      <w:r>
        <w:rPr>
          <w:rFonts w:hint="eastAsia" w:ascii="仿宋" w:hAnsi="仿宋" w:eastAsia="仿宋" w:cs="仿宋"/>
          <w:color w:val="auto"/>
          <w:sz w:val="24"/>
          <w:szCs w:val="24"/>
          <w:highlight w:val="none"/>
        </w:rPr>
        <w:t>0578-</w:t>
      </w:r>
      <w:r>
        <w:rPr>
          <w:rFonts w:hint="eastAsia" w:ascii="仿宋" w:hAnsi="仿宋" w:eastAsia="仿宋" w:cs="仿宋"/>
          <w:color w:val="auto"/>
          <w:sz w:val="24"/>
          <w:szCs w:val="24"/>
          <w:highlight w:val="none"/>
          <w:lang w:val="en-US" w:eastAsia="zh-CN"/>
        </w:rPr>
        <w:t>2121823</w:t>
      </w:r>
    </w:p>
    <w:p w14:paraId="4A6077F6">
      <w:pPr>
        <w:wordWrap w:val="0"/>
        <w:snapToGrid w:val="0"/>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 同级政府采购监督管理部门</w:t>
      </w:r>
    </w:p>
    <w:p w14:paraId="0AB7A081">
      <w:pPr>
        <w:wordWrap w:val="0"/>
        <w:snapToGrid w:val="0"/>
        <w:spacing w:line="440" w:lineRule="exact"/>
        <w:ind w:firstLine="720" w:firstLineChars="3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名  称：</w:t>
      </w:r>
      <w:r>
        <w:rPr>
          <w:rFonts w:hint="eastAsia" w:ascii="仿宋" w:hAnsi="仿宋" w:eastAsia="仿宋" w:cs="仿宋"/>
          <w:color w:val="auto"/>
          <w:sz w:val="24"/>
          <w:highlight w:val="none"/>
        </w:rPr>
        <w:t>庆元县财政局</w:t>
      </w:r>
      <w:r>
        <w:rPr>
          <w:rFonts w:hint="eastAsia" w:ascii="仿宋" w:hAnsi="仿宋" w:eastAsia="仿宋" w:cs="仿宋"/>
          <w:color w:val="auto"/>
          <w:sz w:val="24"/>
          <w:szCs w:val="24"/>
          <w:highlight w:val="none"/>
        </w:rPr>
        <w:t> </w:t>
      </w:r>
    </w:p>
    <w:p w14:paraId="69249283">
      <w:pPr>
        <w:wordWrap w:val="0"/>
        <w:snapToGrid w:val="0"/>
        <w:spacing w:line="440" w:lineRule="exact"/>
        <w:ind w:firstLine="720" w:firstLineChars="3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地  址：</w:t>
      </w:r>
      <w:r>
        <w:rPr>
          <w:rFonts w:hint="eastAsia" w:ascii="仿宋" w:hAnsi="仿宋" w:eastAsia="仿宋" w:cs="仿宋"/>
          <w:color w:val="auto"/>
          <w:sz w:val="24"/>
          <w:highlight w:val="none"/>
        </w:rPr>
        <w:t xml:space="preserve">庆元县濛洲街198号    </w:t>
      </w:r>
      <w:r>
        <w:rPr>
          <w:rFonts w:hint="eastAsia" w:ascii="仿宋" w:hAnsi="仿宋" w:eastAsia="仿宋" w:cs="仿宋"/>
          <w:color w:val="auto"/>
          <w:sz w:val="24"/>
          <w:szCs w:val="24"/>
          <w:highlight w:val="none"/>
        </w:rPr>
        <w:t>传  真：/</w:t>
      </w:r>
    </w:p>
    <w:p w14:paraId="5908D448">
      <w:pPr>
        <w:wordWrap w:val="0"/>
        <w:snapToGrid w:val="0"/>
        <w:spacing w:line="440" w:lineRule="exact"/>
        <w:ind w:firstLine="720" w:firstLineChars="3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highlight w:val="none"/>
          <w:lang w:eastAsia="zh-CN"/>
        </w:rPr>
        <w:t>姚伟波</w:t>
      </w:r>
      <w:r>
        <w:rPr>
          <w:rFonts w:hint="eastAsia" w:ascii="仿宋" w:hAnsi="仿宋" w:eastAsia="仿宋" w:cs="仿宋"/>
          <w:color w:val="auto"/>
          <w:sz w:val="24"/>
          <w:szCs w:val="24"/>
          <w:highlight w:val="none"/>
        </w:rPr>
        <w:t xml:space="preserve">  监督投诉电话：</w:t>
      </w:r>
      <w:r>
        <w:rPr>
          <w:rFonts w:hint="eastAsia" w:ascii="仿宋" w:hAnsi="仿宋" w:eastAsia="仿宋" w:cs="仿宋"/>
          <w:color w:val="auto"/>
          <w:sz w:val="24"/>
          <w:highlight w:val="none"/>
        </w:rPr>
        <w:t>0578-6019125</w:t>
      </w:r>
      <w:r>
        <w:rPr>
          <w:rFonts w:hint="eastAsia" w:ascii="仿宋" w:hAnsi="仿宋" w:eastAsia="仿宋" w:cs="仿宋"/>
          <w:color w:val="auto"/>
          <w:sz w:val="24"/>
          <w:szCs w:val="24"/>
          <w:highlight w:val="none"/>
        </w:rPr>
        <w:t xml:space="preserve"> </w:t>
      </w:r>
    </w:p>
    <w:p w14:paraId="79E2213C">
      <w:pPr>
        <w:rPr>
          <w:rFonts w:ascii="仿宋" w:hAnsi="仿宋" w:eastAsia="仿宋"/>
          <w:color w:val="auto"/>
          <w:highlight w:val="none"/>
        </w:rPr>
      </w:pPr>
    </w:p>
    <w:p w14:paraId="1F59FE92">
      <w:pPr>
        <w:pStyle w:val="8"/>
        <w:ind w:firstLine="210"/>
        <w:rPr>
          <w:color w:val="auto"/>
          <w:highlight w:val="none"/>
        </w:rPr>
      </w:pPr>
    </w:p>
    <w:p w14:paraId="2F48E60D">
      <w:pPr>
        <w:tabs>
          <w:tab w:val="left" w:pos="540"/>
        </w:tabs>
        <w:wordWrap w:val="0"/>
        <w:snapToGrid w:val="0"/>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若对项目采购电子交易系统操作有疑问，可登录政采云（https://www.zcygov.cn/），点击右侧咨询小采，获取采小蜜智能服务管家帮助，或拨打政采云服务热线95763获取热线服务帮助。 </w:t>
      </w:r>
      <w:r>
        <w:rPr>
          <w:rFonts w:hint="eastAsia" w:ascii="仿宋" w:hAnsi="仿宋" w:eastAsia="仿宋" w:cs="仿宋"/>
          <w:color w:val="auto"/>
          <w:sz w:val="24"/>
          <w:szCs w:val="24"/>
          <w:highlight w:val="none"/>
        </w:rPr>
        <w:tab/>
      </w:r>
    </w:p>
    <w:p w14:paraId="11892CBA">
      <w:pPr>
        <w:tabs>
          <w:tab w:val="left" w:pos="540"/>
        </w:tabs>
        <w:wordWrap w:val="0"/>
        <w:snapToGrid w:val="0"/>
        <w:spacing w:line="440" w:lineRule="exact"/>
        <w:ind w:firstLine="480" w:firstLineChars="200"/>
        <w:rPr>
          <w:rFonts w:ascii="仿宋" w:hAnsi="仿宋" w:eastAsia="仿宋" w:cs="仿宋"/>
          <w:b/>
          <w:strike/>
          <w:color w:val="auto"/>
          <w:szCs w:val="21"/>
          <w:highlight w:val="none"/>
        </w:rPr>
        <w:sectPr>
          <w:footerReference r:id="rId8" w:type="default"/>
          <w:pgSz w:w="11906" w:h="16838"/>
          <w:pgMar w:top="1440" w:right="1797" w:bottom="1440" w:left="1797" w:header="851" w:footer="851" w:gutter="0"/>
          <w:pgBorders>
            <w:top w:val="none" w:sz="0" w:space="0"/>
            <w:left w:val="none" w:sz="0" w:space="0"/>
            <w:bottom w:val="none" w:sz="0" w:space="0"/>
            <w:right w:val="none" w:sz="0" w:space="0"/>
          </w:pgBorders>
          <w:pgNumType w:start="1"/>
          <w:cols w:space="720" w:num="1"/>
          <w:docGrid w:linePitch="312" w:charSpace="0"/>
        </w:sectPr>
      </w:pPr>
      <w:r>
        <w:rPr>
          <w:rFonts w:hint="eastAsia" w:ascii="仿宋" w:hAnsi="仿宋" w:eastAsia="仿宋" w:cs="仿宋"/>
          <w:color w:val="auto"/>
          <w:sz w:val="24"/>
          <w:szCs w:val="24"/>
          <w:highlight w:val="none"/>
        </w:rPr>
        <w:t>CA问题联系电话（人工）：汇信CA 400-888-4636；天谷CA 400-087-8198。</w:t>
      </w:r>
      <w:bookmarkEnd w:id="46"/>
      <w:bookmarkStart w:id="79" w:name="_Toc493956019"/>
    </w:p>
    <w:p w14:paraId="0996F43D">
      <w:pPr>
        <w:pStyle w:val="19"/>
        <w:spacing w:before="0" w:after="0" w:line="400" w:lineRule="exact"/>
        <w:rPr>
          <w:rFonts w:ascii="仿宋" w:hAnsi="仿宋" w:eastAsia="仿宋" w:cs="仿宋"/>
          <w:color w:val="auto"/>
          <w:sz w:val="36"/>
          <w:szCs w:val="36"/>
          <w:highlight w:val="none"/>
        </w:rPr>
        <w:sectPr>
          <w:type w:val="continuous"/>
          <w:pgSz w:w="11906" w:h="16838"/>
          <w:pgMar w:top="1440" w:right="1797" w:bottom="1440" w:left="1797" w:header="851" w:footer="851" w:gutter="0"/>
          <w:pgBorders>
            <w:top w:val="none" w:sz="0" w:space="0"/>
            <w:left w:val="none" w:sz="0" w:space="0"/>
            <w:bottom w:val="none" w:sz="0" w:space="0"/>
            <w:right w:val="none" w:sz="0" w:space="0"/>
          </w:pgBorders>
          <w:cols w:space="720" w:num="1"/>
          <w:titlePg/>
          <w:docGrid w:linePitch="312" w:charSpace="0"/>
        </w:sectPr>
      </w:pPr>
      <w:bookmarkStart w:id="80" w:name="_Toc530551805"/>
      <w:bookmarkStart w:id="81" w:name="_Toc531358960"/>
    </w:p>
    <w:bookmarkEnd w:id="79"/>
    <w:bookmarkEnd w:id="80"/>
    <w:bookmarkEnd w:id="81"/>
    <w:p w14:paraId="5F19BEC0">
      <w:pPr>
        <w:pStyle w:val="19"/>
        <w:keepNext/>
        <w:keepLines/>
        <w:pageBreakBefore w:val="0"/>
        <w:widowControl w:val="0"/>
        <w:kinsoku/>
        <w:wordWrap/>
        <w:overflowPunct/>
        <w:topLinePunct w:val="0"/>
        <w:autoSpaceDE/>
        <w:autoSpaceDN/>
        <w:bidi w:val="0"/>
        <w:adjustRightInd/>
        <w:snapToGrid/>
        <w:spacing w:before="0" w:after="0"/>
        <w:textAlignment w:val="auto"/>
        <w:rPr>
          <w:rFonts w:hint="eastAsia" w:ascii="仿宋" w:hAnsi="仿宋" w:eastAsia="仿宋" w:cs="仿宋"/>
          <w:color w:val="auto"/>
          <w:sz w:val="36"/>
          <w:szCs w:val="36"/>
          <w:highlight w:val="none"/>
        </w:rPr>
      </w:pPr>
      <w:bookmarkStart w:id="82" w:name="_Toc5453"/>
      <w:bookmarkStart w:id="83" w:name="_Toc25544"/>
      <w:bookmarkStart w:id="84" w:name="_Toc12444"/>
      <w:bookmarkStart w:id="85" w:name="_Toc409683143"/>
      <w:bookmarkStart w:id="86" w:name="_Toc493956031"/>
      <w:bookmarkStart w:id="87" w:name="_Toc531358974"/>
      <w:bookmarkStart w:id="88" w:name="_Toc530551819"/>
      <w:r>
        <w:rPr>
          <w:rFonts w:hint="eastAsia" w:ascii="仿宋" w:hAnsi="仿宋" w:eastAsia="仿宋" w:cs="仿宋"/>
          <w:color w:val="auto"/>
          <w:sz w:val="36"/>
          <w:szCs w:val="36"/>
          <w:highlight w:val="none"/>
          <w:lang w:val="en-US" w:eastAsia="zh-CN"/>
        </w:rPr>
        <w:t xml:space="preserve">第二章 </w:t>
      </w:r>
      <w:r>
        <w:rPr>
          <w:rFonts w:hint="eastAsia" w:ascii="仿宋" w:hAnsi="仿宋" w:eastAsia="仿宋" w:cs="仿宋"/>
          <w:color w:val="auto"/>
          <w:sz w:val="36"/>
          <w:szCs w:val="36"/>
          <w:highlight w:val="none"/>
        </w:rPr>
        <w:t>采购需求</w:t>
      </w:r>
      <w:bookmarkEnd w:id="82"/>
      <w:bookmarkEnd w:id="83"/>
      <w:bookmarkEnd w:id="84"/>
    </w:p>
    <w:p w14:paraId="0EC491DF">
      <w:pPr>
        <w:pStyle w:val="6"/>
        <w:keepNext/>
        <w:keepLines/>
        <w:pageBreakBefore w:val="0"/>
        <w:widowControl w:val="0"/>
        <w:numPr>
          <w:ilvl w:val="0"/>
          <w:numId w:val="1"/>
        </w:numPr>
        <w:kinsoku w:val="0"/>
        <w:wordWrap w:val="0"/>
        <w:overflowPunct/>
        <w:topLinePunct w:val="0"/>
        <w:autoSpaceDE/>
        <w:autoSpaceDN/>
        <w:bidi w:val="0"/>
        <w:adjustRightInd/>
        <w:snapToGrid/>
        <w:spacing w:before="200" w:after="200"/>
        <w:ind w:left="0" w:leftChars="0" w:firstLine="420" w:firstLineChars="0"/>
        <w:textAlignment w:val="auto"/>
        <w:rPr>
          <w:rFonts w:hint="eastAsia" w:ascii="仿宋" w:hAnsi="仿宋" w:eastAsia="仿宋" w:cs="仿宋"/>
          <w:color w:val="auto"/>
          <w:spacing w:val="0"/>
          <w:w w:val="100"/>
          <w:kern w:val="2"/>
          <w:sz w:val="32"/>
          <w:szCs w:val="32"/>
          <w:highlight w:val="none"/>
        </w:rPr>
      </w:pPr>
      <w:bookmarkStart w:id="89" w:name="_Toc20145"/>
      <w:bookmarkStart w:id="90" w:name="_Toc19296"/>
      <w:bookmarkStart w:id="91" w:name="_Toc30675"/>
      <w:bookmarkStart w:id="92" w:name="_Toc21157"/>
      <w:bookmarkStart w:id="93" w:name="_Toc16563"/>
      <w:bookmarkStart w:id="94" w:name="_Toc31944"/>
      <w:bookmarkStart w:id="95" w:name="_Toc11787893"/>
      <w:bookmarkStart w:id="96" w:name="_Toc10183"/>
      <w:bookmarkStart w:id="97" w:name="_Toc27783"/>
      <w:r>
        <w:rPr>
          <w:rFonts w:hint="eastAsia" w:ascii="仿宋" w:hAnsi="仿宋" w:eastAsia="仿宋" w:cs="仿宋"/>
          <w:color w:val="auto"/>
          <w:sz w:val="32"/>
          <w:szCs w:val="32"/>
          <w:highlight w:val="none"/>
        </w:rPr>
        <w:t>招标内容</w:t>
      </w:r>
      <w:bookmarkEnd w:id="89"/>
      <w:bookmarkEnd w:id="90"/>
    </w:p>
    <w:bookmarkEnd w:id="91"/>
    <w:bookmarkEnd w:id="92"/>
    <w:p w14:paraId="68A11958">
      <w:pPr>
        <w:pStyle w:val="18"/>
        <w:widowControl w:val="0"/>
        <w:snapToGrid w:val="0"/>
        <w:spacing w:before="0" w:beforeAutospacing="0" w:after="0" w:afterAutospacing="0" w:line="360" w:lineRule="auto"/>
        <w:ind w:firstLine="480" w:firstLineChars="200"/>
        <w:rPr>
          <w:rFonts w:ascii="仿宋" w:hAnsi="仿宋" w:eastAsia="仿宋" w:cs="仿宋"/>
          <w:color w:val="auto"/>
          <w:highlight w:val="none"/>
        </w:rPr>
      </w:pPr>
      <w:bookmarkStart w:id="98" w:name="_Toc16103"/>
      <w:bookmarkStart w:id="99" w:name="_Toc14397"/>
      <w:bookmarkStart w:id="100" w:name="_Toc13499"/>
      <w:bookmarkStart w:id="101" w:name="_Toc3131"/>
      <w:r>
        <w:rPr>
          <w:rFonts w:hint="eastAsia" w:ascii="仿宋" w:hAnsi="仿宋" w:eastAsia="仿宋" w:cs="仿宋"/>
          <w:color w:val="auto"/>
          <w:highlight w:val="none"/>
        </w:rPr>
        <w:t>所有图书为202</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年</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月1日以后出版</w:t>
      </w:r>
      <w:r>
        <w:rPr>
          <w:rFonts w:hint="eastAsia" w:ascii="仿宋" w:hAnsi="仿宋" w:eastAsia="仿宋" w:cs="仿宋"/>
          <w:color w:val="auto"/>
          <w:highlight w:val="none"/>
          <w:lang w:val="en-US" w:eastAsia="zh-CN"/>
        </w:rPr>
        <w:t>或</w:t>
      </w:r>
      <w:r>
        <w:rPr>
          <w:rFonts w:hint="eastAsia" w:ascii="仿宋" w:hAnsi="仿宋" w:eastAsia="仿宋" w:cs="仿宋"/>
          <w:color w:val="auto"/>
          <w:highlight w:val="none"/>
        </w:rPr>
        <w:t>印刷的常用纸质新图书。供货期限一年，自合同签订之日起计。</w:t>
      </w:r>
    </w:p>
    <w:tbl>
      <w:tblPr>
        <w:tblStyle w:val="20"/>
        <w:tblW w:w="81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2037"/>
        <w:gridCol w:w="696"/>
        <w:gridCol w:w="762"/>
        <w:gridCol w:w="1188"/>
        <w:gridCol w:w="2637"/>
      </w:tblGrid>
      <w:tr w14:paraId="22C12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 w:type="dxa"/>
            <w:vAlign w:val="center"/>
          </w:tcPr>
          <w:p w14:paraId="3CD48B0C">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标项</w:t>
            </w:r>
          </w:p>
        </w:tc>
        <w:tc>
          <w:tcPr>
            <w:tcW w:w="2037" w:type="dxa"/>
            <w:vAlign w:val="center"/>
          </w:tcPr>
          <w:p w14:paraId="4F821588">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标项内容</w:t>
            </w:r>
          </w:p>
        </w:tc>
        <w:tc>
          <w:tcPr>
            <w:tcW w:w="696" w:type="dxa"/>
            <w:vAlign w:val="center"/>
          </w:tcPr>
          <w:p w14:paraId="5807FF7C">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762" w:type="dxa"/>
            <w:vAlign w:val="center"/>
          </w:tcPr>
          <w:p w14:paraId="3A596165">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1188" w:type="dxa"/>
            <w:vAlign w:val="center"/>
          </w:tcPr>
          <w:p w14:paraId="17D8D977">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预算金额(万元)</w:t>
            </w:r>
          </w:p>
        </w:tc>
        <w:tc>
          <w:tcPr>
            <w:tcW w:w="2637" w:type="dxa"/>
            <w:vAlign w:val="center"/>
          </w:tcPr>
          <w:p w14:paraId="7B1F794F">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390E5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34" w:type="dxa"/>
            <w:vAlign w:val="center"/>
          </w:tcPr>
          <w:p w14:paraId="617B62FE">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037" w:type="dxa"/>
            <w:vAlign w:val="center"/>
          </w:tcPr>
          <w:p w14:paraId="288D2724">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采购哲学、政治、法律、文化、文学、艺术、历史、地理、科学等各类成人、少儿图书</w:t>
            </w:r>
          </w:p>
        </w:tc>
        <w:tc>
          <w:tcPr>
            <w:tcW w:w="696" w:type="dxa"/>
            <w:vAlign w:val="center"/>
          </w:tcPr>
          <w:p w14:paraId="2033EF9B">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762" w:type="dxa"/>
            <w:vAlign w:val="center"/>
          </w:tcPr>
          <w:p w14:paraId="7E426C92">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批</w:t>
            </w:r>
          </w:p>
        </w:tc>
        <w:tc>
          <w:tcPr>
            <w:tcW w:w="1188" w:type="dxa"/>
            <w:vAlign w:val="center"/>
          </w:tcPr>
          <w:p w14:paraId="0A284ECA">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bCs/>
                <w:snapToGrid w:val="0"/>
                <w:color w:val="auto"/>
                <w:sz w:val="24"/>
                <w:szCs w:val="24"/>
                <w:highlight w:val="none"/>
                <w:lang w:val="en-US" w:eastAsia="zh-CN"/>
              </w:rPr>
              <w:t>50</w:t>
            </w:r>
          </w:p>
        </w:tc>
        <w:tc>
          <w:tcPr>
            <w:tcW w:w="2637" w:type="dxa"/>
            <w:vAlign w:val="center"/>
          </w:tcPr>
          <w:p w14:paraId="52DC5013">
            <w:pPr>
              <w:jc w:val="center"/>
              <w:rPr>
                <w:rFonts w:ascii="仿宋" w:hAnsi="仿宋" w:eastAsia="仿宋" w:cs="仿宋"/>
                <w:color w:val="auto"/>
                <w:sz w:val="24"/>
                <w:szCs w:val="24"/>
                <w:highlight w:val="none"/>
              </w:rPr>
            </w:pPr>
            <w:r>
              <w:rPr>
                <w:rFonts w:hint="eastAsia" w:ascii="仿宋" w:hAnsi="仿宋" w:eastAsia="仿宋" w:cs="仿宋"/>
                <w:bCs/>
                <w:color w:val="auto"/>
                <w:sz w:val="24"/>
                <w:szCs w:val="24"/>
                <w:highlight w:val="none"/>
              </w:rPr>
              <w:t>采购数量由采购人根据实际需要最终确定，最终以实际供货数量和中标折扣率进行结算。</w:t>
            </w:r>
          </w:p>
        </w:tc>
      </w:tr>
    </w:tbl>
    <w:p w14:paraId="12B14F4C">
      <w:pPr>
        <w:pStyle w:val="6"/>
        <w:spacing w:before="200" w:after="200"/>
        <w:ind w:firstLine="321" w:firstLineChars="100"/>
        <w:rPr>
          <w:rFonts w:ascii="仿宋" w:hAnsi="仿宋" w:eastAsia="仿宋" w:cs="仿宋"/>
          <w:color w:val="auto"/>
          <w:sz w:val="32"/>
          <w:szCs w:val="32"/>
          <w:highlight w:val="none"/>
        </w:rPr>
      </w:pPr>
      <w:bookmarkStart w:id="102" w:name="_Toc29179"/>
      <w:r>
        <w:rPr>
          <w:rFonts w:hint="eastAsia" w:ascii="仿宋" w:hAnsi="仿宋" w:eastAsia="仿宋" w:cs="仿宋"/>
          <w:color w:val="auto"/>
          <w:sz w:val="32"/>
          <w:szCs w:val="32"/>
          <w:highlight w:val="none"/>
        </w:rPr>
        <w:t>二、基本条件</w:t>
      </w:r>
      <w:bookmarkEnd w:id="98"/>
      <w:bookmarkEnd w:id="99"/>
      <w:bookmarkEnd w:id="100"/>
      <w:bookmarkEnd w:id="101"/>
      <w:bookmarkEnd w:id="102"/>
    </w:p>
    <w:p w14:paraId="7826CFB7">
      <w:pPr>
        <w:pStyle w:val="18"/>
        <w:widowControl w:val="0"/>
        <w:snapToGrid w:val="0"/>
        <w:spacing w:before="0" w:beforeAutospacing="0" w:after="0" w:afterAutospacing="0" w:line="360" w:lineRule="auto"/>
        <w:ind w:firstLine="480" w:firstLineChars="200"/>
        <w:rPr>
          <w:rFonts w:ascii="仿宋" w:hAnsi="仿宋" w:eastAsia="仿宋" w:cs="仿宋"/>
          <w:color w:val="auto"/>
          <w:highlight w:val="none"/>
        </w:rPr>
      </w:pPr>
      <w:bookmarkStart w:id="103" w:name="_Toc19066"/>
      <w:bookmarkStart w:id="104" w:name="_Toc16599"/>
      <w:bookmarkStart w:id="105" w:name="_Toc14415"/>
      <w:bookmarkStart w:id="106" w:name="_Toc22447"/>
      <w:bookmarkStart w:id="107" w:name="_Toc15368"/>
      <w:bookmarkStart w:id="108" w:name="_Toc420764134"/>
      <w:bookmarkStart w:id="109" w:name="_Toc522718947"/>
      <w:r>
        <w:rPr>
          <w:rFonts w:hint="eastAsia" w:ascii="仿宋" w:hAnsi="仿宋" w:eastAsia="仿宋" w:cs="仿宋"/>
          <w:color w:val="auto"/>
          <w:highlight w:val="none"/>
        </w:rPr>
        <w:t>1、供应商具有</w:t>
      </w:r>
      <w:r>
        <w:rPr>
          <w:rFonts w:hint="eastAsia" w:ascii="仿宋" w:hAnsi="仿宋" w:eastAsia="仿宋" w:cs="仿宋"/>
          <w:color w:val="auto"/>
          <w:sz w:val="24"/>
          <w:szCs w:val="24"/>
          <w:highlight w:val="none"/>
        </w:rPr>
        <w:t>政府</w:t>
      </w:r>
      <w:r>
        <w:rPr>
          <w:rFonts w:hint="eastAsia" w:ascii="仿宋" w:hAnsi="仿宋" w:eastAsia="仿宋" w:cs="仿宋"/>
          <w:color w:val="auto"/>
          <w:highlight w:val="none"/>
        </w:rPr>
        <w:t>相关部门颁发</w:t>
      </w:r>
      <w:r>
        <w:rPr>
          <w:rFonts w:hint="eastAsia" w:ascii="仿宋" w:hAnsi="仿宋" w:eastAsia="仿宋" w:cs="仿宋"/>
          <w:color w:val="auto"/>
          <w:highlight w:val="none"/>
          <w:lang w:eastAsia="zh-CN"/>
        </w:rPr>
        <w:t>的出版物经营许可证</w:t>
      </w:r>
      <w:r>
        <w:rPr>
          <w:rFonts w:hint="eastAsia" w:ascii="仿宋" w:hAnsi="仿宋" w:eastAsia="仿宋" w:cs="仿宋"/>
          <w:color w:val="auto"/>
          <w:highlight w:val="none"/>
        </w:rPr>
        <w:t>。必须能独立完成下列全部项目：</w:t>
      </w:r>
    </w:p>
    <w:p w14:paraId="3E4F1E39">
      <w:pPr>
        <w:pStyle w:val="18"/>
        <w:widowControl w:val="0"/>
        <w:snapToGrid w:val="0"/>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⑴本次中标单位所供应图书，要求以国家一级出版社出版的图书为主，供货比例不低于预算金额的95%。</w:t>
      </w:r>
    </w:p>
    <w:p w14:paraId="4A586A5C">
      <w:pPr>
        <w:pStyle w:val="18"/>
        <w:widowControl w:val="0"/>
        <w:snapToGrid w:val="0"/>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⑵中标单位需按采购单位提供的书目或供应指定图书。中标单位需每月向采购单位提供新书、畅销书、重点图书书单。</w:t>
      </w:r>
    </w:p>
    <w:p w14:paraId="2C4C5CBD">
      <w:pPr>
        <w:pStyle w:val="18"/>
        <w:widowControl w:val="0"/>
        <w:snapToGrid w:val="0"/>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⑶中标单位须有收集地方版图书的能力，地方版图书或按采购单位要求采购的指定图书供货比例不低于95%。</w:t>
      </w:r>
    </w:p>
    <w:p w14:paraId="5CAC5DD1">
      <w:pPr>
        <w:pStyle w:val="18"/>
        <w:widowControl w:val="0"/>
        <w:snapToGrid w:val="0"/>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⑷为确保新书质量和采购及时性，本馆历年图书采购均以参加浙江省馆藏图书展示会为主（参照浙江图书馆、浙江大学图书馆新书采购），中标单位需具备带领参加全国馆藏展示会进行现场新书采购的条件和能力，采购金额所占总预算比例不低于70%。</w:t>
      </w:r>
    </w:p>
    <w:p w14:paraId="0C192455">
      <w:pPr>
        <w:pStyle w:val="18"/>
        <w:widowControl w:val="0"/>
        <w:snapToGrid w:val="0"/>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2、中标单位应建有自己的网站，网站要有202</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年度后出版的新书商品展示，需具备网上B2C、B2G交易功能，要有网上销售记录。要求可以实现数据的上传和下载。每月一次提供最新出版印刷的图书电子文档荐购书目，能向庆元县图书馆开放书目查询并完成订购，帮助汇总统计网上订购结果，供庆元县图书馆作采访订购的依据。</w:t>
      </w:r>
    </w:p>
    <w:p w14:paraId="1F9C5193">
      <w:pPr>
        <w:pStyle w:val="18"/>
        <w:widowControl w:val="0"/>
        <w:snapToGrid w:val="0"/>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3、需向庆元县图书馆提供20</w:t>
      </w:r>
      <w:r>
        <w:rPr>
          <w:rFonts w:hint="eastAsia" w:ascii="仿宋" w:hAnsi="仿宋" w:eastAsia="仿宋" w:cs="仿宋"/>
          <w:color w:val="auto"/>
          <w:highlight w:val="none"/>
          <w:lang w:val="en-US" w:eastAsia="zh-CN"/>
        </w:rPr>
        <w:t>24</w:t>
      </w:r>
      <w:r>
        <w:rPr>
          <w:rFonts w:hint="eastAsia" w:ascii="仿宋" w:hAnsi="仿宋" w:eastAsia="仿宋" w:cs="仿宋"/>
          <w:color w:val="auto"/>
          <w:highlight w:val="none"/>
        </w:rPr>
        <w:t>年</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月1日以后出版</w:t>
      </w:r>
      <w:r>
        <w:rPr>
          <w:rFonts w:hint="eastAsia" w:ascii="仿宋" w:hAnsi="仿宋" w:eastAsia="仿宋" w:cs="仿宋"/>
          <w:color w:val="auto"/>
          <w:highlight w:val="none"/>
          <w:lang w:val="en-US" w:eastAsia="zh-CN"/>
        </w:rPr>
        <w:t>或</w:t>
      </w:r>
      <w:r>
        <w:rPr>
          <w:rFonts w:hint="eastAsia" w:ascii="仿宋" w:hAnsi="仿宋" w:eastAsia="仿宋" w:cs="仿宋"/>
          <w:color w:val="auto"/>
          <w:highlight w:val="none"/>
        </w:rPr>
        <w:t>印刷的，包含全国所有出版社新的中文图书出版发行信息，第一次出版印刷图书所占采购金额比重不低于95%。</w:t>
      </w:r>
    </w:p>
    <w:p w14:paraId="29B28BA2">
      <w:pPr>
        <w:pStyle w:val="18"/>
        <w:widowControl w:val="0"/>
        <w:snapToGrid w:val="0"/>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4、中文图书预订部分：采购单位提供的书目订单采购图书时，中标单位要一个星期内将本馆所征订图书的MARC书目数据通过电子邮件的方式传达给庆元县图书馆。中文图书的MARC采购书目数据应包括以下几个字段：图书征订号、书名、著者、出版社、出版日期、单价和ISBN号等。同时字段内容应严格按照社科新书目、科技新书目、沪版图书新书目的内容进行著录。供应商根据馆藏需要提供给庆元县图书馆具有</w:t>
      </w:r>
      <w:r>
        <w:rPr>
          <w:rFonts w:hint="eastAsia" w:ascii="仿宋" w:hAnsi="仿宋" w:eastAsia="仿宋" w:cs="仿宋"/>
          <w:color w:val="auto"/>
          <w:sz w:val="24"/>
          <w:szCs w:val="24"/>
          <w:highlight w:val="none"/>
        </w:rPr>
        <w:t>政府相关部门颁发</w:t>
      </w:r>
      <w:r>
        <w:rPr>
          <w:rFonts w:hint="eastAsia" w:ascii="仿宋" w:hAnsi="仿宋" w:eastAsia="仿宋" w:cs="仿宋"/>
          <w:color w:val="auto"/>
          <w:highlight w:val="none"/>
          <w:lang w:eastAsia="zh-CN"/>
        </w:rPr>
        <w:t>的出版物经营许可证</w:t>
      </w:r>
      <w:r>
        <w:rPr>
          <w:rFonts w:hint="eastAsia" w:ascii="仿宋" w:hAnsi="仿宋" w:eastAsia="仿宋" w:cs="仿宋"/>
          <w:color w:val="auto"/>
          <w:highlight w:val="none"/>
        </w:rPr>
        <w:t>。书单，供应商具有</w:t>
      </w:r>
      <w:r>
        <w:rPr>
          <w:rFonts w:hint="eastAsia" w:ascii="仿宋" w:hAnsi="仿宋" w:eastAsia="仿宋" w:cs="仿宋"/>
          <w:color w:val="auto"/>
          <w:sz w:val="24"/>
          <w:szCs w:val="24"/>
          <w:highlight w:val="none"/>
        </w:rPr>
        <w:t>政府</w:t>
      </w:r>
      <w:r>
        <w:rPr>
          <w:rFonts w:hint="eastAsia" w:ascii="仿宋" w:hAnsi="仿宋" w:eastAsia="仿宋" w:cs="仿宋"/>
          <w:color w:val="auto"/>
          <w:highlight w:val="none"/>
        </w:rPr>
        <w:t>相关部门颁发</w:t>
      </w:r>
      <w:r>
        <w:rPr>
          <w:rFonts w:hint="eastAsia" w:ascii="仿宋" w:hAnsi="仿宋" w:eastAsia="仿宋" w:cs="仿宋"/>
          <w:color w:val="auto"/>
          <w:highlight w:val="none"/>
          <w:lang w:eastAsia="zh-CN"/>
        </w:rPr>
        <w:t>的出版物经营许可证</w:t>
      </w:r>
      <w:r>
        <w:rPr>
          <w:rFonts w:hint="eastAsia" w:ascii="仿宋" w:hAnsi="仿宋" w:eastAsia="仿宋" w:cs="仿宋"/>
          <w:color w:val="auto"/>
          <w:highlight w:val="none"/>
        </w:rPr>
        <w:t>。应有能力及时按庆元县图书馆书订单提供图书。</w:t>
      </w:r>
    </w:p>
    <w:p w14:paraId="475FF6B9">
      <w:pPr>
        <w:pStyle w:val="18"/>
        <w:widowControl w:val="0"/>
        <w:snapToGrid w:val="0"/>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5、中文图书现购部分</w:t>
      </w:r>
    </w:p>
    <w:p w14:paraId="1EA0E036">
      <w:pPr>
        <w:pStyle w:val="18"/>
        <w:widowControl w:val="0"/>
        <w:snapToGrid w:val="0"/>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馆藏订货会进行现场新书采购的书目，要求按照社科新书目、科技新书目、沪版图书新书目格式编排，中文图书的采购书目应包括以下几项内容：图书编号、书名、著者、出版社、出版日期、ISBN、定价、内容简介和读者对象等。配套的图书征订MARC书目数据格式与预订图书相同。或者由中标单位提供样书及配套的中文图书MARC书目数据。</w:t>
      </w:r>
    </w:p>
    <w:p w14:paraId="498D93C7">
      <w:pPr>
        <w:pStyle w:val="18"/>
        <w:widowControl w:val="0"/>
        <w:snapToGrid w:val="0"/>
        <w:spacing w:before="0" w:beforeAutospacing="0" w:after="0" w:afterAutospacing="0" w:line="360" w:lineRule="auto"/>
        <w:ind w:firstLine="482" w:firstLineChars="200"/>
        <w:rPr>
          <w:rFonts w:ascii="仿宋" w:hAnsi="仿宋" w:eastAsia="仿宋" w:cs="仿宋"/>
          <w:b/>
          <w:bCs/>
          <w:color w:val="auto"/>
          <w:highlight w:val="none"/>
        </w:rPr>
      </w:pPr>
      <w:r>
        <w:rPr>
          <w:rFonts w:hint="eastAsia" w:ascii="仿宋" w:hAnsi="仿宋" w:eastAsia="仿宋" w:cs="仿宋"/>
          <w:b/>
          <w:bCs/>
          <w:color w:val="auto"/>
          <w:highlight w:val="none"/>
        </w:rPr>
        <w:t>新书订单处理要求：</w:t>
      </w:r>
    </w:p>
    <w:p w14:paraId="23274EC5">
      <w:pPr>
        <w:pStyle w:val="18"/>
        <w:widowControl w:val="0"/>
        <w:snapToGrid w:val="0"/>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1、必须按照庆元县图书馆提供的订单目录（网络订单和人工递送的订单），通过其自有渠道，高效、准确地按订单上图书的品种、数量提供图书的征订、配送及其它服务工作。在收到图书订单后应及时进行订购处理，并将处理情况及时反馈给采购人。</w:t>
      </w:r>
    </w:p>
    <w:p w14:paraId="187D60B9">
      <w:pPr>
        <w:pStyle w:val="18"/>
        <w:widowControl w:val="0"/>
        <w:snapToGrid w:val="0"/>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2、配货之前需查找并剔除整套缺本图书及装帧为活页、散页的图书。</w:t>
      </w:r>
    </w:p>
    <w:p w14:paraId="03ECC10B">
      <w:pPr>
        <w:pStyle w:val="18"/>
        <w:widowControl w:val="0"/>
        <w:snapToGrid w:val="0"/>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3、提供的图书必须保证正版，若发现盗版、盗印等情况，一切社会、法律责任均由中标单位承担，而且还须向采购人支付该图书码洋价10倍的违约金。</w:t>
      </w:r>
    </w:p>
    <w:p w14:paraId="0887F20F">
      <w:pPr>
        <w:pStyle w:val="18"/>
        <w:widowControl w:val="0"/>
        <w:snapToGrid w:val="0"/>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4、新书发货差错率应保证低于1‰。图书入馆后，发现所配图书与订购不符时，无论加工与否一律退回。</w:t>
      </w:r>
    </w:p>
    <w:p w14:paraId="433E7F0A">
      <w:pPr>
        <w:pStyle w:val="18"/>
        <w:widowControl w:val="0"/>
        <w:snapToGrid w:val="0"/>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5、图书到货验收时，如有缺页、污损、整套图书缺本、倒装等情况，可随时无条件退换。采购人还将定期对到馆新书进行印刷及装帧等质量抽查，若连续两次抽查不合格率均超过1%，采购人取消中标单位的供货资格并要求其承担相应责任，对采购人误订的图书应酌情予以退换。</w:t>
      </w:r>
    </w:p>
    <w:p w14:paraId="25732B53">
      <w:pPr>
        <w:pStyle w:val="18"/>
        <w:widowControl w:val="0"/>
        <w:snapToGrid w:val="0"/>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6、中标单位负责提供采购单位指定图书或提供国家一级出版社出版最新一月内的图书书目并保证供货（不含教参、教辅）。</w:t>
      </w:r>
    </w:p>
    <w:p w14:paraId="0DFD2A9D">
      <w:pPr>
        <w:pStyle w:val="18"/>
        <w:widowControl w:val="0"/>
        <w:snapToGrid w:val="0"/>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7、中标单位负责建立用户预订库。做好图书预订、查重。</w:t>
      </w:r>
    </w:p>
    <w:p w14:paraId="19E325A7">
      <w:pPr>
        <w:pStyle w:val="18"/>
        <w:widowControl w:val="0"/>
        <w:snapToGrid w:val="0"/>
        <w:spacing w:before="0" w:beforeAutospacing="0" w:after="0" w:afterAutospacing="0" w:line="360" w:lineRule="auto"/>
        <w:ind w:firstLine="482" w:firstLineChars="200"/>
        <w:rPr>
          <w:rFonts w:ascii="仿宋" w:hAnsi="仿宋" w:eastAsia="仿宋" w:cs="仿宋"/>
          <w:b/>
          <w:bCs/>
          <w:color w:val="auto"/>
          <w:highlight w:val="none"/>
        </w:rPr>
      </w:pPr>
      <w:r>
        <w:rPr>
          <w:rFonts w:hint="eastAsia" w:ascii="仿宋" w:hAnsi="仿宋" w:eastAsia="仿宋" w:cs="仿宋"/>
          <w:b/>
          <w:bCs/>
          <w:color w:val="auto"/>
          <w:highlight w:val="none"/>
        </w:rPr>
        <w:t>新书到货要求：</w:t>
      </w:r>
    </w:p>
    <w:p w14:paraId="3AA7BEDA">
      <w:pPr>
        <w:pStyle w:val="18"/>
        <w:widowControl w:val="0"/>
        <w:snapToGrid w:val="0"/>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1、发订单与到货时差：要求现采图书10天内到货率不低于95%，预订图书每份订单发出后15天内应到书90％，30天内应到书98％。出版变更或取消应及时通知采购人，如少于规定到货率则由中标方承担违约责任。</w:t>
      </w:r>
    </w:p>
    <w:p w14:paraId="2E7856F4">
      <w:pPr>
        <w:pStyle w:val="18"/>
        <w:widowControl w:val="0"/>
        <w:snapToGrid w:val="0"/>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2、图书要求包装完整，附一总清单，做到每批附一清单（一式两份）。图书清单要求与图书包装相符，包内同种书摆放在一起，做到每个批次有一总单，包外需加中标人具有</w:t>
      </w:r>
      <w:r>
        <w:rPr>
          <w:rFonts w:hint="eastAsia" w:ascii="仿宋" w:hAnsi="仿宋" w:eastAsia="仿宋" w:cs="仿宋"/>
          <w:color w:val="auto"/>
          <w:sz w:val="24"/>
          <w:szCs w:val="24"/>
          <w:highlight w:val="none"/>
        </w:rPr>
        <w:t>政府相关部门</w:t>
      </w:r>
      <w:r>
        <w:rPr>
          <w:rFonts w:hint="eastAsia" w:ascii="仿宋" w:hAnsi="仿宋" w:eastAsia="仿宋" w:cs="仿宋"/>
          <w:color w:val="auto"/>
          <w:highlight w:val="none"/>
          <w:lang w:eastAsia="zh-CN"/>
        </w:rPr>
        <w:t>颁发的出版物经营许可证</w:t>
      </w:r>
      <w:r>
        <w:rPr>
          <w:rFonts w:hint="eastAsia" w:ascii="仿宋" w:hAnsi="仿宋" w:eastAsia="仿宋" w:cs="仿宋"/>
          <w:color w:val="auto"/>
          <w:highlight w:val="none"/>
        </w:rPr>
        <w:t>、名称、标项等醒目标志。每册图书在包中的封装顺序应与图书清单顺序一致，即开包后清单中的第一本图书应该处于封面朝上的第一位置，其他类推。</w:t>
      </w:r>
    </w:p>
    <w:p w14:paraId="59BC1886">
      <w:pPr>
        <w:pStyle w:val="18"/>
        <w:widowControl w:val="0"/>
        <w:snapToGrid w:val="0"/>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3、中标单位供货须提前通知采购人，在送交每一批图书时，应同时免费提供该批图书的随书清单包括标项、国际标准书号、书名、出版社、出版年月、单位、册数及总价清单需加中标人具有</w:t>
      </w:r>
      <w:r>
        <w:rPr>
          <w:rFonts w:hint="eastAsia" w:ascii="仿宋" w:hAnsi="仿宋" w:eastAsia="仿宋" w:cs="仿宋"/>
          <w:color w:val="auto"/>
          <w:sz w:val="24"/>
          <w:szCs w:val="24"/>
          <w:highlight w:val="none"/>
        </w:rPr>
        <w:t>政府相关部门</w:t>
      </w:r>
      <w:r>
        <w:rPr>
          <w:rFonts w:hint="eastAsia" w:ascii="仿宋" w:hAnsi="仿宋" w:eastAsia="仿宋" w:cs="仿宋"/>
          <w:color w:val="auto"/>
          <w:highlight w:val="none"/>
          <w:lang w:eastAsia="zh-CN"/>
        </w:rPr>
        <w:t>颁发的出版物经营许可证</w:t>
      </w:r>
      <w:r>
        <w:rPr>
          <w:rFonts w:hint="eastAsia" w:ascii="仿宋" w:hAnsi="仿宋" w:eastAsia="仿宋" w:cs="仿宋"/>
          <w:color w:val="auto"/>
          <w:highlight w:val="none"/>
        </w:rPr>
        <w:t>、公章，并一式三份（两份封装于图书包内，一份送中文图书采购人员）以及规范的机读目录数据。图书清单应注明批号、送书日期、每批合计（种数、册数、码洋）序号、标项、每包详单应注明每种图书的ISBN、书名、著者、出版社、订单价、册数、种数、册数、码洋合计金额和实洋合计金额，标项与总清单对应，便于验收、查对，应保证到书清单的清晰、明了、有序。</w:t>
      </w:r>
    </w:p>
    <w:p w14:paraId="08DF63FE">
      <w:pPr>
        <w:pStyle w:val="18"/>
        <w:widowControl w:val="0"/>
        <w:snapToGrid w:val="0"/>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4、对不能供货的订单，中标单位应在一定期限内（现货订单7天内，预订订单15天）向采购人提供清单，并详细说明不能提供的原因，以便作出是否续订、取消订单或转移订购的安排。中标单位采取相应的补救措施，由此造成的各项损失或增加的各项费用（如折扣损失、邮费、数据费、加工费）等均由中标单位承担。取消出版或发生影响合同履行的不可抗力情况以外，若不能按时供货的图书种数或册数超过现采订单5%或预订图书的10%，采购人可以认定中标单位不具备供货条件，采购人有权要求终止供货，因终止供货而造成的损失由中标单位自行承担。</w:t>
      </w:r>
    </w:p>
    <w:p w14:paraId="35401215">
      <w:pPr>
        <w:pStyle w:val="18"/>
        <w:widowControl w:val="0"/>
        <w:snapToGrid w:val="0"/>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5、自发出订单30天后对中标单位无法供货的重点出版社的图书，采购人有权采取相应的补救措施，如直接向出版商购买或在零售店购买，由此造成的损失或增加的费用由中标人支付。</w:t>
      </w:r>
    </w:p>
    <w:p w14:paraId="121BFB48">
      <w:pPr>
        <w:pStyle w:val="18"/>
        <w:widowControl w:val="0"/>
        <w:snapToGrid w:val="0"/>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6、所购图书按采购人要求免费送货到指定的地点。</w:t>
      </w:r>
    </w:p>
    <w:p w14:paraId="5B512B26">
      <w:pPr>
        <w:pStyle w:val="18"/>
        <w:widowControl w:val="0"/>
        <w:snapToGrid w:val="0"/>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7、由中标单位负责办理货物的运输和保险，将货物运抵现场并落地就位。有关运输和保险的一切费用由中标单位自己承担。</w:t>
      </w:r>
    </w:p>
    <w:p w14:paraId="2D50F72F">
      <w:pPr>
        <w:pStyle w:val="18"/>
        <w:widowControl w:val="0"/>
        <w:snapToGrid w:val="0"/>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▲特别要求：本次招标各投标人不得提供特价书、盗版、盗印图书及翻版新书，一经发现将取消中标资格，并交新闻出版主管部门处理。</w:t>
      </w:r>
    </w:p>
    <w:p w14:paraId="2E098D32">
      <w:pPr>
        <w:pStyle w:val="18"/>
        <w:widowControl w:val="0"/>
        <w:snapToGrid w:val="0"/>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图书加工要求：</w:t>
      </w:r>
    </w:p>
    <w:p w14:paraId="7B0DD010">
      <w:pPr>
        <w:pStyle w:val="18"/>
        <w:widowControl w:val="0"/>
        <w:snapToGrid w:val="0"/>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1.加工编目人员或加工服务公司必须由采购人确定，中标方需提供编目数据、图书加工服务。所有加工编目服务采购人均不另行付费，如果在后续合作中发现加工服务达不到采购人要求可以中途更换加工编目人员或加工服务公司。对采购人自己收集来的地方文献资料（不超过500本），中标方要无偿提供条码等材料及编目贴标服务。</w:t>
      </w:r>
    </w:p>
    <w:p w14:paraId="1C2A476F">
      <w:pPr>
        <w:pStyle w:val="18"/>
        <w:widowControl w:val="0"/>
        <w:snapToGrid w:val="0"/>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▲2.中标方需提供包括芯片、芯片外保护标、条码、书标、书标保护膜、色标等材料。所有到馆的图书均应加贴芯片。</w:t>
      </w:r>
    </w:p>
    <w:p w14:paraId="0523C59E">
      <w:pPr>
        <w:pStyle w:val="18"/>
        <w:widowControl w:val="0"/>
        <w:snapToGrid w:val="0"/>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▲3.条码和书标等按图书馆的要求进行粘贴。</w:t>
      </w:r>
    </w:p>
    <w:p w14:paraId="736DB5A3">
      <w:pPr>
        <w:pStyle w:val="18"/>
        <w:widowControl w:val="0"/>
        <w:snapToGrid w:val="0"/>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关于中标单位对图书质量的保证：</w:t>
      </w:r>
    </w:p>
    <w:p w14:paraId="73EEC059">
      <w:pPr>
        <w:pStyle w:val="18"/>
        <w:widowControl w:val="0"/>
        <w:snapToGrid w:val="0"/>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1.图书必须保证正版，若发现盗版、盗印等情况，一切社会、法律责任均由中标人承担，而且还须向采购人支付该图书码洋10倍的违约金。</w:t>
      </w:r>
    </w:p>
    <w:p w14:paraId="77150DD1">
      <w:pPr>
        <w:pStyle w:val="18"/>
        <w:widowControl w:val="0"/>
        <w:snapToGrid w:val="0"/>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2.中标人的新书发货差错率应保证低于1‰。图书入馆后，发现所配图书与订购不符时，无论加工与否一律退回。</w:t>
      </w:r>
    </w:p>
    <w:p w14:paraId="29794595">
      <w:pPr>
        <w:pStyle w:val="18"/>
        <w:widowControl w:val="0"/>
        <w:snapToGrid w:val="0"/>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3.图书到货验收时，如有缺页、污损等情况，中标人应无条件退换。</w:t>
      </w:r>
    </w:p>
    <w:p w14:paraId="4BE388B1">
      <w:pPr>
        <w:pStyle w:val="18"/>
        <w:widowControl w:val="0"/>
        <w:snapToGrid w:val="0"/>
        <w:spacing w:before="0" w:beforeAutospacing="0" w:after="0" w:afterAutospacing="0" w:line="360" w:lineRule="auto"/>
        <w:ind w:firstLine="482" w:firstLineChars="200"/>
        <w:rPr>
          <w:rFonts w:ascii="仿宋" w:hAnsi="仿宋" w:eastAsia="仿宋" w:cs="仿宋"/>
          <w:b/>
          <w:bCs/>
          <w:color w:val="auto"/>
          <w:highlight w:val="none"/>
        </w:rPr>
      </w:pPr>
      <w:r>
        <w:rPr>
          <w:rFonts w:hint="eastAsia" w:ascii="仿宋" w:hAnsi="仿宋" w:eastAsia="仿宋" w:cs="仿宋"/>
          <w:b/>
          <w:bCs/>
          <w:color w:val="auto"/>
          <w:highlight w:val="none"/>
        </w:rPr>
        <w:t>退换图书：</w:t>
      </w:r>
    </w:p>
    <w:p w14:paraId="081AECD1">
      <w:pPr>
        <w:pStyle w:val="18"/>
        <w:widowControl w:val="0"/>
        <w:snapToGrid w:val="0"/>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1.对装订错误、缺页、破损、印刷不清、倒装、附件缺失等图书由中标人负责更换和补齐。</w:t>
      </w:r>
    </w:p>
    <w:p w14:paraId="3B4D785E">
      <w:pPr>
        <w:pStyle w:val="18"/>
        <w:widowControl w:val="0"/>
        <w:snapToGrid w:val="0"/>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2.到馆图书与订单不符无条件退货。</w:t>
      </w:r>
    </w:p>
    <w:p w14:paraId="1770C802">
      <w:pPr>
        <w:pStyle w:val="18"/>
        <w:widowControl w:val="0"/>
        <w:snapToGrid w:val="0"/>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 xml:space="preserve">3.对采购人误订的图书尽量退货或为图书馆之间交换提供便利条件。 </w:t>
      </w:r>
    </w:p>
    <w:p w14:paraId="286056BD">
      <w:pPr>
        <w:pStyle w:val="18"/>
        <w:widowControl w:val="0"/>
        <w:snapToGrid w:val="0"/>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4.对不适合采购人入藏的图书如散页、高职高专、中专中技教材、期刊合订本、中小学少儿图书、时效性高的书、开本过大或过小等，确因书目识别困难而造成误订无条件退货。</w:t>
      </w:r>
    </w:p>
    <w:p w14:paraId="1188004D">
      <w:pPr>
        <w:pStyle w:val="18"/>
        <w:widowControl w:val="0"/>
        <w:snapToGrid w:val="0"/>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5.整套书不齐全的无条件退货。</w:t>
      </w:r>
    </w:p>
    <w:p w14:paraId="562C1030">
      <w:pPr>
        <w:pStyle w:val="18"/>
        <w:widowControl w:val="0"/>
        <w:snapToGrid w:val="0"/>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 xml:space="preserve">6.运输和打包时造成图书的破损由中标人负责更换。 </w:t>
      </w:r>
    </w:p>
    <w:p w14:paraId="38A940A9">
      <w:pPr>
        <w:pStyle w:val="18"/>
        <w:widowControl w:val="0"/>
        <w:snapToGrid w:val="0"/>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7.退换图书应在10日内完成，并提供图书清单作为凭证。</w:t>
      </w:r>
    </w:p>
    <w:p w14:paraId="6F8FEAB3">
      <w:pPr>
        <w:pStyle w:val="18"/>
        <w:widowControl w:val="0"/>
        <w:snapToGrid w:val="0"/>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8.以上7项造成的各项损失或增加的各项费用（如折扣损失、邮费、数据费、加工费）等均由中标单位承担。</w:t>
      </w:r>
    </w:p>
    <w:p w14:paraId="6A81BF9C">
      <w:pPr>
        <w:pStyle w:val="18"/>
        <w:widowControl w:val="0"/>
        <w:snapToGrid w:val="0"/>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采访数据要求：</w:t>
      </w:r>
    </w:p>
    <w:p w14:paraId="3D8F95D7">
      <w:pPr>
        <w:pStyle w:val="18"/>
        <w:widowControl w:val="0"/>
        <w:snapToGrid w:val="0"/>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采用MARC格式的：a.ISBN号需加“—”；b.价格部分需为纯数字，对于价格为上、下册的将上、下册的信息加入到书名字段部分。保证价格为数字格式。</w:t>
      </w:r>
    </w:p>
    <w:p w14:paraId="3B284C08">
      <w:pPr>
        <w:pStyle w:val="18"/>
        <w:widowControl w:val="0"/>
        <w:snapToGrid w:val="0"/>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编目数据要求：（a）编目数据以国家图书馆的编目数据为标准，必须包含以下字段：010、100、101、102、105、106、200、210、215、300、606、690、701或711等、801;（b）编目数据必须与书同时到达。所购的图书免费提供每种中文新书的标准MARC编目的数据。在新书到庆元县图书馆后如发现有缺少或不符合标准MARC编目的数据，应及时补发。（c）编目质量合格，要求准确率达到99.9%。(d)分馆的编目数据、加工服务等的要求与庆元县图书馆本馆一致。</w:t>
      </w:r>
    </w:p>
    <w:p w14:paraId="0D0F0920">
      <w:pPr>
        <w:pStyle w:val="6"/>
        <w:spacing w:before="200" w:after="200"/>
        <w:ind w:firstLine="321" w:firstLineChars="100"/>
        <w:rPr>
          <w:rFonts w:ascii="仿宋" w:hAnsi="仿宋" w:eastAsia="仿宋" w:cs="仿宋"/>
          <w:color w:val="auto"/>
          <w:sz w:val="32"/>
          <w:szCs w:val="32"/>
          <w:highlight w:val="none"/>
        </w:rPr>
      </w:pPr>
      <w:bookmarkStart w:id="110" w:name="_Toc14192"/>
      <w:r>
        <w:rPr>
          <w:rFonts w:hint="eastAsia" w:ascii="仿宋" w:hAnsi="仿宋" w:eastAsia="仿宋" w:cs="仿宋"/>
          <w:color w:val="auto"/>
          <w:sz w:val="32"/>
          <w:szCs w:val="32"/>
          <w:highlight w:val="none"/>
        </w:rPr>
        <w:t>三、报价要求</w:t>
      </w:r>
      <w:bookmarkEnd w:id="103"/>
      <w:bookmarkEnd w:id="104"/>
      <w:bookmarkEnd w:id="105"/>
      <w:bookmarkEnd w:id="106"/>
      <w:bookmarkEnd w:id="110"/>
    </w:p>
    <w:p w14:paraId="20E7DAF9">
      <w:pPr>
        <w:pStyle w:val="18"/>
        <w:widowControl w:val="0"/>
        <w:snapToGrid w:val="0"/>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投标报价：投标人按图书总码洋报综合折扣率。</w:t>
      </w:r>
    </w:p>
    <w:p w14:paraId="2166546E">
      <w:pPr>
        <w:pStyle w:val="18"/>
        <w:widowControl w:val="0"/>
        <w:snapToGrid w:val="0"/>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▲“图书总码洋报综合折扣率不得高于7</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%”，否则作无效标处理。</w:t>
      </w:r>
    </w:p>
    <w:p w14:paraId="5093949B">
      <w:pPr>
        <w:pStyle w:val="18"/>
        <w:widowControl w:val="0"/>
        <w:snapToGrid w:val="0"/>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投标报价（综合折扣率）包括图书、随书附件、专用工具、图书加工、包装、运输、装卸、验收、售后服务、保险、相关检测费用、税金等一切完成本项目所需费用。投标人根据招标项目的技术要求，结合自身的特点和条件进行报价。</w:t>
      </w:r>
    </w:p>
    <w:p w14:paraId="4A97A6FD">
      <w:pPr>
        <w:pStyle w:val="6"/>
        <w:spacing w:before="200" w:after="200"/>
        <w:ind w:firstLine="321" w:firstLineChars="100"/>
        <w:rPr>
          <w:rFonts w:ascii="仿宋" w:hAnsi="仿宋" w:eastAsia="仿宋" w:cs="仿宋"/>
          <w:color w:val="auto"/>
          <w:sz w:val="32"/>
          <w:szCs w:val="32"/>
          <w:highlight w:val="none"/>
        </w:rPr>
      </w:pPr>
      <w:bookmarkStart w:id="111" w:name="_Toc8515"/>
      <w:bookmarkStart w:id="112" w:name="_Toc15019"/>
      <w:bookmarkStart w:id="113" w:name="_Toc19250"/>
      <w:bookmarkStart w:id="114" w:name="_Toc30314"/>
      <w:bookmarkStart w:id="115" w:name="_Toc28218"/>
      <w:r>
        <w:rPr>
          <w:rFonts w:hint="eastAsia" w:ascii="仿宋" w:hAnsi="仿宋" w:eastAsia="仿宋" w:cs="仿宋"/>
          <w:color w:val="auto"/>
          <w:sz w:val="32"/>
          <w:szCs w:val="32"/>
          <w:highlight w:val="none"/>
        </w:rPr>
        <w:t>四、图书验收要求</w:t>
      </w:r>
      <w:bookmarkEnd w:id="111"/>
      <w:bookmarkEnd w:id="112"/>
      <w:bookmarkEnd w:id="113"/>
      <w:bookmarkEnd w:id="114"/>
      <w:bookmarkEnd w:id="115"/>
    </w:p>
    <w:p w14:paraId="0417DA7F">
      <w:pPr>
        <w:pStyle w:val="18"/>
        <w:widowControl w:val="0"/>
        <w:snapToGrid w:val="0"/>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1、图书采购分批多次采购，采购方可随机抽二批次（现购、预订）检测，需检测批次图书到馆时，图书馆先不拆包，由采购方组织相关人员随机挑选每批次图书样本5—10册(不同出版社出版)，送省级及以上国家法定印刷产品质量检验的专业性机构检测，由检测单位根据国家级行业标准提供检测报告，并由中标单位提供本次检测图书样本5册原出版社出版证明，采购方收到合格检测报告和出版证明后图书馆再进行验收，最后由采购方组织抽验，若采购方收到不合格检测报告或图书样本无法提供原出版社出版证明的将取消中标资格。相关检测费统一纳入报价。</w:t>
      </w:r>
    </w:p>
    <w:p w14:paraId="197E06B4">
      <w:pPr>
        <w:pStyle w:val="18"/>
        <w:widowControl w:val="0"/>
        <w:snapToGrid w:val="0"/>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2、没有抽检批次图书，以图书馆验收为主。</w:t>
      </w:r>
    </w:p>
    <w:p w14:paraId="04B27E5A">
      <w:pPr>
        <w:pStyle w:val="18"/>
        <w:widowControl w:val="0"/>
        <w:snapToGrid w:val="0"/>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3、同书异价的，如同版次图书高于或低于浙江图书馆、国家图书馆的图书价格的，作退货处理，浙江图书馆、国家图书馆无此藏书的，由采购方参照国内大中型图书馆的藏书价格来认定。</w:t>
      </w:r>
    </w:p>
    <w:p w14:paraId="23981FAB">
      <w:pPr>
        <w:pStyle w:val="6"/>
        <w:spacing w:before="200" w:after="200"/>
        <w:ind w:firstLine="321" w:firstLineChars="100"/>
        <w:rPr>
          <w:rFonts w:ascii="仿宋" w:hAnsi="仿宋" w:eastAsia="仿宋" w:cs="仿宋"/>
          <w:color w:val="auto"/>
          <w:sz w:val="32"/>
          <w:szCs w:val="32"/>
          <w:highlight w:val="none"/>
        </w:rPr>
      </w:pPr>
      <w:bookmarkStart w:id="116" w:name="_Toc20789"/>
      <w:bookmarkStart w:id="117" w:name="_Toc4611"/>
      <w:bookmarkStart w:id="118" w:name="_Toc31892"/>
      <w:bookmarkStart w:id="119" w:name="_Toc7329"/>
      <w:bookmarkStart w:id="120" w:name="_Toc12008"/>
      <w:r>
        <w:rPr>
          <w:rFonts w:hint="eastAsia" w:ascii="仿宋" w:hAnsi="仿宋" w:eastAsia="仿宋" w:cs="仿宋"/>
          <w:color w:val="auto"/>
          <w:sz w:val="32"/>
          <w:szCs w:val="32"/>
          <w:highlight w:val="none"/>
        </w:rPr>
        <w:t>五、货款结算方式及付款</w:t>
      </w:r>
      <w:bookmarkEnd w:id="116"/>
      <w:bookmarkEnd w:id="117"/>
      <w:bookmarkEnd w:id="118"/>
      <w:bookmarkEnd w:id="119"/>
      <w:bookmarkEnd w:id="120"/>
    </w:p>
    <w:p w14:paraId="79C6C91A">
      <w:pPr>
        <w:pStyle w:val="18"/>
        <w:widowControl w:val="0"/>
        <w:snapToGrid w:val="0"/>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1、以图书码洋作为计算书款的依据。结算价=图书码洋（出版社定价）×中标综合折扣率。</w:t>
      </w:r>
    </w:p>
    <w:p w14:paraId="553D5BC9">
      <w:pPr>
        <w:pStyle w:val="18"/>
        <w:widowControl w:val="0"/>
        <w:snapToGrid w:val="0"/>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2、验收时图书定价、数量如与发货单不符，按照图书定价和实际验收情况核算。</w:t>
      </w:r>
    </w:p>
    <w:p w14:paraId="7BD695F8">
      <w:pPr>
        <w:pStyle w:val="18"/>
        <w:widowControl w:val="0"/>
        <w:snapToGrid w:val="0"/>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3、付款条件：</w:t>
      </w:r>
      <w:r>
        <w:rPr>
          <w:rFonts w:hint="eastAsia" w:ascii="仿宋" w:hAnsi="仿宋" w:eastAsia="仿宋" w:cs="仿宋"/>
          <w:color w:val="auto"/>
          <w:sz w:val="24"/>
          <w:szCs w:val="24"/>
          <w:highlight w:val="none"/>
        </w:rPr>
        <w:t>合同</w:t>
      </w:r>
      <w:r>
        <w:rPr>
          <w:rFonts w:hint="eastAsia" w:ascii="仿宋_GB2312" w:hAnsi="仿宋_GB2312" w:eastAsia="仿宋_GB2312" w:cs="仿宋_GB2312"/>
          <w:color w:val="auto"/>
          <w:sz w:val="24"/>
          <w:szCs w:val="20"/>
          <w:highlight w:val="none"/>
          <w:lang w:val="en-US" w:eastAsia="zh-CN"/>
        </w:rPr>
        <w:t>生效以及具备实施条件后</w:t>
      </w:r>
      <w:r>
        <w:rPr>
          <w:rFonts w:hint="eastAsia" w:ascii="仿宋" w:hAnsi="仿宋" w:eastAsia="仿宋" w:cs="仿宋"/>
          <w:color w:val="auto"/>
          <w:sz w:val="24"/>
          <w:szCs w:val="24"/>
          <w:highlight w:val="none"/>
        </w:rPr>
        <w:t>提供正规发票7个工作日内支付预付款</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0%，</w:t>
      </w:r>
      <w:r>
        <w:rPr>
          <w:rFonts w:hint="eastAsia" w:ascii="仿宋" w:hAnsi="仿宋" w:eastAsia="仿宋" w:cs="仿宋"/>
          <w:color w:val="auto"/>
          <w:highlight w:val="none"/>
        </w:rPr>
        <w:t>图书款项在供货合同到期且验收合格后结清。如遇不可抗力因素不能按时付款，双方协商解决。</w:t>
      </w:r>
    </w:p>
    <w:p w14:paraId="31416CE9">
      <w:pPr>
        <w:pStyle w:val="6"/>
        <w:spacing w:before="200" w:after="200"/>
        <w:ind w:firstLine="321" w:firstLineChars="100"/>
        <w:rPr>
          <w:rFonts w:ascii="仿宋" w:hAnsi="仿宋" w:eastAsia="仿宋" w:cs="仿宋"/>
          <w:color w:val="auto"/>
          <w:sz w:val="32"/>
          <w:szCs w:val="32"/>
          <w:highlight w:val="none"/>
        </w:rPr>
      </w:pPr>
      <w:bookmarkStart w:id="121" w:name="_Toc2484"/>
      <w:bookmarkStart w:id="122" w:name="_Toc27691"/>
      <w:bookmarkStart w:id="123" w:name="_Toc25991"/>
      <w:bookmarkStart w:id="124" w:name="_Toc1202"/>
      <w:bookmarkStart w:id="125" w:name="_Toc8597"/>
      <w:r>
        <w:rPr>
          <w:rFonts w:hint="eastAsia" w:ascii="仿宋" w:hAnsi="仿宋" w:eastAsia="仿宋" w:cs="仿宋"/>
          <w:color w:val="auto"/>
          <w:sz w:val="32"/>
          <w:szCs w:val="32"/>
          <w:highlight w:val="none"/>
        </w:rPr>
        <w:t>六、供货时间和地点</w:t>
      </w:r>
      <w:bookmarkEnd w:id="121"/>
      <w:bookmarkEnd w:id="122"/>
      <w:bookmarkEnd w:id="123"/>
      <w:bookmarkEnd w:id="124"/>
      <w:bookmarkEnd w:id="125"/>
    </w:p>
    <w:p w14:paraId="12CCF539">
      <w:pPr>
        <w:pStyle w:val="18"/>
        <w:widowControl w:val="0"/>
        <w:snapToGrid w:val="0"/>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在收到庆元县图书馆订单通知或现场采购完成后15日内送到采购人指定地点。</w:t>
      </w:r>
    </w:p>
    <w:p w14:paraId="15CBD49C">
      <w:pPr>
        <w:pStyle w:val="18"/>
        <w:widowControl w:val="0"/>
        <w:snapToGrid w:val="0"/>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供货要求：现购图书20天内到馆率不得低于95%。预订图书前30天内到馆率不得低于90%；60天内到馆率不得低于98%。达不到上述供货要求的将取消其后期段的采购资格。</w:t>
      </w:r>
    </w:p>
    <w:bookmarkEnd w:id="107"/>
    <w:bookmarkEnd w:id="108"/>
    <w:bookmarkEnd w:id="109"/>
    <w:p w14:paraId="689D6525">
      <w:pPr>
        <w:pStyle w:val="6"/>
        <w:keepNext/>
        <w:keepLines/>
        <w:pageBreakBefore w:val="0"/>
        <w:widowControl w:val="0"/>
        <w:numPr>
          <w:ilvl w:val="0"/>
          <w:numId w:val="0"/>
        </w:numPr>
        <w:kinsoku/>
        <w:wordWrap/>
        <w:overflowPunct/>
        <w:topLinePunct w:val="0"/>
        <w:autoSpaceDE/>
        <w:autoSpaceDN/>
        <w:bidi w:val="0"/>
        <w:adjustRightInd/>
        <w:snapToGrid/>
        <w:spacing w:before="200" w:after="200"/>
        <w:textAlignment w:val="auto"/>
        <w:rPr>
          <w:rFonts w:hint="eastAsia" w:ascii="仿宋" w:hAnsi="仿宋" w:eastAsia="仿宋" w:cs="仿宋"/>
          <w:color w:val="auto"/>
          <w:spacing w:val="0"/>
          <w:w w:val="100"/>
          <w:kern w:val="2"/>
          <w:sz w:val="32"/>
          <w:szCs w:val="32"/>
          <w:highlight w:val="none"/>
          <w:lang w:val="en-US" w:eastAsia="zh-CN"/>
        </w:rPr>
      </w:pPr>
      <w:bookmarkStart w:id="126" w:name="_Toc18406"/>
      <w:r>
        <w:rPr>
          <w:rFonts w:hint="eastAsia" w:ascii="仿宋" w:hAnsi="仿宋" w:eastAsia="仿宋" w:cs="仿宋"/>
          <w:color w:val="auto"/>
          <w:spacing w:val="0"/>
          <w:w w:val="100"/>
          <w:kern w:val="2"/>
          <w:sz w:val="32"/>
          <w:szCs w:val="32"/>
          <w:highlight w:val="none"/>
          <w:lang w:val="en-US" w:eastAsia="zh-CN"/>
        </w:rPr>
        <w:t>七、其他要求</w:t>
      </w:r>
      <w:bookmarkEnd w:id="93"/>
      <w:bookmarkEnd w:id="94"/>
      <w:bookmarkEnd w:id="95"/>
      <w:bookmarkEnd w:id="96"/>
      <w:bookmarkEnd w:id="97"/>
      <w:bookmarkEnd w:id="126"/>
    </w:p>
    <w:p w14:paraId="23064AEE">
      <w:pPr>
        <w:pStyle w:val="18"/>
        <w:keepNext/>
        <w:keepLines/>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ascii="仿宋" w:hAnsi="仿宋" w:eastAsia="仿宋" w:cs="仿宋"/>
          <w:color w:val="auto"/>
          <w:highlight w:val="none"/>
        </w:rPr>
      </w:pPr>
      <w:r>
        <w:rPr>
          <w:rFonts w:hint="eastAsia" w:ascii="仿宋" w:hAnsi="仿宋" w:eastAsia="仿宋" w:cs="仿宋"/>
          <w:color w:val="auto"/>
          <w:highlight w:val="none"/>
        </w:rPr>
        <w:t>1、本项目所涉及的安装数量，招标时确认数量不一定准确时，按其中标单价和实际工程量结算。税收、人工费、安装费等一切与之相关的所有费用都需包含在报价中。</w:t>
      </w:r>
    </w:p>
    <w:p w14:paraId="186A1A7E">
      <w:pPr>
        <w:pStyle w:val="18"/>
        <w:keepNext/>
        <w:keepLines/>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ascii="仿宋" w:hAnsi="仿宋" w:eastAsia="仿宋" w:cs="仿宋"/>
          <w:color w:val="auto"/>
          <w:highlight w:val="none"/>
        </w:rPr>
      </w:pPr>
      <w:r>
        <w:rPr>
          <w:rFonts w:hint="eastAsia" w:ascii="仿宋" w:hAnsi="仿宋" w:eastAsia="仿宋" w:cs="仿宋"/>
          <w:color w:val="auto"/>
          <w:highlight w:val="none"/>
        </w:rPr>
        <w:t>2、本项目排名第一的中标候选人未注册成为“浙江省政府采购投标人”的，采购代理机构将暂缓发布中标通知书，由此造成的不利影响自行承担。</w:t>
      </w:r>
    </w:p>
    <w:p w14:paraId="0B75A452">
      <w:pPr>
        <w:keepNext/>
        <w:keepLines/>
        <w:pageBreakBefore w:val="0"/>
        <w:widowControl w:val="0"/>
        <w:overflowPunct/>
        <w:topLinePunct w:val="0"/>
        <w:bidi w:val="0"/>
        <w:textAlignment w:val="auto"/>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br w:type="page"/>
      </w:r>
    </w:p>
    <w:p w14:paraId="7112241B">
      <w:pPr>
        <w:pStyle w:val="19"/>
        <w:spacing w:before="0" w:after="0" w:line="360" w:lineRule="auto"/>
        <w:rPr>
          <w:rFonts w:ascii="仿宋" w:hAnsi="仿宋" w:eastAsia="仿宋" w:cs="仿宋"/>
          <w:color w:val="auto"/>
          <w:sz w:val="36"/>
          <w:szCs w:val="36"/>
          <w:highlight w:val="none"/>
        </w:rPr>
      </w:pPr>
      <w:bookmarkStart w:id="127" w:name="_Toc21565"/>
      <w:r>
        <w:rPr>
          <w:rFonts w:hint="eastAsia" w:ascii="仿宋" w:hAnsi="仿宋" w:eastAsia="仿宋" w:cs="仿宋"/>
          <w:color w:val="auto"/>
          <w:sz w:val="36"/>
          <w:szCs w:val="36"/>
          <w:highlight w:val="none"/>
        </w:rPr>
        <w:t>第三章  供应商须知</w:t>
      </w:r>
      <w:bookmarkEnd w:id="85"/>
      <w:bookmarkEnd w:id="86"/>
      <w:bookmarkEnd w:id="87"/>
      <w:bookmarkEnd w:id="88"/>
      <w:bookmarkEnd w:id="127"/>
    </w:p>
    <w:p w14:paraId="3528C371">
      <w:pPr>
        <w:pStyle w:val="19"/>
        <w:spacing w:after="240"/>
        <w:jc w:val="left"/>
        <w:outlineLvl w:val="1"/>
        <w:rPr>
          <w:rFonts w:ascii="仿宋" w:hAnsi="仿宋" w:eastAsia="仿宋" w:cs="仿宋"/>
          <w:color w:val="auto"/>
          <w:sz w:val="30"/>
          <w:szCs w:val="30"/>
          <w:highlight w:val="none"/>
        </w:rPr>
      </w:pPr>
      <w:bookmarkStart w:id="128" w:name="_Toc5349"/>
      <w:bookmarkStart w:id="129" w:name="EB4c7125c6dc654ed08b5f32dccfe34746"/>
      <w:bookmarkStart w:id="130" w:name="_Toc493956033"/>
      <w:r>
        <w:rPr>
          <w:rFonts w:hint="eastAsia" w:ascii="仿宋" w:hAnsi="仿宋" w:eastAsia="仿宋" w:cs="仿宋"/>
          <w:color w:val="auto"/>
          <w:sz w:val="30"/>
          <w:szCs w:val="30"/>
          <w:highlight w:val="none"/>
        </w:rPr>
        <w:t>供应商须知前附表（一）</w:t>
      </w:r>
      <w:bookmarkEnd w:id="128"/>
    </w:p>
    <w:tbl>
      <w:tblPr>
        <w:tblStyle w:val="20"/>
        <w:tblW w:w="92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1560"/>
        <w:gridCol w:w="6769"/>
      </w:tblGrid>
      <w:tr w14:paraId="4DD41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14:paraId="1FA56596">
            <w:pPr>
              <w:ind w:right="-86" w:rightChars="-41"/>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条款号</w:t>
            </w:r>
          </w:p>
        </w:tc>
        <w:tc>
          <w:tcPr>
            <w:tcW w:w="1560" w:type="dxa"/>
            <w:vAlign w:val="center"/>
          </w:tcPr>
          <w:p w14:paraId="6F85F8E9">
            <w:pPr>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条款名称</w:t>
            </w:r>
          </w:p>
        </w:tc>
        <w:tc>
          <w:tcPr>
            <w:tcW w:w="6769" w:type="dxa"/>
            <w:vAlign w:val="center"/>
          </w:tcPr>
          <w:p w14:paraId="073121B8">
            <w:pPr>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编列内容</w:t>
            </w:r>
          </w:p>
        </w:tc>
      </w:tr>
      <w:tr w14:paraId="25D20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14:paraId="72141964">
            <w:pPr>
              <w:ind w:left="-88" w:leftChars="-42" w:right="-113" w:rightChars="-54"/>
              <w:jc w:val="center"/>
              <w:rPr>
                <w:rFonts w:ascii="仿宋" w:hAnsi="仿宋" w:eastAsia="仿宋" w:cs="仿宋"/>
                <w:bCs/>
                <w:snapToGrid w:val="0"/>
                <w:color w:val="auto"/>
                <w:sz w:val="24"/>
                <w:szCs w:val="24"/>
                <w:highlight w:val="none"/>
              </w:rPr>
            </w:pPr>
            <w:r>
              <w:rPr>
                <w:rFonts w:hint="eastAsia" w:ascii="仿宋" w:hAnsi="仿宋" w:eastAsia="仿宋" w:cs="仿宋"/>
                <w:bCs/>
                <w:snapToGrid w:val="0"/>
                <w:color w:val="auto"/>
                <w:sz w:val="24"/>
                <w:szCs w:val="24"/>
                <w:highlight w:val="none"/>
              </w:rPr>
              <w:t>1.2.1</w:t>
            </w:r>
          </w:p>
        </w:tc>
        <w:tc>
          <w:tcPr>
            <w:tcW w:w="1560" w:type="dxa"/>
            <w:vAlign w:val="center"/>
          </w:tcPr>
          <w:p w14:paraId="107210E5">
            <w:pPr>
              <w:ind w:left="-44" w:leftChars="-53" w:right="-65" w:rightChars="-31" w:hanging="67" w:hangingChars="28"/>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采购人</w:t>
            </w:r>
          </w:p>
        </w:tc>
        <w:tc>
          <w:tcPr>
            <w:tcW w:w="6769" w:type="dxa"/>
            <w:vAlign w:val="center"/>
          </w:tcPr>
          <w:p w14:paraId="70B430D4">
            <w:p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见第一章竞争性磋商采购公告（邀请）</w:t>
            </w:r>
          </w:p>
        </w:tc>
      </w:tr>
      <w:tr w14:paraId="4265C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14:paraId="0D9DD7AE">
            <w:pPr>
              <w:ind w:left="-88" w:leftChars="-42" w:right="-113" w:rightChars="-54"/>
              <w:jc w:val="center"/>
              <w:rPr>
                <w:rFonts w:ascii="仿宋" w:hAnsi="仿宋" w:eastAsia="仿宋" w:cs="仿宋"/>
                <w:bCs/>
                <w:snapToGrid w:val="0"/>
                <w:color w:val="auto"/>
                <w:sz w:val="24"/>
                <w:szCs w:val="24"/>
                <w:highlight w:val="none"/>
              </w:rPr>
            </w:pPr>
            <w:r>
              <w:rPr>
                <w:rFonts w:hint="eastAsia" w:ascii="仿宋" w:hAnsi="仿宋" w:eastAsia="仿宋" w:cs="仿宋"/>
                <w:bCs/>
                <w:snapToGrid w:val="0"/>
                <w:color w:val="auto"/>
                <w:sz w:val="24"/>
                <w:szCs w:val="24"/>
                <w:highlight w:val="none"/>
              </w:rPr>
              <w:t>1.2.2</w:t>
            </w:r>
          </w:p>
        </w:tc>
        <w:tc>
          <w:tcPr>
            <w:tcW w:w="1560" w:type="dxa"/>
            <w:vAlign w:val="center"/>
          </w:tcPr>
          <w:p w14:paraId="55CA0FA4">
            <w:pPr>
              <w:ind w:left="-44" w:leftChars="-53" w:right="-65" w:rightChars="-31" w:hanging="67" w:hangingChars="28"/>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采购代理机构</w:t>
            </w:r>
          </w:p>
        </w:tc>
        <w:tc>
          <w:tcPr>
            <w:tcW w:w="6769" w:type="dxa"/>
            <w:vAlign w:val="center"/>
          </w:tcPr>
          <w:p w14:paraId="7069ABE8">
            <w:p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见第一章竞争性磋商采购公告（邀请）</w:t>
            </w:r>
          </w:p>
        </w:tc>
      </w:tr>
      <w:tr w14:paraId="7597B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922" w:type="dxa"/>
            <w:vAlign w:val="center"/>
          </w:tcPr>
          <w:p w14:paraId="48DAC46C">
            <w:pPr>
              <w:ind w:left="-88" w:leftChars="-42" w:right="-113" w:rightChars="-54"/>
              <w:jc w:val="center"/>
              <w:rPr>
                <w:rFonts w:ascii="仿宋" w:hAnsi="仿宋" w:eastAsia="仿宋" w:cs="仿宋"/>
                <w:bCs/>
                <w:snapToGrid w:val="0"/>
                <w:color w:val="auto"/>
                <w:sz w:val="24"/>
                <w:szCs w:val="24"/>
                <w:highlight w:val="none"/>
              </w:rPr>
            </w:pPr>
            <w:r>
              <w:rPr>
                <w:rFonts w:hint="eastAsia" w:ascii="仿宋" w:hAnsi="仿宋" w:eastAsia="仿宋" w:cs="仿宋"/>
                <w:bCs/>
                <w:snapToGrid w:val="0"/>
                <w:color w:val="auto"/>
                <w:sz w:val="24"/>
                <w:szCs w:val="24"/>
                <w:highlight w:val="none"/>
              </w:rPr>
              <w:t>1.4.1</w:t>
            </w:r>
          </w:p>
        </w:tc>
        <w:tc>
          <w:tcPr>
            <w:tcW w:w="1560" w:type="dxa"/>
            <w:vAlign w:val="center"/>
          </w:tcPr>
          <w:p w14:paraId="7FA0424E">
            <w:pPr>
              <w:ind w:left="-44" w:leftChars="-53" w:right="-65" w:rightChars="-31" w:hanging="67" w:hangingChars="28"/>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联合体</w:t>
            </w:r>
          </w:p>
        </w:tc>
        <w:tc>
          <w:tcPr>
            <w:tcW w:w="6769" w:type="dxa"/>
            <w:vAlign w:val="center"/>
          </w:tcPr>
          <w:p w14:paraId="719052A9">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w:char="00FE"/>
            </w:r>
            <w:r>
              <w:rPr>
                <w:rFonts w:hint="eastAsia" w:ascii="仿宋" w:hAnsi="仿宋" w:eastAsia="仿宋" w:cs="仿宋"/>
                <w:color w:val="auto"/>
                <w:sz w:val="24"/>
                <w:szCs w:val="24"/>
                <w:highlight w:val="none"/>
              </w:rPr>
              <w:t>不接受；</w:t>
            </w:r>
          </w:p>
          <w:p w14:paraId="77E47E69">
            <w:pPr>
              <w:numPr>
                <w:ilvl w:val="0"/>
                <w:numId w:val="2"/>
              </w:num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接受。</w:t>
            </w:r>
          </w:p>
        </w:tc>
      </w:tr>
      <w:tr w14:paraId="2C3A6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922" w:type="dxa"/>
            <w:vAlign w:val="center"/>
          </w:tcPr>
          <w:p w14:paraId="32E3BB2C">
            <w:pPr>
              <w:ind w:left="-88" w:leftChars="-42" w:right="-113" w:rightChars="-54"/>
              <w:jc w:val="center"/>
              <w:rPr>
                <w:rFonts w:ascii="仿宋" w:hAnsi="仿宋" w:eastAsia="仿宋" w:cs="仿宋"/>
                <w:bCs/>
                <w:snapToGrid w:val="0"/>
                <w:color w:val="auto"/>
                <w:sz w:val="24"/>
                <w:szCs w:val="24"/>
                <w:highlight w:val="none"/>
              </w:rPr>
            </w:pPr>
            <w:r>
              <w:rPr>
                <w:rFonts w:hint="eastAsia" w:ascii="仿宋" w:hAnsi="仿宋" w:eastAsia="仿宋" w:cs="仿宋"/>
                <w:bCs/>
                <w:snapToGrid w:val="0"/>
                <w:color w:val="auto"/>
                <w:sz w:val="24"/>
                <w:szCs w:val="24"/>
                <w:highlight w:val="none"/>
              </w:rPr>
              <w:t>1.7.1</w:t>
            </w:r>
          </w:p>
        </w:tc>
        <w:tc>
          <w:tcPr>
            <w:tcW w:w="1560" w:type="dxa"/>
            <w:vAlign w:val="center"/>
          </w:tcPr>
          <w:p w14:paraId="7819FD38">
            <w:pPr>
              <w:ind w:left="-44" w:leftChars="-53" w:right="-65" w:rightChars="-31" w:hanging="67" w:hangingChars="28"/>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现场踏勘</w:t>
            </w:r>
          </w:p>
        </w:tc>
        <w:tc>
          <w:tcPr>
            <w:tcW w:w="6769" w:type="dxa"/>
            <w:vAlign w:val="center"/>
          </w:tcPr>
          <w:p w14:paraId="30596810">
            <w:pPr>
              <w:rPr>
                <w:rFonts w:ascii="仿宋" w:hAnsi="仿宋" w:eastAsia="仿宋" w:cs="仿宋"/>
                <w:bCs/>
                <w:color w:val="auto"/>
                <w:sz w:val="24"/>
                <w:szCs w:val="24"/>
                <w:highlight w:val="none"/>
              </w:rPr>
            </w:pPr>
            <w:r>
              <w:rPr>
                <w:rFonts w:hint="eastAsia" w:ascii="仿宋" w:hAnsi="仿宋" w:eastAsia="仿宋" w:cs="仿宋"/>
                <w:color w:val="auto"/>
                <w:sz w:val="24"/>
                <w:szCs w:val="24"/>
                <w:highlight w:val="none"/>
              </w:rPr>
              <w:sym w:font="Wingdings" w:char="00FE"/>
            </w:r>
            <w:r>
              <w:rPr>
                <w:rFonts w:hint="eastAsia" w:ascii="仿宋" w:hAnsi="仿宋" w:eastAsia="仿宋" w:cs="仿宋"/>
                <w:color w:val="auto"/>
                <w:sz w:val="24"/>
                <w:szCs w:val="24"/>
                <w:highlight w:val="none"/>
              </w:rPr>
              <w:t xml:space="preserve"> 不组织。</w:t>
            </w:r>
          </w:p>
          <w:p w14:paraId="72B0B5A0">
            <w:p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组织，详见第二章采购需求。</w:t>
            </w:r>
          </w:p>
        </w:tc>
      </w:tr>
      <w:tr w14:paraId="5ABB3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922" w:type="dxa"/>
            <w:vAlign w:val="center"/>
          </w:tcPr>
          <w:p w14:paraId="18A6A4CE">
            <w:pPr>
              <w:ind w:left="-88" w:leftChars="-42" w:right="-113" w:rightChars="-54"/>
              <w:jc w:val="center"/>
              <w:rPr>
                <w:rFonts w:ascii="仿宋" w:hAnsi="仿宋" w:eastAsia="仿宋" w:cs="仿宋"/>
                <w:bCs/>
                <w:snapToGrid w:val="0"/>
                <w:color w:val="auto"/>
                <w:sz w:val="24"/>
                <w:szCs w:val="24"/>
                <w:highlight w:val="none"/>
              </w:rPr>
            </w:pPr>
            <w:r>
              <w:rPr>
                <w:rFonts w:hint="eastAsia" w:ascii="仿宋" w:hAnsi="仿宋" w:eastAsia="仿宋" w:cs="仿宋"/>
                <w:bCs/>
                <w:snapToGrid w:val="0"/>
                <w:color w:val="auto"/>
                <w:sz w:val="24"/>
                <w:szCs w:val="24"/>
                <w:highlight w:val="none"/>
              </w:rPr>
              <w:t>1.8.1</w:t>
            </w:r>
          </w:p>
        </w:tc>
        <w:tc>
          <w:tcPr>
            <w:tcW w:w="1560" w:type="dxa"/>
            <w:vAlign w:val="center"/>
          </w:tcPr>
          <w:p w14:paraId="66C5296E">
            <w:pPr>
              <w:ind w:left="-44" w:leftChars="-53" w:right="-65" w:rightChars="-31" w:hanging="67" w:hangingChars="28"/>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答疑会</w:t>
            </w:r>
          </w:p>
        </w:tc>
        <w:tc>
          <w:tcPr>
            <w:tcW w:w="6769" w:type="dxa"/>
            <w:vAlign w:val="center"/>
          </w:tcPr>
          <w:p w14:paraId="0EABAE81">
            <w:pPr>
              <w:rPr>
                <w:rFonts w:ascii="仿宋" w:hAnsi="仿宋" w:eastAsia="仿宋" w:cs="仿宋"/>
                <w:bCs/>
                <w:color w:val="auto"/>
                <w:sz w:val="24"/>
                <w:szCs w:val="24"/>
                <w:highlight w:val="none"/>
              </w:rPr>
            </w:pPr>
            <w:r>
              <w:rPr>
                <w:rFonts w:hint="eastAsia" w:ascii="仿宋" w:hAnsi="仿宋" w:eastAsia="仿宋" w:cs="仿宋"/>
                <w:color w:val="auto"/>
                <w:sz w:val="24"/>
                <w:szCs w:val="24"/>
                <w:highlight w:val="none"/>
              </w:rPr>
              <w:sym w:font="Wingdings" w:char="00FE"/>
            </w:r>
            <w:r>
              <w:rPr>
                <w:rFonts w:hint="eastAsia" w:ascii="仿宋" w:hAnsi="仿宋" w:eastAsia="仿宋" w:cs="仿宋"/>
                <w:color w:val="auto"/>
                <w:sz w:val="24"/>
                <w:szCs w:val="24"/>
                <w:highlight w:val="none"/>
              </w:rPr>
              <w:t xml:space="preserve">  不召开；</w:t>
            </w:r>
          </w:p>
          <w:p w14:paraId="57006165">
            <w:p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  召开。时间：   年  月  日  时  分；地点： </w:t>
            </w:r>
          </w:p>
        </w:tc>
      </w:tr>
      <w:tr w14:paraId="0D299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922" w:type="dxa"/>
            <w:vAlign w:val="center"/>
          </w:tcPr>
          <w:p w14:paraId="7046B8A5">
            <w:pPr>
              <w:ind w:left="-88" w:leftChars="-42" w:right="-113" w:rightChars="-54"/>
              <w:jc w:val="center"/>
              <w:rPr>
                <w:rFonts w:ascii="仿宋" w:hAnsi="仿宋" w:eastAsia="仿宋" w:cs="仿宋"/>
                <w:bCs/>
                <w:snapToGrid w:val="0"/>
                <w:color w:val="auto"/>
                <w:sz w:val="24"/>
                <w:szCs w:val="24"/>
                <w:highlight w:val="none"/>
              </w:rPr>
            </w:pPr>
            <w:r>
              <w:rPr>
                <w:rFonts w:hint="eastAsia" w:ascii="仿宋" w:hAnsi="仿宋" w:eastAsia="仿宋" w:cs="仿宋"/>
                <w:bCs/>
                <w:snapToGrid w:val="0"/>
                <w:color w:val="auto"/>
                <w:sz w:val="24"/>
                <w:szCs w:val="24"/>
                <w:highlight w:val="none"/>
              </w:rPr>
              <w:t>1.9.1</w:t>
            </w:r>
          </w:p>
        </w:tc>
        <w:tc>
          <w:tcPr>
            <w:tcW w:w="1560" w:type="dxa"/>
            <w:vAlign w:val="center"/>
          </w:tcPr>
          <w:p w14:paraId="5AE1643D">
            <w:pPr>
              <w:ind w:left="-44" w:leftChars="-53" w:right="-65" w:rightChars="-31" w:hanging="67" w:hangingChars="28"/>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分包</w:t>
            </w:r>
          </w:p>
        </w:tc>
        <w:tc>
          <w:tcPr>
            <w:tcW w:w="6769" w:type="dxa"/>
            <w:vAlign w:val="center"/>
          </w:tcPr>
          <w:p w14:paraId="7EFA5E52">
            <w:pPr>
              <w:ind w:left="-113" w:leftChars="-54" w:right="-107" w:rightChars="-51" w:firstLine="120" w:firstLineChars="50"/>
              <w:rPr>
                <w:rFonts w:ascii="仿宋" w:hAnsi="仿宋" w:eastAsia="仿宋" w:cs="仿宋"/>
                <w:bCs/>
                <w:color w:val="auto"/>
                <w:sz w:val="24"/>
                <w:szCs w:val="24"/>
                <w:highlight w:val="none"/>
              </w:rPr>
            </w:pPr>
            <w:r>
              <w:rPr>
                <w:rFonts w:hint="eastAsia" w:ascii="仿宋" w:hAnsi="仿宋" w:eastAsia="仿宋" w:cs="仿宋"/>
                <w:color w:val="auto"/>
                <w:sz w:val="24"/>
                <w:szCs w:val="24"/>
                <w:highlight w:val="none"/>
              </w:rPr>
              <w:sym w:font="Wingdings" w:char="00FE"/>
            </w:r>
            <w:r>
              <w:rPr>
                <w:rFonts w:hint="eastAsia" w:ascii="仿宋" w:hAnsi="仿宋" w:eastAsia="仿宋" w:cs="仿宋"/>
                <w:color w:val="auto"/>
                <w:sz w:val="24"/>
                <w:szCs w:val="24"/>
                <w:highlight w:val="none"/>
              </w:rPr>
              <w:t xml:space="preserve"> </w:t>
            </w:r>
            <w:r>
              <w:rPr>
                <w:rFonts w:hint="eastAsia" w:ascii="仿宋" w:hAnsi="仿宋" w:eastAsia="仿宋" w:cs="仿宋"/>
                <w:bCs/>
                <w:color w:val="auto"/>
                <w:sz w:val="24"/>
                <w:szCs w:val="24"/>
                <w:highlight w:val="none"/>
              </w:rPr>
              <w:t xml:space="preserve"> 1.不允许。</w:t>
            </w:r>
          </w:p>
          <w:p w14:paraId="29EAD3FF">
            <w:pPr>
              <w:ind w:left="-113" w:leftChars="-54" w:right="-107" w:rightChars="-51" w:firstLine="120" w:firstLineChars="5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2.允许，但主体部分不得分包，详见第二章采购需求</w:t>
            </w:r>
          </w:p>
        </w:tc>
      </w:tr>
      <w:tr w14:paraId="30C92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14:paraId="507CC4E2">
            <w:pPr>
              <w:ind w:left="-88" w:leftChars="-42" w:right="-113" w:rightChars="-54"/>
              <w:jc w:val="center"/>
              <w:rPr>
                <w:rFonts w:ascii="仿宋" w:hAnsi="仿宋" w:eastAsia="仿宋" w:cs="仿宋"/>
                <w:bCs/>
                <w:snapToGrid w:val="0"/>
                <w:color w:val="auto"/>
                <w:sz w:val="24"/>
                <w:szCs w:val="24"/>
                <w:highlight w:val="none"/>
              </w:rPr>
            </w:pPr>
            <w:r>
              <w:rPr>
                <w:rFonts w:hint="eastAsia" w:ascii="仿宋" w:hAnsi="仿宋" w:eastAsia="仿宋" w:cs="仿宋"/>
                <w:bCs/>
                <w:snapToGrid w:val="0"/>
                <w:color w:val="auto"/>
                <w:sz w:val="24"/>
                <w:szCs w:val="24"/>
                <w:highlight w:val="none"/>
              </w:rPr>
              <w:t>1.11.3</w:t>
            </w:r>
          </w:p>
        </w:tc>
        <w:tc>
          <w:tcPr>
            <w:tcW w:w="1560" w:type="dxa"/>
            <w:vAlign w:val="center"/>
          </w:tcPr>
          <w:p w14:paraId="5F4BEFE7">
            <w:pPr>
              <w:ind w:left="-44" w:leftChars="-53" w:right="-65" w:rightChars="-31" w:hanging="67" w:hangingChars="28"/>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小型、微型企业的价格扣除</w:t>
            </w:r>
          </w:p>
        </w:tc>
        <w:tc>
          <w:tcPr>
            <w:tcW w:w="6769" w:type="dxa"/>
            <w:vAlign w:val="center"/>
          </w:tcPr>
          <w:p w14:paraId="65F7FAC5">
            <w:p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 对小型和微型企业产品给予</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1</w:t>
            </w:r>
            <w:r>
              <w:rPr>
                <w:rFonts w:hint="eastAsia" w:ascii="仿宋" w:hAnsi="仿宋" w:eastAsia="仿宋" w:cs="仿宋"/>
                <w:bCs/>
                <w:color w:val="auto"/>
                <w:sz w:val="24"/>
                <w:szCs w:val="24"/>
                <w:highlight w:val="none"/>
                <w:u w:val="single"/>
              </w:rPr>
              <w:t>0%</w:t>
            </w:r>
            <w:r>
              <w:rPr>
                <w:rFonts w:hint="eastAsia" w:ascii="仿宋" w:hAnsi="仿宋" w:eastAsia="仿宋" w:cs="仿宋"/>
                <w:bCs/>
                <w:color w:val="auto"/>
                <w:sz w:val="24"/>
                <w:szCs w:val="24"/>
                <w:highlight w:val="none"/>
              </w:rPr>
              <w:t>的价格扣除；</w:t>
            </w:r>
          </w:p>
          <w:p w14:paraId="00490849">
            <w:p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 联合协议或者分包意向协议约定小微企业的合同份额占到合同总金额30%，给予</w:t>
            </w:r>
            <w:r>
              <w:rPr>
                <w:rFonts w:hint="eastAsia" w:ascii="仿宋" w:hAnsi="仿宋" w:eastAsia="仿宋" w:cs="仿宋"/>
                <w:bCs/>
                <w:color w:val="auto"/>
                <w:sz w:val="24"/>
                <w:szCs w:val="24"/>
                <w:highlight w:val="none"/>
                <w:u w:val="single"/>
              </w:rPr>
              <w:t>6%</w:t>
            </w:r>
            <w:r>
              <w:rPr>
                <w:rFonts w:hint="eastAsia" w:ascii="仿宋" w:hAnsi="仿宋" w:eastAsia="仿宋" w:cs="仿宋"/>
                <w:bCs/>
                <w:color w:val="auto"/>
                <w:sz w:val="24"/>
                <w:szCs w:val="24"/>
                <w:highlight w:val="none"/>
              </w:rPr>
              <w:t>的价格扣除；</w:t>
            </w:r>
          </w:p>
          <w:p w14:paraId="5751D7F7">
            <w:pPr>
              <w:rPr>
                <w:rFonts w:ascii="仿宋" w:hAnsi="仿宋" w:eastAsia="仿宋" w:cs="仿宋"/>
                <w:bCs/>
                <w:snapToGrid w:val="0"/>
                <w:color w:val="auto"/>
                <w:sz w:val="24"/>
                <w:szCs w:val="24"/>
                <w:highlight w:val="none"/>
              </w:rPr>
            </w:pPr>
            <w:r>
              <w:rPr>
                <w:rFonts w:hint="eastAsia" w:ascii="仿宋" w:hAnsi="仿宋" w:eastAsia="仿宋" w:cs="仿宋"/>
                <w:bCs/>
                <w:color w:val="auto"/>
                <w:sz w:val="24"/>
                <w:szCs w:val="24"/>
                <w:highlight w:val="none"/>
              </w:rPr>
              <w:t>3. 本项目所属行业：</w:t>
            </w:r>
            <w:r>
              <w:rPr>
                <w:rFonts w:hint="eastAsia" w:ascii="仿宋" w:hAnsi="仿宋" w:eastAsia="仿宋" w:cs="仿宋"/>
                <w:bCs/>
                <w:color w:val="auto"/>
                <w:sz w:val="24"/>
                <w:szCs w:val="24"/>
                <w:highlight w:val="none"/>
                <w:u w:val="single"/>
              </w:rPr>
              <w:t>其他未列明行业。</w:t>
            </w:r>
          </w:p>
        </w:tc>
      </w:tr>
      <w:tr w14:paraId="3A560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14:paraId="45414DAE">
            <w:pPr>
              <w:ind w:left="-88" w:leftChars="-42" w:right="-113" w:rightChars="-54"/>
              <w:jc w:val="center"/>
              <w:rPr>
                <w:rFonts w:ascii="仿宋" w:hAnsi="仿宋" w:eastAsia="仿宋" w:cs="仿宋"/>
                <w:bCs/>
                <w:snapToGrid w:val="0"/>
                <w:color w:val="auto"/>
                <w:sz w:val="24"/>
                <w:szCs w:val="24"/>
                <w:highlight w:val="none"/>
              </w:rPr>
            </w:pPr>
            <w:r>
              <w:rPr>
                <w:rFonts w:hint="eastAsia" w:ascii="仿宋" w:hAnsi="仿宋" w:eastAsia="仿宋" w:cs="仿宋"/>
                <w:bCs/>
                <w:snapToGrid w:val="0"/>
                <w:color w:val="auto"/>
                <w:sz w:val="24"/>
                <w:szCs w:val="24"/>
                <w:highlight w:val="none"/>
              </w:rPr>
              <w:t>1.13.6</w:t>
            </w:r>
          </w:p>
        </w:tc>
        <w:tc>
          <w:tcPr>
            <w:tcW w:w="1560" w:type="dxa"/>
            <w:vAlign w:val="center"/>
          </w:tcPr>
          <w:p w14:paraId="64F76CD6">
            <w:pPr>
              <w:ind w:left="-44" w:leftChars="-53" w:right="-65" w:rightChars="-31" w:hanging="67" w:hangingChars="28"/>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质疑联系人</w:t>
            </w:r>
          </w:p>
        </w:tc>
        <w:tc>
          <w:tcPr>
            <w:tcW w:w="6769" w:type="dxa"/>
            <w:vAlign w:val="center"/>
          </w:tcPr>
          <w:p w14:paraId="38125C52">
            <w:p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采购需求及供应商资格条件质疑：</w:t>
            </w:r>
          </w:p>
          <w:p w14:paraId="05803014">
            <w:pPr>
              <w:spacing w:line="28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单位：浙江丽水兴华工程管理有限公司                      </w:t>
            </w:r>
          </w:p>
          <w:p w14:paraId="2E355C22">
            <w:pPr>
              <w:rPr>
                <w:rFonts w:ascii="仿宋" w:hAnsi="仿宋" w:eastAsia="仿宋" w:cs="仿宋"/>
                <w:bCs/>
                <w:color w:val="auto"/>
                <w:sz w:val="24"/>
                <w:szCs w:val="24"/>
                <w:highlight w:val="none"/>
              </w:rPr>
            </w:pPr>
            <w:r>
              <w:rPr>
                <w:rFonts w:hint="eastAsia" w:ascii="仿宋" w:hAnsi="仿宋" w:eastAsia="仿宋" w:cs="仿宋"/>
                <w:color w:val="auto"/>
                <w:sz w:val="24"/>
                <w:highlight w:val="none"/>
              </w:rPr>
              <w:t>负责人：洪跃华   联系电话：0578-</w:t>
            </w:r>
            <w:r>
              <w:rPr>
                <w:rFonts w:hint="eastAsia" w:ascii="仿宋" w:hAnsi="仿宋" w:eastAsia="仿宋" w:cs="仿宋"/>
                <w:color w:val="auto"/>
                <w:sz w:val="24"/>
                <w:highlight w:val="none"/>
                <w:lang w:val="en-US" w:eastAsia="zh-CN"/>
              </w:rPr>
              <w:t>2121823</w:t>
            </w:r>
          </w:p>
        </w:tc>
      </w:tr>
      <w:tr w14:paraId="010E3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14:paraId="31E393A7">
            <w:pPr>
              <w:ind w:left="-88" w:leftChars="-42" w:right="-113" w:rightChars="-54"/>
              <w:jc w:val="center"/>
              <w:rPr>
                <w:rFonts w:ascii="仿宋" w:hAnsi="仿宋" w:eastAsia="仿宋" w:cs="仿宋"/>
                <w:bCs/>
                <w:snapToGrid w:val="0"/>
                <w:color w:val="auto"/>
                <w:sz w:val="24"/>
                <w:szCs w:val="24"/>
                <w:highlight w:val="none"/>
              </w:rPr>
            </w:pPr>
            <w:r>
              <w:rPr>
                <w:rFonts w:hint="eastAsia" w:ascii="仿宋" w:hAnsi="仿宋" w:eastAsia="仿宋" w:cs="仿宋"/>
                <w:bCs/>
                <w:snapToGrid w:val="0"/>
                <w:color w:val="auto"/>
                <w:sz w:val="24"/>
                <w:szCs w:val="24"/>
                <w:highlight w:val="none"/>
              </w:rPr>
              <w:t>1.13.11</w:t>
            </w:r>
          </w:p>
        </w:tc>
        <w:tc>
          <w:tcPr>
            <w:tcW w:w="1560" w:type="dxa"/>
            <w:vAlign w:val="center"/>
          </w:tcPr>
          <w:p w14:paraId="50908A22">
            <w:pPr>
              <w:ind w:left="-44" w:leftChars="-53" w:right="-65" w:rightChars="-31" w:hanging="67" w:hangingChars="28"/>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同级政府采购监督管理部门</w:t>
            </w:r>
          </w:p>
        </w:tc>
        <w:tc>
          <w:tcPr>
            <w:tcW w:w="6769" w:type="dxa"/>
            <w:vAlign w:val="center"/>
          </w:tcPr>
          <w:p w14:paraId="3E78E7B7">
            <w:p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见第一章竞争性磋商采购公告（邀请）</w:t>
            </w:r>
          </w:p>
        </w:tc>
      </w:tr>
      <w:tr w14:paraId="7BA6D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14:paraId="192BDA0B">
            <w:pPr>
              <w:ind w:left="-88" w:leftChars="-42" w:right="-113" w:rightChars="-54"/>
              <w:jc w:val="center"/>
              <w:rPr>
                <w:rFonts w:ascii="仿宋" w:hAnsi="仿宋" w:eastAsia="仿宋" w:cs="仿宋"/>
                <w:bCs/>
                <w:snapToGrid w:val="0"/>
                <w:color w:val="auto"/>
                <w:sz w:val="24"/>
                <w:szCs w:val="24"/>
                <w:highlight w:val="none"/>
              </w:rPr>
            </w:pPr>
            <w:r>
              <w:rPr>
                <w:rFonts w:hint="eastAsia" w:ascii="仿宋" w:hAnsi="仿宋" w:eastAsia="仿宋" w:cs="仿宋"/>
                <w:bCs/>
                <w:snapToGrid w:val="0"/>
                <w:color w:val="auto"/>
                <w:sz w:val="24"/>
                <w:szCs w:val="24"/>
                <w:highlight w:val="none"/>
              </w:rPr>
              <w:t>2.2.4</w:t>
            </w:r>
          </w:p>
        </w:tc>
        <w:tc>
          <w:tcPr>
            <w:tcW w:w="1560" w:type="dxa"/>
            <w:vAlign w:val="center"/>
          </w:tcPr>
          <w:p w14:paraId="1E16E27A">
            <w:pPr>
              <w:ind w:left="-44" w:leftChars="-53" w:right="-65" w:rightChars="-31" w:hanging="67" w:hangingChars="28"/>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澄清、修改发布网址</w:t>
            </w:r>
          </w:p>
        </w:tc>
        <w:tc>
          <w:tcPr>
            <w:tcW w:w="6769" w:type="dxa"/>
            <w:vAlign w:val="center"/>
          </w:tcPr>
          <w:p w14:paraId="2CE92A28">
            <w:p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 浙江政府采购网（</w:t>
            </w:r>
            <w:r>
              <w:rPr>
                <w:color w:val="auto"/>
                <w:highlight w:val="none"/>
              </w:rPr>
              <w:fldChar w:fldCharType="begin"/>
            </w:r>
            <w:r>
              <w:rPr>
                <w:color w:val="auto"/>
                <w:highlight w:val="none"/>
              </w:rPr>
              <w:instrText xml:space="preserve"> HYPERLINK "http://www.zjzfcg.gov.cn" </w:instrText>
            </w:r>
            <w:r>
              <w:rPr>
                <w:color w:val="auto"/>
                <w:highlight w:val="none"/>
              </w:rPr>
              <w:fldChar w:fldCharType="separate"/>
            </w:r>
            <w:r>
              <w:rPr>
                <w:rFonts w:hint="eastAsia" w:ascii="仿宋" w:hAnsi="仿宋" w:eastAsia="仿宋" w:cs="仿宋"/>
                <w:color w:val="auto"/>
                <w:sz w:val="24"/>
                <w:szCs w:val="24"/>
                <w:highlight w:val="none"/>
              </w:rPr>
              <w:t>zfcg.czt.zj.gov.cn</w:t>
            </w:r>
            <w:r>
              <w:rPr>
                <w:rFonts w:hint="eastAsia" w:ascii="仿宋" w:hAnsi="仿宋" w:eastAsia="仿宋" w:cs="仿宋"/>
                <w:color w:val="auto"/>
                <w:sz w:val="24"/>
                <w:szCs w:val="24"/>
                <w:highlight w:val="none"/>
              </w:rPr>
              <w:fldChar w:fldCharType="end"/>
            </w:r>
            <w:r>
              <w:rPr>
                <w:rFonts w:hint="eastAsia" w:ascii="仿宋" w:hAnsi="仿宋" w:eastAsia="仿宋" w:cs="仿宋"/>
                <w:bCs/>
                <w:color w:val="auto"/>
                <w:sz w:val="24"/>
                <w:szCs w:val="24"/>
                <w:highlight w:val="none"/>
              </w:rPr>
              <w:t>）</w:t>
            </w:r>
          </w:p>
          <w:p w14:paraId="132B2F5D">
            <w:p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 丽水市公共资源交易网（</w:t>
            </w:r>
            <w:r>
              <w:rPr>
                <w:color w:val="auto"/>
                <w:highlight w:val="none"/>
              </w:rPr>
              <w:fldChar w:fldCharType="begin"/>
            </w:r>
            <w:r>
              <w:rPr>
                <w:color w:val="auto"/>
                <w:highlight w:val="none"/>
              </w:rPr>
              <w:instrText xml:space="preserve"> HYPERLINK "http://www.lssggzy.com/" </w:instrText>
            </w:r>
            <w:r>
              <w:rPr>
                <w:color w:val="auto"/>
                <w:highlight w:val="none"/>
              </w:rPr>
              <w:fldChar w:fldCharType="separate"/>
            </w:r>
            <w:r>
              <w:rPr>
                <w:rStyle w:val="24"/>
                <w:rFonts w:hint="eastAsia" w:ascii="仿宋" w:hAnsi="仿宋" w:eastAsia="仿宋" w:cs="仿宋"/>
                <w:bCs/>
                <w:color w:val="auto"/>
                <w:sz w:val="24"/>
                <w:szCs w:val="24"/>
                <w:highlight w:val="none"/>
                <w:u w:val="none"/>
              </w:rPr>
              <w:t>lssggzy.lishui.gov.cn</w:t>
            </w:r>
            <w:r>
              <w:rPr>
                <w:rStyle w:val="24"/>
                <w:rFonts w:hint="eastAsia" w:ascii="仿宋" w:hAnsi="仿宋" w:eastAsia="仿宋" w:cs="仿宋"/>
                <w:bCs/>
                <w:color w:val="auto"/>
                <w:sz w:val="24"/>
                <w:szCs w:val="24"/>
                <w:highlight w:val="none"/>
                <w:u w:val="none"/>
              </w:rPr>
              <w:fldChar w:fldCharType="end"/>
            </w:r>
            <w:r>
              <w:rPr>
                <w:rFonts w:hint="eastAsia" w:ascii="仿宋" w:hAnsi="仿宋" w:eastAsia="仿宋" w:cs="仿宋"/>
                <w:bCs/>
                <w:color w:val="auto"/>
                <w:sz w:val="24"/>
                <w:szCs w:val="24"/>
                <w:highlight w:val="none"/>
              </w:rPr>
              <w:t>）</w:t>
            </w:r>
          </w:p>
        </w:tc>
      </w:tr>
      <w:tr w14:paraId="68763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14:paraId="52EC3369">
            <w:pPr>
              <w:ind w:left="-88" w:leftChars="-42" w:right="-113" w:rightChars="-54"/>
              <w:jc w:val="center"/>
              <w:rPr>
                <w:rFonts w:ascii="仿宋" w:hAnsi="仿宋" w:eastAsia="仿宋" w:cs="仿宋"/>
                <w:bCs/>
                <w:snapToGrid w:val="0"/>
                <w:color w:val="auto"/>
                <w:sz w:val="24"/>
                <w:szCs w:val="24"/>
                <w:highlight w:val="none"/>
              </w:rPr>
            </w:pPr>
            <w:r>
              <w:rPr>
                <w:rFonts w:hint="eastAsia" w:ascii="仿宋" w:hAnsi="仿宋" w:eastAsia="仿宋" w:cs="仿宋"/>
                <w:bCs/>
                <w:snapToGrid w:val="0"/>
                <w:color w:val="auto"/>
                <w:sz w:val="24"/>
                <w:szCs w:val="24"/>
                <w:highlight w:val="none"/>
              </w:rPr>
              <w:t>3.4</w:t>
            </w:r>
          </w:p>
        </w:tc>
        <w:tc>
          <w:tcPr>
            <w:tcW w:w="1560" w:type="dxa"/>
            <w:vAlign w:val="center"/>
          </w:tcPr>
          <w:p w14:paraId="0B754727">
            <w:pPr>
              <w:ind w:left="-44" w:leftChars="-53" w:right="-65" w:rightChars="-31" w:hanging="67" w:hangingChars="28"/>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资格审查文件组成</w:t>
            </w:r>
          </w:p>
        </w:tc>
        <w:tc>
          <w:tcPr>
            <w:tcW w:w="6769" w:type="dxa"/>
            <w:vAlign w:val="center"/>
          </w:tcPr>
          <w:p w14:paraId="0CC0C4AF">
            <w:pPr>
              <w:jc w:val="left"/>
              <w:rPr>
                <w:rFonts w:ascii="仿宋" w:hAnsi="仿宋" w:eastAsia="仿宋"/>
                <w:color w:val="auto"/>
                <w:kern w:val="0"/>
                <w:sz w:val="24"/>
                <w:szCs w:val="24"/>
                <w:highlight w:val="none"/>
              </w:rPr>
            </w:pPr>
            <w:r>
              <w:rPr>
                <w:rFonts w:hint="eastAsia" w:ascii="仿宋" w:hAnsi="仿宋" w:eastAsia="仿宋"/>
                <w:bCs/>
                <w:color w:val="auto"/>
                <w:sz w:val="24"/>
                <w:szCs w:val="24"/>
                <w:highlight w:val="none"/>
              </w:rPr>
              <w:t>▲1. 有效的营业执照电子文档；</w:t>
            </w:r>
          </w:p>
          <w:p w14:paraId="5F67AC85">
            <w:pPr>
              <w:jc w:val="left"/>
              <w:rPr>
                <w:rFonts w:ascii="仿宋" w:hAnsi="仿宋" w:eastAsia="仿宋"/>
                <w:color w:val="auto"/>
                <w:sz w:val="24"/>
                <w:szCs w:val="24"/>
                <w:highlight w:val="none"/>
              </w:rPr>
            </w:pPr>
            <w:r>
              <w:rPr>
                <w:rFonts w:hint="eastAsia" w:ascii="仿宋" w:hAnsi="仿宋" w:eastAsia="仿宋"/>
                <w:color w:val="auto"/>
                <w:kern w:val="0"/>
                <w:sz w:val="24"/>
                <w:szCs w:val="24"/>
                <w:highlight w:val="none"/>
              </w:rPr>
              <w:t>▲2</w:t>
            </w:r>
            <w:r>
              <w:rPr>
                <w:rFonts w:hint="eastAsia" w:ascii="仿宋" w:hAnsi="仿宋" w:eastAsia="仿宋"/>
                <w:bCs/>
                <w:color w:val="auto"/>
                <w:sz w:val="24"/>
                <w:szCs w:val="24"/>
                <w:highlight w:val="none"/>
              </w:rPr>
              <w:t xml:space="preserve">. </w:t>
            </w:r>
            <w:r>
              <w:rPr>
                <w:rFonts w:hint="eastAsia" w:ascii="仿宋" w:hAnsi="仿宋" w:eastAsia="仿宋"/>
                <w:color w:val="auto"/>
                <w:sz w:val="24"/>
                <w:szCs w:val="24"/>
                <w:highlight w:val="none"/>
              </w:rPr>
              <w:t>负责人身份证</w:t>
            </w:r>
            <w:r>
              <w:rPr>
                <w:rFonts w:hint="eastAsia" w:ascii="仿宋" w:hAnsi="仿宋" w:eastAsia="仿宋"/>
                <w:bCs/>
                <w:color w:val="auto"/>
                <w:sz w:val="24"/>
                <w:szCs w:val="24"/>
                <w:highlight w:val="none"/>
              </w:rPr>
              <w:t>电子文档</w:t>
            </w:r>
            <w:r>
              <w:rPr>
                <w:rFonts w:hint="eastAsia" w:ascii="仿宋" w:hAnsi="仿宋" w:eastAsia="仿宋"/>
                <w:color w:val="auto"/>
                <w:sz w:val="24"/>
                <w:szCs w:val="24"/>
                <w:highlight w:val="none"/>
              </w:rPr>
              <w:t>；</w:t>
            </w:r>
          </w:p>
          <w:p w14:paraId="0C7C85CC">
            <w:pPr>
              <w:jc w:val="left"/>
              <w:rPr>
                <w:rFonts w:ascii="仿宋" w:hAnsi="仿宋" w:eastAsia="仿宋"/>
                <w:color w:val="auto"/>
                <w:sz w:val="24"/>
                <w:szCs w:val="24"/>
                <w:highlight w:val="none"/>
              </w:rPr>
            </w:pPr>
            <w:r>
              <w:rPr>
                <w:rFonts w:hint="eastAsia" w:ascii="仿宋" w:hAnsi="仿宋" w:eastAsia="仿宋"/>
                <w:color w:val="auto"/>
                <w:sz w:val="24"/>
                <w:szCs w:val="24"/>
                <w:highlight w:val="none"/>
              </w:rPr>
              <w:t>▲3</w:t>
            </w:r>
            <w:r>
              <w:rPr>
                <w:rFonts w:hint="eastAsia" w:ascii="仿宋" w:hAnsi="仿宋" w:eastAsia="仿宋"/>
                <w:bCs/>
                <w:color w:val="auto"/>
                <w:sz w:val="24"/>
                <w:szCs w:val="24"/>
                <w:highlight w:val="none"/>
              </w:rPr>
              <w:t xml:space="preserve">. </w:t>
            </w:r>
            <w:r>
              <w:rPr>
                <w:rFonts w:hint="eastAsia" w:ascii="仿宋" w:hAnsi="仿宋" w:eastAsia="仿宋"/>
                <w:color w:val="auto"/>
                <w:sz w:val="24"/>
                <w:szCs w:val="24"/>
                <w:highlight w:val="none"/>
              </w:rPr>
              <w:t>若有委托代理人的，则还应当提供授权委托书及委托代理人的身份证</w:t>
            </w:r>
            <w:r>
              <w:rPr>
                <w:rFonts w:hint="eastAsia" w:ascii="仿宋" w:hAnsi="仿宋" w:eastAsia="仿宋"/>
                <w:bCs/>
                <w:color w:val="auto"/>
                <w:sz w:val="24"/>
                <w:szCs w:val="24"/>
                <w:highlight w:val="none"/>
              </w:rPr>
              <w:t>电子文档</w:t>
            </w:r>
            <w:r>
              <w:rPr>
                <w:rFonts w:hint="eastAsia" w:ascii="仿宋" w:hAnsi="仿宋" w:eastAsia="仿宋"/>
                <w:color w:val="auto"/>
                <w:sz w:val="24"/>
                <w:szCs w:val="24"/>
                <w:highlight w:val="none"/>
              </w:rPr>
              <w:t>；</w:t>
            </w:r>
          </w:p>
          <w:p w14:paraId="4B82AF4F">
            <w:pPr>
              <w:jc w:val="left"/>
              <w:rPr>
                <w:rFonts w:ascii="仿宋" w:hAnsi="仿宋" w:eastAsia="仿宋"/>
                <w:bCs/>
                <w:color w:val="auto"/>
                <w:sz w:val="24"/>
                <w:szCs w:val="24"/>
                <w:highlight w:val="none"/>
              </w:rPr>
            </w:pPr>
            <w:r>
              <w:rPr>
                <w:rFonts w:hint="eastAsia" w:ascii="仿宋" w:hAnsi="仿宋" w:eastAsia="仿宋"/>
                <w:bCs/>
                <w:color w:val="auto"/>
                <w:sz w:val="24"/>
                <w:szCs w:val="24"/>
                <w:highlight w:val="none"/>
              </w:rPr>
              <w:t>▲4. 具有良好的财务会计制度、依法缴纳税收和社会保障资金的承诺函；</w:t>
            </w:r>
          </w:p>
          <w:p w14:paraId="12ABD4C9">
            <w:pPr>
              <w:jc w:val="left"/>
              <w:rPr>
                <w:rFonts w:ascii="仿宋" w:hAnsi="仿宋" w:eastAsia="仿宋"/>
                <w:bCs/>
                <w:color w:val="auto"/>
                <w:sz w:val="24"/>
                <w:szCs w:val="24"/>
                <w:highlight w:val="none"/>
              </w:rPr>
            </w:pPr>
            <w:r>
              <w:rPr>
                <w:rFonts w:hint="eastAsia" w:ascii="仿宋" w:hAnsi="仿宋" w:eastAsia="仿宋"/>
                <w:bCs/>
                <w:color w:val="auto"/>
                <w:sz w:val="24"/>
                <w:szCs w:val="24"/>
                <w:highlight w:val="none"/>
              </w:rPr>
              <w:t>▲5. 具有履行合同所必需的设备和专业技术能力的承诺函；</w:t>
            </w:r>
          </w:p>
          <w:p w14:paraId="28003F80">
            <w:pPr>
              <w:jc w:val="left"/>
              <w:rPr>
                <w:rFonts w:ascii="仿宋" w:hAnsi="仿宋" w:eastAsia="仿宋"/>
                <w:bCs/>
                <w:color w:val="auto"/>
                <w:sz w:val="24"/>
                <w:szCs w:val="24"/>
                <w:highlight w:val="none"/>
              </w:rPr>
            </w:pPr>
            <w:r>
              <w:rPr>
                <w:rFonts w:hint="eastAsia" w:ascii="仿宋" w:hAnsi="仿宋" w:eastAsia="仿宋"/>
                <w:bCs/>
                <w:color w:val="auto"/>
                <w:sz w:val="24"/>
                <w:szCs w:val="24"/>
                <w:highlight w:val="none"/>
              </w:rPr>
              <w:t>▲6. 无重大违法记录声明书；</w:t>
            </w:r>
          </w:p>
          <w:p w14:paraId="5B2F8F1B">
            <w:pPr>
              <w:jc w:val="left"/>
              <w:rPr>
                <w:rFonts w:ascii="仿宋" w:hAnsi="仿宋" w:eastAsia="仿宋"/>
                <w:bCs/>
                <w:color w:val="auto"/>
                <w:sz w:val="24"/>
                <w:szCs w:val="24"/>
                <w:highlight w:val="none"/>
              </w:rPr>
            </w:pPr>
            <w:r>
              <w:rPr>
                <w:rFonts w:hint="eastAsia" w:ascii="仿宋" w:hAnsi="仿宋" w:eastAsia="仿宋"/>
                <w:bCs/>
                <w:color w:val="auto"/>
                <w:sz w:val="24"/>
                <w:szCs w:val="24"/>
                <w:highlight w:val="none"/>
              </w:rPr>
              <w:t>▲</w:t>
            </w:r>
            <w:r>
              <w:rPr>
                <w:rFonts w:hint="eastAsia" w:ascii="仿宋" w:hAnsi="仿宋" w:eastAsia="仿宋"/>
                <w:bCs/>
                <w:color w:val="auto"/>
                <w:sz w:val="24"/>
                <w:szCs w:val="24"/>
                <w:highlight w:val="none"/>
                <w:lang w:val="en-US" w:eastAsia="zh-CN"/>
              </w:rPr>
              <w:t>7</w:t>
            </w:r>
            <w:r>
              <w:rPr>
                <w:rFonts w:hint="eastAsia" w:ascii="仿宋" w:hAnsi="仿宋" w:eastAsia="仿宋"/>
                <w:bCs/>
                <w:color w:val="auto"/>
                <w:sz w:val="24"/>
                <w:szCs w:val="24"/>
                <w:highlight w:val="none"/>
              </w:rPr>
              <w:t>. 特定资格条件证明材料电子文档（若有）；</w:t>
            </w:r>
          </w:p>
          <w:p w14:paraId="77C152CA">
            <w:pPr>
              <w:jc w:val="left"/>
              <w:rPr>
                <w:rFonts w:ascii="仿宋" w:hAnsi="仿宋" w:eastAsia="仿宋"/>
                <w:bCs/>
                <w:color w:val="auto"/>
                <w:sz w:val="24"/>
                <w:szCs w:val="24"/>
                <w:highlight w:val="none"/>
              </w:rPr>
            </w:pPr>
            <w:r>
              <w:rPr>
                <w:rFonts w:hint="eastAsia" w:ascii="仿宋" w:hAnsi="仿宋" w:eastAsia="仿宋"/>
                <w:bCs/>
                <w:color w:val="auto"/>
                <w:sz w:val="24"/>
                <w:szCs w:val="24"/>
                <w:highlight w:val="none"/>
              </w:rPr>
              <w:t>▲</w:t>
            </w:r>
            <w:r>
              <w:rPr>
                <w:rFonts w:hint="eastAsia" w:ascii="仿宋" w:hAnsi="仿宋" w:eastAsia="仿宋"/>
                <w:bCs/>
                <w:color w:val="auto"/>
                <w:sz w:val="24"/>
                <w:szCs w:val="24"/>
                <w:highlight w:val="none"/>
                <w:lang w:val="en-US" w:eastAsia="zh-CN"/>
              </w:rPr>
              <w:t>8</w:t>
            </w:r>
            <w:r>
              <w:rPr>
                <w:rFonts w:hint="eastAsia" w:ascii="仿宋" w:hAnsi="仿宋" w:eastAsia="仿宋"/>
                <w:bCs/>
                <w:color w:val="auto"/>
                <w:sz w:val="24"/>
                <w:szCs w:val="24"/>
                <w:highlight w:val="none"/>
              </w:rPr>
              <w:t>. 其他(若有)。</w:t>
            </w:r>
          </w:p>
          <w:p w14:paraId="15F8EB6A">
            <w:pPr>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注：编制格式要求见第五章投标文件格式，无格式的自行设计。</w:t>
            </w:r>
          </w:p>
        </w:tc>
      </w:tr>
      <w:tr w14:paraId="280DA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7" w:hRule="atLeast"/>
          <w:jc w:val="center"/>
        </w:trPr>
        <w:tc>
          <w:tcPr>
            <w:tcW w:w="922" w:type="dxa"/>
            <w:vAlign w:val="center"/>
          </w:tcPr>
          <w:p w14:paraId="0FFE3ED0">
            <w:pPr>
              <w:ind w:left="-88" w:leftChars="-42" w:right="-113" w:rightChars="-54"/>
              <w:jc w:val="center"/>
              <w:rPr>
                <w:rFonts w:ascii="仿宋" w:hAnsi="仿宋" w:eastAsia="仿宋" w:cs="仿宋"/>
                <w:bCs/>
                <w:snapToGrid w:val="0"/>
                <w:color w:val="auto"/>
                <w:sz w:val="24"/>
                <w:szCs w:val="24"/>
                <w:highlight w:val="none"/>
              </w:rPr>
            </w:pPr>
            <w:r>
              <w:rPr>
                <w:rFonts w:hint="eastAsia" w:ascii="仿宋" w:hAnsi="仿宋" w:eastAsia="仿宋" w:cs="仿宋"/>
                <w:bCs/>
                <w:snapToGrid w:val="0"/>
                <w:color w:val="auto"/>
                <w:sz w:val="24"/>
                <w:szCs w:val="24"/>
                <w:highlight w:val="none"/>
              </w:rPr>
              <w:t>3.5</w:t>
            </w:r>
          </w:p>
        </w:tc>
        <w:tc>
          <w:tcPr>
            <w:tcW w:w="1560" w:type="dxa"/>
            <w:vAlign w:val="center"/>
          </w:tcPr>
          <w:p w14:paraId="4ABDAE23">
            <w:pPr>
              <w:ind w:left="-44" w:leftChars="-53" w:right="-65" w:rightChars="-31" w:hanging="67" w:hangingChars="28"/>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资信商务及技术文件组成</w:t>
            </w:r>
          </w:p>
        </w:tc>
        <w:tc>
          <w:tcPr>
            <w:tcW w:w="6769" w:type="dxa"/>
            <w:vAlign w:val="center"/>
          </w:tcPr>
          <w:p w14:paraId="4DF5C7DC">
            <w:pPr>
              <w:numPr>
                <w:ilvl w:val="0"/>
                <w:numId w:val="3"/>
              </w:numPr>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磋商响应函；</w:t>
            </w:r>
          </w:p>
          <w:p w14:paraId="682CF309">
            <w:pPr>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 节能环保产品（若有）</w:t>
            </w:r>
          </w:p>
          <w:p w14:paraId="287CF65A">
            <w:pPr>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 类似案例成功的业绩（若有）</w:t>
            </w:r>
          </w:p>
          <w:p w14:paraId="37A50AF6">
            <w:pPr>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 商务响应表；</w:t>
            </w:r>
          </w:p>
          <w:p w14:paraId="33247CAD">
            <w:pPr>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 技术服务；</w:t>
            </w:r>
          </w:p>
          <w:p w14:paraId="7FC7E966">
            <w:pPr>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 售后服务；</w:t>
            </w:r>
          </w:p>
          <w:p w14:paraId="285F070D">
            <w:pPr>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 对本项目总体要求的理解；</w:t>
            </w:r>
          </w:p>
          <w:p w14:paraId="68D14B5F">
            <w:pPr>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 实施方案及实施计划；</w:t>
            </w:r>
          </w:p>
          <w:p w14:paraId="35870CCE">
            <w:pPr>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9. 投标产品配置清单；</w:t>
            </w:r>
          </w:p>
          <w:p w14:paraId="1DD0C788">
            <w:pPr>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10. 技术规格偏离表；</w:t>
            </w:r>
          </w:p>
          <w:p w14:paraId="6774620B">
            <w:pPr>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11. 拟投入的设施设备；</w:t>
            </w:r>
          </w:p>
          <w:p w14:paraId="4E5889A7">
            <w:pPr>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12. 拟投入的项目班子；</w:t>
            </w:r>
          </w:p>
          <w:p w14:paraId="44CF2E1F">
            <w:pPr>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13. 质量保证措施方案；</w:t>
            </w:r>
          </w:p>
          <w:p w14:paraId="6F6B2D8F">
            <w:pPr>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14. 安装、调试、验收方案；</w:t>
            </w:r>
          </w:p>
          <w:p w14:paraId="28C699E4">
            <w:pPr>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15. 投标人需要说明的其他文件和说明。</w:t>
            </w:r>
          </w:p>
          <w:p w14:paraId="4C619988">
            <w:pPr>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注：结合“第二章招标需求”和“第六章评标办法和细则”进行编制，编制格式要求见第五章投标文件格式，无格式的自行设计。</w:t>
            </w:r>
          </w:p>
        </w:tc>
      </w:tr>
      <w:tr w14:paraId="67F80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14:paraId="5708727C">
            <w:pPr>
              <w:ind w:left="-88" w:leftChars="-42" w:right="-113" w:rightChars="-54"/>
              <w:jc w:val="center"/>
              <w:rPr>
                <w:rFonts w:ascii="仿宋" w:hAnsi="仿宋" w:eastAsia="仿宋" w:cs="仿宋"/>
                <w:bCs/>
                <w:snapToGrid w:val="0"/>
                <w:color w:val="auto"/>
                <w:sz w:val="24"/>
                <w:szCs w:val="24"/>
                <w:highlight w:val="none"/>
              </w:rPr>
            </w:pPr>
            <w:r>
              <w:rPr>
                <w:rFonts w:hint="eastAsia" w:ascii="仿宋" w:hAnsi="仿宋" w:eastAsia="仿宋" w:cs="仿宋"/>
                <w:bCs/>
                <w:snapToGrid w:val="0"/>
                <w:color w:val="auto"/>
                <w:sz w:val="24"/>
                <w:szCs w:val="24"/>
                <w:highlight w:val="none"/>
              </w:rPr>
              <w:t>3.6</w:t>
            </w:r>
          </w:p>
        </w:tc>
        <w:tc>
          <w:tcPr>
            <w:tcW w:w="1560" w:type="dxa"/>
            <w:vAlign w:val="center"/>
          </w:tcPr>
          <w:p w14:paraId="07627949">
            <w:pPr>
              <w:ind w:left="-44" w:leftChars="-53" w:right="-65" w:rightChars="-31" w:hanging="67" w:hangingChars="28"/>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报价文件组成</w:t>
            </w:r>
          </w:p>
        </w:tc>
        <w:tc>
          <w:tcPr>
            <w:tcW w:w="6769" w:type="dxa"/>
            <w:vAlign w:val="center"/>
          </w:tcPr>
          <w:p w14:paraId="5A106B24">
            <w:pPr>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 开标一览表；</w:t>
            </w:r>
          </w:p>
          <w:p w14:paraId="6DAE57EA">
            <w:pPr>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 磋商响应分项报价表；</w:t>
            </w:r>
          </w:p>
          <w:p w14:paraId="18DD7BB7">
            <w:pPr>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 中小企业声明函（若有）；</w:t>
            </w:r>
          </w:p>
          <w:p w14:paraId="482816A7">
            <w:pPr>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 监狱企业声明函（若有）；</w:t>
            </w:r>
          </w:p>
          <w:p w14:paraId="0D0C7BB2">
            <w:pPr>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 残疾人福利性企业声明函（若有）。</w:t>
            </w:r>
          </w:p>
          <w:p w14:paraId="6A8E7261">
            <w:pPr>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注：编制格式要求见第五章磋商响应文件格式，无格式的自行设计。</w:t>
            </w:r>
          </w:p>
        </w:tc>
      </w:tr>
      <w:tr w14:paraId="3B947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14:paraId="2134DB05">
            <w:pPr>
              <w:ind w:left="-88" w:leftChars="-42" w:right="-113" w:rightChars="-54"/>
              <w:jc w:val="center"/>
              <w:rPr>
                <w:rFonts w:ascii="仿宋" w:hAnsi="仿宋" w:eastAsia="仿宋" w:cs="仿宋"/>
                <w:bCs/>
                <w:snapToGrid w:val="0"/>
                <w:color w:val="auto"/>
                <w:sz w:val="24"/>
                <w:szCs w:val="24"/>
                <w:highlight w:val="none"/>
              </w:rPr>
            </w:pPr>
            <w:r>
              <w:rPr>
                <w:rFonts w:hint="eastAsia" w:ascii="仿宋" w:hAnsi="仿宋" w:eastAsia="仿宋" w:cs="仿宋"/>
                <w:bCs/>
                <w:snapToGrid w:val="0"/>
                <w:color w:val="auto"/>
                <w:sz w:val="24"/>
                <w:szCs w:val="24"/>
                <w:highlight w:val="none"/>
              </w:rPr>
              <w:t>4.3.1</w:t>
            </w:r>
          </w:p>
        </w:tc>
        <w:tc>
          <w:tcPr>
            <w:tcW w:w="1560" w:type="dxa"/>
            <w:vAlign w:val="center"/>
          </w:tcPr>
          <w:p w14:paraId="5CAF4DD0">
            <w:pPr>
              <w:ind w:left="-44" w:leftChars="-53" w:right="-65" w:rightChars="-31" w:hanging="67" w:hangingChars="28"/>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磋商有效期</w:t>
            </w:r>
          </w:p>
        </w:tc>
        <w:tc>
          <w:tcPr>
            <w:tcW w:w="6769" w:type="dxa"/>
            <w:vAlign w:val="center"/>
          </w:tcPr>
          <w:p w14:paraId="7E1FBFA3">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90 </w:t>
            </w:r>
            <w:r>
              <w:rPr>
                <w:rFonts w:hint="eastAsia" w:ascii="仿宋" w:hAnsi="仿宋" w:eastAsia="仿宋" w:cs="仿宋"/>
                <w:color w:val="auto"/>
                <w:sz w:val="24"/>
                <w:szCs w:val="24"/>
                <w:highlight w:val="none"/>
              </w:rPr>
              <w:t xml:space="preserve"> 天</w:t>
            </w:r>
          </w:p>
        </w:tc>
      </w:tr>
      <w:tr w14:paraId="33CA3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14:paraId="1643F833">
            <w:pPr>
              <w:ind w:left="-88" w:leftChars="-42" w:right="-113" w:rightChars="-54"/>
              <w:jc w:val="center"/>
              <w:rPr>
                <w:rFonts w:ascii="仿宋" w:hAnsi="仿宋" w:eastAsia="仿宋" w:cs="仿宋"/>
                <w:bCs/>
                <w:snapToGrid w:val="0"/>
                <w:color w:val="auto"/>
                <w:sz w:val="24"/>
                <w:szCs w:val="24"/>
                <w:highlight w:val="none"/>
              </w:rPr>
            </w:pPr>
            <w:r>
              <w:rPr>
                <w:rFonts w:hint="eastAsia" w:ascii="仿宋" w:hAnsi="仿宋" w:eastAsia="仿宋" w:cs="仿宋"/>
                <w:bCs/>
                <w:snapToGrid w:val="0"/>
                <w:color w:val="auto"/>
                <w:sz w:val="24"/>
                <w:szCs w:val="24"/>
                <w:highlight w:val="none"/>
              </w:rPr>
              <w:t>4.5.1</w:t>
            </w:r>
          </w:p>
        </w:tc>
        <w:tc>
          <w:tcPr>
            <w:tcW w:w="1560" w:type="dxa"/>
            <w:vAlign w:val="center"/>
          </w:tcPr>
          <w:p w14:paraId="4BFC643E">
            <w:pPr>
              <w:ind w:left="-44" w:leftChars="-53" w:right="-65" w:rightChars="-31" w:hanging="67" w:hangingChars="28"/>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磋商响应文件份数</w:t>
            </w:r>
          </w:p>
        </w:tc>
        <w:tc>
          <w:tcPr>
            <w:tcW w:w="6769" w:type="dxa"/>
            <w:vAlign w:val="center"/>
          </w:tcPr>
          <w:p w14:paraId="29F3FFCB">
            <w:pPr>
              <w:wordWrap w:val="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 电子加密磋商响应文件：政府采购云平台在线提交、上传一份；</w:t>
            </w:r>
          </w:p>
          <w:p w14:paraId="3C4B89EF">
            <w:pPr>
              <w:wordWrap w:val="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2. 备份磋商响应文件：电子邮件提交一份，由供应商自行确定是否提交；若提交请将备份磋商响应文件以电子邮件的形式发送至（23469090@qq.com）。</w:t>
            </w:r>
          </w:p>
          <w:p w14:paraId="325EC238">
            <w:pP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注：供应商在线解密失败后，启用备份磋商响应文件，否则不启用备份磋商响应文件。</w:t>
            </w:r>
          </w:p>
        </w:tc>
      </w:tr>
      <w:tr w14:paraId="7F215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14:paraId="79C15EF7">
            <w:pPr>
              <w:ind w:left="-88" w:leftChars="-42" w:right="-113" w:rightChars="-54"/>
              <w:jc w:val="center"/>
              <w:rPr>
                <w:rFonts w:ascii="仿宋" w:hAnsi="仿宋" w:eastAsia="仿宋" w:cs="仿宋"/>
                <w:bCs/>
                <w:snapToGrid w:val="0"/>
                <w:color w:val="auto"/>
                <w:sz w:val="24"/>
                <w:szCs w:val="24"/>
                <w:highlight w:val="none"/>
              </w:rPr>
            </w:pPr>
            <w:r>
              <w:rPr>
                <w:rFonts w:hint="eastAsia" w:ascii="仿宋" w:hAnsi="仿宋" w:eastAsia="仿宋" w:cs="仿宋"/>
                <w:bCs/>
                <w:snapToGrid w:val="0"/>
                <w:color w:val="auto"/>
                <w:sz w:val="24"/>
                <w:szCs w:val="24"/>
                <w:highlight w:val="none"/>
              </w:rPr>
              <w:t>6.1.1</w:t>
            </w:r>
          </w:p>
        </w:tc>
        <w:tc>
          <w:tcPr>
            <w:tcW w:w="1560" w:type="dxa"/>
            <w:vAlign w:val="center"/>
          </w:tcPr>
          <w:p w14:paraId="4EFE4B1E">
            <w:pPr>
              <w:ind w:left="-44" w:leftChars="-53" w:right="-65" w:rightChars="-31" w:hanging="67" w:hangingChars="28"/>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开启时间和地点</w:t>
            </w:r>
          </w:p>
        </w:tc>
        <w:tc>
          <w:tcPr>
            <w:tcW w:w="6769" w:type="dxa"/>
            <w:vAlign w:val="center"/>
          </w:tcPr>
          <w:p w14:paraId="20831389">
            <w:pPr>
              <w:rPr>
                <w:rFonts w:ascii="仿宋" w:hAnsi="仿宋" w:eastAsia="仿宋" w:cs="仿宋"/>
                <w:color w:val="auto"/>
                <w:sz w:val="24"/>
                <w:szCs w:val="24"/>
                <w:highlight w:val="none"/>
              </w:rPr>
            </w:pPr>
            <w:r>
              <w:rPr>
                <w:rFonts w:hint="eastAsia" w:ascii="仿宋" w:hAnsi="仿宋" w:eastAsia="仿宋" w:cs="仿宋"/>
                <w:bCs/>
                <w:color w:val="auto"/>
                <w:sz w:val="24"/>
                <w:szCs w:val="24"/>
                <w:highlight w:val="none"/>
              </w:rPr>
              <w:t>见第一章竞争性磋商采购公告（邀请），</w:t>
            </w:r>
            <w:r>
              <w:rPr>
                <w:rFonts w:hint="eastAsia" w:ascii="仿宋" w:hAnsi="仿宋" w:eastAsia="仿宋" w:cs="仿宋"/>
                <w:b/>
                <w:bCs/>
                <w:color w:val="auto"/>
                <w:sz w:val="24"/>
                <w:szCs w:val="24"/>
                <w:highlight w:val="none"/>
              </w:rPr>
              <w:t>供应商可以远程在线参加，不需现场参加开标</w:t>
            </w:r>
          </w:p>
        </w:tc>
      </w:tr>
      <w:tr w14:paraId="410EA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14:paraId="452DBB3D">
            <w:pPr>
              <w:ind w:left="-88" w:leftChars="-42" w:right="-113" w:rightChars="-54"/>
              <w:jc w:val="center"/>
              <w:rPr>
                <w:rFonts w:ascii="仿宋" w:hAnsi="仿宋" w:eastAsia="仿宋" w:cs="仿宋"/>
                <w:bCs/>
                <w:snapToGrid w:val="0"/>
                <w:color w:val="auto"/>
                <w:sz w:val="24"/>
                <w:szCs w:val="24"/>
                <w:highlight w:val="none"/>
              </w:rPr>
            </w:pPr>
            <w:r>
              <w:rPr>
                <w:rFonts w:hint="eastAsia" w:ascii="仿宋" w:hAnsi="仿宋" w:eastAsia="仿宋" w:cs="仿宋"/>
                <w:bCs/>
                <w:snapToGrid w:val="0"/>
                <w:color w:val="auto"/>
                <w:sz w:val="24"/>
                <w:szCs w:val="24"/>
                <w:highlight w:val="none"/>
              </w:rPr>
              <w:t>6.3.1</w:t>
            </w:r>
          </w:p>
        </w:tc>
        <w:tc>
          <w:tcPr>
            <w:tcW w:w="1560" w:type="dxa"/>
            <w:vAlign w:val="center"/>
          </w:tcPr>
          <w:p w14:paraId="6B6F7276">
            <w:pPr>
              <w:ind w:left="-44" w:leftChars="-53" w:right="-65" w:rightChars="-31" w:hanging="67" w:hangingChars="28"/>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评审办法</w:t>
            </w:r>
          </w:p>
        </w:tc>
        <w:tc>
          <w:tcPr>
            <w:tcW w:w="6769" w:type="dxa"/>
            <w:vAlign w:val="center"/>
          </w:tcPr>
          <w:p w14:paraId="2850CD10">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综合评分法</w:t>
            </w:r>
          </w:p>
        </w:tc>
      </w:tr>
      <w:tr w14:paraId="2A3C6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14:paraId="49B60D99">
            <w:pPr>
              <w:ind w:left="-88" w:leftChars="-42" w:right="-113" w:rightChars="-54"/>
              <w:jc w:val="center"/>
              <w:rPr>
                <w:rFonts w:ascii="仿宋" w:hAnsi="仿宋" w:eastAsia="仿宋" w:cs="仿宋"/>
                <w:bCs/>
                <w:snapToGrid w:val="0"/>
                <w:color w:val="auto"/>
                <w:sz w:val="24"/>
                <w:szCs w:val="24"/>
                <w:highlight w:val="none"/>
              </w:rPr>
            </w:pPr>
            <w:r>
              <w:rPr>
                <w:rFonts w:hint="eastAsia" w:ascii="仿宋" w:hAnsi="仿宋" w:eastAsia="仿宋" w:cs="仿宋"/>
                <w:bCs/>
                <w:snapToGrid w:val="0"/>
                <w:color w:val="auto"/>
                <w:sz w:val="24"/>
                <w:szCs w:val="24"/>
                <w:highlight w:val="none"/>
              </w:rPr>
              <w:t>7.3</w:t>
            </w:r>
          </w:p>
        </w:tc>
        <w:tc>
          <w:tcPr>
            <w:tcW w:w="1560" w:type="dxa"/>
            <w:vAlign w:val="center"/>
          </w:tcPr>
          <w:p w14:paraId="1B2307F8">
            <w:pPr>
              <w:ind w:left="-99" w:leftChars="-47" w:right="-65" w:rightChars="-31" w:firstLine="26" w:firstLineChars="11"/>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非实质性条款允许偏离项数</w:t>
            </w:r>
          </w:p>
        </w:tc>
        <w:tc>
          <w:tcPr>
            <w:tcW w:w="6769" w:type="dxa"/>
            <w:vAlign w:val="center"/>
          </w:tcPr>
          <w:p w14:paraId="0EF94EE5">
            <w:pPr>
              <w:ind w:left="-99" w:leftChars="-47" w:right="-65" w:rightChars="-31" w:firstLine="26" w:firstLineChars="11"/>
              <w:jc w:val="left"/>
              <w:rPr>
                <w:rFonts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 xml:space="preserve"> </w:t>
            </w:r>
            <w:r>
              <w:rPr>
                <w:rFonts w:hint="eastAsia" w:ascii="仿宋" w:hAnsi="仿宋" w:eastAsia="仿宋" w:cs="仿宋"/>
                <w:bCs/>
                <w:color w:val="auto"/>
                <w:sz w:val="24"/>
                <w:szCs w:val="24"/>
                <w:highlight w:val="none"/>
                <w:u w:val="single"/>
                <w:lang w:val="en-US" w:eastAsia="zh-CN"/>
              </w:rPr>
              <w:t>5</w:t>
            </w:r>
            <w:r>
              <w:rPr>
                <w:rFonts w:hint="eastAsia" w:ascii="仿宋" w:hAnsi="仿宋" w:eastAsia="仿宋" w:cs="仿宋"/>
                <w:bCs/>
                <w:color w:val="auto"/>
                <w:sz w:val="24"/>
                <w:szCs w:val="24"/>
                <w:highlight w:val="none"/>
                <w:u w:val="single"/>
              </w:rPr>
              <w:t>项</w:t>
            </w:r>
          </w:p>
        </w:tc>
      </w:tr>
      <w:tr w14:paraId="418BD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14:paraId="6E9010A0">
            <w:pPr>
              <w:ind w:left="-88" w:leftChars="-42" w:right="-113" w:rightChars="-54"/>
              <w:jc w:val="center"/>
              <w:rPr>
                <w:rFonts w:ascii="仿宋" w:hAnsi="仿宋" w:eastAsia="仿宋" w:cs="仿宋"/>
                <w:bCs/>
                <w:snapToGrid w:val="0"/>
                <w:color w:val="auto"/>
                <w:sz w:val="24"/>
                <w:szCs w:val="24"/>
                <w:highlight w:val="none"/>
              </w:rPr>
            </w:pPr>
            <w:r>
              <w:rPr>
                <w:rFonts w:hint="eastAsia" w:ascii="仿宋" w:hAnsi="仿宋" w:eastAsia="仿宋" w:cs="仿宋"/>
                <w:color w:val="auto"/>
                <w:sz w:val="24"/>
                <w:highlight w:val="none"/>
              </w:rPr>
              <w:t>8.2.1</w:t>
            </w:r>
          </w:p>
        </w:tc>
        <w:tc>
          <w:tcPr>
            <w:tcW w:w="1560" w:type="dxa"/>
            <w:vAlign w:val="center"/>
          </w:tcPr>
          <w:p w14:paraId="05E22073">
            <w:pPr>
              <w:ind w:left="-44" w:leftChars="-53" w:right="-65" w:rightChars="-31" w:hanging="67" w:hangingChars="28"/>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成交公告发布网址</w:t>
            </w:r>
          </w:p>
        </w:tc>
        <w:tc>
          <w:tcPr>
            <w:tcW w:w="6769" w:type="dxa"/>
            <w:vAlign w:val="center"/>
          </w:tcPr>
          <w:p w14:paraId="5163D51E">
            <w:pPr>
              <w:ind w:left="-44" w:leftChars="-53" w:right="-65" w:rightChars="-31" w:hanging="67" w:hangingChars="28"/>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1.浙江政府采购网（</w:t>
            </w:r>
            <w:r>
              <w:rPr>
                <w:color w:val="auto"/>
                <w:highlight w:val="none"/>
              </w:rPr>
              <w:fldChar w:fldCharType="begin"/>
            </w:r>
            <w:r>
              <w:rPr>
                <w:color w:val="auto"/>
                <w:highlight w:val="none"/>
              </w:rPr>
              <w:instrText xml:space="preserve"> HYPERLINK "http://www.zjzfcg.gov.cn" </w:instrText>
            </w:r>
            <w:r>
              <w:rPr>
                <w:color w:val="auto"/>
                <w:highlight w:val="none"/>
              </w:rPr>
              <w:fldChar w:fldCharType="separate"/>
            </w:r>
            <w:r>
              <w:rPr>
                <w:rFonts w:hint="eastAsia" w:ascii="仿宋" w:hAnsi="仿宋" w:eastAsia="仿宋" w:cs="仿宋"/>
                <w:bCs/>
                <w:color w:val="auto"/>
                <w:sz w:val="24"/>
                <w:szCs w:val="24"/>
                <w:highlight w:val="none"/>
              </w:rPr>
              <w:t>zfcg.czt.zj.gov.cn</w:t>
            </w:r>
            <w:r>
              <w:rPr>
                <w:rFonts w:hint="eastAsia" w:ascii="仿宋" w:hAnsi="仿宋" w:eastAsia="仿宋" w:cs="仿宋"/>
                <w:bCs/>
                <w:color w:val="auto"/>
                <w:sz w:val="24"/>
                <w:szCs w:val="24"/>
                <w:highlight w:val="none"/>
              </w:rPr>
              <w:fldChar w:fldCharType="end"/>
            </w:r>
            <w:r>
              <w:rPr>
                <w:rFonts w:hint="eastAsia" w:ascii="仿宋" w:hAnsi="仿宋" w:eastAsia="仿宋" w:cs="仿宋"/>
                <w:bCs/>
                <w:color w:val="auto"/>
                <w:sz w:val="24"/>
                <w:szCs w:val="24"/>
                <w:highlight w:val="none"/>
              </w:rPr>
              <w:t>）</w:t>
            </w:r>
          </w:p>
          <w:p w14:paraId="7835E584">
            <w:pPr>
              <w:ind w:left="-44" w:leftChars="-53" w:right="-65" w:rightChars="-31" w:hanging="67" w:hangingChars="28"/>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2.丽水市公共资源交易网（</w:t>
            </w:r>
            <w:r>
              <w:rPr>
                <w:color w:val="auto"/>
                <w:highlight w:val="none"/>
              </w:rPr>
              <w:fldChar w:fldCharType="begin"/>
            </w:r>
            <w:r>
              <w:rPr>
                <w:color w:val="auto"/>
                <w:highlight w:val="none"/>
              </w:rPr>
              <w:instrText xml:space="preserve"> HYPERLINK "http://www.lssggzy.com/" </w:instrText>
            </w:r>
            <w:r>
              <w:rPr>
                <w:color w:val="auto"/>
                <w:highlight w:val="none"/>
              </w:rPr>
              <w:fldChar w:fldCharType="separate"/>
            </w:r>
            <w:r>
              <w:rPr>
                <w:rFonts w:hint="eastAsia" w:ascii="仿宋" w:hAnsi="仿宋" w:eastAsia="仿宋" w:cs="仿宋"/>
                <w:bCs/>
                <w:color w:val="auto"/>
                <w:sz w:val="24"/>
                <w:szCs w:val="24"/>
                <w:highlight w:val="none"/>
              </w:rPr>
              <w:t>lssggzy.lishui.gov.cn</w:t>
            </w:r>
            <w:r>
              <w:rPr>
                <w:rFonts w:hint="eastAsia" w:ascii="仿宋" w:hAnsi="仿宋" w:eastAsia="仿宋" w:cs="仿宋"/>
                <w:bCs/>
                <w:color w:val="auto"/>
                <w:sz w:val="24"/>
                <w:szCs w:val="24"/>
                <w:highlight w:val="none"/>
              </w:rPr>
              <w:fldChar w:fldCharType="end"/>
            </w:r>
            <w:r>
              <w:rPr>
                <w:rFonts w:hint="eastAsia" w:ascii="仿宋" w:hAnsi="仿宋" w:eastAsia="仿宋" w:cs="仿宋"/>
                <w:bCs/>
                <w:color w:val="auto"/>
                <w:sz w:val="24"/>
                <w:szCs w:val="24"/>
                <w:highlight w:val="none"/>
              </w:rPr>
              <w:t>）</w:t>
            </w:r>
          </w:p>
        </w:tc>
      </w:tr>
      <w:tr w14:paraId="64BBC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14:paraId="58C65E2B">
            <w:pPr>
              <w:ind w:left="-88" w:leftChars="-42" w:right="-113" w:rightChars="-54"/>
              <w:jc w:val="center"/>
              <w:rPr>
                <w:rFonts w:ascii="仿宋" w:hAnsi="仿宋" w:eastAsia="仿宋" w:cs="仿宋"/>
                <w:bCs/>
                <w:snapToGrid w:val="0"/>
                <w:color w:val="auto"/>
                <w:sz w:val="24"/>
                <w:szCs w:val="24"/>
                <w:highlight w:val="none"/>
              </w:rPr>
            </w:pPr>
            <w:r>
              <w:rPr>
                <w:rFonts w:hint="eastAsia" w:ascii="仿宋" w:hAnsi="仿宋" w:eastAsia="仿宋" w:cs="仿宋"/>
                <w:bCs/>
                <w:snapToGrid w:val="0"/>
                <w:color w:val="auto"/>
                <w:sz w:val="24"/>
                <w:szCs w:val="24"/>
                <w:highlight w:val="none"/>
              </w:rPr>
              <w:t>8.3.1</w:t>
            </w:r>
          </w:p>
        </w:tc>
        <w:tc>
          <w:tcPr>
            <w:tcW w:w="1560" w:type="dxa"/>
            <w:vAlign w:val="center"/>
          </w:tcPr>
          <w:p w14:paraId="642F3C95">
            <w:pPr>
              <w:ind w:left="-44" w:leftChars="-53" w:right="-65" w:rightChars="-31" w:hanging="67" w:hangingChars="28"/>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履约保证金</w:t>
            </w:r>
          </w:p>
        </w:tc>
        <w:tc>
          <w:tcPr>
            <w:tcW w:w="6769" w:type="dxa"/>
            <w:vAlign w:val="center"/>
          </w:tcPr>
          <w:p w14:paraId="3D1CE673">
            <w:pPr>
              <w:ind w:left="-46" w:leftChars="-22" w:right="-65" w:rightChars="-31" w:firstLine="43" w:firstLineChars="18"/>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本项目不需要缴纳履约保证金</w:t>
            </w:r>
          </w:p>
        </w:tc>
      </w:tr>
    </w:tbl>
    <w:p w14:paraId="17AEF519">
      <w:pPr>
        <w:pStyle w:val="19"/>
        <w:spacing w:after="240"/>
        <w:outlineLvl w:val="1"/>
        <w:rPr>
          <w:rFonts w:ascii="仿宋" w:hAnsi="仿宋" w:eastAsia="仿宋" w:cs="仿宋"/>
          <w:color w:val="auto"/>
          <w:sz w:val="30"/>
          <w:szCs w:val="30"/>
          <w:highlight w:val="none"/>
        </w:rPr>
        <w:sectPr>
          <w:headerReference r:id="rId9" w:type="first"/>
          <w:pgSz w:w="11906" w:h="16838"/>
          <w:pgMar w:top="1440" w:right="1797" w:bottom="1440" w:left="1797" w:header="851" w:footer="851" w:gutter="0"/>
          <w:pgBorders>
            <w:top w:val="none" w:sz="0" w:space="0"/>
            <w:left w:val="none" w:sz="0" w:space="0"/>
            <w:bottom w:val="none" w:sz="0" w:space="0"/>
            <w:right w:val="none" w:sz="0" w:space="0"/>
          </w:pgBorders>
          <w:cols w:space="720" w:num="1"/>
          <w:docGrid w:linePitch="312" w:charSpace="0"/>
        </w:sectPr>
      </w:pPr>
    </w:p>
    <w:p w14:paraId="095D9141">
      <w:pPr>
        <w:pStyle w:val="19"/>
        <w:spacing w:after="240"/>
        <w:jc w:val="left"/>
        <w:outlineLvl w:val="1"/>
        <w:rPr>
          <w:rFonts w:ascii="仿宋" w:hAnsi="仿宋" w:eastAsia="仿宋" w:cs="仿宋"/>
          <w:color w:val="auto"/>
          <w:sz w:val="30"/>
          <w:szCs w:val="30"/>
          <w:highlight w:val="none"/>
        </w:rPr>
      </w:pPr>
      <w:bookmarkStart w:id="131" w:name="_Toc12951"/>
      <w:r>
        <w:rPr>
          <w:rFonts w:hint="eastAsia" w:ascii="仿宋" w:hAnsi="仿宋" w:eastAsia="仿宋" w:cs="仿宋"/>
          <w:color w:val="auto"/>
          <w:sz w:val="30"/>
          <w:szCs w:val="30"/>
          <w:highlight w:val="none"/>
        </w:rPr>
        <w:t>供应商须知前附表（二）</w:t>
      </w:r>
      <w:bookmarkEnd w:id="131"/>
    </w:p>
    <w:p w14:paraId="0184E257">
      <w:pPr>
        <w:jc w:val="center"/>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采购活动日程安排表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144"/>
        <w:gridCol w:w="3969"/>
        <w:gridCol w:w="2735"/>
      </w:tblGrid>
      <w:tr w14:paraId="04B94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34" w:type="dxa"/>
            <w:vAlign w:val="center"/>
          </w:tcPr>
          <w:p w14:paraId="7637088D">
            <w:pPr>
              <w:ind w:left="-126" w:leftChars="-60" w:right="-99" w:rightChars="-47"/>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144" w:type="dxa"/>
            <w:vAlign w:val="center"/>
          </w:tcPr>
          <w:p w14:paraId="5D7721C7">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工作内容</w:t>
            </w:r>
          </w:p>
        </w:tc>
        <w:tc>
          <w:tcPr>
            <w:tcW w:w="3969" w:type="dxa"/>
            <w:vAlign w:val="center"/>
          </w:tcPr>
          <w:p w14:paraId="24268902">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时间安排</w:t>
            </w:r>
          </w:p>
        </w:tc>
        <w:tc>
          <w:tcPr>
            <w:tcW w:w="2735" w:type="dxa"/>
            <w:vAlign w:val="center"/>
          </w:tcPr>
          <w:p w14:paraId="5F1CE3A6">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5752B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34" w:type="dxa"/>
            <w:vAlign w:val="center"/>
          </w:tcPr>
          <w:p w14:paraId="28AA01E9">
            <w:pPr>
              <w:ind w:left="-126" w:leftChars="-60" w:right="-99" w:rightChars="-47"/>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144" w:type="dxa"/>
            <w:vAlign w:val="center"/>
          </w:tcPr>
          <w:p w14:paraId="6A6CD0D8">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发布竞争性磋商采购公告</w:t>
            </w:r>
          </w:p>
        </w:tc>
        <w:tc>
          <w:tcPr>
            <w:tcW w:w="3969" w:type="dxa"/>
            <w:vAlign w:val="center"/>
          </w:tcPr>
          <w:p w14:paraId="2124AC46">
            <w:pPr>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2025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lang w:val="en-US" w:eastAsia="zh-CN"/>
              </w:rPr>
              <w:t>6</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lang w:val="en-US" w:eastAsia="zh-CN"/>
              </w:rPr>
              <w:t>26</w:t>
            </w:r>
            <w:r>
              <w:rPr>
                <w:rFonts w:hint="eastAsia" w:ascii="仿宋" w:hAnsi="仿宋" w:eastAsia="仿宋" w:cs="仿宋"/>
                <w:color w:val="auto"/>
                <w:sz w:val="24"/>
                <w:szCs w:val="24"/>
                <w:highlight w:val="none"/>
              </w:rPr>
              <w:t>日</w:t>
            </w:r>
          </w:p>
        </w:tc>
        <w:tc>
          <w:tcPr>
            <w:tcW w:w="2735" w:type="dxa"/>
            <w:vAlign w:val="center"/>
          </w:tcPr>
          <w:p w14:paraId="0B97C83A">
            <w:pPr>
              <w:wordWrap w:val="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1.浙江政府采购网（</w:t>
            </w:r>
            <w:r>
              <w:rPr>
                <w:color w:val="auto"/>
                <w:highlight w:val="none"/>
              </w:rPr>
              <w:fldChar w:fldCharType="begin"/>
            </w:r>
            <w:r>
              <w:rPr>
                <w:color w:val="auto"/>
                <w:highlight w:val="none"/>
              </w:rPr>
              <w:instrText xml:space="preserve"> HYPERLINK "http://www.zjzfcg.gov.cn" </w:instrText>
            </w:r>
            <w:r>
              <w:rPr>
                <w:color w:val="auto"/>
                <w:highlight w:val="none"/>
              </w:rPr>
              <w:fldChar w:fldCharType="separate"/>
            </w:r>
            <w:r>
              <w:rPr>
                <w:rFonts w:hint="eastAsia" w:ascii="仿宋" w:hAnsi="仿宋" w:eastAsia="仿宋" w:cs="仿宋"/>
                <w:color w:val="auto"/>
                <w:sz w:val="24"/>
                <w:szCs w:val="24"/>
                <w:highlight w:val="none"/>
              </w:rPr>
              <w:t>zfcg.czt.zj.gov.cn</w:t>
            </w:r>
            <w:r>
              <w:rPr>
                <w:rFonts w:hint="eastAsia" w:ascii="仿宋" w:hAnsi="仿宋" w:eastAsia="仿宋" w:cs="仿宋"/>
                <w:color w:val="auto"/>
                <w:sz w:val="24"/>
                <w:szCs w:val="24"/>
                <w:highlight w:val="none"/>
              </w:rPr>
              <w:fldChar w:fldCharType="end"/>
            </w:r>
            <w:r>
              <w:rPr>
                <w:rFonts w:hint="eastAsia" w:ascii="仿宋" w:hAnsi="仿宋" w:eastAsia="仿宋" w:cs="仿宋"/>
                <w:bCs/>
                <w:color w:val="auto"/>
                <w:sz w:val="24"/>
                <w:szCs w:val="24"/>
                <w:highlight w:val="none"/>
              </w:rPr>
              <w:t>）</w:t>
            </w:r>
          </w:p>
          <w:p w14:paraId="6E01B135">
            <w:pPr>
              <w:jc w:val="left"/>
              <w:rPr>
                <w:rFonts w:ascii="仿宋" w:hAnsi="仿宋" w:eastAsia="仿宋" w:cs="仿宋"/>
                <w:color w:val="auto"/>
                <w:sz w:val="24"/>
                <w:szCs w:val="24"/>
                <w:highlight w:val="none"/>
              </w:rPr>
            </w:pPr>
            <w:r>
              <w:rPr>
                <w:rFonts w:hint="eastAsia" w:ascii="仿宋" w:hAnsi="仿宋" w:eastAsia="仿宋" w:cs="仿宋"/>
                <w:bCs/>
                <w:color w:val="auto"/>
                <w:sz w:val="24"/>
                <w:szCs w:val="24"/>
                <w:highlight w:val="none"/>
              </w:rPr>
              <w:t>2.丽水市公共资源交易网（lssggzy.lishui.gov.cn）</w:t>
            </w:r>
          </w:p>
        </w:tc>
      </w:tr>
      <w:tr w14:paraId="254EB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34" w:type="dxa"/>
            <w:vAlign w:val="center"/>
          </w:tcPr>
          <w:p w14:paraId="7CD72356">
            <w:pPr>
              <w:ind w:left="-126" w:leftChars="-60" w:right="-99" w:rightChars="-47"/>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2144" w:type="dxa"/>
            <w:vAlign w:val="center"/>
          </w:tcPr>
          <w:p w14:paraId="53D6E09D">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发放磋商文件</w:t>
            </w:r>
          </w:p>
        </w:tc>
        <w:tc>
          <w:tcPr>
            <w:tcW w:w="3969" w:type="dxa"/>
            <w:vAlign w:val="center"/>
          </w:tcPr>
          <w:p w14:paraId="27FE5B80">
            <w:pPr>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2025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lang w:val="en-US" w:eastAsia="zh-CN"/>
              </w:rPr>
              <w:t>6</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lang w:val="en-US" w:eastAsia="zh-CN"/>
              </w:rPr>
              <w:t>26</w:t>
            </w:r>
            <w:r>
              <w:rPr>
                <w:rFonts w:hint="eastAsia" w:ascii="仿宋" w:hAnsi="仿宋" w:eastAsia="仿宋" w:cs="仿宋"/>
                <w:color w:val="auto"/>
                <w:sz w:val="24"/>
                <w:szCs w:val="24"/>
                <w:highlight w:val="none"/>
              </w:rPr>
              <w:t>日起</w:t>
            </w:r>
          </w:p>
        </w:tc>
        <w:tc>
          <w:tcPr>
            <w:tcW w:w="2735" w:type="dxa"/>
            <w:vAlign w:val="center"/>
          </w:tcPr>
          <w:p w14:paraId="0F4E6A46">
            <w:pPr>
              <w:tabs>
                <w:tab w:val="left" w:pos="2752"/>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获取方式：竞争性磋商采购公告附件自行下载</w:t>
            </w:r>
          </w:p>
        </w:tc>
      </w:tr>
      <w:tr w14:paraId="0E78D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34" w:type="dxa"/>
            <w:vAlign w:val="center"/>
          </w:tcPr>
          <w:p w14:paraId="4FDFAE2F">
            <w:pPr>
              <w:ind w:left="-126" w:leftChars="-60" w:right="-99" w:rightChars="-47"/>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2144" w:type="dxa"/>
            <w:vAlign w:val="center"/>
          </w:tcPr>
          <w:p w14:paraId="1AD2FFBB">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现场踏勘和地点</w:t>
            </w:r>
          </w:p>
        </w:tc>
        <w:tc>
          <w:tcPr>
            <w:tcW w:w="3969" w:type="dxa"/>
            <w:vAlign w:val="center"/>
          </w:tcPr>
          <w:p w14:paraId="144F1ED0">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w:char="00FE"/>
            </w:r>
            <w:r>
              <w:rPr>
                <w:rFonts w:hint="eastAsia" w:ascii="仿宋" w:hAnsi="仿宋" w:eastAsia="仿宋" w:cs="仿宋"/>
                <w:color w:val="auto"/>
                <w:sz w:val="24"/>
                <w:szCs w:val="24"/>
                <w:highlight w:val="none"/>
              </w:rPr>
              <w:t xml:space="preserve"> 自行前往</w:t>
            </w:r>
          </w:p>
          <w:p w14:paraId="2C169158">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时，</w:t>
            </w:r>
          </w:p>
          <w:p w14:paraId="21E23C16">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地点： </w:t>
            </w:r>
          </w:p>
        </w:tc>
        <w:tc>
          <w:tcPr>
            <w:tcW w:w="2735" w:type="dxa"/>
            <w:vAlign w:val="center"/>
          </w:tcPr>
          <w:p w14:paraId="06C42E27">
            <w:pPr>
              <w:rPr>
                <w:rFonts w:ascii="仿宋" w:hAnsi="仿宋" w:eastAsia="仿宋" w:cs="仿宋"/>
                <w:color w:val="auto"/>
                <w:sz w:val="24"/>
                <w:szCs w:val="24"/>
                <w:highlight w:val="none"/>
              </w:rPr>
            </w:pPr>
          </w:p>
        </w:tc>
      </w:tr>
      <w:tr w14:paraId="69671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34" w:type="dxa"/>
            <w:vAlign w:val="center"/>
          </w:tcPr>
          <w:p w14:paraId="68ED5CC6">
            <w:pPr>
              <w:ind w:left="-126" w:leftChars="-60" w:right="-99" w:rightChars="-47"/>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2144" w:type="dxa"/>
            <w:vAlign w:val="center"/>
          </w:tcPr>
          <w:p w14:paraId="0207AAFF">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更正公告</w:t>
            </w:r>
          </w:p>
        </w:tc>
        <w:tc>
          <w:tcPr>
            <w:tcW w:w="3969" w:type="dxa"/>
            <w:vAlign w:val="center"/>
          </w:tcPr>
          <w:p w14:paraId="6AC7612E">
            <w:pPr>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澄清或修改内容可能影响磋商响应文件编制的，响应文件提交</w:t>
            </w:r>
            <w:r>
              <w:rPr>
                <w:rFonts w:hint="eastAsia" w:ascii="仿宋" w:hAnsi="仿宋" w:eastAsia="仿宋" w:cs="仿宋"/>
                <w:bCs/>
                <w:color w:val="auto"/>
                <w:sz w:val="24"/>
                <w:szCs w:val="24"/>
                <w:highlight w:val="none"/>
              </w:rPr>
              <w:t>截止时间</w:t>
            </w:r>
            <w:r>
              <w:rPr>
                <w:rFonts w:hint="eastAsia" w:ascii="仿宋" w:hAnsi="仿宋" w:eastAsia="仿宋" w:cs="仿宋"/>
                <w:color w:val="auto"/>
                <w:sz w:val="24"/>
                <w:szCs w:val="24"/>
                <w:highlight w:val="none"/>
              </w:rPr>
              <w:t>时间5日前，</w:t>
            </w:r>
            <w:r>
              <w:rPr>
                <w:rFonts w:hint="eastAsia" w:ascii="仿宋" w:hAnsi="仿宋" w:eastAsia="仿宋" w:cs="仿宋"/>
                <w:color w:val="auto"/>
                <w:sz w:val="24"/>
                <w:highlight w:val="none"/>
              </w:rPr>
              <w:t>不足5日的，顺延</w:t>
            </w:r>
            <w:r>
              <w:rPr>
                <w:rFonts w:hint="eastAsia" w:ascii="仿宋" w:hAnsi="仿宋" w:eastAsia="仿宋" w:cs="仿宋"/>
                <w:color w:val="auto"/>
                <w:sz w:val="24"/>
                <w:szCs w:val="24"/>
                <w:highlight w:val="none"/>
              </w:rPr>
              <w:t>响应文件提交</w:t>
            </w:r>
            <w:r>
              <w:rPr>
                <w:rFonts w:hint="eastAsia" w:ascii="仿宋" w:hAnsi="仿宋" w:eastAsia="仿宋" w:cs="仿宋"/>
                <w:bCs/>
                <w:color w:val="auto"/>
                <w:sz w:val="24"/>
                <w:szCs w:val="24"/>
                <w:highlight w:val="none"/>
              </w:rPr>
              <w:t>截止时间</w:t>
            </w:r>
            <w:r>
              <w:rPr>
                <w:rFonts w:hint="eastAsia" w:ascii="仿宋" w:hAnsi="仿宋" w:eastAsia="仿宋" w:cs="仿宋"/>
                <w:color w:val="auto"/>
                <w:sz w:val="24"/>
                <w:highlight w:val="none"/>
              </w:rPr>
              <w:t>；</w:t>
            </w:r>
          </w:p>
        </w:tc>
        <w:tc>
          <w:tcPr>
            <w:tcW w:w="2735" w:type="dxa"/>
            <w:vAlign w:val="center"/>
          </w:tcPr>
          <w:p w14:paraId="1A85CB3A">
            <w:pPr>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澄清或修改内容获取方式：更正公告</w:t>
            </w:r>
          </w:p>
        </w:tc>
      </w:tr>
      <w:tr w14:paraId="7F9E2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34" w:type="dxa"/>
            <w:vAlign w:val="center"/>
          </w:tcPr>
          <w:p w14:paraId="4010F095">
            <w:pPr>
              <w:ind w:left="-126" w:leftChars="-60" w:right="-99" w:rightChars="-47"/>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2144" w:type="dxa"/>
            <w:vAlign w:val="center"/>
          </w:tcPr>
          <w:p w14:paraId="647345C9">
            <w:pPr>
              <w:ind w:left="-44" w:leftChars="-53" w:right="-65" w:rightChars="-31" w:hanging="67" w:hangingChars="28"/>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响应文件提交截止时间</w:t>
            </w:r>
          </w:p>
        </w:tc>
        <w:tc>
          <w:tcPr>
            <w:tcW w:w="3969" w:type="dxa"/>
            <w:vAlign w:val="center"/>
          </w:tcPr>
          <w:p w14:paraId="04C05E5E">
            <w:pPr>
              <w:rPr>
                <w:rFonts w:ascii="仿宋" w:hAnsi="仿宋" w:eastAsia="仿宋" w:cs="仿宋"/>
                <w:color w:val="auto"/>
                <w:sz w:val="24"/>
                <w:szCs w:val="24"/>
                <w:highlight w:val="none"/>
              </w:rPr>
            </w:pPr>
            <w:r>
              <w:rPr>
                <w:rFonts w:hint="eastAsia" w:ascii="仿宋" w:hAnsi="仿宋" w:eastAsia="仿宋" w:cs="仿宋"/>
                <w:bCs/>
                <w:color w:val="auto"/>
                <w:sz w:val="24"/>
                <w:szCs w:val="24"/>
                <w:highlight w:val="none"/>
              </w:rPr>
              <w:t>见第一章竞争性磋商采购公告（邀请）</w:t>
            </w:r>
          </w:p>
        </w:tc>
        <w:tc>
          <w:tcPr>
            <w:tcW w:w="2735" w:type="dxa"/>
            <w:vAlign w:val="center"/>
          </w:tcPr>
          <w:p w14:paraId="4C70192B">
            <w:pPr>
              <w:rPr>
                <w:rFonts w:ascii="仿宋" w:hAnsi="仿宋" w:eastAsia="仿宋" w:cs="仿宋"/>
                <w:color w:val="auto"/>
                <w:sz w:val="24"/>
                <w:szCs w:val="24"/>
                <w:highlight w:val="none"/>
              </w:rPr>
            </w:pPr>
          </w:p>
        </w:tc>
      </w:tr>
      <w:tr w14:paraId="1437B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34" w:type="dxa"/>
            <w:vAlign w:val="center"/>
          </w:tcPr>
          <w:p w14:paraId="4C5C8CD3">
            <w:pPr>
              <w:ind w:left="-126" w:leftChars="-60" w:right="-99" w:rightChars="-47"/>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2144" w:type="dxa"/>
            <w:vAlign w:val="center"/>
          </w:tcPr>
          <w:p w14:paraId="59DC7966">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开启时间</w:t>
            </w:r>
          </w:p>
        </w:tc>
        <w:tc>
          <w:tcPr>
            <w:tcW w:w="3969" w:type="dxa"/>
            <w:vAlign w:val="center"/>
          </w:tcPr>
          <w:p w14:paraId="3BD4E534">
            <w:pPr>
              <w:jc w:val="left"/>
              <w:rPr>
                <w:rFonts w:ascii="仿宋" w:hAnsi="仿宋" w:eastAsia="仿宋" w:cs="仿宋"/>
                <w:color w:val="auto"/>
                <w:sz w:val="24"/>
                <w:szCs w:val="24"/>
                <w:highlight w:val="none"/>
              </w:rPr>
            </w:pPr>
            <w:r>
              <w:rPr>
                <w:rFonts w:hint="eastAsia" w:ascii="仿宋" w:hAnsi="仿宋" w:eastAsia="仿宋" w:cs="仿宋"/>
                <w:bCs/>
                <w:color w:val="auto"/>
                <w:sz w:val="24"/>
                <w:szCs w:val="24"/>
                <w:highlight w:val="none"/>
              </w:rPr>
              <w:t>见第一章竞争性磋商采购公告（邀请）</w:t>
            </w:r>
          </w:p>
        </w:tc>
        <w:tc>
          <w:tcPr>
            <w:tcW w:w="2735" w:type="dxa"/>
            <w:vAlign w:val="center"/>
          </w:tcPr>
          <w:p w14:paraId="2BACFF75">
            <w:pPr>
              <w:rPr>
                <w:rFonts w:ascii="仿宋" w:hAnsi="仿宋" w:eastAsia="仿宋" w:cs="仿宋"/>
                <w:color w:val="auto"/>
                <w:sz w:val="24"/>
                <w:szCs w:val="24"/>
                <w:highlight w:val="none"/>
              </w:rPr>
            </w:pPr>
          </w:p>
        </w:tc>
      </w:tr>
      <w:tr w14:paraId="1EEC2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34" w:type="dxa"/>
            <w:vAlign w:val="center"/>
          </w:tcPr>
          <w:p w14:paraId="25DFF9B4">
            <w:pPr>
              <w:ind w:left="-126" w:leftChars="-60" w:right="-99" w:rightChars="-47"/>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2144" w:type="dxa"/>
            <w:vAlign w:val="center"/>
          </w:tcPr>
          <w:p w14:paraId="30FB11D0">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成交公告及成交通知书</w:t>
            </w:r>
          </w:p>
        </w:tc>
        <w:tc>
          <w:tcPr>
            <w:tcW w:w="3969" w:type="dxa"/>
            <w:vAlign w:val="center"/>
          </w:tcPr>
          <w:p w14:paraId="0FD93EB0">
            <w:pPr>
              <w:jc w:val="left"/>
              <w:rPr>
                <w:rFonts w:ascii="仿宋" w:hAnsi="仿宋" w:eastAsia="仿宋" w:cs="仿宋"/>
                <w:color w:val="auto"/>
                <w:sz w:val="24"/>
                <w:szCs w:val="24"/>
                <w:highlight w:val="none"/>
              </w:rPr>
            </w:pPr>
            <w:r>
              <w:rPr>
                <w:rFonts w:hint="eastAsia" w:ascii="仿宋" w:hAnsi="仿宋" w:eastAsia="仿宋" w:cs="仿宋"/>
                <w:color w:val="auto"/>
                <w:sz w:val="24"/>
                <w:highlight w:val="none"/>
              </w:rPr>
              <w:t>成交人确定之日起2个工作日内</w:t>
            </w:r>
          </w:p>
        </w:tc>
        <w:tc>
          <w:tcPr>
            <w:tcW w:w="2735" w:type="dxa"/>
            <w:vAlign w:val="center"/>
          </w:tcPr>
          <w:p w14:paraId="574A9C77">
            <w:pPr>
              <w:rPr>
                <w:rFonts w:ascii="仿宋" w:hAnsi="仿宋" w:eastAsia="仿宋" w:cs="仿宋"/>
                <w:color w:val="auto"/>
                <w:sz w:val="24"/>
                <w:szCs w:val="24"/>
                <w:highlight w:val="none"/>
              </w:rPr>
            </w:pPr>
          </w:p>
        </w:tc>
      </w:tr>
      <w:tr w14:paraId="64A10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34" w:type="dxa"/>
            <w:vAlign w:val="center"/>
          </w:tcPr>
          <w:p w14:paraId="36B9C861">
            <w:pPr>
              <w:ind w:left="-126" w:leftChars="-60" w:right="-99" w:rightChars="-47"/>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2144" w:type="dxa"/>
            <w:vAlign w:val="center"/>
          </w:tcPr>
          <w:p w14:paraId="68784853">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成交结果质疑期限</w:t>
            </w:r>
          </w:p>
        </w:tc>
        <w:tc>
          <w:tcPr>
            <w:tcW w:w="3969" w:type="dxa"/>
            <w:vAlign w:val="center"/>
          </w:tcPr>
          <w:p w14:paraId="537AD470">
            <w:pPr>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成交结果公告期限届满之日起7个工作日内</w:t>
            </w:r>
          </w:p>
        </w:tc>
        <w:tc>
          <w:tcPr>
            <w:tcW w:w="2735" w:type="dxa"/>
            <w:vAlign w:val="center"/>
          </w:tcPr>
          <w:p w14:paraId="7B2D7A09">
            <w:pPr>
              <w:rPr>
                <w:rFonts w:ascii="仿宋" w:hAnsi="仿宋" w:eastAsia="仿宋" w:cs="仿宋"/>
                <w:color w:val="auto"/>
                <w:sz w:val="24"/>
                <w:szCs w:val="24"/>
                <w:highlight w:val="none"/>
              </w:rPr>
            </w:pPr>
          </w:p>
        </w:tc>
      </w:tr>
      <w:tr w14:paraId="7476B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34" w:type="dxa"/>
            <w:vAlign w:val="center"/>
          </w:tcPr>
          <w:p w14:paraId="16C32CDD">
            <w:pPr>
              <w:ind w:left="-126" w:leftChars="-60" w:right="-99" w:rightChars="-47"/>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2144" w:type="dxa"/>
            <w:vAlign w:val="center"/>
          </w:tcPr>
          <w:p w14:paraId="6D149EA5">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成交结果投诉期限</w:t>
            </w:r>
          </w:p>
        </w:tc>
        <w:tc>
          <w:tcPr>
            <w:tcW w:w="3969" w:type="dxa"/>
            <w:vAlign w:val="center"/>
          </w:tcPr>
          <w:p w14:paraId="3DD33816">
            <w:pPr>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质疑答复期满后15个工作日</w:t>
            </w:r>
          </w:p>
        </w:tc>
        <w:tc>
          <w:tcPr>
            <w:tcW w:w="2735" w:type="dxa"/>
            <w:vAlign w:val="center"/>
          </w:tcPr>
          <w:p w14:paraId="7E9CA340">
            <w:pPr>
              <w:rPr>
                <w:rFonts w:ascii="仿宋" w:hAnsi="仿宋" w:eastAsia="仿宋" w:cs="仿宋"/>
                <w:color w:val="auto"/>
                <w:sz w:val="24"/>
                <w:szCs w:val="24"/>
                <w:highlight w:val="none"/>
              </w:rPr>
            </w:pPr>
          </w:p>
        </w:tc>
      </w:tr>
      <w:tr w14:paraId="65735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34" w:type="dxa"/>
            <w:vAlign w:val="center"/>
          </w:tcPr>
          <w:p w14:paraId="3C35650C">
            <w:pPr>
              <w:ind w:left="-126" w:leftChars="-60" w:right="-99" w:rightChars="-47"/>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2144" w:type="dxa"/>
            <w:vAlign w:val="center"/>
          </w:tcPr>
          <w:p w14:paraId="290D9710">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签订合同</w:t>
            </w:r>
          </w:p>
        </w:tc>
        <w:tc>
          <w:tcPr>
            <w:tcW w:w="3969" w:type="dxa"/>
            <w:vAlign w:val="center"/>
          </w:tcPr>
          <w:p w14:paraId="03C4B1A6">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成交通知书发出之日起</w:t>
            </w:r>
            <w:r>
              <w:rPr>
                <w:rFonts w:hint="eastAsia" w:ascii="仿宋" w:hAnsi="仿宋" w:eastAsia="仿宋" w:cs="仿宋"/>
                <w:color w:val="auto"/>
                <w:sz w:val="24"/>
                <w:szCs w:val="24"/>
                <w:highlight w:val="none"/>
                <w:u w:val="single"/>
              </w:rPr>
              <w:t>30</w:t>
            </w:r>
            <w:r>
              <w:rPr>
                <w:rFonts w:hint="eastAsia" w:ascii="仿宋" w:hAnsi="仿宋" w:eastAsia="仿宋" w:cs="仿宋"/>
                <w:color w:val="auto"/>
                <w:sz w:val="24"/>
                <w:szCs w:val="24"/>
                <w:highlight w:val="none"/>
              </w:rPr>
              <w:t>日内，</w:t>
            </w:r>
            <w:r>
              <w:rPr>
                <w:rFonts w:hint="eastAsia" w:ascii="仿宋" w:hAnsi="仿宋" w:eastAsia="仿宋" w:cs="仿宋"/>
                <w:color w:val="auto"/>
                <w:sz w:val="24"/>
                <w:highlight w:val="none"/>
              </w:rPr>
              <w:t>按照磋商文件和成交人磋商响应文件的规定，与成交人签订书面合同。</w:t>
            </w:r>
          </w:p>
        </w:tc>
        <w:tc>
          <w:tcPr>
            <w:tcW w:w="2735" w:type="dxa"/>
            <w:vAlign w:val="center"/>
          </w:tcPr>
          <w:p w14:paraId="23FB9CCE">
            <w:pPr>
              <w:rPr>
                <w:rFonts w:ascii="仿宋" w:hAnsi="仿宋" w:eastAsia="仿宋" w:cs="仿宋"/>
                <w:color w:val="auto"/>
                <w:sz w:val="24"/>
                <w:szCs w:val="24"/>
                <w:highlight w:val="none"/>
              </w:rPr>
            </w:pPr>
          </w:p>
        </w:tc>
      </w:tr>
      <w:bookmarkEnd w:id="129"/>
    </w:tbl>
    <w:p w14:paraId="027190A2">
      <w:pPr>
        <w:pStyle w:val="19"/>
        <w:spacing w:beforeLines="100" w:after="240" w:afterLines="100"/>
        <w:jc w:val="left"/>
        <w:outlineLvl w:val="1"/>
        <w:rPr>
          <w:rFonts w:ascii="仿宋" w:hAnsi="仿宋" w:eastAsia="仿宋" w:cs="仿宋"/>
          <w:color w:val="auto"/>
          <w:sz w:val="30"/>
          <w:szCs w:val="30"/>
          <w:highlight w:val="none"/>
        </w:rPr>
        <w:sectPr>
          <w:footerReference r:id="rId10" w:type="even"/>
          <w:pgSz w:w="11906" w:h="16838"/>
          <w:pgMar w:top="1440" w:right="1797" w:bottom="1440" w:left="1797" w:header="851" w:footer="851" w:gutter="0"/>
          <w:pgBorders>
            <w:top w:val="none" w:sz="0" w:space="0"/>
            <w:left w:val="none" w:sz="0" w:space="0"/>
            <w:bottom w:val="none" w:sz="0" w:space="0"/>
            <w:right w:val="none" w:sz="0" w:space="0"/>
          </w:pgBorders>
          <w:cols w:space="720" w:num="1"/>
          <w:docGrid w:linePitch="312" w:charSpace="0"/>
        </w:sectPr>
      </w:pPr>
      <w:bookmarkStart w:id="132" w:name="_Toc531358976"/>
      <w:bookmarkStart w:id="133" w:name="_Toc530551821"/>
    </w:p>
    <w:p w14:paraId="2B906C65">
      <w:pPr>
        <w:pStyle w:val="19"/>
        <w:spacing w:beforeLines="100" w:after="240" w:afterLines="100"/>
        <w:jc w:val="left"/>
        <w:outlineLvl w:val="1"/>
        <w:rPr>
          <w:rFonts w:ascii="仿宋" w:hAnsi="仿宋" w:eastAsia="仿宋" w:cs="仿宋"/>
          <w:color w:val="auto"/>
          <w:sz w:val="30"/>
          <w:szCs w:val="30"/>
          <w:highlight w:val="none"/>
        </w:rPr>
      </w:pPr>
      <w:bookmarkStart w:id="134" w:name="_Toc18544"/>
      <w:r>
        <w:rPr>
          <w:rFonts w:hint="eastAsia" w:ascii="仿宋" w:hAnsi="仿宋" w:eastAsia="仿宋" w:cs="仿宋"/>
          <w:color w:val="auto"/>
          <w:sz w:val="30"/>
          <w:szCs w:val="30"/>
          <w:highlight w:val="none"/>
        </w:rPr>
        <w:t>一    总则</w:t>
      </w:r>
      <w:bookmarkEnd w:id="130"/>
      <w:bookmarkEnd w:id="132"/>
      <w:bookmarkEnd w:id="133"/>
      <w:bookmarkEnd w:id="134"/>
    </w:p>
    <w:p w14:paraId="4734E870">
      <w:pPr>
        <w:pStyle w:val="30"/>
        <w:rPr>
          <w:rFonts w:ascii="仿宋" w:hAnsi="仿宋" w:eastAsia="仿宋" w:cs="仿宋"/>
          <w:color w:val="auto"/>
          <w:highlight w:val="none"/>
        </w:rPr>
      </w:pPr>
      <w:bookmarkStart w:id="135" w:name="_Toc531358977"/>
      <w:bookmarkStart w:id="136" w:name="_Toc530551822"/>
      <w:bookmarkStart w:id="137" w:name="_Toc20551"/>
      <w:r>
        <w:rPr>
          <w:rFonts w:hint="eastAsia" w:ascii="仿宋" w:hAnsi="仿宋" w:eastAsia="仿宋" w:cs="仿宋"/>
          <w:color w:val="auto"/>
          <w:highlight w:val="none"/>
        </w:rPr>
        <w:t>1.1     适用范围</w:t>
      </w:r>
      <w:bookmarkEnd w:id="135"/>
      <w:bookmarkEnd w:id="136"/>
      <w:bookmarkEnd w:id="137"/>
    </w:p>
    <w:p w14:paraId="1A7796F6">
      <w:pPr>
        <w:spacing w:line="360" w:lineRule="auto"/>
        <w:ind w:left="840" w:leftChars="400"/>
        <w:rPr>
          <w:rFonts w:ascii="仿宋" w:hAnsi="仿宋" w:eastAsia="仿宋" w:cs="仿宋"/>
          <w:color w:val="auto"/>
          <w:sz w:val="24"/>
          <w:szCs w:val="24"/>
          <w:highlight w:val="none"/>
        </w:rPr>
      </w:pPr>
      <w:r>
        <w:rPr>
          <w:rFonts w:hint="eastAsia" w:ascii="仿宋" w:hAnsi="仿宋" w:eastAsia="仿宋" w:cs="仿宋"/>
          <w:bCs/>
          <w:color w:val="auto"/>
          <w:sz w:val="24"/>
          <w:szCs w:val="24"/>
          <w:highlight w:val="none"/>
        </w:rPr>
        <w:t>磋商文件</w:t>
      </w:r>
      <w:r>
        <w:rPr>
          <w:rFonts w:hint="eastAsia" w:ascii="仿宋" w:hAnsi="仿宋" w:eastAsia="仿宋" w:cs="仿宋"/>
          <w:color w:val="auto"/>
          <w:sz w:val="24"/>
          <w:szCs w:val="24"/>
          <w:highlight w:val="none"/>
        </w:rPr>
        <w:t>适用于本次采购项目的采购行为，法律、法规另有规定的，从其规定。</w:t>
      </w:r>
    </w:p>
    <w:p w14:paraId="42180954">
      <w:pPr>
        <w:pStyle w:val="30"/>
        <w:rPr>
          <w:rFonts w:ascii="仿宋" w:hAnsi="仿宋" w:eastAsia="仿宋" w:cs="仿宋"/>
          <w:color w:val="auto"/>
          <w:highlight w:val="none"/>
        </w:rPr>
      </w:pPr>
      <w:bookmarkStart w:id="138" w:name="_Toc531358978"/>
      <w:bookmarkStart w:id="139" w:name="_Toc530551823"/>
      <w:bookmarkStart w:id="140" w:name="_Toc23054"/>
      <w:r>
        <w:rPr>
          <w:rFonts w:hint="eastAsia" w:ascii="仿宋" w:hAnsi="仿宋" w:eastAsia="仿宋" w:cs="仿宋"/>
          <w:color w:val="auto"/>
          <w:highlight w:val="none"/>
        </w:rPr>
        <w:t>1.2     定义</w:t>
      </w:r>
      <w:bookmarkEnd w:id="138"/>
      <w:bookmarkEnd w:id="139"/>
      <w:bookmarkEnd w:id="140"/>
    </w:p>
    <w:p w14:paraId="0C9B4B1D">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1.2.1   “采购人”是指：详见供应商须知前附表（一）；</w:t>
      </w:r>
    </w:p>
    <w:p w14:paraId="6498A7D1">
      <w:pPr>
        <w:spacing w:line="360" w:lineRule="auto"/>
        <w:ind w:left="960" w:hanging="960" w:hanging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1.2.2   “采购代理机构”系指竞争性磋商采购公告中载明的本项目的采购代理机构，详见供应商须知前附表（一）；</w:t>
      </w:r>
    </w:p>
    <w:p w14:paraId="071D94B1">
      <w:pPr>
        <w:spacing w:line="360" w:lineRule="auto"/>
        <w:ind w:left="960" w:hanging="960" w:hanging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1.2.3   “供应商”系指按照本磋商文件的规定参加并递交磋商响应文件的自然人、法人或其他组织；</w:t>
      </w:r>
    </w:p>
    <w:p w14:paraId="1C954E3A">
      <w:pPr>
        <w:spacing w:line="360" w:lineRule="auto"/>
        <w:ind w:left="960" w:hanging="960" w:hanging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1.2.4   “负责人”系指法人企业的法定代表人，或其他组织为法律、行政法规规定代表单位行使职权的主要负责人，或自然人本人；</w:t>
      </w:r>
    </w:p>
    <w:p w14:paraId="4DE56651">
      <w:pPr>
        <w:spacing w:line="360" w:lineRule="auto"/>
        <w:ind w:left="960" w:hanging="960" w:hanging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1.2.5   “供应商代表”系指负责人或其授权的委托代理人；</w:t>
      </w:r>
    </w:p>
    <w:p w14:paraId="25FCB216">
      <w:pPr>
        <w:spacing w:line="360" w:lineRule="auto"/>
        <w:ind w:left="960" w:hanging="960" w:hanging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1.2.6   “合同”系指采购人与成交人双方签署的规定双方权利与义务的协议，以及所有附件、附录、磋商文件和磋商响应文件所提到的构成合同的所有文件；</w:t>
      </w:r>
    </w:p>
    <w:p w14:paraId="2F1D9BE3">
      <w:pPr>
        <w:spacing w:line="360" w:lineRule="auto"/>
        <w:ind w:left="960" w:hanging="960" w:hanging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1.2.7   “服务”系指供应商按磋商文件规定应承担的服务内容，包括送货上门、安装、调试、技术协助、维修、产品三包制度、校准、培训、技术指导以及其他类似的附随义务；</w:t>
      </w:r>
    </w:p>
    <w:p w14:paraId="3EA7CA28">
      <w:pPr>
        <w:spacing w:line="360" w:lineRule="auto"/>
        <w:ind w:left="960" w:hanging="960" w:hanging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1.2.8   “产品”系指供应商按磋商文件规定，须向采购人提供的一切产品（包括：虚拟产品），以及产品相关的保险、税金、备品备件、附件、耗材、工具、手册及其它有关技术资料和材料等；</w:t>
      </w:r>
    </w:p>
    <w:p w14:paraId="4A3FA262">
      <w:pPr>
        <w:spacing w:line="360" w:lineRule="auto"/>
        <w:ind w:left="720" w:hanging="720" w:hangingChars="3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1.2.9   “项目”系指供应商按磋商文件规定向采购人提供的服务和产品；</w:t>
      </w:r>
    </w:p>
    <w:p w14:paraId="4D0DF667">
      <w:pPr>
        <w:spacing w:line="360" w:lineRule="auto"/>
        <w:ind w:left="960" w:hanging="960" w:hanging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1.2.10  标有“▲”符号均属于“实质性条款”，不允许负偏离；</w:t>
      </w:r>
    </w:p>
    <w:p w14:paraId="786F8596">
      <w:pPr>
        <w:spacing w:line="360" w:lineRule="auto"/>
        <w:ind w:left="960" w:hanging="960" w:hangingChars="400"/>
        <w:rPr>
          <w:rFonts w:ascii="仿宋" w:hAnsi="仿宋" w:eastAsia="仿宋" w:cs="仿宋"/>
          <w:color w:val="auto"/>
          <w:sz w:val="24"/>
          <w:szCs w:val="24"/>
          <w:highlight w:val="none"/>
        </w:rPr>
      </w:pPr>
      <w:r>
        <w:rPr>
          <w:rFonts w:hint="eastAsia" w:ascii="仿宋" w:hAnsi="仿宋" w:eastAsia="仿宋" w:cs="仿宋"/>
          <w:color w:val="auto"/>
          <w:sz w:val="24"/>
          <w:highlight w:val="none"/>
        </w:rPr>
        <w:t xml:space="preserve">1.2.11  </w:t>
      </w:r>
      <w:r>
        <w:rPr>
          <w:rFonts w:hint="eastAsia" w:ascii="仿宋" w:hAnsi="仿宋" w:eastAsia="仿宋" w:cs="仿宋"/>
          <w:color w:val="auto"/>
          <w:sz w:val="24"/>
          <w:szCs w:val="24"/>
          <w:highlight w:val="none"/>
        </w:rPr>
        <w:t>标有“★”系指项目关键核心产品；</w:t>
      </w:r>
    </w:p>
    <w:p w14:paraId="30846053">
      <w:pPr>
        <w:spacing w:line="360" w:lineRule="auto"/>
        <w:ind w:left="964" w:hanging="964" w:hangingChars="4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1.2.12  “电子磋商响应文件”系指供应商通过“政采云电子交易客户端”编制的数据电文形式的“电子加密磋商响应文件”。</w:t>
      </w:r>
    </w:p>
    <w:p w14:paraId="000D1332">
      <w:pPr>
        <w:spacing w:line="360" w:lineRule="auto"/>
        <w:ind w:left="964" w:hanging="964" w:hangingChars="4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1.2.13  “备份磋商响应文件”系指与“电子磋商响应文件”同时生成的数据电文形式的电子文件。</w:t>
      </w:r>
    </w:p>
    <w:p w14:paraId="77DEF27D">
      <w:pPr>
        <w:spacing w:line="360" w:lineRule="auto"/>
        <w:ind w:left="960" w:hanging="960" w:hanging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1.2.14  “磋商响应文件”系指供应商提交的首次响应文件。</w:t>
      </w:r>
    </w:p>
    <w:p w14:paraId="2347C263">
      <w:pPr>
        <w:pStyle w:val="30"/>
        <w:rPr>
          <w:rFonts w:ascii="仿宋" w:hAnsi="仿宋" w:eastAsia="仿宋" w:cs="仿宋"/>
          <w:color w:val="auto"/>
          <w:highlight w:val="none"/>
        </w:rPr>
      </w:pPr>
      <w:bookmarkStart w:id="141" w:name="_Toc531358980"/>
      <w:bookmarkStart w:id="142" w:name="_Toc530551825"/>
      <w:bookmarkStart w:id="143" w:name="_Toc8319"/>
      <w:r>
        <w:rPr>
          <w:rFonts w:hint="eastAsia" w:ascii="仿宋" w:hAnsi="仿宋" w:eastAsia="仿宋" w:cs="仿宋"/>
          <w:color w:val="auto"/>
          <w:highlight w:val="none"/>
        </w:rPr>
        <w:t>1.3     供应商应具备资格条件</w:t>
      </w:r>
      <w:bookmarkEnd w:id="141"/>
      <w:bookmarkEnd w:id="142"/>
      <w:bookmarkEnd w:id="143"/>
    </w:p>
    <w:p w14:paraId="34F2A6D9">
      <w:pPr>
        <w:spacing w:line="360" w:lineRule="auto"/>
        <w:ind w:left="960" w:hanging="960" w:hangingChars="400"/>
        <w:rPr>
          <w:rFonts w:ascii="仿宋" w:hAnsi="仿宋" w:eastAsia="仿宋" w:cs="仿宋"/>
          <w:color w:val="auto"/>
          <w:sz w:val="24"/>
          <w:szCs w:val="24"/>
          <w:highlight w:val="none"/>
        </w:rPr>
      </w:pPr>
      <w:bookmarkStart w:id="144" w:name="_Toc530551826"/>
      <w:r>
        <w:rPr>
          <w:rFonts w:hint="eastAsia" w:ascii="仿宋" w:hAnsi="仿宋" w:eastAsia="仿宋" w:cs="仿宋"/>
          <w:color w:val="auto"/>
          <w:sz w:val="24"/>
          <w:szCs w:val="24"/>
          <w:highlight w:val="none"/>
        </w:rPr>
        <w:t>1.3.1   符合本文件第一章“第二条”的规定。</w:t>
      </w:r>
    </w:p>
    <w:p w14:paraId="3B315E8E">
      <w:pPr>
        <w:pStyle w:val="30"/>
        <w:rPr>
          <w:rFonts w:ascii="仿宋" w:hAnsi="仿宋" w:eastAsia="仿宋" w:cs="仿宋"/>
          <w:color w:val="auto"/>
          <w:highlight w:val="none"/>
        </w:rPr>
      </w:pPr>
      <w:bookmarkStart w:id="145" w:name="_Toc2764"/>
      <w:bookmarkStart w:id="146" w:name="_Toc531358981"/>
      <w:r>
        <w:rPr>
          <w:rFonts w:hint="eastAsia" w:ascii="仿宋" w:hAnsi="仿宋" w:eastAsia="仿宋" w:cs="仿宋"/>
          <w:color w:val="auto"/>
          <w:highlight w:val="none"/>
        </w:rPr>
        <w:t>1.4     联合体</w:t>
      </w:r>
      <w:bookmarkEnd w:id="144"/>
      <w:bookmarkEnd w:id="145"/>
      <w:bookmarkEnd w:id="146"/>
    </w:p>
    <w:p w14:paraId="740C2A68">
      <w:pPr>
        <w:spacing w:line="360" w:lineRule="auto"/>
        <w:ind w:left="720" w:hanging="720" w:hangingChars="3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1.4.1   联合体：见供应商须知前附表（一）；</w:t>
      </w:r>
    </w:p>
    <w:p w14:paraId="1CA3453C">
      <w:pPr>
        <w:spacing w:line="360" w:lineRule="auto"/>
        <w:ind w:left="720" w:hanging="720" w:hangingChars="3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1.4.2   联合体各方均符合政府采购法第二十二条第一款规定；</w:t>
      </w:r>
    </w:p>
    <w:p w14:paraId="18A9B7C4">
      <w:pPr>
        <w:spacing w:line="360" w:lineRule="auto"/>
        <w:ind w:left="960" w:hanging="960" w:hanging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1.4.3   联合体需符合本文件规定的特定资质要求。但联合体中有同类资质的供应商按照联合体分工承担相同工作的，应当按照资质等级较低的供应商确定资质等级；</w:t>
      </w:r>
    </w:p>
    <w:p w14:paraId="4B6484A1">
      <w:pPr>
        <w:spacing w:line="360" w:lineRule="auto"/>
        <w:ind w:left="960" w:hanging="960" w:hanging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1.4.4   以联合体形式参加政府采购活动的，联合体各方不得再单独参加或者与其他供应商另外组成联合体参加同一合同项下的政府采购活动；</w:t>
      </w:r>
    </w:p>
    <w:p w14:paraId="6842EA10">
      <w:pPr>
        <w:spacing w:line="360" w:lineRule="auto"/>
        <w:ind w:left="960" w:hanging="960" w:hanging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1.4.5   联合体参与的，必须提供《联合体协议书》。</w:t>
      </w:r>
    </w:p>
    <w:p w14:paraId="10D6AC3B">
      <w:pPr>
        <w:pStyle w:val="30"/>
        <w:rPr>
          <w:rFonts w:ascii="仿宋" w:hAnsi="仿宋" w:eastAsia="仿宋" w:cs="仿宋"/>
          <w:color w:val="auto"/>
          <w:highlight w:val="none"/>
        </w:rPr>
      </w:pPr>
      <w:bookmarkStart w:id="147" w:name="_Toc530551827"/>
      <w:bookmarkStart w:id="148" w:name="_Toc6199"/>
      <w:bookmarkStart w:id="149" w:name="_Toc531358982"/>
      <w:r>
        <w:rPr>
          <w:rFonts w:hint="eastAsia" w:ascii="仿宋" w:hAnsi="仿宋" w:eastAsia="仿宋" w:cs="仿宋"/>
          <w:color w:val="auto"/>
          <w:highlight w:val="none"/>
        </w:rPr>
        <w:t>1.5     磋商响应文件的语言及计量</w:t>
      </w:r>
      <w:bookmarkEnd w:id="147"/>
      <w:bookmarkEnd w:id="148"/>
      <w:bookmarkEnd w:id="149"/>
    </w:p>
    <w:p w14:paraId="01B43597">
      <w:pPr>
        <w:spacing w:line="360" w:lineRule="auto"/>
        <w:ind w:left="960" w:hanging="960" w:hanging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1.5.1   磋商响应文件以及供应商、采购人与采购代理机构就有关磋商事宜的所有来往函电，均应以简体中文书写，除签名、盖章、专用名称等特殊情形外；</w:t>
      </w:r>
    </w:p>
    <w:p w14:paraId="01386FA4">
      <w:pPr>
        <w:spacing w:line="360" w:lineRule="auto"/>
        <w:ind w:left="960" w:hanging="960" w:hanging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1.5.2   磋商响应资料提供外文证书或者外国语视听资料的，应当附有中文译本，由翻译机构盖章或者翻译人员签名；</w:t>
      </w:r>
    </w:p>
    <w:p w14:paraId="54816089">
      <w:pPr>
        <w:spacing w:line="360" w:lineRule="auto"/>
        <w:ind w:left="960" w:hanging="960" w:hanging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1.5.3   磋商响应计量单位，磋商文件已有明确规定的，使用磋商文件规定的计量单位；磋商文件没有规定的，应当采用中华人民共和国法定计量单位。</w:t>
      </w:r>
    </w:p>
    <w:p w14:paraId="039BDF8F">
      <w:pPr>
        <w:pStyle w:val="30"/>
        <w:rPr>
          <w:rFonts w:ascii="仿宋" w:hAnsi="仿宋" w:eastAsia="仿宋" w:cs="仿宋"/>
          <w:color w:val="auto"/>
          <w:highlight w:val="none"/>
        </w:rPr>
      </w:pPr>
      <w:bookmarkStart w:id="150" w:name="_Toc15218"/>
      <w:bookmarkStart w:id="151" w:name="_Toc530551828"/>
      <w:bookmarkStart w:id="152" w:name="_Toc531358983"/>
      <w:r>
        <w:rPr>
          <w:rFonts w:hint="eastAsia" w:ascii="仿宋" w:hAnsi="仿宋" w:eastAsia="仿宋" w:cs="仿宋"/>
          <w:color w:val="auto"/>
          <w:highlight w:val="none"/>
        </w:rPr>
        <w:t xml:space="preserve">1.6     </w:t>
      </w:r>
      <w:r>
        <w:rPr>
          <w:rFonts w:hint="eastAsia" w:ascii="仿宋" w:hAnsi="仿宋" w:eastAsia="仿宋" w:cs="仿宋"/>
          <w:color w:val="auto"/>
          <w:szCs w:val="24"/>
          <w:highlight w:val="none"/>
        </w:rPr>
        <w:t>磋商</w:t>
      </w:r>
      <w:r>
        <w:rPr>
          <w:rFonts w:hint="eastAsia" w:ascii="仿宋" w:hAnsi="仿宋" w:eastAsia="仿宋" w:cs="仿宋"/>
          <w:color w:val="auto"/>
          <w:highlight w:val="none"/>
        </w:rPr>
        <w:t>费用</w:t>
      </w:r>
      <w:bookmarkEnd w:id="150"/>
      <w:bookmarkEnd w:id="151"/>
      <w:bookmarkEnd w:id="152"/>
    </w:p>
    <w:p w14:paraId="166D9CBC">
      <w:pPr>
        <w:spacing w:line="360" w:lineRule="auto"/>
        <w:ind w:left="958" w:leftChars="456"/>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不论磋商的结果如何，供应商均应自行承担所有与磋商有关的全部费用。</w:t>
      </w:r>
    </w:p>
    <w:p w14:paraId="78438899">
      <w:pPr>
        <w:pStyle w:val="30"/>
        <w:rPr>
          <w:rFonts w:ascii="仿宋" w:hAnsi="仿宋" w:eastAsia="仿宋" w:cs="仿宋"/>
          <w:color w:val="auto"/>
          <w:highlight w:val="none"/>
        </w:rPr>
      </w:pPr>
      <w:bookmarkStart w:id="153" w:name="_Toc530551829"/>
      <w:bookmarkStart w:id="154" w:name="_Toc7677"/>
      <w:bookmarkStart w:id="155" w:name="_Toc531358984"/>
      <w:r>
        <w:rPr>
          <w:rFonts w:hint="eastAsia" w:ascii="仿宋" w:hAnsi="仿宋" w:eastAsia="仿宋" w:cs="仿宋"/>
          <w:color w:val="auto"/>
          <w:highlight w:val="none"/>
        </w:rPr>
        <w:t>1.7     现场踏勘</w:t>
      </w:r>
      <w:bookmarkEnd w:id="153"/>
      <w:bookmarkEnd w:id="154"/>
      <w:bookmarkEnd w:id="155"/>
    </w:p>
    <w:p w14:paraId="3D05B700">
      <w:pPr>
        <w:spacing w:line="360" w:lineRule="auto"/>
        <w:ind w:left="960" w:hanging="960" w:hanging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1.7.1   采购人按供应商须知前附表（一）规定的时间、地点组织供应商现场踏勘；</w:t>
      </w:r>
    </w:p>
    <w:p w14:paraId="0BD8AA20">
      <w:pPr>
        <w:spacing w:line="360" w:lineRule="auto"/>
        <w:ind w:left="960" w:hanging="960" w:hanging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1.7.2   供应商踏勘现场发生的费用自理；</w:t>
      </w:r>
    </w:p>
    <w:p w14:paraId="0FB8E532">
      <w:pPr>
        <w:spacing w:line="360" w:lineRule="auto"/>
        <w:ind w:left="960" w:hanging="960" w:hanging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1.7.3   除采购人的原因外，供应商自行负责在踏勘现场中所发生的人员伤亡和财产损失；</w:t>
      </w:r>
    </w:p>
    <w:p w14:paraId="4A2426BD">
      <w:pPr>
        <w:spacing w:line="360" w:lineRule="auto"/>
        <w:ind w:left="960" w:hanging="960" w:hanging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1.7.4   采购人在现场踏勘中介绍的场地和相关的周边环境情况，供应商在编制磋商响应文件时参考，采购人不对供应商据此作出的判断和决策负责；</w:t>
      </w:r>
    </w:p>
    <w:p w14:paraId="04357E53">
      <w:pPr>
        <w:spacing w:line="360" w:lineRule="auto"/>
        <w:ind w:left="960" w:hanging="960" w:hanging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1.7.5   供应商自身原因不参与答疑会的，不得就此提出质疑。</w:t>
      </w:r>
    </w:p>
    <w:p w14:paraId="61167AEC">
      <w:pPr>
        <w:pStyle w:val="30"/>
        <w:rPr>
          <w:rFonts w:ascii="仿宋" w:hAnsi="仿宋" w:eastAsia="仿宋" w:cs="仿宋"/>
          <w:color w:val="auto"/>
          <w:highlight w:val="none"/>
        </w:rPr>
      </w:pPr>
      <w:bookmarkStart w:id="156" w:name="_Toc531358985"/>
      <w:bookmarkStart w:id="157" w:name="_Toc530551830"/>
      <w:bookmarkStart w:id="158" w:name="_Toc17815"/>
      <w:r>
        <w:rPr>
          <w:rFonts w:hint="eastAsia" w:ascii="仿宋" w:hAnsi="仿宋" w:eastAsia="仿宋" w:cs="仿宋"/>
          <w:color w:val="auto"/>
          <w:highlight w:val="none"/>
        </w:rPr>
        <w:t>1.8     答疑会</w:t>
      </w:r>
      <w:bookmarkEnd w:id="156"/>
      <w:bookmarkEnd w:id="157"/>
      <w:bookmarkEnd w:id="158"/>
    </w:p>
    <w:p w14:paraId="7E735E2B">
      <w:pPr>
        <w:spacing w:line="360" w:lineRule="auto"/>
        <w:ind w:left="960" w:hanging="960" w:hanging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1.8.1   采购人或采购代理机构按供应商须知前附表（一）规定的时间和地点召开答疑会；</w:t>
      </w:r>
    </w:p>
    <w:p w14:paraId="222F1A78">
      <w:pPr>
        <w:spacing w:line="360" w:lineRule="auto"/>
        <w:ind w:left="960" w:hanging="960" w:hanging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1.8.2   答疑会后，采购人或采购代理机构按本章第2.2款规定对供应商所提问题进行澄清答复；</w:t>
      </w:r>
    </w:p>
    <w:p w14:paraId="43BA2838">
      <w:pPr>
        <w:spacing w:line="360" w:lineRule="auto"/>
        <w:ind w:left="960" w:hanging="960" w:hanging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1.8.3   供应商自身原因不参与答疑会的，不得就差别待遇或歧视待遇提出质疑。</w:t>
      </w:r>
    </w:p>
    <w:p w14:paraId="2A500D91">
      <w:pPr>
        <w:pStyle w:val="30"/>
        <w:rPr>
          <w:rFonts w:ascii="仿宋" w:hAnsi="仿宋" w:eastAsia="仿宋" w:cs="仿宋"/>
          <w:color w:val="auto"/>
          <w:highlight w:val="none"/>
        </w:rPr>
      </w:pPr>
      <w:bookmarkStart w:id="159" w:name="_Toc1351"/>
      <w:bookmarkStart w:id="160" w:name="_Toc530551831"/>
      <w:bookmarkStart w:id="161" w:name="_Toc531358986"/>
      <w:r>
        <w:rPr>
          <w:rFonts w:hint="eastAsia" w:ascii="仿宋" w:hAnsi="仿宋" w:eastAsia="仿宋" w:cs="仿宋"/>
          <w:color w:val="auto"/>
          <w:highlight w:val="none"/>
        </w:rPr>
        <w:t>1.9     分包</w:t>
      </w:r>
      <w:bookmarkEnd w:id="159"/>
      <w:bookmarkEnd w:id="160"/>
      <w:bookmarkEnd w:id="161"/>
    </w:p>
    <w:p w14:paraId="627C022D">
      <w:pPr>
        <w:spacing w:line="360" w:lineRule="auto"/>
        <w:ind w:left="720" w:hanging="720" w:hangingChars="3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1.9.1   分包：见供应商须知前附表（一）；</w:t>
      </w:r>
    </w:p>
    <w:p w14:paraId="233D90BB">
      <w:pPr>
        <w:spacing w:line="360" w:lineRule="auto"/>
        <w:ind w:left="960" w:hanging="960" w:hanging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1.9.2   供应商根据磋商文件的规定和采购项目的实际情况，拟在成交后将成交项目的非主体、非关键性工作分包的，应当在磋商响应文件中载明分包承担主体，分包承担主体应当具备相应资质条件且不得再次分包。</w:t>
      </w:r>
    </w:p>
    <w:p w14:paraId="609489AE">
      <w:pPr>
        <w:pStyle w:val="30"/>
        <w:rPr>
          <w:rFonts w:ascii="仿宋" w:hAnsi="仿宋" w:eastAsia="仿宋" w:cs="仿宋"/>
          <w:color w:val="auto"/>
          <w:highlight w:val="none"/>
        </w:rPr>
      </w:pPr>
      <w:bookmarkStart w:id="162" w:name="_Toc30252"/>
      <w:bookmarkStart w:id="163" w:name="_Toc530551832"/>
      <w:bookmarkStart w:id="164" w:name="_Toc531358987"/>
      <w:r>
        <w:rPr>
          <w:rFonts w:hint="eastAsia" w:ascii="仿宋" w:hAnsi="仿宋" w:eastAsia="仿宋" w:cs="仿宋"/>
          <w:color w:val="auto"/>
          <w:highlight w:val="none"/>
        </w:rPr>
        <w:t>1.10    保密</w:t>
      </w:r>
      <w:bookmarkEnd w:id="162"/>
      <w:bookmarkEnd w:id="163"/>
      <w:bookmarkEnd w:id="164"/>
    </w:p>
    <w:p w14:paraId="3A7C981E">
      <w:pPr>
        <w:spacing w:line="360" w:lineRule="auto"/>
        <w:ind w:left="945" w:leftChars="4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参与磋商响应活动的各方当事人应当对评审情况以及在评审过程中的获悉的国家秘密、商业秘密负有保密责任，违者应对由此造成的后果承担法律责任。</w:t>
      </w:r>
    </w:p>
    <w:p w14:paraId="07977203">
      <w:pPr>
        <w:pStyle w:val="30"/>
        <w:rPr>
          <w:rFonts w:ascii="仿宋" w:hAnsi="仿宋" w:eastAsia="仿宋" w:cs="仿宋"/>
          <w:color w:val="auto"/>
          <w:highlight w:val="none"/>
        </w:rPr>
      </w:pPr>
      <w:bookmarkStart w:id="165" w:name="_Toc32110"/>
      <w:bookmarkStart w:id="166" w:name="_Toc530551833"/>
      <w:bookmarkStart w:id="167" w:name="_Toc531358988"/>
      <w:r>
        <w:rPr>
          <w:rFonts w:hint="eastAsia" w:ascii="仿宋" w:hAnsi="仿宋" w:eastAsia="仿宋" w:cs="仿宋"/>
          <w:color w:val="auto"/>
          <w:highlight w:val="none"/>
        </w:rPr>
        <w:t>1.11    政府采购政策</w:t>
      </w:r>
      <w:bookmarkEnd w:id="165"/>
      <w:bookmarkEnd w:id="166"/>
      <w:bookmarkEnd w:id="167"/>
    </w:p>
    <w:p w14:paraId="7A993843">
      <w:pPr>
        <w:spacing w:line="360" w:lineRule="auto"/>
        <w:ind w:left="960" w:hanging="960" w:hangingChars="400"/>
        <w:rPr>
          <w:rFonts w:ascii="仿宋" w:hAnsi="仿宋" w:eastAsia="仿宋" w:cs="仿宋"/>
          <w:bCs/>
          <w:color w:val="auto"/>
          <w:sz w:val="24"/>
          <w:highlight w:val="none"/>
        </w:rPr>
      </w:pPr>
      <w:bookmarkStart w:id="168" w:name="_Toc530551835"/>
      <w:bookmarkStart w:id="169" w:name="_Toc531358990"/>
      <w:r>
        <w:rPr>
          <w:rFonts w:hint="eastAsia" w:ascii="仿宋" w:hAnsi="仿宋" w:eastAsia="仿宋" w:cs="仿宋"/>
          <w:bCs/>
          <w:color w:val="auto"/>
          <w:sz w:val="24"/>
          <w:highlight w:val="none"/>
        </w:rPr>
        <w:t>1.11.3  根据《政府采购促进中小企业发展管理办法》（财库〔2020〕46号）文件要求，在政府采购活动按下列情形之一给予价格扣除：</w:t>
      </w:r>
    </w:p>
    <w:p w14:paraId="29DC04DA">
      <w:pPr>
        <w:spacing w:line="360" w:lineRule="auto"/>
        <w:ind w:firstLine="960" w:firstLineChars="400"/>
        <w:rPr>
          <w:rFonts w:ascii="仿宋" w:hAnsi="仿宋" w:eastAsia="仿宋" w:cs="仿宋"/>
          <w:bCs/>
          <w:color w:val="auto"/>
          <w:sz w:val="24"/>
          <w:highlight w:val="none"/>
        </w:rPr>
      </w:pPr>
      <w:r>
        <w:rPr>
          <w:rFonts w:hint="eastAsia" w:ascii="仿宋" w:hAnsi="仿宋" w:eastAsia="仿宋" w:cs="仿宋"/>
          <w:bCs/>
          <w:color w:val="auto"/>
          <w:sz w:val="24"/>
          <w:highlight w:val="none"/>
        </w:rPr>
        <w:t>（1）本项目</w:t>
      </w:r>
      <w:r>
        <w:rPr>
          <w:rFonts w:hint="eastAsia" w:ascii="仿宋" w:hAnsi="仿宋" w:eastAsia="仿宋" w:cs="仿宋"/>
          <w:bCs/>
          <w:color w:val="auto"/>
          <w:sz w:val="24"/>
          <w:highlight w:val="none"/>
          <w:u w:val="single"/>
          <w:lang w:val="en-US" w:eastAsia="zh-CN"/>
        </w:rPr>
        <w:t>非</w:t>
      </w:r>
      <w:r>
        <w:rPr>
          <w:rFonts w:hint="eastAsia" w:ascii="仿宋" w:hAnsi="仿宋" w:eastAsia="仿宋" w:cs="仿宋"/>
          <w:bCs/>
          <w:color w:val="auto"/>
          <w:sz w:val="24"/>
          <w:highlight w:val="none"/>
        </w:rPr>
        <w:t>专门面向中小企业采购；</w:t>
      </w:r>
    </w:p>
    <w:p w14:paraId="515A90C3">
      <w:pPr>
        <w:spacing w:line="360" w:lineRule="auto"/>
        <w:ind w:left="1078" w:leftChars="456" w:hanging="120" w:hangingChars="50"/>
        <w:rPr>
          <w:rFonts w:ascii="仿宋" w:hAnsi="仿宋" w:eastAsia="仿宋" w:cs="仿宋"/>
          <w:color w:val="auto"/>
          <w:sz w:val="24"/>
          <w:szCs w:val="24"/>
          <w:highlight w:val="none"/>
        </w:rPr>
      </w:pPr>
      <w:r>
        <w:rPr>
          <w:rFonts w:hint="eastAsia" w:ascii="仿宋" w:hAnsi="仿宋" w:eastAsia="仿宋" w:cs="仿宋"/>
          <w:bCs/>
          <w:color w:val="auto"/>
          <w:sz w:val="24"/>
          <w:highlight w:val="none"/>
        </w:rPr>
        <w:t>（2）对于非专门面向中小企业的项目，对小型和微型企业产品的价格给予</w:t>
      </w:r>
      <w:r>
        <w:rPr>
          <w:rFonts w:hint="eastAsia" w:ascii="仿宋" w:hAnsi="仿宋" w:eastAsia="仿宋" w:cs="仿宋"/>
          <w:color w:val="auto"/>
          <w:sz w:val="24"/>
          <w:szCs w:val="24"/>
          <w:highlight w:val="none"/>
        </w:rPr>
        <w:t>扣除，用扣除后的价格参与评审，价格扣除比例见供应商须知前附表（一）；</w:t>
      </w:r>
    </w:p>
    <w:p w14:paraId="17E48339">
      <w:pPr>
        <w:spacing w:line="360" w:lineRule="auto"/>
        <w:ind w:left="1065" w:leftChars="450" w:hanging="120" w:hangingChars="50"/>
        <w:rPr>
          <w:rFonts w:ascii="仿宋" w:hAnsi="仿宋" w:eastAsia="仿宋" w:cs="仿宋"/>
          <w:bCs/>
          <w:color w:val="auto"/>
          <w:sz w:val="24"/>
          <w:highlight w:val="none"/>
        </w:rPr>
      </w:pPr>
      <w:r>
        <w:rPr>
          <w:rFonts w:hint="eastAsia" w:ascii="仿宋" w:hAnsi="仿宋" w:eastAsia="仿宋" w:cs="仿宋"/>
          <w:bCs/>
          <w:color w:val="auto"/>
          <w:sz w:val="24"/>
          <w:highlight w:val="none"/>
        </w:rPr>
        <w:t>（3）联合体协议约定，小型、微型企业的协议合同金额占到联合协议合同总金额30%以上的，可给予联合体价格扣除，用扣除后的价格参与评审。联合体各方均为小型、微型企业的，联合体视同为小型、微型企业。价格扣除比例见供应商须知前附表（一）；</w:t>
      </w:r>
    </w:p>
    <w:p w14:paraId="3DA27B30">
      <w:pPr>
        <w:spacing w:line="360" w:lineRule="auto"/>
        <w:ind w:left="1185" w:leftChars="450" w:hanging="240" w:hangingChars="100"/>
        <w:rPr>
          <w:color w:val="auto"/>
          <w:highlight w:val="none"/>
        </w:rPr>
      </w:pPr>
      <w:r>
        <w:rPr>
          <w:rFonts w:hint="eastAsia" w:ascii="仿宋" w:hAnsi="仿宋" w:eastAsia="仿宋" w:cs="仿宋"/>
          <w:bCs/>
          <w:color w:val="auto"/>
          <w:sz w:val="24"/>
          <w:highlight w:val="none"/>
        </w:rPr>
        <w:t>（4）参加政府采购活动的中小企业应当提供《中小企业声明函》。</w:t>
      </w:r>
    </w:p>
    <w:p w14:paraId="759CA92D">
      <w:pPr>
        <w:spacing w:line="360" w:lineRule="auto"/>
        <w:ind w:left="960" w:hanging="960" w:hangingChars="400"/>
        <w:rPr>
          <w:rFonts w:ascii="仿宋" w:hAnsi="仿宋" w:eastAsia="仿宋" w:cs="仿宋"/>
          <w:bCs/>
          <w:color w:val="auto"/>
          <w:sz w:val="24"/>
          <w:highlight w:val="none"/>
        </w:rPr>
      </w:pPr>
      <w:r>
        <w:rPr>
          <w:rFonts w:hint="eastAsia" w:ascii="仿宋" w:hAnsi="仿宋" w:eastAsia="仿宋" w:cs="仿宋"/>
          <w:bCs/>
          <w:color w:val="auto"/>
          <w:sz w:val="24"/>
          <w:highlight w:val="none"/>
        </w:rPr>
        <w:t>1.11.4  供应商符合《财政部、司法部关于政府采购支持监狱企业发展有关问题的通知》（财库〔2014〕68号）文件要求，并提供省级以上监狱管理局、戒毒管理局（含新疆生产建设兵团）出具的属于监狱企业的证明文件，则视同小型、微型企业，享受第1.11.3条的扶持政策；</w:t>
      </w:r>
    </w:p>
    <w:p w14:paraId="1D9C7BAA">
      <w:pPr>
        <w:spacing w:line="360" w:lineRule="auto"/>
        <w:ind w:left="960" w:hanging="960" w:hangingChars="400"/>
        <w:rPr>
          <w:rFonts w:ascii="仿宋" w:hAnsi="仿宋" w:eastAsia="仿宋" w:cs="仿宋"/>
          <w:bCs/>
          <w:color w:val="auto"/>
          <w:sz w:val="24"/>
          <w:highlight w:val="none"/>
        </w:rPr>
      </w:pPr>
      <w:r>
        <w:rPr>
          <w:rFonts w:hint="eastAsia" w:ascii="仿宋" w:hAnsi="仿宋" w:eastAsia="仿宋" w:cs="仿宋"/>
          <w:bCs/>
          <w:color w:val="auto"/>
          <w:sz w:val="24"/>
          <w:highlight w:val="none"/>
        </w:rPr>
        <w:t>1.11.5  供应商符合《三部门联合发布关于促进残疾人就业政府采购政策的通知》（财库〔2017〕141号）文件要求，并提供《残疾人福利性单位声明函》的，则视同小型、微型企业，享受第1.11.3条的扶持政策。</w:t>
      </w:r>
    </w:p>
    <w:p w14:paraId="0049372A">
      <w:pPr>
        <w:spacing w:line="360" w:lineRule="auto"/>
        <w:ind w:left="960" w:hanging="960" w:hangingChars="40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1.11.6  ▲采购进口产品：招标需求中未注明进口产品或允许进口产品，不得提供进口产品。</w:t>
      </w:r>
    </w:p>
    <w:p w14:paraId="5F6B6BED">
      <w:pPr>
        <w:pStyle w:val="30"/>
        <w:rPr>
          <w:rFonts w:ascii="仿宋" w:hAnsi="仿宋" w:eastAsia="仿宋" w:cs="仿宋"/>
          <w:color w:val="auto"/>
          <w:highlight w:val="none"/>
        </w:rPr>
      </w:pPr>
      <w:bookmarkStart w:id="170" w:name="_Toc7089"/>
      <w:r>
        <w:rPr>
          <w:rFonts w:hint="eastAsia" w:ascii="仿宋" w:hAnsi="仿宋" w:eastAsia="仿宋" w:cs="仿宋"/>
          <w:color w:val="auto"/>
          <w:highlight w:val="none"/>
        </w:rPr>
        <w:t>1.12    信用信息记录查询</w:t>
      </w:r>
      <w:bookmarkEnd w:id="168"/>
      <w:bookmarkEnd w:id="169"/>
      <w:bookmarkEnd w:id="170"/>
    </w:p>
    <w:p w14:paraId="7132E62B">
      <w:pPr>
        <w:spacing w:line="360" w:lineRule="auto"/>
        <w:ind w:left="960" w:hanging="960" w:hanging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1.12.1  查询渠道：信用中国网站（www.creditchina.gov.cn）、中国政府采购网（www.ccgp.gov.cn）；</w:t>
      </w:r>
    </w:p>
    <w:p w14:paraId="3E5B7431">
      <w:pPr>
        <w:spacing w:line="360" w:lineRule="auto"/>
        <w:ind w:left="960" w:hanging="960" w:hanging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1.12.2  信用信息记录查询截止时间：同资格审查结束时间，网站显示的信用信息记录将作为供应商资格审查的依据；</w:t>
      </w:r>
    </w:p>
    <w:p w14:paraId="2F12F527">
      <w:pPr>
        <w:spacing w:line="360" w:lineRule="auto"/>
        <w:ind w:left="960" w:hanging="960" w:hanging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1.12.3  查询内容：列入失信被执行人、重大税收违法案件当事人名单、政府采购严重违法失信行为记录名单；</w:t>
      </w:r>
    </w:p>
    <w:p w14:paraId="1E4B6355">
      <w:pPr>
        <w:spacing w:line="360" w:lineRule="auto"/>
        <w:ind w:left="960" w:hanging="960" w:hanging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1.12.4  信用信息留存方式：信用信息查询记录和证据以网页页面打印（或截图）等方式进行留存；</w:t>
      </w:r>
    </w:p>
    <w:p w14:paraId="50274495">
      <w:pPr>
        <w:spacing w:line="360" w:lineRule="auto"/>
        <w:ind w:left="960" w:hanging="960" w:hanging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1.12.5  联合体成员存在不良信用信息记录的，视同联合体存在不良信用记录。</w:t>
      </w:r>
    </w:p>
    <w:p w14:paraId="50157AE9">
      <w:pPr>
        <w:pStyle w:val="30"/>
        <w:rPr>
          <w:rFonts w:ascii="仿宋" w:hAnsi="仿宋" w:eastAsia="仿宋" w:cs="仿宋"/>
          <w:color w:val="auto"/>
          <w:highlight w:val="none"/>
        </w:rPr>
      </w:pPr>
      <w:bookmarkStart w:id="171" w:name="_Toc1892"/>
      <w:bookmarkStart w:id="172" w:name="_Toc531358991"/>
      <w:bookmarkStart w:id="173" w:name="_Toc530551836"/>
      <w:r>
        <w:rPr>
          <w:rFonts w:hint="eastAsia" w:ascii="仿宋" w:hAnsi="仿宋" w:eastAsia="仿宋" w:cs="仿宋"/>
          <w:color w:val="auto"/>
          <w:highlight w:val="none"/>
        </w:rPr>
        <w:t>1.13    质疑和投诉</w:t>
      </w:r>
      <w:bookmarkEnd w:id="171"/>
      <w:bookmarkEnd w:id="172"/>
      <w:bookmarkEnd w:id="173"/>
    </w:p>
    <w:p w14:paraId="3520EB59">
      <w:pPr>
        <w:spacing w:line="360" w:lineRule="auto"/>
        <w:ind w:left="960" w:hanging="960" w:hangingChars="400"/>
        <w:jc w:val="left"/>
        <w:rPr>
          <w:rFonts w:ascii="仿宋" w:hAnsi="仿宋" w:eastAsia="仿宋" w:cs="仿宋"/>
          <w:color w:val="auto"/>
          <w:sz w:val="24"/>
          <w:highlight w:val="none"/>
        </w:rPr>
      </w:pPr>
      <w:r>
        <w:rPr>
          <w:rFonts w:hint="eastAsia" w:ascii="仿宋" w:hAnsi="仿宋" w:eastAsia="仿宋" w:cs="仿宋"/>
          <w:color w:val="auto"/>
          <w:sz w:val="24"/>
          <w:highlight w:val="none"/>
        </w:rPr>
        <w:t>1.13.1  供应商认为磋商文件、采购过程、成交结果使自己的权益受到损害的，可以在知道或者应知其权益受到损害之日起7个工作日内，以书面形式向采购人、采购代理机构提出质疑。</w:t>
      </w:r>
    </w:p>
    <w:p w14:paraId="733B0F17">
      <w:pPr>
        <w:spacing w:line="360" w:lineRule="auto"/>
        <w:ind w:left="960" w:hanging="960" w:hangingChars="400"/>
        <w:rPr>
          <w:rFonts w:ascii="仿宋" w:hAnsi="仿宋" w:eastAsia="仿宋" w:cs="仿宋"/>
          <w:color w:val="auto"/>
          <w:sz w:val="24"/>
          <w:highlight w:val="none"/>
        </w:rPr>
      </w:pPr>
      <w:r>
        <w:rPr>
          <w:rFonts w:hint="eastAsia" w:ascii="仿宋" w:hAnsi="仿宋" w:eastAsia="仿宋" w:cs="仿宋"/>
          <w:color w:val="auto"/>
          <w:sz w:val="24"/>
          <w:highlight w:val="none"/>
        </w:rPr>
        <w:t>1.13.2  提出质疑的供应商应当是参与所质疑项目采购活动的供应商；</w:t>
      </w:r>
    </w:p>
    <w:p w14:paraId="37647566">
      <w:pPr>
        <w:spacing w:line="360" w:lineRule="auto"/>
        <w:ind w:left="945" w:leftChars="450"/>
        <w:rPr>
          <w:rFonts w:ascii="仿宋" w:hAnsi="仿宋" w:eastAsia="仿宋" w:cs="仿宋"/>
          <w:color w:val="auto"/>
          <w:sz w:val="24"/>
          <w:highlight w:val="none"/>
        </w:rPr>
      </w:pPr>
      <w:r>
        <w:rPr>
          <w:rFonts w:hint="eastAsia" w:ascii="仿宋" w:hAnsi="仿宋" w:eastAsia="仿宋" w:cs="仿宋"/>
          <w:color w:val="auto"/>
          <w:sz w:val="24"/>
          <w:highlight w:val="none"/>
        </w:rPr>
        <w:t>潜在供应商已依法获取其可质疑的磋商文件的，可以对该文件提出质疑。对磋商文件提出质疑的，应当在获取磋商文件或者磋商文件公告期限届满之日起7个工作日内提出；</w:t>
      </w:r>
    </w:p>
    <w:p w14:paraId="7329634B">
      <w:pPr>
        <w:spacing w:line="360" w:lineRule="auto"/>
        <w:ind w:left="960" w:hanging="960" w:hangingChars="400"/>
        <w:rPr>
          <w:rFonts w:ascii="仿宋" w:hAnsi="仿宋" w:eastAsia="仿宋" w:cs="仿宋"/>
          <w:color w:val="auto"/>
          <w:sz w:val="24"/>
          <w:highlight w:val="none"/>
        </w:rPr>
      </w:pPr>
      <w:r>
        <w:rPr>
          <w:rFonts w:hint="eastAsia" w:ascii="仿宋" w:hAnsi="仿宋" w:eastAsia="仿宋" w:cs="仿宋"/>
          <w:color w:val="auto"/>
          <w:sz w:val="24"/>
          <w:highlight w:val="none"/>
        </w:rPr>
        <w:t>1.13.3  同一采购程序环节的质疑，供应商须一次性提出，否则不予以答复；</w:t>
      </w:r>
    </w:p>
    <w:p w14:paraId="6D486260">
      <w:pPr>
        <w:spacing w:line="360" w:lineRule="auto"/>
        <w:ind w:left="960" w:hanging="960" w:hangingChars="400"/>
        <w:rPr>
          <w:rFonts w:ascii="仿宋" w:hAnsi="仿宋" w:eastAsia="仿宋" w:cs="仿宋"/>
          <w:color w:val="auto"/>
          <w:sz w:val="24"/>
          <w:highlight w:val="none"/>
        </w:rPr>
      </w:pPr>
      <w:r>
        <w:rPr>
          <w:rFonts w:hint="eastAsia" w:ascii="仿宋" w:hAnsi="仿宋" w:eastAsia="仿宋" w:cs="仿宋"/>
          <w:color w:val="auto"/>
          <w:sz w:val="24"/>
          <w:highlight w:val="none"/>
        </w:rPr>
        <w:t>1.13.4  质疑主要内容应符合《政府采购质疑和投诉办法》（财政部94号令）等相关规定，质疑内容涉及保密事项，质疑人应提供有效的信息来源或有效证据；</w:t>
      </w:r>
    </w:p>
    <w:p w14:paraId="4C87F242">
      <w:pPr>
        <w:spacing w:line="360" w:lineRule="auto"/>
        <w:ind w:left="960" w:hanging="960" w:hangingChars="400"/>
        <w:rPr>
          <w:rFonts w:ascii="仿宋" w:hAnsi="仿宋" w:eastAsia="仿宋" w:cs="仿宋"/>
          <w:color w:val="auto"/>
          <w:sz w:val="24"/>
          <w:highlight w:val="none"/>
        </w:rPr>
      </w:pPr>
      <w:r>
        <w:rPr>
          <w:rFonts w:hint="eastAsia" w:ascii="仿宋" w:hAnsi="仿宋" w:eastAsia="仿宋" w:cs="仿宋"/>
          <w:color w:val="auto"/>
          <w:sz w:val="24"/>
          <w:highlight w:val="none"/>
        </w:rPr>
        <w:t>1.13.5  质疑人可直接提交、传真或邮寄方式提交质疑函（一式三份以上）。以其他方式提出的质疑，采购人或采购代理机构可不予接受、答复。</w:t>
      </w:r>
    </w:p>
    <w:p w14:paraId="7989D310">
      <w:pPr>
        <w:spacing w:line="360" w:lineRule="auto"/>
        <w:ind w:left="1185" w:leftChars="450" w:hanging="240" w:hangingChars="100"/>
        <w:rPr>
          <w:rFonts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1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⑴</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邮寄方式送达质疑函的，以采购人或采购代理机构实际收到邮件之日作为收到质疑的日期。</w:t>
      </w:r>
    </w:p>
    <w:p w14:paraId="7EDA70D4">
      <w:pPr>
        <w:spacing w:line="360" w:lineRule="auto"/>
        <w:ind w:left="1185" w:leftChars="450" w:hanging="240" w:hangingChars="100"/>
        <w:rPr>
          <w:rFonts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2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⑵</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传真方式送达质疑函的，质疑人应当取得采购人或采购代理机构确认收到传真的意见，并及时将质疑函原件送达采购人或采购代理机构。采购人或采购代理机构以实际收到原件之日作为收到质疑的日期。</w:t>
      </w:r>
    </w:p>
    <w:p w14:paraId="2F3DEB33">
      <w:pPr>
        <w:spacing w:line="360" w:lineRule="auto"/>
        <w:ind w:left="945" w:leftChars="450"/>
        <w:rPr>
          <w:rFonts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3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⑶</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在质疑期限届满前，质疑函已经邮寄或传真成功的，质疑不视为过期。</w:t>
      </w:r>
    </w:p>
    <w:p w14:paraId="24CBC6F8">
      <w:pPr>
        <w:spacing w:line="360" w:lineRule="auto"/>
        <w:ind w:left="960" w:hanging="960" w:hangingChars="400"/>
        <w:rPr>
          <w:rFonts w:ascii="仿宋" w:hAnsi="仿宋" w:eastAsia="仿宋" w:cs="仿宋"/>
          <w:color w:val="auto"/>
          <w:sz w:val="24"/>
          <w:highlight w:val="none"/>
        </w:rPr>
      </w:pPr>
      <w:r>
        <w:rPr>
          <w:rFonts w:hint="eastAsia" w:ascii="仿宋" w:hAnsi="仿宋" w:eastAsia="仿宋" w:cs="仿宋"/>
          <w:color w:val="auto"/>
          <w:sz w:val="24"/>
          <w:highlight w:val="none"/>
        </w:rPr>
        <w:t>1.13.6  质疑联系人：见供应商须知前附表（一）</w:t>
      </w:r>
    </w:p>
    <w:p w14:paraId="5CAD199A">
      <w:pPr>
        <w:spacing w:line="360" w:lineRule="auto"/>
        <w:ind w:left="960" w:hanging="960" w:hangingChars="400"/>
        <w:rPr>
          <w:rFonts w:ascii="仿宋" w:hAnsi="仿宋" w:eastAsia="仿宋" w:cs="仿宋"/>
          <w:color w:val="auto"/>
          <w:sz w:val="24"/>
          <w:highlight w:val="none"/>
        </w:rPr>
      </w:pPr>
      <w:r>
        <w:rPr>
          <w:rFonts w:hint="eastAsia" w:ascii="仿宋" w:hAnsi="仿宋" w:eastAsia="仿宋" w:cs="仿宋"/>
          <w:color w:val="auto"/>
          <w:sz w:val="24"/>
          <w:highlight w:val="none"/>
        </w:rPr>
        <w:t>1.13.7  相关当事人提供外文证书或者外国语视听资料的，应当附有中文译本，由翻译机构盖章或者翻译人员签名。</w:t>
      </w:r>
    </w:p>
    <w:p w14:paraId="74505109">
      <w:pPr>
        <w:spacing w:line="360" w:lineRule="auto"/>
        <w:ind w:left="960" w:hanging="960" w:hangingChars="400"/>
        <w:rPr>
          <w:rFonts w:ascii="仿宋" w:hAnsi="仿宋" w:eastAsia="仿宋" w:cs="仿宋"/>
          <w:color w:val="auto"/>
          <w:sz w:val="24"/>
          <w:highlight w:val="none"/>
        </w:rPr>
      </w:pPr>
      <w:r>
        <w:rPr>
          <w:rFonts w:hint="eastAsia" w:ascii="仿宋" w:hAnsi="仿宋" w:eastAsia="仿宋" w:cs="仿宋"/>
          <w:color w:val="auto"/>
          <w:sz w:val="24"/>
          <w:highlight w:val="none"/>
        </w:rPr>
        <w:t>1.13.8  采购人或采购代理机构在收到质疑人的书面质疑后7个工作日内作出答复，并以书面形式答复质疑人；</w:t>
      </w:r>
    </w:p>
    <w:p w14:paraId="0F7E3FEA">
      <w:pPr>
        <w:spacing w:line="360" w:lineRule="auto"/>
        <w:ind w:left="960" w:hanging="960" w:hangingChars="400"/>
        <w:rPr>
          <w:rFonts w:ascii="仿宋" w:hAnsi="仿宋" w:eastAsia="仿宋" w:cs="仿宋"/>
          <w:color w:val="auto"/>
          <w:sz w:val="24"/>
          <w:highlight w:val="none"/>
        </w:rPr>
      </w:pPr>
      <w:r>
        <w:rPr>
          <w:rFonts w:hint="eastAsia" w:ascii="仿宋" w:hAnsi="仿宋" w:eastAsia="仿宋" w:cs="仿宋"/>
          <w:color w:val="auto"/>
          <w:sz w:val="24"/>
          <w:highlight w:val="none"/>
        </w:rPr>
        <w:t>1.13.9  质疑人捏造事实、提供虚假材料进行质疑的，采购人或采购代理机构报告同级政府采购监督管理部门，由同级政府采购监督管理部门审查，情况属实的，应列入不良行为记录，并在指定的媒体上公告；</w:t>
      </w:r>
    </w:p>
    <w:p w14:paraId="353E96DD">
      <w:pPr>
        <w:spacing w:line="360" w:lineRule="auto"/>
        <w:ind w:left="960" w:hanging="960" w:hangingChars="400"/>
        <w:rPr>
          <w:rFonts w:ascii="仿宋" w:hAnsi="仿宋" w:eastAsia="仿宋" w:cs="仿宋"/>
          <w:color w:val="auto"/>
          <w:sz w:val="24"/>
          <w:highlight w:val="none"/>
        </w:rPr>
      </w:pPr>
      <w:r>
        <w:rPr>
          <w:rFonts w:hint="eastAsia" w:ascii="仿宋" w:hAnsi="仿宋" w:eastAsia="仿宋" w:cs="仿宋"/>
          <w:color w:val="auto"/>
          <w:sz w:val="24"/>
          <w:highlight w:val="none"/>
        </w:rPr>
        <w:t>1.13.10 质疑人对采购人或采购代理机构的答复不满意或者采购人、采购代理机构未在规定时间内答复的，可以在答复期满后15个工作日内向同级政府采购监督管理部门提起投诉；</w:t>
      </w:r>
    </w:p>
    <w:p w14:paraId="2EED0025">
      <w:pPr>
        <w:spacing w:line="360" w:lineRule="auto"/>
        <w:ind w:left="960" w:hanging="960" w:hangingChars="400"/>
        <w:rPr>
          <w:rFonts w:ascii="仿宋" w:hAnsi="仿宋" w:eastAsia="仿宋" w:cs="仿宋"/>
          <w:color w:val="auto"/>
          <w:sz w:val="24"/>
          <w:highlight w:val="none"/>
        </w:rPr>
      </w:pPr>
      <w:r>
        <w:rPr>
          <w:rFonts w:hint="eastAsia" w:ascii="仿宋" w:hAnsi="仿宋" w:eastAsia="仿宋" w:cs="仿宋"/>
          <w:color w:val="auto"/>
          <w:sz w:val="24"/>
          <w:highlight w:val="none"/>
        </w:rPr>
        <w:t>1.13.11 同级政府采购监督管理部门：见供应商须知前附表（一）</w:t>
      </w:r>
    </w:p>
    <w:p w14:paraId="3D1812EA">
      <w:pPr>
        <w:spacing w:line="360" w:lineRule="auto"/>
        <w:ind w:left="960" w:hanging="960" w:hangingChars="400"/>
        <w:rPr>
          <w:rFonts w:ascii="仿宋" w:hAnsi="仿宋" w:eastAsia="仿宋" w:cs="仿宋"/>
          <w:color w:val="auto"/>
          <w:sz w:val="24"/>
          <w:highlight w:val="none"/>
        </w:rPr>
      </w:pPr>
      <w:r>
        <w:rPr>
          <w:rFonts w:hint="eastAsia" w:ascii="仿宋" w:hAnsi="仿宋" w:eastAsia="仿宋" w:cs="仿宋"/>
          <w:color w:val="auto"/>
          <w:sz w:val="24"/>
          <w:highlight w:val="none"/>
        </w:rPr>
        <w:t>1.13.12 质疑函、投诉书范本在浙江政府采购网（zfcg.czt.zj.gov.cn）-下载专区中下载。</w:t>
      </w:r>
    </w:p>
    <w:p w14:paraId="5855728C">
      <w:pPr>
        <w:pStyle w:val="30"/>
        <w:rPr>
          <w:rFonts w:ascii="仿宋" w:hAnsi="仿宋" w:eastAsia="仿宋" w:cs="仿宋"/>
          <w:color w:val="auto"/>
          <w:highlight w:val="none"/>
        </w:rPr>
      </w:pPr>
      <w:bookmarkStart w:id="174" w:name="_Toc32136"/>
      <w:bookmarkStart w:id="175" w:name="_Toc530551837"/>
      <w:bookmarkStart w:id="176" w:name="_Toc531358992"/>
      <w:r>
        <w:rPr>
          <w:rFonts w:hint="eastAsia" w:ascii="仿宋" w:hAnsi="仿宋" w:eastAsia="仿宋" w:cs="仿宋"/>
          <w:color w:val="auto"/>
          <w:highlight w:val="none"/>
        </w:rPr>
        <w:t>1.14    特别声明</w:t>
      </w:r>
      <w:bookmarkEnd w:id="174"/>
      <w:bookmarkEnd w:id="175"/>
      <w:bookmarkEnd w:id="176"/>
    </w:p>
    <w:p w14:paraId="064C511F">
      <w:pPr>
        <w:spacing w:line="360" w:lineRule="auto"/>
        <w:ind w:left="960" w:hanging="960" w:hanging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1.14.1   ▲单位负责人为同一人或者存在直接控股、管理关系的不同供应商，以及属于同一母公司或集团的不同供应商不得参加同一合同项下的政府采购活动；</w:t>
      </w:r>
    </w:p>
    <w:p w14:paraId="2B45FAFB">
      <w:pPr>
        <w:spacing w:line="360" w:lineRule="auto"/>
        <w:ind w:left="960" w:hanging="960" w:hanging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1.14.2   ▲为采购项目提供整体设计、规范编制或者项目管理、监理、检测等服务的供应商，不得再参加该采购项目的其他采购活动；</w:t>
      </w:r>
    </w:p>
    <w:p w14:paraId="4423B251">
      <w:pPr>
        <w:spacing w:line="360" w:lineRule="auto"/>
        <w:ind w:left="960" w:hanging="960" w:hanging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1.14.3  本项目排名第一的成交候选人未注册成为浙江省政府采购网“正式供应商”的，将会影响该项目合同备案及付款，由此造成的不利影响由供应商自行承担。</w:t>
      </w:r>
    </w:p>
    <w:p w14:paraId="597BB2CC">
      <w:pPr>
        <w:pStyle w:val="19"/>
        <w:spacing w:beforeLines="100" w:after="240" w:afterLines="100"/>
        <w:jc w:val="left"/>
        <w:outlineLvl w:val="1"/>
        <w:rPr>
          <w:rFonts w:ascii="仿宋" w:hAnsi="仿宋" w:eastAsia="仿宋" w:cs="仿宋"/>
          <w:color w:val="auto"/>
          <w:sz w:val="30"/>
          <w:szCs w:val="30"/>
          <w:highlight w:val="none"/>
        </w:rPr>
      </w:pPr>
      <w:bookmarkStart w:id="177" w:name="_Toc2388"/>
      <w:bookmarkStart w:id="178" w:name="_Toc530551838"/>
      <w:bookmarkStart w:id="179" w:name="_Toc493956034"/>
      <w:bookmarkStart w:id="180" w:name="_Toc531358993"/>
      <w:r>
        <w:rPr>
          <w:rFonts w:hint="eastAsia" w:ascii="仿宋" w:hAnsi="仿宋" w:eastAsia="仿宋" w:cs="仿宋"/>
          <w:color w:val="auto"/>
          <w:sz w:val="30"/>
          <w:szCs w:val="30"/>
          <w:highlight w:val="none"/>
        </w:rPr>
        <w:t>二    磋商文件</w:t>
      </w:r>
      <w:bookmarkEnd w:id="177"/>
      <w:bookmarkEnd w:id="178"/>
      <w:bookmarkEnd w:id="179"/>
      <w:bookmarkEnd w:id="180"/>
    </w:p>
    <w:p w14:paraId="6B9C9EAA">
      <w:pPr>
        <w:pStyle w:val="30"/>
        <w:rPr>
          <w:rFonts w:ascii="仿宋" w:hAnsi="仿宋" w:eastAsia="仿宋" w:cs="仿宋"/>
          <w:color w:val="auto"/>
          <w:highlight w:val="none"/>
        </w:rPr>
      </w:pPr>
      <w:bookmarkStart w:id="181" w:name="_Toc3452"/>
      <w:bookmarkStart w:id="182" w:name="_Toc530551839"/>
      <w:bookmarkStart w:id="183" w:name="_Toc531358994"/>
      <w:r>
        <w:rPr>
          <w:rFonts w:hint="eastAsia" w:ascii="仿宋" w:hAnsi="仿宋" w:eastAsia="仿宋" w:cs="仿宋"/>
          <w:color w:val="auto"/>
          <w:highlight w:val="none"/>
        </w:rPr>
        <w:t>2.1     磋商文件的组成</w:t>
      </w:r>
      <w:bookmarkEnd w:id="181"/>
      <w:bookmarkEnd w:id="182"/>
      <w:bookmarkEnd w:id="183"/>
    </w:p>
    <w:p w14:paraId="62DDE8A4">
      <w:pPr>
        <w:spacing w:line="360" w:lineRule="auto"/>
        <w:ind w:left="960" w:hanging="960" w:hanging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2.1.1   第一章  竞争性磋商采购公告（邀请）；</w:t>
      </w:r>
    </w:p>
    <w:p w14:paraId="0FB89955">
      <w:pPr>
        <w:spacing w:line="360" w:lineRule="auto"/>
        <w:ind w:left="960" w:hanging="960" w:hangingChars="400"/>
        <w:rPr>
          <w:rFonts w:ascii="仿宋" w:hAnsi="仿宋" w:eastAsia="仿宋" w:cs="仿宋"/>
          <w:color w:val="auto"/>
          <w:sz w:val="24"/>
          <w:szCs w:val="24"/>
          <w:highlight w:val="none"/>
        </w:rPr>
      </w:pPr>
      <w:bookmarkStart w:id="184" w:name="_Toc301187619"/>
      <w:r>
        <w:rPr>
          <w:rFonts w:hint="eastAsia" w:ascii="仿宋" w:hAnsi="仿宋" w:eastAsia="仿宋" w:cs="仿宋"/>
          <w:color w:val="auto"/>
          <w:sz w:val="24"/>
          <w:szCs w:val="24"/>
          <w:highlight w:val="none"/>
        </w:rPr>
        <w:t>2.1.2   第二章  采购需求</w:t>
      </w:r>
      <w:bookmarkEnd w:id="184"/>
      <w:r>
        <w:rPr>
          <w:rFonts w:hint="eastAsia" w:ascii="仿宋" w:hAnsi="仿宋" w:eastAsia="仿宋" w:cs="仿宋"/>
          <w:color w:val="auto"/>
          <w:sz w:val="24"/>
          <w:szCs w:val="24"/>
          <w:highlight w:val="none"/>
        </w:rPr>
        <w:t>；</w:t>
      </w:r>
    </w:p>
    <w:p w14:paraId="1BB01DCB">
      <w:pPr>
        <w:spacing w:line="360" w:lineRule="auto"/>
        <w:ind w:left="960" w:hanging="960" w:hangingChars="400"/>
        <w:rPr>
          <w:rFonts w:ascii="仿宋" w:hAnsi="仿宋" w:eastAsia="仿宋" w:cs="仿宋"/>
          <w:color w:val="auto"/>
          <w:sz w:val="24"/>
          <w:szCs w:val="24"/>
          <w:highlight w:val="none"/>
        </w:rPr>
      </w:pPr>
      <w:bookmarkStart w:id="185" w:name="_Toc301187620"/>
      <w:r>
        <w:rPr>
          <w:rFonts w:hint="eastAsia" w:ascii="仿宋" w:hAnsi="仿宋" w:eastAsia="仿宋" w:cs="仿宋"/>
          <w:color w:val="auto"/>
          <w:sz w:val="24"/>
          <w:szCs w:val="24"/>
          <w:highlight w:val="none"/>
        </w:rPr>
        <w:t>2.1.3   第三章  供应商须知</w:t>
      </w:r>
      <w:bookmarkEnd w:id="185"/>
      <w:r>
        <w:rPr>
          <w:rFonts w:hint="eastAsia" w:ascii="仿宋" w:hAnsi="仿宋" w:eastAsia="仿宋" w:cs="仿宋"/>
          <w:color w:val="auto"/>
          <w:sz w:val="24"/>
          <w:szCs w:val="24"/>
          <w:highlight w:val="none"/>
        </w:rPr>
        <w:t>；</w:t>
      </w:r>
    </w:p>
    <w:p w14:paraId="76102C10">
      <w:pPr>
        <w:spacing w:line="360" w:lineRule="auto"/>
        <w:ind w:left="960" w:hanging="960" w:hangingChars="400"/>
        <w:rPr>
          <w:rFonts w:ascii="仿宋" w:hAnsi="仿宋" w:eastAsia="仿宋" w:cs="仿宋"/>
          <w:color w:val="auto"/>
          <w:sz w:val="24"/>
          <w:szCs w:val="24"/>
          <w:highlight w:val="none"/>
        </w:rPr>
      </w:pPr>
      <w:bookmarkStart w:id="186" w:name="_Toc301187621"/>
      <w:r>
        <w:rPr>
          <w:rFonts w:hint="eastAsia" w:ascii="仿宋" w:hAnsi="仿宋" w:eastAsia="仿宋" w:cs="仿宋"/>
          <w:color w:val="auto"/>
          <w:sz w:val="24"/>
          <w:szCs w:val="24"/>
          <w:highlight w:val="none"/>
        </w:rPr>
        <w:t>2.1.4   第四章  政府采购合同格式（范本）；</w:t>
      </w:r>
    </w:p>
    <w:bookmarkEnd w:id="186"/>
    <w:p w14:paraId="7FD7ABDB">
      <w:pPr>
        <w:spacing w:line="360" w:lineRule="auto"/>
        <w:ind w:left="960" w:hanging="960" w:hanging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2.1.5   第五章  磋商响应文件格式；</w:t>
      </w:r>
    </w:p>
    <w:p w14:paraId="10E5D421">
      <w:pPr>
        <w:spacing w:line="360" w:lineRule="auto"/>
        <w:ind w:left="960" w:hanging="960" w:hangingChars="400"/>
        <w:rPr>
          <w:rFonts w:ascii="仿宋" w:hAnsi="仿宋" w:eastAsia="仿宋" w:cs="仿宋"/>
          <w:color w:val="auto"/>
          <w:sz w:val="24"/>
          <w:szCs w:val="24"/>
          <w:highlight w:val="none"/>
        </w:rPr>
      </w:pPr>
      <w:bookmarkStart w:id="187" w:name="_Toc301187623"/>
      <w:r>
        <w:rPr>
          <w:rFonts w:hint="eastAsia" w:ascii="仿宋" w:hAnsi="仿宋" w:eastAsia="仿宋" w:cs="仿宋"/>
          <w:color w:val="auto"/>
          <w:sz w:val="24"/>
          <w:szCs w:val="24"/>
          <w:highlight w:val="none"/>
        </w:rPr>
        <w:t>2.1.6   第六章  评审办法及标准</w:t>
      </w:r>
      <w:bookmarkEnd w:id="187"/>
      <w:r>
        <w:rPr>
          <w:rFonts w:hint="eastAsia" w:ascii="仿宋" w:hAnsi="仿宋" w:eastAsia="仿宋" w:cs="仿宋"/>
          <w:color w:val="auto"/>
          <w:sz w:val="24"/>
          <w:szCs w:val="24"/>
          <w:highlight w:val="none"/>
        </w:rPr>
        <w:t>；</w:t>
      </w:r>
    </w:p>
    <w:p w14:paraId="19C9CA94">
      <w:pPr>
        <w:spacing w:line="360" w:lineRule="auto"/>
        <w:ind w:left="960" w:hanging="960" w:hangingChars="400"/>
        <w:rPr>
          <w:rFonts w:ascii="仿宋" w:hAnsi="仿宋" w:eastAsia="仿宋" w:cs="仿宋"/>
          <w:color w:val="auto"/>
          <w:sz w:val="24"/>
          <w:szCs w:val="24"/>
          <w:highlight w:val="none"/>
        </w:rPr>
      </w:pPr>
      <w:bookmarkStart w:id="188" w:name="_Toc301187624"/>
      <w:r>
        <w:rPr>
          <w:rFonts w:hint="eastAsia" w:ascii="仿宋" w:hAnsi="仿宋" w:eastAsia="仿宋" w:cs="仿宋"/>
          <w:color w:val="auto"/>
          <w:sz w:val="24"/>
          <w:szCs w:val="24"/>
          <w:highlight w:val="none"/>
        </w:rPr>
        <w:t>2.1.7   本项目磋商文件的澄清、修改的内容</w:t>
      </w:r>
      <w:bookmarkEnd w:id="188"/>
      <w:r>
        <w:rPr>
          <w:rFonts w:hint="eastAsia" w:ascii="仿宋" w:hAnsi="仿宋" w:eastAsia="仿宋" w:cs="仿宋"/>
          <w:color w:val="auto"/>
          <w:sz w:val="24"/>
          <w:szCs w:val="24"/>
          <w:highlight w:val="none"/>
        </w:rPr>
        <w:t>。</w:t>
      </w:r>
    </w:p>
    <w:p w14:paraId="7C40910F">
      <w:pPr>
        <w:pStyle w:val="30"/>
        <w:rPr>
          <w:rFonts w:ascii="仿宋" w:hAnsi="仿宋" w:eastAsia="仿宋" w:cs="仿宋"/>
          <w:color w:val="auto"/>
          <w:highlight w:val="none"/>
        </w:rPr>
      </w:pPr>
      <w:bookmarkStart w:id="189" w:name="_Toc531358996"/>
      <w:bookmarkStart w:id="190" w:name="_Toc530551841"/>
      <w:bookmarkStart w:id="191" w:name="_Toc29649"/>
      <w:r>
        <w:rPr>
          <w:rFonts w:hint="eastAsia" w:ascii="仿宋" w:hAnsi="仿宋" w:eastAsia="仿宋" w:cs="仿宋"/>
          <w:color w:val="auto"/>
          <w:highlight w:val="none"/>
        </w:rPr>
        <w:t>2.2     磋商文件的澄清、修改</w:t>
      </w:r>
      <w:bookmarkEnd w:id="189"/>
      <w:bookmarkEnd w:id="190"/>
      <w:bookmarkEnd w:id="191"/>
    </w:p>
    <w:p w14:paraId="3B6987EC">
      <w:pPr>
        <w:spacing w:line="360" w:lineRule="auto"/>
        <w:ind w:left="960" w:hanging="960" w:hangingChars="400"/>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2.2.1   </w:t>
      </w:r>
      <w:r>
        <w:rPr>
          <w:rFonts w:hint="eastAsia" w:ascii="仿宋" w:hAnsi="仿宋" w:eastAsia="仿宋" w:cs="仿宋"/>
          <w:color w:val="auto"/>
          <w:sz w:val="24"/>
          <w:szCs w:val="24"/>
          <w:highlight w:val="none"/>
        </w:rPr>
        <w:t>供应商应仔细阅读和检查磋商文件的全部内容。发现其中有误或有不合理要求的，应当在磋商文件的澄清、修改截止时间前以书面形式要求采购人或采购代理机构对磋商文件予以澄清、修改；</w:t>
      </w:r>
    </w:p>
    <w:p w14:paraId="0C9F98F0">
      <w:pPr>
        <w:spacing w:line="360" w:lineRule="auto"/>
        <w:ind w:left="960" w:hanging="960" w:hangingChars="400"/>
        <w:rPr>
          <w:rFonts w:ascii="仿宋" w:hAnsi="仿宋" w:eastAsia="仿宋" w:cs="仿宋"/>
          <w:color w:val="auto"/>
          <w:sz w:val="24"/>
          <w:highlight w:val="none"/>
        </w:rPr>
      </w:pPr>
      <w:r>
        <w:rPr>
          <w:rFonts w:hint="eastAsia" w:ascii="仿宋" w:hAnsi="仿宋" w:eastAsia="仿宋" w:cs="仿宋"/>
          <w:bCs/>
          <w:color w:val="auto"/>
          <w:sz w:val="24"/>
          <w:highlight w:val="none"/>
        </w:rPr>
        <w:t>2.2.2   澄清或修改内容可能影响磋商响应文件编制的，采购代理机构</w:t>
      </w:r>
      <w:r>
        <w:rPr>
          <w:rFonts w:hint="eastAsia" w:ascii="仿宋" w:hAnsi="仿宋" w:eastAsia="仿宋" w:cs="仿宋"/>
          <w:color w:val="auto"/>
          <w:sz w:val="24"/>
          <w:highlight w:val="none"/>
        </w:rPr>
        <w:t>在</w:t>
      </w:r>
      <w:r>
        <w:rPr>
          <w:rFonts w:hint="eastAsia" w:ascii="仿宋" w:hAnsi="仿宋" w:eastAsia="仿宋" w:cs="仿宋"/>
          <w:color w:val="auto"/>
          <w:sz w:val="24"/>
          <w:szCs w:val="24"/>
          <w:highlight w:val="none"/>
        </w:rPr>
        <w:t>响应文件提交</w:t>
      </w:r>
      <w:r>
        <w:rPr>
          <w:rFonts w:hint="eastAsia" w:ascii="仿宋" w:hAnsi="仿宋" w:eastAsia="仿宋" w:cs="仿宋"/>
          <w:bCs/>
          <w:color w:val="auto"/>
          <w:sz w:val="24"/>
          <w:szCs w:val="24"/>
          <w:highlight w:val="none"/>
        </w:rPr>
        <w:t>截止时间</w:t>
      </w:r>
      <w:r>
        <w:rPr>
          <w:rFonts w:hint="eastAsia" w:ascii="仿宋" w:hAnsi="仿宋" w:eastAsia="仿宋" w:cs="仿宋"/>
          <w:color w:val="auto"/>
          <w:sz w:val="24"/>
          <w:highlight w:val="none"/>
        </w:rPr>
        <w:t>5日前，将以发布更正公告的形式通知各潜在的供应商。不足5日的，采购代理机构有权顺延</w:t>
      </w:r>
      <w:r>
        <w:rPr>
          <w:rFonts w:hint="eastAsia" w:ascii="仿宋" w:hAnsi="仿宋" w:eastAsia="仿宋" w:cs="仿宋"/>
          <w:color w:val="auto"/>
          <w:sz w:val="24"/>
          <w:szCs w:val="24"/>
          <w:highlight w:val="none"/>
        </w:rPr>
        <w:t>响应文件提交</w:t>
      </w:r>
      <w:r>
        <w:rPr>
          <w:rFonts w:hint="eastAsia" w:ascii="仿宋" w:hAnsi="仿宋" w:eastAsia="仿宋" w:cs="仿宋"/>
          <w:bCs/>
          <w:color w:val="auto"/>
          <w:sz w:val="24"/>
          <w:szCs w:val="24"/>
          <w:highlight w:val="none"/>
        </w:rPr>
        <w:t>截止时间</w:t>
      </w:r>
      <w:r>
        <w:rPr>
          <w:rFonts w:hint="eastAsia" w:ascii="仿宋" w:hAnsi="仿宋" w:eastAsia="仿宋" w:cs="仿宋"/>
          <w:color w:val="auto"/>
          <w:sz w:val="24"/>
          <w:highlight w:val="none"/>
        </w:rPr>
        <w:t>；</w:t>
      </w:r>
    </w:p>
    <w:p w14:paraId="2EE16F06">
      <w:pPr>
        <w:spacing w:line="360" w:lineRule="auto"/>
        <w:ind w:left="960" w:hanging="960" w:hanging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2.2.3   响应文件提交</w:t>
      </w:r>
      <w:r>
        <w:rPr>
          <w:rFonts w:hint="eastAsia" w:ascii="仿宋" w:hAnsi="仿宋" w:eastAsia="仿宋" w:cs="仿宋"/>
          <w:bCs/>
          <w:color w:val="auto"/>
          <w:sz w:val="24"/>
          <w:szCs w:val="24"/>
          <w:highlight w:val="none"/>
        </w:rPr>
        <w:t>截止时间</w:t>
      </w:r>
      <w:r>
        <w:rPr>
          <w:rFonts w:hint="eastAsia" w:ascii="仿宋" w:hAnsi="仿宋" w:eastAsia="仿宋" w:cs="仿宋"/>
          <w:color w:val="auto"/>
          <w:sz w:val="24"/>
          <w:szCs w:val="24"/>
          <w:highlight w:val="none"/>
        </w:rPr>
        <w:t>前，采购代理机构可以对发出的磋商文件进行必要的澄清或修改，澄清或修改后的补充文件，作为磋商文件的组成部分，对各供应商起同等约束作用；</w:t>
      </w:r>
    </w:p>
    <w:p w14:paraId="2A2DAF6F">
      <w:pPr>
        <w:spacing w:line="360" w:lineRule="auto"/>
        <w:ind w:left="960" w:hanging="960" w:hanging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2.2.4   澄清、修改等更正内容发布网址：见供应商须知前附表（一）；</w:t>
      </w:r>
    </w:p>
    <w:p w14:paraId="23DA00BB">
      <w:pPr>
        <w:spacing w:line="360" w:lineRule="auto"/>
        <w:ind w:left="960" w:hanging="960" w:hangingChars="400"/>
        <w:rPr>
          <w:rFonts w:ascii="仿宋" w:hAnsi="仿宋" w:eastAsia="仿宋" w:cs="仿宋"/>
          <w:color w:val="auto"/>
          <w:sz w:val="24"/>
          <w:highlight w:val="none"/>
        </w:rPr>
      </w:pPr>
      <w:r>
        <w:rPr>
          <w:rFonts w:hint="eastAsia" w:ascii="仿宋" w:hAnsi="仿宋" w:eastAsia="仿宋" w:cs="仿宋"/>
          <w:color w:val="auto"/>
          <w:sz w:val="24"/>
          <w:highlight w:val="none"/>
        </w:rPr>
        <w:t>2.2.5   当磋商文件与澄清或修改文件就同一内容的表述不一致时，以最后发出的澄清或修改文件为准。</w:t>
      </w:r>
    </w:p>
    <w:p w14:paraId="46E46ACB">
      <w:pPr>
        <w:pStyle w:val="19"/>
        <w:spacing w:beforeLines="100" w:after="240" w:afterLines="100"/>
        <w:jc w:val="left"/>
        <w:outlineLvl w:val="1"/>
        <w:rPr>
          <w:rFonts w:ascii="仿宋" w:hAnsi="仿宋" w:eastAsia="仿宋" w:cs="仿宋"/>
          <w:color w:val="auto"/>
          <w:sz w:val="30"/>
          <w:szCs w:val="30"/>
          <w:highlight w:val="none"/>
        </w:rPr>
      </w:pPr>
      <w:bookmarkStart w:id="192" w:name="_Toc531358997"/>
      <w:bookmarkStart w:id="193" w:name="_Toc27674"/>
      <w:bookmarkStart w:id="194" w:name="_Toc530551842"/>
      <w:r>
        <w:rPr>
          <w:rFonts w:hint="eastAsia" w:ascii="仿宋" w:hAnsi="仿宋" w:eastAsia="仿宋" w:cs="仿宋"/>
          <w:color w:val="auto"/>
          <w:sz w:val="30"/>
          <w:szCs w:val="30"/>
          <w:highlight w:val="none"/>
        </w:rPr>
        <w:t>三    磋商响应文件</w:t>
      </w:r>
      <w:bookmarkEnd w:id="192"/>
      <w:bookmarkEnd w:id="193"/>
      <w:bookmarkEnd w:id="194"/>
    </w:p>
    <w:p w14:paraId="6D3730ED">
      <w:pPr>
        <w:pStyle w:val="30"/>
        <w:rPr>
          <w:rFonts w:ascii="仿宋" w:hAnsi="仿宋" w:eastAsia="仿宋" w:cs="仿宋"/>
          <w:color w:val="auto"/>
          <w:highlight w:val="none"/>
        </w:rPr>
      </w:pPr>
      <w:bookmarkStart w:id="195" w:name="_Toc34895545"/>
      <w:bookmarkStart w:id="196" w:name="_Toc13907"/>
      <w:r>
        <w:rPr>
          <w:rFonts w:hint="eastAsia" w:ascii="仿宋" w:hAnsi="仿宋" w:eastAsia="仿宋" w:cs="仿宋"/>
          <w:color w:val="auto"/>
          <w:highlight w:val="none"/>
        </w:rPr>
        <w:t xml:space="preserve">3.1   </w:t>
      </w:r>
      <w:bookmarkStart w:id="197" w:name="_Toc18592302"/>
      <w:r>
        <w:rPr>
          <w:rFonts w:hint="eastAsia" w:ascii="仿宋" w:hAnsi="仿宋" w:eastAsia="仿宋" w:cs="仿宋"/>
          <w:color w:val="auto"/>
          <w:highlight w:val="none"/>
        </w:rPr>
        <w:t xml:space="preserve">  磋商响应文件的形式和效力</w:t>
      </w:r>
      <w:bookmarkEnd w:id="195"/>
      <w:bookmarkEnd w:id="196"/>
      <w:bookmarkEnd w:id="197"/>
    </w:p>
    <w:p w14:paraId="6E3847F9">
      <w:pPr>
        <w:spacing w:line="360" w:lineRule="auto"/>
        <w:ind w:left="960" w:hanging="960" w:hanging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3.1.1   磋商响应文件形式：电子磋商响应文件（包括“电子加密磋商响应文件”和“备份磋商响应文件”，“电子加密磋商响应文件”和“备份磋商响应文件”在磋商响应文件编制完成后同时生成）。</w:t>
      </w:r>
    </w:p>
    <w:p w14:paraId="16C80680">
      <w:pPr>
        <w:spacing w:line="360" w:lineRule="auto"/>
        <w:ind w:left="960" w:hanging="960" w:hangingChars="4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3.1.2   磋商响应文件的效力：“电子加密磋商响应文件”和“备份磋商响应文件”具有同等效力，数据电文内容应完全一致。</w:t>
      </w:r>
    </w:p>
    <w:p w14:paraId="23C9E8E9">
      <w:pPr>
        <w:spacing w:line="360" w:lineRule="auto"/>
        <w:ind w:left="960" w:hanging="960" w:hanging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3.1.3   ▲电子加密磋商响应文件按时解密成功的，备份磋商响应文件自动失效；电子加密磋商响应文件解密失败，按采购文件规定提交备份磋商响应文件且有效的，以备份磋商响应文件为准；电子加密磋商响应文件解密失败，又未提交备份磋商响应文件，视同放弃投标。</w:t>
      </w:r>
    </w:p>
    <w:p w14:paraId="6D2E998F">
      <w:pPr>
        <w:pStyle w:val="30"/>
        <w:rPr>
          <w:rFonts w:ascii="仿宋" w:hAnsi="仿宋" w:eastAsia="仿宋" w:cs="仿宋"/>
          <w:color w:val="auto"/>
          <w:highlight w:val="none"/>
        </w:rPr>
      </w:pPr>
      <w:bookmarkStart w:id="198" w:name="_Toc24469"/>
      <w:bookmarkStart w:id="199" w:name="_Toc531358998"/>
      <w:bookmarkStart w:id="200" w:name="_Toc530551843"/>
      <w:r>
        <w:rPr>
          <w:rFonts w:hint="eastAsia" w:ascii="仿宋" w:hAnsi="仿宋" w:eastAsia="仿宋" w:cs="仿宋"/>
          <w:color w:val="auto"/>
          <w:highlight w:val="none"/>
        </w:rPr>
        <w:t>3.2     在线磋商响应（电子投标）说明</w:t>
      </w:r>
      <w:bookmarkEnd w:id="198"/>
    </w:p>
    <w:p w14:paraId="195FCDFF">
      <w:pPr>
        <w:wordWrap w:val="0"/>
        <w:spacing w:line="360" w:lineRule="auto"/>
        <w:ind w:left="960" w:hanging="960" w:hanging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3.2.1   本项目通过政府采购云平台实行电子磋商，应按照本项目磋商文件和政府采购云平台的要求编制；供应商在使用系统进行磋商的过程中遇到涉及平台使用的任何问题，可致电政府采购云平台技术支持热线咨询，联系方式：95763。</w:t>
      </w:r>
    </w:p>
    <w:p w14:paraId="1984A2D1">
      <w:pPr>
        <w:wordWrap w:val="0"/>
        <w:spacing w:line="360" w:lineRule="auto"/>
        <w:ind w:left="960" w:hanging="960" w:hanging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3.2.2   标前准备：各供应商应在开标前确保成为浙江省政府采购网正式注册入库供应商，并完成CA数字证书办理（办理流程详见电子投标工具链接：</w:t>
      </w:r>
      <w:r>
        <w:rPr>
          <w:color w:val="auto"/>
          <w:highlight w:val="none"/>
        </w:rPr>
        <w:fldChar w:fldCharType="begin"/>
      </w:r>
      <w:r>
        <w:rPr>
          <w:color w:val="auto"/>
          <w:highlight w:val="none"/>
        </w:rPr>
        <w:instrText xml:space="preserve"> HYPERLINK "http://zfcg.czt.zj.gov.cn/bidClientTemplate/2019-05-27/12945.html" </w:instrText>
      </w:r>
      <w:r>
        <w:rPr>
          <w:color w:val="auto"/>
          <w:highlight w:val="none"/>
        </w:rPr>
        <w:fldChar w:fldCharType="separate"/>
      </w:r>
      <w:r>
        <w:rPr>
          <w:rFonts w:hint="eastAsia" w:ascii="仿宋" w:hAnsi="仿宋" w:eastAsia="仿宋" w:cs="仿宋"/>
          <w:color w:val="auto"/>
          <w:sz w:val="24"/>
          <w:szCs w:val="24"/>
          <w:highlight w:val="none"/>
        </w:rPr>
        <w:t>http://zfcg.czt.zj.gov.cn/bidClientTemplate/2019-05-27/12945.html</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）。因未注册入库、未办理CA数字证书等原因造成无法磋商或磋商失败等后果由供应商自行承担。</w:t>
      </w:r>
    </w:p>
    <w:p w14:paraId="68683F0B">
      <w:pPr>
        <w:wordWrap w:val="0"/>
        <w:spacing w:line="360" w:lineRule="auto"/>
        <w:ind w:left="960" w:hanging="960" w:hanging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3.2.3   磋商响应文件制作：供应商通过政府采购云平台电子投标工具制作磋商响应文件，电子投标工具请供应商自行前往浙江省政府采购网下载并安装（下载网址：http://</w:t>
      </w:r>
      <w:r>
        <w:rPr>
          <w:color w:val="auto"/>
          <w:highlight w:val="none"/>
        </w:rPr>
        <w:fldChar w:fldCharType="begin"/>
      </w:r>
      <w:r>
        <w:rPr>
          <w:color w:val="auto"/>
          <w:highlight w:val="none"/>
        </w:rPr>
        <w:instrText xml:space="preserve"> HYPERLINK "http://zfcg.czt.zj.gov.cn/bidClientTemplate/2019-09-24/12975.html/" </w:instrText>
      </w:r>
      <w:r>
        <w:rPr>
          <w:color w:val="auto"/>
          <w:highlight w:val="none"/>
        </w:rPr>
        <w:fldChar w:fldCharType="separate"/>
      </w:r>
      <w:r>
        <w:rPr>
          <w:rFonts w:hint="eastAsia" w:ascii="仿宋" w:hAnsi="仿宋" w:eastAsia="仿宋" w:cs="仿宋"/>
          <w:color w:val="auto"/>
          <w:sz w:val="24"/>
          <w:szCs w:val="24"/>
          <w:highlight w:val="none"/>
        </w:rPr>
        <w:t>zfcg.czt.zj.gov.cn/bidClientTemplate/2019-09-24/12975.html</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），电子投标具体流程文档详见网址：</w:t>
      </w:r>
      <w:r>
        <w:rPr>
          <w:color w:val="auto"/>
          <w:highlight w:val="none"/>
        </w:rPr>
        <w:fldChar w:fldCharType="begin"/>
      </w:r>
      <w:r>
        <w:rPr>
          <w:color w:val="auto"/>
          <w:highlight w:val="none"/>
        </w:rPr>
        <w:instrText xml:space="preserve"> HYPERLINK "https://service.zcygov.cn/" \l "/knowledges/CW1EtGwBFdiHxlNd6I3m/6IMVAG0BFdiHxlNdQ8Na" </w:instrText>
      </w:r>
      <w:r>
        <w:rPr>
          <w:color w:val="auto"/>
          <w:highlight w:val="none"/>
        </w:rPr>
        <w:fldChar w:fldCharType="separate"/>
      </w:r>
      <w:r>
        <w:rPr>
          <w:rFonts w:hint="eastAsia" w:ascii="仿宋" w:hAnsi="仿宋" w:eastAsia="仿宋" w:cs="仿宋"/>
          <w:color w:val="auto"/>
          <w:sz w:val="24"/>
          <w:szCs w:val="24"/>
          <w:highlight w:val="none"/>
        </w:rPr>
        <w:t>https://se</w:t>
      </w:r>
      <w:bookmarkStart w:id="201" w:name="_Hlt34897594"/>
      <w:r>
        <w:rPr>
          <w:rFonts w:hint="eastAsia" w:ascii="仿宋" w:hAnsi="仿宋" w:eastAsia="仿宋" w:cs="仿宋"/>
          <w:color w:val="auto"/>
          <w:sz w:val="24"/>
          <w:szCs w:val="24"/>
          <w:highlight w:val="none"/>
        </w:rPr>
        <w:t>r</w:t>
      </w:r>
      <w:bookmarkEnd w:id="201"/>
      <w:r>
        <w:rPr>
          <w:rFonts w:hint="eastAsia" w:ascii="仿宋" w:hAnsi="仿宋" w:eastAsia="仿宋" w:cs="仿宋"/>
          <w:color w:val="auto"/>
          <w:sz w:val="24"/>
          <w:szCs w:val="24"/>
          <w:highlight w:val="none"/>
        </w:rPr>
        <w:t>vice.zcygov.cn/#/knowledges/CW1EtGwBFdiHxlNd6I3m/6IMVAG0BFdiHxlNdQ8Na</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w:t>
      </w:r>
    </w:p>
    <w:p w14:paraId="701FFDD1">
      <w:pPr>
        <w:wordWrap w:val="0"/>
        <w:spacing w:line="360" w:lineRule="auto"/>
        <w:ind w:left="960" w:hanging="960" w:hanging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3.2.4   本项目通过政府采购云平台进行开标、资格审查、评审、询标，供应商均应当准时在线参加，否则产生的风险由供应商自行承担（供应商务必不要离开电脑太久，并留意手机短信，建议供应商提前做好检查“政府采购云平台”内，关于“项目采购”的岗位权限是否勾选。如有问题，请致电95763）。</w:t>
      </w:r>
    </w:p>
    <w:p w14:paraId="17E9D5E1">
      <w:pPr>
        <w:pStyle w:val="30"/>
        <w:rPr>
          <w:rFonts w:ascii="仿宋" w:hAnsi="仿宋" w:eastAsia="仿宋" w:cs="仿宋"/>
          <w:color w:val="auto"/>
          <w:highlight w:val="none"/>
        </w:rPr>
      </w:pPr>
      <w:bookmarkStart w:id="202" w:name="_Toc10363"/>
      <w:r>
        <w:rPr>
          <w:rFonts w:hint="eastAsia" w:ascii="仿宋" w:hAnsi="仿宋" w:eastAsia="仿宋" w:cs="仿宋"/>
          <w:color w:val="auto"/>
          <w:highlight w:val="none"/>
        </w:rPr>
        <w:t>3.3     磋商响应文件组成</w:t>
      </w:r>
      <w:bookmarkEnd w:id="199"/>
      <w:bookmarkEnd w:id="200"/>
      <w:bookmarkEnd w:id="202"/>
    </w:p>
    <w:p w14:paraId="52D90240">
      <w:pPr>
        <w:spacing w:line="360" w:lineRule="auto"/>
        <w:ind w:left="840" w:leftChars="400" w:firstLine="120" w:firstLineChars="50"/>
        <w:rPr>
          <w:rFonts w:ascii="仿宋" w:hAnsi="仿宋" w:eastAsia="仿宋" w:cs="仿宋"/>
          <w:color w:val="auto"/>
          <w:sz w:val="24"/>
          <w:highlight w:val="none"/>
        </w:rPr>
      </w:pPr>
      <w:r>
        <w:rPr>
          <w:rFonts w:hint="eastAsia" w:ascii="仿宋" w:hAnsi="仿宋" w:eastAsia="仿宋" w:cs="仿宋"/>
          <w:color w:val="auto"/>
          <w:sz w:val="24"/>
          <w:highlight w:val="none"/>
        </w:rPr>
        <w:t>磋商响应文件由资格审查文件、资信商务及技术文件、报价文件三部分组成。</w:t>
      </w:r>
    </w:p>
    <w:p w14:paraId="3FCB3D0A">
      <w:pPr>
        <w:pStyle w:val="30"/>
        <w:rPr>
          <w:rFonts w:ascii="仿宋" w:hAnsi="仿宋" w:eastAsia="仿宋" w:cs="仿宋"/>
          <w:color w:val="auto"/>
          <w:highlight w:val="none"/>
        </w:rPr>
      </w:pPr>
      <w:bookmarkStart w:id="203" w:name="_Toc530551844"/>
      <w:bookmarkStart w:id="204" w:name="_Toc10871"/>
      <w:bookmarkStart w:id="205" w:name="_Toc531358999"/>
      <w:r>
        <w:rPr>
          <w:rFonts w:hint="eastAsia" w:ascii="仿宋" w:hAnsi="仿宋" w:eastAsia="仿宋" w:cs="仿宋"/>
          <w:color w:val="auto"/>
          <w:highlight w:val="none"/>
        </w:rPr>
        <w:t>3.4     资格审查文件的组成</w:t>
      </w:r>
      <w:bookmarkEnd w:id="203"/>
      <w:bookmarkEnd w:id="204"/>
      <w:bookmarkEnd w:id="205"/>
    </w:p>
    <w:p w14:paraId="0DBB0B3F">
      <w:pPr>
        <w:spacing w:line="360" w:lineRule="auto"/>
        <w:ind w:left="840" w:leftChars="400" w:firstLine="120" w:firstLineChars="50"/>
        <w:rPr>
          <w:rFonts w:ascii="仿宋" w:hAnsi="仿宋" w:eastAsia="仿宋" w:cs="仿宋"/>
          <w:color w:val="auto"/>
          <w:sz w:val="24"/>
          <w:highlight w:val="none"/>
        </w:rPr>
      </w:pPr>
      <w:r>
        <w:rPr>
          <w:rFonts w:hint="eastAsia" w:ascii="仿宋" w:hAnsi="仿宋" w:eastAsia="仿宋" w:cs="仿宋"/>
          <w:color w:val="auto"/>
          <w:sz w:val="24"/>
          <w:highlight w:val="none"/>
        </w:rPr>
        <w:t>资格审查文件的组成：见供应商须知前附表（一）。</w:t>
      </w:r>
    </w:p>
    <w:p w14:paraId="41A00674">
      <w:pPr>
        <w:pStyle w:val="30"/>
        <w:rPr>
          <w:rFonts w:ascii="仿宋" w:hAnsi="仿宋" w:eastAsia="仿宋" w:cs="仿宋"/>
          <w:color w:val="auto"/>
          <w:highlight w:val="none"/>
        </w:rPr>
      </w:pPr>
      <w:bookmarkStart w:id="206" w:name="_Toc531359000"/>
      <w:bookmarkStart w:id="207" w:name="_Toc20070"/>
      <w:bookmarkStart w:id="208" w:name="_Toc530551845"/>
      <w:r>
        <w:rPr>
          <w:rFonts w:hint="eastAsia" w:ascii="仿宋" w:hAnsi="仿宋" w:eastAsia="仿宋" w:cs="仿宋"/>
          <w:color w:val="auto"/>
          <w:highlight w:val="none"/>
        </w:rPr>
        <w:t>3.5     资信商务及技术文件的组成</w:t>
      </w:r>
      <w:bookmarkEnd w:id="206"/>
      <w:bookmarkEnd w:id="207"/>
      <w:bookmarkEnd w:id="208"/>
    </w:p>
    <w:p w14:paraId="4839404A">
      <w:pPr>
        <w:spacing w:line="360" w:lineRule="auto"/>
        <w:ind w:left="840" w:leftChars="400" w:firstLine="120" w:firstLineChars="50"/>
        <w:rPr>
          <w:rFonts w:ascii="仿宋" w:hAnsi="仿宋" w:eastAsia="仿宋" w:cs="仿宋"/>
          <w:color w:val="auto"/>
          <w:sz w:val="24"/>
          <w:highlight w:val="none"/>
        </w:rPr>
      </w:pPr>
      <w:r>
        <w:rPr>
          <w:rFonts w:hint="eastAsia" w:ascii="仿宋" w:hAnsi="仿宋" w:eastAsia="仿宋" w:cs="仿宋"/>
          <w:color w:val="auto"/>
          <w:sz w:val="24"/>
          <w:highlight w:val="none"/>
        </w:rPr>
        <w:t>资信商务及技术文件的组成：见供应商须知前附表（一）。</w:t>
      </w:r>
    </w:p>
    <w:p w14:paraId="72656601">
      <w:pPr>
        <w:pStyle w:val="30"/>
        <w:rPr>
          <w:rFonts w:ascii="仿宋" w:hAnsi="仿宋" w:eastAsia="仿宋" w:cs="仿宋"/>
          <w:color w:val="auto"/>
          <w:highlight w:val="none"/>
        </w:rPr>
      </w:pPr>
      <w:bookmarkStart w:id="209" w:name="_Toc531359001"/>
      <w:bookmarkStart w:id="210" w:name="_Toc25889"/>
      <w:bookmarkStart w:id="211" w:name="_Toc530551846"/>
      <w:r>
        <w:rPr>
          <w:rFonts w:hint="eastAsia" w:ascii="仿宋" w:hAnsi="仿宋" w:eastAsia="仿宋" w:cs="仿宋"/>
          <w:color w:val="auto"/>
          <w:highlight w:val="none"/>
        </w:rPr>
        <w:t>3.6     报价文件的组成</w:t>
      </w:r>
      <w:bookmarkEnd w:id="209"/>
      <w:bookmarkEnd w:id="210"/>
      <w:bookmarkEnd w:id="211"/>
    </w:p>
    <w:p w14:paraId="1B0D0171">
      <w:pPr>
        <w:spacing w:line="360" w:lineRule="auto"/>
        <w:ind w:left="840" w:leftChars="400" w:firstLine="120" w:firstLineChars="50"/>
        <w:rPr>
          <w:rFonts w:ascii="仿宋" w:hAnsi="仿宋" w:eastAsia="仿宋" w:cs="仿宋"/>
          <w:color w:val="auto"/>
          <w:sz w:val="24"/>
          <w:highlight w:val="none"/>
        </w:rPr>
      </w:pPr>
      <w:r>
        <w:rPr>
          <w:rFonts w:hint="eastAsia" w:ascii="仿宋" w:hAnsi="仿宋" w:eastAsia="仿宋" w:cs="仿宋"/>
          <w:color w:val="auto"/>
          <w:sz w:val="24"/>
          <w:highlight w:val="none"/>
        </w:rPr>
        <w:t>报价文件的组成：见供应商须知前附表（一）。</w:t>
      </w:r>
    </w:p>
    <w:p w14:paraId="184200BA">
      <w:pPr>
        <w:pStyle w:val="19"/>
        <w:spacing w:beforeLines="100" w:after="240" w:afterLines="100"/>
        <w:jc w:val="left"/>
        <w:outlineLvl w:val="1"/>
        <w:rPr>
          <w:rFonts w:ascii="仿宋" w:hAnsi="仿宋" w:eastAsia="仿宋" w:cs="仿宋"/>
          <w:color w:val="auto"/>
          <w:sz w:val="30"/>
          <w:szCs w:val="30"/>
          <w:highlight w:val="none"/>
        </w:rPr>
      </w:pPr>
      <w:bookmarkStart w:id="212" w:name="_Toc531359002"/>
      <w:bookmarkStart w:id="213" w:name="_Toc22726"/>
      <w:bookmarkStart w:id="214" w:name="_Toc530551847"/>
      <w:r>
        <w:rPr>
          <w:rFonts w:hint="eastAsia" w:ascii="仿宋" w:hAnsi="仿宋" w:eastAsia="仿宋" w:cs="仿宋"/>
          <w:color w:val="auto"/>
          <w:sz w:val="30"/>
          <w:szCs w:val="30"/>
          <w:highlight w:val="none"/>
        </w:rPr>
        <w:t>四    磋商响应文件的编制</w:t>
      </w:r>
      <w:bookmarkEnd w:id="212"/>
      <w:bookmarkEnd w:id="213"/>
      <w:bookmarkEnd w:id="214"/>
    </w:p>
    <w:p w14:paraId="3BC24CC7">
      <w:pPr>
        <w:pStyle w:val="30"/>
        <w:rPr>
          <w:rFonts w:ascii="仿宋" w:hAnsi="仿宋" w:eastAsia="仿宋" w:cs="仿宋"/>
          <w:color w:val="auto"/>
          <w:highlight w:val="none"/>
        </w:rPr>
      </w:pPr>
      <w:bookmarkStart w:id="215" w:name="_Toc22538"/>
      <w:bookmarkStart w:id="216" w:name="_Toc530551849"/>
      <w:bookmarkStart w:id="217" w:name="_Toc531359004"/>
      <w:r>
        <w:rPr>
          <w:rFonts w:hint="eastAsia" w:ascii="仿宋" w:hAnsi="仿宋" w:eastAsia="仿宋" w:cs="仿宋"/>
          <w:color w:val="auto"/>
          <w:highlight w:val="none"/>
        </w:rPr>
        <w:t>4.1     磋商响应文件编制</w:t>
      </w:r>
      <w:bookmarkEnd w:id="215"/>
      <w:bookmarkEnd w:id="216"/>
      <w:bookmarkEnd w:id="217"/>
    </w:p>
    <w:p w14:paraId="25F9748C">
      <w:pPr>
        <w:spacing w:line="360" w:lineRule="auto"/>
        <w:ind w:left="960" w:hanging="960" w:hangingChars="400"/>
        <w:rPr>
          <w:rFonts w:ascii="仿宋" w:hAnsi="仿宋" w:eastAsia="仿宋" w:cs="仿宋"/>
          <w:color w:val="auto"/>
          <w:sz w:val="24"/>
          <w:highlight w:val="none"/>
        </w:rPr>
      </w:pPr>
      <w:r>
        <w:rPr>
          <w:rFonts w:hint="eastAsia" w:ascii="仿宋" w:hAnsi="仿宋" w:eastAsia="仿宋" w:cs="仿宋"/>
          <w:color w:val="auto"/>
          <w:sz w:val="24"/>
          <w:highlight w:val="none"/>
        </w:rPr>
        <w:t xml:space="preserve">4.1.1   </w:t>
      </w:r>
      <w:r>
        <w:rPr>
          <w:rFonts w:hint="eastAsia" w:ascii="仿宋" w:hAnsi="仿宋" w:eastAsia="仿宋" w:cs="仿宋"/>
          <w:color w:val="auto"/>
          <w:sz w:val="24"/>
          <w:highlight w:val="none"/>
        </w:rPr>
        <w:sym w:font="Wingdings 3" w:char="F070"/>
      </w:r>
      <w:r>
        <w:rPr>
          <w:rFonts w:hint="eastAsia" w:ascii="仿宋" w:hAnsi="仿宋" w:eastAsia="仿宋" w:cs="仿宋"/>
          <w:color w:val="auto"/>
          <w:sz w:val="24"/>
          <w:highlight w:val="none"/>
        </w:rPr>
        <w:t>本磋商文件中若有多标项的，若参与多标项磋商的，则按每个标项分别独立编制磋商响应文件；</w:t>
      </w:r>
    </w:p>
    <w:p w14:paraId="12BC47F1">
      <w:pPr>
        <w:wordWrap w:val="0"/>
        <w:spacing w:line="360" w:lineRule="auto"/>
        <w:ind w:left="960" w:hanging="960" w:hangingChars="400"/>
        <w:rPr>
          <w:rFonts w:ascii="仿宋" w:hAnsi="仿宋" w:eastAsia="仿宋" w:cs="仿宋"/>
          <w:color w:val="auto"/>
          <w:sz w:val="24"/>
          <w:highlight w:val="none"/>
        </w:rPr>
      </w:pPr>
      <w:r>
        <w:rPr>
          <w:rFonts w:hint="eastAsia" w:ascii="仿宋" w:hAnsi="仿宋" w:eastAsia="仿宋" w:cs="仿宋"/>
          <w:color w:val="auto"/>
          <w:sz w:val="24"/>
          <w:highlight w:val="none"/>
        </w:rPr>
        <w:t>4.1.2   电子磋商响应文件编制请按政府采购云平台供应商项目采购-电子招投标操作指南（网址：</w:t>
      </w:r>
      <w:r>
        <w:rPr>
          <w:color w:val="auto"/>
          <w:highlight w:val="none"/>
        </w:rPr>
        <w:fldChar w:fldCharType="begin"/>
      </w:r>
      <w:r>
        <w:rPr>
          <w:color w:val="auto"/>
          <w:highlight w:val="none"/>
        </w:rPr>
        <w:instrText xml:space="preserve"> HYPERLINK "https://service.zcygov.cn/" \l "/knowledges/CW1EtGwBFdiHxlNd6I3m/6IMVAG0BFdiHxlNdQ8Na" </w:instrText>
      </w:r>
      <w:r>
        <w:rPr>
          <w:color w:val="auto"/>
          <w:highlight w:val="none"/>
        </w:rPr>
        <w:fldChar w:fldCharType="separate"/>
      </w:r>
      <w:r>
        <w:rPr>
          <w:rStyle w:val="24"/>
          <w:rFonts w:hint="eastAsia" w:ascii="仿宋" w:hAnsi="仿宋" w:eastAsia="仿宋" w:cs="仿宋"/>
          <w:color w:val="auto"/>
          <w:sz w:val="24"/>
          <w:highlight w:val="none"/>
        </w:rPr>
        <w:t>https://service.zcygov.cn/#/knowledges/CW1EtGwBFdiHxlNd6I3m/6IMVAG0BFdiHxlNdQ8Na</w:t>
      </w:r>
      <w:r>
        <w:rPr>
          <w:rStyle w:val="24"/>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）和本磋商文件要求编制并进行关联定位。</w:t>
      </w:r>
    </w:p>
    <w:p w14:paraId="274AF837">
      <w:pPr>
        <w:spacing w:line="360" w:lineRule="auto"/>
        <w:ind w:left="960" w:hanging="960" w:hangingChars="400"/>
        <w:rPr>
          <w:rFonts w:ascii="仿宋" w:hAnsi="仿宋" w:eastAsia="仿宋" w:cs="仿宋"/>
          <w:color w:val="auto"/>
          <w:sz w:val="24"/>
          <w:highlight w:val="none"/>
        </w:rPr>
      </w:pPr>
      <w:r>
        <w:rPr>
          <w:rFonts w:hint="eastAsia" w:ascii="仿宋" w:hAnsi="仿宋" w:eastAsia="仿宋" w:cs="仿宋"/>
          <w:color w:val="auto"/>
          <w:sz w:val="24"/>
          <w:highlight w:val="none"/>
        </w:rPr>
        <w:t>4.1.3   供应商应按磋商文件的要求提供相关资料，并对磋商文件中提出的所有内容要求给予明确响应，须保证磋商响应文件的准确、真实、明确。磋商响应文件响应内容对磋商文件要求如有偏离均应填写偏离表，如不填写，磋商小组有权视作磋商响应文件不完全响应磋商文件要求；</w:t>
      </w:r>
    </w:p>
    <w:p w14:paraId="7A4496D7">
      <w:pPr>
        <w:spacing w:line="360" w:lineRule="auto"/>
        <w:ind w:left="960" w:hanging="960" w:hangingChars="400"/>
        <w:rPr>
          <w:rFonts w:ascii="仿宋" w:hAnsi="仿宋" w:eastAsia="仿宋" w:cs="仿宋"/>
          <w:color w:val="auto"/>
          <w:sz w:val="24"/>
          <w:highlight w:val="none"/>
        </w:rPr>
      </w:pPr>
      <w:r>
        <w:rPr>
          <w:rFonts w:hint="eastAsia" w:ascii="仿宋" w:hAnsi="仿宋" w:eastAsia="仿宋" w:cs="仿宋"/>
          <w:color w:val="auto"/>
          <w:sz w:val="24"/>
          <w:highlight w:val="none"/>
        </w:rPr>
        <w:t>4.1.4   磋商响应文件编制时应有正确的索引目录及连续页码标注；</w:t>
      </w:r>
    </w:p>
    <w:p w14:paraId="18EB8622">
      <w:pPr>
        <w:spacing w:line="360" w:lineRule="auto"/>
        <w:ind w:left="960" w:hanging="960" w:hangingChars="400"/>
        <w:rPr>
          <w:rFonts w:ascii="仿宋" w:hAnsi="仿宋" w:eastAsia="仿宋" w:cs="仿宋"/>
          <w:color w:val="auto"/>
          <w:sz w:val="24"/>
          <w:highlight w:val="none"/>
        </w:rPr>
      </w:pPr>
      <w:r>
        <w:rPr>
          <w:rFonts w:hint="eastAsia" w:ascii="仿宋" w:hAnsi="仿宋" w:eastAsia="仿宋" w:cs="仿宋"/>
          <w:color w:val="auto"/>
          <w:sz w:val="24"/>
          <w:highlight w:val="none"/>
        </w:rPr>
        <w:t>4.1.5   磋商响应文件须清晰可辨，因模糊不清所引起的后果由供应商自行负责。</w:t>
      </w:r>
    </w:p>
    <w:p w14:paraId="4B72D651">
      <w:pPr>
        <w:pStyle w:val="30"/>
        <w:rPr>
          <w:rFonts w:ascii="仿宋" w:hAnsi="仿宋" w:eastAsia="仿宋" w:cs="仿宋"/>
          <w:color w:val="auto"/>
          <w:highlight w:val="none"/>
        </w:rPr>
      </w:pPr>
      <w:bookmarkStart w:id="218" w:name="_Toc1687"/>
      <w:bookmarkStart w:id="219" w:name="_Toc531359005"/>
      <w:bookmarkStart w:id="220" w:name="_Toc530551850"/>
      <w:r>
        <w:rPr>
          <w:rFonts w:hint="eastAsia" w:ascii="仿宋" w:hAnsi="仿宋" w:eastAsia="仿宋" w:cs="仿宋"/>
          <w:color w:val="auto"/>
          <w:highlight w:val="none"/>
        </w:rPr>
        <w:t>4.2     磋商报价要求</w:t>
      </w:r>
      <w:bookmarkEnd w:id="218"/>
      <w:bookmarkEnd w:id="219"/>
      <w:bookmarkEnd w:id="220"/>
    </w:p>
    <w:p w14:paraId="334425EB">
      <w:pPr>
        <w:spacing w:line="360" w:lineRule="auto"/>
        <w:ind w:left="960" w:hanging="960" w:hangingChars="400"/>
        <w:rPr>
          <w:rFonts w:ascii="仿宋" w:hAnsi="仿宋" w:eastAsia="仿宋" w:cs="仿宋"/>
          <w:bCs/>
          <w:color w:val="auto"/>
          <w:sz w:val="24"/>
          <w:highlight w:val="none"/>
        </w:rPr>
      </w:pPr>
      <w:r>
        <w:rPr>
          <w:rFonts w:hint="eastAsia" w:ascii="仿宋" w:hAnsi="仿宋" w:eastAsia="仿宋" w:cs="仿宋"/>
          <w:color w:val="auto"/>
          <w:sz w:val="24"/>
          <w:highlight w:val="none"/>
        </w:rPr>
        <w:t xml:space="preserve">4.2.1   </w:t>
      </w: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rPr>
        <w:t>磋商报价是履行合同的最终价格，为</w:t>
      </w:r>
      <w:r>
        <w:rPr>
          <w:rFonts w:hint="eastAsia" w:ascii="仿宋" w:hAnsi="仿宋" w:eastAsia="仿宋" w:cs="仿宋"/>
          <w:bCs/>
          <w:color w:val="auto"/>
          <w:sz w:val="24"/>
          <w:highlight w:val="none"/>
        </w:rPr>
        <w:t>实施本项目所需的一切费用；</w:t>
      </w:r>
    </w:p>
    <w:p w14:paraId="373B30B4">
      <w:pPr>
        <w:spacing w:line="360" w:lineRule="auto"/>
        <w:ind w:left="960" w:hanging="960" w:hangingChars="400"/>
        <w:rPr>
          <w:rFonts w:ascii="仿宋" w:hAnsi="仿宋" w:eastAsia="仿宋" w:cs="仿宋"/>
          <w:color w:val="auto"/>
          <w:sz w:val="24"/>
          <w:highlight w:val="none"/>
        </w:rPr>
      </w:pPr>
      <w:r>
        <w:rPr>
          <w:rFonts w:hint="eastAsia" w:ascii="仿宋" w:hAnsi="仿宋" w:eastAsia="仿宋" w:cs="仿宋"/>
          <w:color w:val="auto"/>
          <w:sz w:val="24"/>
          <w:highlight w:val="none"/>
        </w:rPr>
        <w:t xml:space="preserve">4.2.2   </w:t>
      </w: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rPr>
        <w:t>每轮磋商只允许有一个报价，有选择的或有条件的报价将不予接受。</w:t>
      </w:r>
    </w:p>
    <w:p w14:paraId="4E2BCDF8">
      <w:pPr>
        <w:pStyle w:val="30"/>
        <w:rPr>
          <w:rFonts w:ascii="仿宋" w:hAnsi="仿宋" w:eastAsia="仿宋" w:cs="仿宋"/>
          <w:color w:val="auto"/>
          <w:highlight w:val="none"/>
        </w:rPr>
      </w:pPr>
      <w:bookmarkStart w:id="221" w:name="_Toc530551853"/>
      <w:bookmarkStart w:id="222" w:name="_Toc531359008"/>
      <w:bookmarkStart w:id="223" w:name="_Toc1298"/>
      <w:r>
        <w:rPr>
          <w:rFonts w:hint="eastAsia" w:ascii="仿宋" w:hAnsi="仿宋" w:eastAsia="仿宋" w:cs="仿宋"/>
          <w:color w:val="auto"/>
          <w:highlight w:val="none"/>
        </w:rPr>
        <w:t>4.3     磋商有效期</w:t>
      </w:r>
      <w:bookmarkEnd w:id="221"/>
      <w:bookmarkEnd w:id="222"/>
      <w:bookmarkEnd w:id="223"/>
    </w:p>
    <w:p w14:paraId="7B54B452">
      <w:pPr>
        <w:spacing w:line="360" w:lineRule="auto"/>
        <w:ind w:left="960" w:hanging="960" w:hangingChars="400"/>
        <w:rPr>
          <w:rFonts w:ascii="仿宋" w:hAnsi="仿宋" w:eastAsia="仿宋" w:cs="仿宋"/>
          <w:color w:val="auto"/>
          <w:sz w:val="24"/>
          <w:highlight w:val="none"/>
        </w:rPr>
      </w:pPr>
      <w:bookmarkStart w:id="224" w:name="_Toc301187640"/>
      <w:r>
        <w:rPr>
          <w:rFonts w:hint="eastAsia" w:ascii="仿宋" w:hAnsi="仿宋" w:eastAsia="仿宋" w:cs="仿宋"/>
          <w:color w:val="auto"/>
          <w:sz w:val="24"/>
          <w:highlight w:val="none"/>
        </w:rPr>
        <w:t xml:space="preserve">4.3.1   </w:t>
      </w:r>
      <w:r>
        <w:rPr>
          <w:rFonts w:hint="eastAsia" w:ascii="仿宋" w:hAnsi="仿宋" w:eastAsia="仿宋" w:cs="仿宋"/>
          <w:color w:val="auto"/>
          <w:sz w:val="24"/>
          <w:szCs w:val="24"/>
          <w:highlight w:val="none"/>
        </w:rPr>
        <w:t>▲磋商</w:t>
      </w:r>
      <w:r>
        <w:rPr>
          <w:rFonts w:hint="eastAsia" w:ascii="仿宋" w:hAnsi="仿宋" w:eastAsia="仿宋" w:cs="仿宋"/>
          <w:color w:val="auto"/>
          <w:sz w:val="24"/>
          <w:highlight w:val="none"/>
        </w:rPr>
        <w:t>有效期：见供应商须知前附表（一）。</w:t>
      </w:r>
      <w:r>
        <w:rPr>
          <w:rFonts w:hint="eastAsia" w:ascii="仿宋" w:hAnsi="仿宋" w:eastAsia="仿宋" w:cs="仿宋"/>
          <w:color w:val="auto"/>
          <w:sz w:val="24"/>
          <w:szCs w:val="24"/>
          <w:highlight w:val="none"/>
        </w:rPr>
        <w:t>磋商响应</w:t>
      </w:r>
      <w:r>
        <w:rPr>
          <w:rFonts w:hint="eastAsia" w:ascii="仿宋" w:hAnsi="仿宋" w:eastAsia="仿宋" w:cs="仿宋"/>
          <w:color w:val="auto"/>
          <w:sz w:val="24"/>
          <w:highlight w:val="none"/>
        </w:rPr>
        <w:t>有效期从提交磋商响应文件的截止之日起算。磋商响应文件中承诺的</w:t>
      </w:r>
      <w:r>
        <w:rPr>
          <w:rFonts w:hint="eastAsia" w:ascii="仿宋" w:hAnsi="仿宋" w:eastAsia="仿宋" w:cs="仿宋"/>
          <w:color w:val="auto"/>
          <w:sz w:val="24"/>
          <w:szCs w:val="24"/>
          <w:highlight w:val="none"/>
        </w:rPr>
        <w:t>磋商</w:t>
      </w:r>
      <w:r>
        <w:rPr>
          <w:rFonts w:hint="eastAsia" w:ascii="仿宋" w:hAnsi="仿宋" w:eastAsia="仿宋" w:cs="仿宋"/>
          <w:color w:val="auto"/>
          <w:sz w:val="24"/>
          <w:highlight w:val="none"/>
        </w:rPr>
        <w:t>有效期应当不少于磋商文件中载明的</w:t>
      </w:r>
      <w:r>
        <w:rPr>
          <w:rFonts w:hint="eastAsia" w:ascii="仿宋" w:hAnsi="仿宋" w:eastAsia="仿宋" w:cs="仿宋"/>
          <w:color w:val="auto"/>
          <w:sz w:val="24"/>
          <w:szCs w:val="24"/>
          <w:highlight w:val="none"/>
        </w:rPr>
        <w:t>磋商</w:t>
      </w:r>
      <w:r>
        <w:rPr>
          <w:rFonts w:hint="eastAsia" w:ascii="仿宋" w:hAnsi="仿宋" w:eastAsia="仿宋" w:cs="仿宋"/>
          <w:color w:val="auto"/>
          <w:sz w:val="24"/>
          <w:highlight w:val="none"/>
        </w:rPr>
        <w:t>有效期</w:t>
      </w:r>
      <w:bookmarkEnd w:id="224"/>
      <w:r>
        <w:rPr>
          <w:rFonts w:hint="eastAsia" w:ascii="仿宋" w:hAnsi="仿宋" w:eastAsia="仿宋" w:cs="仿宋"/>
          <w:color w:val="auto"/>
          <w:sz w:val="24"/>
          <w:highlight w:val="none"/>
        </w:rPr>
        <w:t>；</w:t>
      </w:r>
    </w:p>
    <w:p w14:paraId="145272BB">
      <w:pPr>
        <w:spacing w:line="360" w:lineRule="auto"/>
        <w:ind w:left="960" w:hanging="960" w:hangingChars="400"/>
        <w:rPr>
          <w:rFonts w:ascii="仿宋" w:hAnsi="仿宋" w:eastAsia="仿宋" w:cs="仿宋"/>
          <w:color w:val="auto"/>
          <w:sz w:val="24"/>
          <w:highlight w:val="none"/>
        </w:rPr>
      </w:pPr>
      <w:r>
        <w:rPr>
          <w:rFonts w:hint="eastAsia" w:ascii="仿宋" w:hAnsi="仿宋" w:eastAsia="仿宋" w:cs="仿宋"/>
          <w:color w:val="auto"/>
          <w:sz w:val="24"/>
          <w:highlight w:val="none"/>
        </w:rPr>
        <w:t>4.3.2   在特殊情况下，采购人可与供应商协商延长磋商的有效期，这种要求和答复均以书面形式进行。</w:t>
      </w:r>
    </w:p>
    <w:p w14:paraId="7534C357">
      <w:pPr>
        <w:pStyle w:val="30"/>
        <w:rPr>
          <w:rFonts w:ascii="仿宋" w:hAnsi="仿宋" w:eastAsia="仿宋" w:cs="仿宋"/>
          <w:color w:val="auto"/>
          <w:highlight w:val="none"/>
        </w:rPr>
      </w:pPr>
      <w:bookmarkStart w:id="225" w:name="_Toc32172"/>
      <w:bookmarkStart w:id="226" w:name="_Toc530551854"/>
      <w:bookmarkStart w:id="227" w:name="_Toc531359009"/>
      <w:r>
        <w:rPr>
          <w:rFonts w:hint="eastAsia" w:ascii="仿宋" w:hAnsi="仿宋" w:eastAsia="仿宋" w:cs="仿宋"/>
          <w:color w:val="auto"/>
          <w:highlight w:val="none"/>
        </w:rPr>
        <w:t>4.4     磋商响应文件格式</w:t>
      </w:r>
      <w:bookmarkEnd w:id="225"/>
      <w:bookmarkEnd w:id="226"/>
      <w:bookmarkEnd w:id="227"/>
    </w:p>
    <w:p w14:paraId="29A0A750">
      <w:pPr>
        <w:spacing w:line="360" w:lineRule="auto"/>
        <w:ind w:left="945" w:leftChars="450"/>
        <w:rPr>
          <w:rFonts w:ascii="仿宋" w:hAnsi="仿宋" w:eastAsia="仿宋" w:cs="仿宋"/>
          <w:color w:val="auto"/>
          <w:sz w:val="24"/>
          <w:highlight w:val="none"/>
        </w:rPr>
      </w:pPr>
      <w:r>
        <w:rPr>
          <w:rFonts w:hint="eastAsia" w:ascii="仿宋" w:hAnsi="仿宋" w:eastAsia="仿宋" w:cs="仿宋"/>
          <w:color w:val="auto"/>
          <w:sz w:val="24"/>
          <w:highlight w:val="none"/>
        </w:rPr>
        <w:t>磋商响应文件格式见磋商文件“第五章磋商响应文件格式”，磋商响应文件应当按照磋商文件已提供的格式填写，无格式的可自行设计。</w:t>
      </w:r>
    </w:p>
    <w:p w14:paraId="59483486">
      <w:pPr>
        <w:pStyle w:val="30"/>
        <w:rPr>
          <w:rFonts w:ascii="仿宋" w:hAnsi="仿宋" w:eastAsia="仿宋" w:cs="仿宋"/>
          <w:color w:val="auto"/>
          <w:highlight w:val="none"/>
        </w:rPr>
      </w:pPr>
      <w:bookmarkStart w:id="228" w:name="_Toc16494"/>
      <w:bookmarkStart w:id="229" w:name="_Toc531359010"/>
      <w:bookmarkStart w:id="230" w:name="_Toc530551855"/>
      <w:r>
        <w:rPr>
          <w:rFonts w:hint="eastAsia" w:ascii="仿宋" w:hAnsi="仿宋" w:eastAsia="仿宋" w:cs="仿宋"/>
          <w:color w:val="auto"/>
          <w:highlight w:val="none"/>
        </w:rPr>
        <w:t>4.5     磋商响应文件份数及签署</w:t>
      </w:r>
      <w:bookmarkEnd w:id="228"/>
      <w:bookmarkEnd w:id="229"/>
      <w:bookmarkEnd w:id="230"/>
    </w:p>
    <w:p w14:paraId="363210F9">
      <w:pPr>
        <w:spacing w:line="360" w:lineRule="auto"/>
        <w:ind w:left="960" w:hanging="960" w:hangingChars="400"/>
        <w:rPr>
          <w:rFonts w:ascii="仿宋" w:hAnsi="仿宋" w:eastAsia="仿宋" w:cs="仿宋"/>
          <w:color w:val="auto"/>
          <w:sz w:val="24"/>
          <w:highlight w:val="none"/>
        </w:rPr>
      </w:pPr>
      <w:r>
        <w:rPr>
          <w:rFonts w:hint="eastAsia" w:ascii="仿宋" w:hAnsi="仿宋" w:eastAsia="仿宋" w:cs="仿宋"/>
          <w:color w:val="auto"/>
          <w:sz w:val="24"/>
          <w:highlight w:val="none"/>
        </w:rPr>
        <w:t xml:space="preserve">4.5.1   </w:t>
      </w:r>
      <w:r>
        <w:rPr>
          <w:rFonts w:hint="eastAsia" w:ascii="仿宋" w:hAnsi="仿宋" w:eastAsia="仿宋" w:cs="仿宋"/>
          <w:color w:val="auto"/>
          <w:sz w:val="24"/>
          <w:highlight w:val="none"/>
        </w:rPr>
        <w:sym w:font="Wingdings 3" w:char="F070"/>
      </w:r>
      <w:r>
        <w:rPr>
          <w:rFonts w:hint="eastAsia" w:ascii="仿宋" w:hAnsi="仿宋" w:eastAsia="仿宋" w:cs="仿宋"/>
          <w:color w:val="auto"/>
          <w:sz w:val="24"/>
          <w:highlight w:val="none"/>
        </w:rPr>
        <w:t>磋商响应文件份数：见供应商须知前附表（一）；</w:t>
      </w:r>
    </w:p>
    <w:p w14:paraId="4D23073A">
      <w:pPr>
        <w:spacing w:line="360" w:lineRule="auto"/>
        <w:ind w:left="960" w:hanging="960" w:hangingChars="400"/>
        <w:rPr>
          <w:rFonts w:ascii="仿宋" w:hAnsi="仿宋" w:eastAsia="仿宋" w:cs="仿宋"/>
          <w:color w:val="auto"/>
          <w:sz w:val="24"/>
          <w:highlight w:val="none"/>
        </w:rPr>
      </w:pPr>
      <w:r>
        <w:rPr>
          <w:rFonts w:hint="eastAsia" w:ascii="仿宋" w:hAnsi="仿宋" w:eastAsia="仿宋" w:cs="仿宋"/>
          <w:color w:val="auto"/>
          <w:sz w:val="24"/>
          <w:highlight w:val="none"/>
        </w:rPr>
        <w:t>4.5.2   磋商响应文件中所须加盖公章部分均采用CA签章。</w:t>
      </w:r>
    </w:p>
    <w:p w14:paraId="6E9340C4">
      <w:pPr>
        <w:pStyle w:val="19"/>
        <w:spacing w:beforeLines="100" w:after="240" w:afterLines="100"/>
        <w:jc w:val="left"/>
        <w:outlineLvl w:val="1"/>
        <w:rPr>
          <w:rFonts w:ascii="仿宋" w:hAnsi="仿宋" w:eastAsia="仿宋" w:cs="仿宋"/>
          <w:color w:val="auto"/>
          <w:sz w:val="30"/>
          <w:szCs w:val="30"/>
          <w:highlight w:val="none"/>
        </w:rPr>
      </w:pPr>
      <w:bookmarkStart w:id="231" w:name="_Toc531359011"/>
      <w:bookmarkStart w:id="232" w:name="_Toc530551856"/>
      <w:bookmarkStart w:id="233" w:name="_Toc6245"/>
      <w:r>
        <w:rPr>
          <w:rFonts w:hint="eastAsia" w:ascii="仿宋" w:hAnsi="仿宋" w:eastAsia="仿宋" w:cs="仿宋"/>
          <w:color w:val="auto"/>
          <w:sz w:val="30"/>
          <w:szCs w:val="30"/>
          <w:highlight w:val="none"/>
        </w:rPr>
        <w:t>五    磋商响应文件的提交</w:t>
      </w:r>
      <w:bookmarkEnd w:id="231"/>
      <w:bookmarkEnd w:id="232"/>
      <w:bookmarkEnd w:id="233"/>
    </w:p>
    <w:p w14:paraId="46DF5B94">
      <w:pPr>
        <w:pStyle w:val="30"/>
        <w:rPr>
          <w:rFonts w:ascii="仿宋" w:hAnsi="仿宋" w:eastAsia="仿宋" w:cs="仿宋"/>
          <w:color w:val="auto"/>
          <w:highlight w:val="none"/>
        </w:rPr>
      </w:pPr>
      <w:bookmarkStart w:id="234" w:name="_Toc531359012"/>
      <w:bookmarkStart w:id="235" w:name="_Toc530551857"/>
      <w:bookmarkStart w:id="236" w:name="_Toc34895557"/>
      <w:bookmarkStart w:id="237" w:name="_Toc32248"/>
      <w:r>
        <w:rPr>
          <w:rFonts w:hint="eastAsia" w:ascii="仿宋" w:hAnsi="仿宋" w:eastAsia="仿宋" w:cs="仿宋"/>
          <w:color w:val="auto"/>
          <w:highlight w:val="none"/>
        </w:rPr>
        <w:t>5.1     磋商响应文件导入</w:t>
      </w:r>
      <w:bookmarkEnd w:id="234"/>
      <w:bookmarkEnd w:id="235"/>
      <w:r>
        <w:rPr>
          <w:rFonts w:hint="eastAsia" w:ascii="仿宋" w:hAnsi="仿宋" w:eastAsia="仿宋" w:cs="仿宋"/>
          <w:color w:val="auto"/>
          <w:highlight w:val="none"/>
        </w:rPr>
        <w:t>和加密</w:t>
      </w:r>
      <w:bookmarkEnd w:id="236"/>
      <w:bookmarkEnd w:id="237"/>
    </w:p>
    <w:p w14:paraId="77B1D124">
      <w:pPr>
        <w:wordWrap w:val="0"/>
        <w:spacing w:line="360" w:lineRule="auto"/>
        <w:ind w:left="960" w:hanging="960" w:hangingChars="400"/>
        <w:rPr>
          <w:rFonts w:ascii="仿宋" w:hAnsi="仿宋" w:eastAsia="仿宋" w:cs="仿宋"/>
          <w:color w:val="auto"/>
          <w:sz w:val="24"/>
          <w:highlight w:val="none"/>
        </w:rPr>
      </w:pPr>
      <w:r>
        <w:rPr>
          <w:rFonts w:hint="eastAsia" w:ascii="仿宋" w:hAnsi="仿宋" w:eastAsia="仿宋" w:cs="仿宋"/>
          <w:color w:val="auto"/>
          <w:sz w:val="24"/>
          <w:highlight w:val="none"/>
        </w:rPr>
        <w:t>5.1.1   供应商应当按照资格审查文件、资信商务及技术文件和报价文件三部分分别导入相应位置，各文件之间不得导错位置；</w:t>
      </w:r>
    </w:p>
    <w:p w14:paraId="57884BCE">
      <w:pPr>
        <w:wordWrap w:val="0"/>
        <w:spacing w:line="360" w:lineRule="auto"/>
        <w:ind w:left="960" w:hanging="960" w:hangingChars="400"/>
        <w:rPr>
          <w:rFonts w:ascii="仿宋" w:hAnsi="仿宋" w:eastAsia="仿宋" w:cs="仿宋"/>
          <w:color w:val="auto"/>
          <w:sz w:val="24"/>
          <w:highlight w:val="none"/>
        </w:rPr>
      </w:pPr>
      <w:r>
        <w:rPr>
          <w:rFonts w:hint="eastAsia" w:ascii="仿宋" w:hAnsi="仿宋" w:eastAsia="仿宋" w:cs="仿宋"/>
          <w:color w:val="auto"/>
          <w:sz w:val="24"/>
          <w:highlight w:val="none"/>
        </w:rPr>
        <w:t>5.1.2   磋商响应文件编制好后应当生成电子加密磋商响应文件，生成电子加密磋商响应文件具体操作详见（电子招投标操作指南网址：</w:t>
      </w:r>
      <w:r>
        <w:rPr>
          <w:color w:val="auto"/>
          <w:highlight w:val="none"/>
        </w:rPr>
        <w:fldChar w:fldCharType="begin"/>
      </w:r>
      <w:r>
        <w:rPr>
          <w:color w:val="auto"/>
          <w:highlight w:val="none"/>
        </w:rPr>
        <w:instrText xml:space="preserve"> HYPERLINK "https://service.zcygov.cn/" \l "/knowledges/CW1EtGwBFdiHxlNd6I3m/6IMVAG0BFdiHxlNdQ8Na" </w:instrText>
      </w:r>
      <w:r>
        <w:rPr>
          <w:color w:val="auto"/>
          <w:highlight w:val="none"/>
        </w:rPr>
        <w:fldChar w:fldCharType="separate"/>
      </w:r>
      <w:r>
        <w:rPr>
          <w:rFonts w:hint="eastAsia" w:ascii="仿宋" w:hAnsi="仿宋" w:eastAsia="仿宋" w:cs="仿宋"/>
          <w:color w:val="auto"/>
          <w:sz w:val="24"/>
          <w:highlight w:val="none"/>
        </w:rPr>
        <w:t>https://service.zcygov.cn/#/knowledges/CW1EtGwBFdiHxlNd6I3m/6IMVAG0BFdiHxlNdQ</w:t>
      </w:r>
      <w:bookmarkStart w:id="238" w:name="_Hlt34895752"/>
      <w:r>
        <w:rPr>
          <w:rFonts w:hint="eastAsia" w:ascii="仿宋" w:hAnsi="仿宋" w:eastAsia="仿宋" w:cs="仿宋"/>
          <w:color w:val="auto"/>
          <w:sz w:val="24"/>
          <w:highlight w:val="none"/>
        </w:rPr>
        <w:t>8</w:t>
      </w:r>
      <w:bookmarkEnd w:id="238"/>
      <w:r>
        <w:rPr>
          <w:rFonts w:hint="eastAsia" w:ascii="仿宋" w:hAnsi="仿宋" w:eastAsia="仿宋" w:cs="仿宋"/>
          <w:color w:val="auto"/>
          <w:sz w:val="24"/>
          <w:highlight w:val="none"/>
        </w:rPr>
        <w:t>Na</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w:t>
      </w:r>
    </w:p>
    <w:p w14:paraId="5D9E0618">
      <w:pPr>
        <w:pStyle w:val="30"/>
        <w:rPr>
          <w:rFonts w:ascii="仿宋" w:hAnsi="仿宋" w:eastAsia="仿宋" w:cs="仿宋"/>
          <w:color w:val="auto"/>
          <w:highlight w:val="none"/>
        </w:rPr>
      </w:pPr>
      <w:bookmarkStart w:id="239" w:name="_Toc23114"/>
      <w:bookmarkStart w:id="240" w:name="_Toc530551858"/>
      <w:bookmarkStart w:id="241" w:name="_Toc531359013"/>
      <w:r>
        <w:rPr>
          <w:rFonts w:hint="eastAsia" w:ascii="仿宋" w:hAnsi="仿宋" w:eastAsia="仿宋" w:cs="仿宋"/>
          <w:color w:val="auto"/>
          <w:highlight w:val="none"/>
        </w:rPr>
        <w:t>5.2     磋商响应文件的提交</w:t>
      </w:r>
      <w:bookmarkEnd w:id="239"/>
      <w:bookmarkEnd w:id="240"/>
      <w:bookmarkEnd w:id="241"/>
    </w:p>
    <w:p w14:paraId="4FCE0CC4">
      <w:pPr>
        <w:spacing w:line="360" w:lineRule="auto"/>
        <w:ind w:left="960" w:hanging="960" w:hangingChars="400"/>
        <w:rPr>
          <w:rFonts w:ascii="仿宋" w:hAnsi="仿宋" w:eastAsia="仿宋" w:cs="仿宋"/>
          <w:color w:val="auto"/>
          <w:sz w:val="24"/>
          <w:highlight w:val="none"/>
        </w:rPr>
      </w:pPr>
      <w:bookmarkStart w:id="242" w:name="_Toc301187685"/>
      <w:r>
        <w:rPr>
          <w:rFonts w:hint="eastAsia" w:ascii="仿宋" w:hAnsi="仿宋" w:eastAsia="仿宋" w:cs="仿宋"/>
          <w:color w:val="auto"/>
          <w:sz w:val="24"/>
          <w:highlight w:val="none"/>
        </w:rPr>
        <w:t>5.2.1</w:t>
      </w:r>
      <w:bookmarkEnd w:id="242"/>
      <w:r>
        <w:rPr>
          <w:rFonts w:hint="eastAsia" w:ascii="仿宋" w:hAnsi="仿宋" w:eastAsia="仿宋" w:cs="仿宋"/>
          <w:color w:val="auto"/>
          <w:sz w:val="24"/>
          <w:highlight w:val="none"/>
        </w:rPr>
        <w:t xml:space="preserve">   </w:t>
      </w:r>
      <w:r>
        <w:rPr>
          <w:rFonts w:hint="eastAsia" w:ascii="仿宋" w:hAnsi="仿宋" w:eastAsia="仿宋" w:cs="仿宋"/>
          <w:color w:val="auto"/>
          <w:sz w:val="24"/>
          <w:szCs w:val="24"/>
          <w:highlight w:val="none"/>
        </w:rPr>
        <w:t>响应文件提交</w:t>
      </w:r>
      <w:r>
        <w:rPr>
          <w:rFonts w:hint="eastAsia" w:ascii="仿宋" w:hAnsi="仿宋" w:eastAsia="仿宋" w:cs="仿宋"/>
          <w:bCs/>
          <w:color w:val="auto"/>
          <w:sz w:val="24"/>
          <w:szCs w:val="24"/>
          <w:highlight w:val="none"/>
        </w:rPr>
        <w:t>截止时间</w:t>
      </w:r>
      <w:r>
        <w:rPr>
          <w:rFonts w:hint="eastAsia" w:ascii="仿宋" w:hAnsi="仿宋" w:eastAsia="仿宋" w:cs="仿宋"/>
          <w:color w:val="auto"/>
          <w:sz w:val="24"/>
          <w:highlight w:val="none"/>
        </w:rPr>
        <w:t>：见第一章竞争性磋商采购公告（邀请）</w:t>
      </w:r>
    </w:p>
    <w:p w14:paraId="552DC715">
      <w:pPr>
        <w:spacing w:line="360" w:lineRule="auto"/>
        <w:ind w:left="960" w:hanging="960" w:hangingChars="400"/>
        <w:rPr>
          <w:rFonts w:ascii="仿宋" w:hAnsi="仿宋" w:eastAsia="仿宋" w:cs="仿宋"/>
          <w:color w:val="auto"/>
          <w:sz w:val="24"/>
          <w:highlight w:val="none"/>
        </w:rPr>
      </w:pPr>
      <w:bookmarkStart w:id="243" w:name="_Toc301187686"/>
      <w:r>
        <w:rPr>
          <w:rFonts w:hint="eastAsia" w:ascii="仿宋" w:hAnsi="仿宋" w:eastAsia="仿宋" w:cs="仿宋"/>
          <w:color w:val="auto"/>
          <w:sz w:val="24"/>
          <w:highlight w:val="none"/>
        </w:rPr>
        <w:t xml:space="preserve">5.2.2   </w:t>
      </w:r>
      <w:bookmarkEnd w:id="243"/>
      <w:r>
        <w:rPr>
          <w:rFonts w:hint="eastAsia" w:ascii="仿宋" w:hAnsi="仿宋" w:eastAsia="仿宋" w:cs="仿宋"/>
          <w:color w:val="auto"/>
          <w:sz w:val="24"/>
          <w:highlight w:val="none"/>
        </w:rPr>
        <w:t>响应文件提交地点：见第一章竞争性磋商采购公告（邀请）</w:t>
      </w:r>
    </w:p>
    <w:p w14:paraId="0D509AF0">
      <w:pPr>
        <w:spacing w:line="360" w:lineRule="auto"/>
        <w:ind w:left="960" w:hanging="960" w:hangingChars="400"/>
        <w:rPr>
          <w:rFonts w:ascii="仿宋" w:hAnsi="仿宋" w:eastAsia="仿宋" w:cs="仿宋"/>
          <w:color w:val="auto"/>
          <w:sz w:val="24"/>
          <w:highlight w:val="none"/>
        </w:rPr>
      </w:pPr>
      <w:bookmarkStart w:id="244" w:name="_Toc301187687"/>
      <w:r>
        <w:rPr>
          <w:rFonts w:hint="eastAsia" w:ascii="仿宋" w:hAnsi="仿宋" w:eastAsia="仿宋" w:cs="仿宋"/>
          <w:color w:val="auto"/>
          <w:sz w:val="24"/>
          <w:highlight w:val="none"/>
        </w:rPr>
        <w:t>5.2.3   不予接收的磋商响应文件情形</w:t>
      </w:r>
    </w:p>
    <w:bookmarkEnd w:id="244"/>
    <w:p w14:paraId="5BEFA981">
      <w:pPr>
        <w:spacing w:line="360" w:lineRule="auto"/>
        <w:ind w:left="840" w:leftChars="400" w:firstLine="120" w:firstLineChars="50"/>
        <w:rPr>
          <w:rFonts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1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⑴</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响应文件提交截止时间前未完成传输的磋商响应文件；</w:t>
      </w:r>
    </w:p>
    <w:p w14:paraId="20A20682">
      <w:pPr>
        <w:spacing w:line="360" w:lineRule="auto"/>
        <w:ind w:left="840" w:leftChars="400" w:firstLine="120" w:firstLineChars="50"/>
        <w:rPr>
          <w:rFonts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rPr>
        <w:t>⑵未生成加密的磋商响应文件；</w:t>
      </w:r>
    </w:p>
    <w:p w14:paraId="0484DA8F">
      <w:pPr>
        <w:spacing w:line="360" w:lineRule="auto"/>
        <w:ind w:left="960" w:hanging="960" w:hangingChars="400"/>
        <w:rPr>
          <w:rFonts w:ascii="仿宋" w:hAnsi="仿宋" w:eastAsia="仿宋" w:cs="仿宋"/>
          <w:color w:val="auto"/>
          <w:sz w:val="24"/>
          <w:highlight w:val="none"/>
        </w:rPr>
      </w:pPr>
      <w:r>
        <w:rPr>
          <w:rFonts w:hint="eastAsia" w:ascii="仿宋" w:hAnsi="仿宋" w:eastAsia="仿宋" w:cs="仿宋"/>
          <w:color w:val="auto"/>
          <w:sz w:val="24"/>
          <w:highlight w:val="none"/>
        </w:rPr>
        <w:t>5.2.4   供应商所提交的磋商响应文件不予退还。</w:t>
      </w:r>
    </w:p>
    <w:p w14:paraId="7431182C">
      <w:pPr>
        <w:pStyle w:val="30"/>
        <w:rPr>
          <w:rFonts w:ascii="仿宋" w:hAnsi="仿宋" w:eastAsia="仿宋" w:cs="仿宋"/>
          <w:color w:val="auto"/>
          <w:highlight w:val="none"/>
        </w:rPr>
      </w:pPr>
      <w:bookmarkStart w:id="245" w:name="_Toc530551859"/>
      <w:bookmarkStart w:id="246" w:name="_Toc531359014"/>
      <w:bookmarkStart w:id="247" w:name="_Toc24033"/>
      <w:r>
        <w:rPr>
          <w:rFonts w:hint="eastAsia" w:ascii="仿宋" w:hAnsi="仿宋" w:eastAsia="仿宋" w:cs="仿宋"/>
          <w:color w:val="auto"/>
          <w:highlight w:val="none"/>
        </w:rPr>
        <w:t>5.3     磋商响应文件修改和撤回</w:t>
      </w:r>
      <w:bookmarkEnd w:id="245"/>
      <w:bookmarkEnd w:id="246"/>
      <w:bookmarkEnd w:id="247"/>
    </w:p>
    <w:p w14:paraId="03E71791">
      <w:pPr>
        <w:spacing w:line="360" w:lineRule="auto"/>
        <w:ind w:left="960" w:hanging="960" w:hangingChars="400"/>
        <w:rPr>
          <w:rFonts w:ascii="仿宋" w:hAnsi="仿宋" w:eastAsia="仿宋" w:cs="仿宋"/>
          <w:color w:val="auto"/>
          <w:sz w:val="24"/>
          <w:highlight w:val="none"/>
        </w:rPr>
      </w:pPr>
      <w:r>
        <w:rPr>
          <w:rFonts w:hint="eastAsia" w:ascii="仿宋" w:hAnsi="仿宋" w:eastAsia="仿宋" w:cs="仿宋"/>
          <w:color w:val="auto"/>
          <w:sz w:val="24"/>
          <w:highlight w:val="none"/>
        </w:rPr>
        <w:t>5.3.1   在</w:t>
      </w:r>
      <w:r>
        <w:rPr>
          <w:rFonts w:hint="eastAsia" w:ascii="仿宋" w:hAnsi="仿宋" w:eastAsia="仿宋" w:cs="仿宋"/>
          <w:color w:val="auto"/>
          <w:sz w:val="24"/>
          <w:szCs w:val="24"/>
          <w:highlight w:val="none"/>
        </w:rPr>
        <w:t>响应文件提交</w:t>
      </w:r>
      <w:r>
        <w:rPr>
          <w:rFonts w:hint="eastAsia" w:ascii="仿宋" w:hAnsi="仿宋" w:eastAsia="仿宋" w:cs="仿宋"/>
          <w:bCs/>
          <w:color w:val="auto"/>
          <w:sz w:val="24"/>
          <w:szCs w:val="24"/>
          <w:highlight w:val="none"/>
        </w:rPr>
        <w:t>截止时间</w:t>
      </w:r>
      <w:r>
        <w:rPr>
          <w:rFonts w:hint="eastAsia" w:ascii="仿宋" w:hAnsi="仿宋" w:eastAsia="仿宋" w:cs="仿宋"/>
          <w:color w:val="auto"/>
          <w:sz w:val="24"/>
          <w:highlight w:val="none"/>
        </w:rPr>
        <w:t>前，供应商可对已提交的</w:t>
      </w:r>
      <w:r>
        <w:rPr>
          <w:rFonts w:hint="eastAsia" w:ascii="仿宋" w:hAnsi="仿宋" w:eastAsia="仿宋" w:cs="仿宋"/>
          <w:color w:val="auto"/>
          <w:kern w:val="0"/>
          <w:sz w:val="24"/>
          <w:highlight w:val="none"/>
        </w:rPr>
        <w:t>磋商响应文件</w:t>
      </w:r>
      <w:r>
        <w:rPr>
          <w:rFonts w:hint="eastAsia" w:ascii="仿宋" w:hAnsi="仿宋" w:eastAsia="仿宋" w:cs="仿宋"/>
          <w:color w:val="auto"/>
          <w:sz w:val="24"/>
          <w:highlight w:val="none"/>
        </w:rPr>
        <w:t>进行补充、修改或撤回。补充、修改磋商响应文件的，应当先行撤回原文件，补充、修改后重新生成加密的磋商响应文件并重新上传提交；</w:t>
      </w:r>
    </w:p>
    <w:p w14:paraId="7EC81D8F">
      <w:pPr>
        <w:spacing w:line="360" w:lineRule="auto"/>
        <w:ind w:left="960" w:hanging="960" w:hangingChars="400"/>
        <w:rPr>
          <w:rFonts w:ascii="仿宋" w:hAnsi="仿宋" w:eastAsia="仿宋" w:cs="仿宋"/>
          <w:color w:val="auto"/>
          <w:sz w:val="24"/>
          <w:highlight w:val="none"/>
        </w:rPr>
      </w:pPr>
      <w:r>
        <w:rPr>
          <w:rFonts w:hint="eastAsia" w:ascii="仿宋" w:hAnsi="仿宋" w:eastAsia="仿宋" w:cs="仿宋"/>
          <w:color w:val="auto"/>
          <w:sz w:val="24"/>
          <w:highlight w:val="none"/>
        </w:rPr>
        <w:t>5.3.2   补充、修改后重新提交的磋商响应文件应按磋商文件的规定编制、加密、导入和提交；</w:t>
      </w:r>
    </w:p>
    <w:p w14:paraId="41EECFB1">
      <w:pPr>
        <w:spacing w:line="360" w:lineRule="auto"/>
        <w:ind w:left="960" w:hanging="960" w:hangingChars="400"/>
        <w:rPr>
          <w:rFonts w:ascii="仿宋" w:hAnsi="仿宋" w:eastAsia="仿宋" w:cs="仿宋"/>
          <w:color w:val="auto"/>
          <w:sz w:val="24"/>
          <w:highlight w:val="none"/>
        </w:rPr>
      </w:pPr>
      <w:r>
        <w:rPr>
          <w:rFonts w:hint="eastAsia" w:ascii="仿宋" w:hAnsi="仿宋" w:eastAsia="仿宋" w:cs="仿宋"/>
          <w:color w:val="auto"/>
          <w:sz w:val="24"/>
          <w:highlight w:val="none"/>
        </w:rPr>
        <w:t>5.3.3   在</w:t>
      </w:r>
      <w:r>
        <w:rPr>
          <w:rFonts w:hint="eastAsia" w:ascii="仿宋" w:hAnsi="仿宋" w:eastAsia="仿宋" w:cs="仿宋"/>
          <w:color w:val="auto"/>
          <w:sz w:val="24"/>
          <w:szCs w:val="24"/>
          <w:highlight w:val="none"/>
        </w:rPr>
        <w:t>响应文件提交</w:t>
      </w:r>
      <w:r>
        <w:rPr>
          <w:rFonts w:hint="eastAsia" w:ascii="仿宋" w:hAnsi="仿宋" w:eastAsia="仿宋" w:cs="仿宋"/>
          <w:bCs/>
          <w:color w:val="auto"/>
          <w:sz w:val="24"/>
          <w:szCs w:val="24"/>
          <w:highlight w:val="none"/>
        </w:rPr>
        <w:t>截止时间</w:t>
      </w:r>
      <w:r>
        <w:rPr>
          <w:rFonts w:hint="eastAsia" w:ascii="仿宋" w:hAnsi="仿宋" w:eastAsia="仿宋" w:cs="仿宋"/>
          <w:color w:val="auto"/>
          <w:sz w:val="24"/>
          <w:highlight w:val="none"/>
        </w:rPr>
        <w:t>后，供应商不得撤回已提交的磋商响应文件。</w:t>
      </w:r>
    </w:p>
    <w:p w14:paraId="2754678B">
      <w:pPr>
        <w:pStyle w:val="30"/>
        <w:rPr>
          <w:rFonts w:ascii="仿宋" w:hAnsi="仿宋" w:eastAsia="仿宋" w:cs="仿宋"/>
          <w:color w:val="auto"/>
          <w:highlight w:val="none"/>
        </w:rPr>
      </w:pPr>
      <w:bookmarkStart w:id="248" w:name="_Toc2664"/>
      <w:bookmarkStart w:id="249" w:name="_Toc14077291"/>
      <w:bookmarkStart w:id="250" w:name="_Toc531359015"/>
      <w:bookmarkStart w:id="251" w:name="_Toc531359017"/>
      <w:bookmarkStart w:id="252" w:name="_Toc530551861"/>
      <w:r>
        <w:rPr>
          <w:rFonts w:hint="eastAsia" w:ascii="仿宋" w:hAnsi="仿宋" w:eastAsia="仿宋" w:cs="仿宋"/>
          <w:color w:val="auto"/>
          <w:highlight w:val="none"/>
        </w:rPr>
        <w:t>5.4     备选磋商方案</w:t>
      </w:r>
      <w:bookmarkEnd w:id="248"/>
      <w:bookmarkEnd w:id="249"/>
      <w:bookmarkEnd w:id="250"/>
    </w:p>
    <w:p w14:paraId="603509C7">
      <w:pPr>
        <w:spacing w:line="360" w:lineRule="auto"/>
        <w:ind w:left="960" w:hanging="960" w:hangingChars="400"/>
        <w:rPr>
          <w:rFonts w:ascii="仿宋" w:hAnsi="仿宋" w:eastAsia="仿宋" w:cs="仿宋"/>
          <w:color w:val="auto"/>
          <w:sz w:val="24"/>
          <w:highlight w:val="none"/>
        </w:rPr>
      </w:pPr>
      <w:r>
        <w:rPr>
          <w:rFonts w:hint="eastAsia" w:ascii="仿宋" w:hAnsi="仿宋" w:eastAsia="仿宋" w:cs="仿宋"/>
          <w:color w:val="auto"/>
          <w:sz w:val="24"/>
          <w:highlight w:val="none"/>
        </w:rPr>
        <w:t xml:space="preserve">        本项目不接受备选磋商方案。与“电子磋商响应文件”同时生成的“备份磋商响应文件”不是磋商备选（替代）磋商方案。</w:t>
      </w:r>
    </w:p>
    <w:p w14:paraId="45BB8999">
      <w:pPr>
        <w:keepNext/>
        <w:keepLines/>
        <w:spacing w:line="360" w:lineRule="auto"/>
        <w:outlineLvl w:val="2"/>
        <w:rPr>
          <w:rFonts w:ascii="仿宋" w:hAnsi="仿宋" w:eastAsia="仿宋" w:cs="仿宋"/>
          <w:b/>
          <w:bCs/>
          <w:color w:val="auto"/>
          <w:sz w:val="24"/>
          <w:szCs w:val="20"/>
          <w:highlight w:val="none"/>
        </w:rPr>
      </w:pPr>
      <w:bookmarkStart w:id="253" w:name="_Toc7194"/>
      <w:bookmarkStart w:id="254" w:name="_Toc28354563"/>
      <w:bookmarkStart w:id="255" w:name="_Toc34895561"/>
      <w:bookmarkStart w:id="256" w:name="_Toc14170771"/>
      <w:r>
        <w:rPr>
          <w:rFonts w:hint="eastAsia" w:ascii="仿宋" w:hAnsi="仿宋" w:eastAsia="仿宋" w:cs="仿宋"/>
          <w:b/>
          <w:bCs/>
          <w:color w:val="auto"/>
          <w:sz w:val="24"/>
          <w:szCs w:val="20"/>
          <w:highlight w:val="none"/>
        </w:rPr>
        <w:t>5.5     磋商诚实信用</w:t>
      </w:r>
      <w:bookmarkEnd w:id="253"/>
      <w:bookmarkEnd w:id="254"/>
      <w:bookmarkEnd w:id="255"/>
      <w:bookmarkEnd w:id="256"/>
    </w:p>
    <w:p w14:paraId="755C4AFB">
      <w:pPr>
        <w:spacing w:line="360" w:lineRule="auto"/>
        <w:ind w:left="960" w:hanging="960" w:hangingChars="400"/>
        <w:rPr>
          <w:rFonts w:ascii="仿宋" w:hAnsi="仿宋" w:eastAsia="仿宋" w:cs="仿宋"/>
          <w:color w:val="auto"/>
          <w:sz w:val="24"/>
          <w:highlight w:val="none"/>
        </w:rPr>
      </w:pPr>
      <w:bookmarkStart w:id="257" w:name="_Toc301187651"/>
      <w:r>
        <w:rPr>
          <w:rFonts w:hint="eastAsia" w:ascii="仿宋" w:hAnsi="仿宋" w:eastAsia="仿宋" w:cs="仿宋"/>
          <w:color w:val="auto"/>
          <w:sz w:val="24"/>
          <w:highlight w:val="none"/>
        </w:rPr>
        <w:t>5.5.1   供应商应当遵守诚实信用原则。</w:t>
      </w:r>
    </w:p>
    <w:p w14:paraId="47CD544D">
      <w:pPr>
        <w:spacing w:line="360" w:lineRule="auto"/>
        <w:ind w:left="960" w:hanging="960" w:hangingChars="400"/>
        <w:rPr>
          <w:rFonts w:ascii="仿宋" w:hAnsi="仿宋" w:eastAsia="仿宋" w:cs="仿宋"/>
          <w:color w:val="auto"/>
          <w:sz w:val="24"/>
          <w:highlight w:val="none"/>
        </w:rPr>
      </w:pPr>
      <w:r>
        <w:rPr>
          <w:rFonts w:hint="eastAsia" w:ascii="仿宋" w:hAnsi="仿宋" w:eastAsia="仿宋" w:cs="仿宋"/>
          <w:color w:val="auto"/>
          <w:sz w:val="24"/>
          <w:highlight w:val="none"/>
        </w:rPr>
        <w:t>5.5.2   供应商有下列情形之一的，将会报告财政部门并按照相关规定处理：</w:t>
      </w:r>
      <w:bookmarkEnd w:id="257"/>
    </w:p>
    <w:p w14:paraId="2F630C7D">
      <w:pPr>
        <w:spacing w:line="360" w:lineRule="auto"/>
        <w:ind w:left="840" w:leftChars="400" w:firstLine="120" w:firstLineChars="50"/>
        <w:rPr>
          <w:rFonts w:ascii="仿宋" w:hAnsi="仿宋" w:eastAsia="仿宋" w:cs="仿宋"/>
          <w:color w:val="auto"/>
          <w:sz w:val="24"/>
          <w:highlight w:val="none"/>
        </w:rPr>
      </w:pPr>
      <w:bookmarkStart w:id="258" w:name="_Toc301187652"/>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1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⑴</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供应商在磋商有效期内撤销磋商响应文件的；</w:t>
      </w:r>
      <w:bookmarkEnd w:id="258"/>
      <w:bookmarkStart w:id="259" w:name="_Toc301187653"/>
    </w:p>
    <w:p w14:paraId="1A24A1CB">
      <w:pPr>
        <w:spacing w:line="360" w:lineRule="auto"/>
        <w:ind w:left="840" w:leftChars="400" w:firstLine="120" w:firstLineChars="50"/>
        <w:rPr>
          <w:rFonts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2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⑵</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未按规定提交履约保证金的；</w:t>
      </w:r>
      <w:bookmarkEnd w:id="259"/>
      <w:bookmarkStart w:id="260" w:name="_Toc301187654"/>
    </w:p>
    <w:p w14:paraId="5D3E8019">
      <w:pPr>
        <w:spacing w:line="360" w:lineRule="auto"/>
        <w:ind w:left="840" w:leftChars="400" w:firstLine="120" w:firstLineChars="50"/>
        <w:rPr>
          <w:rFonts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3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⑶</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供应商在磋商过程中弄虚作假，提供虚假材料的；</w:t>
      </w:r>
      <w:bookmarkEnd w:id="260"/>
      <w:bookmarkStart w:id="261" w:name="_Toc301187655"/>
    </w:p>
    <w:p w14:paraId="59F1918B">
      <w:pPr>
        <w:spacing w:line="360" w:lineRule="auto"/>
        <w:ind w:left="840" w:leftChars="400" w:firstLine="120" w:firstLineChars="50"/>
        <w:rPr>
          <w:rFonts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4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⑷</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成交人无正当理由不与采购人签订合同的；</w:t>
      </w:r>
      <w:bookmarkEnd w:id="261"/>
    </w:p>
    <w:p w14:paraId="7E78224B">
      <w:pPr>
        <w:spacing w:line="360" w:lineRule="auto"/>
        <w:ind w:left="840" w:leftChars="400" w:firstLine="120" w:firstLineChars="50"/>
        <w:rPr>
          <w:rFonts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5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⑸</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供应商有串通磋商行为的；</w:t>
      </w:r>
    </w:p>
    <w:p w14:paraId="66F9A509">
      <w:pPr>
        <w:spacing w:line="360" w:lineRule="auto"/>
        <w:ind w:left="840" w:leftChars="400" w:firstLine="120" w:firstLineChars="50"/>
        <w:rPr>
          <w:rFonts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6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⑹</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严重扰乱政府采购程序的；</w:t>
      </w:r>
      <w:bookmarkStart w:id="262" w:name="_Toc301187658"/>
    </w:p>
    <w:p w14:paraId="6E710175">
      <w:pPr>
        <w:spacing w:line="360" w:lineRule="auto"/>
        <w:ind w:left="840" w:leftChars="400" w:firstLine="120" w:firstLineChars="50"/>
        <w:rPr>
          <w:rFonts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7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⑺</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违反其他法律法规规定的情形。</w:t>
      </w:r>
      <w:bookmarkEnd w:id="262"/>
    </w:p>
    <w:p w14:paraId="367E9AFB">
      <w:pPr>
        <w:spacing w:line="360" w:lineRule="auto"/>
        <w:ind w:left="960" w:hanging="960" w:hangingChars="400"/>
        <w:rPr>
          <w:rFonts w:ascii="仿宋" w:hAnsi="仿宋" w:eastAsia="仿宋" w:cs="仿宋"/>
          <w:color w:val="auto"/>
          <w:sz w:val="24"/>
          <w:highlight w:val="none"/>
        </w:rPr>
      </w:pPr>
      <w:r>
        <w:rPr>
          <w:rFonts w:hint="eastAsia" w:ascii="仿宋" w:hAnsi="仿宋" w:eastAsia="仿宋" w:cs="仿宋"/>
          <w:color w:val="auto"/>
          <w:sz w:val="24"/>
          <w:highlight w:val="none"/>
        </w:rPr>
        <w:t>5.5.3   因供应商有第5.5.2条情形之一造成采购人和采购代理机构损失的，采购人和采购代理机构有权追究供应商赔偿责任。</w:t>
      </w:r>
    </w:p>
    <w:p w14:paraId="654AA681">
      <w:pPr>
        <w:pStyle w:val="19"/>
        <w:spacing w:beforeLines="100" w:after="240" w:afterLines="100"/>
        <w:jc w:val="left"/>
        <w:outlineLvl w:val="1"/>
        <w:rPr>
          <w:rFonts w:ascii="仿宋" w:hAnsi="仿宋" w:eastAsia="仿宋" w:cs="仿宋"/>
          <w:color w:val="auto"/>
          <w:sz w:val="30"/>
          <w:szCs w:val="30"/>
          <w:highlight w:val="none"/>
        </w:rPr>
      </w:pPr>
      <w:bookmarkStart w:id="263" w:name="_Toc10654"/>
      <w:r>
        <w:rPr>
          <w:rFonts w:hint="eastAsia" w:ascii="仿宋" w:hAnsi="仿宋" w:eastAsia="仿宋" w:cs="仿宋"/>
          <w:color w:val="auto"/>
          <w:sz w:val="30"/>
          <w:szCs w:val="30"/>
          <w:highlight w:val="none"/>
        </w:rPr>
        <w:t>六    开标</w:t>
      </w:r>
      <w:bookmarkEnd w:id="251"/>
      <w:bookmarkEnd w:id="252"/>
      <w:r>
        <w:rPr>
          <w:rFonts w:hint="eastAsia" w:ascii="仿宋" w:hAnsi="仿宋" w:eastAsia="仿宋" w:cs="仿宋"/>
          <w:color w:val="auto"/>
          <w:sz w:val="30"/>
          <w:szCs w:val="30"/>
          <w:highlight w:val="none"/>
        </w:rPr>
        <w:t>、资格审查、磋商和评审</w:t>
      </w:r>
      <w:bookmarkEnd w:id="263"/>
    </w:p>
    <w:p w14:paraId="0F8EB30D">
      <w:pPr>
        <w:spacing w:line="360" w:lineRule="auto"/>
        <w:ind w:left="945" w:leftChars="450"/>
        <w:rPr>
          <w:rFonts w:ascii="仿宋" w:hAnsi="仿宋" w:eastAsia="仿宋" w:cs="仿宋"/>
          <w:b/>
          <w:color w:val="auto"/>
          <w:sz w:val="24"/>
          <w:highlight w:val="none"/>
        </w:rPr>
      </w:pPr>
      <w:r>
        <w:rPr>
          <w:rFonts w:hint="eastAsia" w:ascii="仿宋" w:hAnsi="仿宋" w:eastAsia="仿宋" w:cs="仿宋"/>
          <w:b/>
          <w:color w:val="auto"/>
          <w:sz w:val="24"/>
          <w:highlight w:val="none"/>
        </w:rPr>
        <w:t>本项目通过政府采购云平台进行开标、资格审查、评审、询标，供应商应当准时在线参加，否则产生的风险由供应商自行承担（供应商务必不要离开电脑太久，并留意手机短信，建议供应商提前做好检查“政府采购云平台”内，关于“项目采购”的岗位权限是否勾选。如有问题，请致电95763）。</w:t>
      </w:r>
    </w:p>
    <w:p w14:paraId="7FAE6538">
      <w:pPr>
        <w:pStyle w:val="30"/>
        <w:rPr>
          <w:rFonts w:ascii="仿宋" w:hAnsi="仿宋" w:eastAsia="仿宋" w:cs="仿宋"/>
          <w:color w:val="auto"/>
          <w:highlight w:val="none"/>
        </w:rPr>
      </w:pPr>
      <w:bookmarkStart w:id="264" w:name="_Toc24566"/>
      <w:bookmarkStart w:id="265" w:name="_Toc531359018"/>
      <w:bookmarkStart w:id="266" w:name="_Toc530551862"/>
      <w:bookmarkStart w:id="267" w:name="_Toc530551863"/>
      <w:bookmarkStart w:id="268" w:name="_Toc531359019"/>
      <w:r>
        <w:rPr>
          <w:rFonts w:hint="eastAsia" w:ascii="仿宋" w:hAnsi="仿宋" w:eastAsia="仿宋" w:cs="仿宋"/>
          <w:color w:val="auto"/>
          <w:highlight w:val="none"/>
        </w:rPr>
        <w:t>6.1     开标</w:t>
      </w:r>
      <w:bookmarkEnd w:id="264"/>
      <w:bookmarkEnd w:id="265"/>
      <w:bookmarkEnd w:id="266"/>
    </w:p>
    <w:p w14:paraId="55F788D7">
      <w:pPr>
        <w:spacing w:line="360" w:lineRule="auto"/>
        <w:ind w:left="960" w:hanging="960" w:hangingChars="400"/>
        <w:rPr>
          <w:rFonts w:ascii="仿宋" w:hAnsi="仿宋" w:eastAsia="仿宋" w:cs="仿宋"/>
          <w:color w:val="auto"/>
          <w:sz w:val="24"/>
          <w:highlight w:val="none"/>
        </w:rPr>
      </w:pPr>
      <w:r>
        <w:rPr>
          <w:rFonts w:hint="eastAsia" w:ascii="仿宋" w:hAnsi="仿宋" w:eastAsia="仿宋" w:cs="仿宋"/>
          <w:color w:val="auto"/>
          <w:sz w:val="24"/>
          <w:highlight w:val="none"/>
        </w:rPr>
        <w:t>6.1.1   开标时间和地点：见供应商须知前附表（一）</w:t>
      </w:r>
    </w:p>
    <w:p w14:paraId="43947E05">
      <w:pPr>
        <w:spacing w:line="360" w:lineRule="auto"/>
        <w:ind w:left="960" w:hanging="960" w:hangingChars="400"/>
        <w:rPr>
          <w:rFonts w:ascii="仿宋" w:hAnsi="仿宋" w:eastAsia="仿宋" w:cs="仿宋"/>
          <w:color w:val="auto"/>
          <w:sz w:val="24"/>
          <w:highlight w:val="none"/>
        </w:rPr>
      </w:pPr>
      <w:r>
        <w:rPr>
          <w:rFonts w:hint="eastAsia" w:ascii="仿宋" w:hAnsi="仿宋" w:eastAsia="仿宋" w:cs="仿宋"/>
          <w:color w:val="auto"/>
          <w:sz w:val="24"/>
          <w:highlight w:val="none"/>
        </w:rPr>
        <w:t>6.1.2   供应商的供应商代表应当在线参加，否则视同认可开标结果，事后不得对采购相关人员、开标过程和开标结果提出质疑；</w:t>
      </w:r>
    </w:p>
    <w:p w14:paraId="3B0ABFEF">
      <w:pPr>
        <w:spacing w:line="360" w:lineRule="auto"/>
        <w:ind w:left="960" w:hanging="960" w:hangingChars="400"/>
        <w:rPr>
          <w:rFonts w:ascii="仿宋" w:hAnsi="仿宋" w:eastAsia="仿宋" w:cs="仿宋"/>
          <w:color w:val="auto"/>
          <w:sz w:val="24"/>
          <w:highlight w:val="none"/>
        </w:rPr>
      </w:pPr>
      <w:r>
        <w:rPr>
          <w:rFonts w:hint="eastAsia" w:ascii="仿宋" w:hAnsi="仿宋" w:eastAsia="仿宋" w:cs="仿宋"/>
          <w:color w:val="auto"/>
          <w:sz w:val="24"/>
          <w:highlight w:val="none"/>
        </w:rPr>
        <w:t>6.1.3   开标程序</w:t>
      </w:r>
    </w:p>
    <w:p w14:paraId="73C38C6B">
      <w:pPr>
        <w:spacing w:line="360" w:lineRule="auto"/>
        <w:ind w:left="1200" w:hanging="1200" w:hangingChars="500"/>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1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⑴</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 xml:space="preserve">主持人宣布项目开标会开始，介绍参加本次开标会的相关人员； </w:t>
      </w:r>
    </w:p>
    <w:p w14:paraId="545B6600">
      <w:pPr>
        <w:spacing w:line="360" w:lineRule="auto"/>
        <w:ind w:left="1200" w:hanging="1200" w:hangingChars="500"/>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2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⑵</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介绍采购项目采购情况，包括采购方式，发布媒体，提交磋商响应文件的供应商家数、供应商名称；</w:t>
      </w:r>
    </w:p>
    <w:p w14:paraId="0AA9742E">
      <w:pPr>
        <w:spacing w:line="360" w:lineRule="auto"/>
        <w:ind w:left="840" w:leftChars="400" w:firstLine="120" w:firstLineChars="50"/>
        <w:rPr>
          <w:rFonts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3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⑶</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宣布开标纪律；</w:t>
      </w:r>
    </w:p>
    <w:p w14:paraId="649B7E8A">
      <w:pPr>
        <w:wordWrap w:val="0"/>
        <w:spacing w:line="360" w:lineRule="auto"/>
        <w:ind w:left="1185" w:leftChars="450" w:hanging="240" w:hangingChars="100"/>
        <w:rPr>
          <w:rFonts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4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⑷</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供应商进行在线解密（解密时间为响应文件提交截止时间后30分钟内）；解密未成功的，启动备份磋商响应文件，未提供备份磋商响应文件的，视为放弃投标；</w:t>
      </w:r>
    </w:p>
    <w:p w14:paraId="2E3A45F7">
      <w:pPr>
        <w:wordWrap w:val="0"/>
        <w:spacing w:line="360" w:lineRule="auto"/>
        <w:ind w:left="1185" w:leftChars="450" w:hanging="240" w:hangingChars="100"/>
        <w:rPr>
          <w:rFonts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5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⑸</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 xml:space="preserve">供应商填写并通过邮件发送方式递交《政府采购活动现场确认声明书》（见磋商文件附件），递交时间为解密指令发出后30分钟内； </w:t>
      </w:r>
    </w:p>
    <w:p w14:paraId="79D9F681">
      <w:pPr>
        <w:wordWrap w:val="0"/>
        <w:spacing w:line="360" w:lineRule="auto"/>
        <w:ind w:left="1185" w:leftChars="450" w:hanging="240" w:hangingChars="100"/>
        <w:rPr>
          <w:rFonts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6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⑹</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采购代理机构做好开标记录，供应商在解密完成后点击【查看开标记录】查看开标记录，并在线确认开标结果；</w:t>
      </w:r>
    </w:p>
    <w:p w14:paraId="19DAC459">
      <w:pPr>
        <w:spacing w:line="360" w:lineRule="auto"/>
        <w:ind w:left="960" w:hanging="960" w:hangingChars="400"/>
        <w:rPr>
          <w:rFonts w:ascii="仿宋" w:hAnsi="仿宋" w:eastAsia="仿宋" w:cs="仿宋"/>
          <w:color w:val="auto"/>
          <w:sz w:val="24"/>
          <w:highlight w:val="none"/>
        </w:rPr>
      </w:pPr>
      <w:r>
        <w:rPr>
          <w:rFonts w:hint="eastAsia" w:ascii="仿宋" w:hAnsi="仿宋" w:eastAsia="仿宋" w:cs="仿宋"/>
          <w:color w:val="auto"/>
          <w:sz w:val="24"/>
          <w:highlight w:val="none"/>
        </w:rPr>
        <w:t>6.1.4   供应商代表对开标过程和开标记录有疑义，以及认为采购人、采购代理机构相关工作人员有需要回避的情形，应通过电子邮件、传真等形式向采购代理机构提出询问或回避申请；</w:t>
      </w:r>
    </w:p>
    <w:p w14:paraId="2C4E4F4D">
      <w:pPr>
        <w:spacing w:line="360" w:lineRule="auto"/>
        <w:ind w:left="960" w:hanging="960" w:hangingChars="400"/>
        <w:rPr>
          <w:rFonts w:ascii="仿宋" w:hAnsi="仿宋" w:eastAsia="仿宋" w:cs="仿宋"/>
          <w:color w:val="auto"/>
          <w:sz w:val="24"/>
          <w:highlight w:val="none"/>
        </w:rPr>
      </w:pPr>
      <w:r>
        <w:rPr>
          <w:rFonts w:hint="eastAsia" w:ascii="仿宋" w:hAnsi="仿宋" w:eastAsia="仿宋" w:cs="仿宋"/>
          <w:color w:val="auto"/>
          <w:sz w:val="24"/>
          <w:highlight w:val="none"/>
        </w:rPr>
        <w:t xml:space="preserve">6.1.5   </w:t>
      </w:r>
      <w:r>
        <w:rPr>
          <w:rFonts w:hint="eastAsia" w:ascii="仿宋" w:hAnsi="仿宋" w:eastAsia="仿宋" w:cs="仿宋"/>
          <w:color w:val="auto"/>
          <w:kern w:val="0"/>
          <w:sz w:val="24"/>
          <w:highlight w:val="none"/>
        </w:rPr>
        <w:t>开标会议结束。</w:t>
      </w:r>
      <w:r>
        <w:rPr>
          <w:rFonts w:hint="eastAsia" w:ascii="仿宋" w:hAnsi="仿宋" w:eastAsia="仿宋" w:cs="仿宋"/>
          <w:color w:val="auto"/>
          <w:sz w:val="24"/>
          <w:highlight w:val="none"/>
        </w:rPr>
        <w:t xml:space="preserve"> </w:t>
      </w:r>
    </w:p>
    <w:p w14:paraId="4E63F4BB">
      <w:pPr>
        <w:pStyle w:val="30"/>
        <w:rPr>
          <w:rFonts w:ascii="仿宋" w:hAnsi="仿宋" w:eastAsia="仿宋" w:cs="仿宋"/>
          <w:color w:val="auto"/>
          <w:highlight w:val="none"/>
        </w:rPr>
      </w:pPr>
      <w:bookmarkStart w:id="269" w:name="_Toc27704"/>
      <w:r>
        <w:rPr>
          <w:rFonts w:hint="eastAsia" w:ascii="仿宋" w:hAnsi="仿宋" w:eastAsia="仿宋" w:cs="仿宋"/>
          <w:color w:val="auto"/>
          <w:highlight w:val="none"/>
        </w:rPr>
        <w:t>6.2     资格审查</w:t>
      </w:r>
      <w:bookmarkEnd w:id="267"/>
      <w:bookmarkEnd w:id="268"/>
      <w:bookmarkEnd w:id="269"/>
    </w:p>
    <w:p w14:paraId="20DCB8CE">
      <w:pPr>
        <w:spacing w:line="360" w:lineRule="auto"/>
        <w:ind w:left="960" w:hanging="960" w:hangingChars="400"/>
        <w:rPr>
          <w:rFonts w:ascii="仿宋" w:hAnsi="仿宋" w:eastAsia="仿宋" w:cs="仿宋"/>
          <w:color w:val="auto"/>
          <w:sz w:val="24"/>
          <w:highlight w:val="none"/>
        </w:rPr>
      </w:pPr>
      <w:r>
        <w:rPr>
          <w:rFonts w:hint="eastAsia" w:ascii="仿宋" w:hAnsi="仿宋" w:eastAsia="仿宋" w:cs="仿宋"/>
          <w:color w:val="auto"/>
          <w:sz w:val="24"/>
          <w:highlight w:val="none"/>
        </w:rPr>
        <w:t>6.2.1   资格审查内容：</w:t>
      </w:r>
    </w:p>
    <w:p w14:paraId="4F547E5F">
      <w:pPr>
        <w:spacing w:line="360" w:lineRule="auto"/>
        <w:ind w:left="945" w:leftChars="450"/>
        <w:rPr>
          <w:rFonts w:ascii="仿宋" w:hAnsi="仿宋" w:eastAsia="仿宋" w:cs="仿宋"/>
          <w:color w:val="auto"/>
          <w:sz w:val="24"/>
          <w:highlight w:val="none"/>
        </w:rPr>
      </w:pPr>
      <w:r>
        <w:rPr>
          <w:rFonts w:hint="eastAsia" w:ascii="仿宋" w:hAnsi="仿宋" w:eastAsia="仿宋" w:cs="仿宋"/>
          <w:color w:val="auto"/>
          <w:sz w:val="24"/>
          <w:highlight w:val="none"/>
        </w:rPr>
        <w:t>采购人或采购代理机构按竞争性磋商采购公告内供应商资格要求及本章第3.4条资格审查文件的组成内容进行审查；</w:t>
      </w:r>
    </w:p>
    <w:p w14:paraId="255D4CB2">
      <w:pPr>
        <w:spacing w:line="360" w:lineRule="auto"/>
        <w:ind w:left="960" w:hanging="960" w:hangingChars="400"/>
        <w:rPr>
          <w:rFonts w:ascii="仿宋" w:hAnsi="仿宋" w:eastAsia="仿宋" w:cs="仿宋"/>
          <w:color w:val="auto"/>
          <w:sz w:val="24"/>
          <w:highlight w:val="none"/>
        </w:rPr>
      </w:pPr>
      <w:r>
        <w:rPr>
          <w:rFonts w:hint="eastAsia" w:ascii="仿宋" w:hAnsi="仿宋" w:eastAsia="仿宋" w:cs="仿宋"/>
          <w:color w:val="auto"/>
          <w:sz w:val="24"/>
          <w:highlight w:val="none"/>
        </w:rPr>
        <w:t xml:space="preserve">6.2.2   </w:t>
      </w:r>
      <w:r>
        <w:rPr>
          <w:rFonts w:hint="eastAsia" w:ascii="仿宋" w:hAnsi="仿宋" w:eastAsia="仿宋" w:cs="仿宋"/>
          <w:color w:val="auto"/>
          <w:sz w:val="24"/>
          <w:highlight w:val="none"/>
        </w:rPr>
        <w:sym w:font="Wingdings 3" w:char="F070"/>
      </w:r>
      <w:r>
        <w:rPr>
          <w:rFonts w:hint="eastAsia" w:ascii="仿宋" w:hAnsi="仿宋" w:eastAsia="仿宋" w:cs="仿宋"/>
          <w:color w:val="auto"/>
          <w:sz w:val="24"/>
          <w:highlight w:val="none"/>
        </w:rPr>
        <w:t>资格审查：全部满足下表要求的供应商为合格供应商，否则资格审查不予以通过；</w:t>
      </w:r>
    </w:p>
    <w:tbl>
      <w:tblPr>
        <w:tblStyle w:val="20"/>
        <w:tblW w:w="86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1843"/>
        <w:gridCol w:w="6222"/>
      </w:tblGrid>
      <w:tr w14:paraId="72ECD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vAlign w:val="center"/>
          </w:tcPr>
          <w:p w14:paraId="63C14651">
            <w:pPr>
              <w:ind w:left="-90" w:leftChars="-43" w:right="-101" w:rightChars="-48"/>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vAlign w:val="center"/>
          </w:tcPr>
          <w:p w14:paraId="78AEF66A">
            <w:pPr>
              <w:ind w:left="-92" w:leftChars="-44" w:right="-80" w:rightChars="-38"/>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资格审查内容</w:t>
            </w:r>
          </w:p>
        </w:tc>
        <w:tc>
          <w:tcPr>
            <w:tcW w:w="6222" w:type="dxa"/>
            <w:vAlign w:val="center"/>
          </w:tcPr>
          <w:p w14:paraId="403086F8">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审查因素</w:t>
            </w:r>
          </w:p>
        </w:tc>
      </w:tr>
      <w:tr w14:paraId="5F1CD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vMerge w:val="restart"/>
            <w:vAlign w:val="center"/>
          </w:tcPr>
          <w:p w14:paraId="3ED64825">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843" w:type="dxa"/>
            <w:vAlign w:val="center"/>
          </w:tcPr>
          <w:p w14:paraId="0A76C230">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营业执照</w:t>
            </w:r>
          </w:p>
        </w:tc>
        <w:tc>
          <w:tcPr>
            <w:tcW w:w="6222" w:type="dxa"/>
            <w:vAlign w:val="center"/>
          </w:tcPr>
          <w:p w14:paraId="3BA71D7F">
            <w:pPr>
              <w:ind w:left="-92" w:leftChars="-44" w:firstLine="91" w:firstLineChars="38"/>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营业期限在有效期内；</w:t>
            </w:r>
          </w:p>
        </w:tc>
      </w:tr>
      <w:tr w14:paraId="75CE3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vMerge w:val="continue"/>
            <w:vAlign w:val="center"/>
          </w:tcPr>
          <w:p w14:paraId="70957FCD">
            <w:pPr>
              <w:jc w:val="center"/>
              <w:rPr>
                <w:rFonts w:ascii="仿宋" w:hAnsi="仿宋" w:eastAsia="仿宋" w:cs="仿宋"/>
                <w:color w:val="auto"/>
                <w:sz w:val="24"/>
                <w:highlight w:val="none"/>
              </w:rPr>
            </w:pPr>
          </w:p>
        </w:tc>
        <w:tc>
          <w:tcPr>
            <w:tcW w:w="1843" w:type="dxa"/>
            <w:vAlign w:val="center"/>
          </w:tcPr>
          <w:p w14:paraId="73A4AA77">
            <w:pPr>
              <w:ind w:left="-92" w:leftChars="-44" w:right="-80" w:rightChars="-38"/>
              <w:jc w:val="center"/>
              <w:rPr>
                <w:rFonts w:ascii="仿宋" w:hAnsi="仿宋" w:eastAsia="仿宋" w:cs="仿宋"/>
                <w:color w:val="auto"/>
                <w:sz w:val="24"/>
                <w:highlight w:val="none"/>
              </w:rPr>
            </w:pPr>
            <w:r>
              <w:rPr>
                <w:rFonts w:hint="eastAsia" w:ascii="仿宋" w:hAnsi="仿宋" w:eastAsia="仿宋" w:cs="仿宋"/>
                <w:color w:val="auto"/>
                <w:sz w:val="24"/>
                <w:szCs w:val="24"/>
                <w:highlight w:val="none"/>
              </w:rPr>
              <w:t>负责人身份</w:t>
            </w:r>
          </w:p>
        </w:tc>
        <w:tc>
          <w:tcPr>
            <w:tcW w:w="6222" w:type="dxa"/>
            <w:vAlign w:val="center"/>
          </w:tcPr>
          <w:p w14:paraId="20A3C2F8">
            <w:pPr>
              <w:ind w:left="-92" w:leftChars="-44" w:firstLine="91" w:firstLineChars="38"/>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 负责人身份证正、反面电子文档；</w:t>
            </w:r>
          </w:p>
          <w:p w14:paraId="6D11DF69">
            <w:pPr>
              <w:ind w:right="-80" w:rightChars="-38"/>
              <w:jc w:val="left"/>
              <w:rPr>
                <w:rFonts w:ascii="仿宋" w:hAnsi="仿宋" w:eastAsia="仿宋" w:cs="仿宋"/>
                <w:color w:val="auto"/>
                <w:sz w:val="24"/>
                <w:highlight w:val="none"/>
              </w:rPr>
            </w:pPr>
            <w:r>
              <w:rPr>
                <w:rFonts w:hint="eastAsia" w:ascii="仿宋" w:hAnsi="仿宋" w:eastAsia="仿宋" w:cs="仿宋"/>
                <w:color w:val="auto"/>
                <w:sz w:val="24"/>
                <w:szCs w:val="24"/>
                <w:highlight w:val="none"/>
              </w:rPr>
              <w:t>2. 和营业执照上的法定代表人或负责人一致；</w:t>
            </w:r>
          </w:p>
        </w:tc>
      </w:tr>
      <w:tr w14:paraId="3D2B8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vMerge w:val="continue"/>
            <w:vAlign w:val="center"/>
          </w:tcPr>
          <w:p w14:paraId="728ADF59">
            <w:pPr>
              <w:jc w:val="center"/>
              <w:rPr>
                <w:rFonts w:ascii="仿宋" w:hAnsi="仿宋" w:eastAsia="仿宋" w:cs="仿宋"/>
                <w:color w:val="auto"/>
                <w:sz w:val="24"/>
                <w:highlight w:val="none"/>
              </w:rPr>
            </w:pPr>
          </w:p>
        </w:tc>
        <w:tc>
          <w:tcPr>
            <w:tcW w:w="1843" w:type="dxa"/>
            <w:vAlign w:val="center"/>
          </w:tcPr>
          <w:p w14:paraId="77A6F821">
            <w:pPr>
              <w:ind w:left="-92" w:leftChars="-44" w:right="-80" w:rightChars="-38"/>
              <w:jc w:val="center"/>
              <w:rPr>
                <w:rFonts w:ascii="仿宋" w:hAnsi="仿宋" w:eastAsia="仿宋" w:cs="仿宋"/>
                <w:color w:val="auto"/>
                <w:sz w:val="24"/>
                <w:highlight w:val="none"/>
              </w:rPr>
            </w:pPr>
            <w:r>
              <w:rPr>
                <w:rFonts w:hint="eastAsia" w:ascii="仿宋" w:hAnsi="仿宋" w:eastAsia="仿宋" w:cs="仿宋"/>
                <w:color w:val="auto"/>
                <w:sz w:val="24"/>
                <w:szCs w:val="24"/>
                <w:highlight w:val="none"/>
              </w:rPr>
              <w:t>授权委托书及委托代理人</w:t>
            </w:r>
          </w:p>
        </w:tc>
        <w:tc>
          <w:tcPr>
            <w:tcW w:w="6222" w:type="dxa"/>
            <w:vAlign w:val="center"/>
          </w:tcPr>
          <w:p w14:paraId="2AF2FE75">
            <w:pPr>
              <w:ind w:left="-92" w:leftChars="-44" w:firstLine="91" w:firstLineChars="38"/>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 是否按授权委托书格式内容填写且盖章；</w:t>
            </w:r>
          </w:p>
          <w:p w14:paraId="45D3ACFB">
            <w:pPr>
              <w:ind w:right="-80" w:rightChars="-38"/>
              <w:jc w:val="left"/>
              <w:rPr>
                <w:rFonts w:ascii="仿宋" w:hAnsi="仿宋" w:eastAsia="仿宋" w:cs="仿宋"/>
                <w:color w:val="auto"/>
                <w:sz w:val="24"/>
                <w:highlight w:val="none"/>
              </w:rPr>
            </w:pPr>
            <w:r>
              <w:rPr>
                <w:rFonts w:hint="eastAsia" w:ascii="仿宋" w:hAnsi="仿宋" w:eastAsia="仿宋" w:cs="仿宋"/>
                <w:color w:val="auto"/>
                <w:sz w:val="24"/>
                <w:szCs w:val="24"/>
                <w:highlight w:val="none"/>
              </w:rPr>
              <w:t>2. 委托代理人的身份证正、反面电子文档；</w:t>
            </w:r>
          </w:p>
        </w:tc>
      </w:tr>
      <w:tr w14:paraId="7A046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vAlign w:val="center"/>
          </w:tcPr>
          <w:p w14:paraId="0D220A73">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843" w:type="dxa"/>
            <w:vAlign w:val="center"/>
          </w:tcPr>
          <w:p w14:paraId="2A3E3B0A">
            <w:pPr>
              <w:ind w:left="-92" w:leftChars="-44" w:right="-80" w:rightChars="-38"/>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财务状况报告依法缴纳税收和社会保障资金</w:t>
            </w:r>
          </w:p>
        </w:tc>
        <w:tc>
          <w:tcPr>
            <w:tcW w:w="6222" w:type="dxa"/>
            <w:vAlign w:val="center"/>
          </w:tcPr>
          <w:p w14:paraId="60360E07">
            <w:pPr>
              <w:rPr>
                <w:rFonts w:ascii="仿宋" w:hAnsi="仿宋" w:eastAsia="仿宋" w:cs="仿宋"/>
                <w:color w:val="auto"/>
                <w:highlight w:val="none"/>
              </w:rPr>
            </w:pPr>
            <w:r>
              <w:rPr>
                <w:rFonts w:hint="eastAsia" w:ascii="仿宋" w:hAnsi="仿宋" w:eastAsia="仿宋" w:cs="仿宋"/>
                <w:color w:val="auto"/>
                <w:sz w:val="24"/>
                <w:szCs w:val="24"/>
                <w:highlight w:val="none"/>
              </w:rPr>
              <w:t>是否按《具有良好的财务会计制度、依法缴纳税收和社会保障资金的承诺函》格式填写且盖章</w:t>
            </w:r>
          </w:p>
        </w:tc>
      </w:tr>
      <w:tr w14:paraId="7E025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vAlign w:val="center"/>
          </w:tcPr>
          <w:p w14:paraId="7553BEA3">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843" w:type="dxa"/>
            <w:vAlign w:val="center"/>
          </w:tcPr>
          <w:p w14:paraId="1E7E8BF3">
            <w:pPr>
              <w:ind w:left="-92" w:leftChars="-44" w:right="-80" w:rightChars="-38"/>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履行合同所必需的设备和专业技术能力</w:t>
            </w:r>
          </w:p>
        </w:tc>
        <w:tc>
          <w:tcPr>
            <w:tcW w:w="6222" w:type="dxa"/>
            <w:vAlign w:val="center"/>
          </w:tcPr>
          <w:p w14:paraId="65ABFB26">
            <w:pPr>
              <w:ind w:left="13" w:leftChars="6"/>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是否按《具有履行合同所必需设备和专业技术能力的承诺函》格式填写且盖章</w:t>
            </w:r>
          </w:p>
        </w:tc>
      </w:tr>
      <w:tr w14:paraId="5DACC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vAlign w:val="center"/>
          </w:tcPr>
          <w:p w14:paraId="7A7BF108">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843" w:type="dxa"/>
            <w:vAlign w:val="center"/>
          </w:tcPr>
          <w:p w14:paraId="45C543A5">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无重大违法记录</w:t>
            </w:r>
          </w:p>
        </w:tc>
        <w:tc>
          <w:tcPr>
            <w:tcW w:w="6222" w:type="dxa"/>
            <w:vAlign w:val="center"/>
          </w:tcPr>
          <w:p w14:paraId="21705044">
            <w:pPr>
              <w:ind w:left="-92" w:leftChars="-44" w:firstLine="91" w:firstLineChars="38"/>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是否按《无重大违法记录声明书》格式填写且盖章</w:t>
            </w:r>
          </w:p>
        </w:tc>
      </w:tr>
      <w:tr w14:paraId="5E28F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vAlign w:val="center"/>
          </w:tcPr>
          <w:p w14:paraId="4F69D2B9">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p>
        </w:tc>
        <w:tc>
          <w:tcPr>
            <w:tcW w:w="1843" w:type="dxa"/>
            <w:vAlign w:val="center"/>
          </w:tcPr>
          <w:p w14:paraId="43EFA3C0">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信用信息查询</w:t>
            </w:r>
          </w:p>
        </w:tc>
        <w:tc>
          <w:tcPr>
            <w:tcW w:w="6222" w:type="dxa"/>
            <w:vAlign w:val="center"/>
          </w:tcPr>
          <w:p w14:paraId="1F3646D1">
            <w:pPr>
              <w:ind w:left="-92" w:leftChars="-44" w:firstLine="91" w:firstLineChars="38"/>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 查询网址：</w:t>
            </w:r>
          </w:p>
          <w:p w14:paraId="008F8A73">
            <w:pPr>
              <w:ind w:left="-92" w:leftChars="-44" w:firstLine="91" w:firstLineChars="38"/>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 1 \* GB2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⑴</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信用中国（</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24"/>
                <w:rFonts w:hint="eastAsia" w:ascii="仿宋" w:hAnsi="仿宋" w:eastAsia="仿宋" w:cs="仿宋"/>
                <w:color w:val="auto"/>
                <w:sz w:val="24"/>
                <w:szCs w:val="24"/>
                <w:highlight w:val="none"/>
                <w:u w:val="none"/>
              </w:rPr>
              <w:t>www.creditchina.gov.cn</w:t>
            </w:r>
            <w:r>
              <w:rPr>
                <w:rStyle w:val="24"/>
                <w:rFonts w:hint="eastAsia" w:ascii="仿宋" w:hAnsi="仿宋" w:eastAsia="仿宋" w:cs="仿宋"/>
                <w:color w:val="auto"/>
                <w:sz w:val="24"/>
                <w:szCs w:val="24"/>
                <w:highlight w:val="none"/>
                <w:u w:val="none"/>
              </w:rPr>
              <w:fldChar w:fldCharType="end"/>
            </w:r>
            <w:r>
              <w:rPr>
                <w:rFonts w:hint="eastAsia" w:ascii="仿宋" w:hAnsi="仿宋" w:eastAsia="仿宋" w:cs="仿宋"/>
                <w:color w:val="auto"/>
                <w:sz w:val="24"/>
                <w:szCs w:val="24"/>
                <w:highlight w:val="none"/>
              </w:rPr>
              <w:t>）</w:t>
            </w:r>
          </w:p>
          <w:p w14:paraId="7ED0FDC5">
            <w:pPr>
              <w:ind w:left="-92" w:leftChars="-44" w:firstLine="91" w:firstLineChars="38"/>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 2 \* GB2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⑵</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Style w:val="24"/>
                <w:rFonts w:hint="eastAsia" w:ascii="仿宋" w:hAnsi="仿宋" w:eastAsia="仿宋" w:cs="仿宋"/>
                <w:color w:val="auto"/>
                <w:sz w:val="24"/>
                <w:szCs w:val="24"/>
                <w:highlight w:val="none"/>
                <w:u w:val="none"/>
              </w:rPr>
              <w:t>www.ccgp.gov.cn</w:t>
            </w:r>
            <w:r>
              <w:rPr>
                <w:rStyle w:val="24"/>
                <w:rFonts w:hint="eastAsia" w:ascii="仿宋" w:hAnsi="仿宋" w:eastAsia="仿宋" w:cs="仿宋"/>
                <w:color w:val="auto"/>
                <w:sz w:val="24"/>
                <w:szCs w:val="24"/>
                <w:highlight w:val="none"/>
                <w:u w:val="none"/>
              </w:rPr>
              <w:fldChar w:fldCharType="end"/>
            </w:r>
            <w:r>
              <w:rPr>
                <w:rFonts w:hint="eastAsia" w:ascii="仿宋" w:hAnsi="仿宋" w:eastAsia="仿宋" w:cs="仿宋"/>
                <w:color w:val="auto"/>
                <w:sz w:val="24"/>
                <w:szCs w:val="24"/>
                <w:highlight w:val="none"/>
              </w:rPr>
              <w:t>）</w:t>
            </w:r>
          </w:p>
          <w:p w14:paraId="04D8EAF5">
            <w:pPr>
              <w:ind w:left="-92" w:leftChars="-44" w:firstLine="91" w:firstLineChars="38"/>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 核对事项：</w:t>
            </w:r>
          </w:p>
          <w:p w14:paraId="60C6B6FC">
            <w:pPr>
              <w:ind w:left="-92" w:leftChars="-44" w:firstLine="91" w:firstLineChars="38"/>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有无被列入失信被执行人、重大税收违法案件当事人名单、政府采购严重违法失信行为记录名单；</w:t>
            </w:r>
          </w:p>
          <w:p w14:paraId="713AA272">
            <w:pPr>
              <w:ind w:left="-92" w:leftChars="-44" w:firstLine="92" w:firstLineChars="38"/>
              <w:jc w:val="left"/>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注：</w:t>
            </w:r>
            <w:r>
              <w:rPr>
                <w:rFonts w:hint="eastAsia" w:ascii="仿宋" w:hAnsi="仿宋" w:eastAsia="仿宋" w:cs="仿宋"/>
                <w:color w:val="auto"/>
                <w:sz w:val="24"/>
                <w:szCs w:val="24"/>
                <w:highlight w:val="none"/>
              </w:rPr>
              <w:t>信用信息已修复的，以修复后的信息为准。</w:t>
            </w:r>
          </w:p>
        </w:tc>
      </w:tr>
      <w:tr w14:paraId="61891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vAlign w:val="center"/>
          </w:tcPr>
          <w:p w14:paraId="1D5EBC22">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w:t>
            </w:r>
          </w:p>
        </w:tc>
        <w:tc>
          <w:tcPr>
            <w:tcW w:w="1843" w:type="dxa"/>
            <w:vAlign w:val="center"/>
          </w:tcPr>
          <w:p w14:paraId="7A81D3A7">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特定资格条件（若有）</w:t>
            </w:r>
          </w:p>
        </w:tc>
        <w:tc>
          <w:tcPr>
            <w:tcW w:w="6222" w:type="dxa"/>
            <w:vAlign w:val="center"/>
          </w:tcPr>
          <w:p w14:paraId="6760EEB6">
            <w:pPr>
              <w:ind w:left="-92" w:leftChars="-44" w:firstLine="91" w:firstLineChars="38"/>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提供特定资格条件相关证书电子文档。</w:t>
            </w:r>
          </w:p>
        </w:tc>
      </w:tr>
      <w:tr w14:paraId="4880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69" w:type="dxa"/>
            <w:gridSpan w:val="3"/>
            <w:vAlign w:val="center"/>
          </w:tcPr>
          <w:p w14:paraId="76435234">
            <w:pPr>
              <w:jc w:val="left"/>
              <w:rPr>
                <w:rFonts w:ascii="仿宋" w:hAnsi="仿宋" w:eastAsia="仿宋" w:cs="仿宋"/>
                <w:b/>
                <w:color w:val="auto"/>
                <w:sz w:val="24"/>
                <w:highlight w:val="none"/>
              </w:rPr>
            </w:pPr>
            <w:r>
              <w:rPr>
                <w:rFonts w:hint="eastAsia" w:ascii="仿宋" w:hAnsi="仿宋" w:eastAsia="仿宋" w:cs="仿宋"/>
                <w:b/>
                <w:color w:val="auto"/>
                <w:sz w:val="24"/>
                <w:highlight w:val="none"/>
              </w:rPr>
              <w:t>注：以上资料内容须清晰可辨的，模糊不清造成资格审查不予以通过，由供应商自行负责。</w:t>
            </w:r>
          </w:p>
        </w:tc>
      </w:tr>
    </w:tbl>
    <w:p w14:paraId="63B960EE">
      <w:pPr>
        <w:spacing w:line="360" w:lineRule="auto"/>
        <w:ind w:left="964" w:hanging="964" w:hangingChars="400"/>
        <w:rPr>
          <w:rFonts w:ascii="仿宋" w:hAnsi="仿宋" w:eastAsia="仿宋" w:cs="仿宋"/>
          <w:b/>
          <w:color w:val="auto"/>
          <w:sz w:val="24"/>
          <w:highlight w:val="none"/>
        </w:rPr>
      </w:pPr>
      <w:bookmarkStart w:id="270" w:name="_Toc531359020"/>
      <w:r>
        <w:rPr>
          <w:rFonts w:hint="eastAsia" w:ascii="仿宋" w:hAnsi="仿宋" w:eastAsia="仿宋" w:cs="仿宋"/>
          <w:b/>
          <w:color w:val="auto"/>
          <w:sz w:val="24"/>
          <w:highlight w:val="none"/>
        </w:rPr>
        <w:t>6.2.3   供应商家数要求</w:t>
      </w:r>
    </w:p>
    <w:p w14:paraId="47526E17">
      <w:pPr>
        <w:spacing w:line="360" w:lineRule="auto"/>
        <w:ind w:left="1186" w:leftChars="450" w:hanging="241" w:hangingChars="100"/>
        <w:rPr>
          <w:rFonts w:ascii="仿宋" w:hAnsi="仿宋" w:eastAsia="仿宋" w:cs="仿宋"/>
          <w:b/>
          <w:color w:val="auto"/>
          <w:sz w:val="24"/>
          <w:highlight w:val="none"/>
        </w:rPr>
      </w:pPr>
      <w:r>
        <w:rPr>
          <w:rFonts w:hint="eastAsia" w:ascii="仿宋" w:hAnsi="仿宋" w:eastAsia="仿宋" w:cs="仿宋"/>
          <w:b/>
          <w:color w:val="auto"/>
          <w:sz w:val="24"/>
          <w:highlight w:val="none"/>
        </w:rPr>
        <w:fldChar w:fldCharType="begin"/>
      </w:r>
      <w:r>
        <w:rPr>
          <w:rFonts w:hint="eastAsia" w:ascii="仿宋" w:hAnsi="仿宋" w:eastAsia="仿宋" w:cs="仿宋"/>
          <w:b/>
          <w:color w:val="auto"/>
          <w:sz w:val="24"/>
          <w:highlight w:val="none"/>
        </w:rPr>
        <w:instrText xml:space="preserve"> = 1 \* GB2 </w:instrText>
      </w:r>
      <w:r>
        <w:rPr>
          <w:rFonts w:hint="eastAsia" w:ascii="仿宋" w:hAnsi="仿宋" w:eastAsia="仿宋" w:cs="仿宋"/>
          <w:b/>
          <w:color w:val="auto"/>
          <w:sz w:val="24"/>
          <w:highlight w:val="none"/>
        </w:rPr>
        <w:fldChar w:fldCharType="separate"/>
      </w:r>
      <w:r>
        <w:rPr>
          <w:rFonts w:hint="eastAsia" w:ascii="仿宋" w:hAnsi="仿宋" w:eastAsia="仿宋" w:cs="仿宋"/>
          <w:b/>
          <w:color w:val="auto"/>
          <w:sz w:val="24"/>
          <w:highlight w:val="none"/>
        </w:rPr>
        <w:t>⑴</w:t>
      </w:r>
      <w:r>
        <w:rPr>
          <w:rFonts w:hint="eastAsia" w:ascii="仿宋" w:hAnsi="仿宋" w:eastAsia="仿宋" w:cs="仿宋"/>
          <w:b/>
          <w:color w:val="auto"/>
          <w:sz w:val="24"/>
          <w:highlight w:val="none"/>
        </w:rPr>
        <w:fldChar w:fldCharType="end"/>
      </w:r>
      <w:r>
        <w:rPr>
          <w:rFonts w:hint="eastAsia" w:ascii="仿宋" w:hAnsi="仿宋" w:eastAsia="仿宋" w:cs="仿宋"/>
          <w:b/>
          <w:color w:val="auto"/>
          <w:sz w:val="24"/>
          <w:highlight w:val="none"/>
        </w:rPr>
        <w:t>因市场竞争不充分的科研项目以及需要扶持的科技成果转化项目提交最后报价的供应商可以为2家；</w:t>
      </w:r>
    </w:p>
    <w:p w14:paraId="3D5BFA0E">
      <w:pPr>
        <w:spacing w:line="360" w:lineRule="auto"/>
        <w:ind w:left="1186" w:leftChars="450" w:hanging="241" w:hangingChars="100"/>
        <w:rPr>
          <w:rFonts w:ascii="仿宋" w:hAnsi="仿宋" w:eastAsia="仿宋" w:cs="仿宋"/>
          <w:b/>
          <w:color w:val="auto"/>
          <w:sz w:val="24"/>
          <w:highlight w:val="none"/>
        </w:rPr>
      </w:pPr>
      <w:r>
        <w:rPr>
          <w:rFonts w:hint="eastAsia" w:ascii="仿宋" w:hAnsi="仿宋" w:eastAsia="仿宋" w:cs="仿宋"/>
          <w:b/>
          <w:color w:val="auto"/>
          <w:sz w:val="24"/>
          <w:highlight w:val="none"/>
        </w:rPr>
        <w:fldChar w:fldCharType="begin"/>
      </w:r>
      <w:r>
        <w:rPr>
          <w:rFonts w:hint="eastAsia" w:ascii="仿宋" w:hAnsi="仿宋" w:eastAsia="仿宋" w:cs="仿宋"/>
          <w:b/>
          <w:color w:val="auto"/>
          <w:sz w:val="24"/>
          <w:highlight w:val="none"/>
        </w:rPr>
        <w:instrText xml:space="preserve"> = 2 \* GB2 </w:instrText>
      </w:r>
      <w:r>
        <w:rPr>
          <w:rFonts w:hint="eastAsia" w:ascii="仿宋" w:hAnsi="仿宋" w:eastAsia="仿宋" w:cs="仿宋"/>
          <w:b/>
          <w:color w:val="auto"/>
          <w:sz w:val="24"/>
          <w:highlight w:val="none"/>
        </w:rPr>
        <w:fldChar w:fldCharType="separate"/>
      </w:r>
      <w:r>
        <w:rPr>
          <w:rFonts w:hint="eastAsia" w:ascii="仿宋" w:hAnsi="仿宋" w:eastAsia="仿宋" w:cs="仿宋"/>
          <w:b/>
          <w:color w:val="auto"/>
          <w:sz w:val="24"/>
          <w:highlight w:val="none"/>
        </w:rPr>
        <w:t>⑵</w:t>
      </w:r>
      <w:r>
        <w:rPr>
          <w:rFonts w:hint="eastAsia" w:ascii="仿宋" w:hAnsi="仿宋" w:eastAsia="仿宋" w:cs="仿宋"/>
          <w:b/>
          <w:color w:val="auto"/>
          <w:sz w:val="24"/>
          <w:highlight w:val="none"/>
        </w:rPr>
        <w:fldChar w:fldCharType="end"/>
      </w:r>
      <w:r>
        <w:rPr>
          <w:rFonts w:hint="eastAsia" w:ascii="仿宋" w:hAnsi="仿宋" w:eastAsia="仿宋" w:cs="仿宋"/>
          <w:b/>
          <w:color w:val="auto"/>
          <w:sz w:val="24"/>
          <w:highlight w:val="none"/>
        </w:rPr>
        <w:t>政府购买服务项目（含政府和社会资格合作项目）在资格审查、符合性审查、提交最后报价过程中，符合要求的供应商只有2家的，采购活动可以继续进行；</w:t>
      </w:r>
    </w:p>
    <w:p w14:paraId="4C84ADE2">
      <w:pPr>
        <w:spacing w:line="360" w:lineRule="auto"/>
        <w:ind w:left="1186" w:leftChars="450" w:hanging="241" w:hangingChars="100"/>
        <w:rPr>
          <w:rFonts w:ascii="仿宋" w:hAnsi="仿宋" w:eastAsia="仿宋" w:cs="仿宋"/>
          <w:b/>
          <w:color w:val="auto"/>
          <w:sz w:val="24"/>
          <w:highlight w:val="none"/>
        </w:rPr>
      </w:pPr>
      <w:r>
        <w:rPr>
          <w:rFonts w:hint="eastAsia" w:ascii="仿宋" w:hAnsi="仿宋" w:eastAsia="仿宋" w:cs="仿宋"/>
          <w:b/>
          <w:color w:val="auto"/>
          <w:sz w:val="24"/>
          <w:highlight w:val="none"/>
        </w:rPr>
        <w:fldChar w:fldCharType="begin"/>
      </w:r>
      <w:r>
        <w:rPr>
          <w:rFonts w:hint="eastAsia" w:ascii="仿宋" w:hAnsi="仿宋" w:eastAsia="仿宋" w:cs="仿宋"/>
          <w:b/>
          <w:color w:val="auto"/>
          <w:sz w:val="24"/>
          <w:highlight w:val="none"/>
        </w:rPr>
        <w:instrText xml:space="preserve"> = 3 \* GB2 </w:instrText>
      </w:r>
      <w:r>
        <w:rPr>
          <w:rFonts w:hint="eastAsia" w:ascii="仿宋" w:hAnsi="仿宋" w:eastAsia="仿宋" w:cs="仿宋"/>
          <w:b/>
          <w:color w:val="auto"/>
          <w:sz w:val="24"/>
          <w:highlight w:val="none"/>
        </w:rPr>
        <w:fldChar w:fldCharType="separate"/>
      </w:r>
      <w:r>
        <w:rPr>
          <w:rFonts w:hint="eastAsia" w:ascii="仿宋" w:hAnsi="仿宋" w:eastAsia="仿宋" w:cs="仿宋"/>
          <w:b/>
          <w:color w:val="auto"/>
          <w:sz w:val="24"/>
          <w:highlight w:val="none"/>
        </w:rPr>
        <w:t>⑶</w:t>
      </w:r>
      <w:r>
        <w:rPr>
          <w:rFonts w:hint="eastAsia" w:ascii="仿宋" w:hAnsi="仿宋" w:eastAsia="仿宋" w:cs="仿宋"/>
          <w:b/>
          <w:color w:val="auto"/>
          <w:sz w:val="24"/>
          <w:highlight w:val="none"/>
        </w:rPr>
        <w:fldChar w:fldCharType="end"/>
      </w:r>
      <w:r>
        <w:rPr>
          <w:rFonts w:hint="eastAsia" w:ascii="仿宋" w:hAnsi="仿宋" w:eastAsia="仿宋" w:cs="仿宋"/>
          <w:b/>
          <w:color w:val="auto"/>
          <w:sz w:val="24"/>
          <w:highlight w:val="none"/>
        </w:rPr>
        <w:t>上述2种情形除外，采购过程中有效供应商均不的少于3家，否则不得进入评审，并按相关规定重新组织采购。</w:t>
      </w:r>
    </w:p>
    <w:p w14:paraId="75578D96">
      <w:pPr>
        <w:pStyle w:val="30"/>
        <w:rPr>
          <w:rFonts w:ascii="仿宋" w:hAnsi="仿宋" w:eastAsia="仿宋" w:cs="仿宋"/>
          <w:color w:val="auto"/>
          <w:highlight w:val="none"/>
        </w:rPr>
      </w:pPr>
      <w:bookmarkStart w:id="271" w:name="_Toc5574"/>
      <w:r>
        <w:rPr>
          <w:rFonts w:hint="eastAsia" w:ascii="仿宋" w:hAnsi="仿宋" w:eastAsia="仿宋" w:cs="仿宋"/>
          <w:color w:val="auto"/>
          <w:highlight w:val="none"/>
        </w:rPr>
        <w:t xml:space="preserve">6.3     </w:t>
      </w:r>
      <w:bookmarkEnd w:id="270"/>
      <w:r>
        <w:rPr>
          <w:rFonts w:hint="eastAsia" w:ascii="仿宋" w:hAnsi="仿宋" w:eastAsia="仿宋" w:cs="仿宋"/>
          <w:color w:val="auto"/>
          <w:highlight w:val="none"/>
        </w:rPr>
        <w:t>磋商和评审</w:t>
      </w:r>
      <w:bookmarkEnd w:id="271"/>
    </w:p>
    <w:p w14:paraId="58ABEF1E">
      <w:pPr>
        <w:pStyle w:val="4"/>
        <w:spacing w:line="360" w:lineRule="auto"/>
        <w:ind w:firstLine="0"/>
        <w:rPr>
          <w:rFonts w:ascii="仿宋" w:hAnsi="仿宋" w:eastAsia="仿宋" w:cs="仿宋"/>
          <w:color w:val="auto"/>
          <w:highlight w:val="none"/>
        </w:rPr>
      </w:pPr>
      <w:r>
        <w:rPr>
          <w:rFonts w:hint="eastAsia" w:ascii="仿宋" w:hAnsi="仿宋" w:eastAsia="仿宋" w:cs="仿宋"/>
          <w:color w:val="auto"/>
          <w:sz w:val="24"/>
          <w:highlight w:val="none"/>
        </w:rPr>
        <w:t>6.3.1   评审办法：见供应商须知前附表（一）；</w:t>
      </w:r>
    </w:p>
    <w:p w14:paraId="345847D4">
      <w:pPr>
        <w:spacing w:line="360" w:lineRule="auto"/>
        <w:ind w:left="960" w:hanging="960" w:hangingChars="400"/>
        <w:rPr>
          <w:rFonts w:ascii="仿宋" w:hAnsi="仿宋" w:eastAsia="仿宋" w:cs="仿宋"/>
          <w:color w:val="auto"/>
          <w:sz w:val="24"/>
          <w:highlight w:val="none"/>
        </w:rPr>
      </w:pPr>
      <w:r>
        <w:rPr>
          <w:rFonts w:hint="eastAsia" w:ascii="仿宋" w:hAnsi="仿宋" w:eastAsia="仿宋" w:cs="仿宋"/>
          <w:color w:val="auto"/>
          <w:sz w:val="24"/>
          <w:highlight w:val="none"/>
        </w:rPr>
        <w:t>6.3.2   磋商小组由采购代理机构组建：磋商小组由评审专家或采购人代表和评审专家组成，成员人数为3人以上单数，其中评审专家不少于成员总数的三分之二。评审专家按规定从评审专家库中随机抽取。如有特殊情况的，按相关规定组建磋商小组；</w:t>
      </w:r>
    </w:p>
    <w:p w14:paraId="4BF28B68">
      <w:pPr>
        <w:spacing w:line="360" w:lineRule="auto"/>
        <w:ind w:left="960" w:hanging="960" w:hangingChars="400"/>
        <w:rPr>
          <w:rFonts w:ascii="仿宋" w:hAnsi="仿宋" w:eastAsia="仿宋" w:cs="仿宋"/>
          <w:color w:val="auto"/>
          <w:sz w:val="24"/>
          <w:highlight w:val="none"/>
        </w:rPr>
      </w:pPr>
      <w:r>
        <w:rPr>
          <w:rFonts w:hint="eastAsia" w:ascii="仿宋" w:hAnsi="仿宋" w:eastAsia="仿宋" w:cs="仿宋"/>
          <w:color w:val="auto"/>
          <w:sz w:val="24"/>
          <w:highlight w:val="none"/>
        </w:rPr>
        <w:t>6.3.3   磋商和评审由磋商小组负责，磋商小组应当按照客观、公正、审慎的原则，根据磋商文件规定磋商和评审程序、评审办法和评审标准进行磋商、独立评审；</w:t>
      </w:r>
    </w:p>
    <w:p w14:paraId="473ADEFC">
      <w:pPr>
        <w:spacing w:line="360" w:lineRule="auto"/>
        <w:ind w:left="960" w:hanging="960" w:hangingChars="400"/>
        <w:rPr>
          <w:rFonts w:ascii="仿宋" w:hAnsi="仿宋" w:eastAsia="仿宋" w:cs="仿宋"/>
          <w:color w:val="auto"/>
          <w:sz w:val="24"/>
          <w:highlight w:val="none"/>
        </w:rPr>
      </w:pPr>
      <w:r>
        <w:rPr>
          <w:rFonts w:hint="eastAsia" w:ascii="仿宋" w:hAnsi="仿宋" w:eastAsia="仿宋" w:cs="仿宋"/>
          <w:color w:val="auto"/>
          <w:sz w:val="24"/>
          <w:highlight w:val="none"/>
        </w:rPr>
        <w:t>6.3.4   磋商期间，磋商供应商代表必须在线等待，负责解答有关事宜；</w:t>
      </w:r>
    </w:p>
    <w:p w14:paraId="67AE7EC9">
      <w:pPr>
        <w:spacing w:line="360" w:lineRule="auto"/>
        <w:ind w:left="960" w:hanging="960" w:hangingChars="400"/>
        <w:rPr>
          <w:rFonts w:ascii="仿宋" w:hAnsi="仿宋" w:eastAsia="仿宋" w:cs="仿宋"/>
          <w:color w:val="auto"/>
          <w:sz w:val="24"/>
          <w:highlight w:val="none"/>
        </w:rPr>
      </w:pPr>
      <w:r>
        <w:rPr>
          <w:rFonts w:hint="eastAsia" w:ascii="仿宋" w:hAnsi="仿宋" w:eastAsia="仿宋" w:cs="仿宋"/>
          <w:color w:val="auto"/>
          <w:sz w:val="24"/>
          <w:highlight w:val="none"/>
        </w:rPr>
        <w:t>6.3.5   磋商和评审程序</w:t>
      </w:r>
    </w:p>
    <w:p w14:paraId="5592CE6D">
      <w:pPr>
        <w:spacing w:line="360" w:lineRule="auto"/>
        <w:ind w:firstLine="964" w:firstLineChars="400"/>
        <w:jc w:val="left"/>
        <w:rPr>
          <w:rFonts w:ascii="仿宋" w:hAnsi="仿宋" w:eastAsia="仿宋" w:cs="仿宋"/>
          <w:b/>
          <w:color w:val="auto"/>
          <w:sz w:val="24"/>
          <w:highlight w:val="none"/>
        </w:rPr>
      </w:pPr>
      <w:r>
        <w:rPr>
          <w:rFonts w:hint="eastAsia" w:ascii="仿宋" w:hAnsi="仿宋" w:eastAsia="仿宋" w:cs="仿宋"/>
          <w:b/>
          <w:color w:val="auto"/>
          <w:sz w:val="24"/>
          <w:highlight w:val="none"/>
        </w:rPr>
        <w:fldChar w:fldCharType="begin"/>
      </w:r>
      <w:r>
        <w:rPr>
          <w:rFonts w:hint="eastAsia" w:ascii="仿宋" w:hAnsi="仿宋" w:eastAsia="仿宋" w:cs="仿宋"/>
          <w:b/>
          <w:color w:val="auto"/>
          <w:sz w:val="24"/>
          <w:highlight w:val="none"/>
        </w:rPr>
        <w:instrText xml:space="preserve"> = 1 \* GB2 </w:instrText>
      </w:r>
      <w:r>
        <w:rPr>
          <w:rFonts w:hint="eastAsia" w:ascii="仿宋" w:hAnsi="仿宋" w:eastAsia="仿宋" w:cs="仿宋"/>
          <w:b/>
          <w:color w:val="auto"/>
          <w:sz w:val="24"/>
          <w:highlight w:val="none"/>
        </w:rPr>
        <w:fldChar w:fldCharType="separate"/>
      </w:r>
      <w:r>
        <w:rPr>
          <w:rFonts w:hint="eastAsia" w:ascii="仿宋" w:hAnsi="仿宋" w:eastAsia="仿宋" w:cs="仿宋"/>
          <w:b/>
          <w:color w:val="auto"/>
          <w:sz w:val="24"/>
          <w:highlight w:val="none"/>
        </w:rPr>
        <w:t>⑴</w:t>
      </w:r>
      <w:r>
        <w:rPr>
          <w:rFonts w:hint="eastAsia" w:ascii="仿宋" w:hAnsi="仿宋" w:eastAsia="仿宋" w:cs="仿宋"/>
          <w:b/>
          <w:color w:val="auto"/>
          <w:sz w:val="24"/>
          <w:highlight w:val="none"/>
        </w:rPr>
        <w:fldChar w:fldCharType="end"/>
      </w:r>
      <w:r>
        <w:rPr>
          <w:rFonts w:hint="eastAsia" w:ascii="仿宋" w:hAnsi="仿宋" w:eastAsia="仿宋" w:cs="仿宋"/>
          <w:b/>
          <w:color w:val="auto"/>
          <w:sz w:val="24"/>
          <w:highlight w:val="none"/>
        </w:rPr>
        <w:t>符合性审查</w:t>
      </w:r>
    </w:p>
    <w:p w14:paraId="6341E4C8">
      <w:pPr>
        <w:spacing w:line="360" w:lineRule="auto"/>
        <w:ind w:left="1276"/>
        <w:jc w:val="left"/>
        <w:rPr>
          <w:rFonts w:ascii="仿宋" w:hAnsi="仿宋" w:eastAsia="仿宋" w:cs="仿宋"/>
          <w:color w:val="auto"/>
          <w:sz w:val="24"/>
          <w:highlight w:val="none"/>
        </w:rPr>
      </w:pPr>
      <w:r>
        <w:rPr>
          <w:rFonts w:hint="eastAsia" w:ascii="仿宋" w:hAnsi="仿宋" w:eastAsia="仿宋" w:cs="仿宋"/>
          <w:color w:val="auto"/>
          <w:sz w:val="24"/>
          <w:highlight w:val="none"/>
        </w:rPr>
        <w:t>磋商小组对磋商响应文件的有效性、完整性和对磋商文件的响应程度进行符合性审查，以确定是否对磋商文件的实质性要求作出响应，实质性响应是指磋商响应文件符合磋商文件规定的实质性内容、条件和规定；</w:t>
      </w:r>
    </w:p>
    <w:p w14:paraId="5BD49223">
      <w:pPr>
        <w:spacing w:line="360" w:lineRule="auto"/>
        <w:ind w:firstLine="723" w:firstLineChars="3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  </w:t>
      </w:r>
      <w:r>
        <w:rPr>
          <w:rFonts w:hint="eastAsia" w:ascii="仿宋" w:hAnsi="仿宋" w:eastAsia="仿宋" w:cs="仿宋"/>
          <w:b/>
          <w:color w:val="auto"/>
          <w:sz w:val="24"/>
          <w:highlight w:val="none"/>
        </w:rPr>
        <w:fldChar w:fldCharType="begin"/>
      </w:r>
      <w:r>
        <w:rPr>
          <w:rFonts w:hint="eastAsia" w:ascii="仿宋" w:hAnsi="仿宋" w:eastAsia="仿宋" w:cs="仿宋"/>
          <w:b/>
          <w:color w:val="auto"/>
          <w:sz w:val="24"/>
          <w:highlight w:val="none"/>
        </w:rPr>
        <w:instrText xml:space="preserve"> = 2 \* GB2 </w:instrText>
      </w:r>
      <w:r>
        <w:rPr>
          <w:rFonts w:hint="eastAsia" w:ascii="仿宋" w:hAnsi="仿宋" w:eastAsia="仿宋" w:cs="仿宋"/>
          <w:b/>
          <w:color w:val="auto"/>
          <w:sz w:val="24"/>
          <w:highlight w:val="none"/>
        </w:rPr>
        <w:fldChar w:fldCharType="separate"/>
      </w:r>
      <w:r>
        <w:rPr>
          <w:rFonts w:hint="eastAsia" w:ascii="仿宋" w:hAnsi="仿宋" w:eastAsia="仿宋" w:cs="仿宋"/>
          <w:b/>
          <w:color w:val="auto"/>
          <w:sz w:val="24"/>
          <w:highlight w:val="none"/>
        </w:rPr>
        <w:t>⑵</w:t>
      </w:r>
      <w:r>
        <w:rPr>
          <w:rFonts w:hint="eastAsia" w:ascii="仿宋" w:hAnsi="仿宋" w:eastAsia="仿宋" w:cs="仿宋"/>
          <w:b/>
          <w:color w:val="auto"/>
          <w:sz w:val="24"/>
          <w:highlight w:val="none"/>
        </w:rPr>
        <w:fldChar w:fldCharType="end"/>
      </w:r>
      <w:r>
        <w:rPr>
          <w:rFonts w:hint="eastAsia" w:ascii="仿宋" w:hAnsi="仿宋" w:eastAsia="仿宋" w:cs="仿宋"/>
          <w:b/>
          <w:color w:val="auto"/>
          <w:sz w:val="24"/>
          <w:highlight w:val="none"/>
        </w:rPr>
        <w:t>磋商</w:t>
      </w:r>
    </w:p>
    <w:p w14:paraId="03D7EC15">
      <w:pPr>
        <w:spacing w:line="360" w:lineRule="auto"/>
        <w:ind w:left="1260"/>
        <w:jc w:val="left"/>
        <w:rPr>
          <w:rFonts w:ascii="仿宋" w:hAnsi="仿宋" w:eastAsia="仿宋" w:cs="仿宋"/>
          <w:color w:val="auto"/>
          <w:sz w:val="24"/>
          <w:highlight w:val="none"/>
        </w:rPr>
      </w:pPr>
      <w:r>
        <w:rPr>
          <w:rFonts w:hint="eastAsia" w:ascii="仿宋" w:hAnsi="仿宋" w:eastAsia="仿宋" w:cs="仿宋"/>
          <w:color w:val="auto"/>
          <w:sz w:val="24"/>
          <w:highlight w:val="none"/>
        </w:rPr>
        <w:t>磋商小组对磋商响应文件进行评审，并根据磋商文件规定的程序、采购需求中的技术、服务要求以及合同格式条款等事项与实质性响应磋商文件要求的供应商进行多轮磋商。</w:t>
      </w:r>
    </w:p>
    <w:p w14:paraId="522E31F2">
      <w:pPr>
        <w:spacing w:line="360" w:lineRule="auto"/>
        <w:ind w:left="1233" w:leftChars="587"/>
        <w:jc w:val="left"/>
        <w:rPr>
          <w:rFonts w:ascii="仿宋" w:hAnsi="仿宋" w:eastAsia="仿宋" w:cs="仿宋"/>
          <w:color w:val="auto"/>
          <w:sz w:val="24"/>
          <w:highlight w:val="none"/>
        </w:rPr>
      </w:pPr>
      <w:r>
        <w:rPr>
          <w:rFonts w:hint="eastAsia" w:ascii="仿宋" w:hAnsi="仿宋" w:eastAsia="仿宋" w:cs="仿宋"/>
          <w:color w:val="auto"/>
          <w:sz w:val="24"/>
          <w:highlight w:val="none"/>
        </w:rPr>
        <w:t>磋商小组按政采云平台系统自动生成</w:t>
      </w:r>
      <w:r>
        <w:rPr>
          <w:rFonts w:hint="eastAsia" w:ascii="仿宋" w:hAnsi="仿宋" w:eastAsia="仿宋" w:cs="仿宋"/>
          <w:color w:val="auto"/>
          <w:kern w:val="0"/>
          <w:sz w:val="24"/>
          <w:highlight w:val="none"/>
        </w:rPr>
        <w:t>的顺序</w:t>
      </w:r>
      <w:r>
        <w:rPr>
          <w:rFonts w:hint="eastAsia" w:ascii="仿宋" w:hAnsi="仿宋" w:eastAsia="仿宋" w:cs="仿宋"/>
          <w:color w:val="auto"/>
          <w:sz w:val="24"/>
          <w:highlight w:val="none"/>
        </w:rPr>
        <w:t>分别与供应商进行磋商（若有演示内容，演示顺序同磋商顺序）。磋商小组所有成员应当集中与单一供应商分别进行磋商，并给予所有参加磋商的供应商平等的磋商机会。</w:t>
      </w:r>
    </w:p>
    <w:p w14:paraId="318DB388">
      <w:pPr>
        <w:spacing w:line="360" w:lineRule="auto"/>
        <w:ind w:left="1260"/>
        <w:jc w:val="left"/>
        <w:rPr>
          <w:rFonts w:ascii="仿宋" w:hAnsi="仿宋" w:eastAsia="仿宋" w:cs="仿宋"/>
          <w:color w:val="auto"/>
          <w:sz w:val="24"/>
          <w:highlight w:val="none"/>
        </w:rPr>
      </w:pPr>
      <w:r>
        <w:rPr>
          <w:rFonts w:hint="eastAsia" w:ascii="仿宋" w:hAnsi="仿宋" w:eastAsia="仿宋" w:cs="仿宋"/>
          <w:color w:val="auto"/>
          <w:sz w:val="24"/>
          <w:highlight w:val="none"/>
        </w:rPr>
        <w:t>磋商过程中，磋商小组可以根据磋商文件和磋商情况实质性变动采购需求中的技术、服务要求以及合同格式条款，但不得变动磋商文件中的其他内容。实质性变动的内容，须经采购人代表确认。对磋商文件作出的实质性变动是磋商文件的有效组成部分，磋商小组采用政府采购云平台交换数据电文通知所有参加磋商的供应商。供应商应当按照磋商文件的变动情况和磋商小组的要求重新提交磋商响应文件。</w:t>
      </w:r>
    </w:p>
    <w:p w14:paraId="110AFC7E">
      <w:pPr>
        <w:spacing w:line="360" w:lineRule="auto"/>
        <w:ind w:left="1260"/>
        <w:jc w:val="left"/>
        <w:rPr>
          <w:rFonts w:ascii="仿宋" w:hAnsi="仿宋" w:eastAsia="仿宋" w:cs="仿宋"/>
          <w:color w:val="auto"/>
          <w:sz w:val="24"/>
          <w:highlight w:val="none"/>
        </w:rPr>
      </w:pPr>
      <w:r>
        <w:rPr>
          <w:rFonts w:hint="eastAsia" w:ascii="仿宋" w:hAnsi="仿宋" w:eastAsia="仿宋" w:cs="仿宋"/>
          <w:color w:val="auto"/>
          <w:sz w:val="24"/>
          <w:highlight w:val="none"/>
        </w:rPr>
        <w:t>经磋商确定最终采购需求和提交最后报价的供应商后，由磋商小组采用综合评分法对提交最后报价的供应商的磋商响应文件和最后报价进行综合评分。</w:t>
      </w:r>
    </w:p>
    <w:p w14:paraId="47333E00">
      <w:pPr>
        <w:spacing w:line="360" w:lineRule="auto"/>
        <w:ind w:firstLine="723" w:firstLineChars="3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 </w:t>
      </w:r>
      <w:r>
        <w:rPr>
          <w:rFonts w:hint="eastAsia" w:ascii="仿宋" w:hAnsi="仿宋" w:eastAsia="仿宋" w:cs="仿宋"/>
          <w:b/>
          <w:color w:val="auto"/>
          <w:sz w:val="24"/>
          <w:highlight w:val="none"/>
        </w:rPr>
        <w:fldChar w:fldCharType="begin"/>
      </w:r>
      <w:r>
        <w:rPr>
          <w:rFonts w:hint="eastAsia" w:ascii="仿宋" w:hAnsi="仿宋" w:eastAsia="仿宋" w:cs="仿宋"/>
          <w:b/>
          <w:color w:val="auto"/>
          <w:sz w:val="24"/>
          <w:highlight w:val="none"/>
        </w:rPr>
        <w:instrText xml:space="preserve"> = 3 \* GB2 </w:instrText>
      </w:r>
      <w:r>
        <w:rPr>
          <w:rFonts w:hint="eastAsia" w:ascii="仿宋" w:hAnsi="仿宋" w:eastAsia="仿宋" w:cs="仿宋"/>
          <w:b/>
          <w:color w:val="auto"/>
          <w:sz w:val="24"/>
          <w:highlight w:val="none"/>
        </w:rPr>
        <w:fldChar w:fldCharType="separate"/>
      </w:r>
      <w:r>
        <w:rPr>
          <w:rFonts w:hint="eastAsia" w:ascii="仿宋" w:hAnsi="仿宋" w:eastAsia="仿宋" w:cs="仿宋"/>
          <w:b/>
          <w:color w:val="auto"/>
          <w:sz w:val="24"/>
          <w:highlight w:val="none"/>
        </w:rPr>
        <w:t>⑶</w:t>
      </w:r>
      <w:r>
        <w:rPr>
          <w:rFonts w:hint="eastAsia" w:ascii="仿宋" w:hAnsi="仿宋" w:eastAsia="仿宋" w:cs="仿宋"/>
          <w:b/>
          <w:color w:val="auto"/>
          <w:sz w:val="24"/>
          <w:highlight w:val="none"/>
        </w:rPr>
        <w:fldChar w:fldCharType="end"/>
      </w:r>
      <w:r>
        <w:rPr>
          <w:rFonts w:hint="eastAsia" w:ascii="仿宋" w:hAnsi="仿宋" w:eastAsia="仿宋" w:cs="仿宋"/>
          <w:b/>
          <w:color w:val="auto"/>
          <w:sz w:val="24"/>
          <w:highlight w:val="none"/>
        </w:rPr>
        <w:t>评审</w:t>
      </w:r>
    </w:p>
    <w:p w14:paraId="38D55DC7">
      <w:pPr>
        <w:spacing w:line="360" w:lineRule="auto"/>
        <w:ind w:left="993"/>
        <w:jc w:val="left"/>
        <w:rPr>
          <w:rFonts w:ascii="仿宋" w:hAnsi="仿宋" w:eastAsia="仿宋" w:cs="仿宋"/>
          <w:b/>
          <w:color w:val="auto"/>
          <w:sz w:val="24"/>
          <w:highlight w:val="none"/>
        </w:rPr>
      </w:pPr>
      <w:r>
        <w:rPr>
          <w:rFonts w:hint="eastAsia" w:ascii="仿宋" w:hAnsi="仿宋" w:eastAsia="仿宋" w:cs="仿宋"/>
          <w:b/>
          <w:color w:val="auto"/>
          <w:sz w:val="24"/>
          <w:highlight w:val="none"/>
        </w:rPr>
        <w:t>资信商务及技术文件评审</w:t>
      </w:r>
    </w:p>
    <w:p w14:paraId="5BE51A0E">
      <w:pPr>
        <w:spacing w:line="360" w:lineRule="auto"/>
        <w:ind w:left="1560"/>
        <w:jc w:val="left"/>
        <w:rPr>
          <w:rFonts w:ascii="仿宋" w:hAnsi="仿宋" w:eastAsia="仿宋" w:cs="仿宋"/>
          <w:color w:val="auto"/>
          <w:sz w:val="24"/>
          <w:highlight w:val="none"/>
        </w:rPr>
      </w:pPr>
      <w:r>
        <w:rPr>
          <w:rFonts w:hint="eastAsia" w:ascii="仿宋" w:hAnsi="仿宋" w:eastAsia="仿宋" w:cs="仿宋"/>
          <w:color w:val="auto"/>
          <w:sz w:val="24"/>
          <w:highlight w:val="none"/>
        </w:rPr>
        <w:t>磋商小组依据磋商文件的规定，对各供应商的资信商务及技术文件进行评审，其中客观部分应统一意见后统一给分，其他技术部分由磋商小组对各磋商响应文件进行比较和必要的澄清，并根据澄清、演示、样品等情况按评审细则进行独立打分；</w:t>
      </w:r>
    </w:p>
    <w:p w14:paraId="7594E918">
      <w:pPr>
        <w:spacing w:line="360" w:lineRule="auto"/>
        <w:ind w:left="1560"/>
        <w:jc w:val="left"/>
        <w:rPr>
          <w:rFonts w:ascii="仿宋" w:hAnsi="仿宋" w:eastAsia="仿宋" w:cs="仿宋"/>
          <w:color w:val="auto"/>
          <w:sz w:val="24"/>
          <w:highlight w:val="none"/>
        </w:rPr>
      </w:pPr>
      <w:r>
        <w:rPr>
          <w:rFonts w:hint="eastAsia" w:ascii="仿宋" w:hAnsi="仿宋" w:eastAsia="仿宋" w:cs="仿宋"/>
          <w:color w:val="auto"/>
          <w:sz w:val="24"/>
          <w:highlight w:val="none"/>
        </w:rPr>
        <w:t>各供应商的资信商务及技术得分，为各评审专家对该供应商的评审得分结果汇总后的算术平均数。</w:t>
      </w:r>
    </w:p>
    <w:p w14:paraId="1516DA04">
      <w:pPr>
        <w:spacing w:line="360" w:lineRule="auto"/>
        <w:ind w:left="993"/>
        <w:jc w:val="left"/>
        <w:rPr>
          <w:rFonts w:ascii="仿宋" w:hAnsi="仿宋" w:eastAsia="仿宋" w:cs="仿宋"/>
          <w:b/>
          <w:color w:val="auto"/>
          <w:sz w:val="24"/>
          <w:highlight w:val="none"/>
        </w:rPr>
      </w:pPr>
      <w:r>
        <w:rPr>
          <w:rFonts w:hint="eastAsia" w:ascii="仿宋" w:hAnsi="仿宋" w:eastAsia="仿宋" w:cs="仿宋"/>
          <w:b/>
          <w:color w:val="auto"/>
          <w:sz w:val="24"/>
          <w:highlight w:val="none"/>
        </w:rPr>
        <w:t>报价文件评审</w:t>
      </w:r>
    </w:p>
    <w:p w14:paraId="07CEFE38">
      <w:pPr>
        <w:spacing w:line="360" w:lineRule="auto"/>
        <w:ind w:left="1560"/>
        <w:jc w:val="left"/>
        <w:rPr>
          <w:rFonts w:ascii="仿宋" w:hAnsi="仿宋" w:eastAsia="仿宋" w:cs="仿宋"/>
          <w:color w:val="auto"/>
          <w:sz w:val="24"/>
          <w:highlight w:val="none"/>
        </w:rPr>
      </w:pPr>
      <w:r>
        <w:rPr>
          <w:rFonts w:hint="eastAsia" w:ascii="仿宋" w:hAnsi="仿宋" w:eastAsia="仿宋" w:cs="仿宋"/>
          <w:color w:val="auto"/>
          <w:sz w:val="24"/>
          <w:highlight w:val="none"/>
        </w:rPr>
        <w:t>磋商小组依据磋商文件的规定，对各供应商提交的最后报价的完整性、合理性进行审查，必要时可要求供应商对其报价做出澄清、说明；</w:t>
      </w:r>
    </w:p>
    <w:p w14:paraId="4B1E7F2B">
      <w:pPr>
        <w:spacing w:line="360" w:lineRule="auto"/>
        <w:ind w:left="1560"/>
        <w:jc w:val="left"/>
        <w:rPr>
          <w:rFonts w:ascii="仿宋" w:hAnsi="仿宋" w:eastAsia="仿宋" w:cs="仿宋"/>
          <w:color w:val="auto"/>
          <w:sz w:val="24"/>
          <w:highlight w:val="none"/>
        </w:rPr>
      </w:pPr>
      <w:r>
        <w:rPr>
          <w:rFonts w:hint="eastAsia" w:ascii="仿宋" w:hAnsi="仿宋" w:eastAsia="仿宋" w:cs="仿宋"/>
          <w:color w:val="auto"/>
          <w:sz w:val="24"/>
          <w:highlight w:val="none"/>
        </w:rPr>
        <w:t>报价修正；</w:t>
      </w:r>
    </w:p>
    <w:p w14:paraId="39CC0048">
      <w:pPr>
        <w:spacing w:line="360" w:lineRule="auto"/>
        <w:ind w:left="1560"/>
        <w:jc w:val="left"/>
        <w:rPr>
          <w:rFonts w:ascii="仿宋" w:hAnsi="仿宋" w:eastAsia="仿宋" w:cs="仿宋"/>
          <w:color w:val="auto"/>
          <w:sz w:val="24"/>
          <w:highlight w:val="none"/>
        </w:rPr>
      </w:pPr>
      <w:r>
        <w:rPr>
          <w:rFonts w:hint="eastAsia" w:ascii="仿宋" w:hAnsi="仿宋" w:eastAsia="仿宋" w:cs="仿宋"/>
          <w:color w:val="auto"/>
          <w:sz w:val="24"/>
          <w:highlight w:val="none"/>
        </w:rPr>
        <w:t>政府采购政策价格扣除；</w:t>
      </w:r>
    </w:p>
    <w:p w14:paraId="5006976B">
      <w:pPr>
        <w:spacing w:line="360" w:lineRule="auto"/>
        <w:ind w:left="1560"/>
        <w:jc w:val="left"/>
        <w:rPr>
          <w:rFonts w:ascii="仿宋" w:hAnsi="仿宋" w:eastAsia="仿宋" w:cs="仿宋"/>
          <w:color w:val="auto"/>
          <w:sz w:val="24"/>
          <w:highlight w:val="none"/>
        </w:rPr>
      </w:pPr>
      <w:r>
        <w:rPr>
          <w:rFonts w:hint="eastAsia" w:ascii="仿宋" w:hAnsi="仿宋" w:eastAsia="仿宋" w:cs="仿宋"/>
          <w:color w:val="auto"/>
          <w:sz w:val="24"/>
          <w:highlight w:val="none"/>
        </w:rPr>
        <w:t>磋商小组根据供应商的最后报价和评审标准，计算各供应商的报价得分。</w:t>
      </w:r>
    </w:p>
    <w:p w14:paraId="753DA8CF">
      <w:pPr>
        <w:pStyle w:val="30"/>
        <w:rPr>
          <w:rFonts w:ascii="仿宋" w:hAnsi="仿宋" w:eastAsia="仿宋" w:cs="仿宋"/>
          <w:color w:val="auto"/>
          <w:highlight w:val="none"/>
        </w:rPr>
      </w:pPr>
      <w:bookmarkStart w:id="272" w:name="_Toc531359021"/>
      <w:bookmarkStart w:id="273" w:name="_Toc22927"/>
      <w:r>
        <w:rPr>
          <w:rFonts w:hint="eastAsia" w:ascii="仿宋" w:hAnsi="仿宋" w:eastAsia="仿宋" w:cs="仿宋"/>
          <w:color w:val="auto"/>
          <w:highlight w:val="none"/>
        </w:rPr>
        <w:t>6.4     磋商响应文件的澄清、说明或补正</w:t>
      </w:r>
      <w:bookmarkEnd w:id="272"/>
      <w:bookmarkEnd w:id="273"/>
    </w:p>
    <w:p w14:paraId="08626200">
      <w:pPr>
        <w:spacing w:line="360" w:lineRule="auto"/>
        <w:ind w:left="1200" w:hanging="1200" w:hangingChars="500"/>
        <w:rPr>
          <w:rFonts w:ascii="仿宋" w:hAnsi="仿宋" w:eastAsia="仿宋" w:cs="仿宋"/>
          <w:color w:val="auto"/>
          <w:sz w:val="24"/>
          <w:highlight w:val="none"/>
        </w:rPr>
      </w:pPr>
      <w:r>
        <w:rPr>
          <w:rFonts w:hint="eastAsia" w:ascii="仿宋" w:hAnsi="仿宋" w:eastAsia="仿宋" w:cs="仿宋"/>
          <w:color w:val="auto"/>
          <w:sz w:val="24"/>
          <w:highlight w:val="none"/>
        </w:rPr>
        <w:t xml:space="preserve">6.4.1   </w:t>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1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⑴</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对磋商响应文件中含义不明确、同类问题表述不一致或者有明显文字和计算错误的内容，</w:t>
      </w:r>
      <w:r>
        <w:rPr>
          <w:rFonts w:hint="eastAsia" w:ascii="仿宋" w:hAnsi="仿宋" w:eastAsia="仿宋" w:cs="仿宋"/>
          <w:b/>
          <w:color w:val="auto"/>
          <w:sz w:val="24"/>
          <w:highlight w:val="none"/>
        </w:rPr>
        <w:t>磋商小组通过政府采购云平台要求供应商作出必要的澄清、说明或者补正。电子磋商响应文件的澄清、说明或者补正采用政府采购云平台交换数据电文，供应商提交的澄清、说明或补正的时间为30分钟（供应商务必在线等待，留意手机短信，及时在线澄清、说明或补正）</w:t>
      </w:r>
      <w:r>
        <w:rPr>
          <w:rFonts w:hint="eastAsia" w:ascii="仿宋" w:hAnsi="仿宋" w:eastAsia="仿宋" w:cs="仿宋"/>
          <w:color w:val="auto"/>
          <w:sz w:val="24"/>
          <w:highlight w:val="none"/>
        </w:rPr>
        <w:t>。供应商的澄清、说明或者更正不得超出磋商响应文件的范围或者改变磋商响应文件的实质性内容；</w:t>
      </w:r>
    </w:p>
    <w:p w14:paraId="3AA657D3">
      <w:pPr>
        <w:spacing w:line="360" w:lineRule="auto"/>
        <w:ind w:left="960" w:hanging="960" w:hangingChars="400"/>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2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⑵</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供应商的澄清、说明或更正将作为磋商响应文件的一部分；</w:t>
      </w:r>
    </w:p>
    <w:p w14:paraId="61897ABF">
      <w:pPr>
        <w:spacing w:line="360" w:lineRule="auto"/>
        <w:ind w:left="960" w:hanging="960" w:hangingChars="400"/>
        <w:rPr>
          <w:rFonts w:ascii="仿宋" w:hAnsi="仿宋" w:eastAsia="仿宋" w:cs="仿宋"/>
          <w:color w:val="auto"/>
          <w:sz w:val="24"/>
          <w:highlight w:val="none"/>
        </w:rPr>
      </w:pPr>
      <w:r>
        <w:rPr>
          <w:rFonts w:hint="eastAsia" w:ascii="仿宋" w:hAnsi="仿宋" w:eastAsia="仿宋" w:cs="仿宋"/>
          <w:color w:val="auto"/>
          <w:sz w:val="24"/>
          <w:highlight w:val="none"/>
        </w:rPr>
        <w:t>6.4.2   评审时磋商小组认为供应商的最后报价明显低于其他供应商的最后报价，有可能影响服务（产品）质量或者不能诚信履约的，应当要求其在评审现场合理的时间内说明原因和提供证明材料；</w:t>
      </w:r>
    </w:p>
    <w:p w14:paraId="1C6399DB">
      <w:pPr>
        <w:spacing w:line="360" w:lineRule="auto"/>
        <w:ind w:left="960" w:hanging="960" w:hangingChars="400"/>
        <w:rPr>
          <w:rFonts w:ascii="仿宋" w:hAnsi="仿宋" w:eastAsia="仿宋" w:cs="仿宋"/>
          <w:color w:val="auto"/>
          <w:sz w:val="24"/>
          <w:highlight w:val="none"/>
        </w:rPr>
      </w:pPr>
      <w:r>
        <w:rPr>
          <w:rFonts w:hint="eastAsia" w:ascii="仿宋" w:hAnsi="仿宋" w:eastAsia="仿宋" w:cs="仿宋"/>
          <w:color w:val="auto"/>
          <w:sz w:val="24"/>
          <w:highlight w:val="none"/>
        </w:rPr>
        <w:t>6.4.3   不接受供应商主动对磋商响应文件的澄清、说明或者补正。</w:t>
      </w:r>
    </w:p>
    <w:p w14:paraId="74636DBA">
      <w:pPr>
        <w:pStyle w:val="30"/>
        <w:rPr>
          <w:rFonts w:ascii="仿宋" w:hAnsi="仿宋" w:eastAsia="仿宋" w:cs="仿宋"/>
          <w:color w:val="auto"/>
          <w:highlight w:val="none"/>
        </w:rPr>
      </w:pPr>
      <w:bookmarkStart w:id="274" w:name="_Toc531359022"/>
      <w:bookmarkStart w:id="275" w:name="_Toc2698"/>
      <w:r>
        <w:rPr>
          <w:rFonts w:hint="eastAsia" w:ascii="仿宋" w:hAnsi="仿宋" w:eastAsia="仿宋" w:cs="仿宋"/>
          <w:color w:val="auto"/>
          <w:highlight w:val="none"/>
        </w:rPr>
        <w:t>6.5     报价错误修正</w:t>
      </w:r>
      <w:bookmarkEnd w:id="274"/>
      <w:bookmarkEnd w:id="275"/>
    </w:p>
    <w:p w14:paraId="0FE82E6C">
      <w:pPr>
        <w:spacing w:line="360" w:lineRule="auto"/>
        <w:ind w:left="960" w:hanging="960" w:hangingChars="400"/>
        <w:rPr>
          <w:rFonts w:ascii="仿宋" w:hAnsi="仿宋" w:eastAsia="仿宋" w:cs="仿宋"/>
          <w:color w:val="auto"/>
          <w:sz w:val="24"/>
          <w:highlight w:val="none"/>
        </w:rPr>
      </w:pPr>
      <w:r>
        <w:rPr>
          <w:rFonts w:hint="eastAsia" w:ascii="仿宋" w:hAnsi="仿宋" w:eastAsia="仿宋" w:cs="仿宋"/>
          <w:color w:val="auto"/>
          <w:sz w:val="24"/>
          <w:highlight w:val="none"/>
        </w:rPr>
        <w:t>6.5.1   磋商小组对确定磋商响应文件为实质上响应磋商文件要求的，磋商响应文件报价出现前后不一致的，按照下列规定修正：</w:t>
      </w:r>
    </w:p>
    <w:p w14:paraId="14340CC5">
      <w:pPr>
        <w:spacing w:line="360" w:lineRule="auto"/>
        <w:ind w:left="840" w:leftChars="400" w:firstLine="120" w:firstLineChars="50"/>
        <w:rPr>
          <w:rFonts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1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⑴</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正本与副本不一致时，以正本为准；</w:t>
      </w:r>
    </w:p>
    <w:p w14:paraId="269EB511">
      <w:pPr>
        <w:spacing w:line="360" w:lineRule="auto"/>
        <w:ind w:left="1185" w:leftChars="450" w:hanging="240" w:hangingChars="100"/>
        <w:rPr>
          <w:rFonts w:ascii="仿宋" w:hAnsi="仿宋" w:eastAsia="仿宋" w:cs="仿宋"/>
          <w:bCs/>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2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⑵</w:t>
      </w:r>
      <w:r>
        <w:rPr>
          <w:rFonts w:hint="eastAsia" w:ascii="仿宋" w:hAnsi="仿宋" w:eastAsia="仿宋" w:cs="仿宋"/>
          <w:color w:val="auto"/>
          <w:sz w:val="24"/>
          <w:highlight w:val="none"/>
        </w:rPr>
        <w:fldChar w:fldCharType="end"/>
      </w:r>
      <w:r>
        <w:rPr>
          <w:rFonts w:hint="eastAsia" w:ascii="仿宋" w:hAnsi="仿宋" w:eastAsia="仿宋" w:cs="仿宋"/>
          <w:color w:val="auto"/>
          <w:kern w:val="0"/>
          <w:sz w:val="24"/>
          <w:highlight w:val="none"/>
        </w:rPr>
        <w:t>报价文件</w:t>
      </w:r>
      <w:r>
        <w:rPr>
          <w:rFonts w:hint="eastAsia" w:ascii="仿宋" w:hAnsi="仿宋" w:eastAsia="仿宋" w:cs="仿宋"/>
          <w:bCs/>
          <w:color w:val="auto"/>
          <w:sz w:val="24"/>
          <w:highlight w:val="none"/>
        </w:rPr>
        <w:t>中开标一览表（报价表）内容与</w:t>
      </w:r>
      <w:r>
        <w:rPr>
          <w:rFonts w:hint="eastAsia" w:ascii="仿宋" w:hAnsi="仿宋" w:eastAsia="仿宋" w:cs="仿宋"/>
          <w:color w:val="auto"/>
          <w:kern w:val="0"/>
          <w:sz w:val="24"/>
          <w:highlight w:val="none"/>
        </w:rPr>
        <w:t>报价</w:t>
      </w:r>
      <w:r>
        <w:rPr>
          <w:rFonts w:hint="eastAsia" w:ascii="仿宋" w:hAnsi="仿宋" w:eastAsia="仿宋" w:cs="仿宋"/>
          <w:bCs/>
          <w:color w:val="auto"/>
          <w:sz w:val="24"/>
          <w:highlight w:val="none"/>
        </w:rPr>
        <w:t>明细表相应内容不一致的，以开标一览表（报价表）为准；</w:t>
      </w:r>
    </w:p>
    <w:p w14:paraId="2CF73971">
      <w:pPr>
        <w:spacing w:line="360" w:lineRule="auto"/>
        <w:ind w:left="840" w:leftChars="400" w:firstLine="120" w:firstLineChars="50"/>
        <w:rPr>
          <w:rFonts w:ascii="仿宋" w:hAnsi="仿宋" w:eastAsia="仿宋" w:cs="仿宋"/>
          <w:bCs/>
          <w:color w:val="auto"/>
          <w:sz w:val="24"/>
          <w:highlight w:val="none"/>
        </w:rPr>
      </w:pPr>
      <w:r>
        <w:rPr>
          <w:rFonts w:hint="eastAsia" w:ascii="仿宋" w:hAnsi="仿宋" w:eastAsia="仿宋" w:cs="仿宋"/>
          <w:bCs/>
          <w:color w:val="auto"/>
          <w:sz w:val="24"/>
          <w:highlight w:val="none"/>
        </w:rPr>
        <w:fldChar w:fldCharType="begin"/>
      </w:r>
      <w:r>
        <w:rPr>
          <w:rFonts w:hint="eastAsia" w:ascii="仿宋" w:hAnsi="仿宋" w:eastAsia="仿宋" w:cs="仿宋"/>
          <w:bCs/>
          <w:color w:val="auto"/>
          <w:sz w:val="24"/>
          <w:highlight w:val="none"/>
        </w:rPr>
        <w:instrText xml:space="preserve"> = 3 \* GB2 </w:instrText>
      </w:r>
      <w:r>
        <w:rPr>
          <w:rFonts w:hint="eastAsia" w:ascii="仿宋" w:hAnsi="仿宋" w:eastAsia="仿宋" w:cs="仿宋"/>
          <w:bCs/>
          <w:color w:val="auto"/>
          <w:sz w:val="24"/>
          <w:highlight w:val="none"/>
        </w:rPr>
        <w:fldChar w:fldCharType="separate"/>
      </w:r>
      <w:r>
        <w:rPr>
          <w:rFonts w:hint="eastAsia" w:ascii="仿宋" w:hAnsi="仿宋" w:eastAsia="仿宋" w:cs="仿宋"/>
          <w:bCs/>
          <w:color w:val="auto"/>
          <w:sz w:val="24"/>
          <w:highlight w:val="none"/>
        </w:rPr>
        <w:t>⑶</w:t>
      </w:r>
      <w:r>
        <w:rPr>
          <w:rFonts w:hint="eastAsia" w:ascii="仿宋" w:hAnsi="仿宋" w:eastAsia="仿宋" w:cs="仿宋"/>
          <w:bCs/>
          <w:color w:val="auto"/>
          <w:sz w:val="24"/>
          <w:highlight w:val="none"/>
        </w:rPr>
        <w:fldChar w:fldCharType="end"/>
      </w:r>
      <w:r>
        <w:rPr>
          <w:rFonts w:hint="eastAsia" w:ascii="仿宋" w:hAnsi="仿宋" w:eastAsia="仿宋" w:cs="仿宋"/>
          <w:bCs/>
          <w:color w:val="auto"/>
          <w:sz w:val="24"/>
          <w:highlight w:val="none"/>
        </w:rPr>
        <w:t>报价文件的大写金额和小写金额不一致的，以大写金额为准；</w:t>
      </w:r>
    </w:p>
    <w:p w14:paraId="23674756">
      <w:pPr>
        <w:spacing w:line="360" w:lineRule="auto"/>
        <w:ind w:left="1185" w:leftChars="450" w:hanging="240" w:hangingChars="100"/>
        <w:rPr>
          <w:rFonts w:ascii="仿宋" w:hAnsi="仿宋" w:eastAsia="仿宋" w:cs="仿宋"/>
          <w:bCs/>
          <w:color w:val="auto"/>
          <w:sz w:val="24"/>
          <w:highlight w:val="none"/>
        </w:rPr>
      </w:pPr>
      <w:r>
        <w:rPr>
          <w:rFonts w:hint="eastAsia" w:ascii="仿宋" w:hAnsi="仿宋" w:eastAsia="仿宋" w:cs="仿宋"/>
          <w:bCs/>
          <w:color w:val="auto"/>
          <w:sz w:val="24"/>
          <w:highlight w:val="none"/>
        </w:rPr>
        <w:fldChar w:fldCharType="begin"/>
      </w:r>
      <w:r>
        <w:rPr>
          <w:rFonts w:hint="eastAsia" w:ascii="仿宋" w:hAnsi="仿宋" w:eastAsia="仿宋" w:cs="仿宋"/>
          <w:bCs/>
          <w:color w:val="auto"/>
          <w:sz w:val="24"/>
          <w:highlight w:val="none"/>
        </w:rPr>
        <w:instrText xml:space="preserve"> = 4 \* GB2 </w:instrText>
      </w:r>
      <w:r>
        <w:rPr>
          <w:rFonts w:hint="eastAsia" w:ascii="仿宋" w:hAnsi="仿宋" w:eastAsia="仿宋" w:cs="仿宋"/>
          <w:bCs/>
          <w:color w:val="auto"/>
          <w:sz w:val="24"/>
          <w:highlight w:val="none"/>
        </w:rPr>
        <w:fldChar w:fldCharType="separate"/>
      </w:r>
      <w:r>
        <w:rPr>
          <w:rFonts w:hint="eastAsia" w:ascii="仿宋" w:hAnsi="仿宋" w:eastAsia="仿宋" w:cs="仿宋"/>
          <w:bCs/>
          <w:color w:val="auto"/>
          <w:sz w:val="24"/>
          <w:highlight w:val="none"/>
        </w:rPr>
        <w:t>⑷</w:t>
      </w:r>
      <w:r>
        <w:rPr>
          <w:rFonts w:hint="eastAsia" w:ascii="仿宋" w:hAnsi="仿宋" w:eastAsia="仿宋" w:cs="仿宋"/>
          <w:bCs/>
          <w:color w:val="auto"/>
          <w:sz w:val="24"/>
          <w:highlight w:val="none"/>
        </w:rPr>
        <w:fldChar w:fldCharType="end"/>
      </w:r>
      <w:r>
        <w:rPr>
          <w:rFonts w:hint="eastAsia" w:ascii="仿宋" w:hAnsi="仿宋" w:eastAsia="仿宋" w:cs="仿宋"/>
          <w:bCs/>
          <w:color w:val="auto"/>
          <w:sz w:val="24"/>
          <w:highlight w:val="none"/>
        </w:rPr>
        <w:t>单价金额小数点或者百分比有明显错位的，以开标一览表（报价表）的总价为准，并修改单价；</w:t>
      </w:r>
    </w:p>
    <w:p w14:paraId="186EB275">
      <w:pPr>
        <w:spacing w:line="360" w:lineRule="auto"/>
        <w:ind w:left="840" w:leftChars="400" w:firstLine="120" w:firstLineChars="50"/>
        <w:rPr>
          <w:rFonts w:ascii="仿宋" w:hAnsi="仿宋" w:eastAsia="仿宋" w:cs="仿宋"/>
          <w:bCs/>
          <w:color w:val="auto"/>
          <w:sz w:val="24"/>
          <w:highlight w:val="none"/>
        </w:rPr>
      </w:pPr>
      <w:r>
        <w:rPr>
          <w:rFonts w:hint="eastAsia" w:ascii="仿宋" w:hAnsi="仿宋" w:eastAsia="仿宋" w:cs="仿宋"/>
          <w:bCs/>
          <w:color w:val="auto"/>
          <w:sz w:val="24"/>
          <w:highlight w:val="none"/>
        </w:rPr>
        <w:fldChar w:fldCharType="begin"/>
      </w:r>
      <w:r>
        <w:rPr>
          <w:rFonts w:hint="eastAsia" w:ascii="仿宋" w:hAnsi="仿宋" w:eastAsia="仿宋" w:cs="仿宋"/>
          <w:bCs/>
          <w:color w:val="auto"/>
          <w:sz w:val="24"/>
          <w:highlight w:val="none"/>
        </w:rPr>
        <w:instrText xml:space="preserve"> = 5 \* GB2 </w:instrText>
      </w:r>
      <w:r>
        <w:rPr>
          <w:rFonts w:hint="eastAsia" w:ascii="仿宋" w:hAnsi="仿宋" w:eastAsia="仿宋" w:cs="仿宋"/>
          <w:bCs/>
          <w:color w:val="auto"/>
          <w:sz w:val="24"/>
          <w:highlight w:val="none"/>
        </w:rPr>
        <w:fldChar w:fldCharType="separate"/>
      </w:r>
      <w:r>
        <w:rPr>
          <w:rFonts w:hint="eastAsia" w:ascii="仿宋" w:hAnsi="仿宋" w:eastAsia="仿宋" w:cs="仿宋"/>
          <w:bCs/>
          <w:color w:val="auto"/>
          <w:sz w:val="24"/>
          <w:highlight w:val="none"/>
        </w:rPr>
        <w:t>⑸</w:t>
      </w:r>
      <w:r>
        <w:rPr>
          <w:rFonts w:hint="eastAsia" w:ascii="仿宋" w:hAnsi="仿宋" w:eastAsia="仿宋" w:cs="仿宋"/>
          <w:bCs/>
          <w:color w:val="auto"/>
          <w:sz w:val="24"/>
          <w:highlight w:val="none"/>
        </w:rPr>
        <w:fldChar w:fldCharType="end"/>
      </w:r>
      <w:r>
        <w:rPr>
          <w:rFonts w:hint="eastAsia" w:ascii="仿宋" w:hAnsi="仿宋" w:eastAsia="仿宋" w:cs="仿宋"/>
          <w:bCs/>
          <w:color w:val="auto"/>
          <w:sz w:val="24"/>
          <w:highlight w:val="none"/>
        </w:rPr>
        <w:t>总价金额与按单价汇总金额不一致的，以单价金额计算结果为准；</w:t>
      </w:r>
    </w:p>
    <w:p w14:paraId="21971A4F">
      <w:pPr>
        <w:spacing w:line="360" w:lineRule="auto"/>
        <w:ind w:left="840" w:leftChars="400" w:firstLine="120" w:firstLineChars="50"/>
        <w:rPr>
          <w:rFonts w:ascii="仿宋" w:hAnsi="仿宋" w:eastAsia="仿宋" w:cs="仿宋"/>
          <w:bCs/>
          <w:color w:val="auto"/>
          <w:sz w:val="24"/>
          <w:highlight w:val="none"/>
        </w:rPr>
      </w:pPr>
      <w:r>
        <w:rPr>
          <w:rFonts w:hint="eastAsia" w:ascii="仿宋" w:hAnsi="仿宋" w:eastAsia="仿宋" w:cs="仿宋"/>
          <w:bCs/>
          <w:color w:val="auto"/>
          <w:sz w:val="24"/>
          <w:highlight w:val="none"/>
        </w:rPr>
        <w:fldChar w:fldCharType="begin"/>
      </w:r>
      <w:r>
        <w:rPr>
          <w:rFonts w:hint="eastAsia" w:ascii="仿宋" w:hAnsi="仿宋" w:eastAsia="仿宋" w:cs="仿宋"/>
          <w:bCs/>
          <w:color w:val="auto"/>
          <w:sz w:val="24"/>
          <w:highlight w:val="none"/>
        </w:rPr>
        <w:instrText xml:space="preserve"> = 6 \* GB2 </w:instrText>
      </w:r>
      <w:r>
        <w:rPr>
          <w:rFonts w:hint="eastAsia" w:ascii="仿宋" w:hAnsi="仿宋" w:eastAsia="仿宋" w:cs="仿宋"/>
          <w:bCs/>
          <w:color w:val="auto"/>
          <w:sz w:val="24"/>
          <w:highlight w:val="none"/>
        </w:rPr>
        <w:fldChar w:fldCharType="separate"/>
      </w:r>
      <w:r>
        <w:rPr>
          <w:rFonts w:hint="eastAsia" w:ascii="仿宋" w:hAnsi="仿宋" w:eastAsia="仿宋" w:cs="仿宋"/>
          <w:bCs/>
          <w:color w:val="auto"/>
          <w:sz w:val="24"/>
          <w:highlight w:val="none"/>
        </w:rPr>
        <w:t>⑹</w:t>
      </w:r>
      <w:r>
        <w:rPr>
          <w:rFonts w:hint="eastAsia" w:ascii="仿宋" w:hAnsi="仿宋" w:eastAsia="仿宋" w:cs="仿宋"/>
          <w:bCs/>
          <w:color w:val="auto"/>
          <w:sz w:val="24"/>
          <w:highlight w:val="none"/>
        </w:rPr>
        <w:fldChar w:fldCharType="end"/>
      </w:r>
      <w:r>
        <w:rPr>
          <w:rFonts w:hint="eastAsia" w:ascii="仿宋" w:hAnsi="仿宋" w:eastAsia="仿宋" w:cs="仿宋"/>
          <w:bCs/>
          <w:color w:val="auto"/>
          <w:sz w:val="24"/>
          <w:highlight w:val="none"/>
        </w:rPr>
        <w:t>同时出现两种以上不一致的，按上述顺序修正；</w:t>
      </w:r>
    </w:p>
    <w:p w14:paraId="6B587B3E">
      <w:pPr>
        <w:spacing w:line="360" w:lineRule="auto"/>
        <w:ind w:left="840" w:leftChars="400" w:firstLine="120" w:firstLineChars="50"/>
        <w:rPr>
          <w:rFonts w:ascii="仿宋" w:hAnsi="仿宋" w:eastAsia="仿宋" w:cs="仿宋"/>
          <w:bCs/>
          <w:color w:val="auto"/>
          <w:sz w:val="24"/>
          <w:highlight w:val="none"/>
        </w:rPr>
      </w:pPr>
      <w:r>
        <w:rPr>
          <w:rFonts w:hint="eastAsia" w:ascii="仿宋" w:hAnsi="仿宋" w:eastAsia="仿宋" w:cs="仿宋"/>
          <w:bCs/>
          <w:color w:val="auto"/>
          <w:sz w:val="24"/>
          <w:highlight w:val="none"/>
        </w:rPr>
        <w:fldChar w:fldCharType="begin"/>
      </w:r>
      <w:r>
        <w:rPr>
          <w:rFonts w:hint="eastAsia" w:ascii="仿宋" w:hAnsi="仿宋" w:eastAsia="仿宋" w:cs="仿宋"/>
          <w:bCs/>
          <w:color w:val="auto"/>
          <w:sz w:val="24"/>
          <w:highlight w:val="none"/>
        </w:rPr>
        <w:instrText xml:space="preserve"> = 7 \* GB2 </w:instrText>
      </w:r>
      <w:r>
        <w:rPr>
          <w:rFonts w:hint="eastAsia" w:ascii="仿宋" w:hAnsi="仿宋" w:eastAsia="仿宋" w:cs="仿宋"/>
          <w:bCs/>
          <w:color w:val="auto"/>
          <w:sz w:val="24"/>
          <w:highlight w:val="none"/>
        </w:rPr>
        <w:fldChar w:fldCharType="separate"/>
      </w:r>
      <w:r>
        <w:rPr>
          <w:rFonts w:hint="eastAsia" w:ascii="仿宋" w:hAnsi="仿宋" w:eastAsia="仿宋" w:cs="仿宋"/>
          <w:bCs/>
          <w:color w:val="auto"/>
          <w:sz w:val="24"/>
          <w:highlight w:val="none"/>
        </w:rPr>
        <w:t>⑺</w:t>
      </w:r>
      <w:r>
        <w:rPr>
          <w:rFonts w:hint="eastAsia" w:ascii="仿宋" w:hAnsi="仿宋" w:eastAsia="仿宋" w:cs="仿宋"/>
          <w:bCs/>
          <w:color w:val="auto"/>
          <w:sz w:val="24"/>
          <w:highlight w:val="none"/>
        </w:rPr>
        <w:fldChar w:fldCharType="end"/>
      </w:r>
      <w:r>
        <w:rPr>
          <w:rFonts w:hint="eastAsia" w:ascii="仿宋" w:hAnsi="仿宋" w:eastAsia="仿宋" w:cs="仿宋"/>
          <w:bCs/>
          <w:color w:val="auto"/>
          <w:sz w:val="24"/>
          <w:highlight w:val="none"/>
        </w:rPr>
        <w:t>对不同文字文本</w:t>
      </w:r>
      <w:r>
        <w:rPr>
          <w:rFonts w:hint="eastAsia" w:ascii="仿宋" w:hAnsi="仿宋" w:eastAsia="仿宋" w:cs="仿宋"/>
          <w:color w:val="auto"/>
          <w:kern w:val="0"/>
          <w:sz w:val="24"/>
          <w:highlight w:val="none"/>
        </w:rPr>
        <w:t>磋商响应文件</w:t>
      </w:r>
      <w:r>
        <w:rPr>
          <w:rFonts w:hint="eastAsia" w:ascii="仿宋" w:hAnsi="仿宋" w:eastAsia="仿宋" w:cs="仿宋"/>
          <w:bCs/>
          <w:color w:val="auto"/>
          <w:sz w:val="24"/>
          <w:highlight w:val="none"/>
        </w:rPr>
        <w:t>的解释发生异议的，以中文文本为准；</w:t>
      </w:r>
    </w:p>
    <w:p w14:paraId="3C350373">
      <w:pPr>
        <w:spacing w:line="360" w:lineRule="auto"/>
        <w:ind w:left="1185" w:leftChars="450" w:hanging="240" w:hangingChars="100"/>
        <w:rPr>
          <w:rFonts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8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⑻</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修正错误的响应报价，经供应商负责人（或委托代理人）同意签字确认后产生约束力。调整后的响应报价对供应商具有约束作用。若供应商不接受修正后的响应报价，则其响应无效。</w:t>
      </w:r>
    </w:p>
    <w:p w14:paraId="06087CCF">
      <w:pPr>
        <w:pStyle w:val="30"/>
        <w:rPr>
          <w:rFonts w:ascii="仿宋" w:hAnsi="仿宋" w:eastAsia="仿宋" w:cs="仿宋"/>
          <w:color w:val="auto"/>
          <w:highlight w:val="none"/>
        </w:rPr>
      </w:pPr>
      <w:bookmarkStart w:id="276" w:name="_Toc2442"/>
      <w:bookmarkStart w:id="277" w:name="_Toc531359024"/>
      <w:r>
        <w:rPr>
          <w:rFonts w:hint="eastAsia" w:ascii="仿宋" w:hAnsi="仿宋" w:eastAsia="仿宋" w:cs="仿宋"/>
          <w:color w:val="auto"/>
          <w:highlight w:val="none"/>
        </w:rPr>
        <w:t>6.6     评审报告</w:t>
      </w:r>
      <w:bookmarkEnd w:id="276"/>
      <w:bookmarkEnd w:id="277"/>
    </w:p>
    <w:p w14:paraId="3FCF1883">
      <w:pPr>
        <w:spacing w:line="360" w:lineRule="auto"/>
        <w:ind w:left="960" w:hanging="960" w:hangingChars="400"/>
        <w:rPr>
          <w:rFonts w:ascii="仿宋" w:hAnsi="仿宋" w:eastAsia="仿宋" w:cs="仿宋"/>
          <w:color w:val="auto"/>
          <w:sz w:val="24"/>
          <w:highlight w:val="none"/>
        </w:rPr>
      </w:pPr>
      <w:r>
        <w:rPr>
          <w:rFonts w:hint="eastAsia" w:ascii="仿宋" w:hAnsi="仿宋" w:eastAsia="仿宋" w:cs="仿宋"/>
          <w:color w:val="auto"/>
          <w:sz w:val="24"/>
          <w:highlight w:val="none"/>
        </w:rPr>
        <w:t>6.6.1   评审结果汇总，供应商结果排序；</w:t>
      </w:r>
    </w:p>
    <w:p w14:paraId="1CB3B7BA">
      <w:pPr>
        <w:spacing w:line="360" w:lineRule="auto"/>
        <w:ind w:left="960" w:hanging="960" w:hangingChars="400"/>
        <w:rPr>
          <w:rFonts w:ascii="仿宋" w:hAnsi="仿宋" w:eastAsia="仿宋" w:cs="仿宋"/>
          <w:color w:val="auto"/>
          <w:sz w:val="24"/>
          <w:highlight w:val="none"/>
        </w:rPr>
      </w:pPr>
      <w:r>
        <w:rPr>
          <w:rFonts w:hint="eastAsia" w:ascii="仿宋" w:hAnsi="仿宋" w:eastAsia="仿宋" w:cs="仿宋"/>
          <w:color w:val="auto"/>
          <w:sz w:val="24"/>
          <w:highlight w:val="none"/>
        </w:rPr>
        <w:t>6.6.2   磋商小组根据全体评审成员签字的原始评审记录和评审结果编写评审报告，并推荐成交候选人；</w:t>
      </w:r>
    </w:p>
    <w:p w14:paraId="594DC35B">
      <w:pPr>
        <w:spacing w:line="360" w:lineRule="auto"/>
        <w:ind w:left="960" w:hanging="960" w:hangingChars="400"/>
        <w:rPr>
          <w:rFonts w:ascii="仿宋" w:hAnsi="仿宋" w:eastAsia="仿宋" w:cs="仿宋"/>
          <w:color w:val="auto"/>
          <w:sz w:val="24"/>
          <w:highlight w:val="none"/>
        </w:rPr>
      </w:pPr>
      <w:r>
        <w:rPr>
          <w:rFonts w:hint="eastAsia" w:ascii="仿宋" w:hAnsi="仿宋" w:eastAsia="仿宋" w:cs="仿宋"/>
          <w:color w:val="auto"/>
          <w:sz w:val="24"/>
          <w:highlight w:val="none"/>
        </w:rPr>
        <w:t>6.6.3   评审报告由磋商小组成员签字确认生效，持不同意见的磋商小组成员应当在评审报告上签署不同意见及理由，否则视为同意评审报告；</w:t>
      </w:r>
    </w:p>
    <w:p w14:paraId="4B97827B">
      <w:pPr>
        <w:spacing w:line="360" w:lineRule="auto"/>
        <w:ind w:left="960" w:hanging="960" w:hangingChars="400"/>
        <w:rPr>
          <w:rFonts w:ascii="仿宋" w:hAnsi="仿宋" w:eastAsia="仿宋" w:cs="仿宋"/>
          <w:color w:val="auto"/>
          <w:sz w:val="24"/>
          <w:highlight w:val="none"/>
        </w:rPr>
      </w:pPr>
      <w:r>
        <w:rPr>
          <w:rFonts w:hint="eastAsia" w:ascii="仿宋" w:hAnsi="仿宋" w:eastAsia="仿宋" w:cs="仿宋"/>
          <w:color w:val="auto"/>
          <w:sz w:val="24"/>
          <w:highlight w:val="none"/>
        </w:rPr>
        <w:t>6.6.4   评标结束后，采购代理机构通过成交公告的形式宣布评标结果。</w:t>
      </w:r>
    </w:p>
    <w:p w14:paraId="4C4868C8">
      <w:pPr>
        <w:pStyle w:val="19"/>
        <w:spacing w:beforeLines="100" w:after="240" w:afterLines="100"/>
        <w:jc w:val="left"/>
        <w:outlineLvl w:val="1"/>
        <w:rPr>
          <w:rFonts w:ascii="仿宋" w:hAnsi="仿宋" w:eastAsia="仿宋" w:cs="仿宋"/>
          <w:color w:val="auto"/>
          <w:sz w:val="30"/>
          <w:szCs w:val="30"/>
          <w:highlight w:val="none"/>
        </w:rPr>
      </w:pPr>
      <w:bookmarkStart w:id="278" w:name="_Toc531359025"/>
      <w:bookmarkStart w:id="279" w:name="_Toc523398512"/>
      <w:bookmarkStart w:id="280" w:name="_Toc485"/>
      <w:r>
        <w:rPr>
          <w:rFonts w:hint="eastAsia" w:ascii="仿宋" w:hAnsi="仿宋" w:eastAsia="仿宋" w:cs="仿宋"/>
          <w:color w:val="auto"/>
          <w:sz w:val="30"/>
          <w:szCs w:val="30"/>
          <w:highlight w:val="none"/>
        </w:rPr>
        <w:t>七    响应无效的情形</w:t>
      </w:r>
      <w:bookmarkEnd w:id="278"/>
      <w:bookmarkEnd w:id="279"/>
      <w:bookmarkEnd w:id="280"/>
    </w:p>
    <w:p w14:paraId="16B191B1">
      <w:pPr>
        <w:pStyle w:val="30"/>
        <w:rPr>
          <w:rFonts w:ascii="仿宋" w:hAnsi="仿宋" w:eastAsia="仿宋" w:cs="仿宋"/>
          <w:color w:val="auto"/>
          <w:highlight w:val="none"/>
        </w:rPr>
      </w:pPr>
      <w:bookmarkStart w:id="281" w:name="_Toc30509"/>
      <w:r>
        <w:rPr>
          <w:rFonts w:hint="eastAsia" w:ascii="仿宋" w:hAnsi="仿宋" w:eastAsia="仿宋" w:cs="仿宋"/>
          <w:color w:val="auto"/>
          <w:highlight w:val="none"/>
        </w:rPr>
        <w:t>7.1     在开标时，如发现有以下情形之一的，其响应无效</w:t>
      </w:r>
      <w:bookmarkEnd w:id="281"/>
    </w:p>
    <w:p w14:paraId="61D9A2F9">
      <w:pPr>
        <w:spacing w:line="360" w:lineRule="auto"/>
        <w:ind w:left="840" w:leftChars="400" w:firstLine="120" w:firstLineChars="50"/>
        <w:rPr>
          <w:rFonts w:ascii="仿宋" w:hAnsi="仿宋" w:eastAsia="仿宋" w:cs="仿宋"/>
          <w:bCs/>
          <w:color w:val="auto"/>
          <w:sz w:val="24"/>
          <w:highlight w:val="none"/>
        </w:rPr>
      </w:pPr>
      <w:r>
        <w:rPr>
          <w:rFonts w:hint="eastAsia" w:ascii="仿宋" w:hAnsi="仿宋" w:eastAsia="仿宋" w:cs="仿宋"/>
          <w:bCs/>
          <w:color w:val="auto"/>
          <w:sz w:val="24"/>
          <w:highlight w:val="none"/>
        </w:rPr>
        <w:fldChar w:fldCharType="begin"/>
      </w:r>
      <w:r>
        <w:rPr>
          <w:rFonts w:hint="eastAsia" w:ascii="仿宋" w:hAnsi="仿宋" w:eastAsia="仿宋" w:cs="仿宋"/>
          <w:bCs/>
          <w:color w:val="auto"/>
          <w:sz w:val="24"/>
          <w:highlight w:val="none"/>
        </w:rPr>
        <w:instrText xml:space="preserve"> = 1 \* GB2 </w:instrText>
      </w:r>
      <w:r>
        <w:rPr>
          <w:rFonts w:hint="eastAsia" w:ascii="仿宋" w:hAnsi="仿宋" w:eastAsia="仿宋" w:cs="仿宋"/>
          <w:bCs/>
          <w:color w:val="auto"/>
          <w:sz w:val="24"/>
          <w:highlight w:val="none"/>
        </w:rPr>
        <w:fldChar w:fldCharType="separate"/>
      </w:r>
      <w:r>
        <w:rPr>
          <w:rFonts w:hint="eastAsia" w:ascii="仿宋" w:hAnsi="仿宋" w:eastAsia="仿宋" w:cs="仿宋"/>
          <w:bCs/>
          <w:color w:val="auto"/>
          <w:sz w:val="24"/>
          <w:highlight w:val="none"/>
        </w:rPr>
        <w:t>⑴</w:t>
      </w:r>
      <w:r>
        <w:rPr>
          <w:rFonts w:hint="eastAsia" w:ascii="仿宋" w:hAnsi="仿宋" w:eastAsia="仿宋" w:cs="仿宋"/>
          <w:bCs/>
          <w:color w:val="auto"/>
          <w:sz w:val="24"/>
          <w:highlight w:val="none"/>
        </w:rPr>
        <w:fldChar w:fldCharType="end"/>
      </w:r>
      <w:r>
        <w:rPr>
          <w:rFonts w:hint="eastAsia" w:ascii="仿宋" w:hAnsi="仿宋" w:eastAsia="仿宋" w:cs="仿宋"/>
          <w:bCs/>
          <w:color w:val="auto"/>
          <w:sz w:val="24"/>
          <w:highlight w:val="none"/>
        </w:rPr>
        <w:t>未按要求提交电子加密磋商响应文件的；</w:t>
      </w:r>
    </w:p>
    <w:p w14:paraId="08EEEB23">
      <w:pPr>
        <w:spacing w:line="360" w:lineRule="auto"/>
        <w:ind w:left="1185" w:leftChars="450" w:hanging="240" w:hangingChars="100"/>
        <w:rPr>
          <w:rFonts w:ascii="仿宋" w:hAnsi="仿宋" w:eastAsia="仿宋" w:cs="仿宋"/>
          <w:color w:val="auto"/>
          <w:sz w:val="24"/>
          <w:highlight w:val="none"/>
        </w:rPr>
      </w:pPr>
      <w:r>
        <w:rPr>
          <w:rFonts w:hint="eastAsia" w:ascii="仿宋" w:hAnsi="仿宋" w:eastAsia="仿宋" w:cs="仿宋"/>
          <w:bCs/>
          <w:color w:val="auto"/>
          <w:sz w:val="24"/>
          <w:highlight w:val="none"/>
        </w:rPr>
        <w:fldChar w:fldCharType="begin"/>
      </w:r>
      <w:r>
        <w:rPr>
          <w:rFonts w:hint="eastAsia" w:ascii="仿宋" w:hAnsi="仿宋" w:eastAsia="仿宋" w:cs="仿宋"/>
          <w:bCs/>
          <w:color w:val="auto"/>
          <w:sz w:val="24"/>
          <w:highlight w:val="none"/>
        </w:rPr>
        <w:instrText xml:space="preserve"> = 2 \* GB2 </w:instrText>
      </w:r>
      <w:r>
        <w:rPr>
          <w:rFonts w:hint="eastAsia" w:ascii="仿宋" w:hAnsi="仿宋" w:eastAsia="仿宋" w:cs="仿宋"/>
          <w:bCs/>
          <w:color w:val="auto"/>
          <w:sz w:val="24"/>
          <w:highlight w:val="none"/>
        </w:rPr>
        <w:fldChar w:fldCharType="separate"/>
      </w:r>
      <w:r>
        <w:rPr>
          <w:rFonts w:hint="eastAsia" w:ascii="仿宋" w:hAnsi="仿宋" w:eastAsia="仿宋" w:cs="仿宋"/>
          <w:bCs/>
          <w:color w:val="auto"/>
          <w:sz w:val="24"/>
          <w:highlight w:val="none"/>
        </w:rPr>
        <w:t>⑵</w:t>
      </w:r>
      <w:r>
        <w:rPr>
          <w:rFonts w:hint="eastAsia" w:ascii="仿宋" w:hAnsi="仿宋" w:eastAsia="仿宋" w:cs="仿宋"/>
          <w:bCs/>
          <w:color w:val="auto"/>
          <w:sz w:val="24"/>
          <w:highlight w:val="none"/>
        </w:rPr>
        <w:fldChar w:fldCharType="end"/>
      </w:r>
      <w:r>
        <w:rPr>
          <w:rFonts w:hint="eastAsia" w:ascii="仿宋" w:hAnsi="仿宋" w:eastAsia="仿宋" w:cs="仿宋"/>
          <w:color w:val="auto"/>
          <w:sz w:val="24"/>
          <w:highlight w:val="none"/>
        </w:rPr>
        <w:t>在规定时间内未解密电子加密磋商响应文件或</w:t>
      </w:r>
      <w:r>
        <w:rPr>
          <w:rFonts w:hint="eastAsia" w:ascii="仿宋" w:hAnsi="仿宋" w:eastAsia="仿宋" w:cs="仿宋"/>
          <w:bCs/>
          <w:color w:val="auto"/>
          <w:sz w:val="24"/>
          <w:highlight w:val="none"/>
        </w:rPr>
        <w:t>提交电子加密</w:t>
      </w:r>
      <w:r>
        <w:rPr>
          <w:rFonts w:hint="eastAsia" w:ascii="仿宋" w:hAnsi="仿宋" w:eastAsia="仿宋" w:cs="仿宋"/>
          <w:color w:val="auto"/>
          <w:sz w:val="24"/>
          <w:highlight w:val="none"/>
        </w:rPr>
        <w:t>磋商响应文件</w:t>
      </w:r>
      <w:r>
        <w:rPr>
          <w:rFonts w:hint="eastAsia" w:ascii="仿宋" w:hAnsi="仿宋" w:eastAsia="仿宋" w:cs="仿宋"/>
          <w:bCs/>
          <w:color w:val="auto"/>
          <w:sz w:val="24"/>
          <w:highlight w:val="none"/>
        </w:rPr>
        <w:t>无法解密，且未按规定提交备份</w:t>
      </w:r>
      <w:r>
        <w:rPr>
          <w:rFonts w:hint="eastAsia" w:ascii="仿宋" w:hAnsi="仿宋" w:eastAsia="仿宋" w:cs="仿宋"/>
          <w:color w:val="auto"/>
          <w:sz w:val="24"/>
          <w:highlight w:val="none"/>
        </w:rPr>
        <w:t>磋商响应文件</w:t>
      </w:r>
      <w:r>
        <w:rPr>
          <w:rFonts w:hint="eastAsia" w:ascii="仿宋" w:hAnsi="仿宋" w:eastAsia="仿宋" w:cs="仿宋"/>
          <w:bCs/>
          <w:color w:val="auto"/>
          <w:sz w:val="24"/>
          <w:highlight w:val="none"/>
        </w:rPr>
        <w:t>。</w:t>
      </w:r>
    </w:p>
    <w:p w14:paraId="1A0FD548">
      <w:pPr>
        <w:pStyle w:val="30"/>
        <w:rPr>
          <w:rFonts w:ascii="仿宋" w:hAnsi="仿宋" w:eastAsia="仿宋" w:cs="仿宋"/>
          <w:color w:val="auto"/>
          <w:highlight w:val="none"/>
        </w:rPr>
      </w:pPr>
      <w:bookmarkStart w:id="282" w:name="_Toc248"/>
      <w:r>
        <w:rPr>
          <w:rFonts w:hint="eastAsia" w:ascii="仿宋" w:hAnsi="仿宋" w:eastAsia="仿宋" w:cs="仿宋"/>
          <w:color w:val="auto"/>
          <w:highlight w:val="none"/>
        </w:rPr>
        <w:t>7.2     在符合性审查时，如发现下列情形之一的，其响应无效</w:t>
      </w:r>
      <w:bookmarkEnd w:id="282"/>
    </w:p>
    <w:p w14:paraId="5AA33605">
      <w:pPr>
        <w:spacing w:line="360" w:lineRule="auto"/>
        <w:ind w:left="840" w:leftChars="400" w:firstLine="120" w:firstLineChars="50"/>
        <w:rPr>
          <w:rFonts w:ascii="仿宋" w:hAnsi="仿宋" w:eastAsia="仿宋" w:cs="仿宋"/>
          <w:bCs/>
          <w:color w:val="auto"/>
          <w:sz w:val="24"/>
          <w:highlight w:val="none"/>
        </w:rPr>
      </w:pPr>
      <w:r>
        <w:rPr>
          <w:rFonts w:hint="eastAsia" w:ascii="仿宋" w:hAnsi="仿宋" w:eastAsia="仿宋" w:cs="仿宋"/>
          <w:bCs/>
          <w:color w:val="auto"/>
          <w:sz w:val="24"/>
          <w:highlight w:val="none"/>
        </w:rPr>
        <w:fldChar w:fldCharType="begin"/>
      </w:r>
      <w:r>
        <w:rPr>
          <w:rFonts w:hint="eastAsia" w:ascii="仿宋" w:hAnsi="仿宋" w:eastAsia="仿宋" w:cs="仿宋"/>
          <w:bCs/>
          <w:color w:val="auto"/>
          <w:sz w:val="24"/>
          <w:highlight w:val="none"/>
        </w:rPr>
        <w:instrText xml:space="preserve"> = 1 \* GB2 </w:instrText>
      </w:r>
      <w:r>
        <w:rPr>
          <w:rFonts w:hint="eastAsia" w:ascii="仿宋" w:hAnsi="仿宋" w:eastAsia="仿宋" w:cs="仿宋"/>
          <w:bCs/>
          <w:color w:val="auto"/>
          <w:sz w:val="24"/>
          <w:highlight w:val="none"/>
        </w:rPr>
        <w:fldChar w:fldCharType="separate"/>
      </w:r>
      <w:r>
        <w:rPr>
          <w:rFonts w:hint="eastAsia" w:ascii="仿宋" w:hAnsi="仿宋" w:eastAsia="仿宋" w:cs="仿宋"/>
          <w:bCs/>
          <w:color w:val="auto"/>
          <w:sz w:val="24"/>
          <w:highlight w:val="none"/>
        </w:rPr>
        <w:t>⑴</w:t>
      </w:r>
      <w:r>
        <w:rPr>
          <w:rFonts w:hint="eastAsia" w:ascii="仿宋" w:hAnsi="仿宋" w:eastAsia="仿宋" w:cs="仿宋"/>
          <w:bCs/>
          <w:color w:val="auto"/>
          <w:sz w:val="24"/>
          <w:highlight w:val="none"/>
        </w:rPr>
        <w:fldChar w:fldCharType="end"/>
      </w:r>
      <w:r>
        <w:rPr>
          <w:rFonts w:hint="eastAsia" w:ascii="仿宋" w:hAnsi="仿宋" w:eastAsia="仿宋" w:cs="仿宋"/>
          <w:bCs/>
          <w:color w:val="auto"/>
          <w:sz w:val="24"/>
          <w:highlight w:val="none"/>
        </w:rPr>
        <w:t>未按磋商文件规定进行盖章、签字的；</w:t>
      </w:r>
    </w:p>
    <w:p w14:paraId="55CF4287">
      <w:pPr>
        <w:spacing w:line="360" w:lineRule="auto"/>
        <w:ind w:left="840" w:leftChars="400" w:firstLine="120" w:firstLineChars="50"/>
        <w:rPr>
          <w:rFonts w:ascii="仿宋" w:hAnsi="仿宋" w:eastAsia="仿宋" w:cs="仿宋"/>
          <w:bCs/>
          <w:color w:val="auto"/>
          <w:sz w:val="24"/>
          <w:highlight w:val="none"/>
        </w:rPr>
      </w:pPr>
      <w:r>
        <w:rPr>
          <w:rFonts w:hint="eastAsia" w:ascii="仿宋" w:hAnsi="仿宋" w:eastAsia="仿宋" w:cs="仿宋"/>
          <w:bCs/>
          <w:color w:val="auto"/>
          <w:sz w:val="24"/>
          <w:highlight w:val="none"/>
        </w:rPr>
        <w:fldChar w:fldCharType="begin"/>
      </w:r>
      <w:r>
        <w:rPr>
          <w:rFonts w:hint="eastAsia" w:ascii="仿宋" w:hAnsi="仿宋" w:eastAsia="仿宋" w:cs="仿宋"/>
          <w:bCs/>
          <w:color w:val="auto"/>
          <w:sz w:val="24"/>
          <w:highlight w:val="none"/>
        </w:rPr>
        <w:instrText xml:space="preserve"> = 2 \* GB2 </w:instrText>
      </w:r>
      <w:r>
        <w:rPr>
          <w:rFonts w:hint="eastAsia" w:ascii="仿宋" w:hAnsi="仿宋" w:eastAsia="仿宋" w:cs="仿宋"/>
          <w:bCs/>
          <w:color w:val="auto"/>
          <w:sz w:val="24"/>
          <w:highlight w:val="none"/>
        </w:rPr>
        <w:fldChar w:fldCharType="separate"/>
      </w:r>
      <w:r>
        <w:rPr>
          <w:rFonts w:hint="eastAsia" w:ascii="仿宋" w:hAnsi="仿宋" w:eastAsia="仿宋" w:cs="仿宋"/>
          <w:bCs/>
          <w:color w:val="auto"/>
          <w:sz w:val="24"/>
          <w:highlight w:val="none"/>
        </w:rPr>
        <w:t>⑵</w:t>
      </w:r>
      <w:r>
        <w:rPr>
          <w:rFonts w:hint="eastAsia" w:ascii="仿宋" w:hAnsi="仿宋" w:eastAsia="仿宋" w:cs="仿宋"/>
          <w:bCs/>
          <w:color w:val="auto"/>
          <w:sz w:val="24"/>
          <w:highlight w:val="none"/>
        </w:rPr>
        <w:fldChar w:fldCharType="end"/>
      </w:r>
      <w:r>
        <w:rPr>
          <w:rFonts w:hint="eastAsia" w:ascii="仿宋" w:hAnsi="仿宋" w:eastAsia="仿宋" w:cs="仿宋"/>
          <w:color w:val="auto"/>
          <w:sz w:val="24"/>
          <w:highlight w:val="none"/>
        </w:rPr>
        <w:t>未实质响应磋商文件中带“</w:t>
      </w: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rPr>
        <w:t>”条款要求的磋商响应文件；</w:t>
      </w:r>
    </w:p>
    <w:p w14:paraId="416FE470">
      <w:pPr>
        <w:spacing w:line="360" w:lineRule="auto"/>
        <w:ind w:left="1185" w:leftChars="450" w:hanging="240" w:hangingChars="100"/>
        <w:rPr>
          <w:rFonts w:ascii="仿宋" w:hAnsi="仿宋" w:eastAsia="仿宋" w:cs="仿宋"/>
          <w:color w:val="auto"/>
          <w:sz w:val="24"/>
          <w:highlight w:val="none"/>
        </w:rPr>
      </w:pPr>
      <w:r>
        <w:rPr>
          <w:rFonts w:hint="eastAsia" w:ascii="仿宋" w:hAnsi="仿宋" w:eastAsia="仿宋" w:cs="仿宋"/>
          <w:bCs/>
          <w:color w:val="auto"/>
          <w:sz w:val="24"/>
          <w:highlight w:val="none"/>
        </w:rPr>
        <w:fldChar w:fldCharType="begin"/>
      </w:r>
      <w:r>
        <w:rPr>
          <w:rFonts w:hint="eastAsia" w:ascii="仿宋" w:hAnsi="仿宋" w:eastAsia="仿宋" w:cs="仿宋"/>
          <w:bCs/>
          <w:color w:val="auto"/>
          <w:sz w:val="24"/>
          <w:highlight w:val="none"/>
        </w:rPr>
        <w:instrText xml:space="preserve"> = 3 \* GB2 </w:instrText>
      </w:r>
      <w:r>
        <w:rPr>
          <w:rFonts w:hint="eastAsia" w:ascii="仿宋" w:hAnsi="仿宋" w:eastAsia="仿宋" w:cs="仿宋"/>
          <w:bCs/>
          <w:color w:val="auto"/>
          <w:sz w:val="24"/>
          <w:highlight w:val="none"/>
        </w:rPr>
        <w:fldChar w:fldCharType="separate"/>
      </w:r>
      <w:r>
        <w:rPr>
          <w:rFonts w:hint="eastAsia" w:ascii="仿宋" w:hAnsi="仿宋" w:eastAsia="仿宋" w:cs="仿宋"/>
          <w:bCs/>
          <w:color w:val="auto"/>
          <w:sz w:val="24"/>
          <w:highlight w:val="none"/>
        </w:rPr>
        <w:t>⑶</w:t>
      </w:r>
      <w:r>
        <w:rPr>
          <w:rFonts w:hint="eastAsia" w:ascii="仿宋" w:hAnsi="仿宋" w:eastAsia="仿宋" w:cs="仿宋"/>
          <w:bCs/>
          <w:color w:val="auto"/>
          <w:sz w:val="24"/>
          <w:highlight w:val="none"/>
        </w:rPr>
        <w:fldChar w:fldCharType="end"/>
      </w:r>
      <w:r>
        <w:rPr>
          <w:rFonts w:hint="eastAsia" w:ascii="仿宋" w:hAnsi="仿宋" w:eastAsia="仿宋" w:cs="仿宋"/>
          <w:color w:val="auto"/>
          <w:sz w:val="24"/>
          <w:highlight w:val="none"/>
        </w:rPr>
        <w:t>存在一个或一个以上备选（替代）响应方案的；</w:t>
      </w:r>
    </w:p>
    <w:p w14:paraId="611FE732">
      <w:pPr>
        <w:spacing w:line="360" w:lineRule="auto"/>
        <w:ind w:left="1185" w:leftChars="450" w:hanging="240" w:hangingChars="100"/>
        <w:rPr>
          <w:rFonts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4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⑷</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供应商提交两份或两份以上内容不同的磋商响应文件，未声明哪一份有效的。</w:t>
      </w:r>
    </w:p>
    <w:p w14:paraId="7125629C">
      <w:pPr>
        <w:pStyle w:val="6"/>
        <w:spacing w:before="0" w:after="0"/>
        <w:ind w:left="964" w:hanging="964" w:hangingChars="400"/>
        <w:rPr>
          <w:rFonts w:ascii="仿宋" w:hAnsi="仿宋" w:eastAsia="仿宋" w:cs="仿宋"/>
          <w:color w:val="auto"/>
          <w:sz w:val="24"/>
          <w:szCs w:val="24"/>
          <w:highlight w:val="none"/>
        </w:rPr>
      </w:pPr>
      <w:bookmarkStart w:id="283" w:name="_Toc22684"/>
      <w:r>
        <w:rPr>
          <w:rFonts w:hint="eastAsia" w:ascii="仿宋" w:hAnsi="仿宋" w:eastAsia="仿宋" w:cs="仿宋"/>
          <w:color w:val="auto"/>
          <w:sz w:val="24"/>
          <w:szCs w:val="24"/>
          <w:highlight w:val="none"/>
        </w:rPr>
        <w:t>7.3     在资信商务技术评审时，如发现下列情形之一的，其响应无效</w:t>
      </w:r>
      <w:bookmarkEnd w:id="283"/>
    </w:p>
    <w:p w14:paraId="6529D538">
      <w:pPr>
        <w:spacing w:line="360" w:lineRule="auto"/>
        <w:ind w:left="1185" w:leftChars="450" w:hanging="240" w:hangingChars="100"/>
        <w:rPr>
          <w:rFonts w:ascii="仿宋" w:hAnsi="仿宋" w:eastAsia="仿宋" w:cs="仿宋"/>
          <w:bCs/>
          <w:color w:val="auto"/>
          <w:sz w:val="24"/>
          <w:highlight w:val="none"/>
        </w:rPr>
      </w:pPr>
      <w:r>
        <w:rPr>
          <w:rFonts w:hint="eastAsia" w:ascii="仿宋" w:hAnsi="仿宋" w:eastAsia="仿宋" w:cs="仿宋"/>
          <w:bCs/>
          <w:color w:val="auto"/>
          <w:sz w:val="24"/>
          <w:highlight w:val="none"/>
        </w:rPr>
        <w:fldChar w:fldCharType="begin"/>
      </w:r>
      <w:r>
        <w:rPr>
          <w:rFonts w:hint="eastAsia" w:ascii="仿宋" w:hAnsi="仿宋" w:eastAsia="仿宋" w:cs="仿宋"/>
          <w:bCs/>
          <w:color w:val="auto"/>
          <w:sz w:val="24"/>
          <w:highlight w:val="none"/>
        </w:rPr>
        <w:instrText xml:space="preserve"> = 1 \* GB2 </w:instrText>
      </w:r>
      <w:r>
        <w:rPr>
          <w:rFonts w:hint="eastAsia" w:ascii="仿宋" w:hAnsi="仿宋" w:eastAsia="仿宋" w:cs="仿宋"/>
          <w:bCs/>
          <w:color w:val="auto"/>
          <w:sz w:val="24"/>
          <w:highlight w:val="none"/>
        </w:rPr>
        <w:fldChar w:fldCharType="separate"/>
      </w:r>
      <w:r>
        <w:rPr>
          <w:rFonts w:hint="eastAsia" w:ascii="仿宋" w:hAnsi="仿宋" w:eastAsia="仿宋" w:cs="仿宋"/>
          <w:bCs/>
          <w:color w:val="auto"/>
          <w:sz w:val="24"/>
          <w:highlight w:val="none"/>
        </w:rPr>
        <w:t>⑴</w:t>
      </w:r>
      <w:r>
        <w:rPr>
          <w:rFonts w:hint="eastAsia" w:ascii="仿宋" w:hAnsi="仿宋" w:eastAsia="仿宋" w:cs="仿宋"/>
          <w:bCs/>
          <w:color w:val="auto"/>
          <w:sz w:val="24"/>
          <w:highlight w:val="none"/>
        </w:rPr>
        <w:fldChar w:fldCharType="end"/>
      </w:r>
      <w:r>
        <w:rPr>
          <w:rFonts w:hint="eastAsia" w:ascii="仿宋" w:hAnsi="仿宋" w:eastAsia="仿宋" w:cs="仿宋"/>
          <w:color w:val="auto"/>
          <w:sz w:val="24"/>
          <w:highlight w:val="none"/>
        </w:rPr>
        <w:t>磋商响应文件含有采购人不能接受的附加条款的；</w:t>
      </w:r>
    </w:p>
    <w:p w14:paraId="1E80A8D3">
      <w:pPr>
        <w:spacing w:line="360" w:lineRule="auto"/>
        <w:ind w:left="840" w:leftChars="400" w:firstLine="120" w:firstLineChars="50"/>
        <w:rPr>
          <w:rFonts w:ascii="仿宋" w:hAnsi="仿宋" w:eastAsia="仿宋" w:cs="仿宋"/>
          <w:bCs/>
          <w:color w:val="auto"/>
          <w:sz w:val="24"/>
          <w:highlight w:val="none"/>
        </w:rPr>
      </w:pPr>
      <w:r>
        <w:rPr>
          <w:rFonts w:hint="eastAsia" w:ascii="仿宋" w:hAnsi="仿宋" w:eastAsia="仿宋" w:cs="仿宋"/>
          <w:bCs/>
          <w:color w:val="auto"/>
          <w:sz w:val="24"/>
          <w:highlight w:val="none"/>
        </w:rPr>
        <w:fldChar w:fldCharType="begin"/>
      </w:r>
      <w:r>
        <w:rPr>
          <w:rFonts w:hint="eastAsia" w:ascii="仿宋" w:hAnsi="仿宋" w:eastAsia="仿宋" w:cs="仿宋"/>
          <w:bCs/>
          <w:color w:val="auto"/>
          <w:sz w:val="24"/>
          <w:highlight w:val="none"/>
        </w:rPr>
        <w:instrText xml:space="preserve"> = 2 \* GB2 </w:instrText>
      </w:r>
      <w:r>
        <w:rPr>
          <w:rFonts w:hint="eastAsia" w:ascii="仿宋" w:hAnsi="仿宋" w:eastAsia="仿宋" w:cs="仿宋"/>
          <w:bCs/>
          <w:color w:val="auto"/>
          <w:sz w:val="24"/>
          <w:highlight w:val="none"/>
        </w:rPr>
        <w:fldChar w:fldCharType="separate"/>
      </w:r>
      <w:r>
        <w:rPr>
          <w:rFonts w:hint="eastAsia" w:ascii="仿宋" w:hAnsi="仿宋" w:eastAsia="仿宋" w:cs="仿宋"/>
          <w:bCs/>
          <w:color w:val="auto"/>
          <w:sz w:val="24"/>
          <w:highlight w:val="none"/>
        </w:rPr>
        <w:t>⑵</w:t>
      </w:r>
      <w:r>
        <w:rPr>
          <w:rFonts w:hint="eastAsia" w:ascii="仿宋" w:hAnsi="仿宋" w:eastAsia="仿宋" w:cs="仿宋"/>
          <w:bCs/>
          <w:color w:val="auto"/>
          <w:sz w:val="24"/>
          <w:highlight w:val="none"/>
        </w:rPr>
        <w:fldChar w:fldCharType="end"/>
      </w:r>
      <w:r>
        <w:rPr>
          <w:rFonts w:hint="eastAsia" w:ascii="仿宋" w:hAnsi="仿宋" w:eastAsia="仿宋" w:cs="仿宋"/>
          <w:color w:val="auto"/>
          <w:sz w:val="24"/>
          <w:highlight w:val="none"/>
        </w:rPr>
        <w:t>磋商响应文件中提供赠品、回扣或者与采购无关的其他商品、服务的；</w:t>
      </w:r>
    </w:p>
    <w:p w14:paraId="66D9F493">
      <w:pPr>
        <w:spacing w:line="360" w:lineRule="auto"/>
        <w:ind w:left="1185" w:leftChars="450" w:hanging="240" w:hangingChars="100"/>
        <w:rPr>
          <w:rFonts w:ascii="仿宋" w:hAnsi="仿宋" w:eastAsia="仿宋" w:cs="仿宋"/>
          <w:color w:val="auto"/>
          <w:sz w:val="24"/>
          <w:highlight w:val="none"/>
        </w:rPr>
      </w:pPr>
      <w:r>
        <w:rPr>
          <w:rFonts w:hint="eastAsia" w:ascii="仿宋" w:hAnsi="仿宋" w:eastAsia="仿宋" w:cs="仿宋"/>
          <w:bCs/>
          <w:color w:val="auto"/>
          <w:sz w:val="24"/>
          <w:highlight w:val="none"/>
        </w:rPr>
        <w:fldChar w:fldCharType="begin"/>
      </w:r>
      <w:r>
        <w:rPr>
          <w:rFonts w:hint="eastAsia" w:ascii="仿宋" w:hAnsi="仿宋" w:eastAsia="仿宋" w:cs="仿宋"/>
          <w:bCs/>
          <w:color w:val="auto"/>
          <w:sz w:val="24"/>
          <w:highlight w:val="none"/>
        </w:rPr>
        <w:instrText xml:space="preserve"> = 3 \* GB2 </w:instrText>
      </w:r>
      <w:r>
        <w:rPr>
          <w:rFonts w:hint="eastAsia" w:ascii="仿宋" w:hAnsi="仿宋" w:eastAsia="仿宋" w:cs="仿宋"/>
          <w:bCs/>
          <w:color w:val="auto"/>
          <w:sz w:val="24"/>
          <w:highlight w:val="none"/>
        </w:rPr>
        <w:fldChar w:fldCharType="separate"/>
      </w:r>
      <w:r>
        <w:rPr>
          <w:rFonts w:hint="eastAsia" w:ascii="仿宋" w:hAnsi="仿宋" w:eastAsia="仿宋" w:cs="仿宋"/>
          <w:bCs/>
          <w:color w:val="auto"/>
          <w:sz w:val="24"/>
          <w:highlight w:val="none"/>
        </w:rPr>
        <w:t>⑶</w:t>
      </w:r>
      <w:r>
        <w:rPr>
          <w:rFonts w:hint="eastAsia" w:ascii="仿宋" w:hAnsi="仿宋" w:eastAsia="仿宋" w:cs="仿宋"/>
          <w:bCs/>
          <w:color w:val="auto"/>
          <w:sz w:val="24"/>
          <w:highlight w:val="none"/>
        </w:rPr>
        <w:fldChar w:fldCharType="end"/>
      </w:r>
      <w:r>
        <w:rPr>
          <w:rFonts w:hint="eastAsia" w:ascii="仿宋" w:hAnsi="仿宋" w:eastAsia="仿宋" w:cs="仿宋"/>
          <w:color w:val="auto"/>
          <w:sz w:val="24"/>
          <w:highlight w:val="none"/>
        </w:rPr>
        <w:t>磋商小组评定有非实质性条款负偏离超过磋商文件规定项数的，项数要求见供应商须知前附表（一）；</w:t>
      </w:r>
    </w:p>
    <w:p w14:paraId="1C091DB7">
      <w:pPr>
        <w:spacing w:line="360" w:lineRule="auto"/>
        <w:ind w:left="1185" w:leftChars="450" w:hanging="240" w:hangingChars="100"/>
        <w:rPr>
          <w:rFonts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4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⑷</w:t>
      </w:r>
      <w:r>
        <w:rPr>
          <w:rFonts w:hint="eastAsia" w:ascii="仿宋" w:hAnsi="仿宋" w:eastAsia="仿宋" w:cs="仿宋"/>
          <w:color w:val="auto"/>
          <w:sz w:val="24"/>
          <w:highlight w:val="none"/>
        </w:rPr>
        <w:fldChar w:fldCharType="end"/>
      </w:r>
      <w:r>
        <w:rPr>
          <w:rFonts w:hint="eastAsia" w:ascii="仿宋" w:hAnsi="仿宋" w:eastAsia="仿宋" w:cs="仿宋"/>
          <w:bCs/>
          <w:color w:val="auto"/>
          <w:sz w:val="24"/>
          <w:highlight w:val="none"/>
        </w:rPr>
        <w:t>供应商已明知采购期间或之后企业将发生兼并改制，或提供的产品将停产、淘汰，或必须有偿使用专供的备品备件和试剂耗材的，及其他应当告知采购人可能影响采购项目实施或损害采购人利益的信息，不在磋商响应文件中予以特别说明的；</w:t>
      </w:r>
    </w:p>
    <w:p w14:paraId="54508FB5">
      <w:pPr>
        <w:spacing w:line="360" w:lineRule="auto"/>
        <w:ind w:left="1185" w:leftChars="450" w:hanging="240" w:hangingChars="100"/>
        <w:rPr>
          <w:rFonts w:ascii="仿宋" w:hAnsi="仿宋" w:eastAsia="仿宋" w:cs="仿宋"/>
          <w:bCs/>
          <w:color w:val="auto"/>
          <w:sz w:val="24"/>
          <w:highlight w:val="none"/>
        </w:rPr>
      </w:pPr>
      <w:r>
        <w:rPr>
          <w:rFonts w:hint="eastAsia" w:ascii="仿宋" w:hAnsi="仿宋" w:eastAsia="仿宋" w:cs="仿宋"/>
          <w:bCs/>
          <w:color w:val="auto"/>
          <w:sz w:val="24"/>
          <w:highlight w:val="none"/>
        </w:rPr>
        <w:fldChar w:fldCharType="begin"/>
      </w:r>
      <w:r>
        <w:rPr>
          <w:rFonts w:hint="eastAsia" w:ascii="仿宋" w:hAnsi="仿宋" w:eastAsia="仿宋" w:cs="仿宋"/>
          <w:bCs/>
          <w:color w:val="auto"/>
          <w:sz w:val="24"/>
          <w:highlight w:val="none"/>
        </w:rPr>
        <w:instrText xml:space="preserve"> = 5 \* GB2 </w:instrText>
      </w:r>
      <w:r>
        <w:rPr>
          <w:rFonts w:hint="eastAsia" w:ascii="仿宋" w:hAnsi="仿宋" w:eastAsia="仿宋" w:cs="仿宋"/>
          <w:bCs/>
          <w:color w:val="auto"/>
          <w:sz w:val="24"/>
          <w:highlight w:val="none"/>
        </w:rPr>
        <w:fldChar w:fldCharType="separate"/>
      </w:r>
      <w:r>
        <w:rPr>
          <w:rFonts w:hint="eastAsia" w:ascii="仿宋" w:hAnsi="仿宋" w:eastAsia="仿宋" w:cs="仿宋"/>
          <w:bCs/>
          <w:color w:val="auto"/>
          <w:sz w:val="24"/>
          <w:highlight w:val="none"/>
        </w:rPr>
        <w:t>⑸</w:t>
      </w:r>
      <w:r>
        <w:rPr>
          <w:rFonts w:hint="eastAsia" w:ascii="仿宋" w:hAnsi="仿宋" w:eastAsia="仿宋" w:cs="仿宋"/>
          <w:bCs/>
          <w:color w:val="auto"/>
          <w:sz w:val="24"/>
          <w:highlight w:val="none"/>
        </w:rPr>
        <w:fldChar w:fldCharType="end"/>
      </w:r>
      <w:r>
        <w:rPr>
          <w:rFonts w:hint="eastAsia" w:ascii="仿宋" w:hAnsi="仿宋" w:eastAsia="仿宋" w:cs="仿宋"/>
          <w:bCs/>
          <w:color w:val="auto"/>
          <w:sz w:val="24"/>
          <w:highlight w:val="none"/>
        </w:rPr>
        <w:t>采购产品为政府强制采购的节能产品，供应商未提供节能产品认证证书的；</w:t>
      </w:r>
    </w:p>
    <w:p w14:paraId="196AFFF3">
      <w:pPr>
        <w:spacing w:line="360" w:lineRule="auto"/>
        <w:ind w:left="1185" w:leftChars="450" w:hanging="240" w:hangingChars="100"/>
        <w:rPr>
          <w:rFonts w:ascii="仿宋" w:hAnsi="仿宋" w:eastAsia="仿宋" w:cs="仿宋"/>
          <w:bCs/>
          <w:color w:val="auto"/>
          <w:sz w:val="24"/>
          <w:highlight w:val="none"/>
        </w:rPr>
      </w:pPr>
      <w:r>
        <w:rPr>
          <w:rFonts w:hint="eastAsia" w:ascii="仿宋" w:hAnsi="仿宋" w:eastAsia="仿宋" w:cs="仿宋"/>
          <w:bCs/>
          <w:color w:val="auto"/>
          <w:sz w:val="24"/>
          <w:highlight w:val="none"/>
        </w:rPr>
        <w:fldChar w:fldCharType="begin"/>
      </w:r>
      <w:r>
        <w:rPr>
          <w:rFonts w:hint="eastAsia" w:ascii="仿宋" w:hAnsi="仿宋" w:eastAsia="仿宋" w:cs="仿宋"/>
          <w:bCs/>
          <w:color w:val="auto"/>
          <w:sz w:val="24"/>
          <w:highlight w:val="none"/>
        </w:rPr>
        <w:instrText xml:space="preserve"> = 6 \* GB2 </w:instrText>
      </w:r>
      <w:r>
        <w:rPr>
          <w:rFonts w:hint="eastAsia" w:ascii="仿宋" w:hAnsi="仿宋" w:eastAsia="仿宋" w:cs="仿宋"/>
          <w:bCs/>
          <w:color w:val="auto"/>
          <w:sz w:val="24"/>
          <w:highlight w:val="none"/>
        </w:rPr>
        <w:fldChar w:fldCharType="separate"/>
      </w:r>
      <w:r>
        <w:rPr>
          <w:rFonts w:hint="eastAsia" w:ascii="仿宋" w:hAnsi="仿宋" w:eastAsia="仿宋" w:cs="仿宋"/>
          <w:bCs/>
          <w:color w:val="auto"/>
          <w:sz w:val="24"/>
          <w:highlight w:val="none"/>
        </w:rPr>
        <w:t>⑹</w:t>
      </w:r>
      <w:r>
        <w:rPr>
          <w:rFonts w:hint="eastAsia" w:ascii="仿宋" w:hAnsi="仿宋" w:eastAsia="仿宋" w:cs="仿宋"/>
          <w:bCs/>
          <w:color w:val="auto"/>
          <w:sz w:val="24"/>
          <w:highlight w:val="none"/>
        </w:rPr>
        <w:fldChar w:fldCharType="end"/>
      </w:r>
      <w:r>
        <w:rPr>
          <w:rFonts w:hint="eastAsia" w:ascii="仿宋" w:hAnsi="仿宋" w:eastAsia="仿宋" w:cs="仿宋"/>
          <w:bCs/>
          <w:color w:val="auto"/>
          <w:sz w:val="24"/>
          <w:highlight w:val="none"/>
        </w:rPr>
        <w:t>磋商响应文件内容不全或内容字迹模糊辨认不清的而导致评审无法正常进行（经磋商小组认定并允许其当场更正的笔误除外的）；</w:t>
      </w:r>
    </w:p>
    <w:p w14:paraId="65B5E912">
      <w:pPr>
        <w:spacing w:line="360" w:lineRule="auto"/>
        <w:ind w:left="1185" w:leftChars="450" w:hanging="240" w:hangingChars="100"/>
        <w:rPr>
          <w:rFonts w:ascii="仿宋" w:hAnsi="仿宋" w:eastAsia="仿宋" w:cs="仿宋"/>
          <w:bCs/>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7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⑺</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违反国家及政府部门相关法律、法规、文件规定或经评审委员会认定的其他属于重大偏离的。</w:t>
      </w:r>
    </w:p>
    <w:p w14:paraId="67BAAEF8">
      <w:pPr>
        <w:pStyle w:val="6"/>
        <w:spacing w:before="0" w:after="0"/>
        <w:ind w:left="964" w:hanging="964" w:hangingChars="400"/>
        <w:rPr>
          <w:rFonts w:ascii="仿宋" w:hAnsi="仿宋" w:eastAsia="仿宋" w:cs="仿宋"/>
          <w:color w:val="auto"/>
          <w:sz w:val="24"/>
          <w:szCs w:val="24"/>
          <w:highlight w:val="none"/>
        </w:rPr>
      </w:pPr>
      <w:bookmarkStart w:id="284" w:name="_Toc7378"/>
      <w:r>
        <w:rPr>
          <w:rFonts w:hint="eastAsia" w:ascii="仿宋" w:hAnsi="仿宋" w:eastAsia="仿宋" w:cs="仿宋"/>
          <w:color w:val="auto"/>
          <w:sz w:val="24"/>
          <w:szCs w:val="24"/>
          <w:highlight w:val="none"/>
        </w:rPr>
        <w:t>7.4     在报价评审时，如发现下列情形之一的，其响应无效</w:t>
      </w:r>
      <w:bookmarkEnd w:id="284"/>
    </w:p>
    <w:p w14:paraId="6C161A29">
      <w:pPr>
        <w:spacing w:line="360" w:lineRule="auto"/>
        <w:ind w:left="945" w:leftChars="450"/>
        <w:rPr>
          <w:rFonts w:ascii="仿宋" w:hAnsi="仿宋" w:eastAsia="仿宋" w:cs="仿宋"/>
          <w:b/>
          <w:bCs/>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1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⑴</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报价超过磋商文件中规定的最高限价的；</w:t>
      </w:r>
    </w:p>
    <w:p w14:paraId="02BC8DCC">
      <w:pPr>
        <w:spacing w:line="360" w:lineRule="auto"/>
        <w:ind w:left="1185" w:leftChars="450" w:hanging="240" w:hangingChars="100"/>
        <w:rPr>
          <w:rFonts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2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⑵</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响应报价存在漏项或报价数量少于采购要求的，报价文件内容与对应资信商务及技术文件内容不一致的；</w:t>
      </w:r>
    </w:p>
    <w:p w14:paraId="1B0137F7">
      <w:pPr>
        <w:spacing w:line="360" w:lineRule="auto"/>
        <w:ind w:left="1185" w:leftChars="450" w:hanging="240" w:hangingChars="100"/>
        <w:rPr>
          <w:rFonts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3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⑶</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磋商小组评定其响应的报价明显不合理或低于成本，有可能影响产品质量或者不能诚信履约的，在评审现场合理的时间内不能合理说明原因和提供证明材料的来证明其报价合理性的；</w:t>
      </w:r>
    </w:p>
    <w:p w14:paraId="58CF94CB">
      <w:pPr>
        <w:spacing w:line="360" w:lineRule="auto"/>
        <w:ind w:left="1185" w:leftChars="450" w:hanging="240" w:hangingChars="100"/>
        <w:rPr>
          <w:rFonts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4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⑷</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拒不接受报价错误修正或报价错误修正后在线确认的。</w:t>
      </w:r>
    </w:p>
    <w:p w14:paraId="1C487618">
      <w:pPr>
        <w:pStyle w:val="6"/>
        <w:spacing w:before="0" w:after="0"/>
        <w:ind w:left="964" w:hanging="964" w:hangingChars="400"/>
        <w:rPr>
          <w:rFonts w:ascii="仿宋" w:hAnsi="仿宋" w:eastAsia="仿宋" w:cs="仿宋"/>
          <w:color w:val="auto"/>
          <w:sz w:val="24"/>
          <w:szCs w:val="24"/>
          <w:highlight w:val="none"/>
        </w:rPr>
      </w:pPr>
      <w:bookmarkStart w:id="285" w:name="_Toc12347"/>
      <w:r>
        <w:rPr>
          <w:rFonts w:hint="eastAsia" w:ascii="仿宋" w:hAnsi="仿宋" w:eastAsia="仿宋" w:cs="仿宋"/>
          <w:color w:val="auto"/>
          <w:sz w:val="24"/>
          <w:szCs w:val="24"/>
          <w:highlight w:val="none"/>
        </w:rPr>
        <w:t>7.5     如有下列情形之一的，其响应无效</w:t>
      </w:r>
      <w:bookmarkEnd w:id="285"/>
    </w:p>
    <w:p w14:paraId="44F5AE4C">
      <w:pPr>
        <w:spacing w:line="360" w:lineRule="auto"/>
        <w:ind w:left="1185" w:leftChars="450" w:hanging="240" w:hangingChars="100"/>
        <w:rPr>
          <w:rFonts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1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⑴</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供应商直接或者间接从采购人或者采购代理机构处获得其他供应商的相关情况并修改其磋商响应文件；</w:t>
      </w:r>
    </w:p>
    <w:p w14:paraId="5E0789B3">
      <w:pPr>
        <w:spacing w:line="360" w:lineRule="auto"/>
        <w:ind w:left="1185" w:leftChars="450" w:hanging="240" w:hangingChars="100"/>
        <w:rPr>
          <w:rFonts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2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⑵</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供应商按照采购人或者采购代理机构的授意撤换、修改磋商响应文件；</w:t>
      </w:r>
    </w:p>
    <w:p w14:paraId="197F353B">
      <w:pPr>
        <w:spacing w:line="360" w:lineRule="auto"/>
        <w:ind w:left="945" w:leftChars="450"/>
        <w:rPr>
          <w:rFonts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3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⑶</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供应商之间协商磋商响应文件的实质性内容；</w:t>
      </w:r>
    </w:p>
    <w:p w14:paraId="37106440">
      <w:pPr>
        <w:spacing w:line="360" w:lineRule="auto"/>
        <w:ind w:left="1185" w:leftChars="450" w:hanging="240" w:hangingChars="100"/>
        <w:rPr>
          <w:rFonts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4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⑷</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属于同一集团、协会、商会等组织成员的供应商按照该组织要求协同参加政府采购活动；</w:t>
      </w:r>
    </w:p>
    <w:p w14:paraId="1C5063FC">
      <w:pPr>
        <w:spacing w:line="360" w:lineRule="auto"/>
        <w:ind w:left="945" w:leftChars="450"/>
        <w:rPr>
          <w:rFonts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5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⑸</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供应商之间事先约定由某一特定供应商中标、成交；</w:t>
      </w:r>
    </w:p>
    <w:p w14:paraId="592FEE32">
      <w:pPr>
        <w:spacing w:line="360" w:lineRule="auto"/>
        <w:ind w:left="945" w:leftChars="450"/>
        <w:rPr>
          <w:rFonts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6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⑹</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供应商之间商定部分供应商放弃参加政府采购活动或者放弃中标、成交；</w:t>
      </w:r>
    </w:p>
    <w:p w14:paraId="091F139F">
      <w:pPr>
        <w:spacing w:line="360" w:lineRule="auto"/>
        <w:ind w:left="1185" w:leftChars="450" w:hanging="240" w:hangingChars="100"/>
        <w:rPr>
          <w:rFonts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7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⑺</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供应商与采购人或者采购代理机构之间、供应商相互之间，为谋求特定供应商中标、成交或者排斥其他供应商的其他串通行为；</w:t>
      </w:r>
    </w:p>
    <w:p w14:paraId="4834830B">
      <w:pPr>
        <w:spacing w:line="360" w:lineRule="auto"/>
        <w:ind w:left="945" w:leftChars="450"/>
        <w:rPr>
          <w:rFonts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8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⑻</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不同供应商的磋商响应文件由同一单位或者个人编制；</w:t>
      </w:r>
    </w:p>
    <w:p w14:paraId="1794A796">
      <w:pPr>
        <w:spacing w:line="360" w:lineRule="auto"/>
        <w:ind w:left="945" w:leftChars="450"/>
        <w:rPr>
          <w:rFonts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9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⑼</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不同供应商委托同一单位或者个人办理磋商事宜；</w:t>
      </w:r>
    </w:p>
    <w:p w14:paraId="53EBC15F">
      <w:pPr>
        <w:spacing w:line="360" w:lineRule="auto"/>
        <w:ind w:left="945" w:leftChars="450"/>
        <w:rPr>
          <w:rFonts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10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⑽</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不同供应商的磋商响应文件载明的项目管理成员或者联系人员为同一人；</w:t>
      </w:r>
    </w:p>
    <w:p w14:paraId="2E5F5ECA">
      <w:pPr>
        <w:spacing w:line="360" w:lineRule="auto"/>
        <w:ind w:left="945" w:leftChars="450"/>
        <w:rPr>
          <w:rFonts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11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⑾</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不同供应商的磋商响应文件异常一致或者响应报价呈规律性差异；</w:t>
      </w:r>
    </w:p>
    <w:p w14:paraId="02F82D30">
      <w:pPr>
        <w:spacing w:line="360" w:lineRule="auto"/>
        <w:ind w:left="945" w:leftChars="450"/>
        <w:rPr>
          <w:rFonts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12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⑿</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提供虚假材料谋取成交的。</w:t>
      </w:r>
    </w:p>
    <w:p w14:paraId="083EDDB4">
      <w:pPr>
        <w:pStyle w:val="19"/>
        <w:spacing w:beforeLines="100" w:after="240" w:afterLines="100"/>
        <w:jc w:val="left"/>
        <w:outlineLvl w:val="1"/>
        <w:rPr>
          <w:rFonts w:ascii="仿宋" w:hAnsi="仿宋" w:eastAsia="仿宋" w:cs="仿宋"/>
          <w:color w:val="auto"/>
          <w:sz w:val="30"/>
          <w:szCs w:val="30"/>
          <w:highlight w:val="none"/>
        </w:rPr>
      </w:pPr>
      <w:bookmarkStart w:id="286" w:name="_Toc301187772"/>
      <w:bookmarkStart w:id="287" w:name="_Toc20881"/>
      <w:bookmarkStart w:id="288" w:name="_Toc515526193"/>
      <w:bookmarkStart w:id="289" w:name="_Toc531359026"/>
      <w:bookmarkStart w:id="290" w:name="_Toc303756400"/>
      <w:bookmarkStart w:id="291" w:name="_Toc359934597"/>
      <w:r>
        <w:rPr>
          <w:rFonts w:hint="eastAsia" w:ascii="仿宋" w:hAnsi="仿宋" w:eastAsia="仿宋" w:cs="仿宋"/>
          <w:color w:val="auto"/>
          <w:sz w:val="30"/>
          <w:szCs w:val="30"/>
          <w:highlight w:val="none"/>
        </w:rPr>
        <w:t>八    成交和合同</w:t>
      </w:r>
      <w:bookmarkEnd w:id="286"/>
      <w:bookmarkEnd w:id="287"/>
      <w:bookmarkEnd w:id="288"/>
      <w:bookmarkEnd w:id="289"/>
      <w:bookmarkEnd w:id="290"/>
      <w:bookmarkEnd w:id="291"/>
    </w:p>
    <w:p w14:paraId="6E59F8D2">
      <w:pPr>
        <w:pStyle w:val="30"/>
        <w:rPr>
          <w:rFonts w:ascii="仿宋" w:hAnsi="仿宋" w:eastAsia="仿宋" w:cs="仿宋"/>
          <w:color w:val="auto"/>
          <w:highlight w:val="none"/>
        </w:rPr>
      </w:pPr>
      <w:bookmarkStart w:id="292" w:name="_Toc303756402"/>
      <w:bookmarkStart w:id="293" w:name="_Toc301187776"/>
      <w:bookmarkStart w:id="294" w:name="_Toc359934599"/>
      <w:bookmarkStart w:id="295" w:name="_Toc515526194"/>
      <w:bookmarkStart w:id="296" w:name="_Toc531359027"/>
      <w:bookmarkStart w:id="297" w:name="_Toc10196"/>
      <w:r>
        <w:rPr>
          <w:rFonts w:hint="eastAsia" w:ascii="仿宋" w:hAnsi="仿宋" w:eastAsia="仿宋" w:cs="仿宋"/>
          <w:color w:val="auto"/>
          <w:highlight w:val="none"/>
        </w:rPr>
        <w:t>8.1</w:t>
      </w:r>
      <w:bookmarkEnd w:id="292"/>
      <w:bookmarkEnd w:id="293"/>
      <w:bookmarkEnd w:id="294"/>
      <w:r>
        <w:rPr>
          <w:rFonts w:hint="eastAsia" w:ascii="仿宋" w:hAnsi="仿宋" w:eastAsia="仿宋" w:cs="仿宋"/>
          <w:color w:val="auto"/>
          <w:highlight w:val="none"/>
        </w:rPr>
        <w:t xml:space="preserve">     成交</w:t>
      </w:r>
      <w:bookmarkEnd w:id="295"/>
      <w:bookmarkEnd w:id="296"/>
      <w:bookmarkEnd w:id="297"/>
    </w:p>
    <w:p w14:paraId="716C1B47">
      <w:pPr>
        <w:spacing w:line="360" w:lineRule="auto"/>
        <w:ind w:left="960" w:hanging="960" w:hangingChars="400"/>
        <w:rPr>
          <w:rFonts w:ascii="仿宋" w:hAnsi="仿宋" w:eastAsia="仿宋" w:cs="仿宋"/>
          <w:color w:val="auto"/>
          <w:sz w:val="24"/>
          <w:highlight w:val="none"/>
        </w:rPr>
      </w:pPr>
      <w:r>
        <w:rPr>
          <w:rFonts w:hint="eastAsia" w:ascii="仿宋" w:hAnsi="仿宋" w:eastAsia="仿宋" w:cs="仿宋"/>
          <w:color w:val="auto"/>
          <w:sz w:val="24"/>
          <w:highlight w:val="none"/>
        </w:rPr>
        <w:t>8.1.1   采购代理机构在评审结束后2个工作日内将评审报告提交采购人确认；</w:t>
      </w:r>
    </w:p>
    <w:p w14:paraId="7FC2D24C">
      <w:pPr>
        <w:spacing w:line="360" w:lineRule="auto"/>
        <w:ind w:left="960" w:hanging="960" w:hangingChars="400"/>
        <w:rPr>
          <w:rFonts w:ascii="仿宋" w:hAnsi="仿宋" w:eastAsia="仿宋" w:cs="仿宋"/>
          <w:color w:val="auto"/>
          <w:sz w:val="24"/>
          <w:highlight w:val="none"/>
        </w:rPr>
      </w:pPr>
      <w:r>
        <w:rPr>
          <w:rFonts w:hint="eastAsia" w:ascii="仿宋" w:hAnsi="仿宋" w:eastAsia="仿宋" w:cs="仿宋"/>
          <w:color w:val="auto"/>
          <w:sz w:val="24"/>
          <w:highlight w:val="none"/>
        </w:rPr>
        <w:t>8.1.2   采购人应当自收到评审报告之日起5个工作日内，在评审报告确定的成交候选人名单中按顺序确定成交人；</w:t>
      </w:r>
    </w:p>
    <w:p w14:paraId="61D55E30">
      <w:pPr>
        <w:spacing w:line="360" w:lineRule="auto"/>
        <w:ind w:left="960" w:hanging="960" w:hangingChars="400"/>
        <w:rPr>
          <w:rFonts w:ascii="仿宋" w:hAnsi="仿宋" w:eastAsia="仿宋" w:cs="仿宋"/>
          <w:color w:val="auto"/>
          <w:sz w:val="24"/>
          <w:highlight w:val="none"/>
        </w:rPr>
      </w:pPr>
      <w:r>
        <w:rPr>
          <w:rFonts w:hint="eastAsia" w:ascii="仿宋" w:hAnsi="仿宋" w:eastAsia="仿宋" w:cs="仿宋"/>
          <w:color w:val="auto"/>
          <w:sz w:val="24"/>
          <w:highlight w:val="none"/>
        </w:rPr>
        <w:t>8.1.3   采购人在收到评审报告5个工作日内未按评审报告推荐的成交候选人顺序确定成交人，又不能说明合法理由的，视同按评审报告推荐的顺序确定排名第一的成交候选人为成交人；</w:t>
      </w:r>
    </w:p>
    <w:p w14:paraId="49A1487E">
      <w:pPr>
        <w:spacing w:line="360" w:lineRule="auto"/>
        <w:ind w:left="960" w:hanging="960" w:hangingChars="400"/>
        <w:rPr>
          <w:rFonts w:ascii="仿宋" w:hAnsi="仿宋" w:eastAsia="仿宋" w:cs="仿宋"/>
          <w:color w:val="auto"/>
          <w:sz w:val="24"/>
          <w:highlight w:val="none"/>
        </w:rPr>
      </w:pPr>
      <w:r>
        <w:rPr>
          <w:rFonts w:hint="eastAsia" w:ascii="仿宋" w:hAnsi="仿宋" w:eastAsia="仿宋" w:cs="仿宋"/>
          <w:color w:val="auto"/>
          <w:sz w:val="24"/>
          <w:highlight w:val="none"/>
        </w:rPr>
        <w:t>8.1.4   成交人拒绝与采购人签订合同的，采购人可以按照评审报告推荐的成交人名单排序，确定下一候选人为成交人，也可以重新开展政府采购活动。</w:t>
      </w:r>
    </w:p>
    <w:p w14:paraId="7EEA513A">
      <w:pPr>
        <w:pStyle w:val="30"/>
        <w:rPr>
          <w:rFonts w:ascii="仿宋" w:hAnsi="仿宋" w:eastAsia="仿宋" w:cs="仿宋"/>
          <w:color w:val="auto"/>
          <w:highlight w:val="none"/>
        </w:rPr>
      </w:pPr>
      <w:bookmarkStart w:id="298" w:name="_Toc531359028"/>
      <w:bookmarkStart w:id="299" w:name="_Toc20333"/>
      <w:r>
        <w:rPr>
          <w:rFonts w:hint="eastAsia" w:ascii="仿宋" w:hAnsi="仿宋" w:eastAsia="仿宋" w:cs="仿宋"/>
          <w:color w:val="auto"/>
          <w:highlight w:val="none"/>
        </w:rPr>
        <w:t>8.2     成交公告和成交通知书</w:t>
      </w:r>
      <w:bookmarkEnd w:id="298"/>
      <w:bookmarkEnd w:id="299"/>
    </w:p>
    <w:p w14:paraId="1D5544CE">
      <w:pPr>
        <w:spacing w:line="360" w:lineRule="auto"/>
        <w:ind w:left="960" w:hanging="960" w:hangingChars="400"/>
        <w:rPr>
          <w:rFonts w:ascii="仿宋" w:hAnsi="仿宋" w:eastAsia="仿宋" w:cs="仿宋"/>
          <w:color w:val="auto"/>
          <w:sz w:val="24"/>
          <w:highlight w:val="none"/>
        </w:rPr>
      </w:pPr>
      <w:r>
        <w:rPr>
          <w:rFonts w:hint="eastAsia" w:ascii="仿宋" w:hAnsi="仿宋" w:eastAsia="仿宋" w:cs="仿宋"/>
          <w:color w:val="auto"/>
          <w:sz w:val="24"/>
          <w:highlight w:val="none"/>
        </w:rPr>
        <w:t>8.2.1   采购代理机构应当自成交人确定之日起2个工作日内，在供应商须知前附表（一）规定的网址发布成交结果；</w:t>
      </w:r>
    </w:p>
    <w:p w14:paraId="363A24A0">
      <w:pPr>
        <w:spacing w:line="360" w:lineRule="auto"/>
        <w:ind w:left="960" w:hanging="960" w:hangingChars="400"/>
        <w:rPr>
          <w:rFonts w:ascii="仿宋" w:hAnsi="仿宋" w:eastAsia="仿宋" w:cs="仿宋"/>
          <w:color w:val="auto"/>
          <w:sz w:val="24"/>
          <w:highlight w:val="none"/>
        </w:rPr>
      </w:pPr>
      <w:r>
        <w:rPr>
          <w:rFonts w:hint="eastAsia" w:ascii="仿宋" w:hAnsi="仿宋" w:eastAsia="仿宋" w:cs="仿宋"/>
          <w:color w:val="auto"/>
          <w:sz w:val="24"/>
          <w:highlight w:val="none"/>
        </w:rPr>
        <w:t>8.2.2   成交结果公告内容包括采购人和采购代理机构的名称、地址、联系方式，项目名称和项目编号，成交人名称、地址和成交金额，主要成交标的的名称、规格型号、数量、单价、服务要求，成交公告期限以及评审专家名单，但不包括国家秘密或商业秘密；</w:t>
      </w:r>
    </w:p>
    <w:p w14:paraId="53734FB5">
      <w:pPr>
        <w:spacing w:line="360" w:lineRule="auto"/>
        <w:ind w:left="960" w:hanging="960" w:hangingChars="400"/>
        <w:rPr>
          <w:rFonts w:ascii="仿宋" w:hAnsi="仿宋" w:eastAsia="仿宋" w:cs="仿宋"/>
          <w:color w:val="auto"/>
          <w:sz w:val="24"/>
          <w:highlight w:val="none"/>
        </w:rPr>
      </w:pPr>
      <w:r>
        <w:rPr>
          <w:rFonts w:hint="eastAsia" w:ascii="仿宋" w:hAnsi="仿宋" w:eastAsia="仿宋" w:cs="仿宋"/>
          <w:color w:val="auto"/>
          <w:sz w:val="24"/>
          <w:highlight w:val="none"/>
        </w:rPr>
        <w:t>8.2.3   成交公告期限为1个工作日；</w:t>
      </w:r>
    </w:p>
    <w:p w14:paraId="6EBEE101">
      <w:pPr>
        <w:spacing w:line="360" w:lineRule="auto"/>
        <w:ind w:left="960" w:hanging="960" w:hangingChars="400"/>
        <w:rPr>
          <w:rFonts w:ascii="仿宋" w:hAnsi="仿宋" w:eastAsia="仿宋" w:cs="仿宋"/>
          <w:color w:val="auto"/>
          <w:sz w:val="24"/>
          <w:highlight w:val="none"/>
        </w:rPr>
      </w:pPr>
      <w:r>
        <w:rPr>
          <w:rFonts w:hint="eastAsia" w:ascii="仿宋" w:hAnsi="仿宋" w:eastAsia="仿宋" w:cs="仿宋"/>
          <w:color w:val="auto"/>
          <w:sz w:val="24"/>
          <w:highlight w:val="none"/>
        </w:rPr>
        <w:t>8.2.4   采购代理机构将在成交结果公告中附成交通知书，视同向成交人发出成交通知书，同时成交人应在成交结果公告发布后签订合同前，赴政府采购代理机构项目负责人处领取书面成交通知书；</w:t>
      </w:r>
    </w:p>
    <w:p w14:paraId="56E7240F">
      <w:pPr>
        <w:spacing w:line="360" w:lineRule="auto"/>
        <w:ind w:left="960" w:hanging="960" w:hangingChars="400"/>
        <w:rPr>
          <w:rFonts w:ascii="仿宋" w:hAnsi="仿宋" w:eastAsia="仿宋" w:cs="仿宋"/>
          <w:color w:val="auto"/>
          <w:sz w:val="24"/>
          <w:highlight w:val="none"/>
        </w:rPr>
      </w:pPr>
      <w:r>
        <w:rPr>
          <w:rFonts w:hint="eastAsia" w:ascii="仿宋" w:hAnsi="仿宋" w:eastAsia="仿宋" w:cs="仿宋"/>
          <w:color w:val="auto"/>
          <w:sz w:val="24"/>
          <w:highlight w:val="none"/>
        </w:rPr>
        <w:t>8.2.5   成交通知书发出后，采购人不得改变成交结果，成交人无正当理由不得放弃成交。否则将作为不良行为记录上报财政部门，由财政部门按相关法律法规给予处理。</w:t>
      </w:r>
    </w:p>
    <w:p w14:paraId="2370AD50">
      <w:pPr>
        <w:pStyle w:val="30"/>
        <w:rPr>
          <w:rFonts w:ascii="仿宋" w:hAnsi="仿宋" w:eastAsia="仿宋" w:cs="仿宋"/>
          <w:color w:val="auto"/>
          <w:highlight w:val="none"/>
        </w:rPr>
      </w:pPr>
      <w:bookmarkStart w:id="300" w:name="_Toc531359029"/>
      <w:bookmarkStart w:id="301" w:name="_Toc3563"/>
      <w:r>
        <w:rPr>
          <w:rFonts w:hint="eastAsia" w:ascii="仿宋" w:hAnsi="仿宋" w:eastAsia="仿宋" w:cs="仿宋"/>
          <w:color w:val="auto"/>
          <w:highlight w:val="none"/>
        </w:rPr>
        <w:t>8.3     履约保证金</w:t>
      </w:r>
      <w:bookmarkEnd w:id="300"/>
      <w:bookmarkEnd w:id="301"/>
    </w:p>
    <w:p w14:paraId="1FD69B5E">
      <w:pPr>
        <w:spacing w:line="360" w:lineRule="auto"/>
        <w:ind w:left="960" w:hanging="960" w:hangingChars="400"/>
        <w:rPr>
          <w:rFonts w:ascii="仿宋" w:hAnsi="仿宋" w:eastAsia="仿宋" w:cs="仿宋"/>
          <w:color w:val="auto"/>
          <w:sz w:val="24"/>
          <w:highlight w:val="none"/>
        </w:rPr>
      </w:pPr>
      <w:r>
        <w:rPr>
          <w:rFonts w:hint="eastAsia" w:ascii="仿宋" w:hAnsi="仿宋" w:eastAsia="仿宋" w:cs="仿宋"/>
          <w:color w:val="auto"/>
          <w:sz w:val="24"/>
          <w:highlight w:val="none"/>
        </w:rPr>
        <w:t>8.3.1   履约保证金：见供应商须知前附表（一）。</w:t>
      </w:r>
    </w:p>
    <w:p w14:paraId="3A421388">
      <w:pPr>
        <w:spacing w:line="360" w:lineRule="auto"/>
        <w:ind w:left="960" w:hanging="960" w:hangingChars="400"/>
        <w:rPr>
          <w:rFonts w:ascii="仿宋" w:hAnsi="仿宋" w:eastAsia="仿宋" w:cs="仿宋"/>
          <w:color w:val="auto"/>
          <w:sz w:val="24"/>
          <w:highlight w:val="none"/>
        </w:rPr>
      </w:pPr>
      <w:r>
        <w:rPr>
          <w:rFonts w:hint="eastAsia" w:ascii="仿宋" w:hAnsi="仿宋" w:eastAsia="仿宋" w:cs="仿宋"/>
          <w:color w:val="auto"/>
          <w:sz w:val="24"/>
          <w:highlight w:val="none"/>
        </w:rPr>
        <w:t>8.3.2   成交人提供的服务及相关货物符合合同约定并经验收合格的，其履约保证金按规定要求由采购人无息退还。</w:t>
      </w:r>
    </w:p>
    <w:p w14:paraId="2F7EA73B">
      <w:pPr>
        <w:pStyle w:val="30"/>
        <w:rPr>
          <w:rFonts w:ascii="仿宋" w:hAnsi="仿宋" w:eastAsia="仿宋" w:cs="仿宋"/>
          <w:color w:val="auto"/>
          <w:highlight w:val="none"/>
        </w:rPr>
      </w:pPr>
      <w:bookmarkStart w:id="302" w:name="_Toc531359030"/>
      <w:bookmarkStart w:id="303" w:name="_Toc21830"/>
      <w:r>
        <w:rPr>
          <w:rFonts w:hint="eastAsia" w:ascii="仿宋" w:hAnsi="仿宋" w:eastAsia="仿宋" w:cs="仿宋"/>
          <w:color w:val="auto"/>
          <w:highlight w:val="none"/>
        </w:rPr>
        <w:t>8.4     合同</w:t>
      </w:r>
      <w:bookmarkEnd w:id="302"/>
      <w:bookmarkEnd w:id="303"/>
    </w:p>
    <w:p w14:paraId="7A0C76F1">
      <w:pPr>
        <w:spacing w:line="360" w:lineRule="auto"/>
        <w:ind w:left="960" w:hanging="960" w:hangingChars="400"/>
        <w:rPr>
          <w:rFonts w:ascii="仿宋" w:hAnsi="仿宋" w:eastAsia="仿宋" w:cs="仿宋"/>
          <w:color w:val="auto"/>
          <w:sz w:val="24"/>
          <w:highlight w:val="none"/>
        </w:rPr>
      </w:pPr>
      <w:r>
        <w:rPr>
          <w:rFonts w:hint="eastAsia" w:ascii="仿宋" w:hAnsi="仿宋" w:eastAsia="仿宋" w:cs="仿宋"/>
          <w:color w:val="auto"/>
          <w:sz w:val="24"/>
          <w:highlight w:val="none"/>
        </w:rPr>
        <w:t>8.4.1   采购人应当自成交通知书发出之日起30日内，按照磋商文件和成交人磋商响应文件的规定，与成交人签订书面合同。所签订的合同不得对磋商文件确定的事项和成交人磋商响应文件作实质性修改。</w:t>
      </w:r>
    </w:p>
    <w:p w14:paraId="0A12BC53">
      <w:pPr>
        <w:spacing w:line="360" w:lineRule="auto"/>
        <w:ind w:left="960" w:hanging="960" w:hangingChars="400"/>
        <w:rPr>
          <w:rFonts w:ascii="仿宋" w:hAnsi="仿宋" w:eastAsia="仿宋" w:cs="仿宋"/>
          <w:color w:val="auto"/>
          <w:sz w:val="24"/>
          <w:highlight w:val="none"/>
        </w:rPr>
      </w:pPr>
      <w:r>
        <w:rPr>
          <w:rFonts w:hint="eastAsia" w:ascii="仿宋" w:hAnsi="仿宋" w:eastAsia="仿宋" w:cs="仿宋"/>
          <w:color w:val="auto"/>
          <w:sz w:val="24"/>
          <w:highlight w:val="none"/>
        </w:rPr>
        <w:t>8.4.2   询问或者质疑事项可能影响中标（成交）结果的，采购人应当暂停签订合同，已经签订合同的，应当中止履行合同。</w:t>
      </w:r>
    </w:p>
    <w:p w14:paraId="3BA4150F">
      <w:pPr>
        <w:spacing w:line="360" w:lineRule="auto"/>
        <w:ind w:left="960" w:hanging="960" w:hangingChars="400"/>
        <w:rPr>
          <w:rFonts w:ascii="仿宋" w:hAnsi="仿宋" w:eastAsia="仿宋" w:cs="仿宋"/>
          <w:color w:val="auto"/>
          <w:sz w:val="24"/>
          <w:highlight w:val="none"/>
        </w:rPr>
      </w:pPr>
      <w:r>
        <w:rPr>
          <w:rFonts w:hint="eastAsia" w:ascii="仿宋" w:hAnsi="仿宋" w:eastAsia="仿宋" w:cs="仿宋"/>
          <w:color w:val="auto"/>
          <w:sz w:val="24"/>
          <w:highlight w:val="none"/>
        </w:rPr>
        <w:t>8.4.3   采购人应当自政府采购合同签订之日起2个工作日内，将政府采购合同在浙江省政府采购网（zfcg.czt.zj.gov.cn）上公告，但政府采购合同中涉及国家秘密、商业秘密的内容除外。</w:t>
      </w:r>
    </w:p>
    <w:p w14:paraId="3EF13FDE">
      <w:pPr>
        <w:pStyle w:val="19"/>
        <w:spacing w:beforeLines="100" w:after="240" w:afterLines="100"/>
        <w:jc w:val="left"/>
        <w:outlineLvl w:val="1"/>
        <w:rPr>
          <w:rFonts w:ascii="仿宋" w:hAnsi="仿宋" w:eastAsia="仿宋" w:cs="仿宋"/>
          <w:color w:val="auto"/>
          <w:sz w:val="30"/>
          <w:szCs w:val="30"/>
          <w:highlight w:val="none"/>
        </w:rPr>
      </w:pPr>
      <w:bookmarkStart w:id="304" w:name="_Toc47756031"/>
      <w:bookmarkStart w:id="305" w:name="_Toc107820052"/>
      <w:bookmarkStart w:id="306" w:name="_Toc334087240"/>
      <w:bookmarkStart w:id="307" w:name="_Toc531359032"/>
      <w:bookmarkStart w:id="308" w:name="_Toc493956048"/>
      <w:bookmarkStart w:id="309" w:name="_Toc15813254"/>
      <w:bookmarkStart w:id="310" w:name="_Toc20132"/>
      <w:bookmarkStart w:id="311" w:name="_Toc530551873"/>
      <w:bookmarkStart w:id="312" w:name="_Toc335664282"/>
      <w:bookmarkStart w:id="313" w:name="_Toc15805937"/>
      <w:bookmarkStart w:id="314" w:name="_Toc45506731"/>
      <w:r>
        <w:rPr>
          <w:rFonts w:hint="eastAsia" w:ascii="仿宋" w:hAnsi="仿宋" w:eastAsia="仿宋" w:cs="仿宋"/>
          <w:color w:val="auto"/>
          <w:sz w:val="30"/>
          <w:szCs w:val="30"/>
          <w:highlight w:val="none"/>
        </w:rPr>
        <w:t>九    其他事项</w:t>
      </w:r>
      <w:bookmarkEnd w:id="304"/>
      <w:bookmarkEnd w:id="305"/>
      <w:bookmarkEnd w:id="306"/>
      <w:bookmarkEnd w:id="307"/>
      <w:bookmarkEnd w:id="308"/>
      <w:bookmarkEnd w:id="309"/>
      <w:bookmarkEnd w:id="310"/>
      <w:bookmarkEnd w:id="311"/>
      <w:bookmarkEnd w:id="312"/>
      <w:bookmarkEnd w:id="313"/>
      <w:bookmarkEnd w:id="314"/>
    </w:p>
    <w:p w14:paraId="4EA49E1E">
      <w:pPr>
        <w:pStyle w:val="30"/>
        <w:rPr>
          <w:rFonts w:ascii="仿宋" w:hAnsi="仿宋" w:eastAsia="仿宋" w:cs="仿宋"/>
          <w:color w:val="auto"/>
          <w:highlight w:val="none"/>
        </w:rPr>
      </w:pPr>
      <w:bookmarkStart w:id="315" w:name="_Toc11371"/>
      <w:bookmarkStart w:id="316" w:name="_Toc531359033"/>
      <w:r>
        <w:rPr>
          <w:rFonts w:hint="eastAsia" w:ascii="仿宋" w:hAnsi="仿宋" w:eastAsia="仿宋" w:cs="仿宋"/>
          <w:color w:val="auto"/>
          <w:highlight w:val="none"/>
        </w:rPr>
        <w:t>9.1     解释权</w:t>
      </w:r>
      <w:bookmarkEnd w:id="315"/>
      <w:bookmarkEnd w:id="316"/>
      <w:r>
        <w:rPr>
          <w:rFonts w:hint="eastAsia" w:ascii="仿宋" w:hAnsi="仿宋" w:eastAsia="仿宋" w:cs="仿宋"/>
          <w:color w:val="auto"/>
          <w:highlight w:val="none"/>
        </w:rPr>
        <w:t xml:space="preserve"> </w:t>
      </w:r>
    </w:p>
    <w:p w14:paraId="2B28692C">
      <w:pPr>
        <w:spacing w:line="360" w:lineRule="auto"/>
        <w:ind w:left="960" w:hanging="960" w:hangingChars="400"/>
        <w:rPr>
          <w:rFonts w:ascii="仿宋" w:hAnsi="仿宋" w:eastAsia="仿宋" w:cs="仿宋"/>
          <w:color w:val="auto"/>
          <w:sz w:val="24"/>
          <w:highlight w:val="none"/>
        </w:rPr>
      </w:pPr>
      <w:r>
        <w:rPr>
          <w:rFonts w:hint="eastAsia" w:ascii="仿宋" w:hAnsi="仿宋" w:eastAsia="仿宋" w:cs="仿宋"/>
          <w:color w:val="auto"/>
          <w:sz w:val="24"/>
          <w:highlight w:val="none"/>
        </w:rPr>
        <w:t>9.1.1   本磋商文件解释权属采购代理机构；</w:t>
      </w:r>
    </w:p>
    <w:p w14:paraId="71345246">
      <w:pPr>
        <w:spacing w:line="360" w:lineRule="auto"/>
        <w:ind w:left="960" w:hanging="960" w:hangingChars="400"/>
        <w:rPr>
          <w:rFonts w:ascii="仿宋" w:hAnsi="仿宋" w:eastAsia="仿宋" w:cs="仿宋"/>
          <w:color w:val="auto"/>
          <w:sz w:val="24"/>
          <w:highlight w:val="none"/>
        </w:rPr>
      </w:pPr>
      <w:r>
        <w:rPr>
          <w:rFonts w:hint="eastAsia" w:ascii="仿宋" w:hAnsi="仿宋" w:eastAsia="仿宋" w:cs="仿宋"/>
          <w:color w:val="auto"/>
          <w:sz w:val="24"/>
          <w:highlight w:val="none"/>
        </w:rPr>
        <w:t>9.1.2   采购代理机构对决标结果不负责解释。</w:t>
      </w:r>
    </w:p>
    <w:p w14:paraId="2431E7CE">
      <w:pPr>
        <w:pStyle w:val="30"/>
        <w:rPr>
          <w:rFonts w:ascii="仿宋" w:hAnsi="仿宋" w:eastAsia="仿宋" w:cs="仿宋"/>
          <w:color w:val="auto"/>
          <w:highlight w:val="none"/>
        </w:rPr>
      </w:pPr>
      <w:bookmarkStart w:id="317" w:name="_Toc19479"/>
      <w:bookmarkStart w:id="318" w:name="_Toc29788"/>
      <w:bookmarkStart w:id="319" w:name="_Toc19688"/>
      <w:bookmarkStart w:id="320" w:name="_Toc76547875"/>
      <w:r>
        <w:rPr>
          <w:rFonts w:hint="eastAsia" w:ascii="仿宋" w:hAnsi="仿宋" w:eastAsia="仿宋" w:cs="仿宋"/>
          <w:color w:val="auto"/>
          <w:highlight w:val="none"/>
        </w:rPr>
        <w:t>9.2     采购代理服务费</w:t>
      </w:r>
      <w:bookmarkEnd w:id="317"/>
      <w:bookmarkEnd w:id="318"/>
      <w:bookmarkEnd w:id="319"/>
      <w:bookmarkEnd w:id="320"/>
    </w:p>
    <w:p w14:paraId="732E5238">
      <w:pPr>
        <w:spacing w:line="360" w:lineRule="auto"/>
        <w:ind w:left="958" w:leftChars="456"/>
        <w:rPr>
          <w:color w:val="auto"/>
          <w:highlight w:val="none"/>
        </w:rPr>
      </w:pPr>
      <w:r>
        <w:rPr>
          <w:rFonts w:hint="eastAsia" w:ascii="仿宋" w:hAnsi="仿宋" w:eastAsia="仿宋" w:cs="仿宋"/>
          <w:color w:val="auto"/>
          <w:sz w:val="24"/>
          <w:highlight w:val="none"/>
        </w:rPr>
        <w:t>本项目由中标人支付采购代理服务费，费用为人民币</w:t>
      </w:r>
      <w:r>
        <w:rPr>
          <w:rFonts w:hint="eastAsia" w:ascii="仿宋" w:hAnsi="仿宋" w:eastAsia="仿宋" w:cs="仿宋"/>
          <w:color w:val="auto"/>
          <w:sz w:val="24"/>
          <w:highlight w:val="none"/>
          <w:lang w:val="en-US" w:eastAsia="zh-CN"/>
        </w:rPr>
        <w:t>7500</w:t>
      </w:r>
      <w:r>
        <w:rPr>
          <w:rFonts w:hint="eastAsia" w:ascii="仿宋" w:hAnsi="仿宋" w:eastAsia="仿宋" w:cs="仿宋"/>
          <w:color w:val="auto"/>
          <w:sz w:val="24"/>
          <w:highlight w:val="none"/>
        </w:rPr>
        <w:t>元。在中标(成交)结果公告发布后5日内向招标代理机构支付。</w:t>
      </w:r>
    </w:p>
    <w:p w14:paraId="6D91A469">
      <w:pPr>
        <w:pStyle w:val="7"/>
        <w:spacing w:line="360" w:lineRule="auto"/>
        <w:ind w:left="958" w:leftChars="456"/>
        <w:rPr>
          <w:rFonts w:ascii="仿宋" w:hAnsi="仿宋" w:eastAsia="仿宋" w:cs="仿宋"/>
          <w:color w:val="auto"/>
          <w:highlight w:val="none"/>
        </w:rPr>
        <w:sectPr>
          <w:pgSz w:w="11906" w:h="16838"/>
          <w:pgMar w:top="1440" w:right="1797" w:bottom="1440" w:left="1797" w:header="851" w:footer="851" w:gutter="0"/>
          <w:pgBorders>
            <w:top w:val="none" w:sz="0" w:space="0"/>
            <w:left w:val="none" w:sz="0" w:space="0"/>
            <w:bottom w:val="none" w:sz="0" w:space="0"/>
            <w:right w:val="none" w:sz="0" w:space="0"/>
          </w:pgBorders>
          <w:cols w:space="720" w:num="1"/>
          <w:docGrid w:linePitch="312" w:charSpace="0"/>
        </w:sectPr>
      </w:pPr>
      <w:r>
        <w:rPr>
          <w:rFonts w:hint="eastAsia" w:ascii="仿宋" w:hAnsi="仿宋" w:eastAsia="仿宋" w:cs="仿宋"/>
          <w:color w:val="auto"/>
          <w:highlight w:val="none"/>
        </w:rPr>
        <w:t xml:space="preserve"> </w:t>
      </w:r>
    </w:p>
    <w:p w14:paraId="1A575AE0">
      <w:pPr>
        <w:pStyle w:val="19"/>
        <w:spacing w:before="0" w:after="0" w:line="360" w:lineRule="auto"/>
        <w:rPr>
          <w:rFonts w:ascii="仿宋" w:hAnsi="仿宋" w:eastAsia="仿宋"/>
          <w:color w:val="auto"/>
          <w:sz w:val="36"/>
          <w:szCs w:val="36"/>
          <w:highlight w:val="none"/>
        </w:rPr>
      </w:pPr>
      <w:bookmarkStart w:id="321" w:name="_Toc29998"/>
      <w:bookmarkStart w:id="322" w:name="_Toc14248"/>
      <w:bookmarkStart w:id="323" w:name="_Toc1480"/>
      <w:bookmarkStart w:id="324" w:name="_Toc493956050"/>
      <w:bookmarkStart w:id="325" w:name="_Toc530551875"/>
      <w:bookmarkStart w:id="326" w:name="_Toc531359037"/>
      <w:r>
        <w:rPr>
          <w:rFonts w:hint="eastAsia" w:ascii="仿宋" w:hAnsi="仿宋" w:eastAsia="仿宋"/>
          <w:color w:val="auto"/>
          <w:sz w:val="36"/>
          <w:szCs w:val="36"/>
          <w:highlight w:val="none"/>
        </w:rPr>
        <w:t>第四章  合同格式</w:t>
      </w:r>
      <w:bookmarkEnd w:id="321"/>
      <w:bookmarkEnd w:id="322"/>
      <w:bookmarkEnd w:id="323"/>
    </w:p>
    <w:p w14:paraId="0D90D361">
      <w:pPr>
        <w:pStyle w:val="18"/>
        <w:spacing w:before="0" w:beforeAutospacing="0" w:after="0" w:afterAutospacing="0" w:line="360" w:lineRule="auto"/>
        <w:rPr>
          <w:rFonts w:hint="eastAsia" w:ascii="仿宋" w:hAnsi="仿宋" w:eastAsia="仿宋" w:cs="仿宋"/>
          <w:color w:val="auto"/>
          <w:highlight w:val="none"/>
        </w:rPr>
      </w:pPr>
      <w:r>
        <w:rPr>
          <w:rFonts w:hint="eastAsia" w:ascii="仿宋" w:hAnsi="仿宋" w:eastAsia="仿宋" w:cs="仿宋"/>
          <w:color w:val="auto"/>
          <w:highlight w:val="none"/>
        </w:rPr>
        <w:t>采购人：（以下称买方）</w:t>
      </w:r>
      <w:r>
        <w:rPr>
          <w:rFonts w:hint="eastAsia" w:ascii="仿宋" w:hAnsi="仿宋" w:eastAsia="仿宋" w:cs="仿宋"/>
          <w:color w:val="auto"/>
          <w:highlight w:val="none"/>
          <w:u w:val="single"/>
        </w:rPr>
        <w:t xml:space="preserve">               </w:t>
      </w:r>
    </w:p>
    <w:p w14:paraId="2A57F1E0">
      <w:pPr>
        <w:pStyle w:val="18"/>
        <w:spacing w:before="0" w:beforeAutospacing="0" w:after="0" w:afterAutospacing="0" w:line="360" w:lineRule="auto"/>
        <w:rPr>
          <w:rFonts w:hint="eastAsia" w:ascii="仿宋" w:hAnsi="仿宋" w:eastAsia="仿宋" w:cs="仿宋"/>
          <w:color w:val="auto"/>
          <w:highlight w:val="none"/>
        </w:rPr>
      </w:pPr>
      <w:r>
        <w:rPr>
          <w:rFonts w:hint="eastAsia" w:ascii="仿宋" w:hAnsi="仿宋" w:eastAsia="仿宋" w:cs="仿宋"/>
          <w:color w:val="auto"/>
          <w:highlight w:val="none"/>
        </w:rPr>
        <w:t>中标人：（以下称卖方）</w:t>
      </w:r>
      <w:r>
        <w:rPr>
          <w:rFonts w:hint="eastAsia" w:ascii="仿宋" w:hAnsi="仿宋" w:eastAsia="仿宋" w:cs="仿宋"/>
          <w:color w:val="auto"/>
          <w:highlight w:val="none"/>
          <w:u w:val="single"/>
        </w:rPr>
        <w:t xml:space="preserve">               </w:t>
      </w:r>
    </w:p>
    <w:p w14:paraId="3992510D">
      <w:pPr>
        <w:pStyle w:val="18"/>
        <w:spacing w:before="0" w:beforeAutospacing="0" w:after="0" w:afterAutospacing="0" w:line="360" w:lineRule="auto"/>
        <w:ind w:firstLine="480" w:firstLineChars="200"/>
        <w:rPr>
          <w:rFonts w:hint="eastAsia" w:ascii="仿宋" w:hAnsi="仿宋" w:eastAsia="仿宋" w:cs="仿宋"/>
          <w:color w:val="auto"/>
          <w:szCs w:val="24"/>
          <w:highlight w:val="none"/>
        </w:rPr>
      </w:pPr>
    </w:p>
    <w:p w14:paraId="5CD1677B">
      <w:pPr>
        <w:pStyle w:val="18"/>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Cs w:val="24"/>
          <w:highlight w:val="none"/>
        </w:rPr>
        <w:t>根据</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szCs w:val="24"/>
          <w:highlight w:val="none"/>
          <w:u w:val="single"/>
        </w:rPr>
        <w:t>（项目名称）</w:t>
      </w:r>
      <w:r>
        <w:rPr>
          <w:rFonts w:hint="eastAsia" w:ascii="仿宋" w:hAnsi="仿宋" w:eastAsia="仿宋" w:cs="仿宋"/>
          <w:color w:val="auto"/>
          <w:highlight w:val="none"/>
          <w:u w:val="single"/>
        </w:rPr>
        <w:t xml:space="preserve"> </w:t>
      </w:r>
      <w:r>
        <w:rPr>
          <w:rFonts w:hint="eastAsia" w:ascii="仿宋" w:hAnsi="仿宋" w:eastAsia="仿宋" w:cs="仿宋"/>
          <w:color w:val="auto"/>
          <w:szCs w:val="24"/>
          <w:highlight w:val="none"/>
        </w:rPr>
        <w:t>招标文件（项目编号：</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），在</w:t>
      </w:r>
      <w:r>
        <w:rPr>
          <w:rFonts w:hint="eastAsia" w:ascii="仿宋" w:hAnsi="仿宋" w:eastAsia="仿宋" w:cs="仿宋"/>
          <w:color w:val="auto"/>
          <w:szCs w:val="24"/>
          <w:highlight w:val="none"/>
          <w:u w:val="single"/>
          <w:lang w:val="zh-CN"/>
        </w:rPr>
        <w:t xml:space="preserve">       </w:t>
      </w:r>
      <w:r>
        <w:rPr>
          <w:rFonts w:hint="eastAsia" w:ascii="仿宋" w:hAnsi="仿宋" w:eastAsia="仿宋" w:cs="仿宋"/>
          <w:color w:val="auto"/>
          <w:szCs w:val="24"/>
          <w:highlight w:val="none"/>
          <w:lang w:val="zh-CN"/>
        </w:rPr>
        <w:t>年</w:t>
      </w:r>
      <w:r>
        <w:rPr>
          <w:rFonts w:hint="eastAsia" w:ascii="仿宋" w:hAnsi="仿宋" w:eastAsia="仿宋" w:cs="仿宋"/>
          <w:color w:val="auto"/>
          <w:szCs w:val="24"/>
          <w:highlight w:val="none"/>
          <w:u w:val="single"/>
          <w:lang w:val="zh-CN"/>
        </w:rPr>
        <w:t xml:space="preserve">    </w:t>
      </w:r>
      <w:r>
        <w:rPr>
          <w:rFonts w:hint="eastAsia" w:ascii="仿宋" w:hAnsi="仿宋" w:eastAsia="仿宋" w:cs="仿宋"/>
          <w:color w:val="auto"/>
          <w:szCs w:val="24"/>
          <w:highlight w:val="none"/>
          <w:lang w:val="zh-CN"/>
        </w:rPr>
        <w:t>月</w:t>
      </w:r>
      <w:r>
        <w:rPr>
          <w:rFonts w:hint="eastAsia" w:ascii="仿宋" w:hAnsi="仿宋" w:eastAsia="仿宋" w:cs="仿宋"/>
          <w:color w:val="auto"/>
          <w:szCs w:val="24"/>
          <w:highlight w:val="none"/>
          <w:u w:val="single"/>
          <w:lang w:val="zh-CN"/>
        </w:rPr>
        <w:t xml:space="preserve">    </w:t>
      </w:r>
      <w:r>
        <w:rPr>
          <w:rFonts w:hint="eastAsia" w:ascii="仿宋" w:hAnsi="仿宋" w:eastAsia="仿宋" w:cs="仿宋"/>
          <w:color w:val="auto"/>
          <w:szCs w:val="24"/>
          <w:highlight w:val="none"/>
          <w:lang w:val="zh-CN"/>
        </w:rPr>
        <w:t>日</w:t>
      </w:r>
      <w:r>
        <w:rPr>
          <w:rFonts w:hint="eastAsia" w:ascii="仿宋" w:hAnsi="仿宋" w:eastAsia="仿宋" w:cs="仿宋"/>
          <w:color w:val="auto"/>
          <w:szCs w:val="24"/>
          <w:highlight w:val="none"/>
        </w:rPr>
        <w:t>，</w:t>
      </w:r>
      <w:r>
        <w:rPr>
          <w:rFonts w:hint="eastAsia" w:ascii="仿宋" w:hAnsi="仿宋" w:eastAsia="仿宋" w:cs="仿宋"/>
          <w:color w:val="auto"/>
          <w:highlight w:val="none"/>
          <w:u w:val="single"/>
        </w:rPr>
        <w:t xml:space="preserve">  （</w:t>
      </w:r>
      <w:r>
        <w:rPr>
          <w:rFonts w:hint="eastAsia" w:ascii="仿宋" w:hAnsi="仿宋" w:eastAsia="仿宋" w:cs="仿宋"/>
          <w:color w:val="auto"/>
          <w:szCs w:val="24"/>
          <w:highlight w:val="none"/>
          <w:u w:val="single"/>
        </w:rPr>
        <w:t>采购人名称）</w:t>
      </w:r>
      <w:r>
        <w:rPr>
          <w:rFonts w:hint="eastAsia" w:ascii="仿宋" w:hAnsi="仿宋" w:eastAsia="仿宋" w:cs="仿宋"/>
          <w:color w:val="auto"/>
          <w:szCs w:val="24"/>
          <w:highlight w:val="none"/>
        </w:rPr>
        <w:t>对该项目进行了公开招标采购，经评标委员会评定，确定</w:t>
      </w:r>
      <w:r>
        <w:rPr>
          <w:rFonts w:hint="eastAsia" w:ascii="仿宋" w:hAnsi="仿宋" w:eastAsia="仿宋" w:cs="仿宋"/>
          <w:color w:val="auto"/>
          <w:szCs w:val="24"/>
          <w:highlight w:val="none"/>
          <w:u w:val="single"/>
        </w:rPr>
        <w:t xml:space="preserve">  （中标人名称）  </w:t>
      </w:r>
      <w:r>
        <w:rPr>
          <w:rFonts w:hint="eastAsia" w:ascii="仿宋" w:hAnsi="仿宋" w:eastAsia="仿宋" w:cs="仿宋"/>
          <w:color w:val="auto"/>
          <w:szCs w:val="24"/>
          <w:highlight w:val="none"/>
        </w:rPr>
        <w:t>为该项目中标人。甲乙双方依据《中华人民共和国政府采购法》、《中华人民共和国民法典》等相关法律法规和招标文件的要求，在平等自愿的基础上，同意按照下面的条款和条件，签署本合同。</w:t>
      </w:r>
    </w:p>
    <w:p w14:paraId="359EDB59">
      <w:pPr>
        <w:pStyle w:val="18"/>
        <w:spacing w:before="0" w:beforeAutospacing="0" w:after="0" w:afterAutospacing="0" w:line="360" w:lineRule="auto"/>
        <w:ind w:firstLine="482" w:firstLineChars="200"/>
        <w:rPr>
          <w:rFonts w:hint="eastAsia" w:ascii="仿宋" w:hAnsi="仿宋" w:eastAsia="仿宋" w:cs="仿宋"/>
          <w:b/>
          <w:color w:val="auto"/>
          <w:highlight w:val="none"/>
        </w:rPr>
      </w:pPr>
      <w:r>
        <w:rPr>
          <w:rFonts w:hint="eastAsia" w:ascii="仿宋" w:hAnsi="仿宋" w:eastAsia="仿宋" w:cs="仿宋"/>
          <w:b/>
          <w:color w:val="auto"/>
          <w:highlight w:val="none"/>
        </w:rPr>
        <w:t>第一条　合同标的</w:t>
      </w:r>
    </w:p>
    <w:p w14:paraId="77A92D2F">
      <w:pPr>
        <w:pStyle w:val="18"/>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1.1卖方根据买方需求提供下列货物：</w:t>
      </w:r>
      <w:r>
        <w:rPr>
          <w:rFonts w:hint="eastAsia" w:ascii="仿宋" w:hAnsi="仿宋" w:eastAsia="仿宋" w:cs="仿宋"/>
          <w:color w:val="auto"/>
          <w:highlight w:val="none"/>
          <w:u w:val="single"/>
        </w:rPr>
        <w:t xml:space="preserve">           </w:t>
      </w:r>
    </w:p>
    <w:p w14:paraId="5E10B2CB">
      <w:pPr>
        <w:pStyle w:val="18"/>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1.2货物名称、规格及数量详见“货物一览表”；</w:t>
      </w:r>
    </w:p>
    <w:p w14:paraId="5E7ED25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1.3货物一览表：</w:t>
      </w:r>
    </w:p>
    <w:tbl>
      <w:tblPr>
        <w:tblStyle w:val="20"/>
        <w:tblW w:w="8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730"/>
        <w:gridCol w:w="1559"/>
        <w:gridCol w:w="1067"/>
        <w:gridCol w:w="1315"/>
        <w:gridCol w:w="1700"/>
      </w:tblGrid>
      <w:tr w14:paraId="06438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0"/>
            <w:vAlign w:val="center"/>
          </w:tcPr>
          <w:p w14:paraId="65D84408">
            <w:pPr>
              <w:pStyle w:val="18"/>
              <w:spacing w:before="0" w:beforeAutospacing="0" w:after="0" w:afterAutospacing="0"/>
              <w:jc w:val="center"/>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1730" w:type="dxa"/>
            <w:noWrap w:val="0"/>
            <w:vAlign w:val="center"/>
          </w:tcPr>
          <w:p w14:paraId="212BBC73">
            <w:pPr>
              <w:pStyle w:val="18"/>
              <w:spacing w:before="0" w:beforeAutospacing="0" w:after="0" w:afterAutospacing="0"/>
              <w:jc w:val="center"/>
              <w:rPr>
                <w:rFonts w:hint="eastAsia" w:ascii="仿宋" w:hAnsi="仿宋" w:eastAsia="仿宋" w:cs="仿宋"/>
                <w:color w:val="auto"/>
                <w:highlight w:val="none"/>
              </w:rPr>
            </w:pPr>
            <w:r>
              <w:rPr>
                <w:rFonts w:hint="eastAsia" w:ascii="仿宋" w:hAnsi="仿宋" w:eastAsia="仿宋" w:cs="仿宋"/>
                <w:color w:val="auto"/>
                <w:highlight w:val="none"/>
              </w:rPr>
              <w:t>货物名称</w:t>
            </w:r>
          </w:p>
        </w:tc>
        <w:tc>
          <w:tcPr>
            <w:tcW w:w="1559" w:type="dxa"/>
            <w:noWrap w:val="0"/>
            <w:vAlign w:val="center"/>
          </w:tcPr>
          <w:p w14:paraId="543D425F">
            <w:pPr>
              <w:pStyle w:val="18"/>
              <w:spacing w:before="0" w:beforeAutospacing="0" w:after="0" w:afterAutospacing="0"/>
              <w:jc w:val="center"/>
              <w:rPr>
                <w:rFonts w:hint="eastAsia" w:ascii="仿宋" w:hAnsi="仿宋" w:eastAsia="仿宋" w:cs="仿宋"/>
                <w:color w:val="auto"/>
                <w:highlight w:val="none"/>
              </w:rPr>
            </w:pPr>
            <w:r>
              <w:rPr>
                <w:rFonts w:hint="eastAsia" w:ascii="仿宋" w:hAnsi="仿宋" w:eastAsia="仿宋" w:cs="仿宋"/>
                <w:color w:val="auto"/>
                <w:highlight w:val="none"/>
              </w:rPr>
              <w:t>规格型号</w:t>
            </w:r>
          </w:p>
        </w:tc>
        <w:tc>
          <w:tcPr>
            <w:tcW w:w="1067" w:type="dxa"/>
            <w:noWrap w:val="0"/>
            <w:vAlign w:val="center"/>
          </w:tcPr>
          <w:p w14:paraId="43F9B749">
            <w:pPr>
              <w:pStyle w:val="18"/>
              <w:spacing w:before="0" w:after="0"/>
              <w:jc w:val="center"/>
              <w:rPr>
                <w:rFonts w:hint="eastAsia" w:ascii="仿宋" w:hAnsi="仿宋" w:eastAsia="仿宋" w:cs="仿宋"/>
                <w:color w:val="auto"/>
                <w:highlight w:val="none"/>
              </w:rPr>
            </w:pPr>
            <w:r>
              <w:rPr>
                <w:rFonts w:hint="eastAsia" w:ascii="仿宋" w:hAnsi="仿宋" w:eastAsia="仿宋" w:cs="仿宋"/>
                <w:color w:val="auto"/>
                <w:highlight w:val="none"/>
              </w:rPr>
              <w:t>数量</w:t>
            </w:r>
          </w:p>
        </w:tc>
        <w:tc>
          <w:tcPr>
            <w:tcW w:w="1315" w:type="dxa"/>
            <w:noWrap w:val="0"/>
            <w:vAlign w:val="center"/>
          </w:tcPr>
          <w:p w14:paraId="58B254F0">
            <w:pPr>
              <w:pStyle w:val="18"/>
              <w:spacing w:before="0" w:beforeAutospacing="0" w:after="0" w:afterAutospacing="0"/>
              <w:jc w:val="center"/>
              <w:rPr>
                <w:rFonts w:hint="eastAsia" w:ascii="仿宋" w:hAnsi="仿宋" w:eastAsia="仿宋" w:cs="仿宋"/>
                <w:color w:val="auto"/>
                <w:highlight w:val="none"/>
              </w:rPr>
            </w:pPr>
            <w:r>
              <w:rPr>
                <w:rFonts w:hint="eastAsia" w:ascii="仿宋" w:hAnsi="仿宋" w:eastAsia="仿宋" w:cs="仿宋"/>
                <w:color w:val="auto"/>
                <w:highlight w:val="none"/>
              </w:rPr>
              <w:t>单价</w:t>
            </w:r>
          </w:p>
        </w:tc>
        <w:tc>
          <w:tcPr>
            <w:tcW w:w="1700" w:type="dxa"/>
            <w:noWrap w:val="0"/>
            <w:vAlign w:val="center"/>
          </w:tcPr>
          <w:p w14:paraId="18331CA7">
            <w:pPr>
              <w:pStyle w:val="18"/>
              <w:spacing w:before="0" w:beforeAutospacing="0" w:after="0" w:afterAutospacing="0"/>
              <w:jc w:val="center"/>
              <w:rPr>
                <w:rFonts w:hint="eastAsia" w:ascii="仿宋" w:hAnsi="仿宋" w:eastAsia="仿宋" w:cs="仿宋"/>
                <w:color w:val="auto"/>
                <w:highlight w:val="none"/>
              </w:rPr>
            </w:pPr>
            <w:r>
              <w:rPr>
                <w:rFonts w:hint="eastAsia" w:ascii="仿宋" w:hAnsi="仿宋" w:eastAsia="仿宋" w:cs="仿宋"/>
                <w:color w:val="auto"/>
                <w:highlight w:val="none"/>
              </w:rPr>
              <w:t>合价</w:t>
            </w:r>
          </w:p>
        </w:tc>
      </w:tr>
      <w:tr w14:paraId="04776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0"/>
            <w:vAlign w:val="center"/>
          </w:tcPr>
          <w:p w14:paraId="416B751A">
            <w:pPr>
              <w:pStyle w:val="18"/>
              <w:spacing w:before="0" w:beforeAutospacing="0" w:after="0" w:afterAutospacing="0"/>
              <w:jc w:val="center"/>
              <w:rPr>
                <w:rFonts w:hint="eastAsia" w:ascii="仿宋" w:hAnsi="仿宋" w:eastAsia="仿宋" w:cs="仿宋"/>
                <w:color w:val="auto"/>
                <w:highlight w:val="none"/>
              </w:rPr>
            </w:pPr>
          </w:p>
        </w:tc>
        <w:tc>
          <w:tcPr>
            <w:tcW w:w="1730" w:type="dxa"/>
            <w:noWrap w:val="0"/>
            <w:vAlign w:val="center"/>
          </w:tcPr>
          <w:p w14:paraId="6F3C3D03">
            <w:pPr>
              <w:pStyle w:val="18"/>
              <w:spacing w:before="0" w:beforeAutospacing="0" w:after="0" w:afterAutospacing="0"/>
              <w:jc w:val="center"/>
              <w:rPr>
                <w:rFonts w:hint="eastAsia" w:ascii="仿宋" w:hAnsi="仿宋" w:eastAsia="仿宋" w:cs="仿宋"/>
                <w:color w:val="auto"/>
                <w:highlight w:val="none"/>
              </w:rPr>
            </w:pPr>
          </w:p>
        </w:tc>
        <w:tc>
          <w:tcPr>
            <w:tcW w:w="1559" w:type="dxa"/>
            <w:noWrap w:val="0"/>
            <w:vAlign w:val="center"/>
          </w:tcPr>
          <w:p w14:paraId="05381817">
            <w:pPr>
              <w:pStyle w:val="18"/>
              <w:spacing w:before="0" w:beforeAutospacing="0" w:after="0" w:afterAutospacing="0"/>
              <w:jc w:val="center"/>
              <w:rPr>
                <w:rFonts w:hint="eastAsia" w:ascii="仿宋" w:hAnsi="仿宋" w:eastAsia="仿宋" w:cs="仿宋"/>
                <w:color w:val="auto"/>
                <w:highlight w:val="none"/>
              </w:rPr>
            </w:pPr>
          </w:p>
        </w:tc>
        <w:tc>
          <w:tcPr>
            <w:tcW w:w="1067" w:type="dxa"/>
            <w:noWrap w:val="0"/>
            <w:vAlign w:val="center"/>
          </w:tcPr>
          <w:p w14:paraId="6DFBDB12">
            <w:pPr>
              <w:pStyle w:val="18"/>
              <w:spacing w:before="0" w:beforeAutospacing="0" w:after="0" w:afterAutospacing="0"/>
              <w:jc w:val="center"/>
              <w:rPr>
                <w:rFonts w:hint="eastAsia" w:ascii="仿宋" w:hAnsi="仿宋" w:eastAsia="仿宋" w:cs="仿宋"/>
                <w:color w:val="auto"/>
                <w:highlight w:val="none"/>
              </w:rPr>
            </w:pPr>
          </w:p>
        </w:tc>
        <w:tc>
          <w:tcPr>
            <w:tcW w:w="1315" w:type="dxa"/>
            <w:noWrap w:val="0"/>
            <w:vAlign w:val="center"/>
          </w:tcPr>
          <w:p w14:paraId="0FEF4E7B">
            <w:pPr>
              <w:pStyle w:val="18"/>
              <w:spacing w:before="0" w:beforeAutospacing="0" w:after="0" w:afterAutospacing="0"/>
              <w:jc w:val="center"/>
              <w:rPr>
                <w:rFonts w:hint="eastAsia" w:ascii="仿宋" w:hAnsi="仿宋" w:eastAsia="仿宋" w:cs="仿宋"/>
                <w:color w:val="auto"/>
                <w:highlight w:val="none"/>
              </w:rPr>
            </w:pPr>
          </w:p>
        </w:tc>
        <w:tc>
          <w:tcPr>
            <w:tcW w:w="1700" w:type="dxa"/>
            <w:noWrap w:val="0"/>
            <w:vAlign w:val="center"/>
          </w:tcPr>
          <w:p w14:paraId="27753722">
            <w:pPr>
              <w:pStyle w:val="18"/>
              <w:spacing w:before="0" w:beforeAutospacing="0" w:after="0" w:afterAutospacing="0"/>
              <w:jc w:val="center"/>
              <w:rPr>
                <w:rFonts w:hint="eastAsia" w:ascii="仿宋" w:hAnsi="仿宋" w:eastAsia="仿宋" w:cs="仿宋"/>
                <w:color w:val="auto"/>
                <w:highlight w:val="none"/>
              </w:rPr>
            </w:pPr>
          </w:p>
        </w:tc>
      </w:tr>
      <w:tr w14:paraId="5F6AF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0"/>
            <w:vAlign w:val="center"/>
          </w:tcPr>
          <w:p w14:paraId="6D12C0DC">
            <w:pPr>
              <w:pStyle w:val="18"/>
              <w:spacing w:before="0" w:beforeAutospacing="0" w:after="0" w:afterAutospacing="0"/>
              <w:jc w:val="center"/>
              <w:rPr>
                <w:rFonts w:hint="eastAsia" w:ascii="仿宋" w:hAnsi="仿宋" w:eastAsia="仿宋" w:cs="仿宋"/>
                <w:color w:val="auto"/>
                <w:highlight w:val="none"/>
              </w:rPr>
            </w:pPr>
          </w:p>
        </w:tc>
        <w:tc>
          <w:tcPr>
            <w:tcW w:w="1730" w:type="dxa"/>
            <w:noWrap w:val="0"/>
            <w:vAlign w:val="center"/>
          </w:tcPr>
          <w:p w14:paraId="5F5D0B70">
            <w:pPr>
              <w:pStyle w:val="18"/>
              <w:spacing w:before="0" w:beforeAutospacing="0" w:after="0" w:afterAutospacing="0"/>
              <w:jc w:val="center"/>
              <w:rPr>
                <w:rFonts w:hint="eastAsia" w:ascii="仿宋" w:hAnsi="仿宋" w:eastAsia="仿宋" w:cs="仿宋"/>
                <w:color w:val="auto"/>
                <w:highlight w:val="none"/>
              </w:rPr>
            </w:pPr>
          </w:p>
        </w:tc>
        <w:tc>
          <w:tcPr>
            <w:tcW w:w="1559" w:type="dxa"/>
            <w:noWrap w:val="0"/>
            <w:vAlign w:val="center"/>
          </w:tcPr>
          <w:p w14:paraId="6906BE67">
            <w:pPr>
              <w:pStyle w:val="18"/>
              <w:spacing w:before="0" w:beforeAutospacing="0" w:after="0" w:afterAutospacing="0"/>
              <w:jc w:val="center"/>
              <w:rPr>
                <w:rFonts w:hint="eastAsia" w:ascii="仿宋" w:hAnsi="仿宋" w:eastAsia="仿宋" w:cs="仿宋"/>
                <w:color w:val="auto"/>
                <w:highlight w:val="none"/>
              </w:rPr>
            </w:pPr>
          </w:p>
        </w:tc>
        <w:tc>
          <w:tcPr>
            <w:tcW w:w="1067" w:type="dxa"/>
            <w:noWrap w:val="0"/>
            <w:vAlign w:val="center"/>
          </w:tcPr>
          <w:p w14:paraId="27BFBD53">
            <w:pPr>
              <w:pStyle w:val="18"/>
              <w:spacing w:before="0" w:beforeAutospacing="0" w:after="0" w:afterAutospacing="0"/>
              <w:jc w:val="center"/>
              <w:rPr>
                <w:rFonts w:hint="eastAsia" w:ascii="仿宋" w:hAnsi="仿宋" w:eastAsia="仿宋" w:cs="仿宋"/>
                <w:color w:val="auto"/>
                <w:highlight w:val="none"/>
              </w:rPr>
            </w:pPr>
          </w:p>
        </w:tc>
        <w:tc>
          <w:tcPr>
            <w:tcW w:w="1315" w:type="dxa"/>
            <w:noWrap w:val="0"/>
            <w:vAlign w:val="center"/>
          </w:tcPr>
          <w:p w14:paraId="588F77CA">
            <w:pPr>
              <w:pStyle w:val="18"/>
              <w:spacing w:before="0" w:beforeAutospacing="0" w:after="0" w:afterAutospacing="0"/>
              <w:jc w:val="center"/>
              <w:rPr>
                <w:rFonts w:hint="eastAsia" w:ascii="仿宋" w:hAnsi="仿宋" w:eastAsia="仿宋" w:cs="仿宋"/>
                <w:color w:val="auto"/>
                <w:highlight w:val="none"/>
              </w:rPr>
            </w:pPr>
          </w:p>
        </w:tc>
        <w:tc>
          <w:tcPr>
            <w:tcW w:w="1700" w:type="dxa"/>
            <w:noWrap w:val="0"/>
            <w:vAlign w:val="center"/>
          </w:tcPr>
          <w:p w14:paraId="55CCD575">
            <w:pPr>
              <w:pStyle w:val="18"/>
              <w:spacing w:before="0" w:beforeAutospacing="0" w:after="0" w:afterAutospacing="0"/>
              <w:jc w:val="center"/>
              <w:rPr>
                <w:rFonts w:hint="eastAsia" w:ascii="仿宋" w:hAnsi="仿宋" w:eastAsia="仿宋" w:cs="仿宋"/>
                <w:color w:val="auto"/>
                <w:highlight w:val="none"/>
              </w:rPr>
            </w:pPr>
          </w:p>
        </w:tc>
      </w:tr>
      <w:tr w14:paraId="23AAB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0"/>
            <w:vAlign w:val="center"/>
          </w:tcPr>
          <w:p w14:paraId="3A789420">
            <w:pPr>
              <w:pStyle w:val="18"/>
              <w:spacing w:before="0" w:beforeAutospacing="0" w:after="0" w:afterAutospacing="0"/>
              <w:jc w:val="center"/>
              <w:rPr>
                <w:rFonts w:hint="eastAsia" w:ascii="仿宋" w:hAnsi="仿宋" w:eastAsia="仿宋" w:cs="仿宋"/>
                <w:color w:val="auto"/>
                <w:highlight w:val="none"/>
              </w:rPr>
            </w:pPr>
          </w:p>
        </w:tc>
        <w:tc>
          <w:tcPr>
            <w:tcW w:w="1730" w:type="dxa"/>
            <w:noWrap w:val="0"/>
            <w:vAlign w:val="center"/>
          </w:tcPr>
          <w:p w14:paraId="79C0496D">
            <w:pPr>
              <w:pStyle w:val="18"/>
              <w:spacing w:before="0" w:beforeAutospacing="0" w:after="0" w:afterAutospacing="0"/>
              <w:jc w:val="center"/>
              <w:rPr>
                <w:rFonts w:hint="eastAsia" w:ascii="仿宋" w:hAnsi="仿宋" w:eastAsia="仿宋" w:cs="仿宋"/>
                <w:color w:val="auto"/>
                <w:highlight w:val="none"/>
              </w:rPr>
            </w:pPr>
          </w:p>
        </w:tc>
        <w:tc>
          <w:tcPr>
            <w:tcW w:w="1559" w:type="dxa"/>
            <w:noWrap w:val="0"/>
            <w:vAlign w:val="center"/>
          </w:tcPr>
          <w:p w14:paraId="1F640665">
            <w:pPr>
              <w:pStyle w:val="18"/>
              <w:spacing w:before="0" w:beforeAutospacing="0" w:after="0" w:afterAutospacing="0"/>
              <w:jc w:val="center"/>
              <w:rPr>
                <w:rFonts w:hint="eastAsia" w:ascii="仿宋" w:hAnsi="仿宋" w:eastAsia="仿宋" w:cs="仿宋"/>
                <w:color w:val="auto"/>
                <w:highlight w:val="none"/>
              </w:rPr>
            </w:pPr>
          </w:p>
        </w:tc>
        <w:tc>
          <w:tcPr>
            <w:tcW w:w="1067" w:type="dxa"/>
            <w:noWrap w:val="0"/>
            <w:vAlign w:val="center"/>
          </w:tcPr>
          <w:p w14:paraId="5827956F">
            <w:pPr>
              <w:pStyle w:val="18"/>
              <w:spacing w:before="0" w:beforeAutospacing="0" w:after="0" w:afterAutospacing="0"/>
              <w:jc w:val="center"/>
              <w:rPr>
                <w:rFonts w:hint="eastAsia" w:ascii="仿宋" w:hAnsi="仿宋" w:eastAsia="仿宋" w:cs="仿宋"/>
                <w:color w:val="auto"/>
                <w:highlight w:val="none"/>
              </w:rPr>
            </w:pPr>
          </w:p>
        </w:tc>
        <w:tc>
          <w:tcPr>
            <w:tcW w:w="1315" w:type="dxa"/>
            <w:noWrap w:val="0"/>
            <w:vAlign w:val="center"/>
          </w:tcPr>
          <w:p w14:paraId="3405317F">
            <w:pPr>
              <w:pStyle w:val="18"/>
              <w:spacing w:before="0" w:beforeAutospacing="0" w:after="0" w:afterAutospacing="0"/>
              <w:jc w:val="center"/>
              <w:rPr>
                <w:rFonts w:hint="eastAsia" w:ascii="仿宋" w:hAnsi="仿宋" w:eastAsia="仿宋" w:cs="仿宋"/>
                <w:color w:val="auto"/>
                <w:highlight w:val="none"/>
              </w:rPr>
            </w:pPr>
          </w:p>
        </w:tc>
        <w:tc>
          <w:tcPr>
            <w:tcW w:w="1700" w:type="dxa"/>
            <w:noWrap w:val="0"/>
            <w:vAlign w:val="center"/>
          </w:tcPr>
          <w:p w14:paraId="370EAA0B">
            <w:pPr>
              <w:pStyle w:val="18"/>
              <w:spacing w:before="0" w:beforeAutospacing="0" w:after="0" w:afterAutospacing="0"/>
              <w:jc w:val="center"/>
              <w:rPr>
                <w:rFonts w:hint="eastAsia" w:ascii="仿宋" w:hAnsi="仿宋" w:eastAsia="仿宋" w:cs="仿宋"/>
                <w:color w:val="auto"/>
                <w:highlight w:val="none"/>
              </w:rPr>
            </w:pPr>
          </w:p>
        </w:tc>
      </w:tr>
    </w:tbl>
    <w:p w14:paraId="29446244">
      <w:pPr>
        <w:pStyle w:val="18"/>
        <w:spacing w:before="0" w:beforeAutospacing="0" w:after="0" w:afterAutospacing="0" w:line="360" w:lineRule="auto"/>
        <w:ind w:firstLine="482" w:firstLineChars="200"/>
        <w:rPr>
          <w:rFonts w:hint="eastAsia" w:ascii="仿宋" w:hAnsi="仿宋" w:eastAsia="仿宋" w:cs="仿宋"/>
          <w:b/>
          <w:color w:val="auto"/>
          <w:highlight w:val="none"/>
        </w:rPr>
      </w:pPr>
      <w:r>
        <w:rPr>
          <w:rFonts w:hint="eastAsia" w:ascii="仿宋" w:hAnsi="仿宋" w:eastAsia="仿宋" w:cs="仿宋"/>
          <w:b/>
          <w:color w:val="auto"/>
          <w:highlight w:val="none"/>
        </w:rPr>
        <w:t>第二条　合同总价款</w:t>
      </w:r>
    </w:p>
    <w:p w14:paraId="0993E51D">
      <w:pPr>
        <w:pStyle w:val="18"/>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2.1 本合同项下货物总价款为人民币</w:t>
      </w:r>
      <w:r>
        <w:rPr>
          <w:rFonts w:hint="eastAsia" w:ascii="仿宋" w:hAnsi="仿宋" w:eastAsia="仿宋" w:cs="仿宋"/>
          <w:color w:val="auto"/>
          <w:highlight w:val="none"/>
          <w:u w:val="single"/>
        </w:rPr>
        <w:t xml:space="preserve">    （大写） （￥：）            </w:t>
      </w:r>
      <w:r>
        <w:rPr>
          <w:rFonts w:hint="eastAsia" w:ascii="仿宋" w:hAnsi="仿宋" w:eastAsia="仿宋" w:cs="仿宋"/>
          <w:color w:val="auto"/>
          <w:highlight w:val="none"/>
        </w:rPr>
        <w:t xml:space="preserve">； </w:t>
      </w:r>
    </w:p>
    <w:p w14:paraId="397F22BE">
      <w:pPr>
        <w:pStyle w:val="18"/>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2.2 本合同总价款是货物设计、制造、包装、仓储、运输、安装及验收合格之前及保修期内备品备件发生的所有含税费用； </w:t>
      </w:r>
    </w:p>
    <w:p w14:paraId="1AE54EA1">
      <w:pPr>
        <w:pStyle w:val="18"/>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2.3 本合同总价款还包含卖方应当提供的伴随服务/售后服务费用；</w:t>
      </w:r>
    </w:p>
    <w:p w14:paraId="45F0C9B7">
      <w:pPr>
        <w:pStyle w:val="18"/>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2.4 本合同执行期间合同总价款不变。</w:t>
      </w:r>
    </w:p>
    <w:p w14:paraId="55F626D4">
      <w:pPr>
        <w:pStyle w:val="18"/>
        <w:spacing w:before="0" w:beforeAutospacing="0" w:after="0" w:afterAutospacing="0" w:line="360" w:lineRule="auto"/>
        <w:ind w:firstLine="482" w:firstLineChars="200"/>
        <w:rPr>
          <w:rFonts w:hint="eastAsia" w:ascii="仿宋" w:hAnsi="仿宋" w:eastAsia="仿宋" w:cs="仿宋"/>
          <w:b/>
          <w:color w:val="auto"/>
          <w:highlight w:val="none"/>
        </w:rPr>
      </w:pPr>
      <w:r>
        <w:rPr>
          <w:rFonts w:hint="eastAsia" w:ascii="仿宋" w:hAnsi="仿宋" w:eastAsia="仿宋" w:cs="仿宋"/>
          <w:b/>
          <w:color w:val="auto"/>
          <w:highlight w:val="none"/>
        </w:rPr>
        <w:t>第三条　组成本合同的有关文件</w:t>
      </w:r>
    </w:p>
    <w:p w14:paraId="3CE399F1">
      <w:pPr>
        <w:pStyle w:val="18"/>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3.1 下列文件构成本合同的组成部分，应该认为是一个整体，彼此相互解释，相互补充。组成合同的多个文件的优先支配地位的次序如下：</w:t>
      </w:r>
    </w:p>
    <w:p w14:paraId="6748CACC">
      <w:pPr>
        <w:pStyle w:val="18"/>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3.1.1 本合同书　</w:t>
      </w:r>
    </w:p>
    <w:p w14:paraId="101363C9">
      <w:pPr>
        <w:pStyle w:val="18"/>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3.1.2 中标通知书</w:t>
      </w:r>
      <w:r>
        <w:rPr>
          <w:rFonts w:hint="eastAsia" w:ascii="仿宋" w:hAnsi="仿宋" w:eastAsia="仿宋" w:cs="仿宋"/>
          <w:color w:val="auto"/>
          <w:highlight w:val="none"/>
        </w:rPr>
        <w:tab/>
      </w:r>
    </w:p>
    <w:p w14:paraId="057FA61A">
      <w:pPr>
        <w:pStyle w:val="18"/>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3.1.3 中标投标人澄清修改文件</w:t>
      </w:r>
    </w:p>
    <w:p w14:paraId="555B846B">
      <w:pPr>
        <w:pStyle w:val="18"/>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3.1.4 中标投标人投标文件</w:t>
      </w:r>
    </w:p>
    <w:p w14:paraId="290069A8">
      <w:pPr>
        <w:pStyle w:val="18"/>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3.1.5 招标文件澄清修改文件</w:t>
      </w:r>
    </w:p>
    <w:p w14:paraId="5692E440">
      <w:pPr>
        <w:pStyle w:val="18"/>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3.1.6 招标文件</w:t>
      </w:r>
    </w:p>
    <w:p w14:paraId="0DE9E5F4">
      <w:pPr>
        <w:pStyle w:val="18"/>
        <w:spacing w:before="0" w:beforeAutospacing="0" w:after="0" w:afterAutospacing="0" w:line="360" w:lineRule="auto"/>
        <w:ind w:firstLine="482" w:firstLineChars="200"/>
        <w:rPr>
          <w:rFonts w:hint="eastAsia" w:ascii="仿宋" w:hAnsi="仿宋" w:eastAsia="仿宋" w:cs="仿宋"/>
          <w:b/>
          <w:color w:val="auto"/>
          <w:highlight w:val="none"/>
        </w:rPr>
      </w:pPr>
      <w:r>
        <w:rPr>
          <w:rFonts w:hint="eastAsia" w:ascii="仿宋" w:hAnsi="仿宋" w:eastAsia="仿宋" w:cs="仿宋"/>
          <w:b/>
          <w:color w:val="auto"/>
          <w:highlight w:val="none"/>
        </w:rPr>
        <w:t>第四条　权利保证</w:t>
      </w:r>
    </w:p>
    <w:p w14:paraId="03C8D205">
      <w:pPr>
        <w:pStyle w:val="18"/>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卖方保证提供的货物不存在对任何第三方侵权行为（包括商标、专利、版权、知识产权等）。若发生侵权行为，由卖方负全责，应承担由此发生的一切经济和法律责任，并赔偿买方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的合同货款的。</w:t>
      </w:r>
    </w:p>
    <w:p w14:paraId="62E5422A">
      <w:pPr>
        <w:pStyle w:val="18"/>
        <w:spacing w:before="0" w:beforeAutospacing="0" w:after="0" w:afterAutospacing="0" w:line="360" w:lineRule="auto"/>
        <w:ind w:firstLine="482" w:firstLineChars="200"/>
        <w:rPr>
          <w:rFonts w:hint="eastAsia" w:ascii="仿宋" w:hAnsi="仿宋" w:eastAsia="仿宋" w:cs="仿宋"/>
          <w:b/>
          <w:color w:val="auto"/>
          <w:highlight w:val="none"/>
        </w:rPr>
      </w:pPr>
      <w:r>
        <w:rPr>
          <w:rFonts w:hint="eastAsia" w:ascii="仿宋" w:hAnsi="仿宋" w:eastAsia="仿宋" w:cs="仿宋"/>
          <w:b/>
          <w:color w:val="auto"/>
          <w:highlight w:val="none"/>
        </w:rPr>
        <w:t>第五条　质量保证</w:t>
      </w:r>
    </w:p>
    <w:p w14:paraId="330011D4">
      <w:pPr>
        <w:pStyle w:val="18"/>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5.1 卖方须保证货物与响应文件相一致，货物是原厂生产的、全新、未使用过的；货物完全符合国家有关法律、法规、规章的规定，如：中国强制性产品认证制度；货物完全符合国家有关部门最新颁布强制性技术质量规范的；货物符合合同规定的质量、规格、性能和技术规范等的要求；</w:t>
      </w:r>
    </w:p>
    <w:p w14:paraId="5871E215">
      <w:pPr>
        <w:pStyle w:val="18"/>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5.2 卖方须保证所提供的货物经正确安装、正常运转和保养，在其使用寿命期内须具有符合质量要求和产品说明书的性能。在货物质量保证期之内，卖方须对由于设计、工艺或材料的缺陷而发生的故障负责，由此引发的风险和费用将由卖方承担；</w:t>
      </w:r>
    </w:p>
    <w:p w14:paraId="470691AA">
      <w:pPr>
        <w:pStyle w:val="18"/>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5.3 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天内应维修或更换有缺陷的货物或部件；</w:t>
      </w:r>
    </w:p>
    <w:p w14:paraId="29E97D1A">
      <w:pPr>
        <w:pStyle w:val="18"/>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5.4 如果卖方在收到通知后</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天内没有弥补缺陷，买方可采取必要的补救措施，但由此引发的风险和费用将由卖方承担；</w:t>
      </w:r>
    </w:p>
    <w:p w14:paraId="35D36CAD">
      <w:pPr>
        <w:pStyle w:val="18"/>
        <w:spacing w:before="0" w:beforeAutospacing="0" w:after="0" w:afterAutospacing="0" w:line="360" w:lineRule="auto"/>
        <w:ind w:firstLine="480" w:firstLineChars="200"/>
        <w:rPr>
          <w:rFonts w:hint="eastAsia" w:ascii="仿宋" w:hAnsi="仿宋" w:eastAsia="仿宋" w:cs="仿宋"/>
          <w:color w:val="auto"/>
          <w:highlight w:val="none"/>
          <w:u w:val="single"/>
        </w:rPr>
      </w:pPr>
      <w:r>
        <w:rPr>
          <w:rFonts w:hint="eastAsia" w:ascii="仿宋" w:hAnsi="仿宋" w:eastAsia="仿宋" w:cs="仿宋"/>
          <w:color w:val="auto"/>
          <w:highlight w:val="none"/>
        </w:rPr>
        <w:t>5.5 其他</w:t>
      </w:r>
      <w:r>
        <w:rPr>
          <w:rFonts w:hint="eastAsia" w:ascii="仿宋" w:hAnsi="仿宋" w:eastAsia="仿宋" w:cs="仿宋"/>
          <w:color w:val="auto"/>
          <w:highlight w:val="none"/>
          <w:u w:val="single"/>
        </w:rPr>
        <w:t xml:space="preserve">                                                               </w:t>
      </w:r>
    </w:p>
    <w:p w14:paraId="0B45CD49">
      <w:pPr>
        <w:pStyle w:val="18"/>
        <w:spacing w:before="0" w:beforeAutospacing="0" w:after="0" w:afterAutospacing="0" w:line="360" w:lineRule="auto"/>
        <w:ind w:firstLine="482" w:firstLineChars="200"/>
        <w:rPr>
          <w:rFonts w:hint="eastAsia" w:ascii="仿宋" w:hAnsi="仿宋" w:eastAsia="仿宋" w:cs="仿宋"/>
          <w:b/>
          <w:color w:val="auto"/>
          <w:highlight w:val="none"/>
        </w:rPr>
      </w:pPr>
      <w:r>
        <w:rPr>
          <w:rFonts w:hint="eastAsia" w:ascii="仿宋" w:hAnsi="仿宋" w:eastAsia="仿宋" w:cs="仿宋"/>
          <w:b/>
          <w:color w:val="auto"/>
          <w:highlight w:val="none"/>
        </w:rPr>
        <w:t>第六条  技术资料</w:t>
      </w:r>
    </w:p>
    <w:p w14:paraId="030AD2DA">
      <w:pPr>
        <w:pStyle w:val="18"/>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6.1 卖方应将每台设备和仪器的中文技术资料完整一套，如目录索引、图纸、操作手册、使用指南、维修指南和／或服务手册和示意图等随同每批货物一起发运；</w:t>
      </w:r>
    </w:p>
    <w:p w14:paraId="288973F2">
      <w:pPr>
        <w:pStyle w:val="18"/>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6.2 如果买方确认卖方提供的技术资料不完整或在运输过程中丢失，卖方将在收到买方通知后</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天内将这些资料寄给买方；</w:t>
      </w:r>
    </w:p>
    <w:p w14:paraId="73CFA6BD">
      <w:pPr>
        <w:pStyle w:val="18"/>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6.3 其他</w:t>
      </w:r>
      <w:r>
        <w:rPr>
          <w:rFonts w:hint="eastAsia" w:ascii="仿宋" w:hAnsi="仿宋" w:eastAsia="仿宋" w:cs="仿宋"/>
          <w:color w:val="auto"/>
          <w:highlight w:val="none"/>
          <w:u w:val="single"/>
        </w:rPr>
        <w:t xml:space="preserve">                                                               </w:t>
      </w:r>
    </w:p>
    <w:p w14:paraId="025ECF30">
      <w:pPr>
        <w:pStyle w:val="18"/>
        <w:spacing w:before="0" w:beforeAutospacing="0" w:after="0" w:afterAutospacing="0" w:line="360" w:lineRule="auto"/>
        <w:ind w:firstLine="482" w:firstLineChars="200"/>
        <w:rPr>
          <w:rFonts w:hint="eastAsia" w:ascii="仿宋" w:hAnsi="仿宋" w:eastAsia="仿宋" w:cs="仿宋"/>
          <w:b/>
          <w:color w:val="auto"/>
          <w:highlight w:val="none"/>
        </w:rPr>
      </w:pPr>
      <w:r>
        <w:rPr>
          <w:rFonts w:hint="eastAsia" w:ascii="仿宋" w:hAnsi="仿宋" w:eastAsia="仿宋" w:cs="仿宋"/>
          <w:b/>
          <w:color w:val="auto"/>
          <w:highlight w:val="none"/>
        </w:rPr>
        <w:t>第七条　包装要求</w:t>
      </w:r>
    </w:p>
    <w:p w14:paraId="2BA4DD70">
      <w:pPr>
        <w:pStyle w:val="18"/>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7.1 除合同另有规定外，卖方提供的全部货物均应按标准保护措施进行包装。该包装应适应于远距离运输、防潮、防震、防锈和防野蛮装卸，以确保货物安全无损运抵指定地点。由于包装不善所引起的货物损失均由卖方承担；</w:t>
      </w:r>
    </w:p>
    <w:p w14:paraId="46E731CF">
      <w:pPr>
        <w:pStyle w:val="18"/>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7.2 每一包装单元内应附详细的装箱单和质量合格凭证。</w:t>
      </w:r>
    </w:p>
    <w:p w14:paraId="61B4AF0A">
      <w:pPr>
        <w:pStyle w:val="18"/>
        <w:spacing w:before="0" w:beforeAutospacing="0" w:after="0" w:afterAutospacing="0" w:line="360" w:lineRule="auto"/>
        <w:ind w:firstLine="482" w:firstLineChars="200"/>
        <w:rPr>
          <w:rFonts w:hint="eastAsia" w:ascii="仿宋" w:hAnsi="仿宋" w:eastAsia="仿宋" w:cs="仿宋"/>
          <w:b/>
          <w:color w:val="auto"/>
          <w:highlight w:val="none"/>
        </w:rPr>
      </w:pPr>
      <w:r>
        <w:rPr>
          <w:rFonts w:hint="eastAsia" w:ascii="仿宋" w:hAnsi="仿宋" w:eastAsia="仿宋" w:cs="仿宋"/>
          <w:b/>
          <w:color w:val="auto"/>
          <w:highlight w:val="none"/>
        </w:rPr>
        <w:t>第八条　交货时间、方式、地点</w:t>
      </w:r>
    </w:p>
    <w:p w14:paraId="61C8BEEB">
      <w:pPr>
        <w:pStyle w:val="18"/>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8.1 卖方应按照本合同或招标文件规定的时间和方式向买方交付货物，交货地点为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08845127">
      <w:pPr>
        <w:pStyle w:val="18"/>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8.2 卖方交付的货物应当完全符合本合同或者招标文件所规定的货物、数量和规格要求。卖方不得少交或多交货物。卖方提供的货物不符合招标文件和合同规定的，买方有权拒收货物，由此引起的风险，由卖方承担；</w:t>
      </w:r>
    </w:p>
    <w:p w14:paraId="56B414CC">
      <w:pPr>
        <w:pStyle w:val="18"/>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8.3 其他</w:t>
      </w:r>
      <w:r>
        <w:rPr>
          <w:rFonts w:hint="eastAsia" w:ascii="仿宋" w:hAnsi="仿宋" w:eastAsia="仿宋" w:cs="仿宋"/>
          <w:color w:val="auto"/>
          <w:highlight w:val="none"/>
          <w:u w:val="single"/>
        </w:rPr>
        <w:t xml:space="preserve">                                                               </w:t>
      </w:r>
    </w:p>
    <w:p w14:paraId="0C3D116B">
      <w:pPr>
        <w:pStyle w:val="18"/>
        <w:spacing w:before="0" w:beforeAutospacing="0" w:after="0" w:afterAutospacing="0" w:line="360" w:lineRule="auto"/>
        <w:ind w:firstLine="482" w:firstLineChars="200"/>
        <w:rPr>
          <w:rFonts w:hint="eastAsia" w:ascii="仿宋" w:hAnsi="仿宋" w:eastAsia="仿宋" w:cs="仿宋"/>
          <w:b/>
          <w:color w:val="auto"/>
          <w:highlight w:val="none"/>
        </w:rPr>
      </w:pPr>
      <w:r>
        <w:rPr>
          <w:rFonts w:hint="eastAsia" w:ascii="仿宋" w:hAnsi="仿宋" w:eastAsia="仿宋" w:cs="仿宋"/>
          <w:b/>
          <w:color w:val="auto"/>
          <w:highlight w:val="none"/>
        </w:rPr>
        <w:t>第九条  检验和验收</w:t>
      </w:r>
    </w:p>
    <w:p w14:paraId="37ECB986">
      <w:pPr>
        <w:pStyle w:val="18"/>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9.1 卖方应将所提供货物的装箱清单、用户手册、原厂保修卡、随机资料及配件、随机工具等交付给买方；卖方不能完整交付货物及本款规定的单证和工具的，视为未按合同约定交货，卖方负责补齐，因此导致逾期交付的，由卖方承担相关的违约责任；</w:t>
      </w:r>
    </w:p>
    <w:p w14:paraId="63F0B333">
      <w:pPr>
        <w:pStyle w:val="18"/>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9.2 货物的到货验收包括：型号、规格、数量、外观质量、及货物包装是否完好；买方须按照采购合同规定或招标文件的技术、服务等要求组织对投标人履约的验收，并出具验收书，验收书应当包括每一项技术、和商务要求的履约情况，验收标准要包括所有客观、量化指标。验收方成员应当在验收书上签字，并承担相应的法律责任；</w:t>
      </w:r>
    </w:p>
    <w:p w14:paraId="309CBACD">
      <w:pPr>
        <w:pStyle w:val="18"/>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采购人、采购代理机构可以邀请参加本项目的其他供应商或者第三方专业机构及专家参与验收。政府向社会公众提供的公共服务项目，验收时应当邀请服务对象参与并出具意见，验收结果应当向社会公告。</w:t>
      </w:r>
    </w:p>
    <w:p w14:paraId="1B014C44">
      <w:pPr>
        <w:pStyle w:val="18"/>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9.3 买方应当在到货后的</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个工作日内对货物进行验收；需要卖方对货物或系统进行安装调试的，买方应在货物安装调试完毕后的</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个工作日内进行质量验收。验收合格的，由买方签署验收单并加盖单位公章。招标文件对检验期限另有规定的，从其规定；</w:t>
      </w:r>
    </w:p>
    <w:p w14:paraId="0F376927">
      <w:pPr>
        <w:pStyle w:val="18"/>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9.4 货物和系统调试验收的标准：按行业通行标准、厂方出厂标准和卖方投标文件的承诺（详见合同附件载明的标准，并不低于国家相关标准）；</w:t>
      </w:r>
    </w:p>
    <w:p w14:paraId="6F8DB2BF">
      <w:pPr>
        <w:pStyle w:val="18"/>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9.5 买方有在货物制造过程中派员监造的权利， 卖方有义务为买方监造人员行使该权利提供方便；</w:t>
      </w:r>
    </w:p>
    <w:p w14:paraId="7FD7E7D7">
      <w:pPr>
        <w:pStyle w:val="18"/>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9.6 制造厂对所供货物进行机械运转试验和性能试验时，卖方必须提前通知买方；</w:t>
      </w:r>
    </w:p>
    <w:p w14:paraId="010B0EF6">
      <w:pPr>
        <w:pStyle w:val="18"/>
        <w:spacing w:before="0" w:beforeAutospacing="0" w:after="0" w:afterAutospacing="0" w:line="360" w:lineRule="auto"/>
        <w:ind w:firstLine="480" w:firstLineChars="200"/>
        <w:rPr>
          <w:rFonts w:hint="eastAsia" w:ascii="仿宋" w:hAnsi="仿宋" w:eastAsia="仿宋" w:cs="仿宋"/>
          <w:color w:val="auto"/>
          <w:highlight w:val="none"/>
          <w:u w:val="single"/>
        </w:rPr>
      </w:pPr>
      <w:r>
        <w:rPr>
          <w:rFonts w:hint="eastAsia" w:ascii="仿宋" w:hAnsi="仿宋" w:eastAsia="仿宋" w:cs="仿宋"/>
          <w:color w:val="auto"/>
          <w:highlight w:val="none"/>
        </w:rPr>
        <w:t>9.7 本项目第三方参与验收：</w:t>
      </w:r>
      <w:r>
        <w:rPr>
          <w:rFonts w:hint="eastAsia" w:ascii="仿宋" w:hAnsi="仿宋" w:eastAsia="仿宋" w:cs="仿宋"/>
          <w:color w:val="auto"/>
          <w:highlight w:val="none"/>
          <w:u w:val="single"/>
        </w:rPr>
        <w:t xml:space="preserve">                                               </w:t>
      </w:r>
    </w:p>
    <w:p w14:paraId="29ED2DCC">
      <w:pPr>
        <w:pStyle w:val="18"/>
        <w:spacing w:before="0" w:beforeAutospacing="0" w:after="0" w:afterAutospacing="0" w:line="360" w:lineRule="auto"/>
        <w:ind w:firstLine="480" w:firstLineChars="200"/>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461070C1">
      <w:pPr>
        <w:pStyle w:val="18"/>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9.8 其他</w:t>
      </w:r>
      <w:r>
        <w:rPr>
          <w:rFonts w:hint="eastAsia" w:ascii="仿宋" w:hAnsi="仿宋" w:eastAsia="仿宋" w:cs="仿宋"/>
          <w:color w:val="auto"/>
          <w:highlight w:val="none"/>
          <w:u w:val="single"/>
        </w:rPr>
        <w:t xml:space="preserve">                                                               </w:t>
      </w:r>
    </w:p>
    <w:p w14:paraId="17EE66CC">
      <w:pPr>
        <w:pStyle w:val="18"/>
        <w:spacing w:before="0" w:beforeAutospacing="0" w:after="0" w:afterAutospacing="0" w:line="360" w:lineRule="auto"/>
        <w:ind w:firstLine="482" w:firstLineChars="200"/>
        <w:rPr>
          <w:rFonts w:hint="eastAsia" w:ascii="仿宋" w:hAnsi="仿宋" w:eastAsia="仿宋" w:cs="仿宋"/>
          <w:b/>
          <w:color w:val="auto"/>
          <w:highlight w:val="none"/>
        </w:rPr>
      </w:pPr>
      <w:r>
        <w:rPr>
          <w:rFonts w:hint="eastAsia" w:ascii="仿宋" w:hAnsi="仿宋" w:eastAsia="仿宋" w:cs="仿宋"/>
          <w:b/>
          <w:color w:val="auto"/>
          <w:highlight w:val="none"/>
        </w:rPr>
        <w:t>第十条　伴随服务／售后服务</w:t>
      </w:r>
    </w:p>
    <w:p w14:paraId="17E9B16A">
      <w:pPr>
        <w:pStyle w:val="18"/>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10.1 卖方应按照国家有关法律法规规章和“三包”规定以及合同所附的“服务承诺”提供服务；</w:t>
      </w:r>
    </w:p>
    <w:p w14:paraId="045BA354">
      <w:pPr>
        <w:pStyle w:val="18"/>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10.2 除前款规定外，卖方还应提供下列服务：</w:t>
      </w:r>
    </w:p>
    <w:p w14:paraId="18CA90BA">
      <w:pPr>
        <w:pStyle w:val="18"/>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10.2.1 货物的现场安装、调试和/或启动监督；</w:t>
      </w:r>
    </w:p>
    <w:p w14:paraId="4361A7DA">
      <w:pPr>
        <w:pStyle w:val="18"/>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10.2.2 就货物的安装、启动、运行及维护等对买方人员进行培训；</w:t>
      </w:r>
    </w:p>
    <w:p w14:paraId="0CF19058">
      <w:pPr>
        <w:pStyle w:val="18"/>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10.2.3 若招标文件中不包含有关伴随服务或售后服务的承诺，双方作如下约定：</w:t>
      </w:r>
    </w:p>
    <w:p w14:paraId="2DB5A09E">
      <w:pPr>
        <w:pStyle w:val="18"/>
        <w:spacing w:before="0" w:beforeAutospacing="0" w:after="0" w:afterAutospacing="0" w:line="360" w:lineRule="auto"/>
        <w:rPr>
          <w:rFonts w:hint="eastAsia" w:ascii="仿宋" w:hAnsi="仿宋" w:eastAsia="仿宋" w:cs="仿宋"/>
          <w:color w:val="auto"/>
          <w:highlight w:val="none"/>
        </w:rPr>
      </w:pP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1269C16F">
      <w:pPr>
        <w:pStyle w:val="18"/>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10.3 卖方应为买方提供培训服务，并指派专人负责与买方联系售后服务事宜。主要培训内容为货物的基本结构、性能、主要部件的构造及处理，日常使用操作、保养与管理、常见故障的排除、紧急情况的处理等，如买方未使用过同类型货物，卖方还需就货物的功能对买方人员进行相应的技术培训，培训地点主要在货物安装现场或由买方安排；</w:t>
      </w:r>
    </w:p>
    <w:p w14:paraId="5FAC360F">
      <w:pPr>
        <w:pStyle w:val="18"/>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10.4 所购货物若为电脑则由卖方提供至少3年的整机保修和系统维护；</w:t>
      </w:r>
    </w:p>
    <w:p w14:paraId="61550DB2">
      <w:pPr>
        <w:pStyle w:val="18"/>
        <w:spacing w:before="0" w:beforeAutospacing="0" w:after="0" w:afterAutospacing="0" w:line="360" w:lineRule="auto"/>
        <w:ind w:firstLine="480" w:firstLineChars="200"/>
        <w:rPr>
          <w:rFonts w:hint="eastAsia" w:ascii="仿宋" w:hAnsi="仿宋" w:eastAsia="仿宋" w:cs="仿宋"/>
          <w:color w:val="auto"/>
          <w:highlight w:val="none"/>
          <w:u w:val="single"/>
        </w:rPr>
      </w:pPr>
      <w:r>
        <w:rPr>
          <w:rFonts w:hint="eastAsia" w:ascii="仿宋" w:hAnsi="仿宋" w:eastAsia="仿宋" w:cs="仿宋"/>
          <w:color w:val="auto"/>
          <w:highlight w:val="none"/>
        </w:rPr>
        <w:t>若为其他货物则按生产厂家的标准执行，但不得少于1年（请分别列出：</w:t>
      </w:r>
      <w:r>
        <w:rPr>
          <w:rFonts w:hint="eastAsia" w:ascii="仿宋" w:hAnsi="仿宋" w:eastAsia="仿宋" w:cs="仿宋"/>
          <w:color w:val="auto"/>
          <w:highlight w:val="none"/>
          <w:u w:val="single"/>
        </w:rPr>
        <w:t xml:space="preserve">       </w:t>
      </w:r>
    </w:p>
    <w:p w14:paraId="30A4B360">
      <w:pPr>
        <w:pStyle w:val="18"/>
        <w:spacing w:before="0" w:beforeAutospacing="0" w:after="0" w:afterAutospacing="0" w:line="360" w:lineRule="auto"/>
        <w:rPr>
          <w:rFonts w:hint="eastAsia" w:ascii="仿宋" w:hAnsi="仿宋" w:eastAsia="仿宋" w:cs="仿宋"/>
          <w:color w:val="auto"/>
          <w:highlight w:val="none"/>
        </w:rPr>
      </w:pP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）；保修期自买方在货物质量验收单上签字之日起计算，保修费用计入总价；</w:t>
      </w:r>
    </w:p>
    <w:p w14:paraId="5CC78702">
      <w:pPr>
        <w:pStyle w:val="18"/>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10.5 保修期内，卖方负责对其提供的货物整机进行维修和系统维护，不再收取任何费用，但不可抗力（如火灾、雷击等）造成的故障除外；</w:t>
      </w:r>
    </w:p>
    <w:p w14:paraId="7945798F">
      <w:pPr>
        <w:pStyle w:val="18"/>
        <w:spacing w:before="0" w:beforeAutospacing="0" w:after="0" w:afterAutospacing="0" w:line="360" w:lineRule="auto"/>
        <w:ind w:firstLine="480" w:firstLineChars="200"/>
        <w:rPr>
          <w:rFonts w:hint="eastAsia" w:ascii="仿宋" w:hAnsi="仿宋" w:eastAsia="仿宋" w:cs="仿宋"/>
          <w:color w:val="auto"/>
          <w:highlight w:val="none"/>
          <w:u w:val="single"/>
        </w:rPr>
      </w:pPr>
      <w:r>
        <w:rPr>
          <w:rFonts w:hint="eastAsia" w:ascii="仿宋" w:hAnsi="仿宋" w:eastAsia="仿宋" w:cs="仿宋"/>
          <w:color w:val="auto"/>
          <w:highlight w:val="none"/>
        </w:rPr>
        <w:t>10.6 货物故障报修的响应时间为：工作期间（星期一至星期五8：00-18：00）为</w:t>
      </w:r>
    </w:p>
    <w:p w14:paraId="13329E6D">
      <w:pPr>
        <w:pStyle w:val="18"/>
        <w:spacing w:before="0" w:beforeAutospacing="0" w:after="0" w:afterAutospacing="0" w:line="360" w:lineRule="auto"/>
        <w:rPr>
          <w:rFonts w:hint="eastAsia" w:ascii="仿宋" w:hAnsi="仿宋" w:eastAsia="仿宋" w:cs="仿宋"/>
          <w:color w:val="auto"/>
          <w:highlight w:val="none"/>
        </w:rPr>
      </w:pP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时；非工作期间为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小时；</w:t>
      </w:r>
    </w:p>
    <w:p w14:paraId="416E0A9C">
      <w:pPr>
        <w:pStyle w:val="18"/>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10.7 货物故障报修的到达指定地点时间为：工作期间（星期一至星期五8：00-18：00）为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时；非工作期间为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小时；</w:t>
      </w:r>
    </w:p>
    <w:p w14:paraId="614CBD61">
      <w:pPr>
        <w:pStyle w:val="18"/>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10.8 下列货物（分别列出：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）若故障在检修8工作小时后仍无法排除，卖方应在48小时内提供不低于故障货物规格型号档次的备用货物供买方使用，直至故障货物修复；</w:t>
      </w:r>
    </w:p>
    <w:p w14:paraId="1E147506">
      <w:pPr>
        <w:pStyle w:val="18"/>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10.9 所有货物保修服务方式均为卖方上门保修，即由卖方派员到货物使用现场维修，由此产生的一切费用均由卖方承担；</w:t>
      </w:r>
    </w:p>
    <w:p w14:paraId="057127CD">
      <w:pPr>
        <w:pStyle w:val="18"/>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10.10 保修期后的货物维护由双方协商再定；</w:t>
      </w:r>
    </w:p>
    <w:p w14:paraId="6A607B49">
      <w:pPr>
        <w:pStyle w:val="18"/>
        <w:spacing w:before="0" w:beforeAutospacing="0" w:after="0" w:afterAutospacing="0" w:line="360" w:lineRule="auto"/>
        <w:ind w:firstLine="480" w:firstLineChars="200"/>
        <w:rPr>
          <w:rFonts w:hint="eastAsia" w:ascii="仿宋" w:hAnsi="仿宋" w:eastAsia="仿宋" w:cs="仿宋"/>
          <w:color w:val="auto"/>
          <w:highlight w:val="none"/>
          <w:u w:val="single"/>
        </w:rPr>
      </w:pPr>
      <w:r>
        <w:rPr>
          <w:rFonts w:hint="eastAsia" w:ascii="仿宋" w:hAnsi="仿宋" w:eastAsia="仿宋" w:cs="仿宋"/>
          <w:color w:val="auto"/>
          <w:highlight w:val="none"/>
        </w:rPr>
        <w:t>10.11 本项目售后服务的特殊条款：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5CB23294">
      <w:pPr>
        <w:pStyle w:val="18"/>
        <w:spacing w:before="0" w:beforeAutospacing="0" w:after="0" w:afterAutospacing="0" w:line="360" w:lineRule="auto"/>
        <w:ind w:firstLine="480" w:firstLineChars="200"/>
        <w:rPr>
          <w:rFonts w:hint="eastAsia" w:ascii="仿宋" w:hAnsi="仿宋" w:eastAsia="仿宋" w:cs="仿宋"/>
          <w:color w:val="auto"/>
          <w:highlight w:val="none"/>
          <w:u w:val="single"/>
        </w:rPr>
      </w:pPr>
      <w:r>
        <w:rPr>
          <w:rFonts w:hint="eastAsia" w:ascii="仿宋" w:hAnsi="仿宋" w:eastAsia="仿宋" w:cs="仿宋"/>
          <w:color w:val="auto"/>
          <w:highlight w:val="none"/>
        </w:rPr>
        <w:t>10.12 本项目培训服务的特殊条款：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1F6F1A4C">
      <w:pPr>
        <w:pStyle w:val="18"/>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10.13 其他</w:t>
      </w:r>
      <w:r>
        <w:rPr>
          <w:rFonts w:hint="eastAsia" w:ascii="仿宋" w:hAnsi="仿宋" w:eastAsia="仿宋" w:cs="仿宋"/>
          <w:color w:val="auto"/>
          <w:highlight w:val="none"/>
          <w:u w:val="single"/>
        </w:rPr>
        <w:t xml:space="preserve">                                                             </w:t>
      </w:r>
    </w:p>
    <w:p w14:paraId="517BC0E1">
      <w:pPr>
        <w:pStyle w:val="18"/>
        <w:spacing w:before="0" w:beforeAutospacing="0" w:after="0" w:afterAutospacing="0" w:line="360" w:lineRule="auto"/>
        <w:ind w:firstLine="482" w:firstLineChars="200"/>
        <w:rPr>
          <w:rFonts w:hint="eastAsia" w:ascii="仿宋" w:hAnsi="仿宋" w:eastAsia="仿宋" w:cs="仿宋"/>
          <w:b/>
          <w:color w:val="auto"/>
          <w:highlight w:val="none"/>
        </w:rPr>
      </w:pPr>
      <w:r>
        <w:rPr>
          <w:rFonts w:hint="eastAsia" w:ascii="仿宋" w:hAnsi="仿宋" w:eastAsia="仿宋" w:cs="仿宋"/>
          <w:b/>
          <w:color w:val="auto"/>
          <w:highlight w:val="none"/>
        </w:rPr>
        <w:t>第十一条　履约保证金</w:t>
      </w:r>
    </w:p>
    <w:p w14:paraId="4F2B00B7">
      <w:pPr>
        <w:pStyle w:val="18"/>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11.1 卖方应在签订合同前，按招标文件要求向买方提交</w:t>
      </w:r>
      <w:r>
        <w:rPr>
          <w:rFonts w:hint="eastAsia" w:ascii="仿宋" w:hAnsi="仿宋" w:eastAsia="仿宋" w:cs="仿宋"/>
          <w:color w:val="auto"/>
          <w:highlight w:val="none"/>
          <w:u w:val="single"/>
        </w:rPr>
        <w:t>（   大写    ￥：   ）</w:t>
      </w:r>
      <w:r>
        <w:rPr>
          <w:rFonts w:hint="eastAsia" w:ascii="仿宋" w:hAnsi="仿宋" w:eastAsia="仿宋" w:cs="仿宋"/>
          <w:color w:val="auto"/>
          <w:highlight w:val="none"/>
        </w:rPr>
        <w:t>履约保证金；</w:t>
      </w:r>
    </w:p>
    <w:p w14:paraId="7135D6F5">
      <w:pPr>
        <w:pStyle w:val="18"/>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11.2 履约保证金有效期为买卖双方签署验收单后的</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天；</w:t>
      </w:r>
    </w:p>
    <w:p w14:paraId="2BB7DB3C">
      <w:pPr>
        <w:pStyle w:val="18"/>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11.3 履约保证金用于补偿买方因卖方不能履行其合同义务而蒙受的损失；</w:t>
      </w:r>
    </w:p>
    <w:p w14:paraId="0891E39E">
      <w:pPr>
        <w:pStyle w:val="18"/>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11.4 如果卖方未能按合同规定履行其义务，买方有权从履约保证金中取得补偿；</w:t>
      </w:r>
    </w:p>
    <w:p w14:paraId="0C888675">
      <w:pPr>
        <w:pStyle w:val="18"/>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11.5 履约保证金扣除买方应得补偿后的余额在有效期后</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天内无息退还给卖方。</w:t>
      </w:r>
    </w:p>
    <w:p w14:paraId="4E01FDA2">
      <w:pPr>
        <w:pStyle w:val="18"/>
        <w:spacing w:before="0" w:beforeAutospacing="0" w:after="0" w:afterAutospacing="0" w:line="360" w:lineRule="auto"/>
        <w:ind w:firstLine="482" w:firstLineChars="200"/>
        <w:rPr>
          <w:rFonts w:hint="eastAsia" w:ascii="仿宋" w:hAnsi="仿宋" w:eastAsia="仿宋" w:cs="仿宋"/>
          <w:b/>
          <w:color w:val="auto"/>
          <w:highlight w:val="none"/>
        </w:rPr>
      </w:pPr>
      <w:r>
        <w:rPr>
          <w:rFonts w:hint="eastAsia" w:ascii="仿宋" w:hAnsi="仿宋" w:eastAsia="仿宋" w:cs="仿宋"/>
          <w:b/>
          <w:color w:val="auto"/>
          <w:highlight w:val="none"/>
        </w:rPr>
        <w:t>第十二条　货款支付</w:t>
      </w:r>
    </w:p>
    <w:p w14:paraId="7779C4F3">
      <w:pPr>
        <w:pStyle w:val="18"/>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12.1本合同项下所有款项均以人民币支付；</w:t>
      </w:r>
    </w:p>
    <w:p w14:paraId="7364F8AC">
      <w:pPr>
        <w:pStyle w:val="18"/>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12.2货款支付方法：</w:t>
      </w:r>
      <w:r>
        <w:rPr>
          <w:rFonts w:hint="eastAsia" w:ascii="仿宋" w:hAnsi="仿宋" w:eastAsia="仿宋" w:cs="仿宋"/>
          <w:color w:val="auto"/>
          <w:highlight w:val="none"/>
          <w:u w:val="single"/>
        </w:rPr>
        <w:t xml:space="preserve">                                                     </w:t>
      </w:r>
    </w:p>
    <w:p w14:paraId="6747FF58">
      <w:pPr>
        <w:pStyle w:val="18"/>
        <w:spacing w:before="0" w:beforeAutospacing="0" w:after="0" w:afterAutospacing="0" w:line="360" w:lineRule="auto"/>
        <w:ind w:firstLine="482" w:firstLineChars="200"/>
        <w:rPr>
          <w:rFonts w:hint="eastAsia" w:ascii="仿宋" w:hAnsi="仿宋" w:eastAsia="仿宋" w:cs="仿宋"/>
          <w:b/>
          <w:color w:val="auto"/>
          <w:highlight w:val="none"/>
        </w:rPr>
      </w:pPr>
      <w:r>
        <w:rPr>
          <w:rFonts w:hint="eastAsia" w:ascii="仿宋" w:hAnsi="仿宋" w:eastAsia="仿宋" w:cs="仿宋"/>
          <w:b/>
          <w:color w:val="auto"/>
          <w:highlight w:val="none"/>
        </w:rPr>
        <w:t>第十三条　违约责任</w:t>
      </w:r>
    </w:p>
    <w:p w14:paraId="51E2646C">
      <w:pPr>
        <w:pStyle w:val="18"/>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13.1 买方无正当理由拒收货物、拒付货物款的，由买方向卖方偿付合同总价的3%违约金。</w:t>
      </w:r>
    </w:p>
    <w:p w14:paraId="44B9DF05">
      <w:pPr>
        <w:pStyle w:val="18"/>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13.2 买方未按合同规定的期限向卖方支付货款的，每逾期</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天买方向卖方偿付欠款总额的</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滞纳金，但累计滞纳金总额不超过欠款总额的</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w:t>
      </w:r>
    </w:p>
    <w:p w14:paraId="19D4C2BC">
      <w:pPr>
        <w:pStyle w:val="18"/>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13.3 如卖方不能交付货物，买方有权扣留全部履约保证金；同时卖方应向买方支付合同总价</w:t>
      </w:r>
      <w:r>
        <w:rPr>
          <w:rFonts w:hint="eastAsia" w:ascii="仿宋" w:hAnsi="仿宋" w:eastAsia="仿宋" w:cs="仿宋"/>
          <w:color w:val="auto"/>
          <w:highlight w:val="none"/>
          <w:u w:val="single"/>
        </w:rPr>
        <w:t>3％</w:t>
      </w:r>
      <w:r>
        <w:rPr>
          <w:rFonts w:hint="eastAsia" w:ascii="仿宋" w:hAnsi="仿宋" w:eastAsia="仿宋" w:cs="仿宋"/>
          <w:color w:val="auto"/>
          <w:highlight w:val="none"/>
        </w:rPr>
        <w:t>的违约金。</w:t>
      </w:r>
    </w:p>
    <w:p w14:paraId="56CBB444">
      <w:pPr>
        <w:pStyle w:val="18"/>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13.4 卖方逾期交付货物的，每逾期</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天，卖方向买方偿付逾期交货部分货款总额的</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的滞纳金。如卖方逾期交货达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天，买方有权解除合同，解除合同的通知自到达卖方时生效；</w:t>
      </w:r>
    </w:p>
    <w:p w14:paraId="0B67F652">
      <w:pPr>
        <w:pStyle w:val="18"/>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在履行合同过程中，如果卖方遇到不能按时交货情况，应及时以书面形式将不能按时交货的理由、预期延误时间通知买方。买方收到卖方通知后，认为其理由正当的，可酌情延长交货时间；不认可卖方不能按时交货理由的，按逾期交付货物处理；</w:t>
      </w:r>
    </w:p>
    <w:p w14:paraId="66DBBD8A">
      <w:pPr>
        <w:pStyle w:val="18"/>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13.5 卖方所交付的货物品种、型号、规格、技术指标不符合合同规定的，买方有权拒收。买方拒收的，卖方应向买方支付货款总额3%的违约金；</w:t>
      </w:r>
    </w:p>
    <w:p w14:paraId="0D6505CA">
      <w:pPr>
        <w:pStyle w:val="18"/>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13.6 在卖方承诺的或国家规定的质量保证期内（取两者中最长的期限），如经卖方两次维修或更换，货物仍不能达到合同约定的质量标准，买方有权退货，卖方应退回全部货款，并按第13.3款处理，同时，卖方还须赔偿买方因此遭受的损失；</w:t>
      </w:r>
    </w:p>
    <w:p w14:paraId="57193A80">
      <w:pPr>
        <w:pStyle w:val="18"/>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13.7 卖方未按本合同的规定和“服务承诺”提供伴随服务/售后服务的，应按合同总价款的</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向买方承担违约责任；</w:t>
      </w:r>
    </w:p>
    <w:p w14:paraId="1E61D7D5">
      <w:pPr>
        <w:pStyle w:val="18"/>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13.8 卖方在承担上述13.3～13.7款一项或多项违约责任后，仍应继续履行合同规定的义务（买方解除合同的除外）。买方未能及时追究卖方的任何一项违约责任并不表明买方放弃追究卖方该项或其他违约责任；</w:t>
      </w:r>
    </w:p>
    <w:p w14:paraId="591AC682">
      <w:pPr>
        <w:pStyle w:val="18"/>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其他</w:t>
      </w:r>
      <w:r>
        <w:rPr>
          <w:rFonts w:hint="eastAsia" w:ascii="仿宋" w:hAnsi="仿宋" w:eastAsia="仿宋" w:cs="仿宋"/>
          <w:color w:val="auto"/>
          <w:highlight w:val="none"/>
          <w:u w:val="single"/>
        </w:rPr>
        <w:t xml:space="preserve">                                                               </w:t>
      </w:r>
    </w:p>
    <w:p w14:paraId="1363ED76">
      <w:pPr>
        <w:pStyle w:val="18"/>
        <w:spacing w:before="0" w:beforeAutospacing="0" w:after="0" w:afterAutospacing="0" w:line="360" w:lineRule="auto"/>
        <w:ind w:firstLine="482" w:firstLineChars="200"/>
        <w:rPr>
          <w:rFonts w:hint="eastAsia" w:ascii="仿宋" w:hAnsi="仿宋" w:eastAsia="仿宋" w:cs="仿宋"/>
          <w:b/>
          <w:color w:val="auto"/>
          <w:highlight w:val="none"/>
        </w:rPr>
      </w:pPr>
      <w:r>
        <w:rPr>
          <w:rFonts w:hint="eastAsia" w:ascii="仿宋" w:hAnsi="仿宋" w:eastAsia="仿宋" w:cs="仿宋"/>
          <w:b/>
          <w:color w:val="auto"/>
          <w:highlight w:val="none"/>
        </w:rPr>
        <w:t>第十四条　转让和分包</w:t>
      </w:r>
    </w:p>
    <w:p w14:paraId="71C02A35">
      <w:pPr>
        <w:pStyle w:val="18"/>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卖方不得擅自分包其应履行的合同义务。须将项目的非主体、非关键性工作分包的，应当在投标文件中载明分包承担主体，分包承担主体应当具备相应资质条件且不得再次分包。</w:t>
      </w:r>
    </w:p>
    <w:p w14:paraId="66B36192">
      <w:pPr>
        <w:pStyle w:val="18"/>
        <w:spacing w:before="0" w:beforeAutospacing="0" w:after="0" w:afterAutospacing="0" w:line="360" w:lineRule="auto"/>
        <w:ind w:firstLine="482" w:firstLineChars="200"/>
        <w:rPr>
          <w:rFonts w:hint="eastAsia" w:ascii="仿宋" w:hAnsi="仿宋" w:eastAsia="仿宋" w:cs="仿宋"/>
          <w:b/>
          <w:color w:val="auto"/>
          <w:highlight w:val="none"/>
        </w:rPr>
      </w:pPr>
      <w:r>
        <w:rPr>
          <w:rFonts w:hint="eastAsia" w:ascii="仿宋" w:hAnsi="仿宋" w:eastAsia="仿宋" w:cs="仿宋"/>
          <w:b/>
          <w:color w:val="auto"/>
          <w:highlight w:val="none"/>
        </w:rPr>
        <w:t>第十五条　合同的变更和终止</w:t>
      </w:r>
    </w:p>
    <w:p w14:paraId="4A416F9E">
      <w:pPr>
        <w:pStyle w:val="18"/>
        <w:widowControl w:val="0"/>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除《政府采购法》第50条第二款规定的情形外，本合同一经签订，双方不得擅自变更、中止或终止合同。</w:t>
      </w:r>
    </w:p>
    <w:p w14:paraId="7C7E8AE1">
      <w:pPr>
        <w:pStyle w:val="18"/>
        <w:spacing w:before="0" w:beforeAutospacing="0" w:after="0" w:afterAutospacing="0" w:line="360" w:lineRule="auto"/>
        <w:ind w:firstLine="482" w:firstLineChars="200"/>
        <w:rPr>
          <w:rFonts w:hint="eastAsia" w:ascii="仿宋" w:hAnsi="仿宋" w:eastAsia="仿宋" w:cs="仿宋"/>
          <w:b/>
          <w:color w:val="auto"/>
          <w:highlight w:val="none"/>
        </w:rPr>
      </w:pPr>
      <w:r>
        <w:rPr>
          <w:rFonts w:hint="eastAsia" w:ascii="仿宋" w:hAnsi="仿宋" w:eastAsia="仿宋" w:cs="仿宋"/>
          <w:b/>
          <w:color w:val="auto"/>
          <w:highlight w:val="none"/>
        </w:rPr>
        <w:t>第十六条  不可抗力</w:t>
      </w:r>
    </w:p>
    <w:p w14:paraId="3B998023">
      <w:pPr>
        <w:pStyle w:val="18"/>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16.1 如果双方中任何一方遭遇法律规定的不可抗力，致使合同履行受阻时，履行合同的期限应予延长，延长的期限应相当于不可抗力所影响的时间；</w:t>
      </w:r>
    </w:p>
    <w:p w14:paraId="08E2150B">
      <w:pPr>
        <w:pStyle w:val="18"/>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16.2 受事故影响的一方应在不可抗力的事故发生后尽快书面形式通知另一方，并尽快将有关部门出具的证明文件送达另一方；</w:t>
      </w:r>
    </w:p>
    <w:p w14:paraId="27FFE206">
      <w:pPr>
        <w:pStyle w:val="18"/>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16.3 不可抗力使合同的某些内容有变更必要的， 双方应通过协商达成进一步履行合同的协议，因不可抗力致使合同不能履行的，合同终止。</w:t>
      </w:r>
    </w:p>
    <w:p w14:paraId="28A2D37E">
      <w:pPr>
        <w:pStyle w:val="18"/>
        <w:spacing w:before="0" w:beforeAutospacing="0" w:after="0" w:afterAutospacing="0" w:line="360" w:lineRule="auto"/>
        <w:ind w:firstLine="482" w:firstLineChars="200"/>
        <w:rPr>
          <w:rFonts w:hint="eastAsia" w:ascii="仿宋" w:hAnsi="仿宋" w:eastAsia="仿宋" w:cs="仿宋"/>
          <w:b/>
          <w:color w:val="auto"/>
          <w:highlight w:val="none"/>
        </w:rPr>
      </w:pPr>
      <w:r>
        <w:rPr>
          <w:rFonts w:hint="eastAsia" w:ascii="仿宋" w:hAnsi="仿宋" w:eastAsia="仿宋" w:cs="仿宋"/>
          <w:b/>
          <w:color w:val="auto"/>
          <w:highlight w:val="none"/>
        </w:rPr>
        <w:t>第十七条　争议的解决</w:t>
      </w:r>
    </w:p>
    <w:p w14:paraId="5B8E4E7D">
      <w:pPr>
        <w:pStyle w:val="18"/>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17.1 因货物的质量问题发生争议的，应当邀请国家认可的质量检测机构对货物质量进行鉴定。货物符合标准的，鉴定费由买方承担；货物不符合质量标准的，鉴定费由卖方承担。</w:t>
      </w:r>
    </w:p>
    <w:p w14:paraId="55AFB97E">
      <w:pPr>
        <w:pStyle w:val="18"/>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17.2 因履行本合同引起的或与本合同有关的争议，买、卖双方应首先通过友好协商解决，如果协商不能解决争议，则采取以下第</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种方式解决争议：</w:t>
      </w:r>
    </w:p>
    <w:p w14:paraId="4F946B77">
      <w:pPr>
        <w:pStyle w:val="18"/>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17.2.1 向买方所在地有管辖权的人民法院提起诉讼；</w:t>
      </w:r>
    </w:p>
    <w:p w14:paraId="4C3D3ED8">
      <w:pPr>
        <w:pStyle w:val="18"/>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17.2.2 向</w:t>
      </w:r>
      <w:r>
        <w:rPr>
          <w:rFonts w:hint="eastAsia" w:ascii="仿宋" w:hAnsi="仿宋" w:eastAsia="仿宋" w:cs="仿宋"/>
          <w:color w:val="auto"/>
          <w:highlight w:val="none"/>
          <w:u w:val="single"/>
        </w:rPr>
        <w:t xml:space="preserve"> 丽水 </w:t>
      </w:r>
      <w:r>
        <w:rPr>
          <w:rFonts w:hint="eastAsia" w:ascii="仿宋" w:hAnsi="仿宋" w:eastAsia="仿宋" w:cs="仿宋"/>
          <w:color w:val="auto"/>
          <w:highlight w:val="none"/>
        </w:rPr>
        <w:t>仲裁委员会按其仲裁规则申请仲裁。</w:t>
      </w:r>
    </w:p>
    <w:p w14:paraId="3ACB6E69">
      <w:pPr>
        <w:pStyle w:val="18"/>
        <w:spacing w:before="0" w:beforeAutospacing="0" w:after="0" w:afterAutospacing="0" w:line="360" w:lineRule="auto"/>
        <w:ind w:firstLine="482"/>
        <w:rPr>
          <w:rFonts w:hint="eastAsia" w:ascii="仿宋" w:hAnsi="仿宋" w:eastAsia="仿宋" w:cs="仿宋"/>
          <w:b/>
          <w:color w:val="auto"/>
          <w:highlight w:val="none"/>
        </w:rPr>
      </w:pPr>
      <w:r>
        <w:rPr>
          <w:rFonts w:hint="eastAsia" w:ascii="仿宋" w:hAnsi="仿宋" w:eastAsia="仿宋" w:cs="仿宋"/>
          <w:b/>
          <w:color w:val="auto"/>
          <w:highlight w:val="none"/>
        </w:rPr>
        <w:t>第十八条　合同生效及其他</w:t>
      </w:r>
    </w:p>
    <w:p w14:paraId="73E8766D">
      <w:pPr>
        <w:pStyle w:val="18"/>
        <w:spacing w:before="0" w:beforeAutospacing="0" w:after="0" w:afterAutospacing="0" w:line="360" w:lineRule="auto"/>
        <w:ind w:firstLine="482"/>
        <w:rPr>
          <w:rFonts w:hint="eastAsia" w:ascii="仿宋" w:hAnsi="仿宋" w:eastAsia="仿宋" w:cs="仿宋"/>
          <w:color w:val="auto"/>
          <w:highlight w:val="none"/>
        </w:rPr>
      </w:pPr>
      <w:r>
        <w:rPr>
          <w:rFonts w:hint="eastAsia" w:ascii="仿宋" w:hAnsi="仿宋" w:eastAsia="仿宋" w:cs="仿宋"/>
          <w:color w:val="auto"/>
          <w:highlight w:val="none"/>
        </w:rPr>
        <w:t>18.1 合同经双方负责人或委托代理人签字并加盖单位公章。</w:t>
      </w:r>
    </w:p>
    <w:p w14:paraId="156AC050">
      <w:pPr>
        <w:pStyle w:val="18"/>
        <w:spacing w:before="0" w:beforeAutospacing="0" w:after="0" w:afterAutospacing="0" w:line="360" w:lineRule="auto"/>
        <w:ind w:firstLine="482"/>
        <w:rPr>
          <w:rFonts w:hint="eastAsia" w:ascii="仿宋" w:hAnsi="仿宋" w:eastAsia="仿宋" w:cs="仿宋"/>
          <w:color w:val="auto"/>
          <w:highlight w:val="none"/>
        </w:rPr>
      </w:pPr>
      <w:r>
        <w:rPr>
          <w:rFonts w:hint="eastAsia" w:ascii="仿宋" w:hAnsi="仿宋" w:eastAsia="仿宋" w:cs="仿宋"/>
          <w:color w:val="auto"/>
          <w:highlight w:val="none"/>
        </w:rPr>
        <w:t>18.2 合同执行中涉及采购资金和采购内容修改或补充的，须经财政部门批准，并签书面补充协议报政府采购监督管理部门备案，方可作为合同不可分割的一部分。</w:t>
      </w:r>
    </w:p>
    <w:p w14:paraId="7A3E0A25">
      <w:pPr>
        <w:pStyle w:val="18"/>
        <w:spacing w:before="0" w:beforeAutospacing="0" w:after="0" w:afterAutospacing="0" w:line="360" w:lineRule="auto"/>
        <w:ind w:firstLine="482"/>
        <w:rPr>
          <w:rFonts w:hint="eastAsia" w:ascii="仿宋" w:hAnsi="仿宋" w:eastAsia="仿宋" w:cs="仿宋"/>
          <w:color w:val="auto"/>
          <w:highlight w:val="none"/>
        </w:rPr>
      </w:pPr>
      <w:r>
        <w:rPr>
          <w:rFonts w:hint="eastAsia" w:ascii="仿宋" w:hAnsi="仿宋" w:eastAsia="仿宋" w:cs="仿宋"/>
          <w:color w:val="auto"/>
          <w:highlight w:val="none"/>
        </w:rPr>
        <w:t>18.3 本合同自签订之日起生效。</w:t>
      </w:r>
    </w:p>
    <w:p w14:paraId="04CEADE8">
      <w:pPr>
        <w:pStyle w:val="18"/>
        <w:spacing w:before="0" w:beforeAutospacing="0" w:after="0" w:afterAutospacing="0" w:line="360" w:lineRule="auto"/>
        <w:ind w:firstLine="482"/>
        <w:rPr>
          <w:rFonts w:hint="eastAsia" w:ascii="仿宋" w:hAnsi="仿宋" w:eastAsia="仿宋" w:cs="仿宋"/>
          <w:color w:val="auto"/>
          <w:highlight w:val="none"/>
        </w:rPr>
      </w:pPr>
      <w:r>
        <w:rPr>
          <w:rFonts w:hint="eastAsia" w:ascii="仿宋" w:hAnsi="仿宋" w:eastAsia="仿宋" w:cs="仿宋"/>
          <w:color w:val="auto"/>
          <w:highlight w:val="none"/>
        </w:rPr>
        <w:t>18.4 本合同一式六份，买卖双方各执二份，一份交</w:t>
      </w:r>
      <w:r>
        <w:rPr>
          <w:rFonts w:hint="eastAsia" w:ascii="仿宋" w:hAnsi="仿宋" w:eastAsia="仿宋" w:cs="仿宋"/>
          <w:color w:val="auto"/>
          <w:highlight w:val="none"/>
          <w:u w:val="single"/>
        </w:rPr>
        <w:t xml:space="preserve"> 代理机构 </w:t>
      </w:r>
      <w:r>
        <w:rPr>
          <w:rFonts w:hint="eastAsia" w:ascii="仿宋" w:hAnsi="仿宋" w:eastAsia="仿宋" w:cs="仿宋"/>
          <w:color w:val="auto"/>
          <w:highlight w:val="none"/>
        </w:rPr>
        <w:t>存档，一份报送政府采购监督管理部门备案。</w:t>
      </w:r>
    </w:p>
    <w:p w14:paraId="505FA69D">
      <w:pPr>
        <w:pStyle w:val="18"/>
        <w:spacing w:before="0" w:beforeAutospacing="0" w:after="0" w:afterAutospacing="0" w:line="360" w:lineRule="auto"/>
        <w:ind w:firstLine="482"/>
        <w:rPr>
          <w:rFonts w:hint="eastAsia" w:ascii="仿宋" w:hAnsi="仿宋" w:eastAsia="仿宋" w:cs="仿宋"/>
          <w:color w:val="auto"/>
          <w:highlight w:val="none"/>
        </w:rPr>
      </w:pPr>
      <w:r>
        <w:rPr>
          <w:rFonts w:hint="eastAsia" w:ascii="仿宋" w:hAnsi="仿宋" w:eastAsia="仿宋" w:cs="仿宋"/>
          <w:color w:val="auto"/>
          <w:highlight w:val="none"/>
        </w:rPr>
        <w:t>18.5本合同应按照中华人民共和国的现行法律进行解释。</w:t>
      </w:r>
    </w:p>
    <w:p w14:paraId="45FC354E">
      <w:pPr>
        <w:pStyle w:val="18"/>
        <w:spacing w:before="0" w:beforeAutospacing="0" w:after="0" w:afterAutospacing="0" w:line="360" w:lineRule="auto"/>
        <w:ind w:firstLine="482"/>
        <w:rPr>
          <w:rFonts w:hint="eastAsia" w:ascii="仿宋" w:hAnsi="仿宋" w:eastAsia="仿宋" w:cs="仿宋"/>
          <w:color w:val="auto"/>
          <w:highlight w:val="none"/>
        </w:rPr>
      </w:pPr>
    </w:p>
    <w:tbl>
      <w:tblPr>
        <w:tblStyle w:val="20"/>
        <w:tblW w:w="0" w:type="auto"/>
        <w:jc w:val="center"/>
        <w:tblLayout w:type="autofit"/>
        <w:tblCellMar>
          <w:top w:w="0" w:type="dxa"/>
          <w:left w:w="108" w:type="dxa"/>
          <w:bottom w:w="0" w:type="dxa"/>
          <w:right w:w="108" w:type="dxa"/>
        </w:tblCellMar>
      </w:tblPr>
      <w:tblGrid>
        <w:gridCol w:w="1929"/>
        <w:gridCol w:w="3244"/>
        <w:gridCol w:w="3355"/>
      </w:tblGrid>
      <w:tr w14:paraId="5B41F5EE">
        <w:tblPrEx>
          <w:tblCellMar>
            <w:top w:w="0" w:type="dxa"/>
            <w:left w:w="108" w:type="dxa"/>
            <w:bottom w:w="0" w:type="dxa"/>
            <w:right w:w="108" w:type="dxa"/>
          </w:tblCellMar>
        </w:tblPrEx>
        <w:trPr>
          <w:trHeight w:val="454" w:hRule="atLeast"/>
          <w:jc w:val="center"/>
        </w:trPr>
        <w:tc>
          <w:tcPr>
            <w:tcW w:w="2077" w:type="dxa"/>
            <w:vMerge w:val="restart"/>
            <w:noWrap w:val="0"/>
            <w:vAlign w:val="center"/>
          </w:tcPr>
          <w:p w14:paraId="68BCE190">
            <w:pPr>
              <w:pStyle w:val="10"/>
              <w:spacing w:line="440" w:lineRule="exact"/>
              <w:ind w:firstLine="420" w:firstLineChars="175"/>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单位名称</w:t>
            </w:r>
          </w:p>
          <w:p w14:paraId="4DB108C0">
            <w:pPr>
              <w:pStyle w:val="1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类别名称</w:t>
            </w:r>
          </w:p>
        </w:tc>
        <w:tc>
          <w:tcPr>
            <w:tcW w:w="3534" w:type="dxa"/>
            <w:noWrap w:val="0"/>
            <w:vAlign w:val="center"/>
          </w:tcPr>
          <w:p w14:paraId="6C3A403C">
            <w:pPr>
              <w:pStyle w:val="10"/>
              <w:spacing w:line="440" w:lineRule="exact"/>
              <w:ind w:left="2" w:hanging="2" w:hangingChars="1"/>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甲方(盖章)</w:t>
            </w:r>
          </w:p>
        </w:tc>
        <w:tc>
          <w:tcPr>
            <w:tcW w:w="3631" w:type="dxa"/>
            <w:noWrap w:val="0"/>
            <w:vAlign w:val="center"/>
          </w:tcPr>
          <w:p w14:paraId="0B9CFE54">
            <w:pPr>
              <w:pStyle w:val="10"/>
              <w:spacing w:line="440" w:lineRule="exact"/>
              <w:ind w:left="130" w:hanging="129" w:hangingChars="5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乙方(盖章)</w:t>
            </w:r>
          </w:p>
        </w:tc>
      </w:tr>
      <w:tr w14:paraId="340CF80B">
        <w:tblPrEx>
          <w:tblCellMar>
            <w:top w:w="0" w:type="dxa"/>
            <w:left w:w="108" w:type="dxa"/>
            <w:bottom w:w="0" w:type="dxa"/>
            <w:right w:w="108" w:type="dxa"/>
          </w:tblCellMar>
        </w:tblPrEx>
        <w:trPr>
          <w:trHeight w:val="454" w:hRule="atLeast"/>
          <w:jc w:val="center"/>
        </w:trPr>
        <w:tc>
          <w:tcPr>
            <w:tcW w:w="2077" w:type="dxa"/>
            <w:vMerge w:val="continue"/>
            <w:noWrap w:val="0"/>
            <w:vAlign w:val="center"/>
          </w:tcPr>
          <w:p w14:paraId="779C90CD">
            <w:pPr>
              <w:pStyle w:val="10"/>
              <w:spacing w:line="440" w:lineRule="exact"/>
              <w:ind w:firstLine="420" w:firstLineChars="175"/>
              <w:jc w:val="distribute"/>
              <w:rPr>
                <w:rFonts w:hint="eastAsia" w:ascii="仿宋" w:hAnsi="仿宋" w:eastAsia="仿宋" w:cs="仿宋"/>
                <w:color w:val="auto"/>
                <w:sz w:val="24"/>
                <w:szCs w:val="24"/>
                <w:highlight w:val="none"/>
              </w:rPr>
            </w:pPr>
          </w:p>
        </w:tc>
        <w:tc>
          <w:tcPr>
            <w:tcW w:w="3534" w:type="dxa"/>
            <w:noWrap w:val="0"/>
            <w:vAlign w:val="center"/>
          </w:tcPr>
          <w:p w14:paraId="0E4DCD0B">
            <w:pPr>
              <w:pStyle w:val="10"/>
              <w:spacing w:line="440" w:lineRule="exact"/>
              <w:ind w:left="2" w:hanging="2" w:hangingChars="1"/>
              <w:rPr>
                <w:rFonts w:hint="eastAsia" w:ascii="仿宋" w:hAnsi="仿宋" w:eastAsia="仿宋" w:cs="仿宋"/>
                <w:color w:val="auto"/>
                <w:sz w:val="24"/>
                <w:szCs w:val="24"/>
                <w:highlight w:val="none"/>
              </w:rPr>
            </w:pPr>
          </w:p>
        </w:tc>
        <w:tc>
          <w:tcPr>
            <w:tcW w:w="3631" w:type="dxa"/>
            <w:noWrap w:val="0"/>
            <w:vAlign w:val="center"/>
          </w:tcPr>
          <w:p w14:paraId="4A18E157">
            <w:pPr>
              <w:pStyle w:val="10"/>
              <w:spacing w:line="440" w:lineRule="exact"/>
              <w:ind w:left="130" w:hanging="129" w:hangingChars="54"/>
              <w:jc w:val="center"/>
              <w:rPr>
                <w:rFonts w:hint="eastAsia" w:ascii="仿宋" w:hAnsi="仿宋" w:eastAsia="仿宋" w:cs="仿宋"/>
                <w:color w:val="auto"/>
                <w:sz w:val="24"/>
                <w:szCs w:val="24"/>
                <w:highlight w:val="none"/>
              </w:rPr>
            </w:pPr>
          </w:p>
        </w:tc>
      </w:tr>
      <w:tr w14:paraId="680475B4">
        <w:tblPrEx>
          <w:tblCellMar>
            <w:top w:w="0" w:type="dxa"/>
            <w:left w:w="108" w:type="dxa"/>
            <w:bottom w:w="0" w:type="dxa"/>
            <w:right w:w="108" w:type="dxa"/>
          </w:tblCellMar>
        </w:tblPrEx>
        <w:trPr>
          <w:trHeight w:val="454" w:hRule="atLeast"/>
          <w:jc w:val="center"/>
        </w:trPr>
        <w:tc>
          <w:tcPr>
            <w:tcW w:w="2077" w:type="dxa"/>
            <w:noWrap w:val="0"/>
            <w:vAlign w:val="center"/>
          </w:tcPr>
          <w:p w14:paraId="767C1FCC">
            <w:pPr>
              <w:pStyle w:val="10"/>
              <w:ind w:right="-122" w:rightChars="-58"/>
              <w:jc w:val="distribut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w:t>
            </w:r>
          </w:p>
        </w:tc>
        <w:tc>
          <w:tcPr>
            <w:tcW w:w="3534" w:type="dxa"/>
            <w:noWrap w:val="0"/>
            <w:vAlign w:val="center"/>
          </w:tcPr>
          <w:p w14:paraId="42DAF5EA">
            <w:pPr>
              <w:pStyle w:val="10"/>
              <w:rPr>
                <w:rFonts w:hint="eastAsia" w:ascii="仿宋" w:hAnsi="仿宋" w:eastAsia="仿宋" w:cs="仿宋"/>
                <w:color w:val="auto"/>
                <w:sz w:val="24"/>
                <w:szCs w:val="24"/>
                <w:highlight w:val="none"/>
              </w:rPr>
            </w:pPr>
          </w:p>
        </w:tc>
        <w:tc>
          <w:tcPr>
            <w:tcW w:w="3631" w:type="dxa"/>
            <w:noWrap w:val="0"/>
            <w:vAlign w:val="center"/>
          </w:tcPr>
          <w:p w14:paraId="5BC5B0DD">
            <w:pPr>
              <w:pStyle w:val="10"/>
              <w:ind w:firstLine="600"/>
              <w:jc w:val="center"/>
              <w:rPr>
                <w:rFonts w:hint="eastAsia" w:ascii="仿宋" w:hAnsi="仿宋" w:eastAsia="仿宋" w:cs="仿宋"/>
                <w:color w:val="auto"/>
                <w:sz w:val="24"/>
                <w:szCs w:val="24"/>
                <w:highlight w:val="none"/>
              </w:rPr>
            </w:pPr>
          </w:p>
        </w:tc>
      </w:tr>
      <w:tr w14:paraId="02D49F7B">
        <w:tblPrEx>
          <w:tblCellMar>
            <w:top w:w="0" w:type="dxa"/>
            <w:left w:w="108" w:type="dxa"/>
            <w:bottom w:w="0" w:type="dxa"/>
            <w:right w:w="108" w:type="dxa"/>
          </w:tblCellMar>
        </w:tblPrEx>
        <w:trPr>
          <w:trHeight w:val="454" w:hRule="atLeast"/>
          <w:jc w:val="center"/>
        </w:trPr>
        <w:tc>
          <w:tcPr>
            <w:tcW w:w="2077" w:type="dxa"/>
            <w:noWrap w:val="0"/>
            <w:vAlign w:val="center"/>
          </w:tcPr>
          <w:p w14:paraId="4426F1CF">
            <w:pPr>
              <w:pStyle w:val="10"/>
              <w:ind w:right="-122" w:rightChars="-58"/>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 定 代 表 人：</w:t>
            </w:r>
          </w:p>
        </w:tc>
        <w:tc>
          <w:tcPr>
            <w:tcW w:w="3534" w:type="dxa"/>
            <w:noWrap w:val="0"/>
            <w:vAlign w:val="center"/>
          </w:tcPr>
          <w:p w14:paraId="214CFBB3">
            <w:pPr>
              <w:pStyle w:val="10"/>
              <w:ind w:firstLine="600"/>
              <w:jc w:val="center"/>
              <w:rPr>
                <w:rFonts w:hint="eastAsia" w:ascii="仿宋" w:hAnsi="仿宋" w:eastAsia="仿宋" w:cs="仿宋"/>
                <w:color w:val="auto"/>
                <w:sz w:val="24"/>
                <w:szCs w:val="24"/>
                <w:highlight w:val="none"/>
              </w:rPr>
            </w:pPr>
          </w:p>
        </w:tc>
        <w:tc>
          <w:tcPr>
            <w:tcW w:w="3631" w:type="dxa"/>
            <w:noWrap w:val="0"/>
            <w:vAlign w:val="center"/>
          </w:tcPr>
          <w:p w14:paraId="79C330ED">
            <w:pPr>
              <w:pStyle w:val="10"/>
              <w:ind w:firstLine="600"/>
              <w:jc w:val="center"/>
              <w:rPr>
                <w:rFonts w:hint="eastAsia" w:ascii="仿宋" w:hAnsi="仿宋" w:eastAsia="仿宋" w:cs="仿宋"/>
                <w:color w:val="auto"/>
                <w:sz w:val="24"/>
                <w:szCs w:val="24"/>
                <w:highlight w:val="none"/>
              </w:rPr>
            </w:pPr>
          </w:p>
        </w:tc>
      </w:tr>
      <w:tr w14:paraId="1ECE0D00">
        <w:tblPrEx>
          <w:tblCellMar>
            <w:top w:w="0" w:type="dxa"/>
            <w:left w:w="108" w:type="dxa"/>
            <w:bottom w:w="0" w:type="dxa"/>
            <w:right w:w="108" w:type="dxa"/>
          </w:tblCellMar>
        </w:tblPrEx>
        <w:trPr>
          <w:trHeight w:val="454" w:hRule="atLeast"/>
          <w:jc w:val="center"/>
        </w:trPr>
        <w:tc>
          <w:tcPr>
            <w:tcW w:w="2077" w:type="dxa"/>
            <w:noWrap w:val="0"/>
            <w:vAlign w:val="center"/>
          </w:tcPr>
          <w:p w14:paraId="1786631B">
            <w:pPr>
              <w:pStyle w:val="10"/>
              <w:ind w:right="-122" w:rightChars="-58"/>
              <w:jc w:val="distribut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或委托代理人：</w:t>
            </w:r>
          </w:p>
        </w:tc>
        <w:tc>
          <w:tcPr>
            <w:tcW w:w="3534" w:type="dxa"/>
            <w:noWrap w:val="0"/>
            <w:vAlign w:val="center"/>
          </w:tcPr>
          <w:p w14:paraId="2D8FA62C">
            <w:pPr>
              <w:pStyle w:val="10"/>
              <w:ind w:firstLine="600"/>
              <w:jc w:val="center"/>
              <w:rPr>
                <w:rFonts w:hint="eastAsia" w:ascii="仿宋" w:hAnsi="仿宋" w:eastAsia="仿宋" w:cs="仿宋"/>
                <w:color w:val="auto"/>
                <w:sz w:val="24"/>
                <w:szCs w:val="24"/>
                <w:highlight w:val="none"/>
              </w:rPr>
            </w:pPr>
          </w:p>
        </w:tc>
        <w:tc>
          <w:tcPr>
            <w:tcW w:w="3631" w:type="dxa"/>
            <w:noWrap w:val="0"/>
            <w:vAlign w:val="center"/>
          </w:tcPr>
          <w:p w14:paraId="79DEFCBD">
            <w:pPr>
              <w:pStyle w:val="10"/>
              <w:ind w:firstLine="600"/>
              <w:jc w:val="center"/>
              <w:rPr>
                <w:rFonts w:hint="eastAsia" w:ascii="仿宋" w:hAnsi="仿宋" w:eastAsia="仿宋" w:cs="仿宋"/>
                <w:color w:val="auto"/>
                <w:sz w:val="24"/>
                <w:szCs w:val="24"/>
                <w:highlight w:val="none"/>
              </w:rPr>
            </w:pPr>
          </w:p>
        </w:tc>
      </w:tr>
      <w:tr w14:paraId="5F381385">
        <w:tblPrEx>
          <w:tblCellMar>
            <w:top w:w="0" w:type="dxa"/>
            <w:left w:w="108" w:type="dxa"/>
            <w:bottom w:w="0" w:type="dxa"/>
            <w:right w:w="108" w:type="dxa"/>
          </w:tblCellMar>
        </w:tblPrEx>
        <w:trPr>
          <w:trHeight w:val="454" w:hRule="atLeast"/>
          <w:jc w:val="center"/>
        </w:trPr>
        <w:tc>
          <w:tcPr>
            <w:tcW w:w="2077" w:type="dxa"/>
            <w:noWrap w:val="0"/>
            <w:vAlign w:val="center"/>
          </w:tcPr>
          <w:p w14:paraId="6ED0AE37">
            <w:pPr>
              <w:pStyle w:val="10"/>
              <w:ind w:right="-122" w:rightChars="-58"/>
              <w:jc w:val="distribut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        话：</w:t>
            </w:r>
          </w:p>
        </w:tc>
        <w:tc>
          <w:tcPr>
            <w:tcW w:w="3534" w:type="dxa"/>
            <w:noWrap w:val="0"/>
            <w:vAlign w:val="center"/>
          </w:tcPr>
          <w:p w14:paraId="63B9E670">
            <w:pPr>
              <w:pStyle w:val="10"/>
              <w:rPr>
                <w:rFonts w:hint="eastAsia" w:ascii="仿宋" w:hAnsi="仿宋" w:eastAsia="仿宋" w:cs="仿宋"/>
                <w:color w:val="auto"/>
                <w:sz w:val="24"/>
                <w:szCs w:val="24"/>
                <w:highlight w:val="none"/>
              </w:rPr>
            </w:pPr>
          </w:p>
        </w:tc>
        <w:tc>
          <w:tcPr>
            <w:tcW w:w="3631" w:type="dxa"/>
            <w:noWrap w:val="0"/>
            <w:vAlign w:val="center"/>
          </w:tcPr>
          <w:p w14:paraId="1152420E">
            <w:pPr>
              <w:pStyle w:val="10"/>
              <w:ind w:firstLine="600"/>
              <w:jc w:val="center"/>
              <w:rPr>
                <w:rFonts w:hint="eastAsia" w:ascii="仿宋" w:hAnsi="仿宋" w:eastAsia="仿宋" w:cs="仿宋"/>
                <w:color w:val="auto"/>
                <w:sz w:val="24"/>
                <w:szCs w:val="24"/>
                <w:highlight w:val="none"/>
              </w:rPr>
            </w:pPr>
          </w:p>
        </w:tc>
      </w:tr>
      <w:tr w14:paraId="48C48D79">
        <w:tblPrEx>
          <w:tblCellMar>
            <w:top w:w="0" w:type="dxa"/>
            <w:left w:w="108" w:type="dxa"/>
            <w:bottom w:w="0" w:type="dxa"/>
            <w:right w:w="108" w:type="dxa"/>
          </w:tblCellMar>
        </w:tblPrEx>
        <w:trPr>
          <w:trHeight w:val="454" w:hRule="atLeast"/>
          <w:jc w:val="center"/>
        </w:trPr>
        <w:tc>
          <w:tcPr>
            <w:tcW w:w="2077" w:type="dxa"/>
            <w:noWrap w:val="0"/>
            <w:vAlign w:val="center"/>
          </w:tcPr>
          <w:p w14:paraId="35FE390F">
            <w:pPr>
              <w:pStyle w:val="10"/>
              <w:ind w:right="-122" w:rightChars="-58"/>
              <w:jc w:val="distribut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        真：</w:t>
            </w:r>
          </w:p>
        </w:tc>
        <w:tc>
          <w:tcPr>
            <w:tcW w:w="3534" w:type="dxa"/>
            <w:noWrap w:val="0"/>
            <w:vAlign w:val="center"/>
          </w:tcPr>
          <w:p w14:paraId="41470105">
            <w:pPr>
              <w:pStyle w:val="10"/>
              <w:rPr>
                <w:rFonts w:hint="eastAsia" w:ascii="仿宋" w:hAnsi="仿宋" w:eastAsia="仿宋" w:cs="仿宋"/>
                <w:color w:val="auto"/>
                <w:sz w:val="24"/>
                <w:szCs w:val="24"/>
                <w:highlight w:val="none"/>
              </w:rPr>
            </w:pPr>
          </w:p>
        </w:tc>
        <w:tc>
          <w:tcPr>
            <w:tcW w:w="3631" w:type="dxa"/>
            <w:noWrap w:val="0"/>
            <w:vAlign w:val="center"/>
          </w:tcPr>
          <w:p w14:paraId="31444AA8">
            <w:pPr>
              <w:pStyle w:val="10"/>
              <w:ind w:firstLine="600"/>
              <w:jc w:val="center"/>
              <w:rPr>
                <w:rFonts w:hint="eastAsia" w:ascii="仿宋" w:hAnsi="仿宋" w:eastAsia="仿宋" w:cs="仿宋"/>
                <w:color w:val="auto"/>
                <w:sz w:val="24"/>
                <w:szCs w:val="24"/>
                <w:highlight w:val="none"/>
              </w:rPr>
            </w:pPr>
          </w:p>
        </w:tc>
      </w:tr>
      <w:tr w14:paraId="629CB8E5">
        <w:tblPrEx>
          <w:tblCellMar>
            <w:top w:w="0" w:type="dxa"/>
            <w:left w:w="108" w:type="dxa"/>
            <w:bottom w:w="0" w:type="dxa"/>
            <w:right w:w="108" w:type="dxa"/>
          </w:tblCellMar>
        </w:tblPrEx>
        <w:trPr>
          <w:trHeight w:val="454" w:hRule="atLeast"/>
          <w:jc w:val="center"/>
        </w:trPr>
        <w:tc>
          <w:tcPr>
            <w:tcW w:w="2077" w:type="dxa"/>
            <w:noWrap w:val="0"/>
            <w:vAlign w:val="center"/>
          </w:tcPr>
          <w:p w14:paraId="040A9DBB">
            <w:pPr>
              <w:pStyle w:val="10"/>
              <w:ind w:right="-122" w:rightChars="-58"/>
              <w:jc w:val="distribut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  政  编  码：</w:t>
            </w:r>
          </w:p>
        </w:tc>
        <w:tc>
          <w:tcPr>
            <w:tcW w:w="3534" w:type="dxa"/>
            <w:noWrap w:val="0"/>
            <w:vAlign w:val="center"/>
          </w:tcPr>
          <w:p w14:paraId="50162285">
            <w:pPr>
              <w:pStyle w:val="10"/>
              <w:rPr>
                <w:rFonts w:hint="eastAsia" w:ascii="仿宋" w:hAnsi="仿宋" w:eastAsia="仿宋" w:cs="仿宋"/>
                <w:color w:val="auto"/>
                <w:sz w:val="24"/>
                <w:szCs w:val="24"/>
                <w:highlight w:val="none"/>
              </w:rPr>
            </w:pPr>
          </w:p>
        </w:tc>
        <w:tc>
          <w:tcPr>
            <w:tcW w:w="3631" w:type="dxa"/>
            <w:noWrap w:val="0"/>
            <w:vAlign w:val="center"/>
          </w:tcPr>
          <w:p w14:paraId="7C3FA357">
            <w:pPr>
              <w:pStyle w:val="10"/>
              <w:ind w:firstLine="600"/>
              <w:jc w:val="center"/>
              <w:rPr>
                <w:rFonts w:hint="eastAsia" w:ascii="仿宋" w:hAnsi="仿宋" w:eastAsia="仿宋" w:cs="仿宋"/>
                <w:color w:val="auto"/>
                <w:sz w:val="24"/>
                <w:szCs w:val="24"/>
                <w:highlight w:val="none"/>
              </w:rPr>
            </w:pPr>
          </w:p>
        </w:tc>
      </w:tr>
      <w:tr w14:paraId="4733192F">
        <w:tblPrEx>
          <w:tblCellMar>
            <w:top w:w="0" w:type="dxa"/>
            <w:left w:w="108" w:type="dxa"/>
            <w:bottom w:w="0" w:type="dxa"/>
            <w:right w:w="108" w:type="dxa"/>
          </w:tblCellMar>
        </w:tblPrEx>
        <w:trPr>
          <w:trHeight w:val="454" w:hRule="atLeast"/>
          <w:jc w:val="center"/>
        </w:trPr>
        <w:tc>
          <w:tcPr>
            <w:tcW w:w="2077" w:type="dxa"/>
            <w:noWrap w:val="0"/>
            <w:vAlign w:val="center"/>
          </w:tcPr>
          <w:p w14:paraId="4A11F13D">
            <w:pPr>
              <w:pStyle w:val="10"/>
              <w:ind w:right="-122" w:rightChars="-58"/>
              <w:jc w:val="distribut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  户  名  称：</w:t>
            </w:r>
          </w:p>
        </w:tc>
        <w:tc>
          <w:tcPr>
            <w:tcW w:w="3534" w:type="dxa"/>
            <w:noWrap w:val="0"/>
            <w:vAlign w:val="center"/>
          </w:tcPr>
          <w:p w14:paraId="7CE53A44">
            <w:pPr>
              <w:pStyle w:val="10"/>
              <w:ind w:firstLine="600"/>
              <w:jc w:val="center"/>
              <w:rPr>
                <w:rFonts w:hint="eastAsia" w:ascii="仿宋" w:hAnsi="仿宋" w:eastAsia="仿宋" w:cs="仿宋"/>
                <w:color w:val="auto"/>
                <w:sz w:val="24"/>
                <w:szCs w:val="24"/>
                <w:highlight w:val="none"/>
              </w:rPr>
            </w:pPr>
          </w:p>
        </w:tc>
        <w:tc>
          <w:tcPr>
            <w:tcW w:w="3631" w:type="dxa"/>
            <w:noWrap w:val="0"/>
            <w:vAlign w:val="center"/>
          </w:tcPr>
          <w:p w14:paraId="6065981E">
            <w:pPr>
              <w:pStyle w:val="10"/>
              <w:ind w:firstLine="600"/>
              <w:jc w:val="center"/>
              <w:rPr>
                <w:rFonts w:hint="eastAsia" w:ascii="仿宋" w:hAnsi="仿宋" w:eastAsia="仿宋" w:cs="仿宋"/>
                <w:color w:val="auto"/>
                <w:sz w:val="24"/>
                <w:szCs w:val="24"/>
                <w:highlight w:val="none"/>
              </w:rPr>
            </w:pPr>
          </w:p>
        </w:tc>
      </w:tr>
      <w:tr w14:paraId="5387A194">
        <w:tblPrEx>
          <w:tblCellMar>
            <w:top w:w="0" w:type="dxa"/>
            <w:left w:w="108" w:type="dxa"/>
            <w:bottom w:w="0" w:type="dxa"/>
            <w:right w:w="108" w:type="dxa"/>
          </w:tblCellMar>
        </w:tblPrEx>
        <w:trPr>
          <w:trHeight w:val="454" w:hRule="atLeast"/>
          <w:jc w:val="center"/>
        </w:trPr>
        <w:tc>
          <w:tcPr>
            <w:tcW w:w="2077" w:type="dxa"/>
            <w:noWrap w:val="0"/>
            <w:vAlign w:val="center"/>
          </w:tcPr>
          <w:p w14:paraId="2EE1FAF2">
            <w:pPr>
              <w:pStyle w:val="10"/>
              <w:ind w:right="-122" w:rightChars="-58"/>
              <w:jc w:val="distribut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  户  银  行：</w:t>
            </w:r>
          </w:p>
        </w:tc>
        <w:tc>
          <w:tcPr>
            <w:tcW w:w="3534" w:type="dxa"/>
            <w:noWrap w:val="0"/>
            <w:vAlign w:val="center"/>
          </w:tcPr>
          <w:p w14:paraId="00D0A718">
            <w:pPr>
              <w:pStyle w:val="10"/>
              <w:ind w:firstLine="600"/>
              <w:jc w:val="center"/>
              <w:rPr>
                <w:rFonts w:hint="eastAsia" w:ascii="仿宋" w:hAnsi="仿宋" w:eastAsia="仿宋" w:cs="仿宋"/>
                <w:color w:val="auto"/>
                <w:sz w:val="24"/>
                <w:szCs w:val="24"/>
                <w:highlight w:val="none"/>
              </w:rPr>
            </w:pPr>
          </w:p>
        </w:tc>
        <w:tc>
          <w:tcPr>
            <w:tcW w:w="3631" w:type="dxa"/>
            <w:noWrap w:val="0"/>
            <w:vAlign w:val="center"/>
          </w:tcPr>
          <w:p w14:paraId="7029B2A6">
            <w:pPr>
              <w:pStyle w:val="10"/>
              <w:ind w:firstLine="600"/>
              <w:jc w:val="center"/>
              <w:rPr>
                <w:rFonts w:hint="eastAsia" w:ascii="仿宋" w:hAnsi="仿宋" w:eastAsia="仿宋" w:cs="仿宋"/>
                <w:color w:val="auto"/>
                <w:sz w:val="24"/>
                <w:szCs w:val="24"/>
                <w:highlight w:val="none"/>
              </w:rPr>
            </w:pPr>
          </w:p>
        </w:tc>
      </w:tr>
      <w:tr w14:paraId="0494A428">
        <w:tblPrEx>
          <w:tblCellMar>
            <w:top w:w="0" w:type="dxa"/>
            <w:left w:w="108" w:type="dxa"/>
            <w:bottom w:w="0" w:type="dxa"/>
            <w:right w:w="108" w:type="dxa"/>
          </w:tblCellMar>
        </w:tblPrEx>
        <w:trPr>
          <w:trHeight w:val="454" w:hRule="atLeast"/>
          <w:jc w:val="center"/>
        </w:trPr>
        <w:tc>
          <w:tcPr>
            <w:tcW w:w="2077" w:type="dxa"/>
            <w:noWrap w:val="0"/>
            <w:vAlign w:val="center"/>
          </w:tcPr>
          <w:p w14:paraId="08A65843">
            <w:pPr>
              <w:pStyle w:val="10"/>
              <w:ind w:right="-122" w:rightChars="-58"/>
              <w:jc w:val="distribut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帐          号：</w:t>
            </w:r>
          </w:p>
        </w:tc>
        <w:tc>
          <w:tcPr>
            <w:tcW w:w="3534" w:type="dxa"/>
            <w:noWrap w:val="0"/>
            <w:vAlign w:val="center"/>
          </w:tcPr>
          <w:p w14:paraId="42958154">
            <w:pPr>
              <w:pStyle w:val="10"/>
              <w:ind w:firstLine="600"/>
              <w:jc w:val="center"/>
              <w:rPr>
                <w:rFonts w:hint="eastAsia" w:ascii="仿宋" w:hAnsi="仿宋" w:eastAsia="仿宋" w:cs="仿宋"/>
                <w:color w:val="auto"/>
                <w:sz w:val="24"/>
                <w:szCs w:val="24"/>
                <w:highlight w:val="none"/>
              </w:rPr>
            </w:pPr>
          </w:p>
        </w:tc>
        <w:tc>
          <w:tcPr>
            <w:tcW w:w="3631" w:type="dxa"/>
            <w:noWrap w:val="0"/>
            <w:vAlign w:val="center"/>
          </w:tcPr>
          <w:p w14:paraId="739936BA">
            <w:pPr>
              <w:pStyle w:val="10"/>
              <w:ind w:firstLine="600"/>
              <w:jc w:val="center"/>
              <w:rPr>
                <w:rFonts w:hint="eastAsia" w:ascii="仿宋" w:hAnsi="仿宋" w:eastAsia="仿宋" w:cs="仿宋"/>
                <w:color w:val="auto"/>
                <w:sz w:val="24"/>
                <w:szCs w:val="24"/>
                <w:highlight w:val="none"/>
              </w:rPr>
            </w:pPr>
          </w:p>
        </w:tc>
      </w:tr>
      <w:tr w14:paraId="4DE8F5B6">
        <w:tblPrEx>
          <w:tblCellMar>
            <w:top w:w="0" w:type="dxa"/>
            <w:left w:w="108" w:type="dxa"/>
            <w:bottom w:w="0" w:type="dxa"/>
            <w:right w:w="108" w:type="dxa"/>
          </w:tblCellMar>
        </w:tblPrEx>
        <w:trPr>
          <w:trHeight w:val="454" w:hRule="atLeast"/>
          <w:jc w:val="center"/>
        </w:trPr>
        <w:tc>
          <w:tcPr>
            <w:tcW w:w="2077" w:type="dxa"/>
            <w:noWrap w:val="0"/>
            <w:vAlign w:val="center"/>
          </w:tcPr>
          <w:p w14:paraId="1A1B5A25">
            <w:pPr>
              <w:ind w:right="-122" w:rightChars="-58"/>
              <w:jc w:val="distribut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  订  地  点：</w:t>
            </w:r>
          </w:p>
        </w:tc>
        <w:tc>
          <w:tcPr>
            <w:tcW w:w="7165" w:type="dxa"/>
            <w:gridSpan w:val="2"/>
            <w:noWrap w:val="0"/>
            <w:vAlign w:val="center"/>
          </w:tcPr>
          <w:p w14:paraId="1671E52B">
            <w:pPr>
              <w:pStyle w:val="10"/>
              <w:rPr>
                <w:rFonts w:hint="eastAsia" w:ascii="仿宋" w:hAnsi="仿宋" w:eastAsia="仿宋" w:cs="仿宋"/>
                <w:color w:val="auto"/>
                <w:sz w:val="24"/>
                <w:szCs w:val="24"/>
                <w:highlight w:val="none"/>
              </w:rPr>
            </w:pPr>
          </w:p>
        </w:tc>
      </w:tr>
      <w:tr w14:paraId="17248719">
        <w:tblPrEx>
          <w:tblCellMar>
            <w:top w:w="0" w:type="dxa"/>
            <w:left w:w="108" w:type="dxa"/>
            <w:bottom w:w="0" w:type="dxa"/>
            <w:right w:w="108" w:type="dxa"/>
          </w:tblCellMar>
        </w:tblPrEx>
        <w:trPr>
          <w:trHeight w:val="454" w:hRule="atLeast"/>
          <w:jc w:val="center"/>
        </w:trPr>
        <w:tc>
          <w:tcPr>
            <w:tcW w:w="2077" w:type="dxa"/>
            <w:noWrap w:val="0"/>
            <w:vAlign w:val="center"/>
          </w:tcPr>
          <w:p w14:paraId="026DE902">
            <w:pPr>
              <w:ind w:right="-122" w:rightChars="-58"/>
              <w:jc w:val="distribut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  订  时  间：</w:t>
            </w:r>
          </w:p>
        </w:tc>
        <w:tc>
          <w:tcPr>
            <w:tcW w:w="3534" w:type="dxa"/>
            <w:noWrap w:val="0"/>
            <w:vAlign w:val="center"/>
          </w:tcPr>
          <w:p w14:paraId="6E704D35">
            <w:pPr>
              <w:pStyle w:val="10"/>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tc>
        <w:tc>
          <w:tcPr>
            <w:tcW w:w="3631" w:type="dxa"/>
            <w:noWrap w:val="0"/>
            <w:vAlign w:val="center"/>
          </w:tcPr>
          <w:p w14:paraId="77DF4A9D">
            <w:pPr>
              <w:pStyle w:val="10"/>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tc>
      </w:tr>
    </w:tbl>
    <w:p w14:paraId="608EA7A9">
      <w:pPr>
        <w:snapToGrid w:val="0"/>
        <w:spacing w:line="360" w:lineRule="auto"/>
        <w:ind w:firstLine="480"/>
        <w:rPr>
          <w:rFonts w:ascii="仿宋" w:hAnsi="仿宋" w:eastAsia="仿宋" w:cs="仿宋"/>
          <w:color w:val="auto"/>
          <w:sz w:val="24"/>
          <w:szCs w:val="24"/>
          <w:highlight w:val="none"/>
        </w:rPr>
      </w:pPr>
    </w:p>
    <w:p w14:paraId="78FDB88D">
      <w:pPr>
        <w:pStyle w:val="4"/>
        <w:snapToGrid w:val="0"/>
        <w:spacing w:line="360" w:lineRule="auto"/>
        <w:ind w:firstLine="0"/>
        <w:jc w:val="center"/>
        <w:rPr>
          <w:color w:val="auto"/>
          <w:highlight w:val="none"/>
        </w:rPr>
      </w:pPr>
      <w:r>
        <w:rPr>
          <w:rFonts w:hint="eastAsia" w:ascii="仿宋" w:hAnsi="仿宋" w:eastAsia="仿宋" w:cs="仿宋"/>
          <w:b/>
          <w:color w:val="auto"/>
          <w:sz w:val="24"/>
          <w:highlight w:val="none"/>
        </w:rPr>
        <w:t>注：本合同为示范文本，具体以中标人与采购人所签定正式合同为准, 但合同内容不得违背本竞争性磋商文件实质性要求。</w:t>
      </w:r>
    </w:p>
    <w:p w14:paraId="4AA52DD6">
      <w:pPr>
        <w:pStyle w:val="10"/>
        <w:spacing w:line="360" w:lineRule="auto"/>
        <w:ind w:firstLine="482" w:firstLineChars="200"/>
        <w:jc w:val="center"/>
        <w:rPr>
          <w:rFonts w:ascii="仿宋" w:hAnsi="仿宋" w:eastAsia="仿宋" w:cs="仿宋"/>
          <w:b/>
          <w:color w:val="auto"/>
          <w:sz w:val="24"/>
          <w:szCs w:val="24"/>
          <w:highlight w:val="none"/>
        </w:rPr>
      </w:pPr>
    </w:p>
    <w:p w14:paraId="53E034DE">
      <w:pPr>
        <w:pStyle w:val="19"/>
        <w:spacing w:before="0" w:after="0" w:line="360" w:lineRule="auto"/>
        <w:rPr>
          <w:rFonts w:ascii="仿宋" w:hAnsi="仿宋" w:eastAsia="仿宋" w:cs="仿宋"/>
          <w:color w:val="auto"/>
          <w:sz w:val="36"/>
          <w:szCs w:val="36"/>
          <w:highlight w:val="none"/>
        </w:rPr>
      </w:pPr>
      <w:r>
        <w:rPr>
          <w:rFonts w:hint="eastAsia" w:ascii="仿宋" w:hAnsi="仿宋" w:eastAsia="仿宋" w:cs="仿宋"/>
          <w:color w:val="auto"/>
          <w:sz w:val="36"/>
          <w:szCs w:val="36"/>
          <w:highlight w:val="none"/>
        </w:rPr>
        <w:br w:type="page"/>
      </w:r>
      <w:bookmarkStart w:id="327" w:name="_Toc26032"/>
      <w:r>
        <w:rPr>
          <w:rFonts w:hint="eastAsia" w:ascii="仿宋" w:hAnsi="仿宋" w:eastAsia="仿宋" w:cs="仿宋"/>
          <w:color w:val="auto"/>
          <w:sz w:val="36"/>
          <w:szCs w:val="36"/>
          <w:highlight w:val="none"/>
        </w:rPr>
        <w:t>第五章  磋商响应文件格式</w:t>
      </w:r>
      <w:bookmarkEnd w:id="324"/>
      <w:bookmarkEnd w:id="325"/>
      <w:bookmarkEnd w:id="326"/>
      <w:bookmarkEnd w:id="327"/>
      <w:bookmarkStart w:id="328" w:name="_Toc15805942"/>
    </w:p>
    <w:p w14:paraId="7EDF2DA4">
      <w:pPr>
        <w:pStyle w:val="19"/>
        <w:spacing w:beforeLines="100" w:after="240" w:afterLines="100"/>
        <w:outlineLvl w:val="1"/>
        <w:rPr>
          <w:rFonts w:ascii="仿宋" w:hAnsi="仿宋" w:eastAsia="仿宋" w:cs="仿宋"/>
          <w:color w:val="auto"/>
          <w:highlight w:val="none"/>
        </w:rPr>
      </w:pPr>
      <w:bookmarkStart w:id="329" w:name="_Toc22512"/>
      <w:bookmarkStart w:id="330" w:name="_Toc493956051"/>
      <w:bookmarkStart w:id="331" w:name="_Toc530551876"/>
      <w:bookmarkStart w:id="332" w:name="_Toc531359038"/>
      <w:r>
        <w:rPr>
          <w:rFonts w:hint="eastAsia" w:ascii="仿宋" w:hAnsi="仿宋" w:eastAsia="仿宋" w:cs="仿宋"/>
          <w:color w:val="auto"/>
          <w:highlight w:val="none"/>
        </w:rPr>
        <w:t>一  资格审查文件格式</w:t>
      </w:r>
      <w:bookmarkEnd w:id="329"/>
      <w:bookmarkEnd w:id="330"/>
      <w:bookmarkEnd w:id="331"/>
      <w:bookmarkEnd w:id="332"/>
    </w:p>
    <w:p w14:paraId="2ECAA21A">
      <w:pPr>
        <w:spacing w:line="360" w:lineRule="auto"/>
        <w:rPr>
          <w:rFonts w:ascii="仿宋" w:hAnsi="仿宋" w:eastAsia="仿宋" w:cs="仿宋"/>
          <w:color w:val="auto"/>
          <w:sz w:val="24"/>
          <w:szCs w:val="24"/>
          <w:highlight w:val="none"/>
        </w:rPr>
      </w:pPr>
      <w:bookmarkStart w:id="333" w:name="_Toc531359039"/>
    </w:p>
    <w:bookmarkEnd w:id="333"/>
    <w:p w14:paraId="72A2A47C">
      <w:pPr>
        <w:pStyle w:val="6"/>
        <w:spacing w:before="0" w:after="0"/>
        <w:ind w:firstLine="0" w:firstLineChars="0"/>
        <w:jc w:val="left"/>
        <w:rPr>
          <w:rFonts w:ascii="仿宋" w:hAnsi="仿宋" w:eastAsia="仿宋" w:cs="仿宋"/>
          <w:color w:val="auto"/>
          <w:sz w:val="24"/>
          <w:szCs w:val="24"/>
          <w:highlight w:val="none"/>
        </w:rPr>
      </w:pPr>
      <w:bookmarkStart w:id="334" w:name="_Toc531359040"/>
      <w:bookmarkStart w:id="335" w:name="_Toc30361"/>
      <w:r>
        <w:rPr>
          <w:rFonts w:hint="eastAsia" w:ascii="仿宋" w:hAnsi="仿宋" w:eastAsia="仿宋" w:cs="仿宋"/>
          <w:color w:val="auto"/>
          <w:sz w:val="24"/>
          <w:szCs w:val="24"/>
          <w:highlight w:val="none"/>
        </w:rPr>
        <w:t>1.1    资格审查文件封面</w:t>
      </w:r>
      <w:bookmarkEnd w:id="334"/>
      <w:r>
        <w:rPr>
          <w:rFonts w:hint="eastAsia" w:ascii="仿宋" w:hAnsi="仿宋" w:eastAsia="仿宋" w:cs="仿宋"/>
          <w:color w:val="auto"/>
          <w:sz w:val="24"/>
          <w:szCs w:val="24"/>
          <w:highlight w:val="none"/>
        </w:rPr>
        <w:t>格式</w:t>
      </w:r>
      <w:bookmarkEnd w:id="335"/>
    </w:p>
    <w:p w14:paraId="62643C41">
      <w:pPr>
        <w:pStyle w:val="4"/>
        <w:ind w:firstLine="0"/>
        <w:rPr>
          <w:rFonts w:ascii="仿宋" w:hAnsi="仿宋" w:eastAsia="仿宋" w:cs="仿宋"/>
          <w:color w:val="auto"/>
          <w:highlight w:val="none"/>
        </w:rPr>
      </w:pPr>
    </w:p>
    <w:p w14:paraId="01668F8A">
      <w:pPr>
        <w:pStyle w:val="4"/>
        <w:spacing w:line="360" w:lineRule="auto"/>
        <w:ind w:firstLine="0"/>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磋商响应文件</w:t>
      </w:r>
    </w:p>
    <w:p w14:paraId="349A5516">
      <w:pPr>
        <w:snapToGrid w:val="0"/>
        <w:spacing w:before="120" w:beforeLines="50" w:after="50"/>
        <w:rPr>
          <w:rFonts w:ascii="仿宋" w:hAnsi="仿宋" w:eastAsia="仿宋" w:cs="仿宋"/>
          <w:bCs/>
          <w:color w:val="auto"/>
          <w:sz w:val="24"/>
          <w:szCs w:val="20"/>
          <w:highlight w:val="none"/>
        </w:rPr>
      </w:pPr>
    </w:p>
    <w:p w14:paraId="7DD9BDE1">
      <w:pPr>
        <w:pStyle w:val="25"/>
        <w:rPr>
          <w:rFonts w:ascii="仿宋" w:hAnsi="仿宋" w:eastAsia="仿宋" w:cs="仿宋"/>
          <w:color w:val="auto"/>
          <w:highlight w:val="none"/>
        </w:rPr>
      </w:pPr>
    </w:p>
    <w:tbl>
      <w:tblPr>
        <w:tblStyle w:val="20"/>
        <w:tblW w:w="0" w:type="auto"/>
        <w:jc w:val="center"/>
        <w:tblLayout w:type="fixed"/>
        <w:tblCellMar>
          <w:top w:w="0" w:type="dxa"/>
          <w:left w:w="108" w:type="dxa"/>
          <w:bottom w:w="0" w:type="dxa"/>
          <w:right w:w="108" w:type="dxa"/>
        </w:tblCellMar>
      </w:tblPr>
      <w:tblGrid>
        <w:gridCol w:w="2518"/>
        <w:gridCol w:w="4536"/>
      </w:tblGrid>
      <w:tr w14:paraId="0C3B0A64">
        <w:tblPrEx>
          <w:tblCellMar>
            <w:top w:w="0" w:type="dxa"/>
            <w:left w:w="108" w:type="dxa"/>
            <w:bottom w:w="0" w:type="dxa"/>
            <w:right w:w="108" w:type="dxa"/>
          </w:tblCellMar>
        </w:tblPrEx>
        <w:trPr>
          <w:trHeight w:val="397" w:hRule="atLeast"/>
          <w:jc w:val="center"/>
        </w:trPr>
        <w:tc>
          <w:tcPr>
            <w:tcW w:w="2518" w:type="dxa"/>
            <w:vAlign w:val="center"/>
          </w:tcPr>
          <w:p w14:paraId="0A4087A9">
            <w:pPr>
              <w:jc w:val="distribute"/>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磋商响应文件名称：</w:t>
            </w:r>
          </w:p>
        </w:tc>
        <w:tc>
          <w:tcPr>
            <w:tcW w:w="4536" w:type="dxa"/>
            <w:vAlign w:val="center"/>
          </w:tcPr>
          <w:p w14:paraId="0FFB194B">
            <w:pPr>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资格审查文件                       </w:t>
            </w:r>
          </w:p>
        </w:tc>
      </w:tr>
      <w:tr w14:paraId="1DD78C25">
        <w:tblPrEx>
          <w:tblCellMar>
            <w:top w:w="0" w:type="dxa"/>
            <w:left w:w="108" w:type="dxa"/>
            <w:bottom w:w="0" w:type="dxa"/>
            <w:right w:w="108" w:type="dxa"/>
          </w:tblCellMar>
        </w:tblPrEx>
        <w:trPr>
          <w:trHeight w:val="397" w:hRule="atLeast"/>
          <w:jc w:val="center"/>
        </w:trPr>
        <w:tc>
          <w:tcPr>
            <w:tcW w:w="2518" w:type="dxa"/>
            <w:vAlign w:val="center"/>
          </w:tcPr>
          <w:p w14:paraId="6DEF5AA7">
            <w:pPr>
              <w:jc w:val="distribute"/>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 购 编 号：</w:t>
            </w:r>
          </w:p>
        </w:tc>
        <w:tc>
          <w:tcPr>
            <w:tcW w:w="4536" w:type="dxa"/>
            <w:vAlign w:val="center"/>
          </w:tcPr>
          <w:p w14:paraId="7A7B58C2">
            <w:pPr>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p>
        </w:tc>
      </w:tr>
      <w:tr w14:paraId="22DF4BF3">
        <w:tblPrEx>
          <w:tblCellMar>
            <w:top w:w="0" w:type="dxa"/>
            <w:left w:w="108" w:type="dxa"/>
            <w:bottom w:w="0" w:type="dxa"/>
            <w:right w:w="108" w:type="dxa"/>
          </w:tblCellMar>
        </w:tblPrEx>
        <w:trPr>
          <w:trHeight w:val="397" w:hRule="atLeast"/>
          <w:jc w:val="center"/>
        </w:trPr>
        <w:tc>
          <w:tcPr>
            <w:tcW w:w="2518" w:type="dxa"/>
            <w:vAlign w:val="center"/>
          </w:tcPr>
          <w:p w14:paraId="6808037B">
            <w:pPr>
              <w:jc w:val="distribute"/>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 目 名 称：</w:t>
            </w:r>
          </w:p>
        </w:tc>
        <w:tc>
          <w:tcPr>
            <w:tcW w:w="4536" w:type="dxa"/>
            <w:vAlign w:val="center"/>
          </w:tcPr>
          <w:p w14:paraId="17D46107">
            <w:pPr>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p>
        </w:tc>
      </w:tr>
      <w:tr w14:paraId="6E5F092D">
        <w:tblPrEx>
          <w:tblCellMar>
            <w:top w:w="0" w:type="dxa"/>
            <w:left w:w="108" w:type="dxa"/>
            <w:bottom w:w="0" w:type="dxa"/>
            <w:right w:w="108" w:type="dxa"/>
          </w:tblCellMar>
        </w:tblPrEx>
        <w:trPr>
          <w:trHeight w:val="397" w:hRule="atLeast"/>
          <w:jc w:val="center"/>
        </w:trPr>
        <w:tc>
          <w:tcPr>
            <w:tcW w:w="2518" w:type="dxa"/>
            <w:vAlign w:val="center"/>
          </w:tcPr>
          <w:p w14:paraId="48A81CAE">
            <w:pPr>
              <w:jc w:val="distribute"/>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标      项：</w:t>
            </w:r>
          </w:p>
        </w:tc>
        <w:tc>
          <w:tcPr>
            <w:tcW w:w="4536" w:type="dxa"/>
            <w:vAlign w:val="center"/>
          </w:tcPr>
          <w:p w14:paraId="2EB32C7B">
            <w:pPr>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（若有）                            </w:t>
            </w:r>
          </w:p>
        </w:tc>
      </w:tr>
      <w:tr w14:paraId="6F91651F">
        <w:tblPrEx>
          <w:tblCellMar>
            <w:top w:w="0" w:type="dxa"/>
            <w:left w:w="108" w:type="dxa"/>
            <w:bottom w:w="0" w:type="dxa"/>
            <w:right w:w="108" w:type="dxa"/>
          </w:tblCellMar>
        </w:tblPrEx>
        <w:trPr>
          <w:trHeight w:val="397" w:hRule="atLeast"/>
          <w:jc w:val="center"/>
        </w:trPr>
        <w:tc>
          <w:tcPr>
            <w:tcW w:w="2518" w:type="dxa"/>
            <w:vAlign w:val="center"/>
          </w:tcPr>
          <w:p w14:paraId="0F47116D">
            <w:pPr>
              <w:jc w:val="distribute"/>
              <w:rPr>
                <w:rFonts w:ascii="仿宋" w:hAnsi="仿宋" w:eastAsia="仿宋" w:cs="仿宋"/>
                <w:color w:val="auto"/>
                <w:sz w:val="24"/>
                <w:szCs w:val="24"/>
                <w:highlight w:val="none"/>
              </w:rPr>
            </w:pPr>
          </w:p>
        </w:tc>
        <w:tc>
          <w:tcPr>
            <w:tcW w:w="4536" w:type="dxa"/>
            <w:vAlign w:val="center"/>
          </w:tcPr>
          <w:p w14:paraId="7F13BD38">
            <w:pPr>
              <w:jc w:val="left"/>
              <w:rPr>
                <w:rFonts w:ascii="仿宋" w:hAnsi="仿宋" w:eastAsia="仿宋" w:cs="仿宋"/>
                <w:color w:val="auto"/>
                <w:sz w:val="24"/>
                <w:szCs w:val="24"/>
                <w:highlight w:val="none"/>
              </w:rPr>
            </w:pPr>
          </w:p>
        </w:tc>
      </w:tr>
      <w:tr w14:paraId="54C60803">
        <w:tblPrEx>
          <w:tblCellMar>
            <w:top w:w="0" w:type="dxa"/>
            <w:left w:w="108" w:type="dxa"/>
            <w:bottom w:w="0" w:type="dxa"/>
            <w:right w:w="108" w:type="dxa"/>
          </w:tblCellMar>
        </w:tblPrEx>
        <w:trPr>
          <w:trHeight w:val="397" w:hRule="atLeast"/>
          <w:jc w:val="center"/>
        </w:trPr>
        <w:tc>
          <w:tcPr>
            <w:tcW w:w="2518" w:type="dxa"/>
            <w:vAlign w:val="center"/>
          </w:tcPr>
          <w:p w14:paraId="2B76EC5A">
            <w:pPr>
              <w:jc w:val="distribute"/>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供应商全称（盖章）：</w:t>
            </w:r>
          </w:p>
        </w:tc>
        <w:tc>
          <w:tcPr>
            <w:tcW w:w="4536" w:type="dxa"/>
            <w:vAlign w:val="center"/>
          </w:tcPr>
          <w:p w14:paraId="065F1309">
            <w:pPr>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p>
        </w:tc>
      </w:tr>
      <w:tr w14:paraId="2CE63E9F">
        <w:tblPrEx>
          <w:tblCellMar>
            <w:top w:w="0" w:type="dxa"/>
            <w:left w:w="108" w:type="dxa"/>
            <w:bottom w:w="0" w:type="dxa"/>
            <w:right w:w="108" w:type="dxa"/>
          </w:tblCellMar>
        </w:tblPrEx>
        <w:trPr>
          <w:trHeight w:val="397" w:hRule="atLeast"/>
          <w:jc w:val="center"/>
        </w:trPr>
        <w:tc>
          <w:tcPr>
            <w:tcW w:w="2518" w:type="dxa"/>
            <w:vAlign w:val="center"/>
          </w:tcPr>
          <w:p w14:paraId="27E3221B">
            <w:pPr>
              <w:jc w:val="distribute"/>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供应商地址：</w:t>
            </w:r>
          </w:p>
        </w:tc>
        <w:tc>
          <w:tcPr>
            <w:tcW w:w="4536" w:type="dxa"/>
            <w:vAlign w:val="center"/>
          </w:tcPr>
          <w:p w14:paraId="1D8A361F">
            <w:pPr>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p>
        </w:tc>
      </w:tr>
      <w:tr w14:paraId="21166E3A">
        <w:tblPrEx>
          <w:tblCellMar>
            <w:top w:w="0" w:type="dxa"/>
            <w:left w:w="108" w:type="dxa"/>
            <w:bottom w:w="0" w:type="dxa"/>
            <w:right w:w="108" w:type="dxa"/>
          </w:tblCellMar>
        </w:tblPrEx>
        <w:trPr>
          <w:trHeight w:val="397" w:hRule="atLeast"/>
          <w:jc w:val="center"/>
        </w:trPr>
        <w:tc>
          <w:tcPr>
            <w:tcW w:w="7054" w:type="dxa"/>
            <w:gridSpan w:val="2"/>
            <w:vAlign w:val="center"/>
          </w:tcPr>
          <w:p w14:paraId="31CE9861">
            <w:pPr>
              <w:jc w:val="left"/>
              <w:rPr>
                <w:rFonts w:ascii="仿宋" w:hAnsi="仿宋" w:eastAsia="仿宋" w:cs="仿宋"/>
                <w:color w:val="auto"/>
                <w:sz w:val="24"/>
                <w:szCs w:val="24"/>
                <w:highlight w:val="none"/>
                <w:u w:val="single"/>
              </w:rPr>
            </w:pPr>
          </w:p>
        </w:tc>
      </w:tr>
      <w:tr w14:paraId="789FFA62">
        <w:tblPrEx>
          <w:tblCellMar>
            <w:top w:w="0" w:type="dxa"/>
            <w:left w:w="108" w:type="dxa"/>
            <w:bottom w:w="0" w:type="dxa"/>
            <w:right w:w="108" w:type="dxa"/>
          </w:tblCellMar>
        </w:tblPrEx>
        <w:trPr>
          <w:trHeight w:val="397" w:hRule="atLeast"/>
          <w:jc w:val="center"/>
        </w:trPr>
        <w:tc>
          <w:tcPr>
            <w:tcW w:w="7054" w:type="dxa"/>
            <w:gridSpan w:val="2"/>
            <w:vAlign w:val="center"/>
          </w:tcPr>
          <w:p w14:paraId="5031DC8A">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tc>
      </w:tr>
    </w:tbl>
    <w:p w14:paraId="0FA31D33">
      <w:pPr>
        <w:rPr>
          <w:rFonts w:ascii="仿宋" w:hAnsi="仿宋" w:eastAsia="仿宋" w:cs="仿宋"/>
          <w:color w:val="auto"/>
          <w:highlight w:val="none"/>
        </w:rPr>
      </w:pPr>
      <w:bookmarkStart w:id="336" w:name="_Toc531359041"/>
      <w:bookmarkStart w:id="337" w:name="_Toc493956052"/>
      <w:bookmarkStart w:id="338" w:name="_Toc523398524"/>
      <w:bookmarkStart w:id="339" w:name="_Toc493956053"/>
      <w:bookmarkStart w:id="340" w:name="_Toc530551878"/>
      <w:r>
        <w:rPr>
          <w:rFonts w:hint="eastAsia" w:ascii="仿宋" w:hAnsi="仿宋" w:eastAsia="仿宋" w:cs="仿宋"/>
          <w:color w:val="auto"/>
          <w:highlight w:val="none"/>
        </w:rPr>
        <w:tab/>
      </w:r>
    </w:p>
    <w:p w14:paraId="1FF1A1CB">
      <w:pPr>
        <w:rPr>
          <w:rFonts w:ascii="仿宋" w:hAnsi="仿宋" w:eastAsia="仿宋" w:cs="仿宋"/>
          <w:color w:val="auto"/>
          <w:highlight w:val="none"/>
        </w:rPr>
        <w:sectPr>
          <w:pgSz w:w="11906" w:h="16838"/>
          <w:pgMar w:top="1440" w:right="1797" w:bottom="1440" w:left="1797" w:header="851" w:footer="851" w:gutter="0"/>
          <w:pgBorders>
            <w:top w:val="none" w:sz="0" w:space="0"/>
            <w:left w:val="none" w:sz="0" w:space="0"/>
            <w:bottom w:val="none" w:sz="0" w:space="0"/>
            <w:right w:val="none" w:sz="0" w:space="0"/>
          </w:pgBorders>
          <w:cols w:space="720" w:num="1"/>
          <w:docGrid w:linePitch="312" w:charSpace="0"/>
        </w:sectPr>
      </w:pPr>
    </w:p>
    <w:p w14:paraId="36859825">
      <w:pPr>
        <w:pStyle w:val="6"/>
        <w:spacing w:before="0" w:after="0"/>
        <w:ind w:firstLine="0" w:firstLineChars="0"/>
        <w:jc w:val="left"/>
        <w:rPr>
          <w:rFonts w:ascii="仿宋" w:hAnsi="仿宋" w:eastAsia="仿宋" w:cs="仿宋"/>
          <w:color w:val="auto"/>
          <w:sz w:val="24"/>
          <w:szCs w:val="24"/>
          <w:highlight w:val="none"/>
        </w:rPr>
      </w:pPr>
      <w:bookmarkStart w:id="341" w:name="_Toc15123"/>
      <w:r>
        <w:rPr>
          <w:rFonts w:hint="eastAsia" w:ascii="仿宋" w:hAnsi="仿宋" w:eastAsia="仿宋" w:cs="仿宋"/>
          <w:color w:val="auto"/>
          <w:sz w:val="24"/>
          <w:szCs w:val="24"/>
          <w:highlight w:val="none"/>
        </w:rPr>
        <w:t>1.2    资格审查文件目录</w:t>
      </w:r>
      <w:bookmarkEnd w:id="336"/>
      <w:bookmarkEnd w:id="341"/>
    </w:p>
    <w:p w14:paraId="0AAAE1DB">
      <w:pPr>
        <w:pStyle w:val="4"/>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rPr>
        <w:t>格式自行设计</w:t>
      </w:r>
      <w:r>
        <w:rPr>
          <w:rFonts w:hint="eastAsia" w:ascii="仿宋" w:hAnsi="仿宋" w:eastAsia="仿宋" w:cs="仿宋"/>
          <w:color w:val="auto"/>
          <w:sz w:val="24"/>
          <w:szCs w:val="24"/>
          <w:highlight w:val="none"/>
        </w:rPr>
        <w:t>）</w:t>
      </w:r>
    </w:p>
    <w:p w14:paraId="6B66A2D6">
      <w:pPr>
        <w:spacing w:line="360" w:lineRule="auto"/>
        <w:ind w:right="-187" w:rightChars="-89"/>
        <w:rPr>
          <w:rFonts w:ascii="仿宋" w:hAnsi="仿宋" w:eastAsia="仿宋" w:cs="仿宋"/>
          <w:color w:val="auto"/>
          <w:sz w:val="24"/>
          <w:szCs w:val="24"/>
          <w:highlight w:val="none"/>
        </w:rPr>
      </w:pPr>
    </w:p>
    <w:p w14:paraId="12899006">
      <w:pPr>
        <w:spacing w:line="360" w:lineRule="auto"/>
        <w:ind w:right="-187" w:rightChars="-89"/>
        <w:rPr>
          <w:rFonts w:ascii="仿宋" w:hAnsi="仿宋" w:eastAsia="仿宋" w:cs="仿宋"/>
          <w:color w:val="auto"/>
          <w:sz w:val="24"/>
          <w:szCs w:val="24"/>
          <w:highlight w:val="none"/>
        </w:rPr>
      </w:pPr>
    </w:p>
    <w:p w14:paraId="0532C780">
      <w:pPr>
        <w:pStyle w:val="6"/>
        <w:spacing w:before="0" w:after="0"/>
        <w:ind w:firstLine="0" w:firstLineChars="0"/>
        <w:jc w:val="left"/>
        <w:rPr>
          <w:rFonts w:ascii="仿宋" w:hAnsi="仿宋" w:eastAsia="仿宋" w:cs="仿宋"/>
          <w:color w:val="auto"/>
          <w:sz w:val="24"/>
          <w:szCs w:val="24"/>
          <w:highlight w:val="none"/>
        </w:rPr>
      </w:pPr>
      <w:bookmarkStart w:id="342" w:name="_Toc531359042"/>
      <w:bookmarkStart w:id="343" w:name="_Toc18995"/>
      <w:r>
        <w:rPr>
          <w:rFonts w:hint="eastAsia" w:ascii="仿宋" w:hAnsi="仿宋" w:eastAsia="仿宋" w:cs="仿宋"/>
          <w:color w:val="auto"/>
          <w:sz w:val="24"/>
          <w:szCs w:val="24"/>
          <w:highlight w:val="none"/>
        </w:rPr>
        <w:t>1.3    有效营业执照电子文档</w:t>
      </w:r>
      <w:bookmarkEnd w:id="337"/>
      <w:bookmarkEnd w:id="338"/>
      <w:bookmarkEnd w:id="342"/>
      <w:bookmarkEnd w:id="343"/>
    </w:p>
    <w:p w14:paraId="1099F22B">
      <w:pPr>
        <w:spacing w:line="360" w:lineRule="auto"/>
        <w:ind w:right="-187" w:rightChars="-89"/>
        <w:rPr>
          <w:rFonts w:ascii="仿宋" w:hAnsi="仿宋" w:eastAsia="仿宋" w:cs="仿宋"/>
          <w:color w:val="auto"/>
          <w:sz w:val="24"/>
          <w:szCs w:val="24"/>
          <w:highlight w:val="none"/>
        </w:rPr>
      </w:pPr>
    </w:p>
    <w:p w14:paraId="5E52DC44">
      <w:pPr>
        <w:spacing w:line="360" w:lineRule="auto"/>
        <w:ind w:right="-187" w:rightChars="-89"/>
        <w:rPr>
          <w:rFonts w:ascii="仿宋" w:hAnsi="仿宋" w:eastAsia="仿宋" w:cs="仿宋"/>
          <w:color w:val="auto"/>
          <w:sz w:val="24"/>
          <w:szCs w:val="24"/>
          <w:highlight w:val="none"/>
        </w:rPr>
      </w:pPr>
    </w:p>
    <w:p w14:paraId="01B8292E">
      <w:pPr>
        <w:spacing w:line="360" w:lineRule="auto"/>
        <w:ind w:right="-187" w:rightChars="-89"/>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内容要求：</w:t>
      </w:r>
    </w:p>
    <w:p w14:paraId="77070C9F">
      <w:pPr>
        <w:spacing w:line="360" w:lineRule="auto"/>
        <w:ind w:right="-187" w:rightChars="-89"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提供有效的营业执照电子文档并加盖公司公章；事业单位的，则提供有效的《事业单位法人证书》副本电子文档并加盖单位公章；自然人的，则提供有效的身份证电子文档。</w:t>
      </w:r>
    </w:p>
    <w:p w14:paraId="70BC02E9">
      <w:pPr>
        <w:spacing w:line="360" w:lineRule="auto"/>
        <w:rPr>
          <w:rFonts w:ascii="仿宋" w:hAnsi="仿宋" w:eastAsia="仿宋" w:cs="仿宋"/>
          <w:color w:val="auto"/>
          <w:sz w:val="24"/>
          <w:highlight w:val="none"/>
        </w:rPr>
      </w:pPr>
    </w:p>
    <w:p w14:paraId="3FAD92F6">
      <w:pPr>
        <w:spacing w:line="360" w:lineRule="auto"/>
        <w:rPr>
          <w:rFonts w:ascii="仿宋" w:hAnsi="仿宋" w:eastAsia="仿宋" w:cs="仿宋"/>
          <w:color w:val="auto"/>
          <w:sz w:val="24"/>
          <w:highlight w:val="none"/>
        </w:rPr>
      </w:pPr>
    </w:p>
    <w:p w14:paraId="4290E43E">
      <w:pPr>
        <w:spacing w:line="360" w:lineRule="auto"/>
        <w:rPr>
          <w:rFonts w:ascii="仿宋" w:hAnsi="仿宋" w:eastAsia="仿宋" w:cs="仿宋"/>
          <w:color w:val="auto"/>
          <w:sz w:val="24"/>
          <w:highlight w:val="none"/>
        </w:rPr>
      </w:pPr>
    </w:p>
    <w:p w14:paraId="33908D84">
      <w:pPr>
        <w:pStyle w:val="6"/>
        <w:spacing w:before="0" w:after="0"/>
        <w:ind w:firstLine="0" w:firstLineChars="0"/>
        <w:jc w:val="left"/>
        <w:rPr>
          <w:rFonts w:ascii="仿宋" w:hAnsi="仿宋" w:eastAsia="仿宋" w:cs="仿宋"/>
          <w:color w:val="auto"/>
          <w:sz w:val="24"/>
          <w:szCs w:val="24"/>
          <w:highlight w:val="none"/>
        </w:rPr>
      </w:pPr>
      <w:bookmarkStart w:id="344" w:name="_Toc531359043"/>
      <w:bookmarkStart w:id="345" w:name="_Toc3423"/>
      <w:r>
        <w:rPr>
          <w:rFonts w:hint="eastAsia" w:ascii="仿宋" w:hAnsi="仿宋" w:eastAsia="仿宋" w:cs="仿宋"/>
          <w:color w:val="auto"/>
          <w:sz w:val="24"/>
          <w:szCs w:val="24"/>
          <w:highlight w:val="none"/>
        </w:rPr>
        <w:t>1.</w:t>
      </w:r>
      <w:bookmarkEnd w:id="339"/>
      <w:bookmarkEnd w:id="340"/>
      <w:r>
        <w:rPr>
          <w:rFonts w:hint="eastAsia" w:ascii="仿宋" w:hAnsi="仿宋" w:eastAsia="仿宋" w:cs="仿宋"/>
          <w:color w:val="auto"/>
          <w:sz w:val="24"/>
          <w:szCs w:val="24"/>
          <w:highlight w:val="none"/>
        </w:rPr>
        <w:t>4    负责人身份证电子文档</w:t>
      </w:r>
      <w:bookmarkEnd w:id="344"/>
      <w:bookmarkEnd w:id="345"/>
    </w:p>
    <w:p w14:paraId="4ED9EBA1">
      <w:pPr>
        <w:spacing w:line="360" w:lineRule="auto"/>
        <w:ind w:right="-187" w:rightChars="-89"/>
        <w:rPr>
          <w:rFonts w:ascii="仿宋" w:hAnsi="仿宋" w:eastAsia="仿宋" w:cs="仿宋"/>
          <w:color w:val="auto"/>
          <w:sz w:val="24"/>
          <w:szCs w:val="24"/>
          <w:highlight w:val="none"/>
        </w:rPr>
      </w:pPr>
    </w:p>
    <w:p w14:paraId="3513B8E3">
      <w:pPr>
        <w:spacing w:line="360" w:lineRule="auto"/>
        <w:ind w:right="-187" w:rightChars="-89"/>
        <w:rPr>
          <w:rFonts w:ascii="仿宋" w:hAnsi="仿宋" w:eastAsia="仿宋" w:cs="仿宋"/>
          <w:color w:val="auto"/>
          <w:sz w:val="24"/>
          <w:szCs w:val="24"/>
          <w:highlight w:val="none"/>
        </w:rPr>
      </w:pPr>
    </w:p>
    <w:p w14:paraId="7E364CEF">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内容要求：</w:t>
      </w:r>
    </w:p>
    <w:p w14:paraId="52C2F01F">
      <w:pPr>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1、负责人身份证正、反面电子文档；</w:t>
      </w:r>
    </w:p>
    <w:p w14:paraId="39C368AC">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2、若有委托代理人的，则还应当提供授权委托书及委托代理人的身份证电子文档。</w:t>
      </w:r>
    </w:p>
    <w:p w14:paraId="316C4E77">
      <w:pPr>
        <w:spacing w:line="360" w:lineRule="auto"/>
        <w:ind w:firstLine="480" w:firstLineChars="200"/>
        <w:rPr>
          <w:rFonts w:ascii="仿宋" w:hAnsi="仿宋" w:eastAsia="仿宋" w:cs="仿宋"/>
          <w:color w:val="auto"/>
          <w:sz w:val="24"/>
          <w:highlight w:val="none"/>
        </w:rPr>
      </w:pPr>
    </w:p>
    <w:p w14:paraId="0D41EC35">
      <w:pPr>
        <w:pStyle w:val="4"/>
        <w:rPr>
          <w:rFonts w:ascii="仿宋" w:hAnsi="仿宋" w:eastAsia="仿宋" w:cs="仿宋"/>
          <w:color w:val="auto"/>
          <w:highlight w:val="none"/>
        </w:rPr>
        <w:sectPr>
          <w:pgSz w:w="11906" w:h="16838"/>
          <w:pgMar w:top="1440" w:right="1797" w:bottom="1440" w:left="1797" w:header="851" w:footer="851" w:gutter="0"/>
          <w:pgBorders>
            <w:top w:val="none" w:sz="0" w:space="0"/>
            <w:left w:val="none" w:sz="0" w:space="0"/>
            <w:bottom w:val="none" w:sz="0" w:space="0"/>
            <w:right w:val="none" w:sz="0" w:space="0"/>
          </w:pgBorders>
          <w:cols w:space="720" w:num="1"/>
          <w:docGrid w:linePitch="312" w:charSpace="0"/>
        </w:sectPr>
      </w:pPr>
    </w:p>
    <w:p w14:paraId="03658ACC">
      <w:pPr>
        <w:pStyle w:val="6"/>
        <w:spacing w:before="0" w:after="0"/>
        <w:ind w:firstLine="0" w:firstLineChars="0"/>
        <w:jc w:val="left"/>
        <w:rPr>
          <w:rFonts w:ascii="仿宋" w:hAnsi="仿宋" w:eastAsia="仿宋" w:cs="仿宋"/>
          <w:color w:val="auto"/>
          <w:sz w:val="24"/>
          <w:szCs w:val="24"/>
          <w:highlight w:val="none"/>
        </w:rPr>
      </w:pPr>
      <w:bookmarkStart w:id="346" w:name="_Toc531359044"/>
      <w:bookmarkStart w:id="347" w:name="_Toc8101"/>
      <w:r>
        <w:rPr>
          <w:rFonts w:hint="eastAsia" w:ascii="仿宋" w:hAnsi="仿宋" w:eastAsia="仿宋" w:cs="仿宋"/>
          <w:color w:val="auto"/>
          <w:sz w:val="24"/>
          <w:szCs w:val="24"/>
          <w:highlight w:val="none"/>
        </w:rPr>
        <w:t>1.5    授权委托书</w:t>
      </w:r>
      <w:bookmarkEnd w:id="346"/>
      <w:r>
        <w:rPr>
          <w:rFonts w:hint="eastAsia" w:ascii="仿宋" w:hAnsi="仿宋" w:eastAsia="仿宋" w:cs="仿宋"/>
          <w:color w:val="auto"/>
          <w:sz w:val="24"/>
          <w:szCs w:val="24"/>
          <w:highlight w:val="none"/>
        </w:rPr>
        <w:t>格式</w:t>
      </w:r>
      <w:bookmarkEnd w:id="347"/>
    </w:p>
    <w:p w14:paraId="7480E656">
      <w:pPr>
        <w:pStyle w:val="4"/>
        <w:ind w:firstLine="0"/>
        <w:rPr>
          <w:rFonts w:ascii="仿宋" w:hAnsi="仿宋" w:eastAsia="仿宋" w:cs="仿宋"/>
          <w:color w:val="auto"/>
          <w:highlight w:val="none"/>
        </w:rPr>
      </w:pPr>
    </w:p>
    <w:p w14:paraId="2CCD5A9B">
      <w:pPr>
        <w:pStyle w:val="4"/>
        <w:spacing w:line="360" w:lineRule="auto"/>
        <w:ind w:firstLine="0"/>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授权委托书</w:t>
      </w:r>
    </w:p>
    <w:p w14:paraId="3C8B563E">
      <w:pPr>
        <w:pStyle w:val="31"/>
        <w:spacing w:line="360" w:lineRule="auto"/>
        <w:rPr>
          <w:rFonts w:ascii="仿宋" w:hAnsi="仿宋" w:eastAsia="仿宋" w:cs="仿宋"/>
          <w:b/>
          <w:color w:val="auto"/>
          <w:sz w:val="24"/>
          <w:szCs w:val="21"/>
          <w:highlight w:val="none"/>
        </w:rPr>
      </w:pPr>
      <w:r>
        <w:rPr>
          <w:rFonts w:hint="eastAsia" w:ascii="仿宋" w:hAnsi="仿宋" w:eastAsia="仿宋" w:cs="仿宋"/>
          <w:i/>
          <w:color w:val="auto"/>
          <w:spacing w:val="6"/>
          <w:sz w:val="24"/>
          <w:szCs w:val="20"/>
          <w:highlight w:val="none"/>
          <w:u w:val="single"/>
        </w:rPr>
        <w:t>（采购人名称）</w:t>
      </w:r>
      <w:r>
        <w:rPr>
          <w:rFonts w:hint="eastAsia" w:ascii="仿宋" w:hAnsi="仿宋" w:eastAsia="仿宋" w:cs="仿宋"/>
          <w:color w:val="auto"/>
          <w:sz w:val="24"/>
          <w:szCs w:val="21"/>
          <w:highlight w:val="none"/>
        </w:rPr>
        <w:t>：</w:t>
      </w:r>
    </w:p>
    <w:p w14:paraId="4177D828">
      <w:pPr>
        <w:pStyle w:val="31"/>
        <w:autoSpaceDE w:val="0"/>
        <w:autoSpaceDN w:val="0"/>
        <w:spacing w:line="360" w:lineRule="auto"/>
        <w:textAlignment w:val="bottom"/>
        <w:rPr>
          <w:rFonts w:ascii="仿宋" w:hAnsi="仿宋" w:eastAsia="仿宋" w:cs="仿宋"/>
          <w:color w:val="auto"/>
          <w:sz w:val="24"/>
          <w:szCs w:val="20"/>
          <w:highlight w:val="none"/>
        </w:rPr>
      </w:pPr>
      <w:r>
        <w:rPr>
          <w:rFonts w:hint="eastAsia" w:ascii="仿宋" w:hAnsi="仿宋" w:eastAsia="仿宋" w:cs="仿宋"/>
          <w:color w:val="auto"/>
          <w:highlight w:val="none"/>
        </w:rPr>
        <w:t xml:space="preserve">   </w:t>
      </w:r>
      <w:r>
        <w:rPr>
          <w:rFonts w:hint="eastAsia" w:ascii="仿宋" w:hAnsi="仿宋" w:eastAsia="仿宋" w:cs="仿宋"/>
          <w:color w:val="auto"/>
          <w:sz w:val="24"/>
          <w:szCs w:val="20"/>
          <w:highlight w:val="none"/>
        </w:rPr>
        <w:t xml:space="preserve">  我</w:t>
      </w:r>
      <w:r>
        <w:rPr>
          <w:rFonts w:hint="eastAsia" w:ascii="仿宋" w:hAnsi="仿宋" w:eastAsia="仿宋" w:cs="仿宋"/>
          <w:color w:val="auto"/>
          <w:sz w:val="24"/>
          <w:szCs w:val="20"/>
          <w:highlight w:val="none"/>
          <w:u w:val="single"/>
        </w:rPr>
        <w:t xml:space="preserve"> </w:t>
      </w:r>
      <w:r>
        <w:rPr>
          <w:rFonts w:hint="eastAsia" w:ascii="仿宋" w:hAnsi="仿宋" w:eastAsia="仿宋" w:cs="仿宋"/>
          <w:i/>
          <w:color w:val="auto"/>
          <w:sz w:val="24"/>
          <w:szCs w:val="20"/>
          <w:highlight w:val="none"/>
          <w:u w:val="single"/>
        </w:rPr>
        <w:t>法定代表人（负责人）</w:t>
      </w:r>
      <w:r>
        <w:rPr>
          <w:rFonts w:hint="eastAsia" w:ascii="仿宋" w:hAnsi="仿宋" w:eastAsia="仿宋" w:cs="仿宋"/>
          <w:color w:val="auto"/>
          <w:sz w:val="24"/>
          <w:szCs w:val="20"/>
          <w:highlight w:val="none"/>
        </w:rPr>
        <w:t>系</w:t>
      </w:r>
      <w:r>
        <w:rPr>
          <w:rFonts w:hint="eastAsia" w:ascii="仿宋" w:hAnsi="仿宋" w:eastAsia="仿宋" w:cs="仿宋"/>
          <w:color w:val="auto"/>
          <w:sz w:val="24"/>
          <w:szCs w:val="20"/>
          <w:highlight w:val="none"/>
          <w:u w:val="single"/>
        </w:rPr>
        <w:t xml:space="preserve"> </w:t>
      </w:r>
      <w:r>
        <w:rPr>
          <w:rFonts w:hint="eastAsia" w:ascii="仿宋" w:hAnsi="仿宋" w:eastAsia="仿宋" w:cs="仿宋"/>
          <w:i/>
          <w:color w:val="auto"/>
          <w:sz w:val="24"/>
          <w:szCs w:val="20"/>
          <w:highlight w:val="none"/>
          <w:u w:val="single"/>
        </w:rPr>
        <w:t>（供应商全称）</w:t>
      </w:r>
      <w:r>
        <w:rPr>
          <w:rFonts w:hint="eastAsia" w:ascii="仿宋" w:hAnsi="仿宋" w:eastAsia="仿宋" w:cs="仿宋"/>
          <w:color w:val="auto"/>
          <w:sz w:val="24"/>
          <w:szCs w:val="20"/>
          <w:highlight w:val="none"/>
          <w:u w:val="single"/>
        </w:rPr>
        <w:t xml:space="preserve"> </w:t>
      </w:r>
      <w:r>
        <w:rPr>
          <w:rFonts w:hint="eastAsia" w:ascii="仿宋" w:hAnsi="仿宋" w:eastAsia="仿宋" w:cs="仿宋"/>
          <w:color w:val="auto"/>
          <w:sz w:val="24"/>
          <w:szCs w:val="20"/>
          <w:highlight w:val="none"/>
        </w:rPr>
        <w:t>的法定代表人（或负责人），现授权委托本单位在职职工</w:t>
      </w:r>
      <w:r>
        <w:rPr>
          <w:rFonts w:hint="eastAsia" w:ascii="仿宋" w:hAnsi="仿宋" w:eastAsia="仿宋" w:cs="仿宋"/>
          <w:color w:val="auto"/>
          <w:sz w:val="24"/>
          <w:szCs w:val="20"/>
          <w:highlight w:val="none"/>
          <w:u w:val="single"/>
        </w:rPr>
        <w:t xml:space="preserve">   </w:t>
      </w:r>
      <w:r>
        <w:rPr>
          <w:rFonts w:hint="eastAsia" w:ascii="仿宋" w:hAnsi="仿宋" w:eastAsia="仿宋" w:cs="仿宋"/>
          <w:i/>
          <w:color w:val="auto"/>
          <w:sz w:val="24"/>
          <w:szCs w:val="20"/>
          <w:highlight w:val="none"/>
          <w:u w:val="single"/>
        </w:rPr>
        <w:t>（姓名）</w:t>
      </w:r>
      <w:r>
        <w:rPr>
          <w:rFonts w:hint="eastAsia" w:ascii="仿宋" w:hAnsi="仿宋" w:eastAsia="仿宋" w:cs="仿宋"/>
          <w:color w:val="auto"/>
          <w:sz w:val="24"/>
          <w:szCs w:val="20"/>
          <w:highlight w:val="none"/>
          <w:u w:val="single"/>
        </w:rPr>
        <w:t xml:space="preserve">  </w:t>
      </w:r>
      <w:r>
        <w:rPr>
          <w:rFonts w:hint="eastAsia" w:ascii="仿宋" w:hAnsi="仿宋" w:eastAsia="仿宋" w:cs="仿宋"/>
          <w:color w:val="auto"/>
          <w:sz w:val="24"/>
          <w:szCs w:val="20"/>
          <w:highlight w:val="none"/>
        </w:rPr>
        <w:t>以我方的名义参加就贵方组织的</w:t>
      </w:r>
      <w:r>
        <w:rPr>
          <w:rFonts w:hint="eastAsia" w:ascii="仿宋" w:hAnsi="仿宋" w:eastAsia="仿宋" w:cs="仿宋"/>
          <w:color w:val="auto"/>
          <w:sz w:val="24"/>
          <w:szCs w:val="20"/>
          <w:highlight w:val="none"/>
          <w:u w:val="single"/>
        </w:rPr>
        <w:t xml:space="preserve">   </w:t>
      </w:r>
      <w:r>
        <w:rPr>
          <w:rFonts w:hint="eastAsia" w:ascii="仿宋" w:hAnsi="仿宋" w:eastAsia="仿宋" w:cs="仿宋"/>
          <w:i/>
          <w:color w:val="auto"/>
          <w:sz w:val="24"/>
          <w:szCs w:val="21"/>
          <w:highlight w:val="none"/>
          <w:u w:val="single"/>
        </w:rPr>
        <w:t>（项目名称）（项目编号）（标项）</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0"/>
          <w:highlight w:val="none"/>
        </w:rPr>
        <w:t>的磋商活动，并代表我方全权办理针对上述项目的磋商、开标、评审、签约等具体事务和签署相关文件。</w:t>
      </w:r>
    </w:p>
    <w:p w14:paraId="68703F8E">
      <w:pPr>
        <w:pStyle w:val="31"/>
        <w:autoSpaceDE w:val="0"/>
        <w:autoSpaceDN w:val="0"/>
        <w:spacing w:line="360" w:lineRule="auto"/>
        <w:textAlignment w:val="bottom"/>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 xml:space="preserve">    我方对委托代理人的签字或盖章事项负全部责任。</w:t>
      </w:r>
    </w:p>
    <w:p w14:paraId="4708B479">
      <w:pPr>
        <w:pStyle w:val="31"/>
        <w:spacing w:line="360" w:lineRule="auto"/>
        <w:ind w:firstLine="48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本授权书自签署之日起生效，在撤销授权的书面通知送达贵方以前，本授权委托书一直有效。委托代理人在授权书有效期内签署的所有文件不因授权的撤销而失效。</w:t>
      </w:r>
    </w:p>
    <w:p w14:paraId="65EDE029">
      <w:pPr>
        <w:pStyle w:val="31"/>
        <w:spacing w:line="360" w:lineRule="auto"/>
        <w:ind w:firstLine="48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委托代理人无转委托权，特此声明。</w:t>
      </w:r>
    </w:p>
    <w:p w14:paraId="772410E2">
      <w:pPr>
        <w:pStyle w:val="31"/>
        <w:spacing w:line="360" w:lineRule="auto"/>
        <w:ind w:firstLine="480"/>
        <w:rPr>
          <w:rFonts w:ascii="仿宋" w:hAnsi="仿宋" w:eastAsia="仿宋" w:cs="仿宋"/>
          <w:color w:val="auto"/>
          <w:sz w:val="24"/>
          <w:szCs w:val="21"/>
          <w:highlight w:val="none"/>
        </w:rPr>
      </w:pPr>
    </w:p>
    <w:p w14:paraId="4C744CDD">
      <w:pPr>
        <w:pStyle w:val="31"/>
        <w:wordWrap w:val="0"/>
        <w:spacing w:line="360" w:lineRule="auto"/>
        <w:ind w:firstLine="480"/>
        <w:jc w:val="right"/>
        <w:rPr>
          <w:rFonts w:ascii="仿宋" w:hAnsi="仿宋" w:eastAsia="仿宋" w:cs="仿宋"/>
          <w:color w:val="auto"/>
          <w:sz w:val="24"/>
          <w:szCs w:val="21"/>
          <w:highlight w:val="none"/>
          <w:u w:val="single"/>
        </w:rPr>
      </w:pPr>
    </w:p>
    <w:p w14:paraId="182C24DE">
      <w:pPr>
        <w:pStyle w:val="31"/>
        <w:wordWrap w:val="0"/>
        <w:spacing w:line="360" w:lineRule="auto"/>
        <w:ind w:firstLine="480"/>
        <w:jc w:val="right"/>
        <w:rPr>
          <w:rFonts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供应商盖章：</w:t>
      </w:r>
      <w:r>
        <w:rPr>
          <w:rFonts w:hint="eastAsia" w:ascii="仿宋" w:hAnsi="仿宋" w:eastAsia="仿宋" w:cs="仿宋"/>
          <w:color w:val="auto"/>
          <w:sz w:val="24"/>
          <w:szCs w:val="21"/>
          <w:highlight w:val="none"/>
          <w:u w:val="single"/>
        </w:rPr>
        <w:t xml:space="preserve">               </w:t>
      </w:r>
    </w:p>
    <w:p w14:paraId="6785AC4C">
      <w:pPr>
        <w:pStyle w:val="31"/>
        <w:wordWrap w:val="0"/>
        <w:spacing w:line="360" w:lineRule="auto"/>
        <w:ind w:firstLine="480"/>
        <w:jc w:val="right"/>
        <w:rPr>
          <w:rFonts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14:paraId="06775158">
      <w:pPr>
        <w:pStyle w:val="31"/>
        <w:spacing w:line="440" w:lineRule="exact"/>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mc:AlternateContent>
          <mc:Choice Requires="wps">
            <w:drawing>
              <wp:anchor distT="0" distB="0" distL="114300" distR="114300" simplePos="0" relativeHeight="251659264" behindDoc="0" locked="0" layoutInCell="1" allowOverlap="1">
                <wp:simplePos x="0" y="0"/>
                <wp:positionH relativeFrom="column">
                  <wp:posOffset>-180975</wp:posOffset>
                </wp:positionH>
                <wp:positionV relativeFrom="paragraph">
                  <wp:posOffset>133350</wp:posOffset>
                </wp:positionV>
                <wp:extent cx="5471795" cy="0"/>
                <wp:effectExtent l="0" t="4445" r="0" b="5080"/>
                <wp:wrapNone/>
                <wp:docPr id="1" name="直接箭头连接符 1"/>
                <wp:cNvGraphicFramePr/>
                <a:graphic xmlns:a="http://schemas.openxmlformats.org/drawingml/2006/main">
                  <a:graphicData uri="http://schemas.microsoft.com/office/word/2010/wordprocessingShape">
                    <wps:wsp>
                      <wps:cNvCnPr/>
                      <wps:spPr>
                        <a:xfrm>
                          <a:off x="0" y="0"/>
                          <a:ext cx="5471795" cy="0"/>
                        </a:xfrm>
                        <a:prstGeom prst="straightConnector1">
                          <a:avLst/>
                        </a:prstGeom>
                        <a:ln w="9525" cap="flat" cmpd="sng">
                          <a:solidFill>
                            <a:srgbClr val="000000"/>
                          </a:solidFill>
                          <a:prstDash val="lgDash"/>
                          <a:headEnd type="none" w="med" len="med"/>
                          <a:tailEnd type="none" w="med" len="med"/>
                        </a:ln>
                      </wps:spPr>
                      <wps:bodyPr/>
                    </wps:wsp>
                  </a:graphicData>
                </a:graphic>
              </wp:anchor>
            </w:drawing>
          </mc:Choice>
          <mc:Fallback>
            <w:pict>
              <v:shape id="_x0000_s1026" o:spid="_x0000_s1026" o:spt="32" type="#_x0000_t32" style="position:absolute;left:0pt;margin-left:-14.25pt;margin-top:10.5pt;height:0pt;width:430.85pt;z-index:251659264;mso-width-relative:page;mso-height-relative:page;" filled="f" stroked="t" coordsize="21600,21600" o:gfxdata="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yvYHLXAAAACQEAAA8AAAAAAAAAAQAgAAAAIgAAAGRycy9kb3ducmV2&#10;LnhtbFBLAQIUABQAAAAIAIdO4kAJpJpc/QEAAO0DAAAOAAAAAAAAAAEAIAAAACYBAABkcnMvZTJv&#10;RG9jLnhtbFBLBQYAAAAABgAGAFkBAACVBQAAAAA=&#10;">
                <v:fill on="f" focussize="0,0"/>
                <v:stroke color="#000000" joinstyle="round" dashstyle="longDash"/>
                <v:imagedata o:title=""/>
                <o:lock v:ext="edit" aspectratio="f"/>
              </v:shape>
            </w:pict>
          </mc:Fallback>
        </mc:AlternateContent>
      </w:r>
    </w:p>
    <w:p w14:paraId="70B4655F">
      <w:pPr>
        <w:pStyle w:val="31"/>
        <w:spacing w:line="440" w:lineRule="exact"/>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附：1、委托代理人工作单位：</w:t>
      </w:r>
      <w:r>
        <w:rPr>
          <w:rFonts w:hint="eastAsia" w:ascii="仿宋" w:hAnsi="仿宋" w:eastAsia="仿宋" w:cs="仿宋"/>
          <w:color w:val="auto"/>
          <w:sz w:val="24"/>
          <w:szCs w:val="21"/>
          <w:highlight w:val="none"/>
        </w:rPr>
        <w:tab/>
      </w:r>
      <w:r>
        <w:rPr>
          <w:rFonts w:hint="eastAsia" w:ascii="仿宋" w:hAnsi="仿宋" w:eastAsia="仿宋" w:cs="仿宋"/>
          <w:color w:val="auto"/>
          <w:sz w:val="24"/>
          <w:szCs w:val="21"/>
          <w:highlight w:val="none"/>
        </w:rPr>
        <w:tab/>
      </w:r>
      <w:r>
        <w:rPr>
          <w:rFonts w:hint="eastAsia" w:ascii="仿宋" w:hAnsi="仿宋" w:eastAsia="仿宋" w:cs="仿宋"/>
          <w:color w:val="auto"/>
          <w:sz w:val="24"/>
          <w:szCs w:val="21"/>
          <w:highlight w:val="none"/>
        </w:rPr>
        <w:tab/>
      </w:r>
      <w:r>
        <w:rPr>
          <w:rFonts w:hint="eastAsia" w:ascii="仿宋" w:hAnsi="仿宋" w:eastAsia="仿宋" w:cs="仿宋"/>
          <w:color w:val="auto"/>
          <w:sz w:val="24"/>
          <w:szCs w:val="21"/>
          <w:highlight w:val="none"/>
        </w:rPr>
        <w:tab/>
      </w:r>
      <w:r>
        <w:rPr>
          <w:rFonts w:hint="eastAsia" w:ascii="仿宋" w:hAnsi="仿宋" w:eastAsia="仿宋" w:cs="仿宋"/>
          <w:color w:val="auto"/>
          <w:sz w:val="24"/>
          <w:szCs w:val="21"/>
          <w:highlight w:val="none"/>
        </w:rPr>
        <w:tab/>
      </w:r>
      <w:r>
        <w:rPr>
          <w:rFonts w:hint="eastAsia" w:ascii="仿宋" w:hAnsi="仿宋" w:eastAsia="仿宋" w:cs="仿宋"/>
          <w:color w:val="auto"/>
          <w:sz w:val="24"/>
          <w:szCs w:val="21"/>
          <w:highlight w:val="none"/>
        </w:rPr>
        <w:t xml:space="preserve">职务： </w:t>
      </w:r>
    </w:p>
    <w:p w14:paraId="417584C7">
      <w:pPr>
        <w:pStyle w:val="31"/>
        <w:spacing w:line="440" w:lineRule="exact"/>
        <w:ind w:firstLine="48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   身份证号码：　　　　　　　　　　</w:t>
      </w:r>
      <w:r>
        <w:rPr>
          <w:rFonts w:hint="eastAsia" w:ascii="仿宋" w:hAnsi="仿宋" w:eastAsia="仿宋" w:cs="仿宋"/>
          <w:color w:val="auto"/>
          <w:sz w:val="24"/>
          <w:szCs w:val="21"/>
          <w:highlight w:val="none"/>
        </w:rPr>
        <w:tab/>
      </w:r>
      <w:r>
        <w:rPr>
          <w:rFonts w:hint="eastAsia" w:ascii="仿宋" w:hAnsi="仿宋" w:eastAsia="仿宋" w:cs="仿宋"/>
          <w:color w:val="auto"/>
          <w:sz w:val="24"/>
          <w:szCs w:val="21"/>
          <w:highlight w:val="none"/>
        </w:rPr>
        <w:t xml:space="preserve">性别： </w:t>
      </w:r>
    </w:p>
    <w:p w14:paraId="1CAF5405">
      <w:pPr>
        <w:pStyle w:val="31"/>
        <w:spacing w:line="440" w:lineRule="exact"/>
        <w:ind w:firstLine="480"/>
        <w:rPr>
          <w:rFonts w:ascii="仿宋" w:hAnsi="仿宋" w:eastAsia="仿宋" w:cs="仿宋"/>
          <w:color w:val="auto"/>
          <w:spacing w:val="20"/>
          <w:sz w:val="24"/>
          <w:highlight w:val="none"/>
          <w:u w:val="single"/>
        </w:rPr>
      </w:pPr>
      <w:r>
        <w:rPr>
          <w:rFonts w:hint="eastAsia" w:ascii="仿宋" w:hAnsi="仿宋" w:eastAsia="仿宋" w:cs="仿宋"/>
          <w:color w:val="auto"/>
          <w:sz w:val="24"/>
          <w:szCs w:val="21"/>
          <w:highlight w:val="none"/>
        </w:rPr>
        <w:t>2、</w:t>
      </w:r>
      <w:r>
        <w:rPr>
          <w:rFonts w:hint="eastAsia" w:ascii="仿宋" w:hAnsi="仿宋" w:eastAsia="仿宋" w:cs="仿宋"/>
          <w:bCs/>
          <w:color w:val="auto"/>
          <w:sz w:val="24"/>
          <w:highlight w:val="none"/>
        </w:rPr>
        <w:t>委托代理人身份证正、反面电子文档：</w:t>
      </w:r>
    </w:p>
    <w:tbl>
      <w:tblPr>
        <w:tblStyle w:val="20"/>
        <w:tblW w:w="0" w:type="auto"/>
        <w:tblInd w:w="0" w:type="dxa"/>
        <w:tblLayout w:type="fixed"/>
        <w:tblCellMar>
          <w:top w:w="0" w:type="dxa"/>
          <w:left w:w="108" w:type="dxa"/>
          <w:bottom w:w="0" w:type="dxa"/>
          <w:right w:w="108" w:type="dxa"/>
        </w:tblCellMar>
      </w:tblPr>
      <w:tblGrid>
        <w:gridCol w:w="4621"/>
        <w:gridCol w:w="4621"/>
      </w:tblGrid>
      <w:tr w14:paraId="345F7C9C">
        <w:tblPrEx>
          <w:tblCellMar>
            <w:top w:w="0" w:type="dxa"/>
            <w:left w:w="108" w:type="dxa"/>
            <w:bottom w:w="0" w:type="dxa"/>
            <w:right w:w="108" w:type="dxa"/>
          </w:tblCellMar>
        </w:tblPrEx>
        <w:trPr>
          <w:trHeight w:val="2733" w:hRule="atLeast"/>
        </w:trPr>
        <w:tc>
          <w:tcPr>
            <w:tcW w:w="4621" w:type="dxa"/>
          </w:tcPr>
          <w:p w14:paraId="41C4311B">
            <w:pPr>
              <w:pStyle w:val="31"/>
              <w:spacing w:line="440" w:lineRule="exact"/>
              <w:rPr>
                <w:rFonts w:ascii="仿宋" w:hAnsi="仿宋" w:eastAsia="仿宋" w:cs="仿宋"/>
                <w:color w:val="auto"/>
                <w:spacing w:val="20"/>
                <w:sz w:val="24"/>
                <w:highlight w:val="none"/>
              </w:rPr>
            </w:pPr>
            <w:r>
              <w:rPr>
                <w:rFonts w:hint="eastAsia" w:ascii="仿宋" w:hAnsi="仿宋" w:eastAsia="仿宋" w:cs="仿宋"/>
                <w:color w:val="auto"/>
                <w:spacing w:val="20"/>
                <w:sz w:val="24"/>
                <w:highlight w:val="none"/>
              </w:rPr>
              <w:t>正面：</w:t>
            </w:r>
          </w:p>
          <w:p w14:paraId="5B48B318">
            <w:pPr>
              <w:pStyle w:val="31"/>
              <w:spacing w:line="440" w:lineRule="exact"/>
              <w:rPr>
                <w:rFonts w:ascii="仿宋" w:hAnsi="仿宋" w:eastAsia="仿宋" w:cs="仿宋"/>
                <w:color w:val="auto"/>
                <w:spacing w:val="20"/>
                <w:sz w:val="24"/>
                <w:highlight w:val="none"/>
              </w:rPr>
            </w:pPr>
          </w:p>
        </w:tc>
        <w:tc>
          <w:tcPr>
            <w:tcW w:w="4621" w:type="dxa"/>
          </w:tcPr>
          <w:p w14:paraId="24D9DE00">
            <w:pPr>
              <w:pStyle w:val="31"/>
              <w:spacing w:line="440" w:lineRule="exact"/>
              <w:rPr>
                <w:rFonts w:ascii="仿宋" w:hAnsi="仿宋" w:eastAsia="仿宋" w:cs="仿宋"/>
                <w:color w:val="auto"/>
                <w:spacing w:val="20"/>
                <w:sz w:val="24"/>
                <w:highlight w:val="none"/>
              </w:rPr>
            </w:pPr>
            <w:r>
              <w:rPr>
                <w:rFonts w:hint="eastAsia" w:ascii="仿宋" w:hAnsi="仿宋" w:eastAsia="仿宋" w:cs="仿宋"/>
                <w:color w:val="auto"/>
                <w:spacing w:val="20"/>
                <w:sz w:val="24"/>
                <w:highlight w:val="none"/>
              </w:rPr>
              <w:t>反面：</w:t>
            </w:r>
          </w:p>
          <w:p w14:paraId="714ABA59">
            <w:pPr>
              <w:pStyle w:val="31"/>
              <w:spacing w:line="440" w:lineRule="exact"/>
              <w:rPr>
                <w:rFonts w:ascii="仿宋" w:hAnsi="仿宋" w:eastAsia="仿宋" w:cs="仿宋"/>
                <w:color w:val="auto"/>
                <w:spacing w:val="20"/>
                <w:sz w:val="24"/>
                <w:highlight w:val="none"/>
                <w:u w:val="single"/>
              </w:rPr>
            </w:pPr>
          </w:p>
        </w:tc>
      </w:tr>
    </w:tbl>
    <w:p w14:paraId="15B8DD0A">
      <w:pPr>
        <w:pStyle w:val="31"/>
        <w:ind w:left="587" w:leftChars="50" w:hanging="482" w:hangingChars="200"/>
        <w:rPr>
          <w:rFonts w:ascii="仿宋" w:hAnsi="仿宋" w:eastAsia="仿宋" w:cs="仿宋"/>
          <w:color w:val="auto"/>
          <w:sz w:val="24"/>
          <w:szCs w:val="21"/>
          <w:highlight w:val="none"/>
        </w:rPr>
      </w:pPr>
      <w:r>
        <w:rPr>
          <w:rFonts w:hint="eastAsia" w:ascii="仿宋" w:hAnsi="仿宋" w:eastAsia="仿宋" w:cs="仿宋"/>
          <w:b/>
          <w:color w:val="auto"/>
          <w:sz w:val="24"/>
          <w:szCs w:val="21"/>
          <w:highlight w:val="none"/>
        </w:rPr>
        <w:t>注：</w:t>
      </w:r>
      <w:r>
        <w:rPr>
          <w:rFonts w:hint="eastAsia" w:ascii="仿宋" w:hAnsi="仿宋" w:eastAsia="仿宋" w:cs="仿宋"/>
          <w:color w:val="auto"/>
          <w:sz w:val="24"/>
          <w:szCs w:val="21"/>
          <w:highlight w:val="none"/>
        </w:rPr>
        <w:t>1. 供应商为法人企业的，其负责人为其法定代表人；供应商为其他组织的，其负责人为法律、行政法规规定代表单位行使职权的主要负责人；供应商为自然人的，其负责人为自然人本人。</w:t>
      </w:r>
    </w:p>
    <w:p w14:paraId="4E802FAA">
      <w:pPr>
        <w:pStyle w:val="31"/>
        <w:ind w:left="585" w:leftChars="50" w:hanging="480" w:hangingChars="200"/>
        <w:rPr>
          <w:rFonts w:ascii="仿宋" w:hAnsi="仿宋" w:eastAsia="仿宋" w:cs="仿宋"/>
          <w:color w:val="auto"/>
          <w:highlight w:val="none"/>
        </w:rPr>
      </w:pPr>
      <w:r>
        <w:rPr>
          <w:rFonts w:hint="eastAsia" w:ascii="仿宋" w:hAnsi="仿宋" w:eastAsia="仿宋" w:cs="仿宋"/>
          <w:color w:val="auto"/>
          <w:sz w:val="24"/>
          <w:szCs w:val="21"/>
          <w:highlight w:val="none"/>
        </w:rPr>
        <w:t xml:space="preserve">    2. 若是负责人参会的，不需要提供此授权委托书。</w:t>
      </w:r>
    </w:p>
    <w:p w14:paraId="70F1544D">
      <w:pPr>
        <w:rPr>
          <w:rFonts w:ascii="仿宋" w:hAnsi="仿宋" w:eastAsia="仿宋" w:cs="仿宋"/>
          <w:color w:val="auto"/>
          <w:highlight w:val="none"/>
        </w:rPr>
        <w:sectPr>
          <w:pgSz w:w="11906" w:h="16838"/>
          <w:pgMar w:top="1440" w:right="1797" w:bottom="1440" w:left="1797" w:header="851" w:footer="851" w:gutter="0"/>
          <w:pgBorders>
            <w:top w:val="none" w:sz="0" w:space="0"/>
            <w:left w:val="none" w:sz="0" w:space="0"/>
            <w:bottom w:val="none" w:sz="0" w:space="0"/>
            <w:right w:val="none" w:sz="0" w:space="0"/>
          </w:pgBorders>
          <w:cols w:space="720" w:num="1"/>
          <w:docGrid w:linePitch="312" w:charSpace="0"/>
        </w:sectPr>
      </w:pPr>
    </w:p>
    <w:p w14:paraId="1345D63F">
      <w:pPr>
        <w:pStyle w:val="6"/>
        <w:spacing w:before="0" w:after="0"/>
        <w:ind w:firstLine="0" w:firstLineChars="0"/>
        <w:jc w:val="left"/>
        <w:rPr>
          <w:rFonts w:ascii="仿宋" w:hAnsi="仿宋" w:eastAsia="仿宋"/>
          <w:color w:val="auto"/>
          <w:sz w:val="24"/>
          <w:szCs w:val="24"/>
          <w:highlight w:val="none"/>
        </w:rPr>
      </w:pPr>
      <w:bookmarkStart w:id="348" w:name="_Toc3365"/>
      <w:bookmarkStart w:id="349" w:name="_Toc25681"/>
      <w:bookmarkStart w:id="350" w:name="_Toc2866"/>
      <w:bookmarkStart w:id="351" w:name="_Toc530551882"/>
      <w:bookmarkStart w:id="352" w:name="_Toc531359049"/>
      <w:bookmarkStart w:id="353" w:name="_Toc493956056"/>
      <w:r>
        <w:rPr>
          <w:rFonts w:hint="eastAsia" w:ascii="仿宋" w:hAnsi="仿宋" w:eastAsia="仿宋"/>
          <w:color w:val="auto"/>
          <w:sz w:val="24"/>
          <w:szCs w:val="24"/>
          <w:highlight w:val="none"/>
        </w:rPr>
        <w:t>1.6    具有良好的财务会计制度、依法缴纳税收和社会保障资金的承诺函格式</w:t>
      </w:r>
      <w:bookmarkEnd w:id="348"/>
      <w:bookmarkEnd w:id="349"/>
      <w:bookmarkEnd w:id="350"/>
    </w:p>
    <w:p w14:paraId="731D4146">
      <w:pPr>
        <w:pStyle w:val="4"/>
        <w:spacing w:line="360" w:lineRule="auto"/>
        <w:ind w:firstLine="0"/>
        <w:rPr>
          <w:rFonts w:ascii="仿宋" w:hAnsi="仿宋" w:eastAsia="仿宋"/>
          <w:color w:val="auto"/>
          <w:highlight w:val="none"/>
        </w:rPr>
      </w:pPr>
    </w:p>
    <w:p w14:paraId="270A1506">
      <w:pPr>
        <w:pStyle w:val="4"/>
        <w:ind w:right="-44" w:rightChars="-21" w:firstLine="0"/>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具有良好的财务会计制度、依法缴纳税收和社会保障资金的承诺函</w:t>
      </w:r>
    </w:p>
    <w:p w14:paraId="70220007">
      <w:pPr>
        <w:pStyle w:val="32"/>
        <w:spacing w:line="360" w:lineRule="auto"/>
        <w:rPr>
          <w:rFonts w:ascii="仿宋" w:hAnsi="仿宋" w:eastAsia="仿宋"/>
          <w:color w:val="auto"/>
          <w:sz w:val="24"/>
          <w:highlight w:val="none"/>
          <w:u w:val="single"/>
        </w:rPr>
      </w:pPr>
    </w:p>
    <w:p w14:paraId="6331844F">
      <w:pPr>
        <w:pStyle w:val="32"/>
        <w:spacing w:line="360" w:lineRule="auto"/>
        <w:rPr>
          <w:rFonts w:ascii="仿宋" w:hAnsi="仿宋" w:eastAsia="仿宋"/>
          <w:color w:val="auto"/>
          <w:spacing w:val="6"/>
          <w:sz w:val="24"/>
          <w:highlight w:val="none"/>
        </w:rPr>
      </w:pPr>
      <w:r>
        <w:rPr>
          <w:rFonts w:hint="eastAsia" w:ascii="仿宋" w:hAnsi="仿宋" w:eastAsia="仿宋"/>
          <w:color w:val="auto"/>
          <w:sz w:val="24"/>
          <w:highlight w:val="none"/>
          <w:u w:val="single"/>
        </w:rPr>
        <w:t>（采购人名称）</w:t>
      </w:r>
      <w:r>
        <w:rPr>
          <w:rFonts w:hint="eastAsia" w:ascii="仿宋" w:hAnsi="仿宋" w:eastAsia="仿宋"/>
          <w:color w:val="auto"/>
          <w:spacing w:val="6"/>
          <w:sz w:val="24"/>
          <w:highlight w:val="none"/>
        </w:rPr>
        <w:t>：</w:t>
      </w:r>
    </w:p>
    <w:p w14:paraId="6E21F1F0">
      <w:pPr>
        <w:pStyle w:val="4"/>
        <w:spacing w:line="360" w:lineRule="auto"/>
        <w:ind w:firstLine="504" w:firstLineChars="200"/>
        <w:jc w:val="left"/>
        <w:rPr>
          <w:rFonts w:ascii="仿宋" w:hAnsi="仿宋" w:eastAsia="仿宋"/>
          <w:color w:val="auto"/>
          <w:highlight w:val="none"/>
        </w:rPr>
      </w:pPr>
      <w:r>
        <w:rPr>
          <w:rFonts w:hint="eastAsia" w:ascii="仿宋" w:hAnsi="仿宋" w:eastAsia="仿宋"/>
          <w:color w:val="auto"/>
          <w:spacing w:val="6"/>
          <w:sz w:val="24"/>
          <w:highlight w:val="none"/>
        </w:rPr>
        <w:t>我方参与的</w:t>
      </w:r>
      <w:r>
        <w:rPr>
          <w:rFonts w:hint="eastAsia" w:ascii="仿宋" w:hAnsi="仿宋" w:eastAsia="仿宋"/>
          <w:color w:val="auto"/>
          <w:spacing w:val="6"/>
          <w:sz w:val="24"/>
          <w:highlight w:val="none"/>
          <w:u w:val="single"/>
        </w:rPr>
        <w:t xml:space="preserve">     （项目名称）（项目编号）（标项）    </w:t>
      </w:r>
      <w:r>
        <w:rPr>
          <w:rFonts w:hint="eastAsia" w:ascii="仿宋" w:hAnsi="仿宋" w:eastAsia="仿宋"/>
          <w:color w:val="auto"/>
          <w:spacing w:val="6"/>
          <w:sz w:val="24"/>
          <w:highlight w:val="none"/>
        </w:rPr>
        <w:t>的投标活动，我方郑重承诺，我方具有良好的财务会计制度、依法缴纳税收和社会保障资金，不偷逃税款和逃避缴纳社会保障资金。如有虚假，招标人可取消我方任何资格（投标/中标/签订合同），我方对此无任何异议。</w:t>
      </w:r>
    </w:p>
    <w:p w14:paraId="5921A207">
      <w:pPr>
        <w:pStyle w:val="32"/>
        <w:spacing w:line="360" w:lineRule="auto"/>
        <w:ind w:firstLine="504" w:firstLineChars="200"/>
        <w:rPr>
          <w:rFonts w:ascii="仿宋" w:hAnsi="仿宋" w:eastAsia="仿宋"/>
          <w:color w:val="auto"/>
          <w:spacing w:val="6"/>
          <w:sz w:val="24"/>
          <w:highlight w:val="none"/>
        </w:rPr>
      </w:pPr>
    </w:p>
    <w:p w14:paraId="752F883D">
      <w:pPr>
        <w:pStyle w:val="32"/>
        <w:spacing w:line="360" w:lineRule="auto"/>
        <w:ind w:firstLine="504" w:firstLineChars="200"/>
        <w:rPr>
          <w:rFonts w:ascii="仿宋" w:hAnsi="仿宋" w:eastAsia="仿宋"/>
          <w:color w:val="auto"/>
          <w:spacing w:val="6"/>
          <w:sz w:val="24"/>
          <w:highlight w:val="none"/>
        </w:rPr>
      </w:pPr>
      <w:r>
        <w:rPr>
          <w:rFonts w:hint="eastAsia" w:ascii="仿宋" w:hAnsi="仿宋" w:eastAsia="仿宋"/>
          <w:color w:val="auto"/>
          <w:spacing w:val="6"/>
          <w:sz w:val="24"/>
          <w:highlight w:val="none"/>
        </w:rPr>
        <w:t>特此承诺！</w:t>
      </w:r>
    </w:p>
    <w:p w14:paraId="7DC82999">
      <w:pPr>
        <w:pStyle w:val="32"/>
        <w:spacing w:line="360" w:lineRule="auto"/>
        <w:ind w:firstLine="504" w:firstLineChars="200"/>
        <w:rPr>
          <w:rFonts w:ascii="仿宋" w:hAnsi="仿宋" w:eastAsia="仿宋"/>
          <w:color w:val="auto"/>
          <w:spacing w:val="6"/>
          <w:sz w:val="24"/>
          <w:highlight w:val="none"/>
        </w:rPr>
      </w:pPr>
    </w:p>
    <w:p w14:paraId="0A7FC054">
      <w:pPr>
        <w:pStyle w:val="31"/>
        <w:wordWrap w:val="0"/>
        <w:spacing w:line="360" w:lineRule="auto"/>
        <w:ind w:firstLine="480"/>
        <w:jc w:val="right"/>
        <w:rPr>
          <w:rFonts w:ascii="仿宋" w:hAnsi="仿宋" w:eastAsia="仿宋"/>
          <w:color w:val="auto"/>
          <w:sz w:val="24"/>
          <w:szCs w:val="21"/>
          <w:highlight w:val="none"/>
          <w:u w:val="single"/>
        </w:rPr>
      </w:pPr>
      <w:r>
        <w:rPr>
          <w:rFonts w:hint="eastAsia" w:ascii="仿宋" w:hAnsi="仿宋" w:eastAsia="仿宋"/>
          <w:color w:val="auto"/>
          <w:sz w:val="24"/>
          <w:szCs w:val="21"/>
          <w:highlight w:val="none"/>
        </w:rPr>
        <w:t>供应商盖章：</w:t>
      </w:r>
      <w:r>
        <w:rPr>
          <w:rFonts w:hint="eastAsia" w:ascii="仿宋" w:hAnsi="仿宋" w:eastAsia="仿宋"/>
          <w:color w:val="auto"/>
          <w:sz w:val="24"/>
          <w:szCs w:val="21"/>
          <w:highlight w:val="none"/>
          <w:u w:val="single"/>
        </w:rPr>
        <w:t xml:space="preserve">                </w:t>
      </w:r>
    </w:p>
    <w:p w14:paraId="55F79971">
      <w:pPr>
        <w:pStyle w:val="31"/>
        <w:wordWrap w:val="0"/>
        <w:spacing w:line="360" w:lineRule="auto"/>
        <w:ind w:firstLine="480"/>
        <w:jc w:val="right"/>
        <w:rPr>
          <w:rFonts w:ascii="仿宋" w:hAnsi="仿宋" w:eastAsia="仿宋"/>
          <w:color w:val="auto"/>
          <w:sz w:val="24"/>
          <w:szCs w:val="21"/>
          <w:highlight w:val="none"/>
          <w:u w:val="single"/>
        </w:rPr>
      </w:pPr>
      <w:r>
        <w:rPr>
          <w:rFonts w:hint="eastAsia" w:ascii="仿宋" w:hAnsi="仿宋" w:eastAsia="仿宋"/>
          <w:color w:val="auto"/>
          <w:sz w:val="24"/>
          <w:szCs w:val="21"/>
          <w:highlight w:val="none"/>
        </w:rPr>
        <w:t>日      期：</w:t>
      </w:r>
      <w:r>
        <w:rPr>
          <w:rFonts w:hint="eastAsia" w:ascii="仿宋" w:hAnsi="仿宋" w:eastAsia="仿宋"/>
          <w:color w:val="auto"/>
          <w:sz w:val="24"/>
          <w:szCs w:val="21"/>
          <w:highlight w:val="none"/>
          <w:u w:val="single"/>
        </w:rPr>
        <w:t xml:space="preserve">                </w:t>
      </w:r>
    </w:p>
    <w:p w14:paraId="712F5793">
      <w:pPr>
        <w:pStyle w:val="33"/>
        <w:spacing w:line="360" w:lineRule="auto"/>
        <w:ind w:firstLine="504" w:firstLineChars="200"/>
        <w:rPr>
          <w:rFonts w:ascii="仿宋" w:hAnsi="仿宋" w:eastAsia="仿宋"/>
          <w:color w:val="auto"/>
          <w:spacing w:val="6"/>
          <w:sz w:val="24"/>
          <w:szCs w:val="20"/>
          <w:highlight w:val="none"/>
        </w:rPr>
      </w:pPr>
    </w:p>
    <w:p w14:paraId="530DDAEC">
      <w:pPr>
        <w:pStyle w:val="33"/>
        <w:spacing w:line="360" w:lineRule="auto"/>
        <w:ind w:firstLine="504" w:firstLineChars="200"/>
        <w:rPr>
          <w:rFonts w:ascii="仿宋" w:hAnsi="仿宋" w:eastAsia="仿宋"/>
          <w:color w:val="auto"/>
          <w:spacing w:val="6"/>
          <w:sz w:val="24"/>
          <w:szCs w:val="20"/>
          <w:highlight w:val="none"/>
        </w:rPr>
      </w:pPr>
    </w:p>
    <w:p w14:paraId="29F9B6E9">
      <w:pPr>
        <w:pStyle w:val="33"/>
        <w:spacing w:line="360" w:lineRule="auto"/>
        <w:ind w:firstLine="504" w:firstLineChars="200"/>
        <w:rPr>
          <w:rFonts w:ascii="仿宋" w:hAnsi="仿宋" w:eastAsia="仿宋"/>
          <w:color w:val="auto"/>
          <w:spacing w:val="6"/>
          <w:sz w:val="24"/>
          <w:szCs w:val="20"/>
          <w:highlight w:val="none"/>
        </w:rPr>
      </w:pPr>
    </w:p>
    <w:p w14:paraId="28CB5FA8">
      <w:pPr>
        <w:pStyle w:val="33"/>
        <w:spacing w:line="360" w:lineRule="auto"/>
        <w:ind w:firstLine="504" w:firstLineChars="200"/>
        <w:rPr>
          <w:rFonts w:ascii="仿宋" w:hAnsi="仿宋" w:eastAsia="仿宋"/>
          <w:color w:val="auto"/>
          <w:spacing w:val="6"/>
          <w:sz w:val="24"/>
          <w:szCs w:val="20"/>
          <w:highlight w:val="none"/>
        </w:rPr>
      </w:pPr>
    </w:p>
    <w:p w14:paraId="7640BC44">
      <w:pPr>
        <w:pStyle w:val="33"/>
        <w:spacing w:line="360" w:lineRule="auto"/>
        <w:ind w:firstLine="504" w:firstLineChars="200"/>
        <w:rPr>
          <w:rFonts w:ascii="仿宋" w:hAnsi="仿宋" w:eastAsia="仿宋"/>
          <w:color w:val="auto"/>
          <w:spacing w:val="6"/>
          <w:sz w:val="24"/>
          <w:szCs w:val="20"/>
          <w:highlight w:val="none"/>
        </w:rPr>
      </w:pPr>
    </w:p>
    <w:p w14:paraId="269D08F1">
      <w:pPr>
        <w:pStyle w:val="33"/>
        <w:spacing w:line="360" w:lineRule="auto"/>
        <w:ind w:firstLine="504" w:firstLineChars="200"/>
        <w:rPr>
          <w:rFonts w:ascii="仿宋" w:hAnsi="仿宋" w:eastAsia="仿宋"/>
          <w:color w:val="auto"/>
          <w:spacing w:val="6"/>
          <w:sz w:val="24"/>
          <w:szCs w:val="20"/>
          <w:highlight w:val="none"/>
        </w:rPr>
      </w:pPr>
    </w:p>
    <w:p w14:paraId="2D183FDB">
      <w:pPr>
        <w:pStyle w:val="33"/>
        <w:spacing w:line="360" w:lineRule="auto"/>
        <w:ind w:firstLine="504" w:firstLineChars="200"/>
        <w:rPr>
          <w:rFonts w:ascii="仿宋" w:hAnsi="仿宋" w:eastAsia="仿宋"/>
          <w:color w:val="auto"/>
          <w:spacing w:val="6"/>
          <w:sz w:val="24"/>
          <w:szCs w:val="20"/>
          <w:highlight w:val="none"/>
        </w:rPr>
      </w:pPr>
    </w:p>
    <w:p w14:paraId="478750ED">
      <w:pPr>
        <w:pStyle w:val="33"/>
        <w:spacing w:line="360" w:lineRule="auto"/>
        <w:ind w:firstLine="504" w:firstLineChars="200"/>
        <w:rPr>
          <w:rFonts w:ascii="仿宋" w:hAnsi="仿宋" w:eastAsia="仿宋"/>
          <w:color w:val="auto"/>
          <w:spacing w:val="6"/>
          <w:sz w:val="24"/>
          <w:szCs w:val="20"/>
          <w:highlight w:val="none"/>
        </w:rPr>
      </w:pPr>
    </w:p>
    <w:p w14:paraId="1E6393DB">
      <w:pPr>
        <w:pStyle w:val="33"/>
        <w:spacing w:line="360" w:lineRule="auto"/>
        <w:ind w:firstLine="504" w:firstLineChars="200"/>
        <w:rPr>
          <w:rFonts w:ascii="仿宋" w:hAnsi="仿宋" w:eastAsia="仿宋"/>
          <w:color w:val="auto"/>
          <w:spacing w:val="6"/>
          <w:sz w:val="24"/>
          <w:szCs w:val="20"/>
          <w:highlight w:val="none"/>
        </w:rPr>
      </w:pPr>
    </w:p>
    <w:p w14:paraId="40003E1E">
      <w:pPr>
        <w:pStyle w:val="33"/>
        <w:spacing w:line="360" w:lineRule="auto"/>
        <w:ind w:firstLine="504" w:firstLineChars="200"/>
        <w:rPr>
          <w:rFonts w:ascii="仿宋" w:hAnsi="仿宋" w:eastAsia="仿宋"/>
          <w:color w:val="auto"/>
          <w:spacing w:val="6"/>
          <w:sz w:val="24"/>
          <w:szCs w:val="20"/>
          <w:highlight w:val="none"/>
        </w:rPr>
      </w:pPr>
    </w:p>
    <w:p w14:paraId="773DC65F">
      <w:pPr>
        <w:pStyle w:val="33"/>
        <w:spacing w:line="360" w:lineRule="auto"/>
        <w:ind w:firstLine="504" w:firstLineChars="200"/>
        <w:rPr>
          <w:rFonts w:ascii="仿宋" w:hAnsi="仿宋" w:eastAsia="仿宋"/>
          <w:color w:val="auto"/>
          <w:spacing w:val="6"/>
          <w:sz w:val="24"/>
          <w:szCs w:val="20"/>
          <w:highlight w:val="none"/>
        </w:rPr>
      </w:pPr>
    </w:p>
    <w:p w14:paraId="2AE16B12">
      <w:pPr>
        <w:pStyle w:val="33"/>
        <w:spacing w:line="360" w:lineRule="auto"/>
        <w:ind w:firstLine="504" w:firstLineChars="200"/>
        <w:rPr>
          <w:rFonts w:ascii="仿宋" w:hAnsi="仿宋" w:eastAsia="仿宋"/>
          <w:color w:val="auto"/>
          <w:spacing w:val="6"/>
          <w:sz w:val="24"/>
          <w:szCs w:val="20"/>
          <w:highlight w:val="none"/>
        </w:rPr>
      </w:pPr>
    </w:p>
    <w:p w14:paraId="5C07FDDE">
      <w:pPr>
        <w:pStyle w:val="33"/>
        <w:spacing w:line="360" w:lineRule="auto"/>
        <w:ind w:firstLine="504" w:firstLineChars="200"/>
        <w:rPr>
          <w:rFonts w:ascii="仿宋" w:hAnsi="仿宋" w:eastAsia="仿宋"/>
          <w:color w:val="auto"/>
          <w:spacing w:val="6"/>
          <w:sz w:val="24"/>
          <w:szCs w:val="20"/>
          <w:highlight w:val="none"/>
        </w:rPr>
      </w:pPr>
    </w:p>
    <w:p w14:paraId="66561592">
      <w:pPr>
        <w:pStyle w:val="33"/>
        <w:spacing w:line="360" w:lineRule="auto"/>
        <w:ind w:firstLine="504" w:firstLineChars="200"/>
        <w:rPr>
          <w:rFonts w:ascii="仿宋" w:hAnsi="仿宋" w:eastAsia="仿宋"/>
          <w:color w:val="auto"/>
          <w:spacing w:val="6"/>
          <w:sz w:val="24"/>
          <w:szCs w:val="20"/>
          <w:highlight w:val="none"/>
        </w:rPr>
      </w:pPr>
    </w:p>
    <w:p w14:paraId="0FDEED21">
      <w:pPr>
        <w:pStyle w:val="6"/>
        <w:spacing w:before="0" w:after="0"/>
        <w:ind w:firstLine="0" w:firstLineChars="0"/>
        <w:jc w:val="left"/>
        <w:rPr>
          <w:rFonts w:ascii="仿宋" w:hAnsi="仿宋" w:eastAsia="仿宋"/>
          <w:color w:val="auto"/>
          <w:sz w:val="24"/>
          <w:szCs w:val="24"/>
          <w:highlight w:val="none"/>
        </w:rPr>
      </w:pPr>
      <w:bookmarkStart w:id="354" w:name="_Toc28830"/>
      <w:bookmarkStart w:id="355" w:name="_Toc34895593"/>
      <w:bookmarkStart w:id="356" w:name="_Toc18082"/>
      <w:r>
        <w:rPr>
          <w:rFonts w:hint="eastAsia" w:ascii="仿宋" w:hAnsi="仿宋" w:eastAsia="仿宋"/>
          <w:color w:val="auto"/>
          <w:sz w:val="24"/>
          <w:szCs w:val="24"/>
          <w:highlight w:val="none"/>
        </w:rPr>
        <w:t>1.</w:t>
      </w:r>
      <w:r>
        <w:rPr>
          <w:rFonts w:ascii="仿宋" w:hAnsi="仿宋" w:eastAsia="仿宋"/>
          <w:color w:val="auto"/>
          <w:sz w:val="24"/>
          <w:szCs w:val="24"/>
          <w:highlight w:val="none"/>
        </w:rPr>
        <w:t>7</w:t>
      </w:r>
      <w:r>
        <w:rPr>
          <w:rFonts w:hint="eastAsia" w:ascii="仿宋" w:hAnsi="仿宋" w:eastAsia="仿宋"/>
          <w:color w:val="auto"/>
          <w:sz w:val="24"/>
          <w:szCs w:val="24"/>
          <w:highlight w:val="none"/>
        </w:rPr>
        <w:t xml:space="preserve">    具有</w:t>
      </w:r>
      <w:r>
        <w:rPr>
          <w:rFonts w:ascii="仿宋" w:hAnsi="仿宋" w:eastAsia="仿宋"/>
          <w:color w:val="auto"/>
          <w:sz w:val="24"/>
          <w:szCs w:val="24"/>
          <w:highlight w:val="none"/>
        </w:rPr>
        <w:t>履行合同</w:t>
      </w:r>
      <w:r>
        <w:rPr>
          <w:rFonts w:hint="eastAsia" w:ascii="仿宋" w:hAnsi="仿宋" w:eastAsia="仿宋"/>
          <w:color w:val="auto"/>
          <w:sz w:val="24"/>
          <w:szCs w:val="24"/>
          <w:highlight w:val="none"/>
        </w:rPr>
        <w:t>所必需</w:t>
      </w:r>
      <w:r>
        <w:rPr>
          <w:rFonts w:ascii="仿宋" w:hAnsi="仿宋" w:eastAsia="仿宋"/>
          <w:color w:val="auto"/>
          <w:sz w:val="24"/>
          <w:szCs w:val="24"/>
          <w:highlight w:val="none"/>
        </w:rPr>
        <w:t>的</w:t>
      </w:r>
      <w:r>
        <w:rPr>
          <w:rFonts w:hint="eastAsia" w:ascii="仿宋" w:hAnsi="仿宋" w:eastAsia="仿宋"/>
          <w:color w:val="auto"/>
          <w:sz w:val="24"/>
          <w:szCs w:val="24"/>
          <w:highlight w:val="none"/>
        </w:rPr>
        <w:t>设备</w:t>
      </w:r>
      <w:r>
        <w:rPr>
          <w:rFonts w:ascii="仿宋" w:hAnsi="仿宋" w:eastAsia="仿宋"/>
          <w:color w:val="auto"/>
          <w:sz w:val="24"/>
          <w:szCs w:val="24"/>
          <w:highlight w:val="none"/>
        </w:rPr>
        <w:t>和</w:t>
      </w:r>
      <w:r>
        <w:rPr>
          <w:rFonts w:hint="eastAsia" w:ascii="仿宋" w:hAnsi="仿宋" w:eastAsia="仿宋"/>
          <w:color w:val="auto"/>
          <w:sz w:val="24"/>
          <w:szCs w:val="24"/>
          <w:highlight w:val="none"/>
        </w:rPr>
        <w:t>专业</w:t>
      </w:r>
      <w:r>
        <w:rPr>
          <w:rFonts w:ascii="仿宋" w:hAnsi="仿宋" w:eastAsia="仿宋"/>
          <w:color w:val="auto"/>
          <w:sz w:val="24"/>
          <w:szCs w:val="24"/>
          <w:highlight w:val="none"/>
        </w:rPr>
        <w:t>技术能力</w:t>
      </w:r>
      <w:r>
        <w:rPr>
          <w:rFonts w:hint="eastAsia" w:ascii="仿宋" w:hAnsi="仿宋" w:eastAsia="仿宋"/>
          <w:color w:val="auto"/>
          <w:sz w:val="24"/>
          <w:szCs w:val="24"/>
          <w:highlight w:val="none"/>
        </w:rPr>
        <w:t>承诺</w:t>
      </w:r>
      <w:r>
        <w:rPr>
          <w:rFonts w:ascii="仿宋" w:hAnsi="仿宋" w:eastAsia="仿宋"/>
          <w:color w:val="auto"/>
          <w:sz w:val="24"/>
          <w:szCs w:val="24"/>
          <w:highlight w:val="none"/>
        </w:rPr>
        <w:t>函格式</w:t>
      </w:r>
      <w:bookmarkEnd w:id="354"/>
      <w:bookmarkEnd w:id="355"/>
      <w:bookmarkEnd w:id="356"/>
    </w:p>
    <w:p w14:paraId="43223D70">
      <w:pPr>
        <w:pStyle w:val="4"/>
        <w:rPr>
          <w:rFonts w:ascii="仿宋" w:hAnsi="仿宋" w:eastAsia="仿宋"/>
          <w:color w:val="auto"/>
          <w:highlight w:val="none"/>
        </w:rPr>
      </w:pPr>
    </w:p>
    <w:p w14:paraId="1F915445">
      <w:pPr>
        <w:pStyle w:val="4"/>
        <w:spacing w:line="360" w:lineRule="auto"/>
        <w:ind w:firstLine="0"/>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具有履行合同所必需设备和专业技术能力的承诺函</w:t>
      </w:r>
    </w:p>
    <w:p w14:paraId="140C6BCF">
      <w:pPr>
        <w:snapToGrid w:val="0"/>
        <w:spacing w:line="360" w:lineRule="auto"/>
        <w:rPr>
          <w:rFonts w:ascii="仿宋" w:hAnsi="仿宋" w:eastAsia="仿宋" w:cs="宋体"/>
          <w:color w:val="auto"/>
          <w:highlight w:val="none"/>
        </w:rPr>
      </w:pPr>
    </w:p>
    <w:p w14:paraId="63A90F0A">
      <w:pPr>
        <w:pStyle w:val="32"/>
        <w:spacing w:line="360" w:lineRule="auto"/>
        <w:rPr>
          <w:rFonts w:ascii="仿宋" w:hAnsi="仿宋" w:eastAsia="仿宋"/>
          <w:color w:val="auto"/>
          <w:spacing w:val="6"/>
          <w:sz w:val="24"/>
          <w:highlight w:val="none"/>
        </w:rPr>
      </w:pPr>
      <w:r>
        <w:rPr>
          <w:rFonts w:hint="eastAsia" w:ascii="仿宋" w:hAnsi="仿宋" w:eastAsia="仿宋"/>
          <w:i/>
          <w:color w:val="auto"/>
          <w:spacing w:val="6"/>
          <w:sz w:val="24"/>
          <w:highlight w:val="none"/>
          <w:u w:val="single"/>
        </w:rPr>
        <w:t>（采购人</w:t>
      </w:r>
      <w:r>
        <w:rPr>
          <w:rFonts w:ascii="仿宋" w:hAnsi="仿宋" w:eastAsia="仿宋"/>
          <w:i/>
          <w:color w:val="auto"/>
          <w:spacing w:val="6"/>
          <w:sz w:val="24"/>
          <w:highlight w:val="none"/>
          <w:u w:val="single"/>
        </w:rPr>
        <w:t>名称</w:t>
      </w:r>
      <w:r>
        <w:rPr>
          <w:rFonts w:hint="eastAsia" w:ascii="仿宋" w:hAnsi="仿宋" w:eastAsia="仿宋"/>
          <w:i/>
          <w:color w:val="auto"/>
          <w:spacing w:val="6"/>
          <w:sz w:val="24"/>
          <w:highlight w:val="none"/>
          <w:u w:val="single"/>
        </w:rPr>
        <w:t>）</w:t>
      </w:r>
      <w:r>
        <w:rPr>
          <w:rFonts w:hint="eastAsia" w:ascii="仿宋" w:hAnsi="仿宋" w:eastAsia="仿宋"/>
          <w:color w:val="auto"/>
          <w:spacing w:val="6"/>
          <w:sz w:val="24"/>
          <w:highlight w:val="none"/>
        </w:rPr>
        <w:t>：</w:t>
      </w:r>
    </w:p>
    <w:p w14:paraId="37018A73">
      <w:pPr>
        <w:pStyle w:val="32"/>
        <w:spacing w:line="360" w:lineRule="auto"/>
        <w:ind w:firstLine="504" w:firstLineChars="200"/>
        <w:rPr>
          <w:rFonts w:ascii="仿宋" w:hAnsi="仿宋" w:eastAsia="仿宋"/>
          <w:color w:val="auto"/>
          <w:spacing w:val="6"/>
          <w:sz w:val="24"/>
          <w:highlight w:val="none"/>
        </w:rPr>
      </w:pPr>
      <w:r>
        <w:rPr>
          <w:rFonts w:hint="eastAsia" w:ascii="仿宋" w:hAnsi="仿宋" w:eastAsia="仿宋"/>
          <w:color w:val="auto"/>
          <w:spacing w:val="6"/>
          <w:sz w:val="24"/>
          <w:highlight w:val="none"/>
        </w:rPr>
        <w:t>我方参与的</w:t>
      </w:r>
      <w:r>
        <w:rPr>
          <w:rFonts w:hint="eastAsia" w:ascii="仿宋" w:hAnsi="仿宋" w:eastAsia="仿宋"/>
          <w:color w:val="auto"/>
          <w:spacing w:val="6"/>
          <w:sz w:val="24"/>
          <w:highlight w:val="none"/>
          <w:u w:val="single"/>
        </w:rPr>
        <w:t xml:space="preserve">    </w:t>
      </w:r>
      <w:r>
        <w:rPr>
          <w:rFonts w:hint="eastAsia" w:ascii="仿宋" w:hAnsi="仿宋" w:eastAsia="仿宋"/>
          <w:i/>
          <w:color w:val="auto"/>
          <w:spacing w:val="6"/>
          <w:sz w:val="24"/>
          <w:highlight w:val="none"/>
          <w:u w:val="single"/>
        </w:rPr>
        <w:t xml:space="preserve"> （项目名称）（项目编号）（标项）</w:t>
      </w:r>
      <w:r>
        <w:rPr>
          <w:rFonts w:hint="eastAsia" w:ascii="仿宋" w:hAnsi="仿宋" w:eastAsia="仿宋"/>
          <w:color w:val="auto"/>
          <w:spacing w:val="6"/>
          <w:sz w:val="24"/>
          <w:highlight w:val="none"/>
          <w:u w:val="single"/>
        </w:rPr>
        <w:t xml:space="preserve">    </w:t>
      </w:r>
      <w:r>
        <w:rPr>
          <w:rFonts w:hint="eastAsia" w:ascii="仿宋" w:hAnsi="仿宋" w:eastAsia="仿宋"/>
          <w:color w:val="auto"/>
          <w:spacing w:val="6"/>
          <w:sz w:val="24"/>
          <w:highlight w:val="none"/>
        </w:rPr>
        <w:t>的磋商活动，</w:t>
      </w:r>
      <w:r>
        <w:rPr>
          <w:rFonts w:ascii="仿宋" w:hAnsi="仿宋" w:eastAsia="仿宋"/>
          <w:color w:val="auto"/>
          <w:spacing w:val="6"/>
          <w:sz w:val="24"/>
          <w:highlight w:val="none"/>
        </w:rPr>
        <w:t>我方</w:t>
      </w:r>
      <w:r>
        <w:rPr>
          <w:rFonts w:hint="eastAsia" w:ascii="仿宋" w:hAnsi="仿宋" w:eastAsia="仿宋"/>
          <w:color w:val="auto"/>
          <w:spacing w:val="6"/>
          <w:sz w:val="24"/>
          <w:highlight w:val="none"/>
        </w:rPr>
        <w:t>郑重</w:t>
      </w:r>
      <w:r>
        <w:rPr>
          <w:rFonts w:ascii="仿宋" w:hAnsi="仿宋" w:eastAsia="仿宋"/>
          <w:color w:val="auto"/>
          <w:spacing w:val="6"/>
          <w:sz w:val="24"/>
          <w:highlight w:val="none"/>
        </w:rPr>
        <w:t>承诺，我方</w:t>
      </w:r>
      <w:r>
        <w:rPr>
          <w:rFonts w:hint="eastAsia" w:ascii="仿宋" w:hAnsi="仿宋" w:eastAsia="仿宋"/>
          <w:color w:val="auto"/>
          <w:spacing w:val="6"/>
          <w:sz w:val="24"/>
          <w:highlight w:val="none"/>
        </w:rPr>
        <w:t>承诺具有履行合同所必需设备和专业技术能力。如有虚假，采购人可取消我方任何资格（投标/成交/签订合同），我方对此无任何异议。</w:t>
      </w:r>
    </w:p>
    <w:p w14:paraId="444E1A17">
      <w:pPr>
        <w:pStyle w:val="32"/>
        <w:spacing w:line="360" w:lineRule="auto"/>
        <w:ind w:firstLine="504" w:firstLineChars="200"/>
        <w:rPr>
          <w:rFonts w:ascii="仿宋" w:hAnsi="仿宋" w:eastAsia="仿宋"/>
          <w:color w:val="auto"/>
          <w:spacing w:val="6"/>
          <w:sz w:val="24"/>
          <w:highlight w:val="none"/>
        </w:rPr>
      </w:pPr>
    </w:p>
    <w:p w14:paraId="3DC29A89">
      <w:pPr>
        <w:pStyle w:val="32"/>
        <w:spacing w:line="360" w:lineRule="auto"/>
        <w:ind w:firstLine="504" w:firstLineChars="200"/>
        <w:rPr>
          <w:rFonts w:ascii="仿宋" w:hAnsi="仿宋" w:eastAsia="仿宋"/>
          <w:color w:val="auto"/>
          <w:spacing w:val="6"/>
          <w:sz w:val="24"/>
          <w:highlight w:val="none"/>
        </w:rPr>
      </w:pPr>
      <w:r>
        <w:rPr>
          <w:rFonts w:hint="eastAsia" w:ascii="仿宋" w:hAnsi="仿宋" w:eastAsia="仿宋"/>
          <w:color w:val="auto"/>
          <w:spacing w:val="6"/>
          <w:sz w:val="24"/>
          <w:highlight w:val="none"/>
        </w:rPr>
        <w:t>特此承诺！</w:t>
      </w:r>
    </w:p>
    <w:p w14:paraId="3175C56B">
      <w:pPr>
        <w:pStyle w:val="32"/>
        <w:spacing w:line="360" w:lineRule="auto"/>
        <w:ind w:firstLine="504" w:firstLineChars="200"/>
        <w:rPr>
          <w:rFonts w:ascii="仿宋" w:hAnsi="仿宋" w:eastAsia="仿宋"/>
          <w:color w:val="auto"/>
          <w:spacing w:val="6"/>
          <w:sz w:val="24"/>
          <w:highlight w:val="none"/>
        </w:rPr>
      </w:pPr>
    </w:p>
    <w:p w14:paraId="356EF865">
      <w:pPr>
        <w:pStyle w:val="31"/>
        <w:wordWrap w:val="0"/>
        <w:spacing w:line="360" w:lineRule="auto"/>
        <w:ind w:firstLine="480"/>
        <w:jc w:val="right"/>
        <w:rPr>
          <w:rFonts w:ascii="仿宋" w:hAnsi="仿宋" w:eastAsia="仿宋"/>
          <w:color w:val="auto"/>
          <w:sz w:val="24"/>
          <w:szCs w:val="21"/>
          <w:highlight w:val="none"/>
          <w:u w:val="single"/>
        </w:rPr>
      </w:pPr>
      <w:r>
        <w:rPr>
          <w:rFonts w:hint="eastAsia" w:ascii="仿宋" w:hAnsi="仿宋" w:eastAsia="仿宋"/>
          <w:color w:val="auto"/>
          <w:sz w:val="24"/>
          <w:szCs w:val="21"/>
          <w:highlight w:val="none"/>
        </w:rPr>
        <w:t>供应商</w:t>
      </w:r>
      <w:r>
        <w:rPr>
          <w:rFonts w:ascii="仿宋" w:hAnsi="仿宋" w:eastAsia="仿宋"/>
          <w:color w:val="auto"/>
          <w:sz w:val="24"/>
          <w:szCs w:val="21"/>
          <w:highlight w:val="none"/>
        </w:rPr>
        <w:t>盖章：</w:t>
      </w:r>
      <w:r>
        <w:rPr>
          <w:rFonts w:hint="eastAsia" w:ascii="仿宋" w:hAnsi="仿宋" w:eastAsia="仿宋"/>
          <w:color w:val="auto"/>
          <w:sz w:val="24"/>
          <w:szCs w:val="21"/>
          <w:highlight w:val="none"/>
          <w:u w:val="single"/>
        </w:rPr>
        <w:t xml:space="preserve"> </w:t>
      </w:r>
      <w:r>
        <w:rPr>
          <w:rFonts w:ascii="仿宋" w:hAnsi="仿宋" w:eastAsia="仿宋"/>
          <w:color w:val="auto"/>
          <w:sz w:val="24"/>
          <w:szCs w:val="21"/>
          <w:highlight w:val="none"/>
          <w:u w:val="single"/>
        </w:rPr>
        <w:t xml:space="preserve">               </w:t>
      </w:r>
    </w:p>
    <w:p w14:paraId="73EFA96F">
      <w:pPr>
        <w:pStyle w:val="31"/>
        <w:wordWrap w:val="0"/>
        <w:spacing w:line="360" w:lineRule="auto"/>
        <w:ind w:firstLine="480"/>
        <w:jc w:val="right"/>
        <w:rPr>
          <w:rFonts w:ascii="仿宋" w:hAnsi="仿宋" w:eastAsia="仿宋"/>
          <w:color w:val="auto"/>
          <w:sz w:val="24"/>
          <w:szCs w:val="21"/>
          <w:highlight w:val="none"/>
          <w:u w:val="single"/>
        </w:rPr>
      </w:pPr>
      <w:r>
        <w:rPr>
          <w:rFonts w:ascii="仿宋" w:hAnsi="仿宋" w:eastAsia="仿宋"/>
          <w:color w:val="auto"/>
          <w:sz w:val="24"/>
          <w:szCs w:val="21"/>
          <w:highlight w:val="none"/>
        </w:rPr>
        <w:t>日      期：</w:t>
      </w:r>
      <w:r>
        <w:rPr>
          <w:rFonts w:hint="eastAsia" w:ascii="仿宋" w:hAnsi="仿宋" w:eastAsia="仿宋"/>
          <w:color w:val="auto"/>
          <w:sz w:val="24"/>
          <w:szCs w:val="21"/>
          <w:highlight w:val="none"/>
          <w:u w:val="single"/>
        </w:rPr>
        <w:t xml:space="preserve"> </w:t>
      </w:r>
      <w:r>
        <w:rPr>
          <w:rFonts w:ascii="仿宋" w:hAnsi="仿宋" w:eastAsia="仿宋"/>
          <w:color w:val="auto"/>
          <w:sz w:val="24"/>
          <w:szCs w:val="21"/>
          <w:highlight w:val="none"/>
          <w:u w:val="single"/>
        </w:rPr>
        <w:t xml:space="preserve">               </w:t>
      </w:r>
    </w:p>
    <w:p w14:paraId="2C6CAD26">
      <w:pPr>
        <w:pStyle w:val="31"/>
        <w:spacing w:line="360" w:lineRule="auto"/>
        <w:jc w:val="left"/>
        <w:rPr>
          <w:rFonts w:ascii="仿宋" w:hAnsi="仿宋" w:eastAsia="仿宋"/>
          <w:color w:val="auto"/>
          <w:sz w:val="24"/>
          <w:szCs w:val="21"/>
          <w:highlight w:val="none"/>
          <w:u w:val="single"/>
        </w:rPr>
      </w:pPr>
    </w:p>
    <w:p w14:paraId="6C2E628B">
      <w:pPr>
        <w:pStyle w:val="31"/>
        <w:spacing w:line="360" w:lineRule="auto"/>
        <w:jc w:val="left"/>
        <w:rPr>
          <w:rFonts w:ascii="仿宋" w:hAnsi="仿宋" w:eastAsia="仿宋"/>
          <w:color w:val="auto"/>
          <w:sz w:val="24"/>
          <w:szCs w:val="21"/>
          <w:highlight w:val="none"/>
          <w:u w:val="single"/>
        </w:rPr>
        <w:sectPr>
          <w:pgSz w:w="11906" w:h="16838"/>
          <w:pgMar w:top="1440" w:right="1797" w:bottom="1440" w:left="1797" w:header="851" w:footer="851" w:gutter="0"/>
          <w:pgBorders>
            <w:top w:val="none" w:sz="0" w:space="0"/>
            <w:left w:val="none" w:sz="0" w:space="0"/>
            <w:bottom w:val="none" w:sz="0" w:space="0"/>
            <w:right w:val="none" w:sz="0" w:space="0"/>
          </w:pgBorders>
          <w:cols w:space="720" w:num="1"/>
          <w:docGrid w:linePitch="312" w:charSpace="0"/>
        </w:sectPr>
      </w:pPr>
    </w:p>
    <w:p w14:paraId="5DD2BA98">
      <w:pPr>
        <w:pStyle w:val="6"/>
        <w:spacing w:before="0" w:after="0"/>
        <w:ind w:firstLine="0" w:firstLineChars="0"/>
        <w:jc w:val="left"/>
        <w:rPr>
          <w:rFonts w:ascii="仿宋" w:hAnsi="仿宋" w:eastAsia="仿宋" w:cs="仿宋"/>
          <w:color w:val="auto"/>
          <w:sz w:val="24"/>
          <w:szCs w:val="24"/>
          <w:highlight w:val="none"/>
        </w:rPr>
      </w:pPr>
      <w:bookmarkStart w:id="357" w:name="_Toc14193"/>
      <w:r>
        <w:rPr>
          <w:rFonts w:hint="eastAsia" w:ascii="仿宋" w:hAnsi="仿宋" w:eastAsia="仿宋" w:cs="仿宋"/>
          <w:color w:val="auto"/>
          <w:sz w:val="24"/>
          <w:szCs w:val="24"/>
          <w:highlight w:val="none"/>
        </w:rPr>
        <w:t>1.8    无重大违法记录声明书</w:t>
      </w:r>
      <w:bookmarkEnd w:id="351"/>
      <w:bookmarkEnd w:id="352"/>
      <w:bookmarkEnd w:id="353"/>
      <w:r>
        <w:rPr>
          <w:rFonts w:hint="eastAsia" w:ascii="仿宋" w:hAnsi="仿宋" w:eastAsia="仿宋" w:cs="仿宋"/>
          <w:color w:val="auto"/>
          <w:sz w:val="24"/>
          <w:szCs w:val="24"/>
          <w:highlight w:val="none"/>
        </w:rPr>
        <w:t>格式</w:t>
      </w:r>
      <w:bookmarkEnd w:id="357"/>
    </w:p>
    <w:p w14:paraId="2D5E30A5">
      <w:pPr>
        <w:pStyle w:val="4"/>
        <w:ind w:firstLine="0"/>
        <w:rPr>
          <w:rFonts w:ascii="仿宋" w:hAnsi="仿宋" w:eastAsia="仿宋" w:cs="仿宋"/>
          <w:color w:val="auto"/>
          <w:highlight w:val="none"/>
        </w:rPr>
      </w:pPr>
    </w:p>
    <w:p w14:paraId="74EB2361">
      <w:pPr>
        <w:pStyle w:val="4"/>
        <w:spacing w:line="360" w:lineRule="auto"/>
        <w:ind w:firstLine="0"/>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无重大违法记录声明书</w:t>
      </w:r>
    </w:p>
    <w:p w14:paraId="0FA04DE9">
      <w:pPr>
        <w:pStyle w:val="32"/>
        <w:spacing w:line="360" w:lineRule="auto"/>
        <w:rPr>
          <w:rFonts w:ascii="仿宋" w:hAnsi="仿宋" w:eastAsia="仿宋" w:cs="仿宋"/>
          <w:color w:val="auto"/>
          <w:spacing w:val="6"/>
          <w:sz w:val="24"/>
          <w:highlight w:val="none"/>
        </w:rPr>
      </w:pPr>
      <w:r>
        <w:rPr>
          <w:rFonts w:hint="eastAsia" w:ascii="仿宋" w:hAnsi="仿宋" w:eastAsia="仿宋" w:cs="仿宋"/>
          <w:i/>
          <w:color w:val="auto"/>
          <w:spacing w:val="6"/>
          <w:sz w:val="24"/>
          <w:szCs w:val="20"/>
          <w:highlight w:val="none"/>
          <w:u w:val="single"/>
        </w:rPr>
        <w:t>（采购人名称）</w:t>
      </w:r>
      <w:r>
        <w:rPr>
          <w:rFonts w:hint="eastAsia" w:ascii="仿宋" w:hAnsi="仿宋" w:eastAsia="仿宋" w:cs="仿宋"/>
          <w:color w:val="auto"/>
          <w:spacing w:val="6"/>
          <w:sz w:val="24"/>
          <w:highlight w:val="none"/>
        </w:rPr>
        <w:t>：</w:t>
      </w:r>
    </w:p>
    <w:p w14:paraId="5856AD9A">
      <w:pPr>
        <w:pStyle w:val="32"/>
        <w:spacing w:line="360" w:lineRule="auto"/>
        <w:ind w:firstLine="504" w:firstLineChars="200"/>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 xml:space="preserve"> 我方参与的</w:t>
      </w:r>
      <w:r>
        <w:rPr>
          <w:rFonts w:hint="eastAsia" w:ascii="仿宋" w:hAnsi="仿宋" w:eastAsia="仿宋" w:cs="仿宋"/>
          <w:color w:val="auto"/>
          <w:spacing w:val="6"/>
          <w:sz w:val="24"/>
          <w:highlight w:val="none"/>
          <w:u w:val="single"/>
        </w:rPr>
        <w:t xml:space="preserve">     </w:t>
      </w:r>
      <w:r>
        <w:rPr>
          <w:rFonts w:hint="eastAsia" w:ascii="仿宋" w:hAnsi="仿宋" w:eastAsia="仿宋" w:cs="仿宋"/>
          <w:i/>
          <w:color w:val="auto"/>
          <w:spacing w:val="6"/>
          <w:sz w:val="24"/>
          <w:szCs w:val="20"/>
          <w:highlight w:val="none"/>
          <w:u w:val="single"/>
        </w:rPr>
        <w:t>（项目名称）（项目编号）（标项）</w:t>
      </w:r>
      <w:r>
        <w:rPr>
          <w:rFonts w:hint="eastAsia" w:ascii="仿宋" w:hAnsi="仿宋" w:eastAsia="仿宋" w:cs="仿宋"/>
          <w:color w:val="auto"/>
          <w:spacing w:val="6"/>
          <w:sz w:val="24"/>
          <w:highlight w:val="none"/>
          <w:u w:val="single"/>
        </w:rPr>
        <w:t xml:space="preserve">    </w:t>
      </w:r>
      <w:r>
        <w:rPr>
          <w:rFonts w:hint="eastAsia" w:ascii="仿宋" w:hAnsi="仿宋" w:eastAsia="仿宋" w:cs="仿宋"/>
          <w:color w:val="auto"/>
          <w:spacing w:val="6"/>
          <w:sz w:val="24"/>
          <w:highlight w:val="none"/>
        </w:rPr>
        <w:t>的响应活动，我方郑重声明，我方参加本项目响应活动前三年内无重大违法记录（重大违法记录是指供应商因违法经营受到刑事处罚或者责令停产停业、吊销许可证或者执照、较大数额罚款等行政处罚），符合《中华人民共和国政府采购法》、《中华人民共和国政府采购法实施条例》的规定。我方对此声明负全部法律责任。</w:t>
      </w:r>
    </w:p>
    <w:p w14:paraId="02DB77C5">
      <w:pPr>
        <w:pStyle w:val="32"/>
        <w:spacing w:line="360" w:lineRule="auto"/>
        <w:ind w:firstLine="504" w:firstLineChars="200"/>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特此声明。</w:t>
      </w:r>
      <w:bookmarkStart w:id="358" w:name="_Toc523398458"/>
      <w:bookmarkStart w:id="359" w:name="_Toc500333505"/>
      <w:bookmarkStart w:id="360" w:name="_Toc531359051"/>
    </w:p>
    <w:p w14:paraId="097AA571">
      <w:pPr>
        <w:pStyle w:val="32"/>
        <w:spacing w:line="360" w:lineRule="auto"/>
        <w:rPr>
          <w:rFonts w:ascii="仿宋" w:hAnsi="仿宋" w:eastAsia="仿宋" w:cs="仿宋"/>
          <w:color w:val="auto"/>
          <w:spacing w:val="6"/>
          <w:sz w:val="24"/>
          <w:highlight w:val="none"/>
        </w:rPr>
      </w:pPr>
    </w:p>
    <w:p w14:paraId="265A5DAA">
      <w:pPr>
        <w:pStyle w:val="32"/>
        <w:spacing w:line="360" w:lineRule="auto"/>
        <w:ind w:right="140"/>
        <w:jc w:val="left"/>
        <w:rPr>
          <w:rFonts w:ascii="仿宋" w:hAnsi="仿宋" w:eastAsia="仿宋" w:cs="仿宋"/>
          <w:color w:val="auto"/>
          <w:spacing w:val="20"/>
          <w:sz w:val="24"/>
          <w:szCs w:val="21"/>
          <w:highlight w:val="none"/>
        </w:rPr>
      </w:pPr>
    </w:p>
    <w:p w14:paraId="4E821BDC">
      <w:pPr>
        <w:pStyle w:val="31"/>
        <w:wordWrap w:val="0"/>
        <w:spacing w:line="360" w:lineRule="auto"/>
        <w:ind w:firstLine="480"/>
        <w:jc w:val="right"/>
        <w:rPr>
          <w:rFonts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供应商盖章：</w:t>
      </w:r>
      <w:r>
        <w:rPr>
          <w:rFonts w:hint="eastAsia" w:ascii="仿宋" w:hAnsi="仿宋" w:eastAsia="仿宋" w:cs="仿宋"/>
          <w:color w:val="auto"/>
          <w:sz w:val="24"/>
          <w:szCs w:val="21"/>
          <w:highlight w:val="none"/>
          <w:u w:val="single"/>
        </w:rPr>
        <w:t xml:space="preserve">                </w:t>
      </w:r>
    </w:p>
    <w:p w14:paraId="7D3C2E95">
      <w:pPr>
        <w:pStyle w:val="31"/>
        <w:wordWrap w:val="0"/>
        <w:spacing w:line="360" w:lineRule="auto"/>
        <w:ind w:firstLine="480"/>
        <w:jc w:val="right"/>
        <w:rPr>
          <w:rFonts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14:paraId="2D4BA6F2">
      <w:pPr>
        <w:pStyle w:val="6"/>
        <w:spacing w:before="0" w:after="0"/>
        <w:ind w:firstLine="0" w:firstLineChars="0"/>
        <w:jc w:val="right"/>
        <w:rPr>
          <w:rFonts w:ascii="仿宋" w:hAnsi="仿宋" w:eastAsia="仿宋" w:cs="仿宋"/>
          <w:color w:val="auto"/>
          <w:sz w:val="28"/>
          <w:szCs w:val="28"/>
          <w:highlight w:val="none"/>
        </w:rPr>
        <w:sectPr>
          <w:pgSz w:w="11906" w:h="16838"/>
          <w:pgMar w:top="1440" w:right="1797" w:bottom="1440" w:left="1797" w:header="851" w:footer="851" w:gutter="0"/>
          <w:pgBorders>
            <w:top w:val="none" w:sz="0" w:space="0"/>
            <w:left w:val="none" w:sz="0" w:space="0"/>
            <w:bottom w:val="none" w:sz="0" w:space="0"/>
            <w:right w:val="none" w:sz="0" w:space="0"/>
          </w:pgBorders>
          <w:cols w:space="720" w:num="1"/>
          <w:docGrid w:linePitch="312" w:charSpace="0"/>
        </w:sectPr>
      </w:pPr>
    </w:p>
    <w:bookmarkEnd w:id="358"/>
    <w:bookmarkEnd w:id="359"/>
    <w:bookmarkEnd w:id="360"/>
    <w:p w14:paraId="1CD963A7">
      <w:pPr>
        <w:pStyle w:val="6"/>
        <w:spacing w:before="0" w:after="0"/>
        <w:ind w:firstLine="0" w:firstLineChars="0"/>
        <w:rPr>
          <w:rFonts w:ascii="仿宋" w:hAnsi="仿宋" w:eastAsia="仿宋" w:cs="仿宋"/>
          <w:color w:val="auto"/>
          <w:sz w:val="24"/>
          <w:szCs w:val="24"/>
          <w:highlight w:val="none"/>
        </w:rPr>
      </w:pPr>
      <w:bookmarkStart w:id="361" w:name="_Toc11720"/>
      <w:bookmarkStart w:id="362" w:name="_Toc28594"/>
      <w:bookmarkStart w:id="363" w:name="_Toc530551883"/>
      <w:bookmarkStart w:id="364" w:name="_Toc531359054"/>
      <w:bookmarkStart w:id="365" w:name="_Toc493956058"/>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   特定资格条件证明材料附件（若有）</w:t>
      </w:r>
      <w:bookmarkEnd w:id="361"/>
      <w:bookmarkEnd w:id="362"/>
    </w:p>
    <w:p w14:paraId="68C5EA49">
      <w:pPr>
        <w:pStyle w:val="4"/>
        <w:spacing w:line="360" w:lineRule="auto"/>
        <w:ind w:firstLine="0"/>
        <w:jc w:val="left"/>
        <w:rPr>
          <w:rFonts w:ascii="仿宋" w:hAnsi="仿宋" w:eastAsia="仿宋" w:cs="仿宋"/>
          <w:color w:val="auto"/>
          <w:highlight w:val="none"/>
        </w:rPr>
      </w:pPr>
    </w:p>
    <w:p w14:paraId="7CC52C83">
      <w:pPr>
        <w:pStyle w:val="4"/>
        <w:spacing w:line="36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rPr>
        <w:t>格式自行设计</w:t>
      </w:r>
      <w:r>
        <w:rPr>
          <w:rFonts w:hint="eastAsia" w:ascii="仿宋" w:hAnsi="仿宋" w:eastAsia="仿宋" w:cs="仿宋"/>
          <w:color w:val="auto"/>
          <w:sz w:val="24"/>
          <w:szCs w:val="24"/>
          <w:highlight w:val="none"/>
        </w:rPr>
        <w:t>）</w:t>
      </w:r>
    </w:p>
    <w:p w14:paraId="39CAD11A">
      <w:pPr>
        <w:pStyle w:val="35"/>
        <w:spacing w:line="360" w:lineRule="auto"/>
        <w:jc w:val="left"/>
        <w:rPr>
          <w:rFonts w:ascii="仿宋" w:hAnsi="仿宋" w:eastAsia="仿宋" w:cs="仿宋"/>
          <w:b/>
          <w:color w:val="auto"/>
          <w:sz w:val="24"/>
          <w:szCs w:val="21"/>
          <w:highlight w:val="none"/>
        </w:rPr>
      </w:pPr>
    </w:p>
    <w:p w14:paraId="2F43DC54">
      <w:pPr>
        <w:pStyle w:val="35"/>
        <w:spacing w:line="360" w:lineRule="auto"/>
        <w:jc w:val="left"/>
        <w:rPr>
          <w:rFonts w:ascii="仿宋" w:hAnsi="仿宋" w:eastAsia="仿宋" w:cs="仿宋"/>
          <w:b/>
          <w:color w:val="auto"/>
          <w:sz w:val="24"/>
          <w:szCs w:val="21"/>
          <w:highlight w:val="none"/>
        </w:rPr>
      </w:pPr>
    </w:p>
    <w:p w14:paraId="775D36CF">
      <w:pPr>
        <w:pStyle w:val="6"/>
        <w:spacing w:before="0" w:after="0"/>
        <w:ind w:firstLine="0" w:firstLineChars="0"/>
        <w:jc w:val="left"/>
        <w:rPr>
          <w:rFonts w:ascii="仿宋" w:hAnsi="仿宋" w:eastAsia="仿宋" w:cs="仿宋"/>
          <w:color w:val="auto"/>
          <w:sz w:val="24"/>
          <w:szCs w:val="24"/>
          <w:highlight w:val="none"/>
        </w:rPr>
      </w:pPr>
      <w:bookmarkStart w:id="366" w:name="_Toc16245"/>
      <w:bookmarkStart w:id="367" w:name="_Toc3199"/>
      <w:r>
        <w:rPr>
          <w:rFonts w:hint="eastAsia" w:ascii="仿宋" w:hAnsi="仿宋" w:eastAsia="仿宋" w:cs="仿宋"/>
          <w:color w:val="auto"/>
          <w:sz w:val="24"/>
          <w:szCs w:val="24"/>
          <w:highlight w:val="none"/>
        </w:rPr>
        <w:t>1.1</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 xml:space="preserve">   其他</w:t>
      </w:r>
      <w:bookmarkEnd w:id="366"/>
      <w:bookmarkEnd w:id="367"/>
    </w:p>
    <w:p w14:paraId="3FB22CD7">
      <w:pPr>
        <w:pStyle w:val="4"/>
        <w:spacing w:line="360" w:lineRule="auto"/>
        <w:ind w:firstLine="0"/>
        <w:rPr>
          <w:rFonts w:ascii="仿宋" w:hAnsi="仿宋" w:eastAsia="仿宋" w:cs="仿宋"/>
          <w:color w:val="auto"/>
          <w:highlight w:val="none"/>
        </w:rPr>
      </w:pPr>
    </w:p>
    <w:p w14:paraId="1498949B">
      <w:pPr>
        <w:pStyle w:val="35"/>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rPr>
        <w:t>格式自行设计</w:t>
      </w:r>
      <w:r>
        <w:rPr>
          <w:rFonts w:hint="eastAsia" w:ascii="仿宋" w:hAnsi="仿宋" w:eastAsia="仿宋" w:cs="仿宋"/>
          <w:color w:val="auto"/>
          <w:sz w:val="24"/>
          <w:szCs w:val="24"/>
          <w:highlight w:val="none"/>
        </w:rPr>
        <w:t>）</w:t>
      </w:r>
    </w:p>
    <w:p w14:paraId="2F30ADC1">
      <w:pPr>
        <w:pStyle w:val="32"/>
        <w:spacing w:line="360" w:lineRule="auto"/>
        <w:rPr>
          <w:rFonts w:ascii="仿宋" w:hAnsi="仿宋" w:eastAsia="仿宋" w:cs="仿宋"/>
          <w:color w:val="auto"/>
          <w:spacing w:val="6"/>
          <w:sz w:val="24"/>
          <w:highlight w:val="none"/>
        </w:rPr>
      </w:pPr>
    </w:p>
    <w:p w14:paraId="46726EFD">
      <w:pPr>
        <w:pStyle w:val="32"/>
        <w:spacing w:line="360" w:lineRule="auto"/>
        <w:jc w:val="center"/>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w:t>
      </w:r>
      <w:r>
        <w:rPr>
          <w:rFonts w:hint="eastAsia" w:ascii="仿宋" w:hAnsi="仿宋" w:eastAsia="仿宋" w:cs="仿宋"/>
          <w:color w:val="auto"/>
          <w:sz w:val="24"/>
          <w:szCs w:val="21"/>
          <w:highlight w:val="none"/>
        </w:rPr>
        <w:t>供应商</w:t>
      </w:r>
      <w:r>
        <w:rPr>
          <w:rFonts w:hint="eastAsia" w:ascii="仿宋" w:hAnsi="仿宋" w:eastAsia="仿宋" w:cs="仿宋"/>
          <w:color w:val="auto"/>
          <w:spacing w:val="6"/>
          <w:sz w:val="24"/>
          <w:highlight w:val="none"/>
        </w:rPr>
        <w:t>认为有利于其本次投标的其它资格证明材料等。）</w:t>
      </w:r>
    </w:p>
    <w:p w14:paraId="2BC9E29D">
      <w:pPr>
        <w:pStyle w:val="4"/>
        <w:rPr>
          <w:rFonts w:ascii="仿宋" w:hAnsi="仿宋" w:eastAsia="仿宋" w:cs="仿宋"/>
          <w:color w:val="auto"/>
          <w:highlight w:val="none"/>
        </w:rPr>
        <w:sectPr>
          <w:pgSz w:w="11906" w:h="16838"/>
          <w:pgMar w:top="1440" w:right="1797" w:bottom="1440" w:left="1797" w:header="851" w:footer="851" w:gutter="0"/>
          <w:pgBorders>
            <w:top w:val="none" w:sz="0" w:space="0"/>
            <w:left w:val="none" w:sz="0" w:space="0"/>
            <w:bottom w:val="none" w:sz="0" w:space="0"/>
            <w:right w:val="none" w:sz="0" w:space="0"/>
          </w:pgBorders>
          <w:cols w:space="720" w:num="1"/>
          <w:docGrid w:linePitch="312" w:charSpace="0"/>
        </w:sectPr>
      </w:pPr>
    </w:p>
    <w:p w14:paraId="4C7A5180">
      <w:pPr>
        <w:pStyle w:val="19"/>
        <w:spacing w:beforeLines="100" w:after="240" w:afterLines="100"/>
        <w:outlineLvl w:val="1"/>
        <w:rPr>
          <w:rFonts w:ascii="仿宋" w:hAnsi="仿宋" w:eastAsia="仿宋" w:cs="仿宋"/>
          <w:color w:val="auto"/>
          <w:highlight w:val="none"/>
        </w:rPr>
      </w:pPr>
      <w:bookmarkStart w:id="368" w:name="_Toc19075"/>
      <w:r>
        <w:rPr>
          <w:rFonts w:hint="eastAsia" w:ascii="仿宋" w:hAnsi="仿宋" w:eastAsia="仿宋" w:cs="仿宋"/>
          <w:color w:val="auto"/>
          <w:highlight w:val="none"/>
        </w:rPr>
        <w:t>二  资信商务及技术文件格式</w:t>
      </w:r>
      <w:bookmarkEnd w:id="363"/>
      <w:bookmarkEnd w:id="364"/>
      <w:bookmarkEnd w:id="365"/>
      <w:bookmarkEnd w:id="368"/>
    </w:p>
    <w:p w14:paraId="156D0E58">
      <w:pPr>
        <w:pStyle w:val="36"/>
        <w:spacing w:line="360" w:lineRule="auto"/>
        <w:jc w:val="center"/>
        <w:rPr>
          <w:rFonts w:ascii="仿宋" w:hAnsi="仿宋" w:eastAsia="仿宋" w:cs="仿宋"/>
          <w:color w:val="auto"/>
          <w:sz w:val="28"/>
          <w:szCs w:val="28"/>
          <w:highlight w:val="none"/>
        </w:rPr>
      </w:pPr>
      <w:bookmarkStart w:id="369" w:name="_Toc531359055"/>
      <w:bookmarkStart w:id="370" w:name="_Toc530551884"/>
      <w:bookmarkStart w:id="371" w:name="_Toc493956059"/>
    </w:p>
    <w:p w14:paraId="45E462A6">
      <w:pPr>
        <w:pStyle w:val="36"/>
        <w:spacing w:line="360" w:lineRule="auto"/>
        <w:jc w:val="left"/>
        <w:rPr>
          <w:rFonts w:ascii="仿宋" w:hAnsi="仿宋" w:eastAsia="仿宋" w:cs="仿宋"/>
          <w:color w:val="auto"/>
          <w:sz w:val="24"/>
          <w:szCs w:val="24"/>
          <w:highlight w:val="none"/>
        </w:rPr>
      </w:pPr>
    </w:p>
    <w:bookmarkEnd w:id="369"/>
    <w:p w14:paraId="6D692D31">
      <w:pPr>
        <w:pStyle w:val="6"/>
        <w:spacing w:before="0" w:after="0"/>
        <w:ind w:firstLine="0" w:firstLineChars="0"/>
        <w:jc w:val="left"/>
        <w:rPr>
          <w:rFonts w:ascii="仿宋" w:hAnsi="仿宋" w:eastAsia="仿宋" w:cs="仿宋"/>
          <w:color w:val="auto"/>
          <w:sz w:val="24"/>
          <w:szCs w:val="24"/>
          <w:highlight w:val="none"/>
        </w:rPr>
      </w:pPr>
      <w:bookmarkStart w:id="372" w:name="_Toc531359056"/>
      <w:bookmarkStart w:id="373" w:name="_Toc20100"/>
      <w:r>
        <w:rPr>
          <w:rFonts w:hint="eastAsia" w:ascii="仿宋" w:hAnsi="仿宋" w:eastAsia="仿宋" w:cs="仿宋"/>
          <w:color w:val="auto"/>
          <w:sz w:val="24"/>
          <w:szCs w:val="24"/>
          <w:highlight w:val="none"/>
        </w:rPr>
        <w:t>2.1    资信及商务文件封面</w:t>
      </w:r>
      <w:bookmarkEnd w:id="372"/>
      <w:r>
        <w:rPr>
          <w:rFonts w:hint="eastAsia" w:ascii="仿宋" w:hAnsi="仿宋" w:eastAsia="仿宋" w:cs="仿宋"/>
          <w:color w:val="auto"/>
          <w:sz w:val="24"/>
          <w:szCs w:val="24"/>
          <w:highlight w:val="none"/>
        </w:rPr>
        <w:t>格式</w:t>
      </w:r>
      <w:bookmarkEnd w:id="373"/>
    </w:p>
    <w:p w14:paraId="29A74C08">
      <w:pPr>
        <w:pStyle w:val="4"/>
        <w:ind w:firstLine="0"/>
        <w:rPr>
          <w:rFonts w:ascii="仿宋" w:hAnsi="仿宋" w:eastAsia="仿宋" w:cs="仿宋"/>
          <w:color w:val="auto"/>
          <w:highlight w:val="none"/>
        </w:rPr>
      </w:pPr>
    </w:p>
    <w:p w14:paraId="70502500">
      <w:pPr>
        <w:pStyle w:val="4"/>
        <w:ind w:firstLine="0"/>
        <w:rPr>
          <w:rFonts w:ascii="仿宋" w:hAnsi="仿宋" w:eastAsia="仿宋" w:cs="仿宋"/>
          <w:color w:val="auto"/>
          <w:highlight w:val="none"/>
        </w:rPr>
      </w:pPr>
    </w:p>
    <w:p w14:paraId="2D344650">
      <w:pPr>
        <w:pStyle w:val="4"/>
        <w:spacing w:line="360" w:lineRule="auto"/>
        <w:ind w:firstLine="0"/>
        <w:jc w:val="center"/>
        <w:rPr>
          <w:rFonts w:ascii="仿宋" w:hAnsi="仿宋" w:eastAsia="仿宋" w:cs="仿宋"/>
          <w:bCs/>
          <w:color w:val="auto"/>
          <w:sz w:val="24"/>
          <w:highlight w:val="none"/>
        </w:rPr>
      </w:pPr>
      <w:r>
        <w:rPr>
          <w:rFonts w:hint="eastAsia" w:ascii="仿宋" w:hAnsi="仿宋" w:eastAsia="仿宋" w:cs="仿宋"/>
          <w:b/>
          <w:color w:val="auto"/>
          <w:sz w:val="32"/>
          <w:szCs w:val="32"/>
          <w:highlight w:val="none"/>
        </w:rPr>
        <w:t>磋商响应文件</w:t>
      </w:r>
    </w:p>
    <w:tbl>
      <w:tblPr>
        <w:tblStyle w:val="20"/>
        <w:tblW w:w="0" w:type="auto"/>
        <w:jc w:val="center"/>
        <w:tblLayout w:type="fixed"/>
        <w:tblCellMar>
          <w:top w:w="0" w:type="dxa"/>
          <w:left w:w="108" w:type="dxa"/>
          <w:bottom w:w="0" w:type="dxa"/>
          <w:right w:w="108" w:type="dxa"/>
        </w:tblCellMar>
      </w:tblPr>
      <w:tblGrid>
        <w:gridCol w:w="2518"/>
        <w:gridCol w:w="4536"/>
      </w:tblGrid>
      <w:tr w14:paraId="76F6748C">
        <w:tblPrEx>
          <w:tblCellMar>
            <w:top w:w="0" w:type="dxa"/>
            <w:left w:w="108" w:type="dxa"/>
            <w:bottom w:w="0" w:type="dxa"/>
            <w:right w:w="108" w:type="dxa"/>
          </w:tblCellMar>
        </w:tblPrEx>
        <w:trPr>
          <w:trHeight w:val="397" w:hRule="atLeast"/>
          <w:jc w:val="center"/>
        </w:trPr>
        <w:tc>
          <w:tcPr>
            <w:tcW w:w="2518" w:type="dxa"/>
            <w:vAlign w:val="center"/>
          </w:tcPr>
          <w:p w14:paraId="77BF2B5F">
            <w:pPr>
              <w:jc w:val="distribute"/>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磋商响应文件名称：</w:t>
            </w:r>
          </w:p>
        </w:tc>
        <w:tc>
          <w:tcPr>
            <w:tcW w:w="4536" w:type="dxa"/>
            <w:vAlign w:val="center"/>
          </w:tcPr>
          <w:p w14:paraId="78C1A547">
            <w:pPr>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资信商务及技术文件                 </w:t>
            </w:r>
          </w:p>
        </w:tc>
      </w:tr>
      <w:tr w14:paraId="15870F35">
        <w:tblPrEx>
          <w:tblCellMar>
            <w:top w:w="0" w:type="dxa"/>
            <w:left w:w="108" w:type="dxa"/>
            <w:bottom w:w="0" w:type="dxa"/>
            <w:right w:w="108" w:type="dxa"/>
          </w:tblCellMar>
        </w:tblPrEx>
        <w:trPr>
          <w:trHeight w:val="397" w:hRule="atLeast"/>
          <w:jc w:val="center"/>
        </w:trPr>
        <w:tc>
          <w:tcPr>
            <w:tcW w:w="2518" w:type="dxa"/>
            <w:vAlign w:val="center"/>
          </w:tcPr>
          <w:p w14:paraId="3D74F2AA">
            <w:pPr>
              <w:jc w:val="distribute"/>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 购 编 号：</w:t>
            </w:r>
          </w:p>
        </w:tc>
        <w:tc>
          <w:tcPr>
            <w:tcW w:w="4536" w:type="dxa"/>
            <w:vAlign w:val="center"/>
          </w:tcPr>
          <w:p w14:paraId="435A6245">
            <w:pPr>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p>
        </w:tc>
      </w:tr>
      <w:tr w14:paraId="713EC027">
        <w:tblPrEx>
          <w:tblCellMar>
            <w:top w:w="0" w:type="dxa"/>
            <w:left w:w="108" w:type="dxa"/>
            <w:bottom w:w="0" w:type="dxa"/>
            <w:right w:w="108" w:type="dxa"/>
          </w:tblCellMar>
        </w:tblPrEx>
        <w:trPr>
          <w:trHeight w:val="397" w:hRule="atLeast"/>
          <w:jc w:val="center"/>
        </w:trPr>
        <w:tc>
          <w:tcPr>
            <w:tcW w:w="2518" w:type="dxa"/>
            <w:vAlign w:val="center"/>
          </w:tcPr>
          <w:p w14:paraId="7D185C3A">
            <w:pPr>
              <w:jc w:val="distribute"/>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 目 名 称：</w:t>
            </w:r>
          </w:p>
        </w:tc>
        <w:tc>
          <w:tcPr>
            <w:tcW w:w="4536" w:type="dxa"/>
            <w:vAlign w:val="center"/>
          </w:tcPr>
          <w:p w14:paraId="2F4165C9">
            <w:pPr>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p>
        </w:tc>
      </w:tr>
      <w:tr w14:paraId="74EA0099">
        <w:tblPrEx>
          <w:tblCellMar>
            <w:top w:w="0" w:type="dxa"/>
            <w:left w:w="108" w:type="dxa"/>
            <w:bottom w:w="0" w:type="dxa"/>
            <w:right w:w="108" w:type="dxa"/>
          </w:tblCellMar>
        </w:tblPrEx>
        <w:trPr>
          <w:trHeight w:val="397" w:hRule="atLeast"/>
          <w:jc w:val="center"/>
        </w:trPr>
        <w:tc>
          <w:tcPr>
            <w:tcW w:w="2518" w:type="dxa"/>
            <w:vAlign w:val="center"/>
          </w:tcPr>
          <w:p w14:paraId="0945F53C">
            <w:pPr>
              <w:jc w:val="distribute"/>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标      项：</w:t>
            </w:r>
          </w:p>
        </w:tc>
        <w:tc>
          <w:tcPr>
            <w:tcW w:w="4536" w:type="dxa"/>
            <w:vAlign w:val="center"/>
          </w:tcPr>
          <w:p w14:paraId="27D913FB">
            <w:pPr>
              <w:jc w:val="left"/>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（若有）                            </w:t>
            </w:r>
          </w:p>
        </w:tc>
      </w:tr>
      <w:tr w14:paraId="5E9436BC">
        <w:tblPrEx>
          <w:tblCellMar>
            <w:top w:w="0" w:type="dxa"/>
            <w:left w:w="108" w:type="dxa"/>
            <w:bottom w:w="0" w:type="dxa"/>
            <w:right w:w="108" w:type="dxa"/>
          </w:tblCellMar>
        </w:tblPrEx>
        <w:trPr>
          <w:trHeight w:val="397" w:hRule="atLeast"/>
          <w:jc w:val="center"/>
        </w:trPr>
        <w:tc>
          <w:tcPr>
            <w:tcW w:w="2518" w:type="dxa"/>
            <w:vAlign w:val="center"/>
          </w:tcPr>
          <w:p w14:paraId="6C6044FC">
            <w:pPr>
              <w:jc w:val="distribute"/>
              <w:rPr>
                <w:rFonts w:ascii="仿宋" w:hAnsi="仿宋" w:eastAsia="仿宋" w:cs="仿宋"/>
                <w:color w:val="auto"/>
                <w:sz w:val="24"/>
                <w:szCs w:val="24"/>
                <w:highlight w:val="none"/>
              </w:rPr>
            </w:pPr>
          </w:p>
        </w:tc>
        <w:tc>
          <w:tcPr>
            <w:tcW w:w="4536" w:type="dxa"/>
            <w:vAlign w:val="center"/>
          </w:tcPr>
          <w:p w14:paraId="41EF551F">
            <w:pPr>
              <w:jc w:val="left"/>
              <w:rPr>
                <w:rFonts w:ascii="仿宋" w:hAnsi="仿宋" w:eastAsia="仿宋" w:cs="仿宋"/>
                <w:color w:val="auto"/>
                <w:sz w:val="24"/>
                <w:szCs w:val="24"/>
                <w:highlight w:val="none"/>
              </w:rPr>
            </w:pPr>
          </w:p>
        </w:tc>
      </w:tr>
      <w:tr w14:paraId="2C9A3F3E">
        <w:tblPrEx>
          <w:tblCellMar>
            <w:top w:w="0" w:type="dxa"/>
            <w:left w:w="108" w:type="dxa"/>
            <w:bottom w:w="0" w:type="dxa"/>
            <w:right w:w="108" w:type="dxa"/>
          </w:tblCellMar>
        </w:tblPrEx>
        <w:trPr>
          <w:trHeight w:val="397" w:hRule="atLeast"/>
          <w:jc w:val="center"/>
        </w:trPr>
        <w:tc>
          <w:tcPr>
            <w:tcW w:w="2518" w:type="dxa"/>
            <w:vAlign w:val="center"/>
          </w:tcPr>
          <w:p w14:paraId="56815F1F">
            <w:pPr>
              <w:jc w:val="distribute"/>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供应商全称（盖章）：</w:t>
            </w:r>
          </w:p>
        </w:tc>
        <w:tc>
          <w:tcPr>
            <w:tcW w:w="4536" w:type="dxa"/>
            <w:vAlign w:val="center"/>
          </w:tcPr>
          <w:p w14:paraId="32352887">
            <w:pPr>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p>
        </w:tc>
      </w:tr>
      <w:tr w14:paraId="470F1F75">
        <w:tblPrEx>
          <w:tblCellMar>
            <w:top w:w="0" w:type="dxa"/>
            <w:left w:w="108" w:type="dxa"/>
            <w:bottom w:w="0" w:type="dxa"/>
            <w:right w:w="108" w:type="dxa"/>
          </w:tblCellMar>
        </w:tblPrEx>
        <w:trPr>
          <w:trHeight w:val="397" w:hRule="atLeast"/>
          <w:jc w:val="center"/>
        </w:trPr>
        <w:tc>
          <w:tcPr>
            <w:tcW w:w="2518" w:type="dxa"/>
            <w:vAlign w:val="center"/>
          </w:tcPr>
          <w:p w14:paraId="2D248F0F">
            <w:pPr>
              <w:jc w:val="distribute"/>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供应商地址：</w:t>
            </w:r>
          </w:p>
        </w:tc>
        <w:tc>
          <w:tcPr>
            <w:tcW w:w="4536" w:type="dxa"/>
            <w:vAlign w:val="center"/>
          </w:tcPr>
          <w:p w14:paraId="616FF20C">
            <w:pPr>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p>
        </w:tc>
      </w:tr>
      <w:tr w14:paraId="11C018AE">
        <w:tblPrEx>
          <w:tblCellMar>
            <w:top w:w="0" w:type="dxa"/>
            <w:left w:w="108" w:type="dxa"/>
            <w:bottom w:w="0" w:type="dxa"/>
            <w:right w:w="108" w:type="dxa"/>
          </w:tblCellMar>
        </w:tblPrEx>
        <w:trPr>
          <w:trHeight w:val="397" w:hRule="atLeast"/>
          <w:jc w:val="center"/>
        </w:trPr>
        <w:tc>
          <w:tcPr>
            <w:tcW w:w="7054" w:type="dxa"/>
            <w:gridSpan w:val="2"/>
            <w:vAlign w:val="center"/>
          </w:tcPr>
          <w:p w14:paraId="6D342C29">
            <w:pPr>
              <w:jc w:val="left"/>
              <w:rPr>
                <w:rFonts w:ascii="仿宋" w:hAnsi="仿宋" w:eastAsia="仿宋" w:cs="仿宋"/>
                <w:color w:val="auto"/>
                <w:sz w:val="24"/>
                <w:szCs w:val="24"/>
                <w:highlight w:val="none"/>
                <w:u w:val="single"/>
              </w:rPr>
            </w:pPr>
          </w:p>
        </w:tc>
      </w:tr>
      <w:tr w14:paraId="69113170">
        <w:tblPrEx>
          <w:tblCellMar>
            <w:top w:w="0" w:type="dxa"/>
            <w:left w:w="108" w:type="dxa"/>
            <w:bottom w:w="0" w:type="dxa"/>
            <w:right w:w="108" w:type="dxa"/>
          </w:tblCellMar>
        </w:tblPrEx>
        <w:trPr>
          <w:trHeight w:val="397" w:hRule="atLeast"/>
          <w:jc w:val="center"/>
        </w:trPr>
        <w:tc>
          <w:tcPr>
            <w:tcW w:w="7054" w:type="dxa"/>
            <w:gridSpan w:val="2"/>
            <w:vAlign w:val="center"/>
          </w:tcPr>
          <w:p w14:paraId="01CA4B26">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tc>
      </w:tr>
    </w:tbl>
    <w:p w14:paraId="30A74229">
      <w:pPr>
        <w:spacing w:line="360" w:lineRule="auto"/>
        <w:rPr>
          <w:rFonts w:ascii="仿宋" w:hAnsi="仿宋" w:eastAsia="仿宋" w:cs="仿宋"/>
          <w:color w:val="auto"/>
          <w:sz w:val="24"/>
          <w:szCs w:val="24"/>
          <w:highlight w:val="none"/>
        </w:rPr>
      </w:pPr>
    </w:p>
    <w:p w14:paraId="3C05B7CE">
      <w:pPr>
        <w:spacing w:line="360" w:lineRule="auto"/>
        <w:rPr>
          <w:rFonts w:ascii="仿宋" w:hAnsi="仿宋" w:eastAsia="仿宋" w:cs="仿宋"/>
          <w:color w:val="auto"/>
          <w:sz w:val="24"/>
          <w:szCs w:val="24"/>
          <w:highlight w:val="none"/>
        </w:rPr>
      </w:pPr>
    </w:p>
    <w:p w14:paraId="6EEAF594">
      <w:pPr>
        <w:pStyle w:val="25"/>
        <w:rPr>
          <w:rFonts w:ascii="仿宋" w:hAnsi="仿宋" w:eastAsia="仿宋" w:cs="仿宋"/>
          <w:color w:val="auto"/>
          <w:highlight w:val="none"/>
        </w:rPr>
      </w:pPr>
    </w:p>
    <w:p w14:paraId="640E0DD1">
      <w:pPr>
        <w:pStyle w:val="7"/>
        <w:rPr>
          <w:rFonts w:ascii="仿宋" w:hAnsi="仿宋" w:eastAsia="仿宋" w:cs="仿宋"/>
          <w:color w:val="auto"/>
          <w:highlight w:val="none"/>
        </w:rPr>
      </w:pPr>
    </w:p>
    <w:p w14:paraId="4C293CE1">
      <w:pPr>
        <w:pStyle w:val="8"/>
        <w:ind w:firstLine="210"/>
        <w:rPr>
          <w:rFonts w:ascii="仿宋" w:hAnsi="仿宋" w:eastAsia="仿宋" w:cs="仿宋"/>
          <w:color w:val="auto"/>
          <w:highlight w:val="none"/>
        </w:rPr>
      </w:pPr>
    </w:p>
    <w:p w14:paraId="5C34FB32">
      <w:pPr>
        <w:rPr>
          <w:rFonts w:ascii="仿宋" w:hAnsi="仿宋" w:eastAsia="仿宋" w:cs="仿宋"/>
          <w:color w:val="auto"/>
          <w:highlight w:val="none"/>
        </w:rPr>
      </w:pPr>
    </w:p>
    <w:p w14:paraId="2CD6C8E2">
      <w:pPr>
        <w:pStyle w:val="25"/>
        <w:rPr>
          <w:rFonts w:ascii="仿宋" w:hAnsi="仿宋" w:eastAsia="仿宋" w:cs="仿宋"/>
          <w:color w:val="auto"/>
          <w:highlight w:val="none"/>
        </w:rPr>
      </w:pPr>
    </w:p>
    <w:p w14:paraId="59D3E55B">
      <w:pPr>
        <w:pStyle w:val="7"/>
        <w:rPr>
          <w:rFonts w:ascii="仿宋" w:hAnsi="仿宋" w:eastAsia="仿宋" w:cs="仿宋"/>
          <w:color w:val="auto"/>
          <w:highlight w:val="none"/>
        </w:rPr>
      </w:pPr>
    </w:p>
    <w:p w14:paraId="6C3FECE9">
      <w:pPr>
        <w:pStyle w:val="8"/>
        <w:ind w:firstLine="210"/>
        <w:rPr>
          <w:rFonts w:ascii="仿宋" w:hAnsi="仿宋" w:eastAsia="仿宋" w:cs="仿宋"/>
          <w:color w:val="auto"/>
          <w:highlight w:val="none"/>
        </w:rPr>
      </w:pPr>
    </w:p>
    <w:p w14:paraId="1FF1AD6F">
      <w:pPr>
        <w:rPr>
          <w:rFonts w:ascii="仿宋" w:hAnsi="仿宋" w:eastAsia="仿宋" w:cs="仿宋"/>
          <w:color w:val="auto"/>
          <w:highlight w:val="none"/>
        </w:rPr>
      </w:pPr>
    </w:p>
    <w:p w14:paraId="45FCC105">
      <w:pPr>
        <w:pStyle w:val="25"/>
        <w:rPr>
          <w:rFonts w:ascii="仿宋" w:hAnsi="仿宋" w:eastAsia="仿宋" w:cs="仿宋"/>
          <w:color w:val="auto"/>
          <w:highlight w:val="none"/>
        </w:rPr>
      </w:pPr>
    </w:p>
    <w:p w14:paraId="48F8E6EC">
      <w:pPr>
        <w:pStyle w:val="7"/>
        <w:rPr>
          <w:rFonts w:ascii="仿宋" w:hAnsi="仿宋" w:eastAsia="仿宋" w:cs="仿宋"/>
          <w:color w:val="auto"/>
          <w:highlight w:val="none"/>
        </w:rPr>
      </w:pPr>
    </w:p>
    <w:p w14:paraId="083CA30C">
      <w:pPr>
        <w:pStyle w:val="8"/>
        <w:ind w:firstLine="210"/>
        <w:rPr>
          <w:rFonts w:ascii="仿宋" w:hAnsi="仿宋" w:eastAsia="仿宋" w:cs="仿宋"/>
          <w:color w:val="auto"/>
          <w:highlight w:val="none"/>
        </w:rPr>
      </w:pPr>
    </w:p>
    <w:p w14:paraId="4F83307F">
      <w:pPr>
        <w:rPr>
          <w:rFonts w:ascii="仿宋" w:hAnsi="仿宋" w:eastAsia="仿宋" w:cs="仿宋"/>
          <w:color w:val="auto"/>
          <w:highlight w:val="none"/>
        </w:rPr>
      </w:pPr>
    </w:p>
    <w:p w14:paraId="671A9F0A">
      <w:pPr>
        <w:pStyle w:val="25"/>
        <w:rPr>
          <w:rFonts w:ascii="仿宋" w:hAnsi="仿宋" w:eastAsia="仿宋" w:cs="仿宋"/>
          <w:color w:val="auto"/>
          <w:highlight w:val="none"/>
        </w:rPr>
      </w:pPr>
    </w:p>
    <w:p w14:paraId="16A4A4FA">
      <w:pPr>
        <w:pStyle w:val="6"/>
        <w:spacing w:before="0" w:after="0"/>
        <w:ind w:firstLine="0" w:firstLineChars="0"/>
        <w:jc w:val="left"/>
        <w:rPr>
          <w:rFonts w:ascii="仿宋" w:hAnsi="仿宋" w:eastAsia="仿宋" w:cs="仿宋"/>
          <w:color w:val="auto"/>
          <w:sz w:val="24"/>
          <w:szCs w:val="24"/>
          <w:highlight w:val="none"/>
        </w:rPr>
      </w:pPr>
      <w:bookmarkStart w:id="374" w:name="_Toc22131"/>
      <w:bookmarkStart w:id="375" w:name="_Toc531359057"/>
      <w:r>
        <w:rPr>
          <w:rFonts w:hint="eastAsia" w:ascii="仿宋" w:hAnsi="仿宋" w:eastAsia="仿宋" w:cs="仿宋"/>
          <w:color w:val="auto"/>
          <w:sz w:val="24"/>
          <w:szCs w:val="24"/>
          <w:highlight w:val="none"/>
        </w:rPr>
        <w:t>2.2    资信商务及技术文件目录</w:t>
      </w:r>
      <w:bookmarkEnd w:id="374"/>
      <w:bookmarkEnd w:id="375"/>
    </w:p>
    <w:p w14:paraId="1C22F8D5">
      <w:pPr>
        <w:pStyle w:val="4"/>
        <w:spacing w:line="360" w:lineRule="auto"/>
        <w:ind w:firstLine="0"/>
        <w:rPr>
          <w:rFonts w:ascii="仿宋" w:hAnsi="仿宋" w:eastAsia="仿宋" w:cs="仿宋"/>
          <w:color w:val="auto"/>
          <w:highlight w:val="none"/>
        </w:rPr>
      </w:pPr>
    </w:p>
    <w:p w14:paraId="2DDCCB91">
      <w:pPr>
        <w:pStyle w:val="4"/>
        <w:spacing w:line="360" w:lineRule="auto"/>
        <w:ind w:firstLine="0"/>
        <w:jc w:val="center"/>
        <w:rPr>
          <w:rFonts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rPr>
        <w:t>格式自行设计）</w:t>
      </w:r>
      <w:bookmarkStart w:id="376" w:name="_Toc531359058"/>
    </w:p>
    <w:p w14:paraId="28014256">
      <w:pPr>
        <w:pStyle w:val="4"/>
        <w:spacing w:line="360" w:lineRule="auto"/>
        <w:ind w:firstLine="0"/>
        <w:jc w:val="center"/>
        <w:rPr>
          <w:rFonts w:ascii="仿宋" w:hAnsi="仿宋" w:eastAsia="仿宋" w:cs="仿宋"/>
          <w:color w:val="auto"/>
          <w:sz w:val="24"/>
          <w:highlight w:val="none"/>
        </w:rPr>
      </w:pPr>
    </w:p>
    <w:p w14:paraId="3290DAF3">
      <w:pPr>
        <w:pStyle w:val="4"/>
        <w:spacing w:line="360" w:lineRule="auto"/>
        <w:ind w:firstLine="0"/>
        <w:jc w:val="center"/>
        <w:rPr>
          <w:rFonts w:ascii="仿宋" w:hAnsi="仿宋" w:eastAsia="仿宋" w:cs="仿宋"/>
          <w:color w:val="auto"/>
          <w:sz w:val="24"/>
          <w:highlight w:val="none"/>
        </w:rPr>
      </w:pPr>
    </w:p>
    <w:p w14:paraId="3BCA92A9">
      <w:pPr>
        <w:pStyle w:val="6"/>
        <w:spacing w:before="0" w:after="0"/>
        <w:ind w:firstLine="0" w:firstLineChars="0"/>
        <w:jc w:val="left"/>
        <w:rPr>
          <w:rFonts w:ascii="仿宋" w:hAnsi="仿宋" w:eastAsia="仿宋" w:cs="仿宋"/>
          <w:color w:val="auto"/>
          <w:sz w:val="24"/>
          <w:szCs w:val="24"/>
          <w:highlight w:val="none"/>
        </w:rPr>
      </w:pPr>
      <w:bookmarkStart w:id="377" w:name="_Toc14466"/>
      <w:r>
        <w:rPr>
          <w:rFonts w:hint="eastAsia" w:ascii="仿宋" w:hAnsi="仿宋" w:eastAsia="仿宋" w:cs="仿宋"/>
          <w:color w:val="auto"/>
          <w:sz w:val="24"/>
          <w:szCs w:val="24"/>
          <w:highlight w:val="none"/>
        </w:rPr>
        <w:t xml:space="preserve">2.3    </w:t>
      </w:r>
      <w:bookmarkEnd w:id="370"/>
      <w:bookmarkEnd w:id="371"/>
      <w:r>
        <w:rPr>
          <w:rFonts w:hint="eastAsia" w:ascii="仿宋" w:hAnsi="仿宋" w:eastAsia="仿宋" w:cs="仿宋"/>
          <w:color w:val="auto"/>
          <w:sz w:val="24"/>
          <w:szCs w:val="24"/>
          <w:highlight w:val="none"/>
        </w:rPr>
        <w:t>磋商响应函</w:t>
      </w:r>
      <w:bookmarkEnd w:id="376"/>
      <w:r>
        <w:rPr>
          <w:rFonts w:hint="eastAsia" w:ascii="仿宋" w:hAnsi="仿宋" w:eastAsia="仿宋" w:cs="仿宋"/>
          <w:color w:val="auto"/>
          <w:sz w:val="24"/>
          <w:szCs w:val="24"/>
          <w:highlight w:val="none"/>
        </w:rPr>
        <w:t>格式</w:t>
      </w:r>
      <w:bookmarkEnd w:id="377"/>
    </w:p>
    <w:p w14:paraId="24A0475B">
      <w:pPr>
        <w:pStyle w:val="4"/>
        <w:spacing w:line="360" w:lineRule="auto"/>
        <w:ind w:firstLine="0"/>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磋商响应函</w:t>
      </w:r>
    </w:p>
    <w:p w14:paraId="3063E72D">
      <w:pPr>
        <w:pStyle w:val="37"/>
        <w:tabs>
          <w:tab w:val="left" w:pos="0"/>
        </w:tabs>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i/>
          <w:color w:val="auto"/>
          <w:spacing w:val="6"/>
          <w:kern w:val="2"/>
          <w:sz w:val="24"/>
          <w:highlight w:val="none"/>
          <w:u w:val="single"/>
        </w:rPr>
        <w:t>（采购人名称）</w:t>
      </w:r>
      <w:r>
        <w:rPr>
          <w:rFonts w:hint="eastAsia" w:ascii="仿宋" w:hAnsi="仿宋" w:eastAsia="仿宋" w:cs="仿宋"/>
          <w:color w:val="auto"/>
          <w:sz w:val="24"/>
          <w:highlight w:val="none"/>
        </w:rPr>
        <w:t>：</w:t>
      </w:r>
    </w:p>
    <w:p w14:paraId="6680BA70">
      <w:pPr>
        <w:pStyle w:val="37"/>
        <w:tabs>
          <w:tab w:val="left" w:pos="0"/>
        </w:tabs>
        <w:spacing w:line="36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根据贵方</w:t>
      </w:r>
      <w:r>
        <w:rPr>
          <w:rFonts w:hint="eastAsia" w:ascii="仿宋" w:hAnsi="仿宋" w:eastAsia="仿宋" w:cs="仿宋"/>
          <w:i/>
          <w:color w:val="auto"/>
          <w:spacing w:val="6"/>
          <w:kern w:val="2"/>
          <w:sz w:val="24"/>
          <w:highlight w:val="none"/>
          <w:u w:val="single"/>
        </w:rPr>
        <w:t>（项目名称）（项目编号）（标项）</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的磋商文件要求，正式授权下述签字人</w:t>
      </w:r>
      <w:r>
        <w:rPr>
          <w:rFonts w:hint="eastAsia" w:ascii="仿宋" w:hAnsi="仿宋" w:eastAsia="仿宋" w:cs="仿宋"/>
          <w:i/>
          <w:color w:val="auto"/>
          <w:spacing w:val="6"/>
          <w:kern w:val="2"/>
          <w:sz w:val="24"/>
          <w:highlight w:val="none"/>
          <w:u w:val="single"/>
        </w:rPr>
        <w:t>（姓名和职务）</w:t>
      </w:r>
      <w:r>
        <w:rPr>
          <w:rFonts w:hint="eastAsia" w:ascii="仿宋" w:hAnsi="仿宋" w:eastAsia="仿宋" w:cs="仿宋"/>
          <w:color w:val="auto"/>
          <w:sz w:val="24"/>
          <w:szCs w:val="21"/>
          <w:highlight w:val="none"/>
        </w:rPr>
        <w:t>全权代表供应商</w:t>
      </w:r>
      <w:r>
        <w:rPr>
          <w:rFonts w:hint="eastAsia" w:ascii="仿宋" w:hAnsi="仿宋" w:eastAsia="仿宋" w:cs="仿宋"/>
          <w:i/>
          <w:color w:val="auto"/>
          <w:spacing w:val="6"/>
          <w:kern w:val="2"/>
          <w:sz w:val="24"/>
          <w:highlight w:val="none"/>
          <w:u w:val="single"/>
        </w:rPr>
        <w:t>（供应商全称）</w:t>
      </w:r>
      <w:r>
        <w:rPr>
          <w:rFonts w:hint="eastAsia" w:ascii="仿宋" w:hAnsi="仿宋" w:eastAsia="仿宋" w:cs="仿宋"/>
          <w:color w:val="auto"/>
          <w:sz w:val="24"/>
          <w:szCs w:val="21"/>
          <w:highlight w:val="none"/>
        </w:rPr>
        <w:t>参加贵方组织的有关采购活动，并提交下述文件：</w:t>
      </w:r>
    </w:p>
    <w:p w14:paraId="3A1BFF93">
      <w:pPr>
        <w:pStyle w:val="37"/>
        <w:tabs>
          <w:tab w:val="left" w:pos="0"/>
        </w:tabs>
        <w:spacing w:line="36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政府采购云系统提交电子加密投标文件</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份；</w:t>
      </w:r>
    </w:p>
    <w:p w14:paraId="119C255E">
      <w:pPr>
        <w:pStyle w:val="37"/>
        <w:tabs>
          <w:tab w:val="left" w:pos="0"/>
        </w:tabs>
        <w:spacing w:line="36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4"/>
          <w:highlight w:val="none"/>
        </w:rPr>
        <w:t>通过电子邮件提交备份电子投标文件（打包压缩加密）</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份；</w:t>
      </w:r>
    </w:p>
    <w:p w14:paraId="26642EF0">
      <w:pPr>
        <w:pStyle w:val="37"/>
        <w:tabs>
          <w:tab w:val="left" w:pos="0"/>
        </w:tabs>
        <w:spacing w:line="36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据此函我方就本次响应有关事项郑重承诺如下：</w:t>
      </w:r>
    </w:p>
    <w:p w14:paraId="3AA5E7FA">
      <w:pPr>
        <w:pStyle w:val="37"/>
        <w:spacing w:line="36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1、我方向贵方提交的所有磋商响应文件、资料都是准确的和真实的。</w:t>
      </w:r>
    </w:p>
    <w:p w14:paraId="07E7BEAE">
      <w:pPr>
        <w:pStyle w:val="37"/>
        <w:spacing w:line="36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2、我方承诺已经具备《中华人民共和国政府采购法》、《中华人民共和国政府采购法实施条例》中规定的参加政府采购活动的供应商应当具备的条件，并真实提供相关材料。</w:t>
      </w:r>
    </w:p>
    <w:p w14:paraId="2949FE13">
      <w:pPr>
        <w:pStyle w:val="37"/>
        <w:spacing w:line="36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3、如果我方成交，将派出</w:t>
      </w:r>
      <w:r>
        <w:rPr>
          <w:rFonts w:hint="eastAsia" w:ascii="仿宋" w:hAnsi="仿宋" w:eastAsia="仿宋" w:cs="仿宋"/>
          <w:i/>
          <w:color w:val="auto"/>
          <w:spacing w:val="6"/>
          <w:kern w:val="2"/>
          <w:sz w:val="24"/>
          <w:highlight w:val="none"/>
          <w:u w:val="single"/>
        </w:rPr>
        <w:t>（姓名及身份证号码）</w:t>
      </w:r>
      <w:r>
        <w:rPr>
          <w:rFonts w:hint="eastAsia" w:ascii="仿宋" w:hAnsi="仿宋" w:eastAsia="仿宋" w:cs="仿宋"/>
          <w:color w:val="auto"/>
          <w:sz w:val="24"/>
          <w:szCs w:val="21"/>
          <w:highlight w:val="none"/>
        </w:rPr>
        <w:t>，作为本项目与采购单位联系的项目实施负责人，联系手机号码：</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。在项目实施过程中，并承诺项目实施负责人不更换，若确需要更换的，书面征得采购人同意后才准予更换。</w:t>
      </w:r>
    </w:p>
    <w:p w14:paraId="36B9C215">
      <w:pPr>
        <w:pStyle w:val="37"/>
        <w:spacing w:line="36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4、我方的磋商有效期自在开标日起</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天内有效。如果在开标后规定的磋商有效期内撤回响应，贵方可按相关规定处理我方。</w:t>
      </w:r>
    </w:p>
    <w:p w14:paraId="121529A0">
      <w:pPr>
        <w:pStyle w:val="37"/>
        <w:spacing w:line="36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5、我方在响应之前已经与贵方进行了充分的沟通，完全理解并接受磋商文件的各项规定和要求，对磋商文件的合理性、合法性不再有异议。</w:t>
      </w:r>
    </w:p>
    <w:p w14:paraId="58800B82">
      <w:pPr>
        <w:pStyle w:val="37"/>
        <w:spacing w:line="36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我方愿意向贵方提供真实完整的任何与该项响应有关的数据、情况和技术资料。若贵方需要，我方愿意提供我方作出的一切承诺的证明材料。</w:t>
      </w:r>
    </w:p>
    <w:p w14:paraId="0B98752A">
      <w:pPr>
        <w:pStyle w:val="37"/>
        <w:spacing w:line="36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6、我方已详细审核全部磋商文件，包括磋商文件的澄清或修改文件（如有的话）、参考资料及有关附件，已经了解我方对于磋商文件、采购过程、采购结果有依法进行询问、质疑、投诉的权利及相关渠道和要求。</w:t>
      </w:r>
    </w:p>
    <w:p w14:paraId="38BA4561">
      <w:pPr>
        <w:pStyle w:val="37"/>
        <w:spacing w:line="36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7、我方不是采购人的附属机构，并未为本项目提供整体设计、规范编制或者项目管理、监理、监测等服务。</w:t>
      </w:r>
    </w:p>
    <w:p w14:paraId="19A75709">
      <w:pPr>
        <w:pStyle w:val="37"/>
        <w:spacing w:line="36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8、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4DD59370">
      <w:pPr>
        <w:pStyle w:val="37"/>
        <w:spacing w:line="36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（一）提供虚假材料谋取中标、成交的；</w:t>
      </w:r>
    </w:p>
    <w:p w14:paraId="3B6AD5A2">
      <w:pPr>
        <w:pStyle w:val="37"/>
        <w:spacing w:line="36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（二）采取不正当手段诋毁、排挤其他供应商的；</w:t>
      </w:r>
    </w:p>
    <w:p w14:paraId="0D95ECFC">
      <w:pPr>
        <w:pStyle w:val="37"/>
        <w:spacing w:line="36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（三）与采购人、其它供应商或者采购代理机构恶意串通的；</w:t>
      </w:r>
    </w:p>
    <w:p w14:paraId="67595B69">
      <w:pPr>
        <w:pStyle w:val="37"/>
        <w:spacing w:line="36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（四）向采购人、采购代理机构行贿或者提供其他不正当利益的；</w:t>
      </w:r>
    </w:p>
    <w:p w14:paraId="2048778A">
      <w:pPr>
        <w:pStyle w:val="37"/>
        <w:spacing w:line="36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（五）在采购采购过程中与采购人进行协商谈判的；</w:t>
      </w:r>
    </w:p>
    <w:p w14:paraId="00145262">
      <w:pPr>
        <w:pStyle w:val="37"/>
        <w:spacing w:line="36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（六）拒绝有关部门监督检查或提供虚假情况的。</w:t>
      </w:r>
    </w:p>
    <w:p w14:paraId="07B4E864">
      <w:pPr>
        <w:pStyle w:val="37"/>
        <w:spacing w:line="36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9、如成交，本磋商响应文件至本项目合同履行完毕止均保持有效，我方将按磋商文件及政府采购法律、法规的规定履行合同责任和义务。</w:t>
      </w:r>
    </w:p>
    <w:p w14:paraId="065428C6">
      <w:pPr>
        <w:pStyle w:val="37"/>
        <w:spacing w:line="36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10、以上事项如有虚假或隐瞒，我方愿意承担一切不利后果，并不再寻求任何旨在减轻或免除法律责任。</w:t>
      </w:r>
    </w:p>
    <w:p w14:paraId="747F1A6B">
      <w:pPr>
        <w:pStyle w:val="37"/>
        <w:spacing w:line="360" w:lineRule="auto"/>
        <w:ind w:firstLine="48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与本次响应有关的一切正式往来信函请寄：</w:t>
      </w:r>
    </w:p>
    <w:p w14:paraId="33583CB5">
      <w:pPr>
        <w:pStyle w:val="37"/>
        <w:spacing w:line="360" w:lineRule="auto"/>
        <w:ind w:firstLine="48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地址：</w:t>
      </w:r>
      <w:r>
        <w:rPr>
          <w:rFonts w:hint="eastAsia" w:ascii="仿宋" w:hAnsi="仿宋" w:eastAsia="仿宋" w:cs="仿宋"/>
          <w:color w:val="auto"/>
          <w:spacing w:val="20"/>
          <w:sz w:val="24"/>
          <w:highlight w:val="none"/>
          <w:u w:val="single"/>
        </w:rPr>
        <w:t xml:space="preserve">             </w:t>
      </w:r>
      <w:r>
        <w:rPr>
          <w:rFonts w:hint="eastAsia" w:ascii="仿宋" w:hAnsi="仿宋" w:eastAsia="仿宋" w:cs="仿宋"/>
          <w:color w:val="auto"/>
          <w:sz w:val="24"/>
          <w:szCs w:val="21"/>
          <w:highlight w:val="none"/>
        </w:rPr>
        <w:t xml:space="preserve">     邮编：</w:t>
      </w:r>
      <w:r>
        <w:rPr>
          <w:rFonts w:hint="eastAsia" w:ascii="仿宋" w:hAnsi="仿宋" w:eastAsia="仿宋" w:cs="仿宋"/>
          <w:color w:val="auto"/>
          <w:spacing w:val="20"/>
          <w:sz w:val="24"/>
          <w:highlight w:val="none"/>
          <w:u w:val="single"/>
        </w:rPr>
        <w:t xml:space="preserve">           </w:t>
      </w:r>
      <w:r>
        <w:rPr>
          <w:rFonts w:hint="eastAsia" w:ascii="仿宋" w:hAnsi="仿宋" w:eastAsia="仿宋" w:cs="仿宋"/>
          <w:color w:val="auto"/>
          <w:sz w:val="24"/>
          <w:szCs w:val="21"/>
          <w:highlight w:val="none"/>
        </w:rPr>
        <w:t>　</w:t>
      </w:r>
    </w:p>
    <w:p w14:paraId="6A790F65">
      <w:pPr>
        <w:pStyle w:val="10"/>
        <w:spacing w:line="36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电话：</w:t>
      </w:r>
      <w:r>
        <w:rPr>
          <w:rFonts w:hint="eastAsia" w:ascii="仿宋" w:hAnsi="仿宋" w:eastAsia="仿宋" w:cs="仿宋"/>
          <w:color w:val="auto"/>
          <w:spacing w:val="20"/>
          <w:sz w:val="24"/>
          <w:highlight w:val="none"/>
          <w:u w:val="single"/>
        </w:rPr>
        <w:t xml:space="preserve">             </w:t>
      </w:r>
      <w:r>
        <w:rPr>
          <w:rFonts w:hint="eastAsia" w:ascii="仿宋" w:hAnsi="仿宋" w:eastAsia="仿宋" w:cs="仿宋"/>
          <w:color w:val="auto"/>
          <w:sz w:val="24"/>
          <w:szCs w:val="21"/>
          <w:highlight w:val="none"/>
        </w:rPr>
        <w:t xml:space="preserve">     传真：</w:t>
      </w:r>
      <w:r>
        <w:rPr>
          <w:rFonts w:hint="eastAsia" w:ascii="仿宋" w:hAnsi="仿宋" w:eastAsia="仿宋" w:cs="仿宋"/>
          <w:color w:val="auto"/>
          <w:spacing w:val="20"/>
          <w:sz w:val="24"/>
          <w:highlight w:val="none"/>
          <w:u w:val="single"/>
        </w:rPr>
        <w:t xml:space="preserve">           </w:t>
      </w:r>
    </w:p>
    <w:p w14:paraId="3856FA10">
      <w:pPr>
        <w:pStyle w:val="39"/>
        <w:spacing w:line="360" w:lineRule="auto"/>
        <w:rPr>
          <w:rFonts w:ascii="仿宋" w:hAnsi="仿宋" w:eastAsia="仿宋" w:cs="仿宋"/>
          <w:bCs/>
          <w:color w:val="auto"/>
          <w:sz w:val="24"/>
          <w:highlight w:val="none"/>
        </w:rPr>
      </w:pPr>
    </w:p>
    <w:p w14:paraId="2B8A2455">
      <w:pPr>
        <w:pStyle w:val="40"/>
        <w:spacing w:line="360" w:lineRule="auto"/>
        <w:rPr>
          <w:rFonts w:ascii="仿宋" w:hAnsi="仿宋" w:eastAsia="仿宋" w:cs="仿宋"/>
          <w:color w:val="auto"/>
          <w:sz w:val="24"/>
          <w:szCs w:val="21"/>
          <w:highlight w:val="none"/>
        </w:rPr>
      </w:pPr>
    </w:p>
    <w:p w14:paraId="730E1944">
      <w:pPr>
        <w:pStyle w:val="31"/>
        <w:wordWrap w:val="0"/>
        <w:spacing w:line="360" w:lineRule="auto"/>
        <w:ind w:firstLine="480"/>
        <w:jc w:val="right"/>
        <w:rPr>
          <w:rFonts w:ascii="仿宋" w:hAnsi="仿宋" w:eastAsia="仿宋" w:cs="仿宋"/>
          <w:color w:val="auto"/>
          <w:spacing w:val="20"/>
          <w:sz w:val="24"/>
          <w:szCs w:val="21"/>
          <w:highlight w:val="none"/>
          <w:u w:val="single"/>
        </w:rPr>
      </w:pPr>
    </w:p>
    <w:p w14:paraId="4784FBE5">
      <w:pPr>
        <w:pStyle w:val="31"/>
        <w:wordWrap w:val="0"/>
        <w:spacing w:line="360" w:lineRule="auto"/>
        <w:ind w:firstLine="480"/>
        <w:jc w:val="right"/>
        <w:rPr>
          <w:rFonts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供应商盖章：</w:t>
      </w:r>
      <w:r>
        <w:rPr>
          <w:rFonts w:hint="eastAsia" w:ascii="仿宋" w:hAnsi="仿宋" w:eastAsia="仿宋" w:cs="仿宋"/>
          <w:color w:val="auto"/>
          <w:sz w:val="24"/>
          <w:szCs w:val="21"/>
          <w:highlight w:val="none"/>
          <w:u w:val="single"/>
        </w:rPr>
        <w:t xml:space="preserve">               </w:t>
      </w:r>
    </w:p>
    <w:p w14:paraId="7C289DFE">
      <w:pPr>
        <w:pStyle w:val="31"/>
        <w:wordWrap w:val="0"/>
        <w:spacing w:line="360" w:lineRule="auto"/>
        <w:ind w:firstLine="480"/>
        <w:jc w:val="right"/>
        <w:rPr>
          <w:rFonts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14:paraId="1DE43C28">
      <w:pPr>
        <w:pStyle w:val="31"/>
        <w:spacing w:line="360" w:lineRule="auto"/>
        <w:jc w:val="left"/>
        <w:rPr>
          <w:rFonts w:ascii="仿宋" w:hAnsi="仿宋" w:eastAsia="仿宋" w:cs="仿宋"/>
          <w:color w:val="auto"/>
          <w:spacing w:val="20"/>
          <w:sz w:val="24"/>
          <w:szCs w:val="21"/>
          <w:highlight w:val="none"/>
          <w:u w:val="single"/>
        </w:rPr>
      </w:pPr>
    </w:p>
    <w:p w14:paraId="31697F0F">
      <w:pPr>
        <w:pStyle w:val="37"/>
        <w:spacing w:line="360" w:lineRule="auto"/>
        <w:rPr>
          <w:rFonts w:ascii="仿宋" w:hAnsi="仿宋" w:eastAsia="仿宋" w:cs="仿宋"/>
          <w:color w:val="auto"/>
          <w:sz w:val="24"/>
          <w:szCs w:val="21"/>
          <w:highlight w:val="none"/>
        </w:rPr>
      </w:pPr>
    </w:p>
    <w:p w14:paraId="52EF8EBD">
      <w:pPr>
        <w:pStyle w:val="37"/>
        <w:spacing w:line="360" w:lineRule="auto"/>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注：按照本声明书要求填报。</w:t>
      </w:r>
    </w:p>
    <w:p w14:paraId="624BEB11">
      <w:pPr>
        <w:pStyle w:val="6"/>
        <w:spacing w:before="0" w:after="0"/>
        <w:ind w:firstLine="0" w:firstLineChars="0"/>
        <w:jc w:val="center"/>
        <w:rPr>
          <w:rFonts w:ascii="仿宋" w:hAnsi="仿宋" w:eastAsia="仿宋" w:cs="仿宋"/>
          <w:color w:val="auto"/>
          <w:sz w:val="32"/>
          <w:szCs w:val="32"/>
          <w:highlight w:val="none"/>
        </w:rPr>
        <w:sectPr>
          <w:pgSz w:w="11906" w:h="16838"/>
          <w:pgMar w:top="1440" w:right="1797" w:bottom="1440" w:left="1797" w:header="851" w:footer="851" w:gutter="0"/>
          <w:pgBorders>
            <w:top w:val="none" w:sz="0" w:space="0"/>
            <w:left w:val="none" w:sz="0" w:space="0"/>
            <w:bottom w:val="none" w:sz="0" w:space="0"/>
            <w:right w:val="none" w:sz="0" w:space="0"/>
          </w:pgBorders>
          <w:cols w:space="720" w:num="1"/>
          <w:docGrid w:linePitch="312" w:charSpace="0"/>
        </w:sectPr>
      </w:pPr>
      <w:bookmarkStart w:id="378" w:name="_Toc493956060"/>
    </w:p>
    <w:bookmarkEnd w:id="378"/>
    <w:p w14:paraId="411D98C4">
      <w:pPr>
        <w:pStyle w:val="6"/>
        <w:spacing w:before="0" w:after="0"/>
        <w:ind w:firstLine="0" w:firstLineChars="0"/>
        <w:jc w:val="left"/>
        <w:rPr>
          <w:rFonts w:hint="eastAsia" w:ascii="仿宋" w:hAnsi="仿宋" w:eastAsia="仿宋" w:cs="仿宋"/>
          <w:color w:val="auto"/>
          <w:sz w:val="24"/>
          <w:szCs w:val="24"/>
          <w:highlight w:val="none"/>
        </w:rPr>
      </w:pPr>
      <w:bookmarkStart w:id="379" w:name="_Toc493956064"/>
      <w:bookmarkStart w:id="380" w:name="_Toc530551888"/>
      <w:bookmarkStart w:id="381" w:name="_Toc531359059"/>
      <w:bookmarkStart w:id="382" w:name="_Toc31206"/>
      <w:bookmarkStart w:id="383" w:name="_Toc1856"/>
      <w:bookmarkStart w:id="384" w:name="_Toc17330"/>
      <w:bookmarkStart w:id="385" w:name="_Toc156"/>
      <w:bookmarkStart w:id="386" w:name="_Toc530551887"/>
      <w:bookmarkStart w:id="387" w:name="_Toc493956063"/>
      <w:bookmarkStart w:id="388" w:name="_Toc530551891"/>
      <w:bookmarkStart w:id="389" w:name="_Toc493956067"/>
      <w:bookmarkStart w:id="390" w:name="_Toc531359073"/>
      <w:bookmarkStart w:id="391" w:name="_Toc530551896"/>
      <w:r>
        <w:rPr>
          <w:rFonts w:hint="eastAsia" w:ascii="仿宋" w:hAnsi="仿宋" w:eastAsia="仿宋" w:cs="仿宋"/>
          <w:color w:val="auto"/>
          <w:sz w:val="24"/>
          <w:szCs w:val="24"/>
          <w:highlight w:val="none"/>
        </w:rPr>
        <w:t>2.4    节能环保产品</w:t>
      </w:r>
      <w:bookmarkEnd w:id="379"/>
      <w:bookmarkEnd w:id="380"/>
      <w:bookmarkEnd w:id="381"/>
      <w:r>
        <w:rPr>
          <w:rFonts w:hint="eastAsia" w:ascii="仿宋" w:hAnsi="仿宋" w:eastAsia="仿宋" w:cs="仿宋"/>
          <w:color w:val="auto"/>
          <w:sz w:val="24"/>
          <w:szCs w:val="24"/>
          <w:highlight w:val="none"/>
        </w:rPr>
        <w:t>格式</w:t>
      </w:r>
      <w:bookmarkEnd w:id="382"/>
      <w:bookmarkEnd w:id="383"/>
      <w:bookmarkEnd w:id="384"/>
      <w:bookmarkEnd w:id="385"/>
    </w:p>
    <w:p w14:paraId="012C1702">
      <w:pPr>
        <w:pStyle w:val="4"/>
        <w:spacing w:line="360" w:lineRule="auto"/>
        <w:ind w:firstLine="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节能环保产品</w:t>
      </w:r>
    </w:p>
    <w:tbl>
      <w:tblPr>
        <w:tblStyle w:val="20"/>
        <w:tblW w:w="93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680"/>
        <w:gridCol w:w="30"/>
        <w:gridCol w:w="1622"/>
        <w:gridCol w:w="58"/>
        <w:gridCol w:w="1811"/>
        <w:gridCol w:w="26"/>
        <w:gridCol w:w="2504"/>
        <w:gridCol w:w="845"/>
      </w:tblGrid>
      <w:tr w14:paraId="28B24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92" w:type="dxa"/>
            <w:gridSpan w:val="9"/>
            <w:noWrap w:val="0"/>
            <w:vAlign w:val="center"/>
          </w:tcPr>
          <w:p w14:paraId="536FF25C">
            <w:pPr>
              <w:pStyle w:val="42"/>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一、本次投标拟投入的节能产品说明</w:t>
            </w:r>
          </w:p>
        </w:tc>
      </w:tr>
      <w:tr w14:paraId="7B9EB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noWrap w:val="0"/>
            <w:vAlign w:val="center"/>
          </w:tcPr>
          <w:p w14:paraId="4FE066E3">
            <w:pPr>
              <w:pStyle w:val="4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序号</w:t>
            </w:r>
          </w:p>
        </w:tc>
        <w:tc>
          <w:tcPr>
            <w:tcW w:w="1680" w:type="dxa"/>
            <w:noWrap w:val="0"/>
            <w:vAlign w:val="center"/>
          </w:tcPr>
          <w:p w14:paraId="54EF6C9F">
            <w:pPr>
              <w:pStyle w:val="4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产品名称</w:t>
            </w:r>
          </w:p>
        </w:tc>
        <w:tc>
          <w:tcPr>
            <w:tcW w:w="1652" w:type="dxa"/>
            <w:gridSpan w:val="2"/>
            <w:noWrap w:val="0"/>
            <w:vAlign w:val="center"/>
          </w:tcPr>
          <w:p w14:paraId="3D1B4C45">
            <w:pPr>
              <w:pStyle w:val="4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品牌</w:t>
            </w:r>
          </w:p>
        </w:tc>
        <w:tc>
          <w:tcPr>
            <w:tcW w:w="1869" w:type="dxa"/>
            <w:gridSpan w:val="2"/>
            <w:noWrap w:val="0"/>
            <w:vAlign w:val="center"/>
          </w:tcPr>
          <w:p w14:paraId="46972F6B">
            <w:pPr>
              <w:pStyle w:val="4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型号</w:t>
            </w:r>
          </w:p>
        </w:tc>
        <w:tc>
          <w:tcPr>
            <w:tcW w:w="2530" w:type="dxa"/>
            <w:gridSpan w:val="2"/>
            <w:noWrap w:val="0"/>
            <w:vAlign w:val="center"/>
          </w:tcPr>
          <w:p w14:paraId="34F300FA">
            <w:pPr>
              <w:pStyle w:val="4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节能产品有效认证证书号</w:t>
            </w:r>
          </w:p>
        </w:tc>
        <w:tc>
          <w:tcPr>
            <w:tcW w:w="845" w:type="dxa"/>
            <w:noWrap w:val="0"/>
            <w:vAlign w:val="center"/>
          </w:tcPr>
          <w:p w14:paraId="4DD2B841">
            <w:pPr>
              <w:pStyle w:val="4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页码</w:t>
            </w:r>
          </w:p>
        </w:tc>
      </w:tr>
      <w:tr w14:paraId="05593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noWrap w:val="0"/>
            <w:vAlign w:val="center"/>
          </w:tcPr>
          <w:p w14:paraId="4E9707DC">
            <w:pPr>
              <w:pStyle w:val="4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1680" w:type="dxa"/>
            <w:noWrap w:val="0"/>
            <w:vAlign w:val="center"/>
          </w:tcPr>
          <w:p w14:paraId="6A300DA0">
            <w:pPr>
              <w:pStyle w:val="42"/>
              <w:jc w:val="center"/>
              <w:rPr>
                <w:rFonts w:hint="eastAsia" w:ascii="仿宋" w:hAnsi="仿宋" w:eastAsia="仿宋" w:cs="仿宋"/>
                <w:color w:val="auto"/>
                <w:kern w:val="0"/>
                <w:sz w:val="24"/>
                <w:highlight w:val="none"/>
              </w:rPr>
            </w:pPr>
          </w:p>
        </w:tc>
        <w:tc>
          <w:tcPr>
            <w:tcW w:w="1652" w:type="dxa"/>
            <w:gridSpan w:val="2"/>
            <w:noWrap w:val="0"/>
            <w:vAlign w:val="center"/>
          </w:tcPr>
          <w:p w14:paraId="28F34F4B">
            <w:pPr>
              <w:pStyle w:val="42"/>
              <w:jc w:val="center"/>
              <w:rPr>
                <w:rFonts w:hint="eastAsia" w:ascii="仿宋" w:hAnsi="仿宋" w:eastAsia="仿宋" w:cs="仿宋"/>
                <w:bCs/>
                <w:color w:val="auto"/>
                <w:kern w:val="0"/>
                <w:sz w:val="24"/>
                <w:highlight w:val="none"/>
              </w:rPr>
            </w:pPr>
          </w:p>
        </w:tc>
        <w:tc>
          <w:tcPr>
            <w:tcW w:w="1869" w:type="dxa"/>
            <w:gridSpan w:val="2"/>
            <w:noWrap w:val="0"/>
            <w:vAlign w:val="center"/>
          </w:tcPr>
          <w:p w14:paraId="6FF095D1">
            <w:pPr>
              <w:pStyle w:val="42"/>
              <w:jc w:val="center"/>
              <w:rPr>
                <w:rFonts w:hint="eastAsia" w:ascii="仿宋" w:hAnsi="仿宋" w:eastAsia="仿宋" w:cs="仿宋"/>
                <w:bCs/>
                <w:color w:val="auto"/>
                <w:kern w:val="0"/>
                <w:sz w:val="24"/>
                <w:highlight w:val="none"/>
              </w:rPr>
            </w:pPr>
          </w:p>
        </w:tc>
        <w:tc>
          <w:tcPr>
            <w:tcW w:w="2530" w:type="dxa"/>
            <w:gridSpan w:val="2"/>
            <w:noWrap w:val="0"/>
            <w:vAlign w:val="center"/>
          </w:tcPr>
          <w:p w14:paraId="12B356D0">
            <w:pPr>
              <w:pStyle w:val="42"/>
              <w:jc w:val="center"/>
              <w:rPr>
                <w:rFonts w:hint="eastAsia" w:ascii="仿宋" w:hAnsi="仿宋" w:eastAsia="仿宋" w:cs="仿宋"/>
                <w:color w:val="auto"/>
                <w:kern w:val="0"/>
                <w:sz w:val="24"/>
                <w:highlight w:val="none"/>
              </w:rPr>
            </w:pPr>
          </w:p>
        </w:tc>
        <w:tc>
          <w:tcPr>
            <w:tcW w:w="845" w:type="dxa"/>
            <w:noWrap w:val="0"/>
            <w:vAlign w:val="center"/>
          </w:tcPr>
          <w:p w14:paraId="69A83AA7">
            <w:pPr>
              <w:pStyle w:val="42"/>
              <w:jc w:val="center"/>
              <w:rPr>
                <w:rFonts w:hint="eastAsia" w:ascii="仿宋" w:hAnsi="仿宋" w:eastAsia="仿宋" w:cs="仿宋"/>
                <w:color w:val="auto"/>
                <w:kern w:val="0"/>
                <w:sz w:val="24"/>
                <w:highlight w:val="none"/>
              </w:rPr>
            </w:pPr>
          </w:p>
        </w:tc>
      </w:tr>
      <w:tr w14:paraId="5CE58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noWrap w:val="0"/>
            <w:vAlign w:val="center"/>
          </w:tcPr>
          <w:p w14:paraId="20DFC90E">
            <w:pPr>
              <w:pStyle w:val="4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1680" w:type="dxa"/>
            <w:noWrap w:val="0"/>
            <w:vAlign w:val="center"/>
          </w:tcPr>
          <w:p w14:paraId="3602AD36">
            <w:pPr>
              <w:pStyle w:val="42"/>
              <w:jc w:val="center"/>
              <w:rPr>
                <w:rFonts w:hint="eastAsia" w:ascii="仿宋" w:hAnsi="仿宋" w:eastAsia="仿宋" w:cs="仿宋"/>
                <w:color w:val="auto"/>
                <w:kern w:val="0"/>
                <w:sz w:val="24"/>
                <w:highlight w:val="none"/>
              </w:rPr>
            </w:pPr>
          </w:p>
        </w:tc>
        <w:tc>
          <w:tcPr>
            <w:tcW w:w="1652" w:type="dxa"/>
            <w:gridSpan w:val="2"/>
            <w:noWrap w:val="0"/>
            <w:vAlign w:val="center"/>
          </w:tcPr>
          <w:p w14:paraId="4C01032B">
            <w:pPr>
              <w:pStyle w:val="42"/>
              <w:jc w:val="center"/>
              <w:rPr>
                <w:rFonts w:hint="eastAsia" w:ascii="仿宋" w:hAnsi="仿宋" w:eastAsia="仿宋" w:cs="仿宋"/>
                <w:color w:val="auto"/>
                <w:kern w:val="0"/>
                <w:sz w:val="24"/>
                <w:highlight w:val="none"/>
              </w:rPr>
            </w:pPr>
          </w:p>
        </w:tc>
        <w:tc>
          <w:tcPr>
            <w:tcW w:w="1869" w:type="dxa"/>
            <w:gridSpan w:val="2"/>
            <w:noWrap w:val="0"/>
            <w:vAlign w:val="center"/>
          </w:tcPr>
          <w:p w14:paraId="78DD1860">
            <w:pPr>
              <w:pStyle w:val="42"/>
              <w:jc w:val="center"/>
              <w:rPr>
                <w:rFonts w:hint="eastAsia" w:ascii="仿宋" w:hAnsi="仿宋" w:eastAsia="仿宋" w:cs="仿宋"/>
                <w:color w:val="auto"/>
                <w:kern w:val="0"/>
                <w:sz w:val="24"/>
                <w:highlight w:val="none"/>
              </w:rPr>
            </w:pPr>
          </w:p>
        </w:tc>
        <w:tc>
          <w:tcPr>
            <w:tcW w:w="2530" w:type="dxa"/>
            <w:gridSpan w:val="2"/>
            <w:noWrap w:val="0"/>
            <w:vAlign w:val="center"/>
          </w:tcPr>
          <w:p w14:paraId="375E8C10">
            <w:pPr>
              <w:pStyle w:val="42"/>
              <w:jc w:val="center"/>
              <w:rPr>
                <w:rFonts w:hint="eastAsia" w:ascii="仿宋" w:hAnsi="仿宋" w:eastAsia="仿宋" w:cs="仿宋"/>
                <w:color w:val="auto"/>
                <w:kern w:val="0"/>
                <w:sz w:val="24"/>
                <w:highlight w:val="none"/>
              </w:rPr>
            </w:pPr>
          </w:p>
        </w:tc>
        <w:tc>
          <w:tcPr>
            <w:tcW w:w="845" w:type="dxa"/>
            <w:noWrap w:val="0"/>
            <w:vAlign w:val="center"/>
          </w:tcPr>
          <w:p w14:paraId="7AECF59D">
            <w:pPr>
              <w:pStyle w:val="42"/>
              <w:jc w:val="center"/>
              <w:rPr>
                <w:rFonts w:hint="eastAsia" w:ascii="仿宋" w:hAnsi="仿宋" w:eastAsia="仿宋" w:cs="仿宋"/>
                <w:color w:val="auto"/>
                <w:kern w:val="0"/>
                <w:sz w:val="24"/>
                <w:highlight w:val="none"/>
              </w:rPr>
            </w:pPr>
          </w:p>
        </w:tc>
      </w:tr>
      <w:tr w14:paraId="7C109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noWrap w:val="0"/>
            <w:vAlign w:val="center"/>
          </w:tcPr>
          <w:p w14:paraId="1BE8BE08">
            <w:pPr>
              <w:pStyle w:val="4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1680" w:type="dxa"/>
            <w:noWrap w:val="0"/>
            <w:vAlign w:val="center"/>
          </w:tcPr>
          <w:p w14:paraId="2E5E70D0">
            <w:pPr>
              <w:pStyle w:val="4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1652" w:type="dxa"/>
            <w:gridSpan w:val="2"/>
            <w:noWrap w:val="0"/>
            <w:vAlign w:val="center"/>
          </w:tcPr>
          <w:p w14:paraId="01CE7EB9">
            <w:pPr>
              <w:pStyle w:val="42"/>
              <w:jc w:val="center"/>
              <w:rPr>
                <w:rFonts w:hint="eastAsia" w:ascii="仿宋" w:hAnsi="仿宋" w:eastAsia="仿宋" w:cs="仿宋"/>
                <w:bCs/>
                <w:color w:val="auto"/>
                <w:kern w:val="0"/>
                <w:sz w:val="24"/>
                <w:highlight w:val="none"/>
              </w:rPr>
            </w:pPr>
          </w:p>
        </w:tc>
        <w:tc>
          <w:tcPr>
            <w:tcW w:w="1869" w:type="dxa"/>
            <w:gridSpan w:val="2"/>
            <w:noWrap w:val="0"/>
            <w:vAlign w:val="center"/>
          </w:tcPr>
          <w:p w14:paraId="4891C6AD">
            <w:pPr>
              <w:pStyle w:val="42"/>
              <w:jc w:val="center"/>
              <w:rPr>
                <w:rFonts w:hint="eastAsia" w:ascii="仿宋" w:hAnsi="仿宋" w:eastAsia="仿宋" w:cs="仿宋"/>
                <w:bCs/>
                <w:color w:val="auto"/>
                <w:kern w:val="0"/>
                <w:sz w:val="24"/>
                <w:highlight w:val="none"/>
              </w:rPr>
            </w:pPr>
          </w:p>
        </w:tc>
        <w:tc>
          <w:tcPr>
            <w:tcW w:w="2530" w:type="dxa"/>
            <w:gridSpan w:val="2"/>
            <w:noWrap w:val="0"/>
            <w:vAlign w:val="center"/>
          </w:tcPr>
          <w:p w14:paraId="09715917">
            <w:pPr>
              <w:pStyle w:val="42"/>
              <w:jc w:val="center"/>
              <w:rPr>
                <w:rFonts w:hint="eastAsia" w:ascii="仿宋" w:hAnsi="仿宋" w:eastAsia="仿宋" w:cs="仿宋"/>
                <w:color w:val="auto"/>
                <w:kern w:val="0"/>
                <w:sz w:val="24"/>
                <w:highlight w:val="none"/>
              </w:rPr>
            </w:pPr>
          </w:p>
        </w:tc>
        <w:tc>
          <w:tcPr>
            <w:tcW w:w="845" w:type="dxa"/>
            <w:noWrap w:val="0"/>
            <w:vAlign w:val="center"/>
          </w:tcPr>
          <w:p w14:paraId="3964B897">
            <w:pPr>
              <w:pStyle w:val="42"/>
              <w:jc w:val="center"/>
              <w:rPr>
                <w:rFonts w:hint="eastAsia" w:ascii="仿宋" w:hAnsi="仿宋" w:eastAsia="仿宋" w:cs="仿宋"/>
                <w:color w:val="auto"/>
                <w:kern w:val="0"/>
                <w:sz w:val="24"/>
                <w:highlight w:val="none"/>
              </w:rPr>
            </w:pPr>
          </w:p>
        </w:tc>
      </w:tr>
      <w:tr w14:paraId="40E4B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92" w:type="dxa"/>
            <w:gridSpan w:val="9"/>
            <w:noWrap w:val="0"/>
            <w:vAlign w:val="center"/>
          </w:tcPr>
          <w:p w14:paraId="190756B7">
            <w:pPr>
              <w:pStyle w:val="42"/>
              <w:rPr>
                <w:rFonts w:hint="eastAsia" w:ascii="仿宋" w:hAnsi="仿宋" w:eastAsia="仿宋" w:cs="仿宋"/>
                <w:color w:val="auto"/>
                <w:kern w:val="0"/>
                <w:sz w:val="32"/>
                <w:szCs w:val="32"/>
                <w:highlight w:val="none"/>
              </w:rPr>
            </w:pPr>
            <w:r>
              <w:rPr>
                <w:rFonts w:hint="eastAsia" w:ascii="仿宋" w:hAnsi="仿宋" w:eastAsia="仿宋" w:cs="仿宋"/>
                <w:b/>
                <w:color w:val="auto"/>
                <w:kern w:val="0"/>
                <w:sz w:val="24"/>
                <w:highlight w:val="none"/>
              </w:rPr>
              <w:t>二、本次投标拟投入的环保产品说明</w:t>
            </w:r>
          </w:p>
        </w:tc>
      </w:tr>
      <w:tr w14:paraId="61401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noWrap w:val="0"/>
            <w:vAlign w:val="center"/>
          </w:tcPr>
          <w:p w14:paraId="6CC78F5B">
            <w:pPr>
              <w:pStyle w:val="4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序号</w:t>
            </w:r>
          </w:p>
        </w:tc>
        <w:tc>
          <w:tcPr>
            <w:tcW w:w="1710" w:type="dxa"/>
            <w:gridSpan w:val="2"/>
            <w:noWrap w:val="0"/>
            <w:vAlign w:val="center"/>
          </w:tcPr>
          <w:p w14:paraId="5F975B99">
            <w:pPr>
              <w:pStyle w:val="4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产品名称</w:t>
            </w:r>
          </w:p>
        </w:tc>
        <w:tc>
          <w:tcPr>
            <w:tcW w:w="1680" w:type="dxa"/>
            <w:gridSpan w:val="2"/>
            <w:noWrap w:val="0"/>
            <w:vAlign w:val="center"/>
          </w:tcPr>
          <w:p w14:paraId="7A086D85">
            <w:pPr>
              <w:pStyle w:val="4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品牌</w:t>
            </w:r>
          </w:p>
        </w:tc>
        <w:tc>
          <w:tcPr>
            <w:tcW w:w="1837" w:type="dxa"/>
            <w:gridSpan w:val="2"/>
            <w:noWrap w:val="0"/>
            <w:vAlign w:val="center"/>
          </w:tcPr>
          <w:p w14:paraId="145599D3">
            <w:pPr>
              <w:pStyle w:val="4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型号</w:t>
            </w:r>
          </w:p>
        </w:tc>
        <w:tc>
          <w:tcPr>
            <w:tcW w:w="2504" w:type="dxa"/>
            <w:noWrap w:val="0"/>
            <w:vAlign w:val="center"/>
          </w:tcPr>
          <w:p w14:paraId="2DC4CCB8">
            <w:pPr>
              <w:pStyle w:val="4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环保标志产品有效认证证书号</w:t>
            </w:r>
          </w:p>
        </w:tc>
        <w:tc>
          <w:tcPr>
            <w:tcW w:w="845" w:type="dxa"/>
            <w:noWrap w:val="0"/>
            <w:vAlign w:val="center"/>
          </w:tcPr>
          <w:p w14:paraId="65D99A42">
            <w:pPr>
              <w:pStyle w:val="4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页码</w:t>
            </w:r>
          </w:p>
        </w:tc>
      </w:tr>
      <w:tr w14:paraId="70347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noWrap w:val="0"/>
            <w:vAlign w:val="center"/>
          </w:tcPr>
          <w:p w14:paraId="087F528F">
            <w:pPr>
              <w:pStyle w:val="4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1710" w:type="dxa"/>
            <w:gridSpan w:val="2"/>
            <w:noWrap w:val="0"/>
            <w:vAlign w:val="center"/>
          </w:tcPr>
          <w:p w14:paraId="449DC81A">
            <w:pPr>
              <w:pStyle w:val="42"/>
              <w:jc w:val="center"/>
              <w:rPr>
                <w:rFonts w:hint="eastAsia" w:ascii="仿宋" w:hAnsi="仿宋" w:eastAsia="仿宋" w:cs="仿宋"/>
                <w:color w:val="auto"/>
                <w:kern w:val="0"/>
                <w:sz w:val="24"/>
                <w:highlight w:val="none"/>
              </w:rPr>
            </w:pPr>
          </w:p>
        </w:tc>
        <w:tc>
          <w:tcPr>
            <w:tcW w:w="1680" w:type="dxa"/>
            <w:gridSpan w:val="2"/>
            <w:noWrap w:val="0"/>
            <w:vAlign w:val="center"/>
          </w:tcPr>
          <w:p w14:paraId="1D73CB02">
            <w:pPr>
              <w:pStyle w:val="42"/>
              <w:jc w:val="center"/>
              <w:rPr>
                <w:rFonts w:hint="eastAsia" w:ascii="仿宋" w:hAnsi="仿宋" w:eastAsia="仿宋" w:cs="仿宋"/>
                <w:bCs/>
                <w:color w:val="auto"/>
                <w:kern w:val="0"/>
                <w:sz w:val="24"/>
                <w:highlight w:val="none"/>
              </w:rPr>
            </w:pPr>
          </w:p>
        </w:tc>
        <w:tc>
          <w:tcPr>
            <w:tcW w:w="1837" w:type="dxa"/>
            <w:gridSpan w:val="2"/>
            <w:noWrap w:val="0"/>
            <w:vAlign w:val="center"/>
          </w:tcPr>
          <w:p w14:paraId="653C69F7">
            <w:pPr>
              <w:pStyle w:val="42"/>
              <w:jc w:val="center"/>
              <w:rPr>
                <w:rFonts w:hint="eastAsia" w:ascii="仿宋" w:hAnsi="仿宋" w:eastAsia="仿宋" w:cs="仿宋"/>
                <w:bCs/>
                <w:color w:val="auto"/>
                <w:kern w:val="0"/>
                <w:sz w:val="24"/>
                <w:highlight w:val="none"/>
              </w:rPr>
            </w:pPr>
          </w:p>
        </w:tc>
        <w:tc>
          <w:tcPr>
            <w:tcW w:w="2504" w:type="dxa"/>
            <w:noWrap w:val="0"/>
            <w:vAlign w:val="center"/>
          </w:tcPr>
          <w:p w14:paraId="6F84FDDB">
            <w:pPr>
              <w:pStyle w:val="42"/>
              <w:jc w:val="center"/>
              <w:rPr>
                <w:rFonts w:hint="eastAsia" w:ascii="仿宋" w:hAnsi="仿宋" w:eastAsia="仿宋" w:cs="仿宋"/>
                <w:color w:val="auto"/>
                <w:kern w:val="0"/>
                <w:sz w:val="24"/>
                <w:highlight w:val="none"/>
              </w:rPr>
            </w:pPr>
          </w:p>
        </w:tc>
        <w:tc>
          <w:tcPr>
            <w:tcW w:w="845" w:type="dxa"/>
            <w:noWrap w:val="0"/>
            <w:vAlign w:val="center"/>
          </w:tcPr>
          <w:p w14:paraId="4E054F75">
            <w:pPr>
              <w:pStyle w:val="42"/>
              <w:jc w:val="center"/>
              <w:rPr>
                <w:rFonts w:hint="eastAsia" w:ascii="仿宋" w:hAnsi="仿宋" w:eastAsia="仿宋" w:cs="仿宋"/>
                <w:color w:val="auto"/>
                <w:kern w:val="0"/>
                <w:sz w:val="24"/>
                <w:highlight w:val="none"/>
              </w:rPr>
            </w:pPr>
          </w:p>
        </w:tc>
      </w:tr>
      <w:tr w14:paraId="65727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noWrap w:val="0"/>
            <w:vAlign w:val="center"/>
          </w:tcPr>
          <w:p w14:paraId="2BCF782B">
            <w:pPr>
              <w:pStyle w:val="4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1710" w:type="dxa"/>
            <w:gridSpan w:val="2"/>
            <w:noWrap w:val="0"/>
            <w:vAlign w:val="center"/>
          </w:tcPr>
          <w:p w14:paraId="40E0A407">
            <w:pPr>
              <w:pStyle w:val="42"/>
              <w:jc w:val="center"/>
              <w:rPr>
                <w:rFonts w:hint="eastAsia" w:ascii="仿宋" w:hAnsi="仿宋" w:eastAsia="仿宋" w:cs="仿宋"/>
                <w:color w:val="auto"/>
                <w:kern w:val="0"/>
                <w:sz w:val="24"/>
                <w:highlight w:val="none"/>
              </w:rPr>
            </w:pPr>
          </w:p>
        </w:tc>
        <w:tc>
          <w:tcPr>
            <w:tcW w:w="1680" w:type="dxa"/>
            <w:gridSpan w:val="2"/>
            <w:noWrap w:val="0"/>
            <w:vAlign w:val="center"/>
          </w:tcPr>
          <w:p w14:paraId="0A7DA3D0">
            <w:pPr>
              <w:pStyle w:val="42"/>
              <w:jc w:val="center"/>
              <w:rPr>
                <w:rFonts w:hint="eastAsia" w:ascii="仿宋" w:hAnsi="仿宋" w:eastAsia="仿宋" w:cs="仿宋"/>
                <w:bCs/>
                <w:color w:val="auto"/>
                <w:kern w:val="0"/>
                <w:sz w:val="24"/>
                <w:highlight w:val="none"/>
              </w:rPr>
            </w:pPr>
          </w:p>
        </w:tc>
        <w:tc>
          <w:tcPr>
            <w:tcW w:w="1837" w:type="dxa"/>
            <w:gridSpan w:val="2"/>
            <w:noWrap w:val="0"/>
            <w:vAlign w:val="center"/>
          </w:tcPr>
          <w:p w14:paraId="4388588D">
            <w:pPr>
              <w:pStyle w:val="42"/>
              <w:jc w:val="center"/>
              <w:rPr>
                <w:rFonts w:hint="eastAsia" w:ascii="仿宋" w:hAnsi="仿宋" w:eastAsia="仿宋" w:cs="仿宋"/>
                <w:bCs/>
                <w:color w:val="auto"/>
                <w:kern w:val="0"/>
                <w:sz w:val="24"/>
                <w:highlight w:val="none"/>
              </w:rPr>
            </w:pPr>
          </w:p>
        </w:tc>
        <w:tc>
          <w:tcPr>
            <w:tcW w:w="2504" w:type="dxa"/>
            <w:noWrap w:val="0"/>
            <w:vAlign w:val="center"/>
          </w:tcPr>
          <w:p w14:paraId="6C4373AA">
            <w:pPr>
              <w:pStyle w:val="42"/>
              <w:jc w:val="center"/>
              <w:rPr>
                <w:rFonts w:hint="eastAsia" w:ascii="仿宋" w:hAnsi="仿宋" w:eastAsia="仿宋" w:cs="仿宋"/>
                <w:color w:val="auto"/>
                <w:kern w:val="0"/>
                <w:sz w:val="24"/>
                <w:highlight w:val="none"/>
              </w:rPr>
            </w:pPr>
          </w:p>
        </w:tc>
        <w:tc>
          <w:tcPr>
            <w:tcW w:w="845" w:type="dxa"/>
            <w:noWrap w:val="0"/>
            <w:vAlign w:val="center"/>
          </w:tcPr>
          <w:p w14:paraId="5598A90C">
            <w:pPr>
              <w:pStyle w:val="42"/>
              <w:jc w:val="center"/>
              <w:rPr>
                <w:rFonts w:hint="eastAsia" w:ascii="仿宋" w:hAnsi="仿宋" w:eastAsia="仿宋" w:cs="仿宋"/>
                <w:color w:val="auto"/>
                <w:kern w:val="0"/>
                <w:sz w:val="24"/>
                <w:highlight w:val="none"/>
              </w:rPr>
            </w:pPr>
          </w:p>
        </w:tc>
      </w:tr>
      <w:tr w14:paraId="2C028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noWrap w:val="0"/>
            <w:vAlign w:val="center"/>
          </w:tcPr>
          <w:p w14:paraId="52FE275C">
            <w:pPr>
              <w:pStyle w:val="4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1710" w:type="dxa"/>
            <w:gridSpan w:val="2"/>
            <w:noWrap w:val="0"/>
            <w:vAlign w:val="center"/>
          </w:tcPr>
          <w:p w14:paraId="0AE3305E">
            <w:pPr>
              <w:pStyle w:val="4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1680" w:type="dxa"/>
            <w:gridSpan w:val="2"/>
            <w:noWrap w:val="0"/>
            <w:vAlign w:val="center"/>
          </w:tcPr>
          <w:p w14:paraId="5C8DEF7B">
            <w:pPr>
              <w:pStyle w:val="42"/>
              <w:jc w:val="center"/>
              <w:rPr>
                <w:rFonts w:hint="eastAsia" w:ascii="仿宋" w:hAnsi="仿宋" w:eastAsia="仿宋" w:cs="仿宋"/>
                <w:bCs/>
                <w:color w:val="auto"/>
                <w:kern w:val="0"/>
                <w:sz w:val="24"/>
                <w:highlight w:val="none"/>
              </w:rPr>
            </w:pPr>
          </w:p>
        </w:tc>
        <w:tc>
          <w:tcPr>
            <w:tcW w:w="1837" w:type="dxa"/>
            <w:gridSpan w:val="2"/>
            <w:noWrap w:val="0"/>
            <w:vAlign w:val="center"/>
          </w:tcPr>
          <w:p w14:paraId="28E97902">
            <w:pPr>
              <w:pStyle w:val="42"/>
              <w:jc w:val="center"/>
              <w:rPr>
                <w:rFonts w:hint="eastAsia" w:ascii="仿宋" w:hAnsi="仿宋" w:eastAsia="仿宋" w:cs="仿宋"/>
                <w:bCs/>
                <w:color w:val="auto"/>
                <w:kern w:val="0"/>
                <w:sz w:val="24"/>
                <w:highlight w:val="none"/>
              </w:rPr>
            </w:pPr>
          </w:p>
        </w:tc>
        <w:tc>
          <w:tcPr>
            <w:tcW w:w="2504" w:type="dxa"/>
            <w:noWrap w:val="0"/>
            <w:vAlign w:val="center"/>
          </w:tcPr>
          <w:p w14:paraId="27AF0447">
            <w:pPr>
              <w:pStyle w:val="42"/>
              <w:jc w:val="center"/>
              <w:rPr>
                <w:rFonts w:hint="eastAsia" w:ascii="仿宋" w:hAnsi="仿宋" w:eastAsia="仿宋" w:cs="仿宋"/>
                <w:color w:val="auto"/>
                <w:kern w:val="0"/>
                <w:sz w:val="24"/>
                <w:highlight w:val="none"/>
              </w:rPr>
            </w:pPr>
          </w:p>
        </w:tc>
        <w:tc>
          <w:tcPr>
            <w:tcW w:w="845" w:type="dxa"/>
            <w:noWrap w:val="0"/>
            <w:vAlign w:val="center"/>
          </w:tcPr>
          <w:p w14:paraId="58F12101">
            <w:pPr>
              <w:pStyle w:val="42"/>
              <w:jc w:val="center"/>
              <w:rPr>
                <w:rFonts w:hint="eastAsia" w:ascii="仿宋" w:hAnsi="仿宋" w:eastAsia="仿宋" w:cs="仿宋"/>
                <w:color w:val="auto"/>
                <w:kern w:val="0"/>
                <w:sz w:val="24"/>
                <w:highlight w:val="none"/>
              </w:rPr>
            </w:pPr>
          </w:p>
        </w:tc>
      </w:tr>
    </w:tbl>
    <w:p w14:paraId="340035C0">
      <w:pPr>
        <w:pStyle w:val="42"/>
        <w:rPr>
          <w:rFonts w:hint="eastAsia" w:ascii="仿宋" w:hAnsi="仿宋" w:eastAsia="仿宋" w:cs="仿宋"/>
          <w:b/>
          <w:color w:val="auto"/>
          <w:sz w:val="24"/>
          <w:highlight w:val="none"/>
        </w:rPr>
      </w:pPr>
      <w:r>
        <w:rPr>
          <w:rFonts w:hint="eastAsia" w:ascii="仿宋" w:hAnsi="仿宋" w:eastAsia="仿宋" w:cs="仿宋"/>
          <w:b/>
          <w:bCs/>
          <w:color w:val="auto"/>
          <w:sz w:val="24"/>
          <w:highlight w:val="none"/>
        </w:rPr>
        <w:t>注：节能产品、环境标志产品须提供的有效认证证书电子文档，否则节能和环保产品不给分。</w:t>
      </w:r>
    </w:p>
    <w:p w14:paraId="2BE3E043">
      <w:pPr>
        <w:pStyle w:val="42"/>
        <w:rPr>
          <w:rFonts w:hint="eastAsia" w:ascii="仿宋" w:hAnsi="仿宋" w:eastAsia="仿宋" w:cs="仿宋"/>
          <w:b/>
          <w:color w:val="auto"/>
          <w:sz w:val="24"/>
          <w:highlight w:val="none"/>
        </w:rPr>
      </w:pPr>
    </w:p>
    <w:p w14:paraId="0AE2D78F">
      <w:pPr>
        <w:pStyle w:val="39"/>
        <w:spacing w:line="360" w:lineRule="auto"/>
        <w:rPr>
          <w:rFonts w:hint="eastAsia" w:ascii="仿宋" w:hAnsi="仿宋" w:eastAsia="仿宋" w:cs="仿宋"/>
          <w:bCs/>
          <w:color w:val="auto"/>
          <w:sz w:val="24"/>
          <w:highlight w:val="none"/>
        </w:rPr>
      </w:pPr>
    </w:p>
    <w:p w14:paraId="5BF82915">
      <w:pPr>
        <w:pStyle w:val="31"/>
        <w:wordWrap w:val="0"/>
        <w:spacing w:line="360" w:lineRule="auto"/>
        <w:ind w:firstLine="480"/>
        <w:jc w:val="right"/>
        <w:rPr>
          <w:rFonts w:hint="eastAsia" w:ascii="仿宋" w:hAnsi="仿宋" w:eastAsia="仿宋" w:cs="仿宋"/>
          <w:color w:val="auto"/>
          <w:sz w:val="24"/>
          <w:szCs w:val="21"/>
          <w:highlight w:val="none"/>
          <w:u w:val="single"/>
        </w:rPr>
      </w:pPr>
      <w:bookmarkStart w:id="392" w:name="_Toc531359060"/>
      <w:r>
        <w:rPr>
          <w:rFonts w:hint="eastAsia" w:ascii="仿宋" w:hAnsi="仿宋" w:eastAsia="仿宋" w:cs="仿宋"/>
          <w:color w:val="auto"/>
          <w:sz w:val="24"/>
          <w:szCs w:val="21"/>
          <w:highlight w:val="none"/>
        </w:rPr>
        <w:t>投标人盖章：</w:t>
      </w:r>
      <w:r>
        <w:rPr>
          <w:rFonts w:hint="eastAsia" w:ascii="仿宋" w:hAnsi="仿宋" w:eastAsia="仿宋" w:cs="仿宋"/>
          <w:color w:val="auto"/>
          <w:sz w:val="24"/>
          <w:szCs w:val="21"/>
          <w:highlight w:val="none"/>
          <w:u w:val="single"/>
        </w:rPr>
        <w:t xml:space="preserve">                </w:t>
      </w:r>
    </w:p>
    <w:p w14:paraId="31B0C61C">
      <w:pPr>
        <w:pStyle w:val="31"/>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14:paraId="722330A3">
      <w:pPr>
        <w:pStyle w:val="31"/>
        <w:spacing w:line="360" w:lineRule="auto"/>
        <w:jc w:val="left"/>
        <w:rPr>
          <w:rFonts w:hint="eastAsia" w:ascii="仿宋" w:hAnsi="仿宋" w:eastAsia="仿宋" w:cs="仿宋"/>
          <w:color w:val="auto"/>
          <w:sz w:val="24"/>
          <w:szCs w:val="21"/>
          <w:highlight w:val="none"/>
          <w:u w:val="single"/>
        </w:rPr>
      </w:pPr>
    </w:p>
    <w:p w14:paraId="2EC23782">
      <w:pPr>
        <w:pStyle w:val="6"/>
        <w:spacing w:before="0" w:after="0"/>
        <w:ind w:firstLine="0" w:firstLineChars="0"/>
        <w:jc w:val="left"/>
        <w:rPr>
          <w:rFonts w:hint="eastAsia" w:ascii="仿宋" w:hAnsi="仿宋" w:eastAsia="仿宋" w:cs="仿宋"/>
          <w:color w:val="auto"/>
          <w:sz w:val="24"/>
          <w:szCs w:val="24"/>
          <w:highlight w:val="none"/>
        </w:rPr>
      </w:pPr>
      <w:bookmarkStart w:id="393" w:name="_Toc827"/>
      <w:bookmarkStart w:id="394" w:name="_Toc28750"/>
      <w:bookmarkStart w:id="395" w:name="_Toc7900"/>
      <w:bookmarkStart w:id="396" w:name="_Toc28982"/>
      <w:r>
        <w:rPr>
          <w:rFonts w:hint="eastAsia" w:ascii="仿宋" w:hAnsi="仿宋" w:eastAsia="仿宋" w:cs="仿宋"/>
          <w:color w:val="auto"/>
          <w:sz w:val="24"/>
          <w:szCs w:val="24"/>
          <w:highlight w:val="none"/>
        </w:rPr>
        <w:t>2.5    类似案例成功的业绩</w:t>
      </w:r>
      <w:bookmarkEnd w:id="392"/>
      <w:r>
        <w:rPr>
          <w:rFonts w:hint="eastAsia" w:ascii="仿宋" w:hAnsi="仿宋" w:eastAsia="仿宋" w:cs="仿宋"/>
          <w:color w:val="auto"/>
          <w:sz w:val="24"/>
          <w:szCs w:val="24"/>
          <w:highlight w:val="none"/>
        </w:rPr>
        <w:t>格式</w:t>
      </w:r>
      <w:bookmarkEnd w:id="393"/>
      <w:bookmarkEnd w:id="394"/>
      <w:bookmarkEnd w:id="395"/>
      <w:bookmarkEnd w:id="396"/>
    </w:p>
    <w:p w14:paraId="54C17E40">
      <w:pPr>
        <w:pStyle w:val="4"/>
        <w:ind w:firstLine="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类似案例成功的业绩（若有）</w:t>
      </w:r>
    </w:p>
    <w:p w14:paraId="3FCD141C">
      <w:pPr>
        <w:pStyle w:val="15"/>
        <w:snapToGrid w:val="0"/>
        <w:ind w:left="480" w:hanging="48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投标人类似项目实施情况一览表</w:t>
      </w:r>
    </w:p>
    <w:tbl>
      <w:tblPr>
        <w:tblStyle w:val="20"/>
        <w:tblW w:w="4895"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96"/>
        <w:gridCol w:w="762"/>
        <w:gridCol w:w="1122"/>
        <w:gridCol w:w="641"/>
        <w:gridCol w:w="1040"/>
        <w:gridCol w:w="764"/>
        <w:gridCol w:w="661"/>
        <w:gridCol w:w="800"/>
        <w:gridCol w:w="701"/>
        <w:gridCol w:w="1150"/>
      </w:tblGrid>
      <w:tr w14:paraId="39813B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96" w:type="dxa"/>
            <w:vMerge w:val="restart"/>
            <w:tcBorders>
              <w:top w:val="single" w:color="auto" w:sz="4" w:space="0"/>
              <w:left w:val="single" w:color="auto" w:sz="4" w:space="0"/>
              <w:bottom w:val="single" w:color="auto" w:sz="4" w:space="0"/>
              <w:right w:val="single" w:color="auto" w:sz="4" w:space="0"/>
            </w:tcBorders>
            <w:noWrap w:val="0"/>
            <w:vAlign w:val="center"/>
          </w:tcPr>
          <w:p w14:paraId="7DF5012B">
            <w:pPr>
              <w:snapToGrid w:val="0"/>
              <w:ind w:left="-78" w:leftChars="-37" w:right="-44" w:rightChars="-21"/>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838" w:type="dxa"/>
            <w:vMerge w:val="restart"/>
            <w:tcBorders>
              <w:top w:val="single" w:color="auto" w:sz="4" w:space="0"/>
              <w:left w:val="single" w:color="auto" w:sz="4" w:space="0"/>
              <w:bottom w:val="single" w:color="auto" w:sz="4" w:space="0"/>
              <w:right w:val="single" w:color="auto" w:sz="4" w:space="0"/>
            </w:tcBorders>
            <w:noWrap w:val="0"/>
            <w:vAlign w:val="center"/>
          </w:tcPr>
          <w:p w14:paraId="607797B2">
            <w:pPr>
              <w:snapToGrid w:val="0"/>
              <w:ind w:left="-78" w:leftChars="-37" w:right="-44" w:rightChars="-21"/>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采购人名称</w:t>
            </w:r>
          </w:p>
        </w:tc>
        <w:tc>
          <w:tcPr>
            <w:tcW w:w="1261" w:type="dxa"/>
            <w:vMerge w:val="restart"/>
            <w:tcBorders>
              <w:top w:val="single" w:color="auto" w:sz="4" w:space="0"/>
              <w:left w:val="single" w:color="auto" w:sz="4" w:space="0"/>
              <w:bottom w:val="single" w:color="auto" w:sz="4" w:space="0"/>
              <w:right w:val="single" w:color="auto" w:sz="4" w:space="0"/>
            </w:tcBorders>
            <w:noWrap w:val="0"/>
            <w:vAlign w:val="center"/>
          </w:tcPr>
          <w:p w14:paraId="5F4814C4">
            <w:pPr>
              <w:snapToGrid w:val="0"/>
              <w:ind w:left="-78" w:leftChars="-37" w:right="-44" w:rightChars="-21"/>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产品或项目名称</w:t>
            </w:r>
          </w:p>
        </w:tc>
        <w:tc>
          <w:tcPr>
            <w:tcW w:w="695" w:type="dxa"/>
            <w:vMerge w:val="restart"/>
            <w:tcBorders>
              <w:top w:val="single" w:color="auto" w:sz="4" w:space="0"/>
              <w:left w:val="single" w:color="auto" w:sz="4" w:space="0"/>
              <w:bottom w:val="single" w:color="auto" w:sz="4" w:space="0"/>
              <w:right w:val="single" w:color="auto" w:sz="4" w:space="0"/>
            </w:tcBorders>
            <w:noWrap w:val="0"/>
            <w:vAlign w:val="center"/>
          </w:tcPr>
          <w:p w14:paraId="6E85E6BC">
            <w:pPr>
              <w:snapToGrid w:val="0"/>
              <w:ind w:left="-78" w:leftChars="-37" w:right="-44" w:rightChars="-21"/>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采购数量</w:t>
            </w:r>
          </w:p>
        </w:tc>
        <w:tc>
          <w:tcPr>
            <w:tcW w:w="1122" w:type="dxa"/>
            <w:vMerge w:val="restart"/>
            <w:tcBorders>
              <w:top w:val="single" w:color="auto" w:sz="4" w:space="0"/>
              <w:left w:val="single" w:color="auto" w:sz="4" w:space="0"/>
              <w:bottom w:val="single" w:color="auto" w:sz="4" w:space="0"/>
              <w:right w:val="single" w:color="auto" w:sz="4" w:space="0"/>
            </w:tcBorders>
            <w:noWrap w:val="0"/>
            <w:vAlign w:val="center"/>
          </w:tcPr>
          <w:p w14:paraId="2F3C50F1">
            <w:pPr>
              <w:snapToGrid w:val="0"/>
              <w:ind w:left="-78" w:leftChars="-37" w:right="-44" w:rightChars="-21"/>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合同金额</w:t>
            </w:r>
          </w:p>
          <w:p w14:paraId="02118BDB">
            <w:pPr>
              <w:snapToGrid w:val="0"/>
              <w:ind w:left="-78" w:leftChars="-37" w:right="-44" w:rightChars="-21"/>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（万元）</w:t>
            </w:r>
          </w:p>
        </w:tc>
        <w:tc>
          <w:tcPr>
            <w:tcW w:w="840" w:type="dxa"/>
            <w:vMerge w:val="restart"/>
            <w:tcBorders>
              <w:top w:val="single" w:color="auto" w:sz="4" w:space="0"/>
              <w:left w:val="single" w:color="auto" w:sz="4" w:space="0"/>
              <w:right w:val="single" w:color="auto" w:sz="4" w:space="0"/>
            </w:tcBorders>
            <w:noWrap w:val="0"/>
            <w:vAlign w:val="center"/>
          </w:tcPr>
          <w:p w14:paraId="5B34B2B0">
            <w:pPr>
              <w:snapToGrid w:val="0"/>
              <w:ind w:left="-78" w:leftChars="-37" w:right="-44" w:rightChars="-21"/>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签约及完成日期</w:t>
            </w:r>
          </w:p>
        </w:tc>
        <w:tc>
          <w:tcPr>
            <w:tcW w:w="2302" w:type="dxa"/>
            <w:gridSpan w:val="3"/>
            <w:tcBorders>
              <w:top w:val="single" w:color="auto" w:sz="4" w:space="0"/>
              <w:left w:val="single" w:color="auto" w:sz="4" w:space="0"/>
              <w:bottom w:val="single" w:color="auto" w:sz="4" w:space="0"/>
              <w:right w:val="single" w:color="auto" w:sz="4" w:space="0"/>
            </w:tcBorders>
            <w:noWrap w:val="0"/>
            <w:vAlign w:val="center"/>
          </w:tcPr>
          <w:p w14:paraId="105AABF2">
            <w:pPr>
              <w:snapToGrid w:val="0"/>
              <w:ind w:left="-78" w:leftChars="-37" w:right="-44" w:rightChars="-21"/>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附件页码</w:t>
            </w:r>
          </w:p>
        </w:tc>
        <w:tc>
          <w:tcPr>
            <w:tcW w:w="1294" w:type="dxa"/>
            <w:vMerge w:val="restart"/>
            <w:tcBorders>
              <w:top w:val="single" w:color="auto" w:sz="4" w:space="0"/>
              <w:left w:val="single" w:color="auto" w:sz="4" w:space="0"/>
              <w:bottom w:val="single" w:color="auto" w:sz="4" w:space="0"/>
              <w:right w:val="single" w:color="auto" w:sz="4" w:space="0"/>
            </w:tcBorders>
            <w:noWrap w:val="0"/>
            <w:vAlign w:val="center"/>
          </w:tcPr>
          <w:p w14:paraId="333E4473">
            <w:pPr>
              <w:snapToGrid w:val="0"/>
              <w:ind w:left="-78" w:leftChars="-37" w:right="-44" w:rightChars="-21"/>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采购人联系人及联系电话</w:t>
            </w:r>
          </w:p>
        </w:tc>
      </w:tr>
      <w:tr w14:paraId="077C94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96" w:type="dxa"/>
            <w:vMerge w:val="continue"/>
            <w:tcBorders>
              <w:top w:val="single" w:color="auto" w:sz="4" w:space="0"/>
              <w:left w:val="single" w:color="auto" w:sz="4" w:space="0"/>
              <w:bottom w:val="single" w:color="auto" w:sz="4" w:space="0"/>
              <w:right w:val="single" w:color="auto" w:sz="4" w:space="0"/>
            </w:tcBorders>
            <w:noWrap w:val="0"/>
            <w:vAlign w:val="center"/>
          </w:tcPr>
          <w:p w14:paraId="0CD91116">
            <w:pPr>
              <w:widowControl/>
              <w:jc w:val="left"/>
              <w:rPr>
                <w:rFonts w:hint="eastAsia" w:ascii="仿宋" w:hAnsi="仿宋" w:eastAsia="仿宋" w:cs="仿宋"/>
                <w:color w:val="auto"/>
                <w:sz w:val="24"/>
                <w:szCs w:val="24"/>
                <w:highlight w:val="none"/>
              </w:rPr>
            </w:pPr>
          </w:p>
        </w:tc>
        <w:tc>
          <w:tcPr>
            <w:tcW w:w="838" w:type="dxa"/>
            <w:vMerge w:val="continue"/>
            <w:tcBorders>
              <w:top w:val="single" w:color="auto" w:sz="4" w:space="0"/>
              <w:left w:val="single" w:color="auto" w:sz="4" w:space="0"/>
              <w:bottom w:val="single" w:color="auto" w:sz="4" w:space="0"/>
              <w:right w:val="single" w:color="auto" w:sz="4" w:space="0"/>
            </w:tcBorders>
            <w:noWrap w:val="0"/>
            <w:vAlign w:val="center"/>
          </w:tcPr>
          <w:p w14:paraId="41D22E2B">
            <w:pPr>
              <w:widowControl/>
              <w:jc w:val="left"/>
              <w:rPr>
                <w:rFonts w:hint="eastAsia" w:ascii="仿宋" w:hAnsi="仿宋" w:eastAsia="仿宋" w:cs="仿宋"/>
                <w:color w:val="auto"/>
                <w:sz w:val="24"/>
                <w:szCs w:val="24"/>
                <w:highlight w:val="none"/>
              </w:rPr>
            </w:pPr>
          </w:p>
        </w:tc>
        <w:tc>
          <w:tcPr>
            <w:tcW w:w="1261" w:type="dxa"/>
            <w:vMerge w:val="continue"/>
            <w:tcBorders>
              <w:top w:val="single" w:color="auto" w:sz="4" w:space="0"/>
              <w:left w:val="single" w:color="auto" w:sz="4" w:space="0"/>
              <w:bottom w:val="single" w:color="auto" w:sz="4" w:space="0"/>
              <w:right w:val="single" w:color="auto" w:sz="4" w:space="0"/>
            </w:tcBorders>
            <w:noWrap w:val="0"/>
            <w:vAlign w:val="center"/>
          </w:tcPr>
          <w:p w14:paraId="1D85429B">
            <w:pPr>
              <w:widowControl/>
              <w:jc w:val="left"/>
              <w:rPr>
                <w:rFonts w:hint="eastAsia" w:ascii="仿宋" w:hAnsi="仿宋" w:eastAsia="仿宋" w:cs="仿宋"/>
                <w:color w:val="auto"/>
                <w:sz w:val="24"/>
                <w:szCs w:val="24"/>
                <w:highlight w:val="none"/>
              </w:rPr>
            </w:pPr>
          </w:p>
        </w:tc>
        <w:tc>
          <w:tcPr>
            <w:tcW w:w="695" w:type="dxa"/>
            <w:vMerge w:val="continue"/>
            <w:tcBorders>
              <w:top w:val="single" w:color="auto" w:sz="4" w:space="0"/>
              <w:left w:val="single" w:color="auto" w:sz="4" w:space="0"/>
              <w:bottom w:val="single" w:color="auto" w:sz="4" w:space="0"/>
              <w:right w:val="single" w:color="auto" w:sz="4" w:space="0"/>
            </w:tcBorders>
            <w:noWrap w:val="0"/>
            <w:vAlign w:val="center"/>
          </w:tcPr>
          <w:p w14:paraId="0D33F3BF">
            <w:pPr>
              <w:widowControl/>
              <w:jc w:val="left"/>
              <w:rPr>
                <w:rFonts w:hint="eastAsia" w:ascii="仿宋" w:hAnsi="仿宋" w:eastAsia="仿宋" w:cs="仿宋"/>
                <w:color w:val="auto"/>
                <w:sz w:val="24"/>
                <w:szCs w:val="24"/>
                <w:highlight w:val="none"/>
              </w:rPr>
            </w:pPr>
          </w:p>
        </w:tc>
        <w:tc>
          <w:tcPr>
            <w:tcW w:w="1122" w:type="dxa"/>
            <w:vMerge w:val="continue"/>
            <w:tcBorders>
              <w:top w:val="single" w:color="auto" w:sz="4" w:space="0"/>
              <w:left w:val="single" w:color="auto" w:sz="4" w:space="0"/>
              <w:bottom w:val="single" w:color="auto" w:sz="4" w:space="0"/>
              <w:right w:val="single" w:color="auto" w:sz="4" w:space="0"/>
            </w:tcBorders>
            <w:noWrap w:val="0"/>
            <w:vAlign w:val="center"/>
          </w:tcPr>
          <w:p w14:paraId="7EEB7D68">
            <w:pPr>
              <w:widowControl/>
              <w:jc w:val="left"/>
              <w:rPr>
                <w:rFonts w:hint="eastAsia" w:ascii="仿宋" w:hAnsi="仿宋" w:eastAsia="仿宋" w:cs="仿宋"/>
                <w:color w:val="auto"/>
                <w:sz w:val="24"/>
                <w:szCs w:val="24"/>
                <w:highlight w:val="none"/>
              </w:rPr>
            </w:pPr>
          </w:p>
        </w:tc>
        <w:tc>
          <w:tcPr>
            <w:tcW w:w="840" w:type="dxa"/>
            <w:vMerge w:val="continue"/>
            <w:tcBorders>
              <w:left w:val="single" w:color="auto" w:sz="4" w:space="0"/>
              <w:bottom w:val="single" w:color="auto" w:sz="4" w:space="0"/>
              <w:right w:val="single" w:color="auto" w:sz="4" w:space="0"/>
            </w:tcBorders>
            <w:noWrap w:val="0"/>
            <w:vAlign w:val="center"/>
          </w:tcPr>
          <w:p w14:paraId="2F0683DE">
            <w:pPr>
              <w:snapToGrid w:val="0"/>
              <w:jc w:val="center"/>
              <w:rPr>
                <w:rFonts w:hint="eastAsia" w:ascii="仿宋" w:hAnsi="仿宋" w:eastAsia="仿宋" w:cs="仿宋"/>
                <w:color w:val="auto"/>
                <w:sz w:val="24"/>
                <w:szCs w:val="24"/>
                <w:highlight w:val="none"/>
              </w:rPr>
            </w:pPr>
          </w:p>
        </w:tc>
        <w:tc>
          <w:tcPr>
            <w:tcW w:w="697" w:type="dxa"/>
            <w:tcBorders>
              <w:top w:val="single" w:color="auto" w:sz="4" w:space="0"/>
              <w:left w:val="single" w:color="auto" w:sz="4" w:space="0"/>
              <w:bottom w:val="single" w:color="auto" w:sz="4" w:space="0"/>
              <w:right w:val="single" w:color="auto" w:sz="4" w:space="0"/>
            </w:tcBorders>
            <w:noWrap w:val="0"/>
            <w:vAlign w:val="center"/>
          </w:tcPr>
          <w:p w14:paraId="07996642">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w:t>
            </w:r>
          </w:p>
        </w:tc>
        <w:tc>
          <w:tcPr>
            <w:tcW w:w="861" w:type="dxa"/>
            <w:tcBorders>
              <w:top w:val="single" w:color="auto" w:sz="4" w:space="0"/>
              <w:left w:val="single" w:color="auto" w:sz="4" w:space="0"/>
              <w:bottom w:val="single" w:color="auto" w:sz="4" w:space="0"/>
              <w:right w:val="single" w:color="auto" w:sz="4" w:space="0"/>
            </w:tcBorders>
            <w:noWrap w:val="0"/>
            <w:vAlign w:val="center"/>
          </w:tcPr>
          <w:p w14:paraId="5A13244F">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验收报告</w:t>
            </w:r>
          </w:p>
        </w:tc>
        <w:tc>
          <w:tcPr>
            <w:tcW w:w="744" w:type="dxa"/>
            <w:tcBorders>
              <w:top w:val="single" w:color="auto" w:sz="4" w:space="0"/>
              <w:left w:val="single" w:color="auto" w:sz="4" w:space="0"/>
              <w:bottom w:val="single" w:color="auto" w:sz="4" w:space="0"/>
              <w:right w:val="single" w:color="auto" w:sz="4" w:space="0"/>
            </w:tcBorders>
            <w:noWrap w:val="0"/>
            <w:vAlign w:val="center"/>
          </w:tcPr>
          <w:p w14:paraId="6433FB46">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用户评价</w:t>
            </w:r>
          </w:p>
        </w:tc>
        <w:tc>
          <w:tcPr>
            <w:tcW w:w="1294" w:type="dxa"/>
            <w:vMerge w:val="continue"/>
            <w:tcBorders>
              <w:top w:val="single" w:color="auto" w:sz="4" w:space="0"/>
              <w:left w:val="single" w:color="auto" w:sz="4" w:space="0"/>
              <w:bottom w:val="single" w:color="auto" w:sz="4" w:space="0"/>
              <w:right w:val="single" w:color="auto" w:sz="4" w:space="0"/>
            </w:tcBorders>
            <w:noWrap w:val="0"/>
            <w:vAlign w:val="center"/>
          </w:tcPr>
          <w:p w14:paraId="2E38725A">
            <w:pPr>
              <w:widowControl/>
              <w:jc w:val="left"/>
              <w:rPr>
                <w:rFonts w:hint="eastAsia" w:ascii="仿宋" w:hAnsi="仿宋" w:eastAsia="仿宋" w:cs="仿宋"/>
                <w:color w:val="auto"/>
                <w:sz w:val="24"/>
                <w:szCs w:val="24"/>
                <w:highlight w:val="none"/>
              </w:rPr>
            </w:pPr>
          </w:p>
        </w:tc>
      </w:tr>
      <w:tr w14:paraId="771067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14:paraId="715BEBC9">
            <w:pPr>
              <w:snapToGrid w:val="0"/>
              <w:jc w:val="center"/>
              <w:rPr>
                <w:rFonts w:hint="eastAsia" w:ascii="仿宋" w:hAnsi="仿宋" w:eastAsia="仿宋" w:cs="仿宋"/>
                <w:color w:val="auto"/>
                <w:sz w:val="24"/>
                <w:szCs w:val="24"/>
                <w:highlight w:val="none"/>
              </w:rPr>
            </w:pPr>
          </w:p>
        </w:tc>
        <w:tc>
          <w:tcPr>
            <w:tcW w:w="838" w:type="dxa"/>
            <w:tcBorders>
              <w:top w:val="single" w:color="auto" w:sz="4" w:space="0"/>
              <w:left w:val="single" w:color="auto" w:sz="4" w:space="0"/>
              <w:bottom w:val="single" w:color="auto" w:sz="4" w:space="0"/>
              <w:right w:val="single" w:color="auto" w:sz="4" w:space="0"/>
            </w:tcBorders>
            <w:noWrap w:val="0"/>
            <w:vAlign w:val="center"/>
          </w:tcPr>
          <w:p w14:paraId="23DF9CBC">
            <w:pPr>
              <w:snapToGrid w:val="0"/>
              <w:jc w:val="center"/>
              <w:rPr>
                <w:rFonts w:hint="eastAsia" w:ascii="仿宋" w:hAnsi="仿宋" w:eastAsia="仿宋" w:cs="仿宋"/>
                <w:color w:val="auto"/>
                <w:sz w:val="24"/>
                <w:szCs w:val="24"/>
                <w:highlight w:val="none"/>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14:paraId="5BAE3342">
            <w:pPr>
              <w:snapToGrid w:val="0"/>
              <w:jc w:val="center"/>
              <w:rPr>
                <w:rFonts w:hint="eastAsia" w:ascii="仿宋" w:hAnsi="仿宋" w:eastAsia="仿宋" w:cs="仿宋"/>
                <w:color w:val="auto"/>
                <w:sz w:val="24"/>
                <w:szCs w:val="24"/>
                <w:highlight w:val="none"/>
              </w:rPr>
            </w:pPr>
          </w:p>
        </w:tc>
        <w:tc>
          <w:tcPr>
            <w:tcW w:w="695" w:type="dxa"/>
            <w:tcBorders>
              <w:top w:val="single" w:color="auto" w:sz="4" w:space="0"/>
              <w:left w:val="single" w:color="auto" w:sz="4" w:space="0"/>
              <w:bottom w:val="single" w:color="auto" w:sz="4" w:space="0"/>
              <w:right w:val="single" w:color="auto" w:sz="4" w:space="0"/>
            </w:tcBorders>
            <w:noWrap w:val="0"/>
            <w:vAlign w:val="center"/>
          </w:tcPr>
          <w:p w14:paraId="6C2404D6">
            <w:pPr>
              <w:snapToGrid w:val="0"/>
              <w:jc w:val="center"/>
              <w:rPr>
                <w:rFonts w:hint="eastAsia" w:ascii="仿宋" w:hAnsi="仿宋" w:eastAsia="仿宋" w:cs="仿宋"/>
                <w:color w:val="auto"/>
                <w:sz w:val="24"/>
                <w:szCs w:val="24"/>
                <w:highlight w:val="none"/>
              </w:rPr>
            </w:pPr>
          </w:p>
        </w:tc>
        <w:tc>
          <w:tcPr>
            <w:tcW w:w="1122" w:type="dxa"/>
            <w:tcBorders>
              <w:top w:val="single" w:color="auto" w:sz="4" w:space="0"/>
              <w:left w:val="single" w:color="auto" w:sz="4" w:space="0"/>
              <w:bottom w:val="single" w:color="auto" w:sz="4" w:space="0"/>
              <w:right w:val="single" w:color="auto" w:sz="4" w:space="0"/>
            </w:tcBorders>
            <w:noWrap w:val="0"/>
            <w:vAlign w:val="center"/>
          </w:tcPr>
          <w:p w14:paraId="0815CEFE">
            <w:pPr>
              <w:snapToGrid w:val="0"/>
              <w:jc w:val="center"/>
              <w:rPr>
                <w:rFonts w:hint="eastAsia" w:ascii="仿宋" w:hAnsi="仿宋" w:eastAsia="仿宋" w:cs="仿宋"/>
                <w:color w:val="auto"/>
                <w:sz w:val="24"/>
                <w:szCs w:val="24"/>
                <w:highlight w:val="none"/>
              </w:rPr>
            </w:pPr>
          </w:p>
        </w:tc>
        <w:tc>
          <w:tcPr>
            <w:tcW w:w="840" w:type="dxa"/>
            <w:tcBorders>
              <w:top w:val="single" w:color="auto" w:sz="4" w:space="0"/>
              <w:left w:val="single" w:color="auto" w:sz="4" w:space="0"/>
              <w:bottom w:val="single" w:color="auto" w:sz="4" w:space="0"/>
              <w:right w:val="single" w:color="auto" w:sz="4" w:space="0"/>
            </w:tcBorders>
            <w:noWrap w:val="0"/>
            <w:vAlign w:val="center"/>
          </w:tcPr>
          <w:p w14:paraId="4B06F30E">
            <w:pPr>
              <w:snapToGrid w:val="0"/>
              <w:jc w:val="center"/>
              <w:rPr>
                <w:rFonts w:hint="eastAsia" w:ascii="仿宋" w:hAnsi="仿宋" w:eastAsia="仿宋" w:cs="仿宋"/>
                <w:color w:val="auto"/>
                <w:sz w:val="24"/>
                <w:szCs w:val="24"/>
                <w:highlight w:val="none"/>
              </w:rPr>
            </w:pPr>
          </w:p>
        </w:tc>
        <w:tc>
          <w:tcPr>
            <w:tcW w:w="697" w:type="dxa"/>
            <w:tcBorders>
              <w:top w:val="single" w:color="auto" w:sz="4" w:space="0"/>
              <w:left w:val="single" w:color="auto" w:sz="4" w:space="0"/>
              <w:bottom w:val="single" w:color="auto" w:sz="4" w:space="0"/>
              <w:right w:val="single" w:color="auto" w:sz="4" w:space="0"/>
            </w:tcBorders>
            <w:noWrap w:val="0"/>
            <w:vAlign w:val="center"/>
          </w:tcPr>
          <w:p w14:paraId="7C7F3ADB">
            <w:pPr>
              <w:snapToGrid w:val="0"/>
              <w:jc w:val="center"/>
              <w:rPr>
                <w:rFonts w:hint="eastAsia" w:ascii="仿宋" w:hAnsi="仿宋" w:eastAsia="仿宋" w:cs="仿宋"/>
                <w:color w:val="auto"/>
                <w:sz w:val="24"/>
                <w:szCs w:val="24"/>
                <w:highlight w:val="none"/>
              </w:rPr>
            </w:pPr>
          </w:p>
        </w:tc>
        <w:tc>
          <w:tcPr>
            <w:tcW w:w="861" w:type="dxa"/>
            <w:tcBorders>
              <w:top w:val="single" w:color="auto" w:sz="4" w:space="0"/>
              <w:left w:val="single" w:color="auto" w:sz="4" w:space="0"/>
              <w:bottom w:val="single" w:color="auto" w:sz="4" w:space="0"/>
              <w:right w:val="single" w:color="auto" w:sz="4" w:space="0"/>
            </w:tcBorders>
            <w:noWrap w:val="0"/>
            <w:vAlign w:val="center"/>
          </w:tcPr>
          <w:p w14:paraId="7583143D">
            <w:pPr>
              <w:snapToGrid w:val="0"/>
              <w:jc w:val="center"/>
              <w:rPr>
                <w:rFonts w:hint="eastAsia" w:ascii="仿宋" w:hAnsi="仿宋" w:eastAsia="仿宋" w:cs="仿宋"/>
                <w:color w:val="auto"/>
                <w:sz w:val="24"/>
                <w:szCs w:val="24"/>
                <w:highlight w:val="none"/>
              </w:rPr>
            </w:pPr>
          </w:p>
        </w:tc>
        <w:tc>
          <w:tcPr>
            <w:tcW w:w="744" w:type="dxa"/>
            <w:tcBorders>
              <w:top w:val="single" w:color="auto" w:sz="4" w:space="0"/>
              <w:left w:val="single" w:color="auto" w:sz="4" w:space="0"/>
              <w:bottom w:val="single" w:color="auto" w:sz="4" w:space="0"/>
              <w:right w:val="single" w:color="auto" w:sz="4" w:space="0"/>
            </w:tcBorders>
            <w:noWrap w:val="0"/>
            <w:vAlign w:val="center"/>
          </w:tcPr>
          <w:p w14:paraId="4A449264">
            <w:pPr>
              <w:snapToGrid w:val="0"/>
              <w:jc w:val="center"/>
              <w:rPr>
                <w:rFonts w:hint="eastAsia" w:ascii="仿宋" w:hAnsi="仿宋" w:eastAsia="仿宋" w:cs="仿宋"/>
                <w:color w:val="auto"/>
                <w:sz w:val="24"/>
                <w:szCs w:val="24"/>
                <w:highlight w:val="none"/>
              </w:rPr>
            </w:pPr>
          </w:p>
        </w:tc>
        <w:tc>
          <w:tcPr>
            <w:tcW w:w="1294" w:type="dxa"/>
            <w:tcBorders>
              <w:top w:val="single" w:color="auto" w:sz="4" w:space="0"/>
              <w:left w:val="single" w:color="auto" w:sz="4" w:space="0"/>
              <w:bottom w:val="single" w:color="auto" w:sz="4" w:space="0"/>
              <w:right w:val="single" w:color="auto" w:sz="4" w:space="0"/>
            </w:tcBorders>
            <w:noWrap w:val="0"/>
            <w:vAlign w:val="center"/>
          </w:tcPr>
          <w:p w14:paraId="5374C8E3">
            <w:pPr>
              <w:snapToGrid w:val="0"/>
              <w:jc w:val="center"/>
              <w:rPr>
                <w:rFonts w:hint="eastAsia" w:ascii="仿宋" w:hAnsi="仿宋" w:eastAsia="仿宋" w:cs="仿宋"/>
                <w:color w:val="auto"/>
                <w:sz w:val="24"/>
                <w:szCs w:val="24"/>
                <w:highlight w:val="none"/>
              </w:rPr>
            </w:pPr>
          </w:p>
        </w:tc>
      </w:tr>
      <w:tr w14:paraId="70C508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14:paraId="24C3C2AF">
            <w:pPr>
              <w:snapToGrid w:val="0"/>
              <w:spacing w:before="50" w:after="120" w:afterLines="5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838" w:type="dxa"/>
            <w:tcBorders>
              <w:top w:val="single" w:color="auto" w:sz="4" w:space="0"/>
              <w:left w:val="single" w:color="auto" w:sz="4" w:space="0"/>
              <w:bottom w:val="single" w:color="auto" w:sz="4" w:space="0"/>
              <w:right w:val="single" w:color="auto" w:sz="4" w:space="0"/>
            </w:tcBorders>
            <w:noWrap w:val="0"/>
            <w:vAlign w:val="center"/>
          </w:tcPr>
          <w:p w14:paraId="4A0BDD7D">
            <w:pPr>
              <w:snapToGrid w:val="0"/>
              <w:spacing w:before="50" w:after="120" w:afterLines="50"/>
              <w:jc w:val="center"/>
              <w:rPr>
                <w:rFonts w:hint="eastAsia" w:ascii="仿宋" w:hAnsi="仿宋" w:eastAsia="仿宋" w:cs="仿宋"/>
                <w:color w:val="auto"/>
                <w:sz w:val="24"/>
                <w:szCs w:val="24"/>
                <w:highlight w:val="none"/>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14:paraId="031C5958">
            <w:pPr>
              <w:snapToGrid w:val="0"/>
              <w:spacing w:before="50" w:after="120" w:afterLines="50"/>
              <w:jc w:val="center"/>
              <w:rPr>
                <w:rFonts w:hint="eastAsia" w:ascii="仿宋" w:hAnsi="仿宋" w:eastAsia="仿宋" w:cs="仿宋"/>
                <w:color w:val="auto"/>
                <w:sz w:val="24"/>
                <w:szCs w:val="24"/>
                <w:highlight w:val="none"/>
              </w:rPr>
            </w:pPr>
          </w:p>
        </w:tc>
        <w:tc>
          <w:tcPr>
            <w:tcW w:w="695" w:type="dxa"/>
            <w:tcBorders>
              <w:top w:val="single" w:color="auto" w:sz="4" w:space="0"/>
              <w:left w:val="single" w:color="auto" w:sz="4" w:space="0"/>
              <w:bottom w:val="single" w:color="auto" w:sz="4" w:space="0"/>
              <w:right w:val="single" w:color="auto" w:sz="4" w:space="0"/>
            </w:tcBorders>
            <w:noWrap w:val="0"/>
            <w:vAlign w:val="center"/>
          </w:tcPr>
          <w:p w14:paraId="5F123785">
            <w:pPr>
              <w:snapToGrid w:val="0"/>
              <w:spacing w:before="50" w:after="120" w:afterLines="50"/>
              <w:jc w:val="center"/>
              <w:rPr>
                <w:rFonts w:hint="eastAsia" w:ascii="仿宋" w:hAnsi="仿宋" w:eastAsia="仿宋" w:cs="仿宋"/>
                <w:color w:val="auto"/>
                <w:sz w:val="24"/>
                <w:szCs w:val="24"/>
                <w:highlight w:val="none"/>
              </w:rPr>
            </w:pPr>
          </w:p>
        </w:tc>
        <w:tc>
          <w:tcPr>
            <w:tcW w:w="1122" w:type="dxa"/>
            <w:tcBorders>
              <w:top w:val="single" w:color="auto" w:sz="4" w:space="0"/>
              <w:left w:val="single" w:color="auto" w:sz="4" w:space="0"/>
              <w:bottom w:val="single" w:color="auto" w:sz="4" w:space="0"/>
              <w:right w:val="single" w:color="auto" w:sz="4" w:space="0"/>
            </w:tcBorders>
            <w:noWrap w:val="0"/>
            <w:vAlign w:val="center"/>
          </w:tcPr>
          <w:p w14:paraId="65AC6DCF">
            <w:pPr>
              <w:snapToGrid w:val="0"/>
              <w:spacing w:before="50" w:after="120" w:afterLines="50"/>
              <w:jc w:val="center"/>
              <w:rPr>
                <w:rFonts w:hint="eastAsia" w:ascii="仿宋" w:hAnsi="仿宋" w:eastAsia="仿宋" w:cs="仿宋"/>
                <w:color w:val="auto"/>
                <w:sz w:val="24"/>
                <w:szCs w:val="24"/>
                <w:highlight w:val="none"/>
              </w:rPr>
            </w:pPr>
          </w:p>
        </w:tc>
        <w:tc>
          <w:tcPr>
            <w:tcW w:w="840" w:type="dxa"/>
            <w:tcBorders>
              <w:top w:val="single" w:color="auto" w:sz="4" w:space="0"/>
              <w:left w:val="single" w:color="auto" w:sz="4" w:space="0"/>
              <w:bottom w:val="single" w:color="auto" w:sz="4" w:space="0"/>
              <w:right w:val="single" w:color="auto" w:sz="4" w:space="0"/>
            </w:tcBorders>
            <w:noWrap w:val="0"/>
            <w:vAlign w:val="center"/>
          </w:tcPr>
          <w:p w14:paraId="159E85F6">
            <w:pPr>
              <w:snapToGrid w:val="0"/>
              <w:spacing w:before="50" w:after="120" w:afterLines="50"/>
              <w:jc w:val="center"/>
              <w:rPr>
                <w:rFonts w:hint="eastAsia" w:ascii="仿宋" w:hAnsi="仿宋" w:eastAsia="仿宋" w:cs="仿宋"/>
                <w:color w:val="auto"/>
                <w:sz w:val="24"/>
                <w:szCs w:val="24"/>
                <w:highlight w:val="none"/>
              </w:rPr>
            </w:pPr>
          </w:p>
        </w:tc>
        <w:tc>
          <w:tcPr>
            <w:tcW w:w="697" w:type="dxa"/>
            <w:tcBorders>
              <w:top w:val="single" w:color="auto" w:sz="4" w:space="0"/>
              <w:left w:val="single" w:color="auto" w:sz="4" w:space="0"/>
              <w:bottom w:val="single" w:color="auto" w:sz="4" w:space="0"/>
              <w:right w:val="single" w:color="auto" w:sz="4" w:space="0"/>
            </w:tcBorders>
            <w:noWrap w:val="0"/>
            <w:vAlign w:val="center"/>
          </w:tcPr>
          <w:p w14:paraId="3A5A09D1">
            <w:pPr>
              <w:snapToGrid w:val="0"/>
              <w:spacing w:before="50" w:after="120" w:afterLines="50"/>
              <w:jc w:val="center"/>
              <w:rPr>
                <w:rFonts w:hint="eastAsia" w:ascii="仿宋" w:hAnsi="仿宋" w:eastAsia="仿宋" w:cs="仿宋"/>
                <w:color w:val="auto"/>
                <w:sz w:val="24"/>
                <w:szCs w:val="24"/>
                <w:highlight w:val="none"/>
              </w:rPr>
            </w:pPr>
          </w:p>
        </w:tc>
        <w:tc>
          <w:tcPr>
            <w:tcW w:w="861" w:type="dxa"/>
            <w:tcBorders>
              <w:top w:val="single" w:color="auto" w:sz="4" w:space="0"/>
              <w:left w:val="single" w:color="auto" w:sz="4" w:space="0"/>
              <w:bottom w:val="single" w:color="auto" w:sz="4" w:space="0"/>
              <w:right w:val="single" w:color="auto" w:sz="4" w:space="0"/>
            </w:tcBorders>
            <w:noWrap w:val="0"/>
            <w:vAlign w:val="center"/>
          </w:tcPr>
          <w:p w14:paraId="77BE8067">
            <w:pPr>
              <w:snapToGrid w:val="0"/>
              <w:spacing w:before="50" w:after="120" w:afterLines="50"/>
              <w:jc w:val="center"/>
              <w:rPr>
                <w:rFonts w:hint="eastAsia" w:ascii="仿宋" w:hAnsi="仿宋" w:eastAsia="仿宋" w:cs="仿宋"/>
                <w:color w:val="auto"/>
                <w:sz w:val="24"/>
                <w:szCs w:val="24"/>
                <w:highlight w:val="none"/>
              </w:rPr>
            </w:pPr>
          </w:p>
        </w:tc>
        <w:tc>
          <w:tcPr>
            <w:tcW w:w="744" w:type="dxa"/>
            <w:tcBorders>
              <w:top w:val="single" w:color="auto" w:sz="4" w:space="0"/>
              <w:left w:val="single" w:color="auto" w:sz="4" w:space="0"/>
              <w:bottom w:val="single" w:color="auto" w:sz="4" w:space="0"/>
              <w:right w:val="single" w:color="auto" w:sz="4" w:space="0"/>
            </w:tcBorders>
            <w:noWrap w:val="0"/>
            <w:vAlign w:val="center"/>
          </w:tcPr>
          <w:p w14:paraId="4CFD2CF0">
            <w:pPr>
              <w:snapToGrid w:val="0"/>
              <w:spacing w:before="50" w:after="120" w:afterLines="50"/>
              <w:jc w:val="center"/>
              <w:rPr>
                <w:rFonts w:hint="eastAsia" w:ascii="仿宋" w:hAnsi="仿宋" w:eastAsia="仿宋" w:cs="仿宋"/>
                <w:color w:val="auto"/>
                <w:sz w:val="24"/>
                <w:szCs w:val="24"/>
                <w:highlight w:val="none"/>
              </w:rPr>
            </w:pPr>
          </w:p>
        </w:tc>
        <w:tc>
          <w:tcPr>
            <w:tcW w:w="1294" w:type="dxa"/>
            <w:tcBorders>
              <w:top w:val="single" w:color="auto" w:sz="4" w:space="0"/>
              <w:left w:val="single" w:color="auto" w:sz="4" w:space="0"/>
              <w:bottom w:val="single" w:color="auto" w:sz="4" w:space="0"/>
              <w:right w:val="single" w:color="auto" w:sz="4" w:space="0"/>
            </w:tcBorders>
            <w:noWrap w:val="0"/>
            <w:vAlign w:val="center"/>
          </w:tcPr>
          <w:p w14:paraId="4D226D55">
            <w:pPr>
              <w:snapToGrid w:val="0"/>
              <w:spacing w:before="50" w:after="120" w:afterLines="50"/>
              <w:jc w:val="center"/>
              <w:rPr>
                <w:rFonts w:hint="eastAsia" w:ascii="仿宋" w:hAnsi="仿宋" w:eastAsia="仿宋" w:cs="仿宋"/>
                <w:color w:val="auto"/>
                <w:sz w:val="24"/>
                <w:szCs w:val="24"/>
                <w:highlight w:val="none"/>
              </w:rPr>
            </w:pPr>
          </w:p>
        </w:tc>
      </w:tr>
    </w:tbl>
    <w:p w14:paraId="2DEAD099">
      <w:pPr>
        <w:pStyle w:val="15"/>
        <w:snapToGrid w:val="0"/>
        <w:ind w:left="480" w:hanging="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此表后附合同电子文档等相关证明材料。</w:t>
      </w:r>
    </w:p>
    <w:p w14:paraId="008BC2F2">
      <w:pPr>
        <w:pStyle w:val="15"/>
        <w:snapToGrid w:val="0"/>
        <w:ind w:left="480" w:hanging="480"/>
        <w:jc w:val="left"/>
        <w:rPr>
          <w:rFonts w:hint="eastAsia" w:ascii="仿宋" w:hAnsi="仿宋" w:eastAsia="仿宋" w:cs="仿宋"/>
          <w:color w:val="auto"/>
          <w:sz w:val="24"/>
          <w:highlight w:val="none"/>
        </w:rPr>
      </w:pPr>
    </w:p>
    <w:p w14:paraId="1A04DADA">
      <w:pPr>
        <w:pStyle w:val="31"/>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投标人盖章：</w:t>
      </w:r>
      <w:r>
        <w:rPr>
          <w:rFonts w:hint="eastAsia" w:ascii="仿宋" w:hAnsi="仿宋" w:eastAsia="仿宋" w:cs="仿宋"/>
          <w:color w:val="auto"/>
          <w:sz w:val="24"/>
          <w:szCs w:val="21"/>
          <w:highlight w:val="none"/>
          <w:u w:val="single"/>
        </w:rPr>
        <w:t xml:space="preserve">                </w:t>
      </w:r>
    </w:p>
    <w:p w14:paraId="20948953">
      <w:pPr>
        <w:pStyle w:val="31"/>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14:paraId="1E7C2857">
      <w:pPr>
        <w:pStyle w:val="6"/>
        <w:spacing w:before="0" w:after="0"/>
        <w:ind w:firstLine="0" w:firstLineChars="0"/>
        <w:jc w:val="left"/>
        <w:rPr>
          <w:rFonts w:hint="eastAsia" w:ascii="仿宋" w:hAnsi="仿宋" w:eastAsia="仿宋" w:cs="仿宋"/>
          <w:color w:val="auto"/>
          <w:sz w:val="24"/>
          <w:szCs w:val="24"/>
          <w:highlight w:val="none"/>
        </w:rPr>
      </w:pPr>
      <w:bookmarkStart w:id="397" w:name="_Toc531359061"/>
      <w:bookmarkStart w:id="398" w:name="_Toc4577"/>
      <w:bookmarkStart w:id="399" w:name="_Toc30885"/>
      <w:bookmarkStart w:id="400" w:name="_Toc16536"/>
      <w:bookmarkStart w:id="401" w:name="_Toc22965"/>
      <w:r>
        <w:rPr>
          <w:rFonts w:hint="eastAsia" w:ascii="仿宋" w:hAnsi="仿宋" w:eastAsia="仿宋" w:cs="仿宋"/>
          <w:color w:val="auto"/>
          <w:sz w:val="24"/>
          <w:szCs w:val="24"/>
          <w:highlight w:val="none"/>
        </w:rPr>
        <w:t>2.6    商务响应表</w:t>
      </w:r>
      <w:bookmarkEnd w:id="386"/>
      <w:bookmarkEnd w:id="387"/>
      <w:bookmarkEnd w:id="397"/>
      <w:r>
        <w:rPr>
          <w:rFonts w:hint="eastAsia" w:ascii="仿宋" w:hAnsi="仿宋" w:eastAsia="仿宋" w:cs="仿宋"/>
          <w:color w:val="auto"/>
          <w:sz w:val="24"/>
          <w:szCs w:val="24"/>
          <w:highlight w:val="none"/>
        </w:rPr>
        <w:t>格式</w:t>
      </w:r>
      <w:bookmarkEnd w:id="398"/>
      <w:bookmarkEnd w:id="399"/>
      <w:bookmarkEnd w:id="400"/>
      <w:bookmarkEnd w:id="401"/>
    </w:p>
    <w:p w14:paraId="0F717FDC">
      <w:pPr>
        <w:pStyle w:val="4"/>
        <w:spacing w:line="360" w:lineRule="auto"/>
        <w:ind w:firstLine="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商务响应表</w:t>
      </w:r>
    </w:p>
    <w:p w14:paraId="2E93862D">
      <w:pPr>
        <w:pStyle w:val="43"/>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项目编号：</w:t>
      </w:r>
    </w:p>
    <w:p w14:paraId="6BE4C5CF">
      <w:pPr>
        <w:pStyle w:val="43"/>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                               标项（若有）：</w:t>
      </w:r>
    </w:p>
    <w:tbl>
      <w:tblPr>
        <w:tblStyle w:val="20"/>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1927"/>
        <w:gridCol w:w="2546"/>
        <w:gridCol w:w="2694"/>
        <w:gridCol w:w="1275"/>
      </w:tblGrid>
      <w:tr w14:paraId="16D0A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14:paraId="6DDCD961">
            <w:pPr>
              <w:pStyle w:val="43"/>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927" w:type="dxa"/>
            <w:noWrap w:val="0"/>
            <w:vAlign w:val="center"/>
          </w:tcPr>
          <w:p w14:paraId="562E3ABE">
            <w:pPr>
              <w:pStyle w:val="43"/>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类别</w:t>
            </w:r>
          </w:p>
        </w:tc>
        <w:tc>
          <w:tcPr>
            <w:tcW w:w="2546" w:type="dxa"/>
            <w:noWrap w:val="0"/>
            <w:vAlign w:val="center"/>
          </w:tcPr>
          <w:p w14:paraId="5666C8BF">
            <w:pPr>
              <w:pStyle w:val="43"/>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招标文件要求</w:t>
            </w:r>
          </w:p>
        </w:tc>
        <w:tc>
          <w:tcPr>
            <w:tcW w:w="2694" w:type="dxa"/>
            <w:noWrap w:val="0"/>
            <w:vAlign w:val="center"/>
          </w:tcPr>
          <w:p w14:paraId="269E4592">
            <w:pPr>
              <w:pStyle w:val="43"/>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投标人承诺</w:t>
            </w:r>
          </w:p>
        </w:tc>
        <w:tc>
          <w:tcPr>
            <w:tcW w:w="1275" w:type="dxa"/>
            <w:noWrap w:val="0"/>
            <w:vAlign w:val="center"/>
          </w:tcPr>
          <w:p w14:paraId="720C8DC2">
            <w:pPr>
              <w:pStyle w:val="43"/>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r>
      <w:tr w14:paraId="01335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14:paraId="39EA2ED4">
            <w:pPr>
              <w:pStyle w:val="43"/>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927" w:type="dxa"/>
            <w:noWrap w:val="0"/>
            <w:vAlign w:val="center"/>
          </w:tcPr>
          <w:p w14:paraId="73878610">
            <w:pPr>
              <w:pStyle w:val="43"/>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质保期</w:t>
            </w:r>
          </w:p>
        </w:tc>
        <w:tc>
          <w:tcPr>
            <w:tcW w:w="2546" w:type="dxa"/>
            <w:noWrap w:val="0"/>
            <w:vAlign w:val="center"/>
          </w:tcPr>
          <w:p w14:paraId="2E6D0181">
            <w:pPr>
              <w:pStyle w:val="43"/>
              <w:jc w:val="center"/>
              <w:rPr>
                <w:rFonts w:hint="eastAsia" w:ascii="仿宋" w:hAnsi="仿宋" w:eastAsia="仿宋" w:cs="仿宋"/>
                <w:color w:val="auto"/>
                <w:sz w:val="24"/>
                <w:highlight w:val="none"/>
              </w:rPr>
            </w:pPr>
          </w:p>
        </w:tc>
        <w:tc>
          <w:tcPr>
            <w:tcW w:w="2694" w:type="dxa"/>
            <w:noWrap w:val="0"/>
            <w:vAlign w:val="center"/>
          </w:tcPr>
          <w:p w14:paraId="321E4ED2">
            <w:pPr>
              <w:pStyle w:val="43"/>
              <w:jc w:val="center"/>
              <w:rPr>
                <w:rFonts w:hint="eastAsia" w:ascii="仿宋" w:hAnsi="仿宋" w:eastAsia="仿宋" w:cs="仿宋"/>
                <w:color w:val="auto"/>
                <w:sz w:val="24"/>
                <w:highlight w:val="none"/>
              </w:rPr>
            </w:pPr>
          </w:p>
        </w:tc>
        <w:tc>
          <w:tcPr>
            <w:tcW w:w="1275" w:type="dxa"/>
            <w:noWrap w:val="0"/>
            <w:vAlign w:val="center"/>
          </w:tcPr>
          <w:p w14:paraId="6212D8F8">
            <w:pPr>
              <w:pStyle w:val="43"/>
              <w:jc w:val="center"/>
              <w:rPr>
                <w:rFonts w:hint="eastAsia" w:ascii="仿宋" w:hAnsi="仿宋" w:eastAsia="仿宋" w:cs="仿宋"/>
                <w:color w:val="auto"/>
                <w:sz w:val="24"/>
                <w:highlight w:val="none"/>
              </w:rPr>
            </w:pPr>
          </w:p>
        </w:tc>
      </w:tr>
      <w:tr w14:paraId="3CE17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14:paraId="67312E27">
            <w:pPr>
              <w:pStyle w:val="43"/>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927" w:type="dxa"/>
            <w:noWrap w:val="0"/>
            <w:vAlign w:val="center"/>
          </w:tcPr>
          <w:p w14:paraId="39EEEE55">
            <w:pPr>
              <w:pStyle w:val="43"/>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工期</w:t>
            </w:r>
          </w:p>
        </w:tc>
        <w:tc>
          <w:tcPr>
            <w:tcW w:w="2546" w:type="dxa"/>
            <w:noWrap w:val="0"/>
            <w:vAlign w:val="center"/>
          </w:tcPr>
          <w:p w14:paraId="786002BA">
            <w:pPr>
              <w:pStyle w:val="43"/>
              <w:jc w:val="center"/>
              <w:rPr>
                <w:rFonts w:hint="eastAsia" w:ascii="仿宋" w:hAnsi="仿宋" w:eastAsia="仿宋" w:cs="仿宋"/>
                <w:color w:val="auto"/>
                <w:sz w:val="24"/>
                <w:highlight w:val="none"/>
              </w:rPr>
            </w:pPr>
          </w:p>
        </w:tc>
        <w:tc>
          <w:tcPr>
            <w:tcW w:w="2694" w:type="dxa"/>
            <w:noWrap w:val="0"/>
            <w:vAlign w:val="center"/>
          </w:tcPr>
          <w:p w14:paraId="5779625B">
            <w:pPr>
              <w:pStyle w:val="43"/>
              <w:jc w:val="center"/>
              <w:rPr>
                <w:rFonts w:hint="eastAsia" w:ascii="仿宋" w:hAnsi="仿宋" w:eastAsia="仿宋" w:cs="仿宋"/>
                <w:color w:val="auto"/>
                <w:sz w:val="24"/>
                <w:highlight w:val="none"/>
              </w:rPr>
            </w:pPr>
          </w:p>
        </w:tc>
        <w:tc>
          <w:tcPr>
            <w:tcW w:w="1275" w:type="dxa"/>
            <w:noWrap w:val="0"/>
            <w:vAlign w:val="center"/>
          </w:tcPr>
          <w:p w14:paraId="057A8F9E">
            <w:pPr>
              <w:pStyle w:val="43"/>
              <w:jc w:val="center"/>
              <w:rPr>
                <w:rFonts w:hint="eastAsia" w:ascii="仿宋" w:hAnsi="仿宋" w:eastAsia="仿宋" w:cs="仿宋"/>
                <w:color w:val="auto"/>
                <w:sz w:val="24"/>
                <w:highlight w:val="none"/>
              </w:rPr>
            </w:pPr>
          </w:p>
        </w:tc>
      </w:tr>
      <w:tr w14:paraId="28E19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14:paraId="66EC9B8E">
            <w:pPr>
              <w:pStyle w:val="43"/>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927" w:type="dxa"/>
            <w:noWrap w:val="0"/>
            <w:vAlign w:val="center"/>
          </w:tcPr>
          <w:p w14:paraId="2F63818F">
            <w:pPr>
              <w:pStyle w:val="43"/>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售后技术服务</w:t>
            </w:r>
          </w:p>
        </w:tc>
        <w:tc>
          <w:tcPr>
            <w:tcW w:w="2546" w:type="dxa"/>
            <w:noWrap w:val="0"/>
            <w:vAlign w:val="center"/>
          </w:tcPr>
          <w:p w14:paraId="48979B50">
            <w:pPr>
              <w:pStyle w:val="43"/>
              <w:jc w:val="center"/>
              <w:rPr>
                <w:rFonts w:hint="eastAsia" w:ascii="仿宋" w:hAnsi="仿宋" w:eastAsia="仿宋" w:cs="仿宋"/>
                <w:color w:val="auto"/>
                <w:sz w:val="24"/>
                <w:highlight w:val="none"/>
              </w:rPr>
            </w:pPr>
          </w:p>
        </w:tc>
        <w:tc>
          <w:tcPr>
            <w:tcW w:w="2694" w:type="dxa"/>
            <w:noWrap w:val="0"/>
            <w:vAlign w:val="center"/>
          </w:tcPr>
          <w:p w14:paraId="3146EAE9">
            <w:pPr>
              <w:pStyle w:val="43"/>
              <w:jc w:val="center"/>
              <w:rPr>
                <w:rFonts w:hint="eastAsia" w:ascii="仿宋" w:hAnsi="仿宋" w:eastAsia="仿宋" w:cs="仿宋"/>
                <w:color w:val="auto"/>
                <w:sz w:val="24"/>
                <w:highlight w:val="none"/>
              </w:rPr>
            </w:pPr>
          </w:p>
        </w:tc>
        <w:tc>
          <w:tcPr>
            <w:tcW w:w="1275" w:type="dxa"/>
            <w:noWrap w:val="0"/>
            <w:vAlign w:val="center"/>
          </w:tcPr>
          <w:p w14:paraId="237BF174">
            <w:pPr>
              <w:pStyle w:val="43"/>
              <w:jc w:val="center"/>
              <w:rPr>
                <w:rFonts w:hint="eastAsia" w:ascii="仿宋" w:hAnsi="仿宋" w:eastAsia="仿宋" w:cs="仿宋"/>
                <w:color w:val="auto"/>
                <w:sz w:val="24"/>
                <w:highlight w:val="none"/>
              </w:rPr>
            </w:pPr>
          </w:p>
        </w:tc>
      </w:tr>
      <w:tr w14:paraId="418B8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14:paraId="18767A2A">
            <w:pPr>
              <w:pStyle w:val="43"/>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927" w:type="dxa"/>
            <w:noWrap w:val="0"/>
            <w:vAlign w:val="center"/>
          </w:tcPr>
          <w:p w14:paraId="689F8F9F">
            <w:pPr>
              <w:pStyle w:val="43"/>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付款方式</w:t>
            </w:r>
          </w:p>
        </w:tc>
        <w:tc>
          <w:tcPr>
            <w:tcW w:w="2546" w:type="dxa"/>
            <w:noWrap w:val="0"/>
            <w:vAlign w:val="center"/>
          </w:tcPr>
          <w:p w14:paraId="44177D13">
            <w:pPr>
              <w:pStyle w:val="43"/>
              <w:jc w:val="center"/>
              <w:rPr>
                <w:rFonts w:hint="eastAsia" w:ascii="仿宋" w:hAnsi="仿宋" w:eastAsia="仿宋" w:cs="仿宋"/>
                <w:color w:val="auto"/>
                <w:sz w:val="24"/>
                <w:highlight w:val="none"/>
              </w:rPr>
            </w:pPr>
          </w:p>
        </w:tc>
        <w:tc>
          <w:tcPr>
            <w:tcW w:w="2694" w:type="dxa"/>
            <w:noWrap w:val="0"/>
            <w:vAlign w:val="center"/>
          </w:tcPr>
          <w:p w14:paraId="66561A1D">
            <w:pPr>
              <w:pStyle w:val="43"/>
              <w:jc w:val="center"/>
              <w:rPr>
                <w:rFonts w:hint="eastAsia" w:ascii="仿宋" w:hAnsi="仿宋" w:eastAsia="仿宋" w:cs="仿宋"/>
                <w:color w:val="auto"/>
                <w:sz w:val="24"/>
                <w:highlight w:val="none"/>
              </w:rPr>
            </w:pPr>
          </w:p>
        </w:tc>
        <w:tc>
          <w:tcPr>
            <w:tcW w:w="1275" w:type="dxa"/>
            <w:noWrap w:val="0"/>
            <w:vAlign w:val="center"/>
          </w:tcPr>
          <w:p w14:paraId="7D8CA154">
            <w:pPr>
              <w:pStyle w:val="43"/>
              <w:jc w:val="center"/>
              <w:rPr>
                <w:rFonts w:hint="eastAsia" w:ascii="仿宋" w:hAnsi="仿宋" w:eastAsia="仿宋" w:cs="仿宋"/>
                <w:color w:val="auto"/>
                <w:sz w:val="24"/>
                <w:highlight w:val="none"/>
              </w:rPr>
            </w:pPr>
          </w:p>
        </w:tc>
      </w:tr>
      <w:tr w14:paraId="16A37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14:paraId="018E7F04">
            <w:pPr>
              <w:pStyle w:val="43"/>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927" w:type="dxa"/>
            <w:noWrap w:val="0"/>
            <w:vAlign w:val="center"/>
          </w:tcPr>
          <w:p w14:paraId="0E472CC8">
            <w:pPr>
              <w:pStyle w:val="43"/>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培训</w:t>
            </w:r>
          </w:p>
        </w:tc>
        <w:tc>
          <w:tcPr>
            <w:tcW w:w="2546" w:type="dxa"/>
            <w:noWrap w:val="0"/>
            <w:vAlign w:val="center"/>
          </w:tcPr>
          <w:p w14:paraId="591CF46C">
            <w:pPr>
              <w:pStyle w:val="43"/>
              <w:jc w:val="center"/>
              <w:rPr>
                <w:rFonts w:hint="eastAsia" w:ascii="仿宋" w:hAnsi="仿宋" w:eastAsia="仿宋" w:cs="仿宋"/>
                <w:color w:val="auto"/>
                <w:sz w:val="24"/>
                <w:highlight w:val="none"/>
              </w:rPr>
            </w:pPr>
          </w:p>
        </w:tc>
        <w:tc>
          <w:tcPr>
            <w:tcW w:w="2694" w:type="dxa"/>
            <w:noWrap w:val="0"/>
            <w:vAlign w:val="center"/>
          </w:tcPr>
          <w:p w14:paraId="6D8B5BBC">
            <w:pPr>
              <w:pStyle w:val="43"/>
              <w:jc w:val="center"/>
              <w:rPr>
                <w:rFonts w:hint="eastAsia" w:ascii="仿宋" w:hAnsi="仿宋" w:eastAsia="仿宋" w:cs="仿宋"/>
                <w:color w:val="auto"/>
                <w:sz w:val="24"/>
                <w:highlight w:val="none"/>
              </w:rPr>
            </w:pPr>
          </w:p>
        </w:tc>
        <w:tc>
          <w:tcPr>
            <w:tcW w:w="1275" w:type="dxa"/>
            <w:noWrap w:val="0"/>
            <w:vAlign w:val="center"/>
          </w:tcPr>
          <w:p w14:paraId="05612882">
            <w:pPr>
              <w:pStyle w:val="43"/>
              <w:jc w:val="center"/>
              <w:rPr>
                <w:rFonts w:hint="eastAsia" w:ascii="仿宋" w:hAnsi="仿宋" w:eastAsia="仿宋" w:cs="仿宋"/>
                <w:color w:val="auto"/>
                <w:sz w:val="24"/>
                <w:highlight w:val="none"/>
              </w:rPr>
            </w:pPr>
          </w:p>
        </w:tc>
      </w:tr>
      <w:tr w14:paraId="03676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14:paraId="564C768E">
            <w:pPr>
              <w:pStyle w:val="43"/>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927" w:type="dxa"/>
            <w:noWrap w:val="0"/>
            <w:vAlign w:val="center"/>
          </w:tcPr>
          <w:p w14:paraId="4648822D">
            <w:pPr>
              <w:pStyle w:val="43"/>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备品备件及耗材要求</w:t>
            </w:r>
          </w:p>
        </w:tc>
        <w:tc>
          <w:tcPr>
            <w:tcW w:w="2546" w:type="dxa"/>
            <w:noWrap w:val="0"/>
            <w:vAlign w:val="center"/>
          </w:tcPr>
          <w:p w14:paraId="7708D34D">
            <w:pPr>
              <w:pStyle w:val="43"/>
              <w:jc w:val="center"/>
              <w:rPr>
                <w:rFonts w:hint="eastAsia" w:ascii="仿宋" w:hAnsi="仿宋" w:eastAsia="仿宋" w:cs="仿宋"/>
                <w:color w:val="auto"/>
                <w:sz w:val="24"/>
                <w:highlight w:val="none"/>
              </w:rPr>
            </w:pPr>
          </w:p>
        </w:tc>
        <w:tc>
          <w:tcPr>
            <w:tcW w:w="2694" w:type="dxa"/>
            <w:noWrap w:val="0"/>
            <w:vAlign w:val="center"/>
          </w:tcPr>
          <w:p w14:paraId="5841E66A">
            <w:pPr>
              <w:pStyle w:val="43"/>
              <w:jc w:val="center"/>
              <w:rPr>
                <w:rFonts w:hint="eastAsia" w:ascii="仿宋" w:hAnsi="仿宋" w:eastAsia="仿宋" w:cs="仿宋"/>
                <w:color w:val="auto"/>
                <w:sz w:val="24"/>
                <w:highlight w:val="none"/>
              </w:rPr>
            </w:pPr>
          </w:p>
        </w:tc>
        <w:tc>
          <w:tcPr>
            <w:tcW w:w="1275" w:type="dxa"/>
            <w:noWrap w:val="0"/>
            <w:vAlign w:val="center"/>
          </w:tcPr>
          <w:p w14:paraId="5161DA4D">
            <w:pPr>
              <w:pStyle w:val="43"/>
              <w:jc w:val="center"/>
              <w:rPr>
                <w:rFonts w:hint="eastAsia" w:ascii="仿宋" w:hAnsi="仿宋" w:eastAsia="仿宋" w:cs="仿宋"/>
                <w:color w:val="auto"/>
                <w:sz w:val="24"/>
                <w:highlight w:val="none"/>
              </w:rPr>
            </w:pPr>
          </w:p>
        </w:tc>
      </w:tr>
      <w:tr w14:paraId="7E49A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14:paraId="265E77BC">
            <w:pPr>
              <w:pStyle w:val="43"/>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1927" w:type="dxa"/>
            <w:noWrap w:val="0"/>
            <w:vAlign w:val="center"/>
          </w:tcPr>
          <w:p w14:paraId="638C5ECA">
            <w:pPr>
              <w:pStyle w:val="43"/>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2546" w:type="dxa"/>
            <w:noWrap w:val="0"/>
            <w:vAlign w:val="center"/>
          </w:tcPr>
          <w:p w14:paraId="72FA5A4C">
            <w:pPr>
              <w:pStyle w:val="43"/>
              <w:jc w:val="center"/>
              <w:rPr>
                <w:rFonts w:hint="eastAsia" w:ascii="仿宋" w:hAnsi="仿宋" w:eastAsia="仿宋" w:cs="仿宋"/>
                <w:color w:val="auto"/>
                <w:sz w:val="24"/>
                <w:highlight w:val="none"/>
              </w:rPr>
            </w:pPr>
          </w:p>
        </w:tc>
        <w:tc>
          <w:tcPr>
            <w:tcW w:w="2694" w:type="dxa"/>
            <w:noWrap w:val="0"/>
            <w:vAlign w:val="center"/>
          </w:tcPr>
          <w:p w14:paraId="6894DA6F">
            <w:pPr>
              <w:pStyle w:val="43"/>
              <w:jc w:val="center"/>
              <w:rPr>
                <w:rFonts w:hint="eastAsia" w:ascii="仿宋" w:hAnsi="仿宋" w:eastAsia="仿宋" w:cs="仿宋"/>
                <w:color w:val="auto"/>
                <w:sz w:val="24"/>
                <w:highlight w:val="none"/>
              </w:rPr>
            </w:pPr>
          </w:p>
        </w:tc>
        <w:tc>
          <w:tcPr>
            <w:tcW w:w="1275" w:type="dxa"/>
            <w:noWrap w:val="0"/>
            <w:vAlign w:val="center"/>
          </w:tcPr>
          <w:p w14:paraId="03CB7A2A">
            <w:pPr>
              <w:pStyle w:val="43"/>
              <w:jc w:val="center"/>
              <w:rPr>
                <w:rFonts w:hint="eastAsia" w:ascii="仿宋" w:hAnsi="仿宋" w:eastAsia="仿宋" w:cs="仿宋"/>
                <w:color w:val="auto"/>
                <w:sz w:val="24"/>
                <w:highlight w:val="none"/>
              </w:rPr>
            </w:pPr>
          </w:p>
        </w:tc>
      </w:tr>
    </w:tbl>
    <w:p w14:paraId="51E62236">
      <w:pPr>
        <w:pStyle w:val="15"/>
        <w:snapToGrid w:val="0"/>
        <w:ind w:left="480" w:hanging="480"/>
        <w:jc w:val="left"/>
        <w:rPr>
          <w:rFonts w:hint="eastAsia" w:ascii="仿宋" w:hAnsi="仿宋" w:eastAsia="仿宋" w:cs="仿宋"/>
          <w:color w:val="auto"/>
          <w:sz w:val="24"/>
          <w:highlight w:val="none"/>
        </w:rPr>
      </w:pPr>
    </w:p>
    <w:p w14:paraId="795EC231">
      <w:pPr>
        <w:pStyle w:val="31"/>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投标人盖章：</w:t>
      </w:r>
      <w:r>
        <w:rPr>
          <w:rFonts w:hint="eastAsia" w:ascii="仿宋" w:hAnsi="仿宋" w:eastAsia="仿宋" w:cs="仿宋"/>
          <w:color w:val="auto"/>
          <w:sz w:val="24"/>
          <w:szCs w:val="21"/>
          <w:highlight w:val="none"/>
          <w:u w:val="single"/>
        </w:rPr>
        <w:t xml:space="preserve">                </w:t>
      </w:r>
    </w:p>
    <w:p w14:paraId="0F685EDB">
      <w:pPr>
        <w:pStyle w:val="31"/>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bookmarkStart w:id="402" w:name="_Toc531359062"/>
      <w:r>
        <w:rPr>
          <w:rFonts w:hint="eastAsia" w:ascii="仿宋" w:hAnsi="仿宋" w:eastAsia="仿宋" w:cs="仿宋"/>
          <w:color w:val="auto"/>
          <w:sz w:val="24"/>
          <w:szCs w:val="21"/>
          <w:highlight w:val="none"/>
          <w:u w:val="single"/>
        </w:rPr>
        <w:t xml:space="preserve"> </w:t>
      </w:r>
    </w:p>
    <w:p w14:paraId="4C0E62B1">
      <w:pPr>
        <w:pStyle w:val="6"/>
        <w:spacing w:before="0" w:after="0"/>
        <w:ind w:firstLine="0" w:firstLineChars="0"/>
        <w:jc w:val="left"/>
        <w:rPr>
          <w:rFonts w:hint="eastAsia" w:ascii="仿宋" w:hAnsi="仿宋" w:eastAsia="仿宋" w:cs="仿宋"/>
          <w:color w:val="auto"/>
          <w:sz w:val="24"/>
          <w:szCs w:val="24"/>
          <w:highlight w:val="none"/>
        </w:rPr>
      </w:pPr>
      <w:bookmarkStart w:id="403" w:name="_Toc3462"/>
      <w:bookmarkStart w:id="404" w:name="_Toc12522"/>
      <w:bookmarkStart w:id="405" w:name="_Toc25195"/>
      <w:bookmarkStart w:id="406" w:name="_Toc14405"/>
      <w:r>
        <w:rPr>
          <w:rFonts w:hint="eastAsia" w:ascii="仿宋" w:hAnsi="仿宋" w:eastAsia="仿宋" w:cs="仿宋"/>
          <w:color w:val="auto"/>
          <w:sz w:val="24"/>
          <w:szCs w:val="24"/>
          <w:highlight w:val="none"/>
        </w:rPr>
        <w:t>2.7    技术服务</w:t>
      </w:r>
      <w:bookmarkEnd w:id="402"/>
      <w:bookmarkEnd w:id="403"/>
      <w:bookmarkEnd w:id="404"/>
      <w:bookmarkEnd w:id="405"/>
      <w:bookmarkEnd w:id="406"/>
    </w:p>
    <w:p w14:paraId="6826DCA7">
      <w:pPr>
        <w:pStyle w:val="4"/>
        <w:ind w:firstLine="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（格式自行设计）</w:t>
      </w:r>
    </w:p>
    <w:p w14:paraId="13511C36">
      <w:pPr>
        <w:pStyle w:val="4"/>
        <w:ind w:firstLine="0"/>
        <w:jc w:val="center"/>
        <w:rPr>
          <w:rFonts w:hint="eastAsia" w:ascii="仿宋" w:hAnsi="仿宋" w:eastAsia="仿宋" w:cs="仿宋"/>
          <w:color w:val="auto"/>
          <w:highlight w:val="none"/>
        </w:rPr>
      </w:pPr>
    </w:p>
    <w:p w14:paraId="7139B06F">
      <w:pPr>
        <w:pStyle w:val="4"/>
        <w:spacing w:line="360" w:lineRule="auto"/>
        <w:ind w:firstLine="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内容要求：投标人对培训、咨询等技术服务内容进行详细阐述。</w:t>
      </w:r>
    </w:p>
    <w:p w14:paraId="2610A90C">
      <w:pPr>
        <w:pStyle w:val="15"/>
        <w:snapToGrid w:val="0"/>
        <w:ind w:left="480" w:hanging="480"/>
        <w:jc w:val="left"/>
        <w:rPr>
          <w:rFonts w:hint="eastAsia" w:ascii="仿宋" w:hAnsi="仿宋" w:eastAsia="仿宋" w:cs="仿宋"/>
          <w:color w:val="auto"/>
          <w:sz w:val="24"/>
          <w:highlight w:val="none"/>
        </w:rPr>
      </w:pPr>
    </w:p>
    <w:p w14:paraId="2A105578">
      <w:pPr>
        <w:pStyle w:val="31"/>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投标人盖章：</w:t>
      </w:r>
      <w:r>
        <w:rPr>
          <w:rFonts w:hint="eastAsia" w:ascii="仿宋" w:hAnsi="仿宋" w:eastAsia="仿宋" w:cs="仿宋"/>
          <w:color w:val="auto"/>
          <w:sz w:val="24"/>
          <w:szCs w:val="21"/>
          <w:highlight w:val="none"/>
          <w:u w:val="single"/>
        </w:rPr>
        <w:t xml:space="preserve">                </w:t>
      </w:r>
    </w:p>
    <w:p w14:paraId="18B2EF25">
      <w:pPr>
        <w:pStyle w:val="31"/>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14:paraId="19FDFAE5">
      <w:pPr>
        <w:pStyle w:val="31"/>
        <w:spacing w:line="440" w:lineRule="exact"/>
        <w:jc w:val="left"/>
        <w:rPr>
          <w:rFonts w:hint="eastAsia" w:ascii="仿宋" w:hAnsi="仿宋" w:eastAsia="仿宋" w:cs="仿宋"/>
          <w:color w:val="auto"/>
          <w:spacing w:val="20"/>
          <w:sz w:val="24"/>
          <w:szCs w:val="21"/>
          <w:highlight w:val="none"/>
          <w:u w:val="single"/>
        </w:rPr>
      </w:pPr>
    </w:p>
    <w:p w14:paraId="1A512373">
      <w:pPr>
        <w:pStyle w:val="6"/>
        <w:spacing w:before="0" w:after="0"/>
        <w:ind w:firstLine="0" w:firstLineChars="0"/>
        <w:jc w:val="left"/>
        <w:rPr>
          <w:rFonts w:hint="eastAsia" w:ascii="仿宋" w:hAnsi="仿宋" w:eastAsia="仿宋" w:cs="仿宋"/>
          <w:color w:val="auto"/>
          <w:sz w:val="24"/>
          <w:szCs w:val="24"/>
          <w:highlight w:val="none"/>
        </w:rPr>
        <w:sectPr>
          <w:pgSz w:w="11906" w:h="16838"/>
          <w:pgMar w:top="1440" w:right="1803" w:bottom="1440" w:left="1803" w:header="851" w:footer="851" w:gutter="0"/>
          <w:cols w:space="720" w:num="1"/>
          <w:docGrid w:linePitch="312" w:charSpace="0"/>
        </w:sectPr>
      </w:pPr>
      <w:bookmarkStart w:id="407" w:name="_Toc531359063"/>
    </w:p>
    <w:p w14:paraId="07CF2C8D">
      <w:pPr>
        <w:pStyle w:val="6"/>
        <w:spacing w:before="0" w:after="0"/>
        <w:ind w:firstLine="0" w:firstLineChars="0"/>
        <w:jc w:val="left"/>
        <w:rPr>
          <w:rFonts w:hint="eastAsia" w:ascii="仿宋" w:hAnsi="仿宋" w:eastAsia="仿宋" w:cs="仿宋"/>
          <w:color w:val="auto"/>
          <w:sz w:val="24"/>
          <w:szCs w:val="24"/>
          <w:highlight w:val="none"/>
        </w:rPr>
      </w:pPr>
      <w:bookmarkStart w:id="408" w:name="_Toc912"/>
      <w:bookmarkStart w:id="409" w:name="_Toc14651"/>
      <w:bookmarkStart w:id="410" w:name="_Toc7156"/>
      <w:bookmarkStart w:id="411" w:name="_Toc6818"/>
      <w:r>
        <w:rPr>
          <w:rFonts w:hint="eastAsia" w:ascii="仿宋" w:hAnsi="仿宋" w:eastAsia="仿宋" w:cs="仿宋"/>
          <w:color w:val="auto"/>
          <w:sz w:val="24"/>
          <w:szCs w:val="24"/>
          <w:highlight w:val="none"/>
        </w:rPr>
        <w:t>2.8    售后服务</w:t>
      </w:r>
      <w:bookmarkEnd w:id="407"/>
      <w:bookmarkEnd w:id="408"/>
      <w:bookmarkEnd w:id="409"/>
      <w:bookmarkEnd w:id="410"/>
      <w:bookmarkEnd w:id="411"/>
    </w:p>
    <w:p w14:paraId="71FBAC71">
      <w:pPr>
        <w:pStyle w:val="4"/>
        <w:ind w:firstLine="0"/>
        <w:jc w:val="center"/>
        <w:rPr>
          <w:rFonts w:hint="eastAsia" w:ascii="仿宋" w:hAnsi="仿宋" w:eastAsia="仿宋" w:cs="仿宋"/>
          <w:color w:val="auto"/>
          <w:highlight w:val="none"/>
        </w:rPr>
      </w:pPr>
      <w:r>
        <w:rPr>
          <w:rFonts w:hint="eastAsia" w:ascii="仿宋" w:hAnsi="仿宋" w:eastAsia="仿宋" w:cs="仿宋"/>
          <w:color w:val="auto"/>
          <w:sz w:val="24"/>
          <w:highlight w:val="none"/>
        </w:rPr>
        <w:t>（格式自行设计）</w:t>
      </w:r>
    </w:p>
    <w:p w14:paraId="1D8B7A9C">
      <w:pPr>
        <w:pStyle w:val="44"/>
        <w:spacing w:line="360" w:lineRule="auto"/>
        <w:rPr>
          <w:rFonts w:hint="eastAsia" w:ascii="仿宋" w:hAnsi="仿宋" w:eastAsia="仿宋" w:cs="仿宋"/>
          <w:color w:val="auto"/>
          <w:sz w:val="24"/>
          <w:highlight w:val="none"/>
        </w:rPr>
      </w:pPr>
    </w:p>
    <w:p w14:paraId="387FFA40">
      <w:pPr>
        <w:pStyle w:val="44"/>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售后服务机构说明及售后服务承诺：</w:t>
      </w:r>
    </w:p>
    <w:p w14:paraId="18A049FB">
      <w:pPr>
        <w:pStyle w:val="4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1、售后服务机构说明包括长期售后服务机构的详细介绍、资质资格、技术力量、成立时间等。</w:t>
      </w:r>
    </w:p>
    <w:p w14:paraId="7A9EF2C3">
      <w:pPr>
        <w:pStyle w:val="4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2、保修期说明；</w:t>
      </w:r>
    </w:p>
    <w:p w14:paraId="5BC119F7">
      <w:pPr>
        <w:pStyle w:val="4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3、售后服务承诺：</w:t>
      </w:r>
    </w:p>
    <w:p w14:paraId="1607A1C0">
      <w:pPr>
        <w:pStyle w:val="4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（1）保修期内售后服务承诺包含售后服务内容、故障响应时间、到达现场时间、处理故障方式及时间；服务计划说明、保障措施；</w:t>
      </w:r>
    </w:p>
    <w:p w14:paraId="5ECFDAAC">
      <w:pPr>
        <w:pStyle w:val="4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（2）保修期外售后服务承诺包括服务内容、收费标准、维修配件价格等；</w:t>
      </w:r>
    </w:p>
    <w:p w14:paraId="1D8B0F2A">
      <w:pPr>
        <w:pStyle w:val="4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4、其他说明。</w:t>
      </w:r>
    </w:p>
    <w:p w14:paraId="4AB25F4C">
      <w:pPr>
        <w:pStyle w:val="15"/>
        <w:snapToGrid w:val="0"/>
        <w:ind w:left="480" w:hanging="480"/>
        <w:jc w:val="left"/>
        <w:rPr>
          <w:rFonts w:hint="eastAsia" w:ascii="仿宋" w:hAnsi="仿宋" w:eastAsia="仿宋" w:cs="仿宋"/>
          <w:color w:val="auto"/>
          <w:sz w:val="24"/>
          <w:highlight w:val="none"/>
        </w:rPr>
      </w:pPr>
    </w:p>
    <w:p w14:paraId="04284694">
      <w:pPr>
        <w:pStyle w:val="31"/>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投标人盖章：</w:t>
      </w:r>
      <w:r>
        <w:rPr>
          <w:rFonts w:hint="eastAsia" w:ascii="仿宋" w:hAnsi="仿宋" w:eastAsia="仿宋" w:cs="仿宋"/>
          <w:color w:val="auto"/>
          <w:sz w:val="24"/>
          <w:szCs w:val="21"/>
          <w:highlight w:val="none"/>
          <w:u w:val="single"/>
        </w:rPr>
        <w:t xml:space="preserve">                </w:t>
      </w:r>
    </w:p>
    <w:p w14:paraId="07DD2ACD">
      <w:pPr>
        <w:pStyle w:val="31"/>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14:paraId="793062D3">
      <w:pPr>
        <w:pStyle w:val="31"/>
        <w:spacing w:line="440" w:lineRule="exact"/>
        <w:jc w:val="left"/>
        <w:rPr>
          <w:rFonts w:hint="eastAsia" w:ascii="仿宋" w:hAnsi="仿宋" w:eastAsia="仿宋" w:cs="仿宋"/>
          <w:color w:val="auto"/>
          <w:spacing w:val="20"/>
          <w:sz w:val="24"/>
          <w:szCs w:val="21"/>
          <w:highlight w:val="none"/>
          <w:u w:val="single"/>
        </w:rPr>
      </w:pPr>
    </w:p>
    <w:p w14:paraId="5E9EA230">
      <w:pPr>
        <w:pStyle w:val="31"/>
        <w:spacing w:line="440" w:lineRule="exact"/>
        <w:jc w:val="left"/>
        <w:rPr>
          <w:rFonts w:hint="eastAsia" w:ascii="仿宋" w:hAnsi="仿宋" w:eastAsia="仿宋" w:cs="仿宋"/>
          <w:color w:val="auto"/>
          <w:spacing w:val="20"/>
          <w:sz w:val="24"/>
          <w:szCs w:val="21"/>
          <w:highlight w:val="none"/>
          <w:u w:val="single"/>
        </w:rPr>
      </w:pPr>
    </w:p>
    <w:p w14:paraId="25830A74">
      <w:pPr>
        <w:pStyle w:val="6"/>
        <w:spacing w:before="0" w:after="0"/>
        <w:ind w:firstLine="0" w:firstLineChars="0"/>
        <w:jc w:val="left"/>
        <w:rPr>
          <w:rFonts w:hint="eastAsia" w:ascii="仿宋" w:hAnsi="仿宋" w:eastAsia="仿宋" w:cs="仿宋"/>
          <w:color w:val="auto"/>
          <w:sz w:val="24"/>
          <w:szCs w:val="24"/>
          <w:highlight w:val="none"/>
        </w:rPr>
      </w:pPr>
      <w:bookmarkStart w:id="412" w:name="_Toc1772"/>
      <w:bookmarkStart w:id="413" w:name="_Toc20681"/>
      <w:bookmarkStart w:id="414" w:name="_Toc27443"/>
      <w:bookmarkStart w:id="415" w:name="_Toc17453"/>
      <w:bookmarkStart w:id="416" w:name="_Toc531359064"/>
      <w:r>
        <w:rPr>
          <w:rFonts w:hint="eastAsia" w:ascii="仿宋" w:hAnsi="仿宋" w:eastAsia="仿宋" w:cs="仿宋"/>
          <w:color w:val="auto"/>
          <w:sz w:val="24"/>
          <w:szCs w:val="24"/>
          <w:highlight w:val="none"/>
        </w:rPr>
        <w:t>2.9    对本项目总体要求的理解</w:t>
      </w:r>
      <w:bookmarkEnd w:id="412"/>
      <w:bookmarkEnd w:id="413"/>
      <w:bookmarkEnd w:id="414"/>
      <w:bookmarkEnd w:id="415"/>
      <w:bookmarkEnd w:id="416"/>
    </w:p>
    <w:p w14:paraId="595EC937">
      <w:pPr>
        <w:pStyle w:val="45"/>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（格式自行设计）</w:t>
      </w:r>
    </w:p>
    <w:p w14:paraId="139B8E7A">
      <w:pPr>
        <w:pStyle w:val="45"/>
        <w:spacing w:line="360" w:lineRule="auto"/>
        <w:jc w:val="left"/>
        <w:rPr>
          <w:rFonts w:hint="eastAsia" w:ascii="仿宋" w:hAnsi="仿宋" w:eastAsia="仿宋" w:cs="仿宋"/>
          <w:color w:val="auto"/>
          <w:sz w:val="24"/>
          <w:highlight w:val="none"/>
        </w:rPr>
      </w:pPr>
    </w:p>
    <w:p w14:paraId="0DA45859">
      <w:pPr>
        <w:pStyle w:val="31"/>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投标人盖章：</w:t>
      </w:r>
      <w:r>
        <w:rPr>
          <w:rFonts w:hint="eastAsia" w:ascii="仿宋" w:hAnsi="仿宋" w:eastAsia="仿宋" w:cs="仿宋"/>
          <w:color w:val="auto"/>
          <w:sz w:val="24"/>
          <w:szCs w:val="21"/>
          <w:highlight w:val="none"/>
          <w:u w:val="single"/>
        </w:rPr>
        <w:t xml:space="preserve">                </w:t>
      </w:r>
    </w:p>
    <w:p w14:paraId="616AA95C">
      <w:pPr>
        <w:pStyle w:val="31"/>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14:paraId="11C3F4B7">
      <w:pPr>
        <w:pStyle w:val="31"/>
        <w:spacing w:line="440" w:lineRule="exact"/>
        <w:jc w:val="left"/>
        <w:rPr>
          <w:rFonts w:hint="eastAsia" w:ascii="仿宋" w:hAnsi="仿宋" w:eastAsia="仿宋" w:cs="仿宋"/>
          <w:color w:val="auto"/>
          <w:spacing w:val="20"/>
          <w:sz w:val="24"/>
          <w:szCs w:val="21"/>
          <w:highlight w:val="none"/>
          <w:u w:val="single"/>
        </w:rPr>
      </w:pPr>
    </w:p>
    <w:p w14:paraId="267F6DDB">
      <w:pPr>
        <w:pStyle w:val="6"/>
        <w:spacing w:before="0" w:after="0"/>
        <w:ind w:firstLine="0" w:firstLineChars="0"/>
        <w:jc w:val="left"/>
        <w:rPr>
          <w:rFonts w:hint="eastAsia" w:ascii="仿宋" w:hAnsi="仿宋" w:eastAsia="仿宋" w:cs="仿宋"/>
          <w:color w:val="auto"/>
          <w:sz w:val="24"/>
          <w:szCs w:val="24"/>
          <w:highlight w:val="none"/>
        </w:rPr>
      </w:pPr>
      <w:bookmarkStart w:id="417" w:name="_Toc24809"/>
      <w:bookmarkStart w:id="418" w:name="_Toc27080"/>
      <w:bookmarkStart w:id="419" w:name="_Toc531359065"/>
      <w:bookmarkStart w:id="420" w:name="_Toc6290"/>
      <w:bookmarkStart w:id="421" w:name="_Toc17645"/>
      <w:r>
        <w:rPr>
          <w:rFonts w:hint="eastAsia" w:ascii="仿宋" w:hAnsi="仿宋" w:eastAsia="仿宋" w:cs="仿宋"/>
          <w:color w:val="auto"/>
          <w:sz w:val="24"/>
          <w:szCs w:val="24"/>
          <w:highlight w:val="none"/>
        </w:rPr>
        <w:t>2.10    实施方案及实施计划</w:t>
      </w:r>
      <w:bookmarkEnd w:id="417"/>
      <w:bookmarkEnd w:id="418"/>
      <w:bookmarkEnd w:id="419"/>
      <w:bookmarkEnd w:id="420"/>
      <w:bookmarkEnd w:id="421"/>
    </w:p>
    <w:p w14:paraId="321CD005">
      <w:pPr>
        <w:pStyle w:val="45"/>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（格式自行设计）</w:t>
      </w:r>
    </w:p>
    <w:p w14:paraId="0BB74084">
      <w:pPr>
        <w:pStyle w:val="45"/>
        <w:spacing w:line="360" w:lineRule="auto"/>
        <w:jc w:val="left"/>
        <w:rPr>
          <w:rFonts w:hint="eastAsia" w:ascii="仿宋" w:hAnsi="仿宋" w:eastAsia="仿宋" w:cs="仿宋"/>
          <w:color w:val="auto"/>
          <w:sz w:val="24"/>
          <w:highlight w:val="none"/>
        </w:rPr>
      </w:pPr>
    </w:p>
    <w:p w14:paraId="3B6EC0E6">
      <w:pPr>
        <w:pStyle w:val="15"/>
        <w:snapToGrid w:val="0"/>
        <w:ind w:left="480" w:hanging="480"/>
        <w:jc w:val="left"/>
        <w:rPr>
          <w:rFonts w:hint="eastAsia" w:ascii="仿宋" w:hAnsi="仿宋" w:eastAsia="仿宋" w:cs="仿宋"/>
          <w:color w:val="auto"/>
          <w:sz w:val="24"/>
          <w:highlight w:val="none"/>
        </w:rPr>
      </w:pPr>
    </w:p>
    <w:p w14:paraId="7609B2CD">
      <w:pPr>
        <w:pStyle w:val="31"/>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投标人盖章：</w:t>
      </w:r>
      <w:r>
        <w:rPr>
          <w:rFonts w:hint="eastAsia" w:ascii="仿宋" w:hAnsi="仿宋" w:eastAsia="仿宋" w:cs="仿宋"/>
          <w:color w:val="auto"/>
          <w:sz w:val="24"/>
          <w:szCs w:val="21"/>
          <w:highlight w:val="none"/>
          <w:u w:val="single"/>
        </w:rPr>
        <w:t xml:space="preserve">                </w:t>
      </w:r>
    </w:p>
    <w:p w14:paraId="0C6FE1E7">
      <w:pPr>
        <w:pStyle w:val="31"/>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14:paraId="222B3521">
      <w:pPr>
        <w:pStyle w:val="45"/>
        <w:spacing w:line="360" w:lineRule="auto"/>
        <w:jc w:val="left"/>
        <w:rPr>
          <w:rFonts w:hint="eastAsia" w:ascii="仿宋" w:hAnsi="仿宋" w:eastAsia="仿宋" w:cs="仿宋"/>
          <w:color w:val="auto"/>
          <w:sz w:val="24"/>
          <w:highlight w:val="none"/>
        </w:rPr>
      </w:pPr>
    </w:p>
    <w:p w14:paraId="738CEE64">
      <w:pPr>
        <w:pStyle w:val="6"/>
        <w:spacing w:before="0" w:after="0"/>
        <w:ind w:firstLine="0" w:firstLineChars="0"/>
        <w:jc w:val="left"/>
        <w:rPr>
          <w:rFonts w:hint="eastAsia" w:ascii="仿宋" w:hAnsi="仿宋" w:eastAsia="仿宋" w:cs="仿宋"/>
          <w:color w:val="auto"/>
          <w:sz w:val="24"/>
          <w:szCs w:val="24"/>
          <w:highlight w:val="none"/>
        </w:rPr>
      </w:pPr>
      <w:bookmarkStart w:id="422" w:name="_Toc531359066"/>
      <w:bookmarkStart w:id="423" w:name="_Toc4317"/>
      <w:bookmarkStart w:id="424" w:name="_Toc29628"/>
      <w:bookmarkStart w:id="425" w:name="_Toc23217"/>
      <w:bookmarkStart w:id="426" w:name="_Toc28189"/>
      <w:r>
        <w:rPr>
          <w:rFonts w:hint="eastAsia" w:ascii="仿宋" w:hAnsi="仿宋" w:eastAsia="仿宋" w:cs="仿宋"/>
          <w:color w:val="auto"/>
          <w:sz w:val="24"/>
          <w:szCs w:val="24"/>
          <w:highlight w:val="none"/>
        </w:rPr>
        <w:t>2.11    投标产品配置清单</w:t>
      </w:r>
      <w:bookmarkEnd w:id="422"/>
      <w:r>
        <w:rPr>
          <w:rFonts w:hint="eastAsia" w:ascii="仿宋" w:hAnsi="仿宋" w:eastAsia="仿宋" w:cs="仿宋"/>
          <w:color w:val="auto"/>
          <w:sz w:val="24"/>
          <w:szCs w:val="24"/>
          <w:highlight w:val="none"/>
        </w:rPr>
        <w:t>格式</w:t>
      </w:r>
      <w:bookmarkEnd w:id="423"/>
      <w:bookmarkEnd w:id="424"/>
      <w:bookmarkEnd w:id="425"/>
      <w:bookmarkEnd w:id="426"/>
    </w:p>
    <w:p w14:paraId="3B398D31">
      <w:pPr>
        <w:pStyle w:val="4"/>
        <w:spacing w:line="360" w:lineRule="auto"/>
        <w:ind w:firstLine="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投标产品配置清单</w:t>
      </w:r>
    </w:p>
    <w:p w14:paraId="51C36C72">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u w:val="single"/>
        </w:rPr>
        <w:t xml:space="preserve">               </w:t>
      </w:r>
    </w:p>
    <w:p w14:paraId="49138DC6">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标项：</w:t>
      </w:r>
      <w:r>
        <w:rPr>
          <w:rFonts w:hint="eastAsia" w:ascii="仿宋" w:hAnsi="仿宋" w:eastAsia="仿宋" w:cs="仿宋"/>
          <w:color w:val="auto"/>
          <w:sz w:val="24"/>
          <w:szCs w:val="24"/>
          <w:highlight w:val="none"/>
          <w:u w:val="single"/>
        </w:rPr>
        <w:t>（若有）</w:t>
      </w:r>
    </w:p>
    <w:tbl>
      <w:tblPr>
        <w:tblStyle w:val="2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7"/>
        <w:gridCol w:w="2126"/>
        <w:gridCol w:w="851"/>
        <w:gridCol w:w="1701"/>
        <w:gridCol w:w="992"/>
        <w:gridCol w:w="1134"/>
        <w:gridCol w:w="851"/>
        <w:gridCol w:w="699"/>
      </w:tblGrid>
      <w:tr w14:paraId="7479B9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47" w:type="dxa"/>
            <w:tcBorders>
              <w:top w:val="single" w:color="auto" w:sz="4" w:space="0"/>
              <w:left w:val="single" w:color="auto" w:sz="4" w:space="0"/>
              <w:bottom w:val="single" w:color="auto" w:sz="4" w:space="0"/>
              <w:right w:val="single" w:color="auto" w:sz="4" w:space="0"/>
            </w:tcBorders>
            <w:noWrap w:val="0"/>
            <w:vAlign w:val="center"/>
          </w:tcPr>
          <w:p w14:paraId="23B8B513">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08158A9">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产品名称</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3FF0C97D">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品牌</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29BB2695">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规格型号</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329BBE5D">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E4DDCF5">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575E5064">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产地</w:t>
            </w:r>
          </w:p>
        </w:tc>
        <w:tc>
          <w:tcPr>
            <w:tcW w:w="699" w:type="dxa"/>
            <w:tcBorders>
              <w:top w:val="single" w:color="auto" w:sz="4" w:space="0"/>
              <w:left w:val="single" w:color="auto" w:sz="4" w:space="0"/>
              <w:bottom w:val="single" w:color="auto" w:sz="4" w:space="0"/>
              <w:right w:val="single" w:color="auto" w:sz="4" w:space="0"/>
            </w:tcBorders>
            <w:noWrap w:val="0"/>
            <w:vAlign w:val="center"/>
          </w:tcPr>
          <w:p w14:paraId="690D270F">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120E99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47" w:type="dxa"/>
            <w:tcBorders>
              <w:top w:val="single" w:color="auto" w:sz="4" w:space="0"/>
              <w:left w:val="single" w:color="auto" w:sz="4" w:space="0"/>
              <w:bottom w:val="single" w:color="auto" w:sz="4" w:space="0"/>
              <w:right w:val="single" w:color="auto" w:sz="4" w:space="0"/>
            </w:tcBorders>
            <w:noWrap w:val="0"/>
            <w:vAlign w:val="center"/>
          </w:tcPr>
          <w:p w14:paraId="2FAC9F22">
            <w:pPr>
              <w:snapToGrid w:val="0"/>
              <w:jc w:val="center"/>
              <w:rPr>
                <w:rFonts w:hint="eastAsia" w:ascii="仿宋" w:hAnsi="仿宋" w:eastAsia="仿宋" w:cs="仿宋"/>
                <w:color w:val="auto"/>
                <w:sz w:val="24"/>
                <w:szCs w:val="24"/>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70DE238A">
            <w:pPr>
              <w:snapToGrid w:val="0"/>
              <w:jc w:val="center"/>
              <w:rPr>
                <w:rFonts w:hint="eastAsia" w:ascii="仿宋" w:hAnsi="仿宋" w:eastAsia="仿宋" w:cs="仿宋"/>
                <w:color w:val="auto"/>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6C42CCA0">
            <w:pPr>
              <w:snapToGrid w:val="0"/>
              <w:jc w:val="center"/>
              <w:rPr>
                <w:rFonts w:hint="eastAsia" w:ascii="仿宋" w:hAnsi="仿宋" w:eastAsia="仿宋" w:cs="仿宋"/>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08EF5AC3">
            <w:pPr>
              <w:snapToGrid w:val="0"/>
              <w:jc w:val="center"/>
              <w:rPr>
                <w:rFonts w:hint="eastAsia" w:ascii="仿宋" w:hAnsi="仿宋" w:eastAsia="仿宋" w:cs="仿宋"/>
                <w:color w:val="auto"/>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3985545D">
            <w:pPr>
              <w:snapToGrid w:val="0"/>
              <w:jc w:val="center"/>
              <w:rPr>
                <w:rFonts w:hint="eastAsia" w:ascii="仿宋" w:hAnsi="仿宋" w:eastAsia="仿宋" w:cs="仿宋"/>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E1CFB06">
            <w:pPr>
              <w:snapToGrid w:val="0"/>
              <w:jc w:val="center"/>
              <w:rPr>
                <w:rFonts w:hint="eastAsia" w:ascii="仿宋" w:hAnsi="仿宋" w:eastAsia="仿宋" w:cs="仿宋"/>
                <w:color w:val="auto"/>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76C91079">
            <w:pPr>
              <w:snapToGrid w:val="0"/>
              <w:jc w:val="center"/>
              <w:rPr>
                <w:rFonts w:hint="eastAsia" w:ascii="仿宋" w:hAnsi="仿宋" w:eastAsia="仿宋" w:cs="仿宋"/>
                <w:color w:val="auto"/>
                <w:sz w:val="24"/>
                <w:szCs w:val="24"/>
                <w:highlight w:val="none"/>
              </w:rPr>
            </w:pPr>
          </w:p>
        </w:tc>
        <w:tc>
          <w:tcPr>
            <w:tcW w:w="699" w:type="dxa"/>
            <w:tcBorders>
              <w:top w:val="single" w:color="auto" w:sz="4" w:space="0"/>
              <w:left w:val="single" w:color="auto" w:sz="4" w:space="0"/>
              <w:bottom w:val="single" w:color="auto" w:sz="4" w:space="0"/>
              <w:right w:val="single" w:color="auto" w:sz="4" w:space="0"/>
            </w:tcBorders>
            <w:noWrap w:val="0"/>
            <w:vAlign w:val="center"/>
          </w:tcPr>
          <w:p w14:paraId="5E192E33">
            <w:pPr>
              <w:snapToGrid w:val="0"/>
              <w:jc w:val="center"/>
              <w:rPr>
                <w:rFonts w:hint="eastAsia" w:ascii="仿宋" w:hAnsi="仿宋" w:eastAsia="仿宋" w:cs="仿宋"/>
                <w:color w:val="auto"/>
                <w:sz w:val="24"/>
                <w:szCs w:val="24"/>
                <w:highlight w:val="none"/>
              </w:rPr>
            </w:pPr>
          </w:p>
        </w:tc>
      </w:tr>
      <w:tr w14:paraId="60D9D2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47" w:type="dxa"/>
            <w:tcBorders>
              <w:top w:val="single" w:color="auto" w:sz="4" w:space="0"/>
              <w:left w:val="single" w:color="auto" w:sz="4" w:space="0"/>
              <w:bottom w:val="single" w:color="auto" w:sz="4" w:space="0"/>
              <w:right w:val="single" w:color="auto" w:sz="4" w:space="0"/>
            </w:tcBorders>
            <w:noWrap w:val="0"/>
            <w:vAlign w:val="center"/>
          </w:tcPr>
          <w:p w14:paraId="4E1FF0FC">
            <w:pPr>
              <w:snapToGrid w:val="0"/>
              <w:jc w:val="center"/>
              <w:rPr>
                <w:rFonts w:hint="eastAsia" w:ascii="仿宋" w:hAnsi="仿宋" w:eastAsia="仿宋" w:cs="仿宋"/>
                <w:color w:val="auto"/>
                <w:sz w:val="24"/>
                <w:szCs w:val="24"/>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216EC69D">
            <w:pPr>
              <w:snapToGrid w:val="0"/>
              <w:jc w:val="center"/>
              <w:rPr>
                <w:rFonts w:hint="eastAsia" w:ascii="仿宋" w:hAnsi="仿宋" w:eastAsia="仿宋" w:cs="仿宋"/>
                <w:color w:val="auto"/>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037E95DE">
            <w:pPr>
              <w:snapToGrid w:val="0"/>
              <w:jc w:val="center"/>
              <w:rPr>
                <w:rFonts w:hint="eastAsia" w:ascii="仿宋" w:hAnsi="仿宋" w:eastAsia="仿宋" w:cs="仿宋"/>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323ECBCE">
            <w:pPr>
              <w:snapToGrid w:val="0"/>
              <w:jc w:val="center"/>
              <w:rPr>
                <w:rFonts w:hint="eastAsia" w:ascii="仿宋" w:hAnsi="仿宋" w:eastAsia="仿宋" w:cs="仿宋"/>
                <w:color w:val="auto"/>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209011E6">
            <w:pPr>
              <w:snapToGrid w:val="0"/>
              <w:jc w:val="center"/>
              <w:rPr>
                <w:rFonts w:hint="eastAsia" w:ascii="仿宋" w:hAnsi="仿宋" w:eastAsia="仿宋" w:cs="仿宋"/>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602C41A">
            <w:pPr>
              <w:snapToGrid w:val="0"/>
              <w:jc w:val="center"/>
              <w:rPr>
                <w:rFonts w:hint="eastAsia" w:ascii="仿宋" w:hAnsi="仿宋" w:eastAsia="仿宋" w:cs="仿宋"/>
                <w:color w:val="auto"/>
                <w:sz w:val="24"/>
                <w:szCs w:val="24"/>
                <w:highlight w:val="none"/>
              </w:rPr>
            </w:pPr>
          </w:p>
        </w:tc>
        <w:tc>
          <w:tcPr>
            <w:tcW w:w="851" w:type="dxa"/>
            <w:tcBorders>
              <w:top w:val="single" w:color="auto" w:sz="4" w:space="0"/>
              <w:left w:val="single" w:color="auto" w:sz="4" w:space="0"/>
              <w:bottom w:val="nil"/>
              <w:right w:val="single" w:color="auto" w:sz="4" w:space="0"/>
            </w:tcBorders>
            <w:noWrap w:val="0"/>
            <w:vAlign w:val="center"/>
          </w:tcPr>
          <w:p w14:paraId="29E26C95">
            <w:pPr>
              <w:snapToGrid w:val="0"/>
              <w:jc w:val="center"/>
              <w:rPr>
                <w:rFonts w:hint="eastAsia" w:ascii="仿宋" w:hAnsi="仿宋" w:eastAsia="仿宋" w:cs="仿宋"/>
                <w:color w:val="auto"/>
                <w:sz w:val="24"/>
                <w:szCs w:val="24"/>
                <w:highlight w:val="none"/>
              </w:rPr>
            </w:pPr>
          </w:p>
        </w:tc>
        <w:tc>
          <w:tcPr>
            <w:tcW w:w="699" w:type="dxa"/>
            <w:tcBorders>
              <w:top w:val="single" w:color="auto" w:sz="4" w:space="0"/>
              <w:left w:val="single" w:color="auto" w:sz="4" w:space="0"/>
              <w:bottom w:val="nil"/>
              <w:right w:val="single" w:color="auto" w:sz="4" w:space="0"/>
            </w:tcBorders>
            <w:noWrap w:val="0"/>
            <w:vAlign w:val="center"/>
          </w:tcPr>
          <w:p w14:paraId="37C2143E">
            <w:pPr>
              <w:snapToGrid w:val="0"/>
              <w:jc w:val="center"/>
              <w:rPr>
                <w:rFonts w:hint="eastAsia" w:ascii="仿宋" w:hAnsi="仿宋" w:eastAsia="仿宋" w:cs="仿宋"/>
                <w:color w:val="auto"/>
                <w:sz w:val="24"/>
                <w:szCs w:val="24"/>
                <w:highlight w:val="none"/>
              </w:rPr>
            </w:pPr>
          </w:p>
        </w:tc>
      </w:tr>
      <w:tr w14:paraId="59150B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47" w:type="dxa"/>
            <w:tcBorders>
              <w:top w:val="single" w:color="auto" w:sz="4" w:space="0"/>
              <w:left w:val="single" w:color="auto" w:sz="4" w:space="0"/>
              <w:bottom w:val="single" w:color="auto" w:sz="4" w:space="0"/>
              <w:right w:val="single" w:color="auto" w:sz="4" w:space="0"/>
            </w:tcBorders>
            <w:noWrap w:val="0"/>
            <w:vAlign w:val="center"/>
          </w:tcPr>
          <w:p w14:paraId="5E804407">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B424D02">
            <w:pPr>
              <w:jc w:val="center"/>
              <w:rPr>
                <w:rFonts w:hint="eastAsia" w:ascii="仿宋" w:hAnsi="仿宋" w:eastAsia="仿宋" w:cs="仿宋"/>
                <w:color w:val="auto"/>
                <w:highlight w:val="none"/>
              </w:rPr>
            </w:pPr>
            <w:r>
              <w:rPr>
                <w:rFonts w:hint="eastAsia" w:ascii="仿宋" w:hAnsi="仿宋" w:eastAsia="仿宋" w:cs="仿宋"/>
                <w:color w:val="auto"/>
                <w:sz w:val="24"/>
                <w:szCs w:val="24"/>
                <w:highlight w:val="none"/>
              </w:rPr>
              <w:t>…</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0FFA11CC">
            <w:pPr>
              <w:jc w:val="center"/>
              <w:rPr>
                <w:rFonts w:hint="eastAsia" w:ascii="仿宋" w:hAnsi="仿宋" w:eastAsia="仿宋" w:cs="仿宋"/>
                <w:color w:val="auto"/>
                <w:highlight w:val="none"/>
              </w:rPr>
            </w:pPr>
            <w:r>
              <w:rPr>
                <w:rFonts w:hint="eastAsia" w:ascii="仿宋" w:hAnsi="仿宋" w:eastAsia="仿宋" w:cs="仿宋"/>
                <w:color w:val="auto"/>
                <w:sz w:val="24"/>
                <w:szCs w:val="24"/>
                <w:highlight w:val="none"/>
              </w:rPr>
              <w:t>…</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70EF51E9">
            <w:pPr>
              <w:jc w:val="center"/>
              <w:rPr>
                <w:rFonts w:hint="eastAsia" w:ascii="仿宋" w:hAnsi="仿宋" w:eastAsia="仿宋" w:cs="仿宋"/>
                <w:color w:val="auto"/>
                <w:highlight w:val="none"/>
              </w:rPr>
            </w:pPr>
            <w:r>
              <w:rPr>
                <w:rFonts w:hint="eastAsia" w:ascii="仿宋" w:hAnsi="仿宋" w:eastAsia="仿宋" w:cs="仿宋"/>
                <w:color w:val="auto"/>
                <w:sz w:val="24"/>
                <w:szCs w:val="24"/>
                <w:highlight w:val="none"/>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3C7EBEBC">
            <w:pPr>
              <w:jc w:val="center"/>
              <w:rPr>
                <w:rFonts w:hint="eastAsia" w:ascii="仿宋" w:hAnsi="仿宋" w:eastAsia="仿宋" w:cs="仿宋"/>
                <w:color w:val="auto"/>
                <w:highlight w:val="none"/>
              </w:rPr>
            </w:pPr>
            <w:r>
              <w:rPr>
                <w:rFonts w:hint="eastAsia" w:ascii="仿宋" w:hAnsi="仿宋" w:eastAsia="仿宋" w:cs="仿宋"/>
                <w:color w:val="auto"/>
                <w:sz w:val="24"/>
                <w:szCs w:val="24"/>
                <w:highlight w:val="none"/>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9A83F59">
            <w:pPr>
              <w:jc w:val="center"/>
              <w:rPr>
                <w:rFonts w:hint="eastAsia" w:ascii="仿宋" w:hAnsi="仿宋" w:eastAsia="仿宋" w:cs="仿宋"/>
                <w:color w:val="auto"/>
                <w:highlight w:val="none"/>
              </w:rPr>
            </w:pPr>
            <w:r>
              <w:rPr>
                <w:rFonts w:hint="eastAsia" w:ascii="仿宋" w:hAnsi="仿宋" w:eastAsia="仿宋" w:cs="仿宋"/>
                <w:color w:val="auto"/>
                <w:sz w:val="24"/>
                <w:szCs w:val="24"/>
                <w:highlight w:val="none"/>
              </w:rPr>
              <w:t>…</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7007EEF2">
            <w:pPr>
              <w:jc w:val="center"/>
              <w:rPr>
                <w:rFonts w:hint="eastAsia" w:ascii="仿宋" w:hAnsi="仿宋" w:eastAsia="仿宋" w:cs="仿宋"/>
                <w:color w:val="auto"/>
                <w:highlight w:val="none"/>
              </w:rPr>
            </w:pPr>
            <w:r>
              <w:rPr>
                <w:rFonts w:hint="eastAsia" w:ascii="仿宋" w:hAnsi="仿宋" w:eastAsia="仿宋" w:cs="仿宋"/>
                <w:color w:val="auto"/>
                <w:sz w:val="24"/>
                <w:szCs w:val="24"/>
                <w:highlight w:val="none"/>
              </w:rPr>
              <w:t>…</w:t>
            </w:r>
          </w:p>
        </w:tc>
        <w:tc>
          <w:tcPr>
            <w:tcW w:w="699" w:type="dxa"/>
            <w:tcBorders>
              <w:top w:val="single" w:color="auto" w:sz="4" w:space="0"/>
              <w:left w:val="single" w:color="auto" w:sz="4" w:space="0"/>
              <w:bottom w:val="single" w:color="auto" w:sz="4" w:space="0"/>
              <w:right w:val="single" w:color="auto" w:sz="4" w:space="0"/>
            </w:tcBorders>
            <w:noWrap w:val="0"/>
            <w:vAlign w:val="center"/>
          </w:tcPr>
          <w:p w14:paraId="4A7486C3">
            <w:pPr>
              <w:jc w:val="center"/>
              <w:rPr>
                <w:rFonts w:hint="eastAsia" w:ascii="仿宋" w:hAnsi="仿宋" w:eastAsia="仿宋" w:cs="仿宋"/>
                <w:color w:val="auto"/>
                <w:highlight w:val="none"/>
              </w:rPr>
            </w:pPr>
          </w:p>
        </w:tc>
      </w:tr>
    </w:tbl>
    <w:p w14:paraId="630CFAD3">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注：1、本表格不得体现报价；</w:t>
      </w:r>
    </w:p>
    <w:p w14:paraId="7F3F5596">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2、如产品为政府采购节能产品、环保产品的，须在备注栏中说明。</w:t>
      </w:r>
    </w:p>
    <w:p w14:paraId="071AE3F9">
      <w:pPr>
        <w:spacing w:line="360" w:lineRule="auto"/>
        <w:rPr>
          <w:rFonts w:hint="eastAsia" w:ascii="仿宋" w:hAnsi="仿宋" w:eastAsia="仿宋" w:cs="仿宋"/>
          <w:color w:val="auto"/>
          <w:sz w:val="24"/>
          <w:szCs w:val="24"/>
          <w:highlight w:val="none"/>
        </w:rPr>
      </w:pPr>
    </w:p>
    <w:p w14:paraId="51DBEE40">
      <w:pPr>
        <w:pStyle w:val="15"/>
        <w:snapToGrid w:val="0"/>
        <w:ind w:left="480" w:hanging="480"/>
        <w:jc w:val="left"/>
        <w:rPr>
          <w:rFonts w:hint="eastAsia" w:ascii="仿宋" w:hAnsi="仿宋" w:eastAsia="仿宋" w:cs="仿宋"/>
          <w:color w:val="auto"/>
          <w:sz w:val="24"/>
          <w:highlight w:val="none"/>
        </w:rPr>
      </w:pPr>
      <w:bookmarkStart w:id="427" w:name="_Toc530551892"/>
      <w:bookmarkStart w:id="428" w:name="_Toc493956068"/>
    </w:p>
    <w:p w14:paraId="6CA277E0">
      <w:pPr>
        <w:pStyle w:val="31"/>
        <w:wordWrap w:val="0"/>
        <w:spacing w:line="360" w:lineRule="auto"/>
        <w:ind w:firstLine="480"/>
        <w:jc w:val="right"/>
        <w:rPr>
          <w:rFonts w:hint="eastAsia" w:ascii="仿宋" w:hAnsi="仿宋" w:eastAsia="仿宋" w:cs="仿宋"/>
          <w:color w:val="auto"/>
          <w:sz w:val="24"/>
          <w:szCs w:val="21"/>
          <w:highlight w:val="none"/>
          <w:u w:val="single"/>
        </w:rPr>
      </w:pPr>
      <w:bookmarkStart w:id="429" w:name="_Toc531359067"/>
      <w:r>
        <w:rPr>
          <w:rFonts w:hint="eastAsia" w:ascii="仿宋" w:hAnsi="仿宋" w:eastAsia="仿宋" w:cs="仿宋"/>
          <w:color w:val="auto"/>
          <w:sz w:val="24"/>
          <w:szCs w:val="21"/>
          <w:highlight w:val="none"/>
        </w:rPr>
        <w:t>投标人盖章：</w:t>
      </w:r>
      <w:r>
        <w:rPr>
          <w:rFonts w:hint="eastAsia" w:ascii="仿宋" w:hAnsi="仿宋" w:eastAsia="仿宋" w:cs="仿宋"/>
          <w:color w:val="auto"/>
          <w:sz w:val="24"/>
          <w:szCs w:val="21"/>
          <w:highlight w:val="none"/>
          <w:u w:val="single"/>
        </w:rPr>
        <w:t xml:space="preserve">                </w:t>
      </w:r>
    </w:p>
    <w:p w14:paraId="48DC89EA">
      <w:pPr>
        <w:pStyle w:val="31"/>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14:paraId="086FE525">
      <w:pPr>
        <w:pStyle w:val="31"/>
        <w:spacing w:line="360" w:lineRule="auto"/>
        <w:jc w:val="left"/>
        <w:rPr>
          <w:rFonts w:hint="eastAsia" w:ascii="仿宋" w:hAnsi="仿宋" w:eastAsia="仿宋" w:cs="仿宋"/>
          <w:color w:val="auto"/>
          <w:sz w:val="24"/>
          <w:szCs w:val="21"/>
          <w:highlight w:val="none"/>
          <w:u w:val="single"/>
        </w:rPr>
      </w:pPr>
    </w:p>
    <w:p w14:paraId="60963E9F">
      <w:pPr>
        <w:pStyle w:val="31"/>
        <w:spacing w:line="360" w:lineRule="auto"/>
        <w:jc w:val="left"/>
        <w:rPr>
          <w:rFonts w:hint="eastAsia" w:ascii="仿宋" w:hAnsi="仿宋" w:eastAsia="仿宋" w:cs="仿宋"/>
          <w:color w:val="auto"/>
          <w:sz w:val="24"/>
          <w:szCs w:val="21"/>
          <w:highlight w:val="none"/>
          <w:u w:val="single"/>
        </w:rPr>
      </w:pPr>
    </w:p>
    <w:p w14:paraId="26276435">
      <w:pPr>
        <w:pStyle w:val="6"/>
        <w:spacing w:before="0" w:after="0"/>
        <w:ind w:firstLine="0" w:firstLineChars="0"/>
        <w:jc w:val="left"/>
        <w:rPr>
          <w:rFonts w:hint="eastAsia" w:ascii="仿宋" w:hAnsi="仿宋" w:eastAsia="仿宋" w:cs="仿宋"/>
          <w:color w:val="auto"/>
          <w:sz w:val="24"/>
          <w:szCs w:val="24"/>
          <w:highlight w:val="none"/>
        </w:rPr>
      </w:pPr>
      <w:bookmarkStart w:id="430" w:name="_Toc29942"/>
      <w:bookmarkStart w:id="431" w:name="_Toc19080"/>
      <w:bookmarkStart w:id="432" w:name="_Toc6162"/>
      <w:bookmarkStart w:id="433" w:name="_Toc3281"/>
      <w:r>
        <w:rPr>
          <w:rFonts w:hint="eastAsia" w:ascii="仿宋" w:hAnsi="仿宋" w:eastAsia="仿宋" w:cs="仿宋"/>
          <w:color w:val="auto"/>
          <w:sz w:val="24"/>
          <w:szCs w:val="24"/>
          <w:highlight w:val="none"/>
        </w:rPr>
        <w:t>2.12    技术规格偏离表</w:t>
      </w:r>
      <w:bookmarkEnd w:id="427"/>
      <w:bookmarkEnd w:id="428"/>
      <w:bookmarkEnd w:id="429"/>
      <w:r>
        <w:rPr>
          <w:rFonts w:hint="eastAsia" w:ascii="仿宋" w:hAnsi="仿宋" w:eastAsia="仿宋" w:cs="仿宋"/>
          <w:color w:val="auto"/>
          <w:sz w:val="24"/>
          <w:szCs w:val="24"/>
          <w:highlight w:val="none"/>
        </w:rPr>
        <w:t>格式</w:t>
      </w:r>
      <w:bookmarkEnd w:id="430"/>
      <w:bookmarkEnd w:id="431"/>
      <w:bookmarkEnd w:id="432"/>
      <w:bookmarkEnd w:id="433"/>
    </w:p>
    <w:p w14:paraId="5C3744AD">
      <w:pPr>
        <w:pStyle w:val="4"/>
        <w:spacing w:line="360" w:lineRule="auto"/>
        <w:ind w:firstLine="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技术规格偏离表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166"/>
        <w:gridCol w:w="1221"/>
        <w:gridCol w:w="1222"/>
        <w:gridCol w:w="1221"/>
        <w:gridCol w:w="1222"/>
        <w:gridCol w:w="1221"/>
        <w:gridCol w:w="1222"/>
      </w:tblGrid>
      <w:tr w14:paraId="3A68E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40" w:type="dxa"/>
            <w:tcBorders>
              <w:top w:val="single" w:color="auto" w:sz="4" w:space="0"/>
              <w:left w:val="single" w:color="auto" w:sz="4" w:space="0"/>
              <w:right w:val="single" w:color="auto" w:sz="4" w:space="0"/>
            </w:tcBorders>
            <w:noWrap w:val="0"/>
            <w:vAlign w:val="center"/>
          </w:tcPr>
          <w:p w14:paraId="15218168">
            <w:pPr>
              <w:pStyle w:val="46"/>
              <w:tabs>
                <w:tab w:val="left" w:pos="3200"/>
              </w:tabs>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1166" w:type="dxa"/>
            <w:tcBorders>
              <w:top w:val="single" w:color="auto" w:sz="4" w:space="0"/>
              <w:left w:val="single" w:color="auto" w:sz="4" w:space="0"/>
              <w:right w:val="single" w:color="auto" w:sz="4" w:space="0"/>
            </w:tcBorders>
            <w:noWrap w:val="0"/>
            <w:vAlign w:val="center"/>
          </w:tcPr>
          <w:p w14:paraId="41A68B51">
            <w:pPr>
              <w:pStyle w:val="46"/>
              <w:tabs>
                <w:tab w:val="left" w:pos="3200"/>
              </w:tabs>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投标产品名称</w:t>
            </w:r>
          </w:p>
        </w:tc>
        <w:tc>
          <w:tcPr>
            <w:tcW w:w="1221" w:type="dxa"/>
            <w:tcBorders>
              <w:top w:val="single" w:color="auto" w:sz="4" w:space="0"/>
              <w:left w:val="single" w:color="auto" w:sz="4" w:space="0"/>
              <w:right w:val="single" w:color="auto" w:sz="4" w:space="0"/>
            </w:tcBorders>
            <w:noWrap w:val="0"/>
            <w:vAlign w:val="center"/>
          </w:tcPr>
          <w:p w14:paraId="2EE3CDED">
            <w:pPr>
              <w:pStyle w:val="46"/>
              <w:tabs>
                <w:tab w:val="left" w:pos="3200"/>
              </w:tabs>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品牌</w:t>
            </w:r>
          </w:p>
        </w:tc>
        <w:tc>
          <w:tcPr>
            <w:tcW w:w="1222" w:type="dxa"/>
            <w:tcBorders>
              <w:top w:val="single" w:color="auto" w:sz="4" w:space="0"/>
              <w:left w:val="single" w:color="auto" w:sz="4" w:space="0"/>
              <w:right w:val="single" w:color="auto" w:sz="4" w:space="0"/>
            </w:tcBorders>
            <w:noWrap w:val="0"/>
            <w:vAlign w:val="center"/>
          </w:tcPr>
          <w:p w14:paraId="41100D3A">
            <w:pPr>
              <w:pStyle w:val="46"/>
              <w:tabs>
                <w:tab w:val="left" w:pos="3200"/>
              </w:tabs>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规格型号</w:t>
            </w:r>
          </w:p>
        </w:tc>
        <w:tc>
          <w:tcPr>
            <w:tcW w:w="1221" w:type="dxa"/>
            <w:tcBorders>
              <w:top w:val="single" w:color="auto" w:sz="4" w:space="0"/>
              <w:left w:val="single" w:color="auto" w:sz="4" w:space="0"/>
              <w:right w:val="single" w:color="auto" w:sz="4" w:space="0"/>
            </w:tcBorders>
            <w:noWrap w:val="0"/>
            <w:vAlign w:val="center"/>
          </w:tcPr>
          <w:p w14:paraId="32874F9B">
            <w:pPr>
              <w:pStyle w:val="46"/>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招标文件要求</w:t>
            </w:r>
          </w:p>
        </w:tc>
        <w:tc>
          <w:tcPr>
            <w:tcW w:w="1222" w:type="dxa"/>
            <w:tcBorders>
              <w:top w:val="single" w:color="auto" w:sz="4" w:space="0"/>
              <w:left w:val="single" w:color="auto" w:sz="4" w:space="0"/>
              <w:right w:val="single" w:color="auto" w:sz="4" w:space="0"/>
            </w:tcBorders>
            <w:noWrap w:val="0"/>
            <w:vAlign w:val="center"/>
          </w:tcPr>
          <w:p w14:paraId="51166F6B">
            <w:pPr>
              <w:pStyle w:val="46"/>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投标响应</w:t>
            </w:r>
          </w:p>
        </w:tc>
        <w:tc>
          <w:tcPr>
            <w:tcW w:w="1221" w:type="dxa"/>
            <w:tcBorders>
              <w:top w:val="single" w:color="auto" w:sz="4" w:space="0"/>
              <w:left w:val="single" w:color="auto" w:sz="4" w:space="0"/>
              <w:right w:val="single" w:color="auto" w:sz="4" w:space="0"/>
            </w:tcBorders>
            <w:noWrap w:val="0"/>
            <w:vAlign w:val="center"/>
          </w:tcPr>
          <w:p w14:paraId="19B3EE9C">
            <w:pPr>
              <w:pStyle w:val="46"/>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偏离指标及说明</w:t>
            </w:r>
          </w:p>
        </w:tc>
        <w:tc>
          <w:tcPr>
            <w:tcW w:w="1222" w:type="dxa"/>
            <w:tcBorders>
              <w:top w:val="single" w:color="auto" w:sz="4" w:space="0"/>
              <w:left w:val="single" w:color="auto" w:sz="4" w:space="0"/>
              <w:right w:val="single" w:color="auto" w:sz="4" w:space="0"/>
            </w:tcBorders>
            <w:noWrap w:val="0"/>
            <w:vAlign w:val="center"/>
          </w:tcPr>
          <w:p w14:paraId="2F1D6A5B">
            <w:pPr>
              <w:pStyle w:val="46"/>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r>
      <w:tr w14:paraId="40577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40" w:type="dxa"/>
            <w:tcBorders>
              <w:left w:val="single" w:color="auto" w:sz="4" w:space="0"/>
              <w:right w:val="single" w:color="auto" w:sz="4" w:space="0"/>
            </w:tcBorders>
            <w:noWrap w:val="0"/>
            <w:vAlign w:val="center"/>
          </w:tcPr>
          <w:p w14:paraId="3B047F88">
            <w:pPr>
              <w:pStyle w:val="46"/>
              <w:tabs>
                <w:tab w:val="left" w:pos="3200"/>
              </w:tabs>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166" w:type="dxa"/>
            <w:tcBorders>
              <w:top w:val="single" w:color="auto" w:sz="4" w:space="0"/>
              <w:left w:val="single" w:color="auto" w:sz="4" w:space="0"/>
              <w:right w:val="single" w:color="auto" w:sz="4" w:space="0"/>
            </w:tcBorders>
            <w:noWrap w:val="0"/>
            <w:vAlign w:val="center"/>
          </w:tcPr>
          <w:p w14:paraId="076523EB">
            <w:pPr>
              <w:pStyle w:val="46"/>
              <w:jc w:val="center"/>
              <w:rPr>
                <w:rFonts w:hint="eastAsia" w:ascii="仿宋" w:hAnsi="仿宋" w:eastAsia="仿宋" w:cs="仿宋"/>
                <w:color w:val="auto"/>
                <w:sz w:val="24"/>
                <w:highlight w:val="none"/>
              </w:rPr>
            </w:pPr>
          </w:p>
        </w:tc>
        <w:tc>
          <w:tcPr>
            <w:tcW w:w="1221" w:type="dxa"/>
            <w:tcBorders>
              <w:top w:val="single" w:color="auto" w:sz="4" w:space="0"/>
              <w:left w:val="single" w:color="auto" w:sz="4" w:space="0"/>
              <w:right w:val="single" w:color="auto" w:sz="4" w:space="0"/>
            </w:tcBorders>
            <w:noWrap w:val="0"/>
            <w:vAlign w:val="center"/>
          </w:tcPr>
          <w:p w14:paraId="2A346EFC">
            <w:pPr>
              <w:pStyle w:val="46"/>
              <w:jc w:val="center"/>
              <w:rPr>
                <w:rFonts w:hint="eastAsia" w:ascii="仿宋" w:hAnsi="仿宋" w:eastAsia="仿宋" w:cs="仿宋"/>
                <w:color w:val="auto"/>
                <w:sz w:val="24"/>
                <w:highlight w:val="none"/>
              </w:rPr>
            </w:pPr>
          </w:p>
        </w:tc>
        <w:tc>
          <w:tcPr>
            <w:tcW w:w="1222" w:type="dxa"/>
            <w:tcBorders>
              <w:top w:val="single" w:color="auto" w:sz="4" w:space="0"/>
              <w:left w:val="single" w:color="auto" w:sz="4" w:space="0"/>
              <w:right w:val="single" w:color="auto" w:sz="4" w:space="0"/>
            </w:tcBorders>
            <w:noWrap w:val="0"/>
            <w:vAlign w:val="center"/>
          </w:tcPr>
          <w:p w14:paraId="184F16F0">
            <w:pPr>
              <w:pStyle w:val="46"/>
              <w:jc w:val="center"/>
              <w:rPr>
                <w:rFonts w:hint="eastAsia" w:ascii="仿宋" w:hAnsi="仿宋" w:eastAsia="仿宋" w:cs="仿宋"/>
                <w:color w:val="auto"/>
                <w:sz w:val="24"/>
                <w:highlight w:val="none"/>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732EC1F3">
            <w:pPr>
              <w:pStyle w:val="46"/>
              <w:jc w:val="center"/>
              <w:rPr>
                <w:rFonts w:hint="eastAsia" w:ascii="仿宋" w:hAnsi="仿宋" w:eastAsia="仿宋" w:cs="仿宋"/>
                <w:color w:val="auto"/>
                <w:sz w:val="24"/>
                <w:highlight w:val="none"/>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14:paraId="5D6DA0A2">
            <w:pPr>
              <w:pStyle w:val="46"/>
              <w:jc w:val="center"/>
              <w:rPr>
                <w:rFonts w:hint="eastAsia" w:ascii="仿宋" w:hAnsi="仿宋" w:eastAsia="仿宋" w:cs="仿宋"/>
                <w:color w:val="auto"/>
                <w:sz w:val="24"/>
                <w:highlight w:val="none"/>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429C4EC0">
            <w:pPr>
              <w:pStyle w:val="46"/>
              <w:jc w:val="center"/>
              <w:rPr>
                <w:rFonts w:hint="eastAsia" w:ascii="仿宋" w:hAnsi="仿宋" w:eastAsia="仿宋" w:cs="仿宋"/>
                <w:color w:val="auto"/>
                <w:sz w:val="24"/>
                <w:highlight w:val="none"/>
                <w:lang w:val="en-GB"/>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14:paraId="55B70726">
            <w:pPr>
              <w:pStyle w:val="46"/>
              <w:jc w:val="center"/>
              <w:rPr>
                <w:rFonts w:hint="eastAsia" w:ascii="仿宋" w:hAnsi="仿宋" w:eastAsia="仿宋" w:cs="仿宋"/>
                <w:color w:val="auto"/>
                <w:sz w:val="24"/>
                <w:highlight w:val="none"/>
                <w:lang w:val="en-GB"/>
              </w:rPr>
            </w:pPr>
          </w:p>
        </w:tc>
      </w:tr>
      <w:tr w14:paraId="643B6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40" w:type="dxa"/>
            <w:tcBorders>
              <w:left w:val="single" w:color="auto" w:sz="4" w:space="0"/>
              <w:right w:val="single" w:color="auto" w:sz="4" w:space="0"/>
            </w:tcBorders>
            <w:noWrap w:val="0"/>
            <w:vAlign w:val="center"/>
          </w:tcPr>
          <w:p w14:paraId="564E3146">
            <w:pPr>
              <w:pStyle w:val="46"/>
              <w:tabs>
                <w:tab w:val="left" w:pos="3200"/>
              </w:tabs>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166" w:type="dxa"/>
            <w:tcBorders>
              <w:left w:val="single" w:color="auto" w:sz="4" w:space="0"/>
              <w:right w:val="single" w:color="auto" w:sz="4" w:space="0"/>
            </w:tcBorders>
            <w:noWrap w:val="0"/>
            <w:vAlign w:val="center"/>
          </w:tcPr>
          <w:p w14:paraId="2633EBB4">
            <w:pPr>
              <w:pStyle w:val="46"/>
              <w:jc w:val="center"/>
              <w:rPr>
                <w:rFonts w:hint="eastAsia" w:ascii="仿宋" w:hAnsi="仿宋" w:eastAsia="仿宋" w:cs="仿宋"/>
                <w:color w:val="auto"/>
                <w:sz w:val="24"/>
                <w:highlight w:val="none"/>
              </w:rPr>
            </w:pPr>
          </w:p>
        </w:tc>
        <w:tc>
          <w:tcPr>
            <w:tcW w:w="1221" w:type="dxa"/>
            <w:tcBorders>
              <w:left w:val="single" w:color="auto" w:sz="4" w:space="0"/>
              <w:right w:val="single" w:color="auto" w:sz="4" w:space="0"/>
            </w:tcBorders>
            <w:noWrap w:val="0"/>
            <w:vAlign w:val="center"/>
          </w:tcPr>
          <w:p w14:paraId="13D289F7">
            <w:pPr>
              <w:pStyle w:val="46"/>
              <w:jc w:val="center"/>
              <w:rPr>
                <w:rFonts w:hint="eastAsia" w:ascii="仿宋" w:hAnsi="仿宋" w:eastAsia="仿宋" w:cs="仿宋"/>
                <w:color w:val="auto"/>
                <w:sz w:val="24"/>
                <w:highlight w:val="none"/>
              </w:rPr>
            </w:pPr>
          </w:p>
        </w:tc>
        <w:tc>
          <w:tcPr>
            <w:tcW w:w="1222" w:type="dxa"/>
            <w:tcBorders>
              <w:left w:val="single" w:color="auto" w:sz="4" w:space="0"/>
              <w:right w:val="single" w:color="auto" w:sz="4" w:space="0"/>
            </w:tcBorders>
            <w:noWrap w:val="0"/>
            <w:vAlign w:val="center"/>
          </w:tcPr>
          <w:p w14:paraId="7A024C0A">
            <w:pPr>
              <w:pStyle w:val="46"/>
              <w:jc w:val="center"/>
              <w:rPr>
                <w:rFonts w:hint="eastAsia" w:ascii="仿宋" w:hAnsi="仿宋" w:eastAsia="仿宋" w:cs="仿宋"/>
                <w:color w:val="auto"/>
                <w:sz w:val="24"/>
                <w:highlight w:val="none"/>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7626FC1C">
            <w:pPr>
              <w:pStyle w:val="46"/>
              <w:jc w:val="center"/>
              <w:rPr>
                <w:rFonts w:hint="eastAsia" w:ascii="仿宋" w:hAnsi="仿宋" w:eastAsia="仿宋" w:cs="仿宋"/>
                <w:color w:val="auto"/>
                <w:sz w:val="24"/>
                <w:highlight w:val="none"/>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14:paraId="7890135B">
            <w:pPr>
              <w:pStyle w:val="46"/>
              <w:jc w:val="center"/>
              <w:rPr>
                <w:rFonts w:hint="eastAsia" w:ascii="仿宋" w:hAnsi="仿宋" w:eastAsia="仿宋" w:cs="仿宋"/>
                <w:color w:val="auto"/>
                <w:sz w:val="24"/>
                <w:highlight w:val="none"/>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3CEEE138">
            <w:pPr>
              <w:pStyle w:val="46"/>
              <w:jc w:val="center"/>
              <w:rPr>
                <w:rFonts w:hint="eastAsia" w:ascii="仿宋" w:hAnsi="仿宋" w:eastAsia="仿宋" w:cs="仿宋"/>
                <w:color w:val="auto"/>
                <w:sz w:val="24"/>
                <w:highlight w:val="none"/>
                <w:lang w:val="en-GB"/>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14:paraId="4BC8FE7D">
            <w:pPr>
              <w:pStyle w:val="46"/>
              <w:jc w:val="center"/>
              <w:rPr>
                <w:rFonts w:hint="eastAsia" w:ascii="仿宋" w:hAnsi="仿宋" w:eastAsia="仿宋" w:cs="仿宋"/>
                <w:color w:val="auto"/>
                <w:sz w:val="24"/>
                <w:highlight w:val="none"/>
                <w:lang w:val="en-GB"/>
              </w:rPr>
            </w:pPr>
          </w:p>
        </w:tc>
      </w:tr>
      <w:tr w14:paraId="4B7F8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40" w:type="dxa"/>
            <w:tcBorders>
              <w:left w:val="single" w:color="auto" w:sz="4" w:space="0"/>
              <w:right w:val="single" w:color="auto" w:sz="4" w:space="0"/>
            </w:tcBorders>
            <w:noWrap w:val="0"/>
            <w:vAlign w:val="center"/>
          </w:tcPr>
          <w:p w14:paraId="7660667B">
            <w:pPr>
              <w:pStyle w:val="46"/>
              <w:tabs>
                <w:tab w:val="left" w:pos="3200"/>
              </w:tabs>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166" w:type="dxa"/>
            <w:tcBorders>
              <w:left w:val="single" w:color="auto" w:sz="4" w:space="0"/>
              <w:bottom w:val="single" w:color="auto" w:sz="4" w:space="0"/>
              <w:right w:val="single" w:color="auto" w:sz="4" w:space="0"/>
            </w:tcBorders>
            <w:noWrap w:val="0"/>
            <w:vAlign w:val="center"/>
          </w:tcPr>
          <w:p w14:paraId="11CAFD8C">
            <w:pPr>
              <w:pStyle w:val="46"/>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221" w:type="dxa"/>
            <w:tcBorders>
              <w:left w:val="single" w:color="auto" w:sz="4" w:space="0"/>
              <w:bottom w:val="single" w:color="auto" w:sz="4" w:space="0"/>
              <w:right w:val="single" w:color="auto" w:sz="4" w:space="0"/>
            </w:tcBorders>
            <w:noWrap w:val="0"/>
            <w:vAlign w:val="center"/>
          </w:tcPr>
          <w:p w14:paraId="03B46140">
            <w:pPr>
              <w:pStyle w:val="46"/>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222" w:type="dxa"/>
            <w:tcBorders>
              <w:left w:val="single" w:color="auto" w:sz="4" w:space="0"/>
              <w:bottom w:val="single" w:color="auto" w:sz="4" w:space="0"/>
              <w:right w:val="single" w:color="auto" w:sz="4" w:space="0"/>
            </w:tcBorders>
            <w:noWrap w:val="0"/>
            <w:vAlign w:val="center"/>
          </w:tcPr>
          <w:p w14:paraId="1F41E09B">
            <w:pPr>
              <w:pStyle w:val="46"/>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27D7281C">
            <w:pPr>
              <w:pStyle w:val="46"/>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222" w:type="dxa"/>
            <w:tcBorders>
              <w:top w:val="single" w:color="auto" w:sz="4" w:space="0"/>
              <w:left w:val="single" w:color="auto" w:sz="4" w:space="0"/>
              <w:bottom w:val="single" w:color="auto" w:sz="4" w:space="0"/>
              <w:right w:val="single" w:color="auto" w:sz="4" w:space="0"/>
            </w:tcBorders>
            <w:noWrap w:val="0"/>
            <w:vAlign w:val="center"/>
          </w:tcPr>
          <w:p w14:paraId="66AC9AF7">
            <w:pPr>
              <w:pStyle w:val="46"/>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1D97E783">
            <w:pPr>
              <w:pStyle w:val="46"/>
              <w:jc w:val="cente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w:t>
            </w:r>
          </w:p>
        </w:tc>
        <w:tc>
          <w:tcPr>
            <w:tcW w:w="1222" w:type="dxa"/>
            <w:tcBorders>
              <w:top w:val="single" w:color="auto" w:sz="4" w:space="0"/>
              <w:left w:val="single" w:color="auto" w:sz="4" w:space="0"/>
              <w:bottom w:val="single" w:color="auto" w:sz="4" w:space="0"/>
              <w:right w:val="single" w:color="auto" w:sz="4" w:space="0"/>
            </w:tcBorders>
            <w:noWrap w:val="0"/>
            <w:vAlign w:val="center"/>
          </w:tcPr>
          <w:p w14:paraId="1402A235">
            <w:pPr>
              <w:pStyle w:val="46"/>
              <w:jc w:val="cente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w:t>
            </w:r>
          </w:p>
        </w:tc>
      </w:tr>
    </w:tbl>
    <w:p w14:paraId="08E8898A">
      <w:pPr>
        <w:pStyle w:val="46"/>
        <w:spacing w:line="400" w:lineRule="exact"/>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注：</w:t>
      </w:r>
    </w:p>
    <w:p w14:paraId="6820DB32">
      <w:pPr>
        <w:pStyle w:val="46"/>
        <w:spacing w:line="400" w:lineRule="exact"/>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请各投标人参照招标文件严格按以下要求认真填写偏离表：</w:t>
      </w:r>
    </w:p>
    <w:p w14:paraId="7C03D2DE">
      <w:pPr>
        <w:pStyle w:val="46"/>
        <w:spacing w:line="400" w:lineRule="exact"/>
        <w:ind w:firstLine="480" w:firstLineChars="200"/>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1. 投标人应根据投标产品的实际技术规格，并对照招标文件要求，对确实存在投标产品要求与招标文件要求有偏离的情况，应如实填写本表。“投标产品名称”栏注明偏离产品的名称；“投标响应” 栏注明投标产品的详细技术参数；“偏离指标及说明”栏注明偏离情况；“备注”栏注明此项偏离为“正偏离”或“负偏离”；投标人应任何原因漏写或缺项或填写不正确的，后果由投标人自行承担。</w:t>
      </w:r>
    </w:p>
    <w:p w14:paraId="003F03AD">
      <w:pPr>
        <w:pStyle w:val="46"/>
        <w:tabs>
          <w:tab w:val="left" w:pos="1267"/>
        </w:tabs>
        <w:spacing w:line="400" w:lineRule="exact"/>
        <w:ind w:firstLine="480" w:firstLineChars="200"/>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2. 投标人如实填写本表，并对其真实性负责。</w:t>
      </w:r>
      <w:r>
        <w:rPr>
          <w:rFonts w:hint="eastAsia" w:ascii="仿宋" w:hAnsi="仿宋" w:eastAsia="仿宋" w:cs="仿宋"/>
          <w:color w:val="auto"/>
          <w:sz w:val="24"/>
          <w:highlight w:val="none"/>
        </w:rPr>
        <w:t>评标委员会</w:t>
      </w:r>
      <w:r>
        <w:rPr>
          <w:rFonts w:hint="eastAsia" w:ascii="仿宋" w:hAnsi="仿宋" w:eastAsia="仿宋" w:cs="仿宋"/>
          <w:color w:val="auto"/>
          <w:sz w:val="24"/>
          <w:highlight w:val="none"/>
          <w:lang w:val="en-GB"/>
        </w:rPr>
        <w:t>将根据评标办法和细则进行打分。如某项非实质性技术规格实际为“负偏离”，而投标人注明为“正偏离”或不注明的，</w:t>
      </w:r>
      <w:r>
        <w:rPr>
          <w:rFonts w:hint="eastAsia" w:ascii="仿宋" w:hAnsi="仿宋" w:eastAsia="仿宋" w:cs="仿宋"/>
          <w:color w:val="auto"/>
          <w:sz w:val="24"/>
          <w:highlight w:val="none"/>
        </w:rPr>
        <w:t>评标委员会</w:t>
      </w:r>
      <w:r>
        <w:rPr>
          <w:rFonts w:hint="eastAsia" w:ascii="仿宋" w:hAnsi="仿宋" w:eastAsia="仿宋" w:cs="仿宋"/>
          <w:color w:val="auto"/>
          <w:sz w:val="24"/>
          <w:highlight w:val="none"/>
          <w:lang w:val="en-GB"/>
        </w:rPr>
        <w:t>可对此项偏离按评标办法加倍减分。</w:t>
      </w:r>
    </w:p>
    <w:p w14:paraId="6F222087">
      <w:pPr>
        <w:pStyle w:val="46"/>
        <w:spacing w:line="400" w:lineRule="exact"/>
        <w:ind w:firstLine="480" w:firstLineChars="200"/>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3. 投标人注明的偏离情况只作为评审专家评定的参考，最终是否构成偏离或实质性偏离情况应由</w:t>
      </w:r>
      <w:r>
        <w:rPr>
          <w:rFonts w:hint="eastAsia" w:ascii="仿宋" w:hAnsi="仿宋" w:eastAsia="仿宋" w:cs="仿宋"/>
          <w:color w:val="auto"/>
          <w:sz w:val="24"/>
          <w:highlight w:val="none"/>
        </w:rPr>
        <w:t>评标委员会</w:t>
      </w:r>
      <w:r>
        <w:rPr>
          <w:rFonts w:hint="eastAsia" w:ascii="仿宋" w:hAnsi="仿宋" w:eastAsia="仿宋" w:cs="仿宋"/>
          <w:color w:val="auto"/>
          <w:sz w:val="24"/>
          <w:highlight w:val="none"/>
          <w:lang w:val="en-GB"/>
        </w:rPr>
        <w:t>决定。</w:t>
      </w:r>
    </w:p>
    <w:p w14:paraId="761E59CB">
      <w:pPr>
        <w:pStyle w:val="46"/>
        <w:spacing w:line="400" w:lineRule="exact"/>
        <w:ind w:firstLine="480" w:firstLineChars="200"/>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lang w:val="en-GB"/>
        </w:rPr>
        <w:t>4. 不允许存在实质性负偏离。非实质性负偏离超过招标文件规定的项数，投标文件无效；（招标文件中标注</w:t>
      </w:r>
      <w:r>
        <w:rPr>
          <w:rFonts w:hint="eastAsia" w:ascii="仿宋" w:hAnsi="仿宋" w:eastAsia="仿宋" w:cs="仿宋"/>
          <w:color w:val="auto"/>
          <w:sz w:val="24"/>
          <w:szCs w:val="20"/>
          <w:highlight w:val="none"/>
        </w:rPr>
        <w:t>“▲”条款为实质性条款）</w:t>
      </w:r>
    </w:p>
    <w:p w14:paraId="6D5AC28D">
      <w:pPr>
        <w:pStyle w:val="46"/>
        <w:spacing w:line="400" w:lineRule="exact"/>
        <w:ind w:firstLine="480"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lang w:val="en-GB"/>
        </w:rPr>
        <w:t>5. 投标规格的实际偏离情况以</w:t>
      </w:r>
      <w:r>
        <w:rPr>
          <w:rFonts w:hint="eastAsia" w:ascii="仿宋" w:hAnsi="仿宋" w:eastAsia="仿宋" w:cs="仿宋"/>
          <w:color w:val="auto"/>
          <w:sz w:val="24"/>
          <w:highlight w:val="none"/>
        </w:rPr>
        <w:t>评标委员会</w:t>
      </w:r>
      <w:r>
        <w:rPr>
          <w:rFonts w:hint="eastAsia" w:ascii="仿宋" w:hAnsi="仿宋" w:eastAsia="仿宋" w:cs="仿宋"/>
          <w:color w:val="auto"/>
          <w:sz w:val="24"/>
          <w:highlight w:val="none"/>
          <w:lang w:val="en-GB"/>
        </w:rPr>
        <w:t>综合评价为准，</w:t>
      </w:r>
      <w:r>
        <w:rPr>
          <w:rFonts w:hint="eastAsia" w:ascii="仿宋" w:hAnsi="仿宋" w:eastAsia="仿宋" w:cs="仿宋"/>
          <w:bCs/>
          <w:color w:val="auto"/>
          <w:sz w:val="24"/>
          <w:highlight w:val="none"/>
        </w:rPr>
        <w:t>解释权属</w:t>
      </w:r>
      <w:r>
        <w:rPr>
          <w:rFonts w:hint="eastAsia" w:ascii="仿宋" w:hAnsi="仿宋" w:eastAsia="仿宋" w:cs="仿宋"/>
          <w:color w:val="auto"/>
          <w:sz w:val="24"/>
          <w:highlight w:val="none"/>
        </w:rPr>
        <w:t>评标委员会</w:t>
      </w:r>
      <w:r>
        <w:rPr>
          <w:rFonts w:hint="eastAsia" w:ascii="仿宋" w:hAnsi="仿宋" w:eastAsia="仿宋" w:cs="仿宋"/>
          <w:bCs/>
          <w:color w:val="auto"/>
          <w:sz w:val="24"/>
          <w:highlight w:val="none"/>
        </w:rPr>
        <w:t>。</w:t>
      </w:r>
    </w:p>
    <w:p w14:paraId="11F17247">
      <w:pPr>
        <w:pStyle w:val="31"/>
        <w:spacing w:line="400" w:lineRule="exact"/>
        <w:rPr>
          <w:rFonts w:hint="eastAsia" w:ascii="仿宋" w:hAnsi="仿宋" w:eastAsia="仿宋" w:cs="仿宋"/>
          <w:color w:val="auto"/>
          <w:spacing w:val="20"/>
          <w:sz w:val="24"/>
          <w:szCs w:val="21"/>
          <w:highlight w:val="none"/>
        </w:rPr>
      </w:pPr>
    </w:p>
    <w:p w14:paraId="36FCA491">
      <w:pPr>
        <w:pStyle w:val="31"/>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投标人盖章：</w:t>
      </w:r>
      <w:r>
        <w:rPr>
          <w:rFonts w:hint="eastAsia" w:ascii="仿宋" w:hAnsi="仿宋" w:eastAsia="仿宋" w:cs="仿宋"/>
          <w:color w:val="auto"/>
          <w:sz w:val="24"/>
          <w:szCs w:val="21"/>
          <w:highlight w:val="none"/>
          <w:u w:val="single"/>
        </w:rPr>
        <w:t xml:space="preserve">                </w:t>
      </w:r>
    </w:p>
    <w:p w14:paraId="5CCCA503">
      <w:pPr>
        <w:pStyle w:val="31"/>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14:paraId="714C6576">
      <w:pPr>
        <w:pStyle w:val="31"/>
        <w:spacing w:line="360" w:lineRule="auto"/>
        <w:rPr>
          <w:rFonts w:hint="eastAsia" w:ascii="仿宋" w:hAnsi="仿宋" w:eastAsia="仿宋" w:cs="仿宋"/>
          <w:color w:val="auto"/>
          <w:sz w:val="24"/>
          <w:highlight w:val="none"/>
        </w:rPr>
      </w:pPr>
      <w:bookmarkStart w:id="434" w:name="_Toc531359068"/>
      <w:bookmarkStart w:id="435" w:name="_Toc530551894"/>
      <w:bookmarkStart w:id="436" w:name="_Toc493956070"/>
    </w:p>
    <w:p w14:paraId="251C5D78">
      <w:pPr>
        <w:pStyle w:val="31"/>
        <w:spacing w:line="360" w:lineRule="auto"/>
        <w:rPr>
          <w:rFonts w:hint="eastAsia" w:ascii="仿宋" w:hAnsi="仿宋" w:eastAsia="仿宋" w:cs="仿宋"/>
          <w:color w:val="auto"/>
          <w:sz w:val="24"/>
          <w:highlight w:val="none"/>
        </w:rPr>
      </w:pPr>
    </w:p>
    <w:p w14:paraId="52C47DFD">
      <w:pPr>
        <w:pStyle w:val="6"/>
        <w:spacing w:before="0" w:after="0"/>
        <w:ind w:firstLine="0" w:firstLineChars="0"/>
        <w:jc w:val="left"/>
        <w:rPr>
          <w:rFonts w:hint="eastAsia" w:ascii="仿宋" w:hAnsi="仿宋" w:eastAsia="仿宋" w:cs="仿宋"/>
          <w:color w:val="auto"/>
          <w:sz w:val="24"/>
          <w:szCs w:val="24"/>
          <w:highlight w:val="none"/>
        </w:rPr>
      </w:pPr>
      <w:bookmarkStart w:id="437" w:name="_Toc5423"/>
      <w:bookmarkStart w:id="438" w:name="_Toc7755"/>
      <w:bookmarkStart w:id="439" w:name="_Toc19877"/>
      <w:bookmarkStart w:id="440" w:name="_Toc10680"/>
      <w:r>
        <w:rPr>
          <w:rFonts w:hint="eastAsia" w:ascii="仿宋" w:hAnsi="仿宋" w:eastAsia="仿宋" w:cs="仿宋"/>
          <w:color w:val="auto"/>
          <w:sz w:val="24"/>
          <w:szCs w:val="24"/>
          <w:highlight w:val="none"/>
        </w:rPr>
        <w:t>2.13    拟投入的设施设备</w:t>
      </w:r>
      <w:bookmarkEnd w:id="434"/>
      <w:r>
        <w:rPr>
          <w:rFonts w:hint="eastAsia" w:ascii="仿宋" w:hAnsi="仿宋" w:eastAsia="仿宋" w:cs="仿宋"/>
          <w:color w:val="auto"/>
          <w:sz w:val="24"/>
          <w:szCs w:val="24"/>
          <w:highlight w:val="none"/>
        </w:rPr>
        <w:t>格式</w:t>
      </w:r>
      <w:bookmarkEnd w:id="437"/>
      <w:bookmarkEnd w:id="438"/>
      <w:bookmarkEnd w:id="439"/>
      <w:bookmarkEnd w:id="440"/>
    </w:p>
    <w:p w14:paraId="5E0E8DDE">
      <w:pPr>
        <w:pStyle w:val="4"/>
        <w:spacing w:line="360" w:lineRule="auto"/>
        <w:ind w:firstLine="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本项目拟投入的设施设备一览表</w:t>
      </w: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1711"/>
        <w:gridCol w:w="1179"/>
        <w:gridCol w:w="1179"/>
        <w:gridCol w:w="804"/>
        <w:gridCol w:w="1429"/>
        <w:gridCol w:w="1332"/>
      </w:tblGrid>
      <w:tr w14:paraId="72039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6" w:type="dxa"/>
            <w:noWrap w:val="0"/>
            <w:vAlign w:val="center"/>
          </w:tcPr>
          <w:p w14:paraId="79823236">
            <w:pPr>
              <w:pStyle w:val="4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878" w:type="dxa"/>
            <w:noWrap w:val="0"/>
            <w:vAlign w:val="center"/>
          </w:tcPr>
          <w:p w14:paraId="3509FD24">
            <w:pPr>
              <w:pStyle w:val="4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设施设备名称</w:t>
            </w:r>
          </w:p>
        </w:tc>
        <w:tc>
          <w:tcPr>
            <w:tcW w:w="1275" w:type="dxa"/>
            <w:noWrap w:val="0"/>
            <w:vAlign w:val="center"/>
          </w:tcPr>
          <w:p w14:paraId="2C4D9668">
            <w:pPr>
              <w:pStyle w:val="4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规格型号</w:t>
            </w:r>
          </w:p>
        </w:tc>
        <w:tc>
          <w:tcPr>
            <w:tcW w:w="1276" w:type="dxa"/>
            <w:noWrap w:val="0"/>
            <w:vAlign w:val="center"/>
          </w:tcPr>
          <w:p w14:paraId="1BCA114C">
            <w:pPr>
              <w:pStyle w:val="4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制造厂家</w:t>
            </w:r>
          </w:p>
        </w:tc>
        <w:tc>
          <w:tcPr>
            <w:tcW w:w="851" w:type="dxa"/>
            <w:noWrap w:val="0"/>
            <w:vAlign w:val="center"/>
          </w:tcPr>
          <w:p w14:paraId="435D895F">
            <w:pPr>
              <w:pStyle w:val="4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1559" w:type="dxa"/>
            <w:noWrap w:val="0"/>
            <w:vAlign w:val="center"/>
          </w:tcPr>
          <w:p w14:paraId="06935371">
            <w:pPr>
              <w:pStyle w:val="4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用途</w:t>
            </w:r>
          </w:p>
        </w:tc>
        <w:tc>
          <w:tcPr>
            <w:tcW w:w="1417" w:type="dxa"/>
            <w:noWrap w:val="0"/>
            <w:vAlign w:val="center"/>
          </w:tcPr>
          <w:p w14:paraId="0970EC9E">
            <w:pPr>
              <w:pStyle w:val="4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备注（自有或租赁）</w:t>
            </w:r>
          </w:p>
        </w:tc>
      </w:tr>
      <w:tr w14:paraId="73AB3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6" w:type="dxa"/>
            <w:noWrap w:val="0"/>
            <w:vAlign w:val="center"/>
          </w:tcPr>
          <w:p w14:paraId="2CBD529A">
            <w:pPr>
              <w:pStyle w:val="4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878" w:type="dxa"/>
            <w:noWrap w:val="0"/>
            <w:vAlign w:val="center"/>
          </w:tcPr>
          <w:p w14:paraId="576A4921">
            <w:pPr>
              <w:pStyle w:val="44"/>
              <w:jc w:val="center"/>
              <w:rPr>
                <w:rFonts w:hint="eastAsia" w:ascii="仿宋" w:hAnsi="仿宋" w:eastAsia="仿宋" w:cs="仿宋"/>
                <w:color w:val="auto"/>
                <w:sz w:val="24"/>
                <w:highlight w:val="none"/>
              </w:rPr>
            </w:pPr>
          </w:p>
        </w:tc>
        <w:tc>
          <w:tcPr>
            <w:tcW w:w="1275" w:type="dxa"/>
            <w:noWrap w:val="0"/>
            <w:vAlign w:val="center"/>
          </w:tcPr>
          <w:p w14:paraId="5BE5231F">
            <w:pPr>
              <w:pStyle w:val="44"/>
              <w:jc w:val="center"/>
              <w:rPr>
                <w:rFonts w:hint="eastAsia" w:ascii="仿宋" w:hAnsi="仿宋" w:eastAsia="仿宋" w:cs="仿宋"/>
                <w:color w:val="auto"/>
                <w:sz w:val="24"/>
                <w:highlight w:val="none"/>
              </w:rPr>
            </w:pPr>
          </w:p>
        </w:tc>
        <w:tc>
          <w:tcPr>
            <w:tcW w:w="1276" w:type="dxa"/>
            <w:noWrap w:val="0"/>
            <w:vAlign w:val="center"/>
          </w:tcPr>
          <w:p w14:paraId="2CDF814D">
            <w:pPr>
              <w:pStyle w:val="44"/>
              <w:jc w:val="center"/>
              <w:rPr>
                <w:rFonts w:hint="eastAsia" w:ascii="仿宋" w:hAnsi="仿宋" w:eastAsia="仿宋" w:cs="仿宋"/>
                <w:color w:val="auto"/>
                <w:sz w:val="24"/>
                <w:highlight w:val="none"/>
              </w:rPr>
            </w:pPr>
          </w:p>
        </w:tc>
        <w:tc>
          <w:tcPr>
            <w:tcW w:w="851" w:type="dxa"/>
            <w:noWrap w:val="0"/>
            <w:vAlign w:val="center"/>
          </w:tcPr>
          <w:p w14:paraId="67A00951">
            <w:pPr>
              <w:pStyle w:val="44"/>
              <w:jc w:val="center"/>
              <w:rPr>
                <w:rFonts w:hint="eastAsia" w:ascii="仿宋" w:hAnsi="仿宋" w:eastAsia="仿宋" w:cs="仿宋"/>
                <w:color w:val="auto"/>
                <w:sz w:val="24"/>
                <w:highlight w:val="none"/>
              </w:rPr>
            </w:pPr>
          </w:p>
        </w:tc>
        <w:tc>
          <w:tcPr>
            <w:tcW w:w="1559" w:type="dxa"/>
            <w:noWrap w:val="0"/>
            <w:vAlign w:val="center"/>
          </w:tcPr>
          <w:p w14:paraId="695160D5">
            <w:pPr>
              <w:pStyle w:val="44"/>
              <w:jc w:val="center"/>
              <w:rPr>
                <w:rFonts w:hint="eastAsia" w:ascii="仿宋" w:hAnsi="仿宋" w:eastAsia="仿宋" w:cs="仿宋"/>
                <w:color w:val="auto"/>
                <w:sz w:val="24"/>
                <w:highlight w:val="none"/>
              </w:rPr>
            </w:pPr>
          </w:p>
        </w:tc>
        <w:tc>
          <w:tcPr>
            <w:tcW w:w="1417" w:type="dxa"/>
            <w:noWrap w:val="0"/>
            <w:vAlign w:val="center"/>
          </w:tcPr>
          <w:p w14:paraId="44B38B80">
            <w:pPr>
              <w:pStyle w:val="44"/>
              <w:jc w:val="center"/>
              <w:rPr>
                <w:rFonts w:hint="eastAsia" w:ascii="仿宋" w:hAnsi="仿宋" w:eastAsia="仿宋" w:cs="仿宋"/>
                <w:color w:val="auto"/>
                <w:sz w:val="24"/>
                <w:highlight w:val="none"/>
              </w:rPr>
            </w:pPr>
          </w:p>
        </w:tc>
      </w:tr>
      <w:tr w14:paraId="586F3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6" w:type="dxa"/>
            <w:noWrap w:val="0"/>
            <w:vAlign w:val="center"/>
          </w:tcPr>
          <w:p w14:paraId="38179568">
            <w:pPr>
              <w:pStyle w:val="4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878" w:type="dxa"/>
            <w:noWrap w:val="0"/>
            <w:vAlign w:val="center"/>
          </w:tcPr>
          <w:p w14:paraId="5510F1D0">
            <w:pPr>
              <w:pStyle w:val="44"/>
              <w:jc w:val="center"/>
              <w:rPr>
                <w:rFonts w:hint="eastAsia" w:ascii="仿宋" w:hAnsi="仿宋" w:eastAsia="仿宋" w:cs="仿宋"/>
                <w:color w:val="auto"/>
                <w:sz w:val="24"/>
                <w:highlight w:val="none"/>
              </w:rPr>
            </w:pPr>
          </w:p>
        </w:tc>
        <w:tc>
          <w:tcPr>
            <w:tcW w:w="1275" w:type="dxa"/>
            <w:noWrap w:val="0"/>
            <w:vAlign w:val="center"/>
          </w:tcPr>
          <w:p w14:paraId="3C4DDBF7">
            <w:pPr>
              <w:pStyle w:val="44"/>
              <w:jc w:val="center"/>
              <w:rPr>
                <w:rFonts w:hint="eastAsia" w:ascii="仿宋" w:hAnsi="仿宋" w:eastAsia="仿宋" w:cs="仿宋"/>
                <w:color w:val="auto"/>
                <w:sz w:val="24"/>
                <w:highlight w:val="none"/>
              </w:rPr>
            </w:pPr>
          </w:p>
        </w:tc>
        <w:tc>
          <w:tcPr>
            <w:tcW w:w="1276" w:type="dxa"/>
            <w:noWrap w:val="0"/>
            <w:vAlign w:val="center"/>
          </w:tcPr>
          <w:p w14:paraId="6BDE7E46">
            <w:pPr>
              <w:pStyle w:val="44"/>
              <w:jc w:val="center"/>
              <w:rPr>
                <w:rFonts w:hint="eastAsia" w:ascii="仿宋" w:hAnsi="仿宋" w:eastAsia="仿宋" w:cs="仿宋"/>
                <w:color w:val="auto"/>
                <w:sz w:val="24"/>
                <w:highlight w:val="none"/>
              </w:rPr>
            </w:pPr>
          </w:p>
        </w:tc>
        <w:tc>
          <w:tcPr>
            <w:tcW w:w="851" w:type="dxa"/>
            <w:noWrap w:val="0"/>
            <w:vAlign w:val="center"/>
          </w:tcPr>
          <w:p w14:paraId="3409A3B0">
            <w:pPr>
              <w:pStyle w:val="44"/>
              <w:jc w:val="center"/>
              <w:rPr>
                <w:rFonts w:hint="eastAsia" w:ascii="仿宋" w:hAnsi="仿宋" w:eastAsia="仿宋" w:cs="仿宋"/>
                <w:color w:val="auto"/>
                <w:sz w:val="24"/>
                <w:highlight w:val="none"/>
              </w:rPr>
            </w:pPr>
          </w:p>
        </w:tc>
        <w:tc>
          <w:tcPr>
            <w:tcW w:w="1559" w:type="dxa"/>
            <w:noWrap w:val="0"/>
            <w:vAlign w:val="center"/>
          </w:tcPr>
          <w:p w14:paraId="2E3507FE">
            <w:pPr>
              <w:pStyle w:val="44"/>
              <w:jc w:val="center"/>
              <w:rPr>
                <w:rFonts w:hint="eastAsia" w:ascii="仿宋" w:hAnsi="仿宋" w:eastAsia="仿宋" w:cs="仿宋"/>
                <w:color w:val="auto"/>
                <w:sz w:val="24"/>
                <w:highlight w:val="none"/>
              </w:rPr>
            </w:pPr>
          </w:p>
        </w:tc>
        <w:tc>
          <w:tcPr>
            <w:tcW w:w="1417" w:type="dxa"/>
            <w:noWrap w:val="0"/>
            <w:vAlign w:val="center"/>
          </w:tcPr>
          <w:p w14:paraId="3E77C0B4">
            <w:pPr>
              <w:pStyle w:val="44"/>
              <w:jc w:val="center"/>
              <w:rPr>
                <w:rFonts w:hint="eastAsia" w:ascii="仿宋" w:hAnsi="仿宋" w:eastAsia="仿宋" w:cs="仿宋"/>
                <w:color w:val="auto"/>
                <w:sz w:val="24"/>
                <w:highlight w:val="none"/>
              </w:rPr>
            </w:pPr>
          </w:p>
        </w:tc>
      </w:tr>
      <w:tr w14:paraId="54B2E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6" w:type="dxa"/>
            <w:noWrap w:val="0"/>
            <w:vAlign w:val="center"/>
          </w:tcPr>
          <w:p w14:paraId="20396335">
            <w:pPr>
              <w:pStyle w:val="4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878" w:type="dxa"/>
            <w:noWrap w:val="0"/>
            <w:vAlign w:val="center"/>
          </w:tcPr>
          <w:p w14:paraId="41C4751A">
            <w:pPr>
              <w:jc w:val="center"/>
              <w:rPr>
                <w:rFonts w:hint="eastAsia" w:ascii="仿宋" w:hAnsi="仿宋" w:eastAsia="仿宋" w:cs="仿宋"/>
                <w:color w:val="auto"/>
                <w:highlight w:val="none"/>
              </w:rPr>
            </w:pPr>
            <w:r>
              <w:rPr>
                <w:rFonts w:hint="eastAsia" w:ascii="仿宋" w:hAnsi="仿宋" w:eastAsia="仿宋" w:cs="仿宋"/>
                <w:color w:val="auto"/>
                <w:sz w:val="24"/>
                <w:highlight w:val="none"/>
              </w:rPr>
              <w:t>…</w:t>
            </w:r>
          </w:p>
        </w:tc>
        <w:tc>
          <w:tcPr>
            <w:tcW w:w="1275" w:type="dxa"/>
            <w:noWrap w:val="0"/>
            <w:vAlign w:val="center"/>
          </w:tcPr>
          <w:p w14:paraId="6C68AF04">
            <w:pPr>
              <w:jc w:val="center"/>
              <w:rPr>
                <w:rFonts w:hint="eastAsia" w:ascii="仿宋" w:hAnsi="仿宋" w:eastAsia="仿宋" w:cs="仿宋"/>
                <w:color w:val="auto"/>
                <w:highlight w:val="none"/>
              </w:rPr>
            </w:pPr>
            <w:r>
              <w:rPr>
                <w:rFonts w:hint="eastAsia" w:ascii="仿宋" w:hAnsi="仿宋" w:eastAsia="仿宋" w:cs="仿宋"/>
                <w:color w:val="auto"/>
                <w:sz w:val="24"/>
                <w:highlight w:val="none"/>
              </w:rPr>
              <w:t>…</w:t>
            </w:r>
          </w:p>
        </w:tc>
        <w:tc>
          <w:tcPr>
            <w:tcW w:w="1276" w:type="dxa"/>
            <w:noWrap w:val="0"/>
            <w:vAlign w:val="center"/>
          </w:tcPr>
          <w:p w14:paraId="1CF6ECED">
            <w:pPr>
              <w:jc w:val="center"/>
              <w:rPr>
                <w:rFonts w:hint="eastAsia" w:ascii="仿宋" w:hAnsi="仿宋" w:eastAsia="仿宋" w:cs="仿宋"/>
                <w:color w:val="auto"/>
                <w:highlight w:val="none"/>
              </w:rPr>
            </w:pPr>
            <w:r>
              <w:rPr>
                <w:rFonts w:hint="eastAsia" w:ascii="仿宋" w:hAnsi="仿宋" w:eastAsia="仿宋" w:cs="仿宋"/>
                <w:color w:val="auto"/>
                <w:sz w:val="24"/>
                <w:highlight w:val="none"/>
              </w:rPr>
              <w:t>…</w:t>
            </w:r>
          </w:p>
        </w:tc>
        <w:tc>
          <w:tcPr>
            <w:tcW w:w="851" w:type="dxa"/>
            <w:noWrap w:val="0"/>
            <w:vAlign w:val="center"/>
          </w:tcPr>
          <w:p w14:paraId="7DA8D1E5">
            <w:pPr>
              <w:jc w:val="center"/>
              <w:rPr>
                <w:rFonts w:hint="eastAsia" w:ascii="仿宋" w:hAnsi="仿宋" w:eastAsia="仿宋" w:cs="仿宋"/>
                <w:color w:val="auto"/>
                <w:highlight w:val="none"/>
              </w:rPr>
            </w:pPr>
            <w:r>
              <w:rPr>
                <w:rFonts w:hint="eastAsia" w:ascii="仿宋" w:hAnsi="仿宋" w:eastAsia="仿宋" w:cs="仿宋"/>
                <w:color w:val="auto"/>
                <w:sz w:val="24"/>
                <w:highlight w:val="none"/>
              </w:rPr>
              <w:t>…</w:t>
            </w:r>
          </w:p>
        </w:tc>
        <w:tc>
          <w:tcPr>
            <w:tcW w:w="1559" w:type="dxa"/>
            <w:noWrap w:val="0"/>
            <w:vAlign w:val="center"/>
          </w:tcPr>
          <w:p w14:paraId="5F97263D">
            <w:pPr>
              <w:jc w:val="center"/>
              <w:rPr>
                <w:rFonts w:hint="eastAsia" w:ascii="仿宋" w:hAnsi="仿宋" w:eastAsia="仿宋" w:cs="仿宋"/>
                <w:color w:val="auto"/>
                <w:highlight w:val="none"/>
              </w:rPr>
            </w:pPr>
            <w:r>
              <w:rPr>
                <w:rFonts w:hint="eastAsia" w:ascii="仿宋" w:hAnsi="仿宋" w:eastAsia="仿宋" w:cs="仿宋"/>
                <w:color w:val="auto"/>
                <w:sz w:val="24"/>
                <w:highlight w:val="none"/>
              </w:rPr>
              <w:t>…</w:t>
            </w:r>
          </w:p>
        </w:tc>
        <w:tc>
          <w:tcPr>
            <w:tcW w:w="1417" w:type="dxa"/>
            <w:noWrap w:val="0"/>
            <w:vAlign w:val="center"/>
          </w:tcPr>
          <w:p w14:paraId="7BA591CB">
            <w:pPr>
              <w:jc w:val="center"/>
              <w:rPr>
                <w:rFonts w:hint="eastAsia" w:ascii="仿宋" w:hAnsi="仿宋" w:eastAsia="仿宋" w:cs="仿宋"/>
                <w:color w:val="auto"/>
                <w:highlight w:val="none"/>
              </w:rPr>
            </w:pPr>
            <w:r>
              <w:rPr>
                <w:rFonts w:hint="eastAsia" w:ascii="仿宋" w:hAnsi="仿宋" w:eastAsia="仿宋" w:cs="仿宋"/>
                <w:color w:val="auto"/>
                <w:sz w:val="24"/>
                <w:highlight w:val="none"/>
              </w:rPr>
              <w:t>…</w:t>
            </w:r>
          </w:p>
        </w:tc>
      </w:tr>
    </w:tbl>
    <w:p w14:paraId="04C2EC65">
      <w:pPr>
        <w:pStyle w:val="15"/>
        <w:snapToGrid w:val="0"/>
        <w:ind w:left="480" w:hanging="480"/>
        <w:jc w:val="left"/>
        <w:rPr>
          <w:rFonts w:hint="eastAsia" w:ascii="仿宋" w:hAnsi="仿宋" w:eastAsia="仿宋" w:cs="仿宋"/>
          <w:color w:val="auto"/>
          <w:sz w:val="24"/>
          <w:highlight w:val="none"/>
        </w:rPr>
      </w:pPr>
    </w:p>
    <w:p w14:paraId="6C5D0367">
      <w:pPr>
        <w:pStyle w:val="31"/>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投标人盖章：</w:t>
      </w:r>
      <w:r>
        <w:rPr>
          <w:rFonts w:hint="eastAsia" w:ascii="仿宋" w:hAnsi="仿宋" w:eastAsia="仿宋" w:cs="仿宋"/>
          <w:color w:val="auto"/>
          <w:sz w:val="24"/>
          <w:szCs w:val="21"/>
          <w:highlight w:val="none"/>
          <w:u w:val="single"/>
        </w:rPr>
        <w:t xml:space="preserve">                </w:t>
      </w:r>
    </w:p>
    <w:p w14:paraId="560A18FB">
      <w:pPr>
        <w:pStyle w:val="31"/>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14:paraId="41BA23B9">
      <w:pPr>
        <w:pStyle w:val="44"/>
        <w:spacing w:line="360" w:lineRule="auto"/>
        <w:jc w:val="left"/>
        <w:rPr>
          <w:rFonts w:hint="eastAsia" w:ascii="仿宋" w:hAnsi="仿宋" w:eastAsia="仿宋" w:cs="仿宋"/>
          <w:color w:val="auto"/>
          <w:sz w:val="24"/>
          <w:highlight w:val="none"/>
        </w:rPr>
      </w:pPr>
    </w:p>
    <w:p w14:paraId="79BC78B5">
      <w:pPr>
        <w:pStyle w:val="6"/>
        <w:spacing w:before="0" w:after="0"/>
        <w:ind w:firstLine="0" w:firstLineChars="0"/>
        <w:jc w:val="left"/>
        <w:rPr>
          <w:rFonts w:hint="eastAsia" w:ascii="仿宋" w:hAnsi="仿宋" w:eastAsia="仿宋" w:cs="仿宋"/>
          <w:color w:val="auto"/>
          <w:sz w:val="24"/>
          <w:szCs w:val="24"/>
          <w:highlight w:val="none"/>
        </w:rPr>
        <w:sectPr>
          <w:pgSz w:w="11906" w:h="16838"/>
          <w:pgMar w:top="1440" w:right="1803" w:bottom="1440" w:left="1803" w:header="851" w:footer="851" w:gutter="0"/>
          <w:cols w:space="720" w:num="1"/>
          <w:docGrid w:linePitch="312" w:charSpace="0"/>
        </w:sectPr>
      </w:pPr>
      <w:bookmarkStart w:id="441" w:name="_Toc531359069"/>
    </w:p>
    <w:p w14:paraId="5828D1DD">
      <w:pPr>
        <w:pStyle w:val="6"/>
        <w:spacing w:before="0" w:after="0"/>
        <w:ind w:firstLine="0" w:firstLineChars="0"/>
        <w:jc w:val="left"/>
        <w:rPr>
          <w:rFonts w:hint="eastAsia" w:ascii="仿宋" w:hAnsi="仿宋" w:eastAsia="仿宋" w:cs="仿宋"/>
          <w:color w:val="auto"/>
          <w:sz w:val="24"/>
          <w:szCs w:val="24"/>
          <w:highlight w:val="none"/>
        </w:rPr>
      </w:pPr>
      <w:bookmarkStart w:id="442" w:name="_Toc29862"/>
      <w:bookmarkStart w:id="443" w:name="_Toc17442"/>
      <w:bookmarkStart w:id="444" w:name="_Toc23101"/>
      <w:bookmarkStart w:id="445" w:name="_Toc17542"/>
      <w:r>
        <w:rPr>
          <w:rFonts w:hint="eastAsia" w:ascii="仿宋" w:hAnsi="仿宋" w:eastAsia="仿宋" w:cs="仿宋"/>
          <w:color w:val="auto"/>
          <w:sz w:val="24"/>
          <w:szCs w:val="24"/>
          <w:highlight w:val="none"/>
        </w:rPr>
        <w:t>2.14    拟投入的项目班子</w:t>
      </w:r>
      <w:bookmarkEnd w:id="441"/>
      <w:r>
        <w:rPr>
          <w:rFonts w:hint="eastAsia" w:ascii="仿宋" w:hAnsi="仿宋" w:eastAsia="仿宋" w:cs="仿宋"/>
          <w:color w:val="auto"/>
          <w:sz w:val="24"/>
          <w:szCs w:val="24"/>
          <w:highlight w:val="none"/>
        </w:rPr>
        <w:t>格式</w:t>
      </w:r>
      <w:bookmarkEnd w:id="442"/>
      <w:bookmarkEnd w:id="443"/>
      <w:bookmarkEnd w:id="444"/>
      <w:bookmarkEnd w:id="445"/>
    </w:p>
    <w:p w14:paraId="3856F6F7">
      <w:pPr>
        <w:pStyle w:val="4"/>
        <w:spacing w:line="360" w:lineRule="auto"/>
        <w:ind w:firstLine="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拟投入的项目班子格式</w:t>
      </w:r>
    </w:p>
    <w:p w14:paraId="14BD148E">
      <w:pPr>
        <w:pStyle w:val="4"/>
        <w:spacing w:line="36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（格式仅供参考）</w:t>
      </w:r>
    </w:p>
    <w:p w14:paraId="59A80119">
      <w:pPr>
        <w:pStyle w:val="4"/>
        <w:ind w:firstLine="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项目负责人简历表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8"/>
        <w:gridCol w:w="654"/>
        <w:gridCol w:w="416"/>
        <w:gridCol w:w="1085"/>
        <w:gridCol w:w="633"/>
        <w:gridCol w:w="433"/>
        <w:gridCol w:w="1142"/>
        <w:gridCol w:w="1382"/>
        <w:gridCol w:w="1643"/>
      </w:tblGrid>
      <w:tr w14:paraId="621CD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4" w:type="dxa"/>
            <w:noWrap w:val="0"/>
            <w:vAlign w:val="center"/>
          </w:tcPr>
          <w:p w14:paraId="1604DFF2">
            <w:pPr>
              <w:pStyle w:val="4"/>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  名</w:t>
            </w:r>
          </w:p>
        </w:tc>
        <w:tc>
          <w:tcPr>
            <w:tcW w:w="1165" w:type="dxa"/>
            <w:gridSpan w:val="2"/>
            <w:noWrap w:val="0"/>
            <w:vAlign w:val="center"/>
          </w:tcPr>
          <w:p w14:paraId="1F5FDD6F">
            <w:pPr>
              <w:pStyle w:val="4"/>
              <w:ind w:firstLine="0"/>
              <w:jc w:val="center"/>
              <w:rPr>
                <w:rFonts w:hint="eastAsia" w:ascii="仿宋" w:hAnsi="仿宋" w:eastAsia="仿宋" w:cs="仿宋"/>
                <w:color w:val="auto"/>
                <w:sz w:val="24"/>
                <w:szCs w:val="24"/>
                <w:highlight w:val="none"/>
              </w:rPr>
            </w:pPr>
          </w:p>
        </w:tc>
        <w:tc>
          <w:tcPr>
            <w:tcW w:w="1155" w:type="dxa"/>
            <w:noWrap w:val="0"/>
            <w:vAlign w:val="center"/>
          </w:tcPr>
          <w:p w14:paraId="33EBE404">
            <w:pPr>
              <w:pStyle w:val="4"/>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龄</w:t>
            </w:r>
          </w:p>
        </w:tc>
        <w:tc>
          <w:tcPr>
            <w:tcW w:w="1155" w:type="dxa"/>
            <w:gridSpan w:val="2"/>
            <w:noWrap w:val="0"/>
            <w:vAlign w:val="center"/>
          </w:tcPr>
          <w:p w14:paraId="3F90D42C">
            <w:pPr>
              <w:pStyle w:val="4"/>
              <w:ind w:firstLine="0"/>
              <w:jc w:val="center"/>
              <w:rPr>
                <w:rFonts w:hint="eastAsia" w:ascii="仿宋" w:hAnsi="仿宋" w:eastAsia="仿宋" w:cs="仿宋"/>
                <w:color w:val="auto"/>
                <w:sz w:val="24"/>
                <w:szCs w:val="24"/>
                <w:highlight w:val="none"/>
              </w:rPr>
            </w:pPr>
          </w:p>
        </w:tc>
        <w:tc>
          <w:tcPr>
            <w:tcW w:w="2745" w:type="dxa"/>
            <w:gridSpan w:val="2"/>
            <w:noWrap w:val="0"/>
            <w:vAlign w:val="center"/>
          </w:tcPr>
          <w:p w14:paraId="4157BEE6">
            <w:pPr>
              <w:pStyle w:val="4"/>
              <w:ind w:firstLine="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学历</w:t>
            </w:r>
          </w:p>
        </w:tc>
        <w:tc>
          <w:tcPr>
            <w:tcW w:w="1800" w:type="dxa"/>
            <w:noWrap w:val="0"/>
            <w:vAlign w:val="center"/>
          </w:tcPr>
          <w:p w14:paraId="0B94418F">
            <w:pPr>
              <w:pStyle w:val="4"/>
              <w:ind w:firstLine="0"/>
              <w:jc w:val="center"/>
              <w:rPr>
                <w:rFonts w:hint="eastAsia" w:ascii="仿宋" w:hAnsi="仿宋" w:eastAsia="仿宋" w:cs="仿宋"/>
                <w:color w:val="auto"/>
                <w:sz w:val="24"/>
                <w:szCs w:val="24"/>
                <w:highlight w:val="none"/>
              </w:rPr>
            </w:pPr>
          </w:p>
        </w:tc>
      </w:tr>
      <w:tr w14:paraId="657B9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4" w:type="dxa"/>
            <w:noWrap w:val="0"/>
            <w:vAlign w:val="center"/>
          </w:tcPr>
          <w:p w14:paraId="0A672B45">
            <w:pPr>
              <w:pStyle w:val="4"/>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  称</w:t>
            </w:r>
          </w:p>
        </w:tc>
        <w:tc>
          <w:tcPr>
            <w:tcW w:w="1165" w:type="dxa"/>
            <w:gridSpan w:val="2"/>
            <w:noWrap w:val="0"/>
            <w:vAlign w:val="center"/>
          </w:tcPr>
          <w:p w14:paraId="26EF6F66">
            <w:pPr>
              <w:pStyle w:val="4"/>
              <w:ind w:firstLine="0"/>
              <w:jc w:val="center"/>
              <w:rPr>
                <w:rFonts w:hint="eastAsia" w:ascii="仿宋" w:hAnsi="仿宋" w:eastAsia="仿宋" w:cs="仿宋"/>
                <w:color w:val="auto"/>
                <w:sz w:val="24"/>
                <w:szCs w:val="24"/>
                <w:highlight w:val="none"/>
              </w:rPr>
            </w:pPr>
          </w:p>
        </w:tc>
        <w:tc>
          <w:tcPr>
            <w:tcW w:w="1155" w:type="dxa"/>
            <w:noWrap w:val="0"/>
            <w:vAlign w:val="center"/>
          </w:tcPr>
          <w:p w14:paraId="51B6CABD">
            <w:pPr>
              <w:pStyle w:val="4"/>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  务</w:t>
            </w:r>
          </w:p>
        </w:tc>
        <w:tc>
          <w:tcPr>
            <w:tcW w:w="1155" w:type="dxa"/>
            <w:gridSpan w:val="2"/>
            <w:noWrap w:val="0"/>
            <w:vAlign w:val="center"/>
          </w:tcPr>
          <w:p w14:paraId="5BB1BF55">
            <w:pPr>
              <w:pStyle w:val="4"/>
              <w:ind w:firstLine="0"/>
              <w:jc w:val="center"/>
              <w:rPr>
                <w:rFonts w:hint="eastAsia" w:ascii="仿宋" w:hAnsi="仿宋" w:eastAsia="仿宋" w:cs="仿宋"/>
                <w:color w:val="auto"/>
                <w:sz w:val="24"/>
                <w:szCs w:val="24"/>
                <w:highlight w:val="none"/>
              </w:rPr>
            </w:pPr>
          </w:p>
        </w:tc>
        <w:tc>
          <w:tcPr>
            <w:tcW w:w="2745" w:type="dxa"/>
            <w:gridSpan w:val="2"/>
            <w:noWrap w:val="0"/>
            <w:vAlign w:val="center"/>
          </w:tcPr>
          <w:p w14:paraId="4835FBF5">
            <w:pPr>
              <w:pStyle w:val="4"/>
              <w:ind w:firstLine="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拟在本项目任职</w:t>
            </w:r>
          </w:p>
        </w:tc>
        <w:tc>
          <w:tcPr>
            <w:tcW w:w="1800" w:type="dxa"/>
            <w:noWrap w:val="0"/>
            <w:vAlign w:val="center"/>
          </w:tcPr>
          <w:p w14:paraId="3706B2C0">
            <w:pPr>
              <w:pStyle w:val="4"/>
              <w:ind w:firstLine="0"/>
              <w:jc w:val="center"/>
              <w:rPr>
                <w:rFonts w:hint="eastAsia" w:ascii="仿宋" w:hAnsi="仿宋" w:eastAsia="仿宋" w:cs="仿宋"/>
                <w:color w:val="auto"/>
                <w:sz w:val="24"/>
                <w:szCs w:val="24"/>
                <w:highlight w:val="none"/>
              </w:rPr>
            </w:pPr>
          </w:p>
        </w:tc>
      </w:tr>
      <w:tr w14:paraId="3759D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4" w:type="dxa"/>
            <w:noWrap w:val="0"/>
            <w:vAlign w:val="center"/>
          </w:tcPr>
          <w:p w14:paraId="017FCFF3">
            <w:pPr>
              <w:pStyle w:val="4"/>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毕业院校</w:t>
            </w:r>
          </w:p>
        </w:tc>
        <w:tc>
          <w:tcPr>
            <w:tcW w:w="8020" w:type="dxa"/>
            <w:gridSpan w:val="8"/>
            <w:noWrap w:val="0"/>
            <w:vAlign w:val="center"/>
          </w:tcPr>
          <w:p w14:paraId="1E6B0154">
            <w:pPr>
              <w:pStyle w:val="4"/>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年毕业于      学校    专业</w:t>
            </w:r>
          </w:p>
        </w:tc>
      </w:tr>
      <w:tr w14:paraId="33E02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24" w:type="dxa"/>
            <w:gridSpan w:val="9"/>
            <w:noWrap w:val="0"/>
            <w:vAlign w:val="center"/>
          </w:tcPr>
          <w:p w14:paraId="534B35CF">
            <w:pPr>
              <w:pStyle w:val="4"/>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主要工作履历</w:t>
            </w:r>
          </w:p>
        </w:tc>
      </w:tr>
      <w:tr w14:paraId="1FD23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3" w:type="dxa"/>
            <w:gridSpan w:val="2"/>
            <w:noWrap w:val="0"/>
            <w:vAlign w:val="center"/>
          </w:tcPr>
          <w:p w14:paraId="7D5E857B">
            <w:pPr>
              <w:pStyle w:val="4"/>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时间</w:t>
            </w:r>
          </w:p>
        </w:tc>
        <w:tc>
          <w:tcPr>
            <w:tcW w:w="2297" w:type="dxa"/>
            <w:gridSpan w:val="3"/>
            <w:noWrap w:val="0"/>
            <w:vAlign w:val="center"/>
          </w:tcPr>
          <w:p w14:paraId="52B8E786">
            <w:pPr>
              <w:pStyle w:val="4"/>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参加过类似项目</w:t>
            </w:r>
          </w:p>
        </w:tc>
        <w:tc>
          <w:tcPr>
            <w:tcW w:w="1701" w:type="dxa"/>
            <w:gridSpan w:val="2"/>
            <w:noWrap w:val="0"/>
            <w:vAlign w:val="center"/>
          </w:tcPr>
          <w:p w14:paraId="72EE1DEF">
            <w:pPr>
              <w:pStyle w:val="4"/>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担任职务</w:t>
            </w:r>
          </w:p>
        </w:tc>
        <w:tc>
          <w:tcPr>
            <w:tcW w:w="3313" w:type="dxa"/>
            <w:gridSpan w:val="2"/>
            <w:noWrap w:val="0"/>
            <w:vAlign w:val="center"/>
          </w:tcPr>
          <w:p w14:paraId="61C9B814">
            <w:pPr>
              <w:pStyle w:val="4"/>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业主及联系电话</w:t>
            </w:r>
          </w:p>
        </w:tc>
      </w:tr>
      <w:tr w14:paraId="1DBC7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3" w:type="dxa"/>
            <w:gridSpan w:val="2"/>
            <w:noWrap w:val="0"/>
            <w:vAlign w:val="center"/>
          </w:tcPr>
          <w:p w14:paraId="455367BD">
            <w:pPr>
              <w:pStyle w:val="4"/>
              <w:ind w:firstLine="0"/>
              <w:jc w:val="center"/>
              <w:rPr>
                <w:rFonts w:hint="eastAsia" w:ascii="仿宋" w:hAnsi="仿宋" w:eastAsia="仿宋" w:cs="仿宋"/>
                <w:color w:val="auto"/>
                <w:sz w:val="24"/>
                <w:szCs w:val="24"/>
                <w:highlight w:val="none"/>
              </w:rPr>
            </w:pPr>
          </w:p>
        </w:tc>
        <w:tc>
          <w:tcPr>
            <w:tcW w:w="2297" w:type="dxa"/>
            <w:gridSpan w:val="3"/>
            <w:noWrap w:val="0"/>
            <w:vAlign w:val="center"/>
          </w:tcPr>
          <w:p w14:paraId="23EC14EC">
            <w:pPr>
              <w:pStyle w:val="4"/>
              <w:ind w:firstLine="0"/>
              <w:jc w:val="center"/>
              <w:rPr>
                <w:rFonts w:hint="eastAsia" w:ascii="仿宋" w:hAnsi="仿宋" w:eastAsia="仿宋" w:cs="仿宋"/>
                <w:color w:val="auto"/>
                <w:sz w:val="24"/>
                <w:szCs w:val="24"/>
                <w:highlight w:val="none"/>
              </w:rPr>
            </w:pPr>
          </w:p>
        </w:tc>
        <w:tc>
          <w:tcPr>
            <w:tcW w:w="1701" w:type="dxa"/>
            <w:gridSpan w:val="2"/>
            <w:noWrap w:val="0"/>
            <w:vAlign w:val="center"/>
          </w:tcPr>
          <w:p w14:paraId="749C9BE4">
            <w:pPr>
              <w:pStyle w:val="4"/>
              <w:ind w:firstLine="0"/>
              <w:jc w:val="center"/>
              <w:rPr>
                <w:rFonts w:hint="eastAsia" w:ascii="仿宋" w:hAnsi="仿宋" w:eastAsia="仿宋" w:cs="仿宋"/>
                <w:color w:val="auto"/>
                <w:sz w:val="24"/>
                <w:szCs w:val="24"/>
                <w:highlight w:val="none"/>
              </w:rPr>
            </w:pPr>
          </w:p>
        </w:tc>
        <w:tc>
          <w:tcPr>
            <w:tcW w:w="3313" w:type="dxa"/>
            <w:gridSpan w:val="2"/>
            <w:noWrap w:val="0"/>
            <w:vAlign w:val="center"/>
          </w:tcPr>
          <w:p w14:paraId="5EAC74A9">
            <w:pPr>
              <w:pStyle w:val="4"/>
              <w:ind w:firstLine="0"/>
              <w:jc w:val="center"/>
              <w:rPr>
                <w:rFonts w:hint="eastAsia" w:ascii="仿宋" w:hAnsi="仿宋" w:eastAsia="仿宋" w:cs="仿宋"/>
                <w:color w:val="auto"/>
                <w:sz w:val="24"/>
                <w:szCs w:val="24"/>
                <w:highlight w:val="none"/>
              </w:rPr>
            </w:pPr>
          </w:p>
        </w:tc>
      </w:tr>
      <w:tr w14:paraId="205AD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3" w:type="dxa"/>
            <w:gridSpan w:val="2"/>
            <w:noWrap w:val="0"/>
            <w:vAlign w:val="center"/>
          </w:tcPr>
          <w:p w14:paraId="73D85BB5">
            <w:pPr>
              <w:pStyle w:val="4"/>
              <w:ind w:firstLine="0"/>
              <w:jc w:val="center"/>
              <w:rPr>
                <w:rFonts w:hint="eastAsia" w:ascii="仿宋" w:hAnsi="仿宋" w:eastAsia="仿宋" w:cs="仿宋"/>
                <w:color w:val="auto"/>
                <w:sz w:val="24"/>
                <w:szCs w:val="24"/>
                <w:highlight w:val="none"/>
              </w:rPr>
            </w:pPr>
          </w:p>
        </w:tc>
        <w:tc>
          <w:tcPr>
            <w:tcW w:w="2297" w:type="dxa"/>
            <w:gridSpan w:val="3"/>
            <w:noWrap w:val="0"/>
            <w:vAlign w:val="center"/>
          </w:tcPr>
          <w:p w14:paraId="4C78DF0C">
            <w:pPr>
              <w:pStyle w:val="4"/>
              <w:ind w:firstLine="0"/>
              <w:jc w:val="center"/>
              <w:rPr>
                <w:rFonts w:hint="eastAsia" w:ascii="仿宋" w:hAnsi="仿宋" w:eastAsia="仿宋" w:cs="仿宋"/>
                <w:color w:val="auto"/>
                <w:sz w:val="24"/>
                <w:szCs w:val="24"/>
                <w:highlight w:val="none"/>
              </w:rPr>
            </w:pPr>
          </w:p>
        </w:tc>
        <w:tc>
          <w:tcPr>
            <w:tcW w:w="1701" w:type="dxa"/>
            <w:gridSpan w:val="2"/>
            <w:noWrap w:val="0"/>
            <w:vAlign w:val="center"/>
          </w:tcPr>
          <w:p w14:paraId="7B187131">
            <w:pPr>
              <w:pStyle w:val="4"/>
              <w:ind w:firstLine="0"/>
              <w:jc w:val="center"/>
              <w:rPr>
                <w:rFonts w:hint="eastAsia" w:ascii="仿宋" w:hAnsi="仿宋" w:eastAsia="仿宋" w:cs="仿宋"/>
                <w:color w:val="auto"/>
                <w:sz w:val="24"/>
                <w:szCs w:val="24"/>
                <w:highlight w:val="none"/>
              </w:rPr>
            </w:pPr>
          </w:p>
        </w:tc>
        <w:tc>
          <w:tcPr>
            <w:tcW w:w="3313" w:type="dxa"/>
            <w:gridSpan w:val="2"/>
            <w:noWrap w:val="0"/>
            <w:vAlign w:val="center"/>
          </w:tcPr>
          <w:p w14:paraId="366AF76D">
            <w:pPr>
              <w:pStyle w:val="4"/>
              <w:ind w:firstLine="0"/>
              <w:jc w:val="center"/>
              <w:rPr>
                <w:rFonts w:hint="eastAsia" w:ascii="仿宋" w:hAnsi="仿宋" w:eastAsia="仿宋" w:cs="仿宋"/>
                <w:color w:val="auto"/>
                <w:sz w:val="24"/>
                <w:szCs w:val="24"/>
                <w:highlight w:val="none"/>
              </w:rPr>
            </w:pPr>
          </w:p>
        </w:tc>
      </w:tr>
    </w:tbl>
    <w:p w14:paraId="26D79CC6">
      <w:pPr>
        <w:pStyle w:val="4"/>
        <w:ind w:firstLine="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附：执业资格证书、职称证书、学历证书等电子文档证明材料</w:t>
      </w:r>
    </w:p>
    <w:p w14:paraId="574408F0">
      <w:pPr>
        <w:pStyle w:val="4"/>
        <w:ind w:firstLine="0"/>
        <w:rPr>
          <w:rFonts w:hint="eastAsia" w:ascii="仿宋" w:hAnsi="仿宋" w:eastAsia="仿宋" w:cs="仿宋"/>
          <w:color w:val="auto"/>
          <w:sz w:val="24"/>
          <w:szCs w:val="24"/>
          <w:highlight w:val="none"/>
        </w:rPr>
      </w:pPr>
    </w:p>
    <w:p w14:paraId="62AA2FA8">
      <w:pPr>
        <w:pStyle w:val="4"/>
        <w:ind w:firstLine="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项目班子一览表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0"/>
        <w:gridCol w:w="1318"/>
        <w:gridCol w:w="1825"/>
        <w:gridCol w:w="1698"/>
        <w:gridCol w:w="2515"/>
      </w:tblGrid>
      <w:tr w14:paraId="756EC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noWrap w:val="0"/>
            <w:vAlign w:val="center"/>
          </w:tcPr>
          <w:p w14:paraId="7ADFA101">
            <w:pPr>
              <w:pStyle w:val="4"/>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p>
        </w:tc>
        <w:tc>
          <w:tcPr>
            <w:tcW w:w="1418" w:type="dxa"/>
            <w:noWrap w:val="0"/>
            <w:vAlign w:val="center"/>
          </w:tcPr>
          <w:p w14:paraId="4B45A479">
            <w:pPr>
              <w:pStyle w:val="4"/>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职务</w:t>
            </w:r>
          </w:p>
        </w:tc>
        <w:tc>
          <w:tcPr>
            <w:tcW w:w="1984" w:type="dxa"/>
            <w:noWrap w:val="0"/>
            <w:vAlign w:val="center"/>
          </w:tcPr>
          <w:p w14:paraId="3FF0FD87">
            <w:pPr>
              <w:pStyle w:val="4"/>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专业技术资格</w:t>
            </w:r>
          </w:p>
        </w:tc>
        <w:tc>
          <w:tcPr>
            <w:tcW w:w="1843" w:type="dxa"/>
            <w:noWrap w:val="0"/>
            <w:vAlign w:val="center"/>
          </w:tcPr>
          <w:p w14:paraId="6B4B6EF9">
            <w:pPr>
              <w:pStyle w:val="4"/>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证书编号</w:t>
            </w:r>
          </w:p>
        </w:tc>
        <w:tc>
          <w:tcPr>
            <w:tcW w:w="2755" w:type="dxa"/>
            <w:noWrap w:val="0"/>
            <w:vAlign w:val="center"/>
          </w:tcPr>
          <w:p w14:paraId="3DF560E3">
            <w:pPr>
              <w:pStyle w:val="4"/>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实施经验说明</w:t>
            </w:r>
          </w:p>
        </w:tc>
      </w:tr>
      <w:tr w14:paraId="43F5C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noWrap w:val="0"/>
            <w:vAlign w:val="center"/>
          </w:tcPr>
          <w:p w14:paraId="35DEDFE8">
            <w:pPr>
              <w:pStyle w:val="4"/>
              <w:ind w:firstLine="0"/>
              <w:jc w:val="center"/>
              <w:rPr>
                <w:rFonts w:hint="eastAsia" w:ascii="仿宋" w:hAnsi="仿宋" w:eastAsia="仿宋" w:cs="仿宋"/>
                <w:color w:val="auto"/>
                <w:sz w:val="24"/>
                <w:szCs w:val="24"/>
                <w:highlight w:val="none"/>
              </w:rPr>
            </w:pPr>
          </w:p>
        </w:tc>
        <w:tc>
          <w:tcPr>
            <w:tcW w:w="1418" w:type="dxa"/>
            <w:noWrap w:val="0"/>
            <w:vAlign w:val="center"/>
          </w:tcPr>
          <w:p w14:paraId="28015FF8">
            <w:pPr>
              <w:pStyle w:val="4"/>
              <w:ind w:firstLine="0"/>
              <w:jc w:val="center"/>
              <w:rPr>
                <w:rFonts w:hint="eastAsia" w:ascii="仿宋" w:hAnsi="仿宋" w:eastAsia="仿宋" w:cs="仿宋"/>
                <w:color w:val="auto"/>
                <w:sz w:val="24"/>
                <w:szCs w:val="24"/>
                <w:highlight w:val="none"/>
              </w:rPr>
            </w:pPr>
          </w:p>
        </w:tc>
        <w:tc>
          <w:tcPr>
            <w:tcW w:w="1984" w:type="dxa"/>
            <w:noWrap w:val="0"/>
            <w:vAlign w:val="center"/>
          </w:tcPr>
          <w:p w14:paraId="6B88E2A1">
            <w:pPr>
              <w:pStyle w:val="4"/>
              <w:ind w:firstLine="0"/>
              <w:jc w:val="center"/>
              <w:rPr>
                <w:rFonts w:hint="eastAsia" w:ascii="仿宋" w:hAnsi="仿宋" w:eastAsia="仿宋" w:cs="仿宋"/>
                <w:color w:val="auto"/>
                <w:sz w:val="24"/>
                <w:szCs w:val="24"/>
                <w:highlight w:val="none"/>
              </w:rPr>
            </w:pPr>
          </w:p>
        </w:tc>
        <w:tc>
          <w:tcPr>
            <w:tcW w:w="1843" w:type="dxa"/>
            <w:noWrap w:val="0"/>
            <w:vAlign w:val="center"/>
          </w:tcPr>
          <w:p w14:paraId="04FD68EB">
            <w:pPr>
              <w:pStyle w:val="4"/>
              <w:ind w:firstLine="0"/>
              <w:jc w:val="center"/>
              <w:rPr>
                <w:rFonts w:hint="eastAsia" w:ascii="仿宋" w:hAnsi="仿宋" w:eastAsia="仿宋" w:cs="仿宋"/>
                <w:color w:val="auto"/>
                <w:sz w:val="24"/>
                <w:szCs w:val="24"/>
                <w:highlight w:val="none"/>
              </w:rPr>
            </w:pPr>
          </w:p>
        </w:tc>
        <w:tc>
          <w:tcPr>
            <w:tcW w:w="2755" w:type="dxa"/>
            <w:noWrap w:val="0"/>
            <w:vAlign w:val="center"/>
          </w:tcPr>
          <w:p w14:paraId="15708472">
            <w:pPr>
              <w:pStyle w:val="4"/>
              <w:ind w:firstLine="0"/>
              <w:jc w:val="center"/>
              <w:rPr>
                <w:rFonts w:hint="eastAsia" w:ascii="仿宋" w:hAnsi="仿宋" w:eastAsia="仿宋" w:cs="仿宋"/>
                <w:color w:val="auto"/>
                <w:sz w:val="24"/>
                <w:szCs w:val="24"/>
                <w:highlight w:val="none"/>
              </w:rPr>
            </w:pPr>
          </w:p>
        </w:tc>
      </w:tr>
      <w:tr w14:paraId="7FBDA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noWrap w:val="0"/>
            <w:vAlign w:val="center"/>
          </w:tcPr>
          <w:p w14:paraId="09695A5F">
            <w:pPr>
              <w:pStyle w:val="4"/>
              <w:ind w:firstLine="0"/>
              <w:jc w:val="center"/>
              <w:rPr>
                <w:rFonts w:hint="eastAsia" w:ascii="仿宋" w:hAnsi="仿宋" w:eastAsia="仿宋" w:cs="仿宋"/>
                <w:color w:val="auto"/>
                <w:sz w:val="24"/>
                <w:szCs w:val="24"/>
                <w:highlight w:val="none"/>
              </w:rPr>
            </w:pPr>
          </w:p>
        </w:tc>
        <w:tc>
          <w:tcPr>
            <w:tcW w:w="1418" w:type="dxa"/>
            <w:noWrap w:val="0"/>
            <w:vAlign w:val="center"/>
          </w:tcPr>
          <w:p w14:paraId="70AB0193">
            <w:pPr>
              <w:pStyle w:val="4"/>
              <w:ind w:firstLine="0"/>
              <w:jc w:val="center"/>
              <w:rPr>
                <w:rFonts w:hint="eastAsia" w:ascii="仿宋" w:hAnsi="仿宋" w:eastAsia="仿宋" w:cs="仿宋"/>
                <w:color w:val="auto"/>
                <w:sz w:val="24"/>
                <w:szCs w:val="24"/>
                <w:highlight w:val="none"/>
              </w:rPr>
            </w:pPr>
          </w:p>
        </w:tc>
        <w:tc>
          <w:tcPr>
            <w:tcW w:w="1984" w:type="dxa"/>
            <w:noWrap w:val="0"/>
            <w:vAlign w:val="center"/>
          </w:tcPr>
          <w:p w14:paraId="7C49A18C">
            <w:pPr>
              <w:pStyle w:val="4"/>
              <w:ind w:firstLine="0"/>
              <w:jc w:val="center"/>
              <w:rPr>
                <w:rFonts w:hint="eastAsia" w:ascii="仿宋" w:hAnsi="仿宋" w:eastAsia="仿宋" w:cs="仿宋"/>
                <w:color w:val="auto"/>
                <w:sz w:val="24"/>
                <w:szCs w:val="24"/>
                <w:highlight w:val="none"/>
              </w:rPr>
            </w:pPr>
          </w:p>
        </w:tc>
        <w:tc>
          <w:tcPr>
            <w:tcW w:w="1843" w:type="dxa"/>
            <w:noWrap w:val="0"/>
            <w:vAlign w:val="center"/>
          </w:tcPr>
          <w:p w14:paraId="61D77B1A">
            <w:pPr>
              <w:pStyle w:val="4"/>
              <w:ind w:firstLine="0"/>
              <w:jc w:val="center"/>
              <w:rPr>
                <w:rFonts w:hint="eastAsia" w:ascii="仿宋" w:hAnsi="仿宋" w:eastAsia="仿宋" w:cs="仿宋"/>
                <w:color w:val="auto"/>
                <w:sz w:val="24"/>
                <w:szCs w:val="24"/>
                <w:highlight w:val="none"/>
              </w:rPr>
            </w:pPr>
          </w:p>
        </w:tc>
        <w:tc>
          <w:tcPr>
            <w:tcW w:w="2755" w:type="dxa"/>
            <w:noWrap w:val="0"/>
            <w:vAlign w:val="center"/>
          </w:tcPr>
          <w:p w14:paraId="178D8B1D">
            <w:pPr>
              <w:pStyle w:val="4"/>
              <w:ind w:firstLine="0"/>
              <w:jc w:val="center"/>
              <w:rPr>
                <w:rFonts w:hint="eastAsia" w:ascii="仿宋" w:hAnsi="仿宋" w:eastAsia="仿宋" w:cs="仿宋"/>
                <w:color w:val="auto"/>
                <w:sz w:val="24"/>
                <w:szCs w:val="24"/>
                <w:highlight w:val="none"/>
              </w:rPr>
            </w:pPr>
          </w:p>
        </w:tc>
      </w:tr>
    </w:tbl>
    <w:p w14:paraId="21EBA5F2">
      <w:pPr>
        <w:pStyle w:val="4"/>
        <w:ind w:firstLine="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附：相关人员的专业技术资格证书电子文档证明材料</w:t>
      </w:r>
    </w:p>
    <w:p w14:paraId="47E05519">
      <w:pPr>
        <w:pStyle w:val="4"/>
        <w:ind w:firstLine="0"/>
        <w:rPr>
          <w:rFonts w:hint="eastAsia" w:ascii="仿宋" w:hAnsi="仿宋" w:eastAsia="仿宋" w:cs="仿宋"/>
          <w:color w:val="auto"/>
          <w:sz w:val="24"/>
          <w:szCs w:val="24"/>
          <w:highlight w:val="none"/>
        </w:rPr>
      </w:pPr>
    </w:p>
    <w:p w14:paraId="4EF9348E">
      <w:pPr>
        <w:pStyle w:val="31"/>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投标人盖章：</w:t>
      </w:r>
      <w:r>
        <w:rPr>
          <w:rFonts w:hint="eastAsia" w:ascii="仿宋" w:hAnsi="仿宋" w:eastAsia="仿宋" w:cs="仿宋"/>
          <w:color w:val="auto"/>
          <w:sz w:val="24"/>
          <w:szCs w:val="21"/>
          <w:highlight w:val="none"/>
          <w:u w:val="single"/>
        </w:rPr>
        <w:t xml:space="preserve">                </w:t>
      </w:r>
    </w:p>
    <w:p w14:paraId="65777E22">
      <w:pPr>
        <w:pStyle w:val="31"/>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bookmarkStart w:id="446" w:name="_Toc531359070"/>
      <w:r>
        <w:rPr>
          <w:rFonts w:hint="eastAsia" w:ascii="仿宋" w:hAnsi="仿宋" w:eastAsia="仿宋" w:cs="仿宋"/>
          <w:color w:val="auto"/>
          <w:sz w:val="24"/>
          <w:szCs w:val="21"/>
          <w:highlight w:val="none"/>
          <w:u w:val="single"/>
        </w:rPr>
        <w:t xml:space="preserve"> </w:t>
      </w:r>
    </w:p>
    <w:p w14:paraId="61D71117">
      <w:pPr>
        <w:pStyle w:val="31"/>
        <w:spacing w:line="360" w:lineRule="auto"/>
        <w:ind w:firstLine="480"/>
        <w:jc w:val="right"/>
        <w:rPr>
          <w:rFonts w:hint="eastAsia" w:ascii="仿宋" w:hAnsi="仿宋" w:eastAsia="仿宋" w:cs="仿宋"/>
          <w:color w:val="auto"/>
          <w:sz w:val="24"/>
          <w:szCs w:val="21"/>
          <w:highlight w:val="none"/>
          <w:u w:val="single"/>
        </w:rPr>
      </w:pPr>
    </w:p>
    <w:p w14:paraId="57CE3791">
      <w:pPr>
        <w:pStyle w:val="31"/>
        <w:spacing w:line="360" w:lineRule="auto"/>
        <w:jc w:val="left"/>
        <w:rPr>
          <w:rFonts w:hint="eastAsia" w:ascii="仿宋" w:hAnsi="仿宋" w:eastAsia="仿宋" w:cs="仿宋"/>
          <w:color w:val="auto"/>
          <w:sz w:val="24"/>
          <w:szCs w:val="21"/>
          <w:highlight w:val="none"/>
          <w:u w:val="single"/>
        </w:rPr>
      </w:pPr>
    </w:p>
    <w:p w14:paraId="7ED0EC8C">
      <w:pPr>
        <w:pStyle w:val="31"/>
        <w:spacing w:line="360" w:lineRule="auto"/>
        <w:jc w:val="left"/>
        <w:rPr>
          <w:rFonts w:hint="eastAsia" w:ascii="仿宋" w:hAnsi="仿宋" w:eastAsia="仿宋" w:cs="仿宋"/>
          <w:color w:val="auto"/>
          <w:sz w:val="24"/>
          <w:szCs w:val="21"/>
          <w:highlight w:val="none"/>
          <w:u w:val="single"/>
        </w:rPr>
      </w:pPr>
    </w:p>
    <w:p w14:paraId="2ECED4CE">
      <w:pPr>
        <w:pStyle w:val="6"/>
        <w:spacing w:before="0" w:after="0"/>
        <w:ind w:firstLine="0" w:firstLineChars="0"/>
        <w:jc w:val="left"/>
        <w:rPr>
          <w:rFonts w:hint="eastAsia" w:ascii="仿宋" w:hAnsi="仿宋" w:eastAsia="仿宋" w:cs="仿宋"/>
          <w:color w:val="auto"/>
          <w:sz w:val="24"/>
          <w:szCs w:val="24"/>
          <w:highlight w:val="none"/>
        </w:rPr>
      </w:pPr>
      <w:bookmarkStart w:id="447" w:name="_Toc14989"/>
      <w:bookmarkStart w:id="448" w:name="_Toc16848"/>
      <w:bookmarkStart w:id="449" w:name="_Toc16570"/>
      <w:bookmarkStart w:id="450" w:name="_Toc11608"/>
      <w:r>
        <w:rPr>
          <w:rFonts w:hint="eastAsia" w:ascii="仿宋" w:hAnsi="仿宋" w:eastAsia="仿宋" w:cs="仿宋"/>
          <w:color w:val="auto"/>
          <w:sz w:val="24"/>
          <w:szCs w:val="24"/>
          <w:highlight w:val="none"/>
        </w:rPr>
        <w:t>2.15    质量保证措施方案</w:t>
      </w:r>
      <w:bookmarkEnd w:id="446"/>
      <w:bookmarkEnd w:id="447"/>
      <w:bookmarkEnd w:id="448"/>
      <w:bookmarkEnd w:id="449"/>
      <w:bookmarkEnd w:id="450"/>
    </w:p>
    <w:p w14:paraId="5F066FB7">
      <w:pPr>
        <w:pStyle w:val="45"/>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（格式自行设计）</w:t>
      </w:r>
    </w:p>
    <w:p w14:paraId="54A69E49">
      <w:pPr>
        <w:pStyle w:val="15"/>
        <w:snapToGrid w:val="0"/>
        <w:spacing w:line="360" w:lineRule="auto"/>
        <w:ind w:left="480" w:hanging="480"/>
        <w:jc w:val="left"/>
        <w:rPr>
          <w:rFonts w:hint="eastAsia" w:ascii="仿宋" w:hAnsi="仿宋" w:eastAsia="仿宋" w:cs="仿宋"/>
          <w:color w:val="auto"/>
          <w:sz w:val="24"/>
          <w:highlight w:val="none"/>
        </w:rPr>
      </w:pPr>
      <w:bookmarkStart w:id="451" w:name="_Toc531359071"/>
    </w:p>
    <w:p w14:paraId="72467E3E">
      <w:pPr>
        <w:pStyle w:val="31"/>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投标人盖章：</w:t>
      </w:r>
      <w:r>
        <w:rPr>
          <w:rFonts w:hint="eastAsia" w:ascii="仿宋" w:hAnsi="仿宋" w:eastAsia="仿宋" w:cs="仿宋"/>
          <w:color w:val="auto"/>
          <w:sz w:val="24"/>
          <w:szCs w:val="21"/>
          <w:highlight w:val="none"/>
          <w:u w:val="single"/>
        </w:rPr>
        <w:t xml:space="preserve">                </w:t>
      </w:r>
    </w:p>
    <w:p w14:paraId="1DDE4177">
      <w:pPr>
        <w:pStyle w:val="31"/>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14:paraId="2A8E987F">
      <w:pPr>
        <w:pStyle w:val="31"/>
        <w:spacing w:line="360" w:lineRule="auto"/>
        <w:jc w:val="left"/>
        <w:rPr>
          <w:rFonts w:hint="eastAsia" w:ascii="仿宋" w:hAnsi="仿宋" w:eastAsia="仿宋" w:cs="仿宋"/>
          <w:color w:val="auto"/>
          <w:spacing w:val="20"/>
          <w:sz w:val="24"/>
          <w:szCs w:val="21"/>
          <w:highlight w:val="none"/>
          <w:u w:val="single"/>
        </w:rPr>
      </w:pPr>
    </w:p>
    <w:p w14:paraId="49003FF0">
      <w:pPr>
        <w:pStyle w:val="6"/>
        <w:spacing w:before="0" w:after="0"/>
        <w:ind w:firstLine="0" w:firstLineChars="0"/>
        <w:jc w:val="left"/>
        <w:rPr>
          <w:rFonts w:hint="eastAsia" w:ascii="仿宋" w:hAnsi="仿宋" w:eastAsia="仿宋" w:cs="仿宋"/>
          <w:color w:val="auto"/>
          <w:sz w:val="24"/>
          <w:szCs w:val="24"/>
          <w:highlight w:val="none"/>
        </w:rPr>
        <w:sectPr>
          <w:pgSz w:w="11906" w:h="16838"/>
          <w:pgMar w:top="1440" w:right="1803" w:bottom="1440" w:left="1803" w:header="851" w:footer="851" w:gutter="0"/>
          <w:cols w:space="720" w:num="1"/>
          <w:docGrid w:linePitch="312" w:charSpace="0"/>
        </w:sectPr>
      </w:pPr>
    </w:p>
    <w:p w14:paraId="6BA082A5">
      <w:pPr>
        <w:pStyle w:val="6"/>
        <w:spacing w:before="0" w:after="0"/>
        <w:ind w:firstLine="0" w:firstLineChars="0"/>
        <w:jc w:val="left"/>
        <w:rPr>
          <w:rFonts w:hint="eastAsia" w:ascii="仿宋" w:hAnsi="仿宋" w:eastAsia="仿宋" w:cs="仿宋"/>
          <w:color w:val="auto"/>
          <w:sz w:val="24"/>
          <w:szCs w:val="24"/>
          <w:highlight w:val="none"/>
        </w:rPr>
      </w:pPr>
      <w:bookmarkStart w:id="452" w:name="_Toc3556"/>
      <w:bookmarkStart w:id="453" w:name="_Toc27119"/>
      <w:bookmarkStart w:id="454" w:name="_Toc22861"/>
      <w:bookmarkStart w:id="455" w:name="_Toc18912"/>
      <w:r>
        <w:rPr>
          <w:rFonts w:hint="eastAsia" w:ascii="仿宋" w:hAnsi="仿宋" w:eastAsia="仿宋" w:cs="仿宋"/>
          <w:color w:val="auto"/>
          <w:sz w:val="24"/>
          <w:szCs w:val="24"/>
          <w:highlight w:val="none"/>
        </w:rPr>
        <w:t>2.16    安装、调试、</w:t>
      </w:r>
      <w:bookmarkEnd w:id="435"/>
      <w:bookmarkEnd w:id="436"/>
      <w:r>
        <w:rPr>
          <w:rFonts w:hint="eastAsia" w:ascii="仿宋" w:hAnsi="仿宋" w:eastAsia="仿宋" w:cs="仿宋"/>
          <w:color w:val="auto"/>
          <w:sz w:val="24"/>
          <w:szCs w:val="24"/>
          <w:highlight w:val="none"/>
        </w:rPr>
        <w:t>验收方案</w:t>
      </w:r>
      <w:bookmarkEnd w:id="451"/>
      <w:bookmarkEnd w:id="452"/>
      <w:bookmarkEnd w:id="453"/>
      <w:bookmarkEnd w:id="454"/>
      <w:bookmarkEnd w:id="455"/>
    </w:p>
    <w:p w14:paraId="3579CEEB">
      <w:pPr>
        <w:pStyle w:val="45"/>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（格式自行设计）</w:t>
      </w:r>
    </w:p>
    <w:p w14:paraId="134E67A3">
      <w:pPr>
        <w:pStyle w:val="15"/>
        <w:snapToGrid w:val="0"/>
        <w:spacing w:line="360" w:lineRule="auto"/>
        <w:ind w:left="480" w:hanging="480"/>
        <w:jc w:val="left"/>
        <w:rPr>
          <w:rFonts w:hint="eastAsia" w:ascii="仿宋" w:hAnsi="仿宋" w:eastAsia="仿宋" w:cs="仿宋"/>
          <w:color w:val="auto"/>
          <w:sz w:val="24"/>
          <w:highlight w:val="none"/>
        </w:rPr>
      </w:pPr>
    </w:p>
    <w:p w14:paraId="3170D333">
      <w:pPr>
        <w:pStyle w:val="31"/>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投标人盖章：</w:t>
      </w:r>
      <w:r>
        <w:rPr>
          <w:rFonts w:hint="eastAsia" w:ascii="仿宋" w:hAnsi="仿宋" w:eastAsia="仿宋" w:cs="仿宋"/>
          <w:color w:val="auto"/>
          <w:sz w:val="24"/>
          <w:szCs w:val="21"/>
          <w:highlight w:val="none"/>
          <w:u w:val="single"/>
        </w:rPr>
        <w:t xml:space="preserve">                </w:t>
      </w:r>
    </w:p>
    <w:p w14:paraId="685AF5F9">
      <w:pPr>
        <w:pStyle w:val="31"/>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14:paraId="2D9E2EAC">
      <w:pPr>
        <w:pStyle w:val="31"/>
        <w:spacing w:line="360" w:lineRule="auto"/>
        <w:jc w:val="left"/>
        <w:rPr>
          <w:rFonts w:hint="eastAsia" w:ascii="仿宋" w:hAnsi="仿宋" w:eastAsia="仿宋" w:cs="仿宋"/>
          <w:color w:val="auto"/>
          <w:spacing w:val="20"/>
          <w:sz w:val="24"/>
          <w:szCs w:val="21"/>
          <w:highlight w:val="none"/>
          <w:u w:val="single"/>
        </w:rPr>
      </w:pPr>
    </w:p>
    <w:p w14:paraId="4E6FD490">
      <w:pPr>
        <w:pStyle w:val="31"/>
        <w:spacing w:line="360" w:lineRule="auto"/>
        <w:jc w:val="left"/>
        <w:rPr>
          <w:rFonts w:hint="eastAsia" w:ascii="仿宋" w:hAnsi="仿宋" w:eastAsia="仿宋" w:cs="仿宋"/>
          <w:color w:val="auto"/>
          <w:spacing w:val="20"/>
          <w:sz w:val="24"/>
          <w:szCs w:val="21"/>
          <w:highlight w:val="none"/>
          <w:u w:val="single"/>
        </w:rPr>
      </w:pPr>
    </w:p>
    <w:p w14:paraId="6DBB98C7">
      <w:pPr>
        <w:pStyle w:val="6"/>
        <w:spacing w:before="0" w:after="0"/>
        <w:ind w:firstLine="0" w:firstLineChars="0"/>
        <w:jc w:val="left"/>
        <w:rPr>
          <w:rFonts w:hint="eastAsia" w:ascii="仿宋" w:hAnsi="仿宋" w:eastAsia="仿宋" w:cs="仿宋"/>
          <w:color w:val="auto"/>
          <w:sz w:val="24"/>
          <w:szCs w:val="24"/>
          <w:highlight w:val="none"/>
        </w:rPr>
      </w:pPr>
      <w:bookmarkStart w:id="456" w:name="_Toc305144129"/>
      <w:bookmarkStart w:id="457" w:name="_Toc341260008"/>
      <w:bookmarkStart w:id="458" w:name="_Toc377979050"/>
      <w:bookmarkStart w:id="459" w:name="_Toc19027"/>
      <w:bookmarkStart w:id="460" w:name="_Toc28394"/>
      <w:bookmarkStart w:id="461" w:name="_Toc531359072"/>
      <w:bookmarkStart w:id="462" w:name="_Toc303756458"/>
      <w:bookmarkStart w:id="463" w:name="_Toc30156"/>
      <w:bookmarkStart w:id="464" w:name="_Toc409172377"/>
      <w:bookmarkStart w:id="465" w:name="_Toc359934644"/>
      <w:bookmarkStart w:id="466" w:name="_Toc456"/>
      <w:bookmarkStart w:id="467" w:name="_Toc515526271"/>
      <w:r>
        <w:rPr>
          <w:rFonts w:hint="eastAsia" w:ascii="仿宋" w:hAnsi="仿宋" w:eastAsia="仿宋" w:cs="仿宋"/>
          <w:color w:val="auto"/>
          <w:sz w:val="24"/>
          <w:szCs w:val="24"/>
          <w:highlight w:val="none"/>
        </w:rPr>
        <w:t>2.17    投标人需要说明的其他文件和说明</w:t>
      </w:r>
      <w:bookmarkEnd w:id="456"/>
      <w:bookmarkEnd w:id="457"/>
      <w:bookmarkEnd w:id="458"/>
      <w:bookmarkEnd w:id="459"/>
      <w:bookmarkEnd w:id="460"/>
      <w:bookmarkEnd w:id="461"/>
      <w:bookmarkEnd w:id="462"/>
      <w:bookmarkEnd w:id="463"/>
      <w:bookmarkEnd w:id="464"/>
      <w:bookmarkEnd w:id="465"/>
      <w:bookmarkEnd w:id="466"/>
      <w:bookmarkEnd w:id="467"/>
    </w:p>
    <w:p w14:paraId="6669F8C7">
      <w:pPr>
        <w:pStyle w:val="45"/>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（格式自行设计）</w:t>
      </w:r>
    </w:p>
    <w:p w14:paraId="2E917EEC">
      <w:pPr>
        <w:pStyle w:val="45"/>
        <w:spacing w:line="360" w:lineRule="auto"/>
        <w:jc w:val="left"/>
        <w:rPr>
          <w:rFonts w:hint="eastAsia" w:ascii="仿宋" w:hAnsi="仿宋" w:eastAsia="仿宋" w:cs="仿宋"/>
          <w:color w:val="auto"/>
          <w:sz w:val="24"/>
          <w:highlight w:val="none"/>
        </w:rPr>
      </w:pPr>
    </w:p>
    <w:p w14:paraId="074F8078">
      <w:pPr>
        <w:pStyle w:val="31"/>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投标人盖章：</w:t>
      </w:r>
      <w:r>
        <w:rPr>
          <w:rFonts w:hint="eastAsia" w:ascii="仿宋" w:hAnsi="仿宋" w:eastAsia="仿宋" w:cs="仿宋"/>
          <w:color w:val="auto"/>
          <w:sz w:val="24"/>
          <w:szCs w:val="21"/>
          <w:highlight w:val="none"/>
          <w:u w:val="single"/>
        </w:rPr>
        <w:t xml:space="preserve">                </w:t>
      </w:r>
    </w:p>
    <w:p w14:paraId="40B7B8DF">
      <w:pPr>
        <w:pStyle w:val="31"/>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14:paraId="7CAEA628">
      <w:pPr>
        <w:pStyle w:val="31"/>
        <w:spacing w:line="360" w:lineRule="auto"/>
        <w:jc w:val="left"/>
        <w:rPr>
          <w:rFonts w:hint="eastAsia" w:ascii="仿宋" w:hAnsi="仿宋" w:eastAsia="仿宋" w:cs="仿宋"/>
          <w:color w:val="auto"/>
          <w:sz w:val="24"/>
          <w:szCs w:val="21"/>
          <w:highlight w:val="none"/>
          <w:u w:val="single"/>
        </w:rPr>
      </w:pPr>
    </w:p>
    <w:p w14:paraId="7CD45652">
      <w:pPr>
        <w:pStyle w:val="31"/>
        <w:wordWrap w:val="0"/>
        <w:spacing w:line="360" w:lineRule="auto"/>
        <w:ind w:firstLine="480"/>
        <w:jc w:val="right"/>
        <w:rPr>
          <w:rFonts w:hint="eastAsia" w:ascii="仿宋" w:hAnsi="仿宋" w:eastAsia="仿宋" w:cs="仿宋"/>
          <w:color w:val="auto"/>
          <w:sz w:val="24"/>
          <w:szCs w:val="21"/>
          <w:highlight w:val="none"/>
          <w:u w:val="single"/>
        </w:rPr>
        <w:sectPr>
          <w:pgSz w:w="11906" w:h="16838"/>
          <w:pgMar w:top="1440" w:right="1800" w:bottom="1440" w:left="1800" w:header="851" w:footer="851" w:gutter="0"/>
          <w:cols w:space="720" w:num="1"/>
          <w:docGrid w:linePitch="312" w:charSpace="0"/>
        </w:sectPr>
      </w:pPr>
    </w:p>
    <w:bookmarkEnd w:id="388"/>
    <w:bookmarkEnd w:id="389"/>
    <w:p w14:paraId="0F4534E1">
      <w:pPr>
        <w:pStyle w:val="19"/>
        <w:spacing w:beforeLines="100" w:after="240" w:afterLines="100"/>
        <w:outlineLvl w:val="1"/>
        <w:rPr>
          <w:rFonts w:ascii="仿宋" w:hAnsi="仿宋" w:eastAsia="仿宋" w:cs="仿宋"/>
          <w:color w:val="auto"/>
          <w:highlight w:val="none"/>
        </w:rPr>
      </w:pPr>
      <w:bookmarkStart w:id="468" w:name="_Toc30991"/>
      <w:r>
        <w:rPr>
          <w:rFonts w:hint="eastAsia" w:ascii="仿宋" w:hAnsi="仿宋" w:eastAsia="仿宋" w:cs="仿宋"/>
          <w:color w:val="auto"/>
          <w:highlight w:val="none"/>
        </w:rPr>
        <w:t>三  报价文件格式</w:t>
      </w:r>
      <w:bookmarkEnd w:id="390"/>
      <w:bookmarkEnd w:id="391"/>
      <w:bookmarkEnd w:id="468"/>
    </w:p>
    <w:p w14:paraId="688CF08A">
      <w:pPr>
        <w:spacing w:line="360" w:lineRule="auto"/>
        <w:rPr>
          <w:rFonts w:ascii="仿宋" w:hAnsi="仿宋" w:eastAsia="仿宋" w:cs="仿宋"/>
          <w:color w:val="auto"/>
          <w:sz w:val="24"/>
          <w:szCs w:val="24"/>
          <w:highlight w:val="none"/>
        </w:rPr>
      </w:pPr>
    </w:p>
    <w:p w14:paraId="78624E7E">
      <w:pPr>
        <w:pStyle w:val="6"/>
        <w:spacing w:before="0" w:after="0"/>
        <w:ind w:firstLine="0" w:firstLineChars="0"/>
        <w:jc w:val="left"/>
        <w:rPr>
          <w:rFonts w:ascii="仿宋" w:hAnsi="仿宋" w:eastAsia="仿宋" w:cs="仿宋"/>
          <w:color w:val="auto"/>
          <w:sz w:val="24"/>
          <w:szCs w:val="24"/>
          <w:highlight w:val="none"/>
        </w:rPr>
      </w:pPr>
      <w:bookmarkStart w:id="469" w:name="_Toc18550"/>
      <w:bookmarkStart w:id="470" w:name="_Toc493956072"/>
      <w:bookmarkStart w:id="471" w:name="_Toc530551897"/>
      <w:bookmarkStart w:id="472" w:name="_Toc531359074"/>
      <w:r>
        <w:rPr>
          <w:rFonts w:hint="eastAsia" w:ascii="仿宋" w:hAnsi="仿宋" w:eastAsia="仿宋" w:cs="仿宋"/>
          <w:color w:val="auto"/>
          <w:sz w:val="24"/>
          <w:szCs w:val="24"/>
          <w:highlight w:val="none"/>
        </w:rPr>
        <w:t>3.1     报价文件封面格式</w:t>
      </w:r>
      <w:bookmarkEnd w:id="469"/>
    </w:p>
    <w:p w14:paraId="7C8AD83D">
      <w:pPr>
        <w:pStyle w:val="4"/>
        <w:rPr>
          <w:rFonts w:ascii="仿宋" w:hAnsi="仿宋" w:eastAsia="仿宋" w:cs="仿宋"/>
          <w:color w:val="auto"/>
          <w:highlight w:val="none"/>
        </w:rPr>
      </w:pPr>
    </w:p>
    <w:p w14:paraId="5792186D">
      <w:pPr>
        <w:pStyle w:val="4"/>
        <w:rPr>
          <w:rFonts w:ascii="仿宋" w:hAnsi="仿宋" w:eastAsia="仿宋" w:cs="仿宋"/>
          <w:color w:val="auto"/>
          <w:highlight w:val="none"/>
        </w:rPr>
      </w:pPr>
    </w:p>
    <w:p w14:paraId="3AA54884">
      <w:pPr>
        <w:pStyle w:val="4"/>
        <w:spacing w:line="360" w:lineRule="auto"/>
        <w:ind w:firstLine="0"/>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磋商响应文件</w:t>
      </w:r>
    </w:p>
    <w:p w14:paraId="094FDE35">
      <w:pPr>
        <w:snapToGrid w:val="0"/>
        <w:jc w:val="center"/>
        <w:rPr>
          <w:rFonts w:ascii="仿宋" w:hAnsi="仿宋" w:eastAsia="仿宋" w:cs="仿宋"/>
          <w:bCs/>
          <w:color w:val="auto"/>
          <w:sz w:val="24"/>
          <w:szCs w:val="20"/>
          <w:highlight w:val="none"/>
        </w:rPr>
      </w:pPr>
    </w:p>
    <w:tbl>
      <w:tblPr>
        <w:tblStyle w:val="20"/>
        <w:tblW w:w="0" w:type="auto"/>
        <w:jc w:val="center"/>
        <w:tblLayout w:type="fixed"/>
        <w:tblCellMar>
          <w:top w:w="0" w:type="dxa"/>
          <w:left w:w="108" w:type="dxa"/>
          <w:bottom w:w="0" w:type="dxa"/>
          <w:right w:w="108" w:type="dxa"/>
        </w:tblCellMar>
      </w:tblPr>
      <w:tblGrid>
        <w:gridCol w:w="2518"/>
        <w:gridCol w:w="4536"/>
      </w:tblGrid>
      <w:tr w14:paraId="197C204B">
        <w:tblPrEx>
          <w:tblCellMar>
            <w:top w:w="0" w:type="dxa"/>
            <w:left w:w="108" w:type="dxa"/>
            <w:bottom w:w="0" w:type="dxa"/>
            <w:right w:w="108" w:type="dxa"/>
          </w:tblCellMar>
        </w:tblPrEx>
        <w:trPr>
          <w:trHeight w:val="397" w:hRule="atLeast"/>
          <w:jc w:val="center"/>
        </w:trPr>
        <w:tc>
          <w:tcPr>
            <w:tcW w:w="2518" w:type="dxa"/>
            <w:vAlign w:val="center"/>
          </w:tcPr>
          <w:p w14:paraId="3590E589">
            <w:pPr>
              <w:jc w:val="distribute"/>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磋商响应文件名称：</w:t>
            </w:r>
          </w:p>
        </w:tc>
        <w:tc>
          <w:tcPr>
            <w:tcW w:w="4536" w:type="dxa"/>
            <w:vAlign w:val="center"/>
          </w:tcPr>
          <w:p w14:paraId="30E92557">
            <w:pPr>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报价文件                           </w:t>
            </w:r>
          </w:p>
        </w:tc>
      </w:tr>
      <w:tr w14:paraId="1699BA84">
        <w:tblPrEx>
          <w:tblCellMar>
            <w:top w:w="0" w:type="dxa"/>
            <w:left w:w="108" w:type="dxa"/>
            <w:bottom w:w="0" w:type="dxa"/>
            <w:right w:w="108" w:type="dxa"/>
          </w:tblCellMar>
        </w:tblPrEx>
        <w:trPr>
          <w:trHeight w:val="397" w:hRule="atLeast"/>
          <w:jc w:val="center"/>
        </w:trPr>
        <w:tc>
          <w:tcPr>
            <w:tcW w:w="2518" w:type="dxa"/>
            <w:vAlign w:val="center"/>
          </w:tcPr>
          <w:p w14:paraId="11F3849E">
            <w:pPr>
              <w:jc w:val="distribute"/>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 购 编 号：</w:t>
            </w:r>
          </w:p>
        </w:tc>
        <w:tc>
          <w:tcPr>
            <w:tcW w:w="4536" w:type="dxa"/>
            <w:vAlign w:val="center"/>
          </w:tcPr>
          <w:p w14:paraId="52EE5898">
            <w:pPr>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p>
        </w:tc>
      </w:tr>
      <w:tr w14:paraId="33556BBB">
        <w:tblPrEx>
          <w:tblCellMar>
            <w:top w:w="0" w:type="dxa"/>
            <w:left w:w="108" w:type="dxa"/>
            <w:bottom w:w="0" w:type="dxa"/>
            <w:right w:w="108" w:type="dxa"/>
          </w:tblCellMar>
        </w:tblPrEx>
        <w:trPr>
          <w:trHeight w:val="397" w:hRule="atLeast"/>
          <w:jc w:val="center"/>
        </w:trPr>
        <w:tc>
          <w:tcPr>
            <w:tcW w:w="2518" w:type="dxa"/>
            <w:vAlign w:val="center"/>
          </w:tcPr>
          <w:p w14:paraId="1B878265">
            <w:pPr>
              <w:jc w:val="distribute"/>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 目 名 称：</w:t>
            </w:r>
          </w:p>
        </w:tc>
        <w:tc>
          <w:tcPr>
            <w:tcW w:w="4536" w:type="dxa"/>
            <w:vAlign w:val="center"/>
          </w:tcPr>
          <w:p w14:paraId="6FC189C9">
            <w:pPr>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p>
        </w:tc>
      </w:tr>
      <w:tr w14:paraId="5C2291D5">
        <w:tblPrEx>
          <w:tblCellMar>
            <w:top w:w="0" w:type="dxa"/>
            <w:left w:w="108" w:type="dxa"/>
            <w:bottom w:w="0" w:type="dxa"/>
            <w:right w:w="108" w:type="dxa"/>
          </w:tblCellMar>
        </w:tblPrEx>
        <w:trPr>
          <w:trHeight w:val="397" w:hRule="atLeast"/>
          <w:jc w:val="center"/>
        </w:trPr>
        <w:tc>
          <w:tcPr>
            <w:tcW w:w="2518" w:type="dxa"/>
            <w:vAlign w:val="center"/>
          </w:tcPr>
          <w:p w14:paraId="00D8EA48">
            <w:pPr>
              <w:jc w:val="distribute"/>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标      项：</w:t>
            </w:r>
          </w:p>
        </w:tc>
        <w:tc>
          <w:tcPr>
            <w:tcW w:w="4536" w:type="dxa"/>
            <w:vAlign w:val="center"/>
          </w:tcPr>
          <w:p w14:paraId="52AE7D43">
            <w:pPr>
              <w:jc w:val="left"/>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（若有）                            </w:t>
            </w:r>
          </w:p>
        </w:tc>
      </w:tr>
      <w:tr w14:paraId="6DB3A73C">
        <w:tblPrEx>
          <w:tblCellMar>
            <w:top w:w="0" w:type="dxa"/>
            <w:left w:w="108" w:type="dxa"/>
            <w:bottom w:w="0" w:type="dxa"/>
            <w:right w:w="108" w:type="dxa"/>
          </w:tblCellMar>
        </w:tblPrEx>
        <w:trPr>
          <w:trHeight w:val="397" w:hRule="atLeast"/>
          <w:jc w:val="center"/>
        </w:trPr>
        <w:tc>
          <w:tcPr>
            <w:tcW w:w="2518" w:type="dxa"/>
            <w:vAlign w:val="center"/>
          </w:tcPr>
          <w:p w14:paraId="3FCD04F4">
            <w:pPr>
              <w:jc w:val="distribute"/>
              <w:rPr>
                <w:rFonts w:ascii="仿宋" w:hAnsi="仿宋" w:eastAsia="仿宋" w:cs="仿宋"/>
                <w:color w:val="auto"/>
                <w:sz w:val="24"/>
                <w:szCs w:val="24"/>
                <w:highlight w:val="none"/>
              </w:rPr>
            </w:pPr>
          </w:p>
        </w:tc>
        <w:tc>
          <w:tcPr>
            <w:tcW w:w="4536" w:type="dxa"/>
            <w:vAlign w:val="center"/>
          </w:tcPr>
          <w:p w14:paraId="14D3AD57">
            <w:pPr>
              <w:jc w:val="left"/>
              <w:rPr>
                <w:rFonts w:ascii="仿宋" w:hAnsi="仿宋" w:eastAsia="仿宋" w:cs="仿宋"/>
                <w:color w:val="auto"/>
                <w:sz w:val="24"/>
                <w:szCs w:val="24"/>
                <w:highlight w:val="none"/>
              </w:rPr>
            </w:pPr>
          </w:p>
        </w:tc>
      </w:tr>
      <w:tr w14:paraId="48BED9D4">
        <w:tblPrEx>
          <w:tblCellMar>
            <w:top w:w="0" w:type="dxa"/>
            <w:left w:w="108" w:type="dxa"/>
            <w:bottom w:w="0" w:type="dxa"/>
            <w:right w:w="108" w:type="dxa"/>
          </w:tblCellMar>
        </w:tblPrEx>
        <w:trPr>
          <w:trHeight w:val="397" w:hRule="atLeast"/>
          <w:jc w:val="center"/>
        </w:trPr>
        <w:tc>
          <w:tcPr>
            <w:tcW w:w="2518" w:type="dxa"/>
            <w:vAlign w:val="center"/>
          </w:tcPr>
          <w:p w14:paraId="49E9F342">
            <w:pPr>
              <w:jc w:val="distribute"/>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供应商全称（盖章）：</w:t>
            </w:r>
          </w:p>
        </w:tc>
        <w:tc>
          <w:tcPr>
            <w:tcW w:w="4536" w:type="dxa"/>
            <w:vAlign w:val="center"/>
          </w:tcPr>
          <w:p w14:paraId="79515212">
            <w:pPr>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p>
        </w:tc>
      </w:tr>
      <w:tr w14:paraId="365F93C4">
        <w:tblPrEx>
          <w:tblCellMar>
            <w:top w:w="0" w:type="dxa"/>
            <w:left w:w="108" w:type="dxa"/>
            <w:bottom w:w="0" w:type="dxa"/>
            <w:right w:w="108" w:type="dxa"/>
          </w:tblCellMar>
        </w:tblPrEx>
        <w:trPr>
          <w:trHeight w:val="397" w:hRule="atLeast"/>
          <w:jc w:val="center"/>
        </w:trPr>
        <w:tc>
          <w:tcPr>
            <w:tcW w:w="2518" w:type="dxa"/>
            <w:vAlign w:val="center"/>
          </w:tcPr>
          <w:p w14:paraId="65FC753B">
            <w:pPr>
              <w:jc w:val="distribute"/>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供应商地址：</w:t>
            </w:r>
          </w:p>
        </w:tc>
        <w:tc>
          <w:tcPr>
            <w:tcW w:w="4536" w:type="dxa"/>
            <w:vAlign w:val="center"/>
          </w:tcPr>
          <w:p w14:paraId="2FC75CBC">
            <w:pPr>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p>
        </w:tc>
      </w:tr>
      <w:tr w14:paraId="7BFA1811">
        <w:tblPrEx>
          <w:tblCellMar>
            <w:top w:w="0" w:type="dxa"/>
            <w:left w:w="108" w:type="dxa"/>
            <w:bottom w:w="0" w:type="dxa"/>
            <w:right w:w="108" w:type="dxa"/>
          </w:tblCellMar>
        </w:tblPrEx>
        <w:trPr>
          <w:trHeight w:val="397" w:hRule="atLeast"/>
          <w:jc w:val="center"/>
        </w:trPr>
        <w:tc>
          <w:tcPr>
            <w:tcW w:w="7054" w:type="dxa"/>
            <w:gridSpan w:val="2"/>
            <w:vAlign w:val="center"/>
          </w:tcPr>
          <w:p w14:paraId="16C267ED">
            <w:pPr>
              <w:jc w:val="left"/>
              <w:rPr>
                <w:rFonts w:ascii="仿宋" w:hAnsi="仿宋" w:eastAsia="仿宋" w:cs="仿宋"/>
                <w:color w:val="auto"/>
                <w:sz w:val="24"/>
                <w:szCs w:val="24"/>
                <w:highlight w:val="none"/>
                <w:u w:val="single"/>
              </w:rPr>
            </w:pPr>
          </w:p>
        </w:tc>
      </w:tr>
      <w:tr w14:paraId="5BEA65EA">
        <w:tblPrEx>
          <w:tblCellMar>
            <w:top w:w="0" w:type="dxa"/>
            <w:left w:w="108" w:type="dxa"/>
            <w:bottom w:w="0" w:type="dxa"/>
            <w:right w:w="108" w:type="dxa"/>
          </w:tblCellMar>
        </w:tblPrEx>
        <w:trPr>
          <w:trHeight w:val="397" w:hRule="atLeast"/>
          <w:jc w:val="center"/>
        </w:trPr>
        <w:tc>
          <w:tcPr>
            <w:tcW w:w="7054" w:type="dxa"/>
            <w:gridSpan w:val="2"/>
            <w:vAlign w:val="center"/>
          </w:tcPr>
          <w:p w14:paraId="4F7383CC">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tc>
      </w:tr>
    </w:tbl>
    <w:p w14:paraId="418FC19E">
      <w:pPr>
        <w:spacing w:line="360" w:lineRule="auto"/>
        <w:rPr>
          <w:rFonts w:ascii="仿宋" w:hAnsi="仿宋" w:eastAsia="仿宋" w:cs="仿宋"/>
          <w:color w:val="auto"/>
          <w:sz w:val="24"/>
          <w:szCs w:val="24"/>
          <w:highlight w:val="none"/>
        </w:rPr>
      </w:pPr>
    </w:p>
    <w:p w14:paraId="67A3227B">
      <w:pPr>
        <w:spacing w:line="360" w:lineRule="auto"/>
        <w:rPr>
          <w:rFonts w:ascii="仿宋" w:hAnsi="仿宋" w:eastAsia="仿宋" w:cs="仿宋"/>
          <w:color w:val="auto"/>
          <w:sz w:val="24"/>
          <w:szCs w:val="24"/>
          <w:highlight w:val="none"/>
        </w:rPr>
      </w:pPr>
    </w:p>
    <w:p w14:paraId="10AA0176">
      <w:pPr>
        <w:pStyle w:val="25"/>
        <w:rPr>
          <w:rFonts w:ascii="仿宋" w:hAnsi="仿宋" w:eastAsia="仿宋" w:cs="仿宋"/>
          <w:color w:val="auto"/>
          <w:highlight w:val="none"/>
        </w:rPr>
      </w:pPr>
    </w:p>
    <w:p w14:paraId="1F4B1621">
      <w:pPr>
        <w:pStyle w:val="7"/>
        <w:rPr>
          <w:rFonts w:ascii="仿宋" w:hAnsi="仿宋" w:eastAsia="仿宋" w:cs="仿宋"/>
          <w:color w:val="auto"/>
          <w:highlight w:val="none"/>
        </w:rPr>
      </w:pPr>
    </w:p>
    <w:p w14:paraId="4BC1C564">
      <w:pPr>
        <w:pStyle w:val="8"/>
        <w:ind w:firstLine="210"/>
        <w:rPr>
          <w:rFonts w:ascii="仿宋" w:hAnsi="仿宋" w:eastAsia="仿宋" w:cs="仿宋"/>
          <w:color w:val="auto"/>
          <w:highlight w:val="none"/>
        </w:rPr>
      </w:pPr>
    </w:p>
    <w:p w14:paraId="7665DF50">
      <w:pPr>
        <w:pStyle w:val="6"/>
        <w:spacing w:before="0" w:after="0"/>
        <w:ind w:firstLine="0" w:firstLineChars="0"/>
        <w:jc w:val="left"/>
        <w:rPr>
          <w:rFonts w:ascii="仿宋" w:hAnsi="仿宋" w:eastAsia="仿宋"/>
          <w:color w:val="auto"/>
          <w:sz w:val="24"/>
          <w:szCs w:val="24"/>
          <w:highlight w:val="none"/>
        </w:rPr>
      </w:pPr>
      <w:bookmarkStart w:id="473" w:name="_Toc11758"/>
      <w:bookmarkStart w:id="474" w:name="_Toc9593"/>
      <w:r>
        <w:rPr>
          <w:rFonts w:ascii="仿宋" w:hAnsi="仿宋" w:eastAsia="仿宋"/>
          <w:color w:val="auto"/>
          <w:sz w:val="24"/>
          <w:szCs w:val="24"/>
          <w:highlight w:val="none"/>
        </w:rPr>
        <w:t>3.2</w:t>
      </w:r>
      <w:r>
        <w:rPr>
          <w:rFonts w:hint="eastAsia" w:ascii="仿宋" w:hAnsi="仿宋" w:eastAsia="仿宋"/>
          <w:color w:val="auto"/>
          <w:sz w:val="24"/>
          <w:szCs w:val="24"/>
          <w:highlight w:val="none"/>
        </w:rPr>
        <w:t xml:space="preserve"> </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报价文件</w:t>
      </w:r>
      <w:r>
        <w:rPr>
          <w:rFonts w:ascii="仿宋" w:hAnsi="仿宋" w:eastAsia="仿宋"/>
          <w:color w:val="auto"/>
          <w:sz w:val="24"/>
          <w:szCs w:val="24"/>
          <w:highlight w:val="none"/>
        </w:rPr>
        <w:t>目录</w:t>
      </w:r>
      <w:bookmarkEnd w:id="473"/>
      <w:bookmarkEnd w:id="474"/>
    </w:p>
    <w:p w14:paraId="43B48AD0">
      <w:pPr>
        <w:pStyle w:val="4"/>
        <w:spacing w:line="360" w:lineRule="auto"/>
        <w:ind w:firstLine="0"/>
        <w:rPr>
          <w:rFonts w:ascii="仿宋" w:hAnsi="仿宋" w:eastAsia="仿宋"/>
          <w:color w:val="auto"/>
          <w:highlight w:val="none"/>
        </w:rPr>
      </w:pPr>
    </w:p>
    <w:p w14:paraId="1EB9B833">
      <w:pPr>
        <w:pStyle w:val="4"/>
        <w:spacing w:line="360" w:lineRule="auto"/>
        <w:ind w:firstLine="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（格式自行设计）</w:t>
      </w:r>
    </w:p>
    <w:p w14:paraId="1B3BADE3">
      <w:pPr>
        <w:rPr>
          <w:rFonts w:ascii="仿宋" w:hAnsi="仿宋" w:eastAsia="仿宋" w:cs="仿宋"/>
          <w:color w:val="auto"/>
          <w:highlight w:val="none"/>
        </w:rPr>
      </w:pPr>
    </w:p>
    <w:p w14:paraId="2B0DE188">
      <w:pPr>
        <w:pStyle w:val="25"/>
        <w:rPr>
          <w:rFonts w:ascii="仿宋" w:hAnsi="仿宋" w:eastAsia="仿宋" w:cs="仿宋"/>
          <w:color w:val="auto"/>
          <w:highlight w:val="none"/>
        </w:rPr>
      </w:pPr>
    </w:p>
    <w:p w14:paraId="56885969">
      <w:pPr>
        <w:pStyle w:val="7"/>
        <w:rPr>
          <w:rFonts w:ascii="仿宋" w:hAnsi="仿宋" w:eastAsia="仿宋" w:cs="仿宋"/>
          <w:color w:val="auto"/>
          <w:highlight w:val="none"/>
        </w:rPr>
      </w:pPr>
    </w:p>
    <w:p w14:paraId="35F4AFD7">
      <w:pPr>
        <w:pStyle w:val="8"/>
        <w:ind w:firstLine="210"/>
        <w:rPr>
          <w:rFonts w:ascii="仿宋" w:hAnsi="仿宋" w:eastAsia="仿宋" w:cs="仿宋"/>
          <w:color w:val="auto"/>
          <w:highlight w:val="none"/>
        </w:rPr>
      </w:pPr>
    </w:p>
    <w:p w14:paraId="4F6D2943">
      <w:pPr>
        <w:rPr>
          <w:rFonts w:ascii="仿宋" w:hAnsi="仿宋" w:eastAsia="仿宋" w:cs="仿宋"/>
          <w:color w:val="auto"/>
          <w:highlight w:val="none"/>
        </w:rPr>
      </w:pPr>
    </w:p>
    <w:p w14:paraId="0C428396">
      <w:pPr>
        <w:pStyle w:val="25"/>
        <w:rPr>
          <w:rFonts w:ascii="仿宋" w:hAnsi="仿宋" w:eastAsia="仿宋" w:cs="仿宋"/>
          <w:color w:val="auto"/>
          <w:highlight w:val="none"/>
        </w:rPr>
      </w:pPr>
    </w:p>
    <w:p w14:paraId="0953171D">
      <w:pPr>
        <w:pStyle w:val="7"/>
        <w:rPr>
          <w:rFonts w:ascii="仿宋" w:hAnsi="仿宋" w:eastAsia="仿宋" w:cs="仿宋"/>
          <w:color w:val="auto"/>
          <w:highlight w:val="none"/>
        </w:rPr>
      </w:pPr>
    </w:p>
    <w:p w14:paraId="2DD2D174">
      <w:pPr>
        <w:pStyle w:val="8"/>
        <w:ind w:firstLine="210"/>
        <w:rPr>
          <w:rFonts w:ascii="仿宋" w:hAnsi="仿宋" w:eastAsia="仿宋" w:cs="仿宋"/>
          <w:color w:val="auto"/>
          <w:highlight w:val="none"/>
        </w:rPr>
      </w:pPr>
    </w:p>
    <w:bookmarkEnd w:id="328"/>
    <w:bookmarkEnd w:id="470"/>
    <w:bookmarkEnd w:id="471"/>
    <w:bookmarkEnd w:id="472"/>
    <w:p w14:paraId="0AEBCF9E">
      <w:pPr>
        <w:pStyle w:val="6"/>
        <w:spacing w:before="0" w:after="0"/>
        <w:ind w:firstLine="0" w:firstLineChars="0"/>
        <w:jc w:val="left"/>
        <w:rPr>
          <w:rFonts w:ascii="仿宋" w:hAnsi="仿宋" w:eastAsia="仿宋"/>
          <w:color w:val="auto"/>
          <w:sz w:val="24"/>
          <w:szCs w:val="24"/>
          <w:highlight w:val="none"/>
        </w:rPr>
      </w:pPr>
      <w:bookmarkStart w:id="475" w:name="_Toc31729"/>
      <w:bookmarkStart w:id="476" w:name="_Toc11262"/>
      <w:bookmarkStart w:id="477" w:name="_Toc17237"/>
      <w:bookmarkStart w:id="478" w:name="_Toc22418"/>
      <w:bookmarkStart w:id="479" w:name="_Toc335664294"/>
      <w:bookmarkStart w:id="480" w:name="_Toc493956074"/>
      <w:bookmarkStart w:id="481" w:name="_Toc531359077"/>
      <w:bookmarkStart w:id="482" w:name="_Toc530551900"/>
      <w:r>
        <w:rPr>
          <w:rFonts w:ascii="仿宋" w:hAnsi="仿宋" w:eastAsia="仿宋"/>
          <w:color w:val="auto"/>
          <w:sz w:val="24"/>
          <w:szCs w:val="24"/>
          <w:highlight w:val="none"/>
        </w:rPr>
        <w:t>3.3</w:t>
      </w:r>
      <w:r>
        <w:rPr>
          <w:rFonts w:hint="eastAsia" w:ascii="仿宋" w:hAnsi="仿宋" w:eastAsia="仿宋"/>
          <w:color w:val="auto"/>
          <w:sz w:val="24"/>
          <w:szCs w:val="24"/>
          <w:highlight w:val="none"/>
        </w:rPr>
        <w:t xml:space="preserve"> </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开标一览表格式</w:t>
      </w:r>
      <w:bookmarkEnd w:id="475"/>
      <w:bookmarkEnd w:id="476"/>
      <w:bookmarkEnd w:id="477"/>
      <w:bookmarkEnd w:id="478"/>
    </w:p>
    <w:p w14:paraId="75A205F7">
      <w:pPr>
        <w:pStyle w:val="4"/>
        <w:spacing w:line="360" w:lineRule="auto"/>
        <w:ind w:firstLine="0"/>
        <w:jc w:val="center"/>
        <w:rPr>
          <w:rFonts w:ascii="仿宋" w:hAnsi="仿宋" w:eastAsia="仿宋"/>
          <w:b/>
          <w:color w:val="auto"/>
          <w:sz w:val="32"/>
          <w:szCs w:val="32"/>
          <w:highlight w:val="none"/>
        </w:rPr>
      </w:pPr>
      <w:bookmarkStart w:id="483" w:name="_Toc531359075"/>
      <w:bookmarkStart w:id="484" w:name="_Toc27143"/>
      <w:bookmarkStart w:id="485" w:name="_Toc530551898"/>
      <w:bookmarkStart w:id="486" w:name="_Toc16660"/>
      <w:bookmarkStart w:id="487" w:name="_Toc5402"/>
      <w:bookmarkStart w:id="488" w:name="_Toc493956073"/>
      <w:r>
        <w:rPr>
          <w:rFonts w:hint="eastAsia" w:ascii="仿宋" w:hAnsi="仿宋" w:eastAsia="仿宋"/>
          <w:b/>
          <w:color w:val="auto"/>
          <w:sz w:val="32"/>
          <w:szCs w:val="32"/>
          <w:highlight w:val="none"/>
        </w:rPr>
        <w:t>开标一览表</w:t>
      </w:r>
    </w:p>
    <w:p w14:paraId="71C51118">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项目编号：</w:t>
      </w:r>
      <w:r>
        <w:rPr>
          <w:rFonts w:hint="eastAsia" w:ascii="仿宋" w:hAnsi="仿宋" w:eastAsia="仿宋"/>
          <w:color w:val="auto"/>
          <w:sz w:val="24"/>
          <w:szCs w:val="24"/>
          <w:highlight w:val="none"/>
          <w:u w:val="single"/>
        </w:rPr>
        <w:t xml:space="preserve">          </w:t>
      </w:r>
      <w:r>
        <w:rPr>
          <w:rFonts w:ascii="仿宋" w:hAnsi="仿宋" w:eastAsia="仿宋"/>
          <w:color w:val="auto"/>
          <w:sz w:val="24"/>
          <w:szCs w:val="24"/>
          <w:highlight w:val="none"/>
          <w:u w:val="single"/>
        </w:rPr>
        <w:t xml:space="preserve"> </w:t>
      </w:r>
    </w:p>
    <w:p w14:paraId="35FE8E2B">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项目名称：</w:t>
      </w:r>
      <w:r>
        <w:rPr>
          <w:rFonts w:hint="eastAsia" w:ascii="仿宋" w:hAnsi="仿宋" w:eastAsia="仿宋"/>
          <w:color w:val="auto"/>
          <w:sz w:val="24"/>
          <w:szCs w:val="24"/>
          <w:highlight w:val="none"/>
          <w:u w:val="single"/>
        </w:rPr>
        <w:t xml:space="preserve">          </w:t>
      </w:r>
      <w:r>
        <w:rPr>
          <w:rFonts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 xml:space="preserve">    </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 xml:space="preserve"> 标项：</w:t>
      </w:r>
      <w:r>
        <w:rPr>
          <w:rFonts w:hint="eastAsia" w:ascii="仿宋" w:hAnsi="仿宋" w:eastAsia="仿宋"/>
          <w:color w:val="auto"/>
          <w:sz w:val="24"/>
          <w:szCs w:val="24"/>
          <w:highlight w:val="none"/>
          <w:u w:val="single"/>
        </w:rPr>
        <w:t>（若有）</w:t>
      </w:r>
    </w:p>
    <w:tbl>
      <w:tblPr>
        <w:tblStyle w:val="20"/>
        <w:tblW w:w="89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9"/>
        <w:gridCol w:w="1985"/>
        <w:gridCol w:w="2835"/>
        <w:gridCol w:w="2652"/>
      </w:tblGrid>
      <w:tr w14:paraId="7E80F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1" w:hRule="atLeast"/>
          <w:jc w:val="center"/>
        </w:trPr>
        <w:tc>
          <w:tcPr>
            <w:tcW w:w="1429" w:type="dxa"/>
            <w:vAlign w:val="center"/>
          </w:tcPr>
          <w:p w14:paraId="09CE4ACD">
            <w:pPr>
              <w:spacing w:line="320" w:lineRule="atLeast"/>
              <w:jc w:val="center"/>
              <w:rPr>
                <w:rFonts w:ascii="仿宋" w:hAnsi="仿宋" w:eastAsia="仿宋" w:cs="仿宋"/>
                <w:color w:val="auto"/>
                <w:sz w:val="24"/>
                <w:szCs w:val="24"/>
                <w:highlight w:val="none"/>
              </w:rPr>
            </w:pPr>
            <w:r>
              <w:rPr>
                <w:rFonts w:hint="eastAsia" w:ascii="仿宋" w:hAnsi="仿宋" w:eastAsia="仿宋" w:cs="仿宋"/>
                <w:color w:val="auto"/>
                <w:sz w:val="24"/>
                <w:highlight w:val="none"/>
              </w:rPr>
              <w:t>标项</w:t>
            </w:r>
          </w:p>
        </w:tc>
        <w:tc>
          <w:tcPr>
            <w:tcW w:w="1985" w:type="dxa"/>
            <w:vAlign w:val="center"/>
          </w:tcPr>
          <w:p w14:paraId="613607FF">
            <w:pPr>
              <w:tabs>
                <w:tab w:val="left" w:pos="8280"/>
              </w:tabs>
              <w:autoSpaceDE w:val="0"/>
              <w:autoSpaceDN w:val="0"/>
              <w:adjustRightInd w:val="0"/>
              <w:spacing w:line="320" w:lineRule="atLeast"/>
              <w:ind w:right="25" w:firstLine="120" w:firstLineChars="50"/>
              <w:jc w:val="center"/>
              <w:rPr>
                <w:rFonts w:ascii="仿宋" w:hAnsi="仿宋" w:eastAsia="仿宋" w:cs="仿宋"/>
                <w:color w:val="auto"/>
                <w:sz w:val="24"/>
                <w:szCs w:val="24"/>
                <w:highlight w:val="none"/>
              </w:rPr>
            </w:pPr>
            <w:r>
              <w:rPr>
                <w:rFonts w:hint="eastAsia" w:ascii="仿宋" w:hAnsi="仿宋" w:eastAsia="仿宋" w:cs="仿宋"/>
                <w:color w:val="auto"/>
                <w:sz w:val="24"/>
                <w:highlight w:val="none"/>
              </w:rPr>
              <w:t>项目名称</w:t>
            </w:r>
          </w:p>
        </w:tc>
        <w:tc>
          <w:tcPr>
            <w:tcW w:w="2835" w:type="dxa"/>
            <w:vAlign w:val="center"/>
          </w:tcPr>
          <w:p w14:paraId="558EB8DE">
            <w:pPr>
              <w:spacing w:line="320" w:lineRule="atLeast"/>
              <w:jc w:val="center"/>
              <w:rPr>
                <w:rFonts w:ascii="仿宋" w:hAnsi="仿宋" w:eastAsia="仿宋" w:cs="仿宋"/>
                <w:color w:val="auto"/>
                <w:sz w:val="24"/>
                <w:szCs w:val="24"/>
                <w:highlight w:val="none"/>
              </w:rPr>
            </w:pPr>
            <w:r>
              <w:rPr>
                <w:rFonts w:hint="eastAsia" w:ascii="仿宋" w:hAnsi="仿宋" w:eastAsia="仿宋" w:cs="仿宋"/>
                <w:color w:val="auto"/>
                <w:sz w:val="24"/>
                <w:highlight w:val="none"/>
              </w:rPr>
              <w:t>▲最高限价（%）</w:t>
            </w:r>
          </w:p>
        </w:tc>
        <w:tc>
          <w:tcPr>
            <w:tcW w:w="2652" w:type="dxa"/>
            <w:vAlign w:val="center"/>
          </w:tcPr>
          <w:p w14:paraId="3980E497">
            <w:pPr>
              <w:spacing w:line="320" w:lineRule="atLeast"/>
              <w:jc w:val="center"/>
              <w:rPr>
                <w:rFonts w:ascii="仿宋" w:hAnsi="仿宋" w:eastAsia="仿宋" w:cs="仿宋"/>
                <w:color w:val="auto"/>
                <w:sz w:val="24"/>
                <w:szCs w:val="24"/>
                <w:highlight w:val="none"/>
              </w:rPr>
            </w:pPr>
            <w:r>
              <w:rPr>
                <w:rFonts w:hint="eastAsia" w:ascii="仿宋" w:hAnsi="仿宋" w:eastAsia="仿宋" w:cs="仿宋"/>
                <w:color w:val="auto"/>
                <w:sz w:val="24"/>
                <w:highlight w:val="none"/>
              </w:rPr>
              <w:t>投标报价（%）</w:t>
            </w:r>
          </w:p>
        </w:tc>
      </w:tr>
      <w:tr w14:paraId="699B2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4" w:hRule="atLeast"/>
          <w:jc w:val="center"/>
        </w:trPr>
        <w:tc>
          <w:tcPr>
            <w:tcW w:w="1429" w:type="dxa"/>
            <w:vAlign w:val="center"/>
          </w:tcPr>
          <w:p w14:paraId="215B8FF7">
            <w:pPr>
              <w:tabs>
                <w:tab w:val="left" w:pos="8280"/>
              </w:tabs>
              <w:autoSpaceDE w:val="0"/>
              <w:autoSpaceDN w:val="0"/>
              <w:adjustRightInd w:val="0"/>
              <w:spacing w:line="320" w:lineRule="atLeast"/>
              <w:ind w:right="25"/>
              <w:jc w:val="center"/>
              <w:rPr>
                <w:rFonts w:ascii="仿宋" w:hAnsi="仿宋" w:eastAsia="仿宋" w:cs="仿宋"/>
                <w:color w:val="auto"/>
                <w:sz w:val="24"/>
                <w:szCs w:val="24"/>
                <w:highlight w:val="none"/>
              </w:rPr>
            </w:pPr>
            <w:r>
              <w:rPr>
                <w:rFonts w:hint="eastAsia" w:ascii="仿宋" w:hAnsi="仿宋" w:eastAsia="仿宋" w:cs="仿宋"/>
                <w:color w:val="auto"/>
                <w:sz w:val="24"/>
                <w:highlight w:val="none"/>
              </w:rPr>
              <w:t>标项一</w:t>
            </w:r>
          </w:p>
        </w:tc>
        <w:tc>
          <w:tcPr>
            <w:tcW w:w="1985" w:type="dxa"/>
            <w:vAlign w:val="center"/>
          </w:tcPr>
          <w:p w14:paraId="4FA87DCA">
            <w:pPr>
              <w:tabs>
                <w:tab w:val="left" w:pos="8280"/>
              </w:tabs>
              <w:autoSpaceDE w:val="0"/>
              <w:autoSpaceDN w:val="0"/>
              <w:adjustRightInd w:val="0"/>
              <w:spacing w:line="320" w:lineRule="atLeast"/>
              <w:ind w:right="25"/>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highlight w:val="none"/>
                <w:lang w:eastAsia="zh-CN"/>
              </w:rPr>
              <w:t>2024年庆元县公共图书馆（城市书房）图书购置项目（第二次）</w:t>
            </w:r>
          </w:p>
        </w:tc>
        <w:tc>
          <w:tcPr>
            <w:tcW w:w="2835" w:type="dxa"/>
            <w:vAlign w:val="center"/>
          </w:tcPr>
          <w:p w14:paraId="1A5425EF">
            <w:pPr>
              <w:rPr>
                <w:rFonts w:ascii="仿宋" w:hAnsi="仿宋" w:eastAsia="仿宋" w:cs="仿宋"/>
                <w:color w:val="auto"/>
                <w:sz w:val="24"/>
                <w:szCs w:val="24"/>
                <w:highlight w:val="none"/>
              </w:rPr>
            </w:pPr>
            <w:r>
              <w:rPr>
                <w:rFonts w:hint="eastAsia" w:ascii="仿宋" w:hAnsi="仿宋" w:eastAsia="仿宋" w:cs="仿宋"/>
                <w:color w:val="auto"/>
                <w:sz w:val="24"/>
                <w:highlight w:val="none"/>
              </w:rPr>
              <w:t>出版社定价（码洋）的7</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w:t>
            </w:r>
          </w:p>
        </w:tc>
        <w:tc>
          <w:tcPr>
            <w:tcW w:w="2652" w:type="dxa"/>
            <w:vAlign w:val="center"/>
          </w:tcPr>
          <w:p w14:paraId="6B3E6834">
            <w:pPr>
              <w:tabs>
                <w:tab w:val="left" w:pos="8280"/>
              </w:tabs>
              <w:autoSpaceDE w:val="0"/>
              <w:autoSpaceDN w:val="0"/>
              <w:adjustRightInd w:val="0"/>
              <w:spacing w:line="320" w:lineRule="atLeast"/>
              <w:ind w:right="25"/>
              <w:jc w:val="center"/>
              <w:rPr>
                <w:rFonts w:ascii="仿宋" w:hAnsi="仿宋" w:eastAsia="仿宋" w:cs="仿宋"/>
                <w:color w:val="auto"/>
                <w:sz w:val="24"/>
                <w:szCs w:val="24"/>
                <w:highlight w:val="none"/>
              </w:rPr>
            </w:pPr>
            <w:r>
              <w:rPr>
                <w:rFonts w:hint="eastAsia" w:ascii="仿宋" w:hAnsi="仿宋" w:eastAsia="仿宋" w:cs="仿宋"/>
                <w:color w:val="auto"/>
                <w:sz w:val="24"/>
                <w:highlight w:val="none"/>
              </w:rPr>
              <w:t xml:space="preserve">出版社定价（码洋）的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tc>
      </w:tr>
    </w:tbl>
    <w:p w14:paraId="19A1DFDD">
      <w:pPr>
        <w:pStyle w:val="8"/>
        <w:ind w:firstLine="210"/>
        <w:rPr>
          <w:rFonts w:ascii="仿宋" w:hAnsi="仿宋" w:eastAsia="仿宋" w:cs="仿宋"/>
          <w:color w:val="auto"/>
          <w:highlight w:val="none"/>
        </w:rPr>
      </w:pPr>
    </w:p>
    <w:p w14:paraId="5DD4F781">
      <w:pPr>
        <w:pStyle w:val="39"/>
        <w:spacing w:line="440" w:lineRule="exact"/>
        <w:rPr>
          <w:rFonts w:ascii="仿宋" w:hAnsi="仿宋" w:eastAsia="仿宋" w:cs="仿宋"/>
          <w:b/>
          <w:iCs/>
          <w:color w:val="auto"/>
          <w:spacing w:val="20"/>
          <w:sz w:val="24"/>
          <w:highlight w:val="none"/>
        </w:rPr>
      </w:pPr>
      <w:r>
        <w:rPr>
          <w:rFonts w:hint="eastAsia" w:ascii="仿宋" w:hAnsi="仿宋" w:eastAsia="仿宋" w:cs="仿宋"/>
          <w:b/>
          <w:color w:val="auto"/>
          <w:sz w:val="24"/>
          <w:szCs w:val="21"/>
          <w:highlight w:val="none"/>
        </w:rPr>
        <w:t xml:space="preserve"> </w:t>
      </w:r>
      <w:r>
        <w:rPr>
          <w:rFonts w:hint="eastAsia" w:ascii="仿宋" w:hAnsi="仿宋" w:eastAsia="仿宋" w:cs="仿宋"/>
          <w:b/>
          <w:iCs/>
          <w:color w:val="auto"/>
          <w:spacing w:val="20"/>
          <w:sz w:val="24"/>
          <w:highlight w:val="none"/>
        </w:rPr>
        <w:t>注：</w:t>
      </w:r>
    </w:p>
    <w:p w14:paraId="02FB610E">
      <w:pPr>
        <w:spacing w:line="360" w:lineRule="auto"/>
        <w:ind w:firstLine="472" w:firstLineChars="196"/>
        <w:rPr>
          <w:rFonts w:ascii="仿宋" w:hAnsi="仿宋" w:eastAsia="仿宋" w:cs="仿宋"/>
          <w:b/>
          <w:color w:val="auto"/>
          <w:sz w:val="24"/>
          <w:highlight w:val="none"/>
        </w:rPr>
      </w:pPr>
      <w:r>
        <w:rPr>
          <w:rFonts w:hint="eastAsia" w:ascii="仿宋" w:hAnsi="仿宋" w:eastAsia="仿宋" w:cs="仿宋"/>
          <w:b/>
          <w:color w:val="auto"/>
          <w:sz w:val="24"/>
          <w:highlight w:val="none"/>
        </w:rPr>
        <w:t>1、以上报价即为结算率，例：结算付款金额=出版社定价（码洋）×中标结算率。因本项目清单内容较多,供应商在报价时应综合考虑后作出报价。</w:t>
      </w:r>
    </w:p>
    <w:p w14:paraId="09814A9F">
      <w:pPr>
        <w:spacing w:line="460" w:lineRule="exact"/>
        <w:textAlignment w:val="baseline"/>
        <w:rPr>
          <w:rFonts w:ascii="仿宋" w:hAnsi="仿宋" w:eastAsia="仿宋" w:cs="仿宋"/>
          <w:b/>
          <w:color w:val="auto"/>
          <w:spacing w:val="20"/>
          <w:sz w:val="24"/>
          <w:szCs w:val="20"/>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2、投标报价须包括图书价款、途中运输费、装卸费、途中损耗费、芯片、磁条、数据、维护费、服务费、税费等一切费用。</w:t>
      </w:r>
    </w:p>
    <w:p w14:paraId="4FBEF781">
      <w:pPr>
        <w:pStyle w:val="39"/>
        <w:spacing w:line="360" w:lineRule="auto"/>
        <w:ind w:firstLine="480" w:firstLineChars="200"/>
        <w:jc w:val="left"/>
        <w:rPr>
          <w:rFonts w:ascii="仿宋" w:hAnsi="仿宋" w:eastAsia="仿宋" w:cs="仿宋"/>
          <w:bCs/>
          <w:color w:val="auto"/>
          <w:sz w:val="24"/>
          <w:highlight w:val="none"/>
        </w:rPr>
      </w:pPr>
    </w:p>
    <w:p w14:paraId="7A2257A7">
      <w:pPr>
        <w:pStyle w:val="39"/>
        <w:spacing w:line="360" w:lineRule="auto"/>
        <w:ind w:firstLine="480" w:firstLineChars="200"/>
        <w:jc w:val="left"/>
        <w:rPr>
          <w:rFonts w:ascii="仿宋" w:hAnsi="仿宋" w:eastAsia="仿宋" w:cs="仿宋"/>
          <w:bCs/>
          <w:color w:val="auto"/>
          <w:sz w:val="24"/>
          <w:highlight w:val="none"/>
        </w:rPr>
      </w:pPr>
    </w:p>
    <w:p w14:paraId="3283DC4C">
      <w:pPr>
        <w:pStyle w:val="39"/>
        <w:spacing w:line="360" w:lineRule="auto"/>
        <w:ind w:firstLine="480" w:firstLineChars="200"/>
        <w:jc w:val="left"/>
        <w:rPr>
          <w:rFonts w:ascii="仿宋" w:hAnsi="仿宋" w:eastAsia="仿宋"/>
          <w:bCs/>
          <w:color w:val="auto"/>
          <w:sz w:val="24"/>
          <w:highlight w:val="none"/>
        </w:rPr>
      </w:pPr>
    </w:p>
    <w:p w14:paraId="63C95708">
      <w:pPr>
        <w:spacing w:line="360" w:lineRule="auto"/>
        <w:jc w:val="left"/>
        <w:rPr>
          <w:rFonts w:ascii="仿宋" w:hAnsi="仿宋" w:eastAsia="仿宋"/>
          <w:color w:val="auto"/>
          <w:spacing w:val="20"/>
          <w:sz w:val="24"/>
          <w:highlight w:val="none"/>
        </w:rPr>
      </w:pPr>
    </w:p>
    <w:p w14:paraId="1925BE17">
      <w:pPr>
        <w:pStyle w:val="31"/>
        <w:wordWrap w:val="0"/>
        <w:spacing w:line="360" w:lineRule="auto"/>
        <w:ind w:firstLine="480"/>
        <w:jc w:val="right"/>
        <w:rPr>
          <w:rFonts w:ascii="仿宋" w:hAnsi="仿宋" w:eastAsia="仿宋"/>
          <w:color w:val="auto"/>
          <w:sz w:val="24"/>
          <w:szCs w:val="21"/>
          <w:highlight w:val="none"/>
          <w:u w:val="single"/>
        </w:rPr>
      </w:pPr>
      <w:r>
        <w:rPr>
          <w:rFonts w:ascii="仿宋" w:hAnsi="仿宋" w:eastAsia="仿宋"/>
          <w:color w:val="auto"/>
          <w:sz w:val="24"/>
          <w:szCs w:val="21"/>
          <w:highlight w:val="none"/>
        </w:rPr>
        <w:t>供应商盖章：</w:t>
      </w:r>
      <w:r>
        <w:rPr>
          <w:rFonts w:hint="eastAsia" w:ascii="仿宋" w:hAnsi="仿宋" w:eastAsia="仿宋"/>
          <w:color w:val="auto"/>
          <w:sz w:val="24"/>
          <w:szCs w:val="21"/>
          <w:highlight w:val="none"/>
          <w:u w:val="single"/>
        </w:rPr>
        <w:t xml:space="preserve"> </w:t>
      </w:r>
      <w:r>
        <w:rPr>
          <w:rFonts w:ascii="仿宋" w:hAnsi="仿宋" w:eastAsia="仿宋"/>
          <w:color w:val="auto"/>
          <w:sz w:val="24"/>
          <w:szCs w:val="21"/>
          <w:highlight w:val="none"/>
          <w:u w:val="single"/>
        </w:rPr>
        <w:t xml:space="preserve">              </w:t>
      </w:r>
      <w:r>
        <w:rPr>
          <w:rFonts w:hint="eastAsia" w:ascii="仿宋" w:hAnsi="仿宋" w:eastAsia="仿宋"/>
          <w:color w:val="auto"/>
          <w:spacing w:val="20"/>
          <w:sz w:val="24"/>
          <w:szCs w:val="21"/>
          <w:highlight w:val="none"/>
          <w:u w:val="single"/>
        </w:rPr>
        <w:t xml:space="preserve"> </w:t>
      </w:r>
    </w:p>
    <w:p w14:paraId="1BFDEC88">
      <w:pPr>
        <w:pStyle w:val="31"/>
        <w:wordWrap w:val="0"/>
        <w:spacing w:line="360" w:lineRule="auto"/>
        <w:ind w:firstLine="480"/>
        <w:jc w:val="right"/>
        <w:rPr>
          <w:rFonts w:ascii="仿宋" w:hAnsi="仿宋" w:eastAsia="仿宋"/>
          <w:color w:val="auto"/>
          <w:sz w:val="24"/>
          <w:szCs w:val="21"/>
          <w:highlight w:val="none"/>
          <w:u w:val="single"/>
        </w:rPr>
      </w:pPr>
      <w:r>
        <w:rPr>
          <w:rFonts w:ascii="仿宋" w:hAnsi="仿宋" w:eastAsia="仿宋"/>
          <w:color w:val="auto"/>
          <w:sz w:val="24"/>
          <w:szCs w:val="21"/>
          <w:highlight w:val="none"/>
        </w:rPr>
        <w:t>日      期：</w:t>
      </w:r>
      <w:r>
        <w:rPr>
          <w:rFonts w:hint="eastAsia" w:ascii="仿宋" w:hAnsi="仿宋" w:eastAsia="仿宋"/>
          <w:color w:val="auto"/>
          <w:sz w:val="24"/>
          <w:szCs w:val="21"/>
          <w:highlight w:val="none"/>
          <w:u w:val="single"/>
        </w:rPr>
        <w:t xml:space="preserve"> </w:t>
      </w:r>
      <w:r>
        <w:rPr>
          <w:rFonts w:ascii="仿宋" w:hAnsi="仿宋" w:eastAsia="仿宋"/>
          <w:color w:val="auto"/>
          <w:sz w:val="24"/>
          <w:szCs w:val="21"/>
          <w:highlight w:val="none"/>
          <w:u w:val="single"/>
        </w:rPr>
        <w:t xml:space="preserve">              </w:t>
      </w:r>
      <w:r>
        <w:rPr>
          <w:rFonts w:hint="eastAsia" w:ascii="仿宋" w:hAnsi="仿宋" w:eastAsia="仿宋"/>
          <w:color w:val="auto"/>
          <w:spacing w:val="20"/>
          <w:sz w:val="24"/>
          <w:szCs w:val="21"/>
          <w:highlight w:val="none"/>
          <w:u w:val="single"/>
        </w:rPr>
        <w:t xml:space="preserve"> </w:t>
      </w:r>
    </w:p>
    <w:p w14:paraId="3CBA690D">
      <w:pPr>
        <w:pStyle w:val="6"/>
        <w:spacing w:before="0" w:after="0"/>
        <w:ind w:firstLine="0" w:firstLineChars="0"/>
        <w:jc w:val="right"/>
        <w:rPr>
          <w:rFonts w:ascii="仿宋" w:hAnsi="仿宋" w:eastAsia="仿宋"/>
          <w:color w:val="auto"/>
          <w:sz w:val="28"/>
          <w:szCs w:val="28"/>
          <w:highlight w:val="none"/>
        </w:rPr>
        <w:sectPr>
          <w:pgSz w:w="11906" w:h="16838"/>
          <w:pgMar w:top="1440" w:right="1797" w:bottom="1440" w:left="1797" w:header="851" w:footer="851" w:gutter="0"/>
          <w:cols w:space="720" w:num="1"/>
          <w:docGrid w:linePitch="312" w:charSpace="0"/>
        </w:sectPr>
      </w:pPr>
    </w:p>
    <w:bookmarkEnd w:id="483"/>
    <w:bookmarkEnd w:id="484"/>
    <w:bookmarkEnd w:id="485"/>
    <w:bookmarkEnd w:id="486"/>
    <w:bookmarkEnd w:id="487"/>
    <w:bookmarkEnd w:id="488"/>
    <w:p w14:paraId="64A1F5AB">
      <w:pPr>
        <w:pStyle w:val="6"/>
        <w:spacing w:before="0" w:after="0"/>
        <w:ind w:firstLine="0" w:firstLineChars="0"/>
        <w:jc w:val="left"/>
        <w:rPr>
          <w:rFonts w:hint="eastAsia" w:ascii="仿宋" w:hAnsi="仿宋" w:eastAsia="仿宋"/>
          <w:color w:val="auto"/>
          <w:sz w:val="24"/>
          <w:szCs w:val="24"/>
          <w:highlight w:val="none"/>
        </w:rPr>
      </w:pPr>
      <w:bookmarkStart w:id="489" w:name="_Toc28120"/>
      <w:bookmarkStart w:id="490" w:name="_Toc565"/>
      <w:bookmarkStart w:id="491" w:name="_Toc27219"/>
      <w:bookmarkStart w:id="492" w:name="_Toc23321"/>
      <w:r>
        <w:rPr>
          <w:rFonts w:hint="eastAsia" w:ascii="仿宋" w:hAnsi="仿宋" w:eastAsia="仿宋"/>
          <w:color w:val="auto"/>
          <w:sz w:val="24"/>
          <w:szCs w:val="24"/>
          <w:highlight w:val="none"/>
          <w:lang w:val="en-US" w:eastAsia="zh-CN"/>
        </w:rPr>
        <w:t>3.4</w:t>
      </w:r>
      <w:r>
        <w:rPr>
          <w:rFonts w:hint="eastAsia" w:ascii="仿宋" w:hAnsi="仿宋" w:eastAsia="仿宋"/>
          <w:color w:val="auto"/>
          <w:sz w:val="24"/>
          <w:szCs w:val="24"/>
          <w:highlight w:val="none"/>
        </w:rPr>
        <w:t xml:space="preserve">     中小企业声明函格式</w:t>
      </w:r>
      <w:bookmarkEnd w:id="489"/>
      <w:bookmarkEnd w:id="490"/>
      <w:bookmarkEnd w:id="491"/>
      <w:bookmarkEnd w:id="492"/>
    </w:p>
    <w:p w14:paraId="6BB93C9E">
      <w:pPr>
        <w:pStyle w:val="4"/>
        <w:spacing w:line="360" w:lineRule="auto"/>
        <w:ind w:left="420" w:firstLine="643" w:firstLineChars="20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中小企业声明函（货物）</w:t>
      </w:r>
    </w:p>
    <w:p w14:paraId="4DFDAAF2">
      <w:pPr>
        <w:pStyle w:val="4"/>
        <w:spacing w:line="360" w:lineRule="auto"/>
        <w:ind w:firstLine="643" w:firstLineChars="200"/>
        <w:jc w:val="center"/>
        <w:rPr>
          <w:rFonts w:hint="eastAsia" w:ascii="仿宋" w:hAnsi="仿宋" w:eastAsia="仿宋" w:cs="仿宋"/>
          <w:b/>
          <w:color w:val="auto"/>
          <w:sz w:val="32"/>
          <w:szCs w:val="32"/>
          <w:highlight w:val="none"/>
        </w:rPr>
      </w:pPr>
    </w:p>
    <w:p w14:paraId="70DBE48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本公司郑重声明，根据《政府采购促进中小企业发展管理办法》（财库〔2020〕46号）的规定，本公司参加</w:t>
      </w:r>
      <w:r>
        <w:rPr>
          <w:rFonts w:hint="eastAsia" w:ascii="仿宋" w:hAnsi="仿宋" w:eastAsia="仿宋" w:cs="仿宋"/>
          <w:i/>
          <w:color w:val="auto"/>
          <w:sz w:val="24"/>
          <w:szCs w:val="24"/>
          <w:highlight w:val="none"/>
          <w:u w:val="single"/>
        </w:rPr>
        <w:t>（单位名称）</w:t>
      </w:r>
      <w:r>
        <w:rPr>
          <w:rFonts w:hint="eastAsia" w:ascii="仿宋" w:hAnsi="仿宋" w:eastAsia="仿宋" w:cs="仿宋"/>
          <w:color w:val="auto"/>
          <w:sz w:val="24"/>
          <w:szCs w:val="24"/>
          <w:highlight w:val="none"/>
        </w:rPr>
        <w:t>的</w:t>
      </w:r>
      <w:r>
        <w:rPr>
          <w:rFonts w:hint="eastAsia" w:ascii="仿宋" w:hAnsi="仿宋" w:eastAsia="仿宋" w:cs="仿宋"/>
          <w:i/>
          <w:color w:val="auto"/>
          <w:sz w:val="24"/>
          <w:szCs w:val="24"/>
          <w:highlight w:val="none"/>
          <w:u w:val="single"/>
        </w:rPr>
        <w:t>（项目名称）</w:t>
      </w:r>
      <w:r>
        <w:rPr>
          <w:rFonts w:hint="eastAsia" w:ascii="仿宋" w:hAnsi="仿宋" w:eastAsia="仿宋" w:cs="仿宋"/>
          <w:color w:val="auto"/>
          <w:sz w:val="24"/>
          <w:szCs w:val="24"/>
          <w:highlight w:val="none"/>
        </w:rPr>
        <w:t>采购活动，提供的货物全部由符合政策要求的中小企业制造。相关企业的具体情况如下：</w:t>
      </w:r>
    </w:p>
    <w:p w14:paraId="59BE2AD4">
      <w:pPr>
        <w:wordWrap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i/>
          <w:color w:val="auto"/>
          <w:sz w:val="24"/>
          <w:szCs w:val="24"/>
          <w:highlight w:val="none"/>
          <w:u w:val="single"/>
        </w:rPr>
        <w:t xml:space="preserve"> （标的名称） </w:t>
      </w:r>
      <w:r>
        <w:rPr>
          <w:rFonts w:hint="eastAsia" w:ascii="仿宋" w:hAnsi="仿宋" w:eastAsia="仿宋" w:cs="仿宋"/>
          <w:color w:val="auto"/>
          <w:sz w:val="24"/>
          <w:szCs w:val="24"/>
          <w:highlight w:val="none"/>
        </w:rPr>
        <w:t>，属于</w:t>
      </w:r>
      <w:r>
        <w:rPr>
          <w:rFonts w:hint="eastAsia" w:ascii="仿宋" w:hAnsi="仿宋" w:eastAsia="仿宋" w:cs="仿宋"/>
          <w:i/>
          <w:color w:val="auto"/>
          <w:sz w:val="24"/>
          <w:szCs w:val="24"/>
          <w:highlight w:val="none"/>
          <w:u w:val="single"/>
        </w:rPr>
        <w:t>（采购文件中明确的所属行业）</w:t>
      </w:r>
      <w:r>
        <w:rPr>
          <w:rFonts w:hint="eastAsia" w:ascii="仿宋" w:hAnsi="仿宋" w:eastAsia="仿宋" w:cs="仿宋"/>
          <w:color w:val="auto"/>
          <w:sz w:val="24"/>
          <w:szCs w:val="24"/>
          <w:highlight w:val="none"/>
        </w:rPr>
        <w:t>行业；制造商为</w:t>
      </w:r>
      <w:r>
        <w:rPr>
          <w:rFonts w:hint="eastAsia" w:ascii="仿宋" w:hAnsi="仿宋" w:eastAsia="仿宋" w:cs="仿宋"/>
          <w:i/>
          <w:color w:val="auto"/>
          <w:sz w:val="24"/>
          <w:szCs w:val="24"/>
          <w:highlight w:val="none"/>
          <w:u w:val="single"/>
        </w:rPr>
        <w:t>（企业名称）</w:t>
      </w:r>
      <w:r>
        <w:rPr>
          <w:rFonts w:hint="eastAsia" w:ascii="仿宋" w:hAnsi="仿宋" w:eastAsia="仿宋" w:cs="仿宋"/>
          <w:color w:val="auto"/>
          <w:sz w:val="24"/>
          <w:szCs w:val="24"/>
          <w:highlight w:val="none"/>
        </w:rPr>
        <w:t>，从业人员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w:t>
      </w:r>
      <w:r>
        <w:rPr>
          <w:rFonts w:hint="eastAsia" w:ascii="仿宋" w:hAnsi="仿宋" w:eastAsia="仿宋" w:cs="仿宋"/>
          <w:color w:val="auto"/>
          <w:sz w:val="24"/>
          <w:szCs w:val="24"/>
          <w:highlight w:val="none"/>
          <w:vertAlign w:val="superscript"/>
        </w:rPr>
        <w:fldChar w:fldCharType="begin"/>
      </w:r>
      <w:r>
        <w:rPr>
          <w:rFonts w:hint="eastAsia" w:ascii="仿宋" w:hAnsi="仿宋" w:eastAsia="仿宋" w:cs="仿宋"/>
          <w:color w:val="auto"/>
          <w:sz w:val="24"/>
          <w:szCs w:val="24"/>
          <w:highlight w:val="none"/>
          <w:vertAlign w:val="superscript"/>
        </w:rPr>
        <w:instrText xml:space="preserve"> = 1 \* GB3 </w:instrText>
      </w:r>
      <w:r>
        <w:rPr>
          <w:rFonts w:hint="eastAsia" w:ascii="仿宋" w:hAnsi="仿宋" w:eastAsia="仿宋" w:cs="仿宋"/>
          <w:color w:val="auto"/>
          <w:sz w:val="24"/>
          <w:szCs w:val="24"/>
          <w:highlight w:val="none"/>
          <w:vertAlign w:val="superscript"/>
        </w:rPr>
        <w:fldChar w:fldCharType="separate"/>
      </w:r>
      <w:r>
        <w:rPr>
          <w:rFonts w:hint="eastAsia" w:ascii="仿宋" w:hAnsi="仿宋" w:eastAsia="仿宋" w:cs="仿宋"/>
          <w:color w:val="auto"/>
          <w:sz w:val="24"/>
          <w:szCs w:val="24"/>
          <w:highlight w:val="none"/>
          <w:vertAlign w:val="superscript"/>
        </w:rPr>
        <w:t>①</w:t>
      </w:r>
      <w:r>
        <w:rPr>
          <w:rFonts w:hint="eastAsia" w:ascii="仿宋" w:hAnsi="仿宋" w:eastAsia="仿宋" w:cs="仿宋"/>
          <w:color w:val="auto"/>
          <w:sz w:val="24"/>
          <w:szCs w:val="24"/>
          <w:highlight w:val="none"/>
          <w:vertAlign w:val="superscript"/>
        </w:rPr>
        <w:fldChar w:fldCharType="end"/>
      </w:r>
      <w:r>
        <w:rPr>
          <w:rFonts w:hint="eastAsia" w:ascii="仿宋" w:hAnsi="仿宋" w:eastAsia="仿宋" w:cs="仿宋"/>
          <w:color w:val="auto"/>
          <w:sz w:val="24"/>
          <w:szCs w:val="24"/>
          <w:highlight w:val="none"/>
        </w:rPr>
        <w:t>，属于（中型企业、小型企业、微型企业）；</w:t>
      </w:r>
    </w:p>
    <w:p w14:paraId="24BB8A1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i/>
          <w:color w:val="auto"/>
          <w:sz w:val="24"/>
          <w:szCs w:val="24"/>
          <w:highlight w:val="none"/>
          <w:u w:val="single"/>
        </w:rPr>
        <w:t xml:space="preserve"> （标的名称） </w:t>
      </w:r>
      <w:r>
        <w:rPr>
          <w:rFonts w:hint="eastAsia" w:ascii="仿宋" w:hAnsi="仿宋" w:eastAsia="仿宋" w:cs="仿宋"/>
          <w:color w:val="auto"/>
          <w:sz w:val="24"/>
          <w:szCs w:val="24"/>
          <w:highlight w:val="none"/>
        </w:rPr>
        <w:t>，属于</w:t>
      </w:r>
      <w:r>
        <w:rPr>
          <w:rFonts w:hint="eastAsia" w:ascii="仿宋" w:hAnsi="仿宋" w:eastAsia="仿宋" w:cs="仿宋"/>
          <w:i/>
          <w:color w:val="auto"/>
          <w:sz w:val="24"/>
          <w:szCs w:val="24"/>
          <w:highlight w:val="none"/>
          <w:u w:val="single"/>
        </w:rPr>
        <w:t>（采购文件中明确的所属行业）</w:t>
      </w:r>
      <w:r>
        <w:rPr>
          <w:rFonts w:hint="eastAsia" w:ascii="仿宋" w:hAnsi="仿宋" w:eastAsia="仿宋" w:cs="仿宋"/>
          <w:color w:val="auto"/>
          <w:sz w:val="24"/>
          <w:szCs w:val="24"/>
          <w:highlight w:val="none"/>
        </w:rPr>
        <w:t>行业；制造商为</w:t>
      </w:r>
      <w:r>
        <w:rPr>
          <w:rFonts w:hint="eastAsia" w:ascii="仿宋" w:hAnsi="仿宋" w:eastAsia="仿宋" w:cs="仿宋"/>
          <w:i/>
          <w:color w:val="auto"/>
          <w:sz w:val="24"/>
          <w:szCs w:val="24"/>
          <w:highlight w:val="none"/>
          <w:u w:val="single"/>
        </w:rPr>
        <w:t>（企业名称）</w:t>
      </w:r>
      <w:r>
        <w:rPr>
          <w:rFonts w:hint="eastAsia" w:ascii="仿宋" w:hAnsi="仿宋" w:eastAsia="仿宋" w:cs="仿宋"/>
          <w:color w:val="auto"/>
          <w:sz w:val="24"/>
          <w:szCs w:val="24"/>
          <w:highlight w:val="none"/>
        </w:rPr>
        <w:t>，从业人员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万元，属于（中型企业、小型企业、微型企业）；</w:t>
      </w:r>
    </w:p>
    <w:p w14:paraId="10B0043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14A77BC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以上企业，不属于大企业的分支机构，不存在控股股东为大企业的情形，也不存在与大企业的负责人为同一人的情形。</w:t>
      </w:r>
    </w:p>
    <w:p w14:paraId="48D222B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本企业对上述声明内容的真实性负责。如有虚假，将依法承担相应责任。</w:t>
      </w:r>
    </w:p>
    <w:p w14:paraId="6BFD7750">
      <w:pPr>
        <w:spacing w:line="360" w:lineRule="auto"/>
        <w:ind w:firstLine="480" w:firstLineChars="200"/>
        <w:rPr>
          <w:rFonts w:hint="eastAsia" w:ascii="仿宋" w:hAnsi="仿宋" w:eastAsia="仿宋" w:cs="仿宋"/>
          <w:color w:val="auto"/>
          <w:sz w:val="24"/>
          <w:szCs w:val="24"/>
          <w:highlight w:val="none"/>
        </w:rPr>
      </w:pPr>
    </w:p>
    <w:p w14:paraId="61DB0E24">
      <w:pPr>
        <w:wordWrap w:val="0"/>
        <w:spacing w:line="360" w:lineRule="auto"/>
        <w:ind w:firstLine="480" w:firstLineChars="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企业名称（盖章）：        </w:t>
      </w:r>
    </w:p>
    <w:p w14:paraId="67E4833A">
      <w:pPr>
        <w:wordWrap w:val="0"/>
        <w:spacing w:line="360" w:lineRule="auto"/>
        <w:ind w:firstLine="480" w:firstLineChars="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日 期：                  </w:t>
      </w:r>
    </w:p>
    <w:p w14:paraId="40ECF450">
      <w:pPr>
        <w:spacing w:line="360" w:lineRule="auto"/>
        <w:jc w:val="left"/>
        <w:rPr>
          <w:rFonts w:hint="eastAsia" w:ascii="仿宋" w:hAnsi="仿宋" w:eastAsia="仿宋" w:cs="仿宋"/>
          <w:color w:val="auto"/>
          <w:sz w:val="24"/>
          <w:szCs w:val="24"/>
          <w:highlight w:val="none"/>
        </w:rPr>
      </w:pPr>
    </w:p>
    <w:p w14:paraId="26EB04B8">
      <w:pPr>
        <w:spacing w:line="360" w:lineRule="auto"/>
        <w:rPr>
          <w:rFonts w:hint="eastAsia" w:ascii="仿宋" w:hAnsi="仿宋" w:eastAsia="仿宋" w:cs="仿宋"/>
          <w:color w:val="auto"/>
          <w:szCs w:val="21"/>
          <w:highlight w:val="none"/>
        </w:rPr>
      </w:pPr>
    </w:p>
    <w:p w14:paraId="06F2A995">
      <w:pPr>
        <w:pStyle w:val="48"/>
        <w:rPr>
          <w:rFonts w:hint="eastAsia" w:ascii="仿宋" w:hAnsi="仿宋" w:eastAsia="仿宋" w:cs="仿宋"/>
          <w:color w:val="auto"/>
          <w:szCs w:val="21"/>
          <w:highlight w:val="none"/>
        </w:rPr>
      </w:pPr>
    </w:p>
    <w:p w14:paraId="571A3F21">
      <w:pPr>
        <w:pStyle w:val="48"/>
        <w:rPr>
          <w:rFonts w:hint="eastAsia" w:ascii="仿宋" w:hAnsi="仿宋" w:eastAsia="仿宋" w:cs="仿宋"/>
          <w:color w:val="auto"/>
          <w:szCs w:val="21"/>
          <w:highlight w:val="none"/>
        </w:rPr>
      </w:pPr>
    </w:p>
    <w:p w14:paraId="5AD927AD">
      <w:pPr>
        <w:pStyle w:val="48"/>
        <w:rPr>
          <w:rFonts w:hint="eastAsia" w:ascii="仿宋" w:hAnsi="仿宋" w:eastAsia="仿宋" w:cs="仿宋"/>
          <w:color w:val="auto"/>
          <w:szCs w:val="21"/>
          <w:highlight w:val="none"/>
        </w:rPr>
      </w:pPr>
    </w:p>
    <w:p w14:paraId="2BF416B1">
      <w:pPr>
        <w:pStyle w:val="48"/>
        <w:rPr>
          <w:rFonts w:hint="eastAsia" w:ascii="仿宋" w:hAnsi="仿宋" w:eastAsia="仿宋" w:cs="仿宋"/>
          <w:color w:val="auto"/>
          <w:szCs w:val="21"/>
          <w:highlight w:val="none"/>
        </w:rPr>
      </w:pPr>
    </w:p>
    <w:p w14:paraId="0E8D4127">
      <w:pPr>
        <w:pStyle w:val="49"/>
        <w:rPr>
          <w:rFonts w:ascii="仿宋" w:hAnsi="仿宋" w:eastAsia="仿宋"/>
          <w:color w:val="auto"/>
          <w:szCs w:val="21"/>
          <w:highlight w:val="none"/>
        </w:rPr>
      </w:pPr>
    </w:p>
    <w:p w14:paraId="5FBA32B9">
      <w:pPr>
        <w:rPr>
          <w:rFonts w:hint="eastAsia" w:ascii="仿宋" w:hAnsi="仿宋" w:eastAsia="仿宋"/>
          <w:color w:val="auto"/>
          <w:szCs w:val="21"/>
          <w:highlight w:val="none"/>
        </w:rPr>
      </w:pPr>
    </w:p>
    <w:p w14:paraId="4DBE59D3">
      <w:pPr>
        <w:rPr>
          <w:rFonts w:hint="eastAsia" w:ascii="仿宋" w:hAnsi="仿宋" w:eastAsia="仿宋"/>
          <w:color w:val="auto"/>
          <w:szCs w:val="21"/>
          <w:highlight w:val="none"/>
        </w:rPr>
      </w:pPr>
    </w:p>
    <w:p w14:paraId="3ADE4DE0">
      <w:pPr>
        <w:rPr>
          <w:rFonts w:hint="eastAsia" w:ascii="仿宋" w:hAnsi="仿宋" w:eastAsia="仿宋"/>
          <w:color w:val="auto"/>
          <w:highlight w:val="none"/>
        </w:rPr>
      </w:pPr>
    </w:p>
    <w:p w14:paraId="1984DD0C">
      <w:pPr>
        <w:spacing w:line="360" w:lineRule="auto"/>
        <w:rPr>
          <w:rFonts w:hint="eastAsia" w:ascii="仿宋" w:hAnsi="仿宋" w:eastAsia="仿宋"/>
          <w:color w:val="auto"/>
          <w:szCs w:val="21"/>
          <w:highlight w:val="none"/>
        </w:rPr>
      </w:pPr>
      <w:r>
        <w:rPr>
          <w:rFonts w:hint="eastAsia" w:ascii="仿宋" w:hAnsi="仿宋" w:eastAsia="仿宋"/>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5080</wp:posOffset>
                </wp:positionH>
                <wp:positionV relativeFrom="paragraph">
                  <wp:posOffset>209550</wp:posOffset>
                </wp:positionV>
                <wp:extent cx="2984500" cy="0"/>
                <wp:effectExtent l="0" t="7620" r="0" b="8255"/>
                <wp:wrapNone/>
                <wp:docPr id="3" name="直接连接符 3"/>
                <wp:cNvGraphicFramePr/>
                <a:graphic xmlns:a="http://schemas.openxmlformats.org/drawingml/2006/main">
                  <a:graphicData uri="http://schemas.microsoft.com/office/word/2010/wordprocessingShape">
                    <wps:wsp>
                      <wps:cNvCnPr/>
                      <wps:spPr>
                        <a:xfrm>
                          <a:off x="0" y="0"/>
                          <a:ext cx="298450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4pt;margin-top:16.5pt;height:0pt;width:235pt;z-index:251661312;mso-width-relative:page;mso-height-relative:page;" filled="f" stroked="t" coordsize="21600,21600" o:gfxdata="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PMT7/UAAAABgEAAA8AAAAAAAAAAQAgAAAAIgAAAGRycy9kb3ducmV2LnhtbFBLAQIU&#10;ABQAAAAIAIdO4kDjOKml9wEAAOUDAAAOAAAAAAAAAAEAIAAAACMBAABkcnMvZTJvRG9jLnhtbFBL&#10;BQYAAAAABgAGAFkBAACMBQAAAAA=&#10;">
                <v:fill on="f" focussize="0,0"/>
                <v:stroke weight="1.25pt" color="#000000" joinstyle="round"/>
                <v:imagedata o:title=""/>
                <o:lock v:ext="edit" aspectratio="f"/>
              </v:line>
            </w:pict>
          </mc:Fallback>
        </mc:AlternateContent>
      </w:r>
    </w:p>
    <w:p w14:paraId="10118131">
      <w:pPr>
        <w:rPr>
          <w:rFonts w:hint="eastAsia" w:ascii="仿宋" w:hAnsi="仿宋" w:eastAsia="仿宋"/>
          <w:color w:val="auto"/>
          <w:highlight w:val="none"/>
        </w:rPr>
      </w:pPr>
      <w:r>
        <w:rPr>
          <w:rFonts w:hint="eastAsia" w:ascii="仿宋" w:hAnsi="仿宋" w:eastAsia="仿宋"/>
          <w:color w:val="auto"/>
          <w:sz w:val="20"/>
          <w:szCs w:val="20"/>
          <w:highlight w:val="none"/>
        </w:rPr>
        <w:fldChar w:fldCharType="begin"/>
      </w:r>
      <w:r>
        <w:rPr>
          <w:rFonts w:hint="eastAsia" w:ascii="仿宋" w:hAnsi="仿宋" w:eastAsia="仿宋"/>
          <w:color w:val="auto"/>
          <w:sz w:val="20"/>
          <w:szCs w:val="20"/>
          <w:highlight w:val="none"/>
        </w:rPr>
        <w:instrText xml:space="preserve"> = 1 \* GB3 </w:instrText>
      </w:r>
      <w:r>
        <w:rPr>
          <w:rFonts w:hint="eastAsia" w:ascii="仿宋" w:hAnsi="仿宋" w:eastAsia="仿宋"/>
          <w:color w:val="auto"/>
          <w:sz w:val="20"/>
          <w:szCs w:val="20"/>
          <w:highlight w:val="none"/>
        </w:rPr>
        <w:fldChar w:fldCharType="separate"/>
      </w:r>
      <w:r>
        <w:rPr>
          <w:rFonts w:hint="eastAsia" w:ascii="仿宋" w:hAnsi="仿宋" w:eastAsia="仿宋"/>
          <w:color w:val="auto"/>
          <w:sz w:val="20"/>
          <w:szCs w:val="20"/>
          <w:highlight w:val="none"/>
        </w:rPr>
        <w:t>①</w:t>
      </w:r>
      <w:r>
        <w:rPr>
          <w:rFonts w:hint="eastAsia" w:ascii="仿宋" w:hAnsi="仿宋" w:eastAsia="仿宋"/>
          <w:color w:val="auto"/>
          <w:sz w:val="20"/>
          <w:szCs w:val="20"/>
          <w:highlight w:val="none"/>
        </w:rPr>
        <w:fldChar w:fldCharType="end"/>
      </w:r>
      <w:r>
        <w:rPr>
          <w:rFonts w:hint="eastAsia" w:ascii="仿宋" w:hAnsi="仿宋" w:eastAsia="仿宋"/>
          <w:color w:val="auto"/>
          <w:sz w:val="20"/>
          <w:szCs w:val="20"/>
          <w:highlight w:val="none"/>
        </w:rPr>
        <w:t>从业人员、营业收入、资产总额填报上一年度数据，无上一年度数据的新成立企业可不填</w:t>
      </w:r>
      <w:r>
        <w:rPr>
          <w:rFonts w:hint="eastAsia" w:ascii="仿宋" w:hAnsi="仿宋" w:eastAsia="仿宋"/>
          <w:color w:val="auto"/>
          <w:szCs w:val="21"/>
          <w:highlight w:val="none"/>
        </w:rPr>
        <w:t>报。</w:t>
      </w:r>
    </w:p>
    <w:p w14:paraId="267C36BE">
      <w:pPr>
        <w:rPr>
          <w:rFonts w:hint="eastAsia" w:ascii="仿宋" w:hAnsi="仿宋" w:eastAsia="仿宋"/>
          <w:color w:val="auto"/>
          <w:highlight w:val="none"/>
        </w:rPr>
        <w:sectPr>
          <w:headerReference r:id="rId11" w:type="first"/>
          <w:pgSz w:w="11906" w:h="16838"/>
          <w:pgMar w:top="1440" w:right="1803" w:bottom="1440" w:left="1803" w:header="851" w:footer="851" w:gutter="0"/>
          <w:pgNumType w:fmt="decimal"/>
          <w:cols w:space="720" w:num="1"/>
          <w:docGrid w:linePitch="312" w:charSpace="0"/>
        </w:sectPr>
      </w:pPr>
    </w:p>
    <w:p w14:paraId="7FAD247C">
      <w:pPr>
        <w:pStyle w:val="6"/>
        <w:spacing w:before="0" w:after="0"/>
        <w:ind w:firstLine="0" w:firstLineChars="0"/>
        <w:jc w:val="left"/>
        <w:rPr>
          <w:rFonts w:hint="eastAsia" w:ascii="仿宋" w:hAnsi="仿宋" w:eastAsia="仿宋"/>
          <w:color w:val="auto"/>
          <w:sz w:val="24"/>
          <w:szCs w:val="24"/>
          <w:highlight w:val="none"/>
        </w:rPr>
      </w:pPr>
      <w:bookmarkStart w:id="493" w:name="_Toc5477"/>
      <w:bookmarkStart w:id="494" w:name="_Toc17450"/>
      <w:bookmarkStart w:id="495" w:name="_Toc16009"/>
      <w:bookmarkStart w:id="496" w:name="_Toc2679"/>
      <w:bookmarkStart w:id="497" w:name="_Toc15084"/>
      <w:r>
        <w:rPr>
          <w:rFonts w:hint="eastAsia" w:ascii="仿宋" w:hAnsi="仿宋" w:eastAsia="仿宋"/>
          <w:color w:val="auto"/>
          <w:sz w:val="24"/>
          <w:szCs w:val="24"/>
          <w:highlight w:val="none"/>
          <w:lang w:val="en-US" w:eastAsia="zh-CN"/>
        </w:rPr>
        <w:t>3.5</w:t>
      </w:r>
      <w:r>
        <w:rPr>
          <w:rFonts w:hint="eastAsia" w:ascii="仿宋" w:hAnsi="仿宋" w:eastAsia="仿宋"/>
          <w:color w:val="auto"/>
          <w:sz w:val="24"/>
          <w:szCs w:val="24"/>
          <w:highlight w:val="none"/>
        </w:rPr>
        <w:t xml:space="preserve">     残疾人福利性单位声明函格式</w:t>
      </w:r>
      <w:bookmarkEnd w:id="493"/>
      <w:bookmarkEnd w:id="494"/>
      <w:bookmarkEnd w:id="495"/>
      <w:bookmarkEnd w:id="496"/>
      <w:bookmarkEnd w:id="497"/>
    </w:p>
    <w:p w14:paraId="564021DC">
      <w:pPr>
        <w:pStyle w:val="34"/>
        <w:spacing w:line="360" w:lineRule="auto"/>
        <w:jc w:val="center"/>
        <w:rPr>
          <w:rFonts w:hint="eastAsia" w:ascii="仿宋" w:hAnsi="仿宋" w:eastAsia="仿宋" w:cs="Times New Roman"/>
          <w:b/>
          <w:bCs/>
          <w:color w:val="auto"/>
          <w:spacing w:val="6"/>
          <w:sz w:val="32"/>
          <w:szCs w:val="32"/>
          <w:highlight w:val="none"/>
        </w:rPr>
      </w:pPr>
      <w:r>
        <w:rPr>
          <w:rFonts w:hint="eastAsia" w:ascii="仿宋" w:hAnsi="仿宋" w:eastAsia="仿宋" w:cs="Times New Roman"/>
          <w:b/>
          <w:bCs/>
          <w:color w:val="auto"/>
          <w:spacing w:val="6"/>
          <w:sz w:val="32"/>
          <w:szCs w:val="32"/>
          <w:highlight w:val="none"/>
        </w:rPr>
        <w:t>残疾人福利性单位声明函</w:t>
      </w:r>
    </w:p>
    <w:p w14:paraId="26004875">
      <w:pPr>
        <w:pStyle w:val="34"/>
        <w:spacing w:line="360" w:lineRule="auto"/>
        <w:jc w:val="center"/>
        <w:rPr>
          <w:rFonts w:hint="eastAsia" w:ascii="仿宋" w:hAnsi="仿宋" w:eastAsia="仿宋" w:cs="Times New Roman"/>
          <w:bCs/>
          <w:color w:val="auto"/>
          <w:spacing w:val="6"/>
          <w:sz w:val="36"/>
          <w:szCs w:val="36"/>
          <w:highlight w:val="none"/>
        </w:rPr>
      </w:pPr>
    </w:p>
    <w:p w14:paraId="7D01213E">
      <w:pPr>
        <w:pStyle w:val="34"/>
        <w:spacing w:line="360" w:lineRule="auto"/>
        <w:ind w:firstLine="601"/>
        <w:rPr>
          <w:rFonts w:hint="eastAsia" w:ascii="仿宋" w:hAnsi="仿宋" w:eastAsia="仿宋" w:cs="Times New Roman"/>
          <w:color w:val="auto"/>
          <w:kern w:val="2"/>
          <w:sz w:val="24"/>
          <w:szCs w:val="24"/>
          <w:highlight w:val="none"/>
        </w:rPr>
      </w:pPr>
      <w:r>
        <w:rPr>
          <w:rFonts w:hint="eastAsia" w:ascii="仿宋" w:hAnsi="仿宋" w:eastAsia="仿宋" w:cs="Times New Roman"/>
          <w:color w:val="auto"/>
          <w:kern w:val="2"/>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cs="Times New Roman"/>
          <w:color w:val="auto"/>
          <w:kern w:val="2"/>
          <w:sz w:val="24"/>
          <w:szCs w:val="24"/>
          <w:highlight w:val="none"/>
          <w:u w:val="single"/>
        </w:rPr>
        <w:t xml:space="preserve">   单位的    </w:t>
      </w:r>
      <w:r>
        <w:rPr>
          <w:rFonts w:hint="eastAsia" w:ascii="仿宋" w:hAnsi="仿宋" w:eastAsia="仿宋" w:cs="Times New Roman"/>
          <w:color w:val="auto"/>
          <w:kern w:val="2"/>
          <w:sz w:val="24"/>
          <w:szCs w:val="24"/>
          <w:highlight w:val="none"/>
        </w:rPr>
        <w:t>项目采购活动提供本单位制造的货物（由本单位承担工程/提供服务），或者提供其他残疾人福利性单位制造的货物（不包括使用非残疾人福利性单位注册商标的货物）。</w:t>
      </w:r>
    </w:p>
    <w:p w14:paraId="6CB3F13F">
      <w:pPr>
        <w:pStyle w:val="34"/>
        <w:spacing w:line="360" w:lineRule="auto"/>
        <w:ind w:firstLine="600"/>
        <w:rPr>
          <w:rFonts w:hint="eastAsia" w:ascii="仿宋" w:hAnsi="仿宋" w:eastAsia="仿宋" w:cs="Times New Roman"/>
          <w:color w:val="auto"/>
          <w:kern w:val="2"/>
          <w:sz w:val="24"/>
          <w:szCs w:val="24"/>
          <w:highlight w:val="none"/>
        </w:rPr>
      </w:pPr>
      <w:r>
        <w:rPr>
          <w:rFonts w:hint="eastAsia" w:ascii="仿宋" w:hAnsi="仿宋" w:eastAsia="仿宋" w:cs="Times New Roman"/>
          <w:color w:val="auto"/>
          <w:kern w:val="2"/>
          <w:sz w:val="24"/>
          <w:szCs w:val="24"/>
          <w:highlight w:val="none"/>
        </w:rPr>
        <w:t>本单位对上述声明的真实性负责。如有虚假，将依法承担相应责任。</w:t>
      </w:r>
    </w:p>
    <w:p w14:paraId="11427DDF">
      <w:pPr>
        <w:pStyle w:val="34"/>
        <w:spacing w:line="360" w:lineRule="auto"/>
        <w:rPr>
          <w:rFonts w:hint="eastAsia" w:ascii="仿宋" w:hAnsi="仿宋" w:eastAsia="仿宋" w:cs="Times New Roman"/>
          <w:color w:val="auto"/>
          <w:spacing w:val="6"/>
          <w:sz w:val="24"/>
          <w:szCs w:val="24"/>
          <w:highlight w:val="none"/>
        </w:rPr>
      </w:pPr>
    </w:p>
    <w:p w14:paraId="24BB5F00">
      <w:pPr>
        <w:pStyle w:val="34"/>
        <w:spacing w:line="360" w:lineRule="auto"/>
        <w:rPr>
          <w:rFonts w:hint="eastAsia" w:ascii="仿宋" w:hAnsi="仿宋" w:eastAsia="仿宋" w:cs="Times New Roman"/>
          <w:color w:val="auto"/>
          <w:spacing w:val="6"/>
          <w:sz w:val="24"/>
          <w:szCs w:val="24"/>
          <w:highlight w:val="none"/>
        </w:rPr>
      </w:pPr>
    </w:p>
    <w:p w14:paraId="78D3B7E1">
      <w:pPr>
        <w:pStyle w:val="34"/>
        <w:spacing w:line="360" w:lineRule="auto"/>
        <w:ind w:right="1560" w:firstLine="600"/>
        <w:jc w:val="right"/>
        <w:rPr>
          <w:rFonts w:hint="eastAsia" w:ascii="仿宋" w:hAnsi="仿宋" w:eastAsia="仿宋" w:cs="Times New Roman"/>
          <w:color w:val="auto"/>
          <w:kern w:val="2"/>
          <w:sz w:val="24"/>
          <w:szCs w:val="24"/>
          <w:highlight w:val="none"/>
        </w:rPr>
      </w:pPr>
      <w:r>
        <w:rPr>
          <w:rFonts w:hint="eastAsia" w:ascii="仿宋" w:hAnsi="仿宋" w:eastAsia="仿宋" w:cs="Times New Roman"/>
          <w:color w:val="auto"/>
          <w:kern w:val="2"/>
          <w:sz w:val="24"/>
          <w:szCs w:val="24"/>
          <w:highlight w:val="none"/>
        </w:rPr>
        <w:t>单位名称（盖章）：</w:t>
      </w:r>
    </w:p>
    <w:p w14:paraId="76FA7AF2">
      <w:pPr>
        <w:pStyle w:val="34"/>
        <w:spacing w:line="360" w:lineRule="auto"/>
        <w:ind w:right="1560" w:firstLine="600"/>
        <w:jc w:val="right"/>
        <w:rPr>
          <w:rFonts w:hint="eastAsia" w:ascii="仿宋" w:hAnsi="仿宋" w:eastAsia="仿宋"/>
          <w:color w:val="auto"/>
          <w:sz w:val="24"/>
          <w:szCs w:val="24"/>
          <w:highlight w:val="none"/>
        </w:rPr>
      </w:pPr>
      <w:r>
        <w:rPr>
          <w:rFonts w:hint="eastAsia" w:ascii="仿宋" w:hAnsi="仿宋" w:eastAsia="仿宋" w:cs="Times New Roman"/>
          <w:color w:val="auto"/>
          <w:kern w:val="2"/>
          <w:sz w:val="24"/>
          <w:szCs w:val="24"/>
          <w:highlight w:val="none"/>
        </w:rPr>
        <w:t>日  期：</w:t>
      </w:r>
    </w:p>
    <w:p w14:paraId="2B399140">
      <w:pPr>
        <w:spacing w:line="360" w:lineRule="auto"/>
        <w:rPr>
          <w:rFonts w:hint="eastAsia" w:ascii="仿宋" w:hAnsi="仿宋" w:eastAsia="仿宋"/>
          <w:color w:val="auto"/>
          <w:sz w:val="28"/>
          <w:szCs w:val="28"/>
          <w:highlight w:val="none"/>
        </w:rPr>
      </w:pPr>
    </w:p>
    <w:p w14:paraId="403FC661">
      <w:pPr>
        <w:spacing w:line="360" w:lineRule="auto"/>
        <w:rPr>
          <w:rFonts w:hint="eastAsia" w:ascii="仿宋" w:hAnsi="仿宋" w:eastAsia="仿宋"/>
          <w:color w:val="auto"/>
          <w:highlight w:val="none"/>
        </w:rPr>
        <w:sectPr>
          <w:pgSz w:w="11906" w:h="16838"/>
          <w:pgMar w:top="1440" w:right="1803" w:bottom="1440" w:left="1803" w:header="851" w:footer="851" w:gutter="0"/>
          <w:pgNumType w:fmt="decimal"/>
          <w:cols w:space="720" w:num="1"/>
          <w:docGrid w:linePitch="312" w:charSpace="0"/>
        </w:sectPr>
      </w:pPr>
    </w:p>
    <w:p w14:paraId="2E6B875B">
      <w:pPr>
        <w:pStyle w:val="6"/>
        <w:spacing w:before="0" w:after="0"/>
        <w:ind w:firstLine="0" w:firstLineChars="0"/>
        <w:jc w:val="left"/>
        <w:rPr>
          <w:rFonts w:hint="eastAsia" w:ascii="仿宋" w:hAnsi="仿宋" w:eastAsia="仿宋"/>
          <w:color w:val="auto"/>
          <w:sz w:val="24"/>
          <w:szCs w:val="24"/>
          <w:highlight w:val="none"/>
        </w:rPr>
      </w:pPr>
      <w:bookmarkStart w:id="498" w:name="_Toc28705"/>
      <w:bookmarkStart w:id="499" w:name="_Toc13474"/>
      <w:bookmarkStart w:id="500" w:name="_Toc26216"/>
      <w:bookmarkStart w:id="501" w:name="_Toc8621"/>
      <w:bookmarkStart w:id="502" w:name="_Toc7665"/>
      <w:r>
        <w:rPr>
          <w:rFonts w:hint="eastAsia" w:ascii="仿宋" w:hAnsi="仿宋" w:eastAsia="仿宋"/>
          <w:color w:val="auto"/>
          <w:sz w:val="24"/>
          <w:szCs w:val="24"/>
          <w:highlight w:val="none"/>
          <w:lang w:val="en-US" w:eastAsia="zh-CN"/>
        </w:rPr>
        <w:t>3.6</w:t>
      </w:r>
      <w:r>
        <w:rPr>
          <w:rFonts w:hint="eastAsia" w:ascii="仿宋" w:hAnsi="仿宋" w:eastAsia="仿宋"/>
          <w:color w:val="auto"/>
          <w:sz w:val="24"/>
          <w:szCs w:val="24"/>
          <w:highlight w:val="none"/>
        </w:rPr>
        <w:t xml:space="preserve">    监狱企业证明格式</w:t>
      </w:r>
      <w:bookmarkEnd w:id="498"/>
      <w:bookmarkEnd w:id="499"/>
      <w:bookmarkEnd w:id="500"/>
      <w:bookmarkEnd w:id="501"/>
      <w:bookmarkEnd w:id="502"/>
    </w:p>
    <w:p w14:paraId="04CA4B83">
      <w:pPr>
        <w:pStyle w:val="4"/>
        <w:spacing w:line="360" w:lineRule="auto"/>
        <w:ind w:firstLine="0"/>
        <w:jc w:val="center"/>
        <w:rPr>
          <w:rFonts w:hint="eastAsia" w:ascii="仿宋" w:hAnsi="仿宋" w:eastAsia="仿宋"/>
          <w:b/>
          <w:color w:val="auto"/>
          <w:sz w:val="32"/>
          <w:szCs w:val="32"/>
          <w:highlight w:val="none"/>
        </w:rPr>
      </w:pPr>
      <w:r>
        <w:rPr>
          <w:rFonts w:hint="eastAsia" w:ascii="仿宋" w:hAnsi="仿宋" w:eastAsia="仿宋"/>
          <w:b/>
          <w:color w:val="auto"/>
          <w:sz w:val="32"/>
          <w:szCs w:val="32"/>
          <w:highlight w:val="none"/>
        </w:rPr>
        <w:t>监狱企业证明</w:t>
      </w:r>
    </w:p>
    <w:p w14:paraId="776C1D22">
      <w:pPr>
        <w:pStyle w:val="4"/>
        <w:spacing w:line="360" w:lineRule="auto"/>
        <w:ind w:firstLine="0"/>
        <w:jc w:val="center"/>
        <w:rPr>
          <w:rFonts w:hint="eastAsia" w:ascii="仿宋" w:hAnsi="仿宋" w:eastAsia="仿宋"/>
          <w:color w:val="auto"/>
          <w:sz w:val="24"/>
          <w:szCs w:val="24"/>
          <w:highlight w:val="none"/>
        </w:rPr>
      </w:pPr>
    </w:p>
    <w:p w14:paraId="11264FBA">
      <w:pPr>
        <w:pStyle w:val="4"/>
        <w:spacing w:line="360" w:lineRule="auto"/>
        <w:ind w:firstLine="482" w:firstLineChars="200"/>
        <w:jc w:val="left"/>
        <w:rPr>
          <w:rFonts w:hint="eastAsia"/>
          <w:color w:val="auto"/>
          <w:highlight w:val="none"/>
        </w:rPr>
        <w:sectPr>
          <w:pgSz w:w="11906" w:h="16838"/>
          <w:pgMar w:top="1440" w:right="1440" w:bottom="1440" w:left="1440" w:header="851" w:footer="851" w:gutter="0"/>
          <w:pgNumType w:fmt="decimal"/>
          <w:cols w:space="720" w:num="1"/>
          <w:docGrid w:linePitch="312" w:charSpace="0"/>
        </w:sectPr>
      </w:pPr>
      <w:r>
        <w:rPr>
          <w:rFonts w:hint="eastAsia" w:ascii="仿宋" w:hAnsi="仿宋" w:eastAsia="仿宋"/>
          <w:b/>
          <w:color w:val="auto"/>
          <w:sz w:val="24"/>
          <w:szCs w:val="24"/>
          <w:highlight w:val="none"/>
        </w:rPr>
        <w:t>注：</w:t>
      </w:r>
      <w:r>
        <w:rPr>
          <w:rFonts w:hint="eastAsia" w:ascii="仿宋" w:hAnsi="仿宋" w:eastAsia="仿宋"/>
          <w:color w:val="auto"/>
          <w:sz w:val="24"/>
          <w:szCs w:val="24"/>
          <w:highlight w:val="none"/>
        </w:rPr>
        <w:t>须提供省级以上监狱管理局、戒毒管理局（含新疆生产建设兵团）出具的属于监狱企业的证明文件</w:t>
      </w:r>
    </w:p>
    <w:p w14:paraId="2C0B81C6">
      <w:pPr>
        <w:pStyle w:val="19"/>
        <w:spacing w:before="0" w:after="0" w:line="360" w:lineRule="auto"/>
        <w:rPr>
          <w:rFonts w:ascii="仿宋" w:hAnsi="仿宋" w:eastAsia="仿宋" w:cs="仿宋"/>
          <w:color w:val="auto"/>
          <w:sz w:val="36"/>
          <w:szCs w:val="36"/>
          <w:highlight w:val="none"/>
        </w:rPr>
      </w:pPr>
      <w:bookmarkStart w:id="503" w:name="_Toc6691"/>
      <w:r>
        <w:rPr>
          <w:rFonts w:hint="eastAsia" w:ascii="仿宋" w:hAnsi="仿宋" w:eastAsia="仿宋" w:cs="仿宋"/>
          <w:color w:val="auto"/>
          <w:sz w:val="36"/>
          <w:szCs w:val="36"/>
          <w:highlight w:val="none"/>
        </w:rPr>
        <w:t>第六章  评审办法和细则</w:t>
      </w:r>
      <w:bookmarkEnd w:id="479"/>
      <w:bookmarkEnd w:id="480"/>
      <w:bookmarkEnd w:id="481"/>
      <w:bookmarkEnd w:id="482"/>
      <w:bookmarkEnd w:id="503"/>
    </w:p>
    <w:p w14:paraId="7F9310B0">
      <w:pPr>
        <w:pStyle w:val="11"/>
        <w:snapToGrid/>
        <w:spacing w:line="360" w:lineRule="auto"/>
        <w:ind w:firstLineChars="200"/>
        <w:rPr>
          <w:rFonts w:ascii="仿宋" w:hAnsi="仿宋" w:eastAsia="仿宋" w:cs="仿宋"/>
          <w:color w:val="auto"/>
          <w:highlight w:val="none"/>
        </w:rPr>
      </w:pPr>
    </w:p>
    <w:p w14:paraId="10B0C788">
      <w:pPr>
        <w:pStyle w:val="11"/>
        <w:snapToGrid/>
        <w:spacing w:line="360" w:lineRule="auto"/>
        <w:ind w:firstLineChars="200"/>
        <w:rPr>
          <w:rFonts w:ascii="仿宋" w:hAnsi="仿宋" w:eastAsia="仿宋" w:cs="仿宋"/>
          <w:color w:val="auto"/>
          <w:highlight w:val="none"/>
        </w:rPr>
      </w:pPr>
      <w:r>
        <w:rPr>
          <w:rFonts w:hint="eastAsia" w:ascii="仿宋" w:hAnsi="仿宋" w:eastAsia="仿宋" w:cs="仿宋"/>
          <w:color w:val="auto"/>
          <w:highlight w:val="none"/>
        </w:rPr>
        <w:t>根据《中华人民共和国政府采购法》等有关法律法规的规定，并结合本项目的实际，特制定本办法，本办法只适用于本项目政府采购的评审。</w:t>
      </w:r>
    </w:p>
    <w:p w14:paraId="2BD052D4">
      <w:pPr>
        <w:pStyle w:val="19"/>
        <w:spacing w:beforeLines="100" w:after="240" w:afterLines="100"/>
        <w:jc w:val="left"/>
        <w:outlineLvl w:val="1"/>
        <w:rPr>
          <w:rFonts w:ascii="仿宋" w:hAnsi="仿宋" w:eastAsia="仿宋" w:cs="仿宋"/>
          <w:color w:val="auto"/>
          <w:sz w:val="30"/>
          <w:szCs w:val="30"/>
          <w:highlight w:val="none"/>
        </w:rPr>
      </w:pPr>
      <w:bookmarkStart w:id="504" w:name="_Toc493956075"/>
      <w:bookmarkStart w:id="505" w:name="_Toc30503"/>
      <w:bookmarkStart w:id="506" w:name="_Toc335664295"/>
      <w:bookmarkStart w:id="507" w:name="_Toc530551901"/>
      <w:bookmarkStart w:id="508" w:name="_Toc531359078"/>
      <w:r>
        <w:rPr>
          <w:rFonts w:hint="eastAsia" w:ascii="仿宋" w:hAnsi="仿宋" w:eastAsia="仿宋" w:cs="仿宋"/>
          <w:color w:val="auto"/>
          <w:sz w:val="30"/>
          <w:szCs w:val="30"/>
          <w:highlight w:val="none"/>
        </w:rPr>
        <w:t>一    总则</w:t>
      </w:r>
      <w:bookmarkEnd w:id="504"/>
      <w:bookmarkEnd w:id="505"/>
      <w:bookmarkEnd w:id="506"/>
      <w:bookmarkEnd w:id="507"/>
      <w:bookmarkEnd w:id="508"/>
    </w:p>
    <w:p w14:paraId="5E1525EC">
      <w:pPr>
        <w:pStyle w:val="11"/>
        <w:snapToGrid/>
        <w:spacing w:line="360" w:lineRule="auto"/>
        <w:ind w:firstLineChars="200"/>
        <w:rPr>
          <w:rFonts w:ascii="仿宋" w:hAnsi="仿宋" w:eastAsia="仿宋" w:cs="仿宋"/>
          <w:color w:val="auto"/>
          <w:highlight w:val="none"/>
        </w:rPr>
      </w:pPr>
      <w:r>
        <w:rPr>
          <w:rFonts w:hint="eastAsia" w:ascii="仿宋" w:hAnsi="仿宋" w:eastAsia="仿宋" w:cs="仿宋"/>
          <w:color w:val="auto"/>
          <w:highlight w:val="none"/>
        </w:rPr>
        <w:t>1.1  评审工作遵循公正、公平、科学、择优的原则确定成交候选人。磋商小组应严格按照磋商文件的资信商务及技术和报价要求，对磋商响应文件综合分析评价并编制评审报告。评审专家必须严格遵守保密规定，不得泄漏评审有关的情况，不得索贿受贿，不得参加影响评审的任何活动。</w:t>
      </w:r>
    </w:p>
    <w:p w14:paraId="4F4F7D04">
      <w:pPr>
        <w:pStyle w:val="11"/>
        <w:snapToGrid/>
        <w:spacing w:line="360" w:lineRule="auto"/>
        <w:ind w:firstLineChars="200"/>
        <w:rPr>
          <w:rFonts w:ascii="仿宋" w:hAnsi="仿宋" w:eastAsia="仿宋" w:cs="仿宋"/>
          <w:color w:val="auto"/>
          <w:highlight w:val="none"/>
        </w:rPr>
      </w:pPr>
      <w:r>
        <w:rPr>
          <w:rFonts w:hint="eastAsia" w:ascii="仿宋" w:hAnsi="仿宋" w:eastAsia="仿宋" w:cs="仿宋"/>
          <w:color w:val="auto"/>
          <w:highlight w:val="none"/>
        </w:rPr>
        <w:t>1.2  本次评审采用综合评分法，按最终得分由高到低顺序排列。最终得分相同的，按磋商报价由低到高顺序排列；最终得分且磋商报价相同的，按技术得分由高到低顺序排列。磋商小组按顺序推荐成交候选人。评分过程中采用四舍五入法，并保留小数2位。</w:t>
      </w:r>
    </w:p>
    <w:p w14:paraId="689B2D09">
      <w:pPr>
        <w:pStyle w:val="19"/>
        <w:spacing w:beforeLines="100" w:after="240" w:afterLines="100"/>
        <w:jc w:val="left"/>
        <w:outlineLvl w:val="1"/>
        <w:rPr>
          <w:rFonts w:ascii="仿宋" w:hAnsi="仿宋" w:eastAsia="仿宋" w:cs="仿宋"/>
          <w:color w:val="auto"/>
          <w:sz w:val="30"/>
          <w:szCs w:val="30"/>
          <w:highlight w:val="none"/>
        </w:rPr>
      </w:pPr>
      <w:bookmarkStart w:id="509" w:name="_Toc26420"/>
      <w:r>
        <w:rPr>
          <w:rFonts w:hint="eastAsia" w:ascii="仿宋" w:hAnsi="仿宋" w:eastAsia="仿宋" w:cs="仿宋"/>
          <w:color w:val="auto"/>
          <w:sz w:val="30"/>
          <w:szCs w:val="30"/>
          <w:highlight w:val="none"/>
        </w:rPr>
        <w:t>二    评审一般规定</w:t>
      </w:r>
      <w:bookmarkEnd w:id="509"/>
    </w:p>
    <w:p w14:paraId="5CDB85C9">
      <w:pPr>
        <w:pStyle w:val="11"/>
        <w:snapToGrid/>
        <w:spacing w:line="360" w:lineRule="auto"/>
        <w:ind w:firstLineChars="200"/>
        <w:rPr>
          <w:rFonts w:ascii="仿宋" w:hAnsi="仿宋" w:eastAsia="仿宋" w:cs="仿宋"/>
          <w:color w:val="auto"/>
          <w:highlight w:val="none"/>
        </w:rPr>
      </w:pPr>
      <w:r>
        <w:rPr>
          <w:rFonts w:hint="eastAsia" w:ascii="仿宋" w:hAnsi="仿宋" w:eastAsia="仿宋" w:cs="仿宋"/>
          <w:color w:val="auto"/>
          <w:highlight w:val="none"/>
        </w:rPr>
        <w:t>2.1  本次评审采用综合评分法，总分100分。</w:t>
      </w:r>
    </w:p>
    <w:p w14:paraId="15733EA6">
      <w:pPr>
        <w:pStyle w:val="11"/>
        <w:snapToGrid/>
        <w:spacing w:line="360" w:lineRule="auto"/>
        <w:ind w:firstLineChars="200"/>
        <w:rPr>
          <w:rFonts w:ascii="仿宋" w:hAnsi="仿宋" w:eastAsia="仿宋" w:cs="仿宋"/>
          <w:color w:val="auto"/>
          <w:highlight w:val="none"/>
        </w:rPr>
      </w:pPr>
      <w:r>
        <w:rPr>
          <w:rFonts w:hint="eastAsia" w:ascii="仿宋" w:hAnsi="仿宋" w:eastAsia="仿宋" w:cs="仿宋"/>
          <w:color w:val="auto"/>
          <w:highlight w:val="none"/>
        </w:rPr>
        <w:t>2.2  资信商务及技术分的权重为</w:t>
      </w:r>
      <w:r>
        <w:rPr>
          <w:rFonts w:hint="eastAsia" w:ascii="仿宋" w:hAnsi="仿宋" w:eastAsia="仿宋" w:cs="仿宋"/>
          <w:color w:val="auto"/>
          <w:highlight w:val="none"/>
          <w:u w:val="single"/>
          <w:lang w:val="en-US" w:eastAsia="zh-CN"/>
        </w:rPr>
        <w:t>7</w:t>
      </w:r>
      <w:r>
        <w:rPr>
          <w:rFonts w:hint="eastAsia" w:ascii="仿宋" w:hAnsi="仿宋" w:eastAsia="仿宋" w:cs="仿宋"/>
          <w:color w:val="auto"/>
          <w:highlight w:val="none"/>
          <w:u w:val="single"/>
        </w:rPr>
        <w:t>0</w:t>
      </w:r>
      <w:r>
        <w:rPr>
          <w:rFonts w:hint="eastAsia" w:ascii="仿宋" w:hAnsi="仿宋" w:eastAsia="仿宋" w:cs="仿宋"/>
          <w:color w:val="auto"/>
          <w:highlight w:val="none"/>
        </w:rPr>
        <w:t>%，评审分值为</w:t>
      </w:r>
      <w:r>
        <w:rPr>
          <w:rFonts w:hint="eastAsia" w:ascii="仿宋" w:hAnsi="仿宋" w:eastAsia="仿宋" w:cs="仿宋"/>
          <w:color w:val="auto"/>
          <w:highlight w:val="none"/>
          <w:u w:val="single"/>
          <w:lang w:val="en-US" w:eastAsia="zh-CN"/>
        </w:rPr>
        <w:t>7</w:t>
      </w:r>
      <w:r>
        <w:rPr>
          <w:rFonts w:hint="eastAsia" w:ascii="仿宋" w:hAnsi="仿宋" w:eastAsia="仿宋" w:cs="仿宋"/>
          <w:color w:val="auto"/>
          <w:highlight w:val="none"/>
          <w:u w:val="single"/>
        </w:rPr>
        <w:t>0</w:t>
      </w:r>
      <w:r>
        <w:rPr>
          <w:rFonts w:hint="eastAsia" w:ascii="仿宋" w:hAnsi="仿宋" w:eastAsia="仿宋" w:cs="仿宋"/>
          <w:color w:val="auto"/>
          <w:highlight w:val="none"/>
        </w:rPr>
        <w:t>分。评审专家对各供应商的资信商务及技术文件经充分审核，讨论后，其中客观部分（即资信商务部分）应统一意见后统一给分，其他部分（即技术部分）由评审专家独立评定打分。各有效供应商的资信商务及技术得分为各评审专家对该供应商的评审得分结果汇总后的算术平均值。</w:t>
      </w:r>
    </w:p>
    <w:p w14:paraId="77D88FED">
      <w:pPr>
        <w:pStyle w:val="11"/>
        <w:snapToGrid/>
        <w:spacing w:line="360" w:lineRule="auto"/>
        <w:ind w:firstLineChars="200"/>
        <w:rPr>
          <w:rFonts w:ascii="仿宋" w:hAnsi="仿宋" w:eastAsia="仿宋" w:cs="仿宋"/>
          <w:color w:val="auto"/>
          <w:highlight w:val="none"/>
        </w:rPr>
      </w:pPr>
      <w:r>
        <w:rPr>
          <w:rFonts w:hint="eastAsia" w:ascii="仿宋" w:hAnsi="仿宋" w:eastAsia="仿宋" w:cs="仿宋"/>
          <w:color w:val="auto"/>
          <w:highlight w:val="none"/>
        </w:rPr>
        <w:t>2.2   报价分的权重为</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0%，评审分值为</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0分，由磋商小组按各供应商报价统一计算。</w:t>
      </w:r>
    </w:p>
    <w:p w14:paraId="1192EC1C">
      <w:pPr>
        <w:pStyle w:val="11"/>
        <w:snapToGrid/>
        <w:spacing w:line="360" w:lineRule="auto"/>
        <w:ind w:firstLineChars="200"/>
        <w:rPr>
          <w:rFonts w:ascii="仿宋" w:hAnsi="仿宋" w:eastAsia="仿宋" w:cs="仿宋"/>
          <w:color w:val="auto"/>
          <w:highlight w:val="none"/>
        </w:rPr>
      </w:pPr>
      <w:r>
        <w:rPr>
          <w:rFonts w:hint="eastAsia" w:ascii="仿宋" w:hAnsi="仿宋" w:eastAsia="仿宋" w:cs="仿宋"/>
          <w:color w:val="auto"/>
          <w:highlight w:val="none"/>
        </w:rPr>
        <w:t>2.3   供应商总得分=资信商务及技术得分+报价得分。</w:t>
      </w:r>
    </w:p>
    <w:p w14:paraId="5A1A2848">
      <w:pPr>
        <w:pStyle w:val="11"/>
        <w:snapToGrid/>
        <w:spacing w:line="360" w:lineRule="auto"/>
        <w:ind w:firstLineChars="200"/>
        <w:rPr>
          <w:rFonts w:ascii="仿宋" w:hAnsi="仿宋" w:eastAsia="仿宋" w:cs="仿宋"/>
          <w:color w:val="auto"/>
          <w:highlight w:val="none"/>
        </w:rPr>
      </w:pPr>
      <w:r>
        <w:rPr>
          <w:rFonts w:hint="eastAsia" w:ascii="仿宋" w:hAnsi="仿宋" w:eastAsia="仿宋" w:cs="仿宋"/>
          <w:color w:val="auto"/>
          <w:highlight w:val="none"/>
        </w:rPr>
        <w:t>2.3   评审专家在规定的分值范围内打分，评分保留两位小数。</w:t>
      </w:r>
    </w:p>
    <w:p w14:paraId="28E17ABC">
      <w:pPr>
        <w:pStyle w:val="19"/>
        <w:spacing w:beforeLines="100" w:after="240" w:afterLines="100"/>
        <w:jc w:val="left"/>
        <w:outlineLvl w:val="1"/>
        <w:rPr>
          <w:rFonts w:ascii="仿宋" w:hAnsi="仿宋" w:eastAsia="仿宋" w:cs="仿宋"/>
          <w:color w:val="auto"/>
          <w:sz w:val="30"/>
          <w:szCs w:val="30"/>
          <w:highlight w:val="none"/>
        </w:rPr>
      </w:pPr>
      <w:bookmarkStart w:id="510" w:name="_Toc12982"/>
      <w:r>
        <w:rPr>
          <w:rFonts w:hint="eastAsia" w:ascii="仿宋" w:hAnsi="仿宋" w:eastAsia="仿宋" w:cs="仿宋"/>
          <w:color w:val="auto"/>
          <w:sz w:val="30"/>
          <w:szCs w:val="30"/>
          <w:highlight w:val="none"/>
        </w:rPr>
        <w:t>三    评审内容及标准</w:t>
      </w:r>
      <w:bookmarkEnd w:id="510"/>
    </w:p>
    <w:p w14:paraId="017F2B34">
      <w:pPr>
        <w:pStyle w:val="11"/>
        <w:snapToGrid/>
        <w:spacing w:line="360" w:lineRule="auto"/>
        <w:ind w:firstLineChars="200"/>
        <w:rPr>
          <w:rFonts w:ascii="仿宋" w:hAnsi="仿宋" w:eastAsia="仿宋" w:cs="仿宋"/>
          <w:color w:val="auto"/>
          <w:highlight w:val="none"/>
        </w:rPr>
      </w:pPr>
      <w:r>
        <w:rPr>
          <w:rFonts w:hint="eastAsia" w:ascii="仿宋" w:hAnsi="仿宋" w:eastAsia="仿宋" w:cs="仿宋"/>
          <w:color w:val="auto"/>
          <w:highlight w:val="none"/>
        </w:rPr>
        <w:t>3.1   报价分（</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0分）</w:t>
      </w:r>
    </w:p>
    <w:p w14:paraId="3D88EFE4">
      <w:pPr>
        <w:pStyle w:val="11"/>
        <w:snapToGrid/>
        <w:spacing w:line="360" w:lineRule="auto"/>
        <w:ind w:firstLineChars="200"/>
        <w:rPr>
          <w:rFonts w:ascii="仿宋" w:hAnsi="仿宋" w:eastAsia="仿宋" w:cs="仿宋"/>
          <w:color w:val="auto"/>
          <w:highlight w:val="none"/>
        </w:rPr>
      </w:pPr>
      <w:r>
        <w:rPr>
          <w:rFonts w:hint="eastAsia" w:ascii="仿宋" w:hAnsi="仿宋" w:eastAsia="仿宋" w:cs="仿宋"/>
          <w:color w:val="auto"/>
          <w:highlight w:val="none"/>
        </w:rPr>
        <w:t>3.1.1 报价得分采用低价优先法计算，即满足磋商文件要求且磋商价格最低的磋商报价为评审基准价，其他供应商的价格分按照下列公式计算：</w:t>
      </w:r>
    </w:p>
    <w:p w14:paraId="5A7BDBF6">
      <w:pPr>
        <w:pStyle w:val="11"/>
        <w:snapToGrid/>
        <w:spacing w:line="360" w:lineRule="auto"/>
        <w:ind w:firstLineChars="200"/>
        <w:rPr>
          <w:rFonts w:ascii="仿宋" w:hAnsi="仿宋" w:eastAsia="仿宋" w:cs="仿宋"/>
          <w:color w:val="auto"/>
          <w:highlight w:val="none"/>
        </w:rPr>
      </w:pPr>
      <w:r>
        <w:rPr>
          <w:rFonts w:hint="eastAsia" w:ascii="仿宋" w:hAnsi="仿宋" w:eastAsia="仿宋" w:cs="仿宋"/>
          <w:color w:val="auto"/>
          <w:highlight w:val="none"/>
        </w:rPr>
        <w:t>价格分=（评审基准价/磋商报价）×报价权重×100</w:t>
      </w:r>
    </w:p>
    <w:p w14:paraId="625FDC1A">
      <w:pPr>
        <w:pStyle w:val="11"/>
        <w:snapToGrid/>
        <w:spacing w:line="360" w:lineRule="auto"/>
        <w:ind w:firstLineChars="200"/>
        <w:rPr>
          <w:rFonts w:ascii="仿宋" w:hAnsi="仿宋" w:eastAsia="仿宋" w:cs="仿宋"/>
          <w:color w:val="auto"/>
          <w:highlight w:val="none"/>
        </w:rPr>
      </w:pPr>
      <w:r>
        <w:rPr>
          <w:rFonts w:hint="eastAsia" w:ascii="仿宋" w:hAnsi="仿宋" w:eastAsia="仿宋" w:cs="仿宋"/>
          <w:color w:val="auto"/>
          <w:highlight w:val="none"/>
        </w:rPr>
        <w:t>3.1.2  价格扣除：因落实政府采购政策进行价格调整的，以调整后的价格计算评审基准价和磋商报价。</w:t>
      </w:r>
    </w:p>
    <w:p w14:paraId="6A61C161">
      <w:pPr>
        <w:pStyle w:val="11"/>
        <w:snapToGrid/>
        <w:spacing w:line="360" w:lineRule="auto"/>
        <w:ind w:firstLineChars="200"/>
        <w:rPr>
          <w:rFonts w:ascii="仿宋" w:hAnsi="仿宋" w:eastAsia="仿宋" w:cs="仿宋"/>
          <w:color w:val="auto"/>
          <w:highlight w:val="none"/>
        </w:rPr>
      </w:pPr>
      <w:r>
        <w:rPr>
          <w:rFonts w:hint="eastAsia" w:ascii="仿宋" w:hAnsi="仿宋" w:eastAsia="仿宋" w:cs="仿宋"/>
          <w:color w:val="auto"/>
          <w:highlight w:val="none"/>
        </w:rPr>
        <w:t>调整后的投标报价＝调整前的投标报价×（1-扣除率）</w:t>
      </w:r>
    </w:p>
    <w:p w14:paraId="27D0E68E">
      <w:pPr>
        <w:pStyle w:val="11"/>
        <w:snapToGrid/>
        <w:spacing w:line="360" w:lineRule="auto"/>
        <w:ind w:firstLineChars="200"/>
        <w:rPr>
          <w:rFonts w:ascii="仿宋" w:hAnsi="仿宋" w:eastAsia="仿宋" w:cs="仿宋"/>
          <w:color w:val="auto"/>
          <w:highlight w:val="none"/>
        </w:rPr>
      </w:pPr>
      <w:r>
        <w:rPr>
          <w:rFonts w:hint="eastAsia" w:ascii="仿宋" w:hAnsi="仿宋" w:eastAsia="仿宋" w:cs="仿宋"/>
          <w:color w:val="auto"/>
          <w:highlight w:val="none"/>
        </w:rPr>
        <w:t>3.2  资信商务及技术分</w:t>
      </w:r>
      <w:r>
        <w:rPr>
          <w:rFonts w:hint="eastAsia" w:ascii="仿宋" w:hAnsi="仿宋" w:eastAsia="仿宋" w:cs="仿宋"/>
          <w:color w:val="auto"/>
          <w:highlight w:val="none"/>
          <w:u w:val="single"/>
          <w:lang w:val="en-US" w:eastAsia="zh-CN"/>
        </w:rPr>
        <w:t>7</w:t>
      </w:r>
      <w:r>
        <w:rPr>
          <w:rFonts w:hint="eastAsia" w:ascii="仿宋" w:hAnsi="仿宋" w:eastAsia="仿宋" w:cs="仿宋"/>
          <w:color w:val="auto"/>
          <w:highlight w:val="none"/>
          <w:u w:val="single"/>
        </w:rPr>
        <w:t>0</w:t>
      </w:r>
      <w:r>
        <w:rPr>
          <w:rFonts w:hint="eastAsia" w:ascii="仿宋" w:hAnsi="仿宋" w:eastAsia="仿宋" w:cs="仿宋"/>
          <w:color w:val="auto"/>
          <w:highlight w:val="none"/>
        </w:rPr>
        <w:t>分，详细评分见下表：</w:t>
      </w:r>
    </w:p>
    <w:tbl>
      <w:tblPr>
        <w:tblStyle w:val="20"/>
        <w:tblpPr w:leftFromText="180" w:rightFromText="180" w:vertAnchor="text" w:horzAnchor="page" w:tblpXSpec="center" w:tblpY="60"/>
        <w:tblOverlap w:val="never"/>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3"/>
        <w:gridCol w:w="1253"/>
        <w:gridCol w:w="1256"/>
        <w:gridCol w:w="4329"/>
        <w:gridCol w:w="939"/>
      </w:tblGrid>
      <w:tr w14:paraId="16084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743" w:type="dxa"/>
            <w:vAlign w:val="center"/>
          </w:tcPr>
          <w:p w14:paraId="5B505DAE">
            <w:pPr>
              <w:pStyle w:val="11"/>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ascii="仿宋" w:hAnsi="仿宋" w:eastAsia="仿宋" w:cs="仿宋"/>
                <w:b/>
                <w:color w:val="auto"/>
                <w:szCs w:val="24"/>
                <w:highlight w:val="none"/>
              </w:rPr>
            </w:pPr>
            <w:bookmarkStart w:id="511" w:name="_Toc41568724"/>
            <w:r>
              <w:rPr>
                <w:rFonts w:hint="eastAsia" w:ascii="仿宋" w:hAnsi="仿宋" w:eastAsia="仿宋" w:cs="仿宋"/>
                <w:b/>
                <w:color w:val="auto"/>
                <w:szCs w:val="24"/>
                <w:highlight w:val="none"/>
              </w:rPr>
              <w:t>序号</w:t>
            </w:r>
          </w:p>
        </w:tc>
        <w:tc>
          <w:tcPr>
            <w:tcW w:w="1253" w:type="dxa"/>
            <w:vAlign w:val="center"/>
          </w:tcPr>
          <w:p w14:paraId="630D5E25">
            <w:pPr>
              <w:pStyle w:val="11"/>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ascii="仿宋" w:hAnsi="仿宋" w:eastAsia="仿宋" w:cs="仿宋"/>
                <w:b/>
                <w:color w:val="auto"/>
                <w:szCs w:val="24"/>
                <w:highlight w:val="none"/>
              </w:rPr>
            </w:pPr>
            <w:r>
              <w:rPr>
                <w:rFonts w:hint="eastAsia" w:ascii="仿宋" w:hAnsi="仿宋" w:eastAsia="仿宋" w:cs="仿宋"/>
                <w:b/>
                <w:color w:val="auto"/>
                <w:szCs w:val="24"/>
                <w:highlight w:val="none"/>
              </w:rPr>
              <w:t>评审类型</w:t>
            </w:r>
          </w:p>
        </w:tc>
        <w:tc>
          <w:tcPr>
            <w:tcW w:w="1256" w:type="dxa"/>
            <w:vAlign w:val="center"/>
          </w:tcPr>
          <w:p w14:paraId="20B0E4A1">
            <w:pPr>
              <w:pStyle w:val="11"/>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ascii="仿宋" w:hAnsi="仿宋" w:eastAsia="仿宋" w:cs="仿宋"/>
                <w:b/>
                <w:color w:val="auto"/>
                <w:szCs w:val="24"/>
                <w:highlight w:val="none"/>
              </w:rPr>
            </w:pPr>
            <w:r>
              <w:rPr>
                <w:rFonts w:hint="eastAsia" w:ascii="仿宋" w:hAnsi="仿宋" w:eastAsia="仿宋" w:cs="仿宋"/>
                <w:b/>
                <w:color w:val="auto"/>
                <w:szCs w:val="24"/>
                <w:highlight w:val="none"/>
              </w:rPr>
              <w:t>评分项目</w:t>
            </w:r>
          </w:p>
        </w:tc>
        <w:tc>
          <w:tcPr>
            <w:tcW w:w="4329" w:type="dxa"/>
            <w:vAlign w:val="center"/>
          </w:tcPr>
          <w:p w14:paraId="092A5DB2">
            <w:pPr>
              <w:pStyle w:val="11"/>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ascii="仿宋" w:hAnsi="仿宋" w:eastAsia="仿宋" w:cs="仿宋"/>
                <w:b/>
                <w:color w:val="auto"/>
                <w:szCs w:val="24"/>
                <w:highlight w:val="none"/>
              </w:rPr>
            </w:pPr>
            <w:r>
              <w:rPr>
                <w:rFonts w:hint="eastAsia" w:ascii="仿宋" w:hAnsi="仿宋" w:eastAsia="仿宋" w:cs="仿宋"/>
                <w:b/>
                <w:color w:val="auto"/>
                <w:szCs w:val="24"/>
                <w:highlight w:val="none"/>
              </w:rPr>
              <w:t>评分项目内容</w:t>
            </w:r>
          </w:p>
        </w:tc>
        <w:tc>
          <w:tcPr>
            <w:tcW w:w="939" w:type="dxa"/>
            <w:vAlign w:val="center"/>
          </w:tcPr>
          <w:p w14:paraId="70D7621D">
            <w:pPr>
              <w:pStyle w:val="11"/>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ascii="仿宋" w:hAnsi="仿宋" w:eastAsia="仿宋" w:cs="仿宋"/>
                <w:b/>
                <w:color w:val="auto"/>
                <w:szCs w:val="24"/>
                <w:highlight w:val="none"/>
              </w:rPr>
            </w:pPr>
            <w:r>
              <w:rPr>
                <w:rFonts w:hint="eastAsia" w:ascii="仿宋" w:hAnsi="仿宋" w:eastAsia="仿宋" w:cs="仿宋"/>
                <w:b/>
                <w:color w:val="auto"/>
                <w:szCs w:val="24"/>
                <w:highlight w:val="none"/>
              </w:rPr>
              <w:t>分值范围（分）</w:t>
            </w:r>
          </w:p>
        </w:tc>
      </w:tr>
      <w:tr w14:paraId="74568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3" w:type="dxa"/>
            <w:vAlign w:val="center"/>
          </w:tcPr>
          <w:p w14:paraId="3EA9F232">
            <w:pPr>
              <w:pStyle w:val="11"/>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1</w:t>
            </w:r>
          </w:p>
        </w:tc>
        <w:tc>
          <w:tcPr>
            <w:tcW w:w="1253" w:type="dxa"/>
            <w:vMerge w:val="restart"/>
            <w:vAlign w:val="center"/>
          </w:tcPr>
          <w:p w14:paraId="7FCC7263">
            <w:pPr>
              <w:pStyle w:val="11"/>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ascii="仿宋" w:hAnsi="仿宋" w:eastAsia="仿宋" w:cs="仿宋"/>
                <w:b/>
                <w:bCs/>
                <w:color w:val="auto"/>
                <w:szCs w:val="24"/>
                <w:highlight w:val="none"/>
              </w:rPr>
            </w:pPr>
            <w:r>
              <w:rPr>
                <w:rFonts w:hint="eastAsia" w:ascii="仿宋" w:hAnsi="仿宋" w:eastAsia="仿宋" w:cs="仿宋"/>
                <w:b/>
                <w:bCs/>
                <w:color w:val="auto"/>
                <w:szCs w:val="24"/>
                <w:highlight w:val="none"/>
              </w:rPr>
              <w:t>资信商务部分</w:t>
            </w:r>
          </w:p>
          <w:p w14:paraId="0D24F009">
            <w:pPr>
              <w:pStyle w:val="11"/>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ascii="仿宋" w:hAnsi="仿宋" w:eastAsia="仿宋" w:cs="仿宋"/>
                <w:b/>
                <w:bCs/>
                <w:color w:val="auto"/>
                <w:szCs w:val="24"/>
                <w:highlight w:val="none"/>
              </w:rPr>
            </w:pPr>
            <w:r>
              <w:rPr>
                <w:rFonts w:hint="eastAsia" w:ascii="仿宋" w:hAnsi="仿宋" w:eastAsia="仿宋" w:cs="仿宋"/>
                <w:b/>
                <w:bCs/>
                <w:color w:val="auto"/>
                <w:szCs w:val="24"/>
                <w:highlight w:val="none"/>
              </w:rPr>
              <w:t>（6分）</w:t>
            </w:r>
          </w:p>
        </w:tc>
        <w:tc>
          <w:tcPr>
            <w:tcW w:w="1256" w:type="dxa"/>
            <w:vAlign w:val="center"/>
          </w:tcPr>
          <w:p w14:paraId="63D44377">
            <w:pPr>
              <w:pStyle w:val="11"/>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ascii="仿宋" w:hAnsi="仿宋" w:eastAsia="仿宋" w:cs="仿宋"/>
                <w:b/>
                <w:bCs/>
                <w:color w:val="auto"/>
                <w:szCs w:val="24"/>
                <w:highlight w:val="none"/>
              </w:rPr>
            </w:pPr>
            <w:r>
              <w:rPr>
                <w:rFonts w:hint="eastAsia" w:ascii="仿宋" w:hAnsi="仿宋" w:eastAsia="仿宋" w:cs="仿宋"/>
                <w:b/>
                <w:bCs/>
                <w:color w:val="auto"/>
                <w:szCs w:val="24"/>
                <w:highlight w:val="none"/>
              </w:rPr>
              <w:t>类似项目业绩</w:t>
            </w:r>
          </w:p>
        </w:tc>
        <w:tc>
          <w:tcPr>
            <w:tcW w:w="4329" w:type="dxa"/>
            <w:vAlign w:val="center"/>
          </w:tcPr>
          <w:p w14:paraId="1062B74E">
            <w:pPr>
              <w:pStyle w:val="11"/>
              <w:keepNext w:val="0"/>
              <w:keepLines w:val="0"/>
              <w:pageBreakBefore w:val="0"/>
              <w:kinsoku/>
              <w:wordWrap/>
              <w:overflowPunct/>
              <w:topLinePunct w:val="0"/>
              <w:autoSpaceDE/>
              <w:autoSpaceDN/>
              <w:bidi w:val="0"/>
              <w:adjustRightInd/>
              <w:snapToGrid w:val="0"/>
              <w:spacing w:line="240" w:lineRule="auto"/>
              <w:ind w:firstLine="0"/>
              <w:jc w:val="left"/>
              <w:textAlignment w:val="auto"/>
              <w:rPr>
                <w:rFonts w:ascii="仿宋" w:hAnsi="仿宋" w:eastAsia="仿宋" w:cs="仿宋"/>
                <w:color w:val="auto"/>
                <w:szCs w:val="24"/>
                <w:highlight w:val="none"/>
              </w:rPr>
            </w:pPr>
            <w:r>
              <w:rPr>
                <w:rFonts w:hint="eastAsia" w:ascii="仿宋" w:hAnsi="仿宋" w:eastAsia="仿宋" w:cs="仿宋"/>
                <w:bCs/>
                <w:color w:val="auto"/>
                <w:kern w:val="0"/>
                <w:szCs w:val="24"/>
                <w:highlight w:val="none"/>
              </w:rPr>
              <w:t>供应商自20</w:t>
            </w:r>
            <w:r>
              <w:rPr>
                <w:rFonts w:hint="eastAsia" w:ascii="仿宋" w:hAnsi="仿宋" w:eastAsia="仿宋" w:cs="仿宋"/>
                <w:bCs/>
                <w:color w:val="auto"/>
                <w:kern w:val="0"/>
                <w:szCs w:val="24"/>
                <w:highlight w:val="none"/>
                <w:lang w:val="en-US" w:eastAsia="zh-CN"/>
              </w:rPr>
              <w:t>22</w:t>
            </w:r>
            <w:r>
              <w:rPr>
                <w:rFonts w:hint="eastAsia" w:ascii="仿宋" w:hAnsi="仿宋" w:eastAsia="仿宋" w:cs="仿宋"/>
                <w:bCs/>
                <w:color w:val="auto"/>
                <w:kern w:val="0"/>
                <w:szCs w:val="24"/>
                <w:highlight w:val="none"/>
              </w:rPr>
              <w:t>年1月1日起（以合同签订时间为准）具有类似项目业绩，每个得1分，最高得3分。</w:t>
            </w:r>
            <w:r>
              <w:rPr>
                <w:rFonts w:hint="eastAsia" w:ascii="仿宋" w:hAnsi="仿宋" w:eastAsia="仿宋" w:cs="仿宋"/>
                <w:b/>
                <w:color w:val="auto"/>
                <w:kern w:val="0"/>
                <w:szCs w:val="24"/>
                <w:highlight w:val="none"/>
              </w:rPr>
              <w:t>（需提供合同扫描件，扫描件进入磋商响应文件，否则不得分）。</w:t>
            </w:r>
          </w:p>
        </w:tc>
        <w:tc>
          <w:tcPr>
            <w:tcW w:w="939" w:type="dxa"/>
            <w:vAlign w:val="center"/>
          </w:tcPr>
          <w:p w14:paraId="614ECB0F">
            <w:pPr>
              <w:pStyle w:val="11"/>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lang w:val="en-US" w:eastAsia="zh-CN"/>
              </w:rPr>
              <w:t>0-</w:t>
            </w:r>
            <w:r>
              <w:rPr>
                <w:rFonts w:hint="eastAsia" w:ascii="仿宋" w:hAnsi="仿宋" w:eastAsia="仿宋" w:cs="仿宋"/>
                <w:color w:val="auto"/>
                <w:szCs w:val="24"/>
                <w:highlight w:val="none"/>
              </w:rPr>
              <w:t>3</w:t>
            </w:r>
          </w:p>
        </w:tc>
      </w:tr>
      <w:tr w14:paraId="4258F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jc w:val="center"/>
        </w:trPr>
        <w:tc>
          <w:tcPr>
            <w:tcW w:w="743" w:type="dxa"/>
            <w:vAlign w:val="center"/>
          </w:tcPr>
          <w:p w14:paraId="4773446B">
            <w:pPr>
              <w:pStyle w:val="11"/>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2</w:t>
            </w:r>
          </w:p>
        </w:tc>
        <w:tc>
          <w:tcPr>
            <w:tcW w:w="1253" w:type="dxa"/>
            <w:vMerge w:val="continue"/>
            <w:vAlign w:val="center"/>
          </w:tcPr>
          <w:p w14:paraId="54062A84">
            <w:pPr>
              <w:pStyle w:val="11"/>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ascii="仿宋" w:hAnsi="仿宋" w:eastAsia="仿宋" w:cs="仿宋"/>
                <w:b/>
                <w:bCs/>
                <w:color w:val="auto"/>
                <w:szCs w:val="24"/>
                <w:highlight w:val="none"/>
              </w:rPr>
            </w:pPr>
          </w:p>
        </w:tc>
        <w:tc>
          <w:tcPr>
            <w:tcW w:w="1256" w:type="dxa"/>
            <w:vAlign w:val="center"/>
          </w:tcPr>
          <w:p w14:paraId="543CC9B5">
            <w:pPr>
              <w:pStyle w:val="11"/>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ascii="仿宋" w:hAnsi="仿宋" w:eastAsia="仿宋" w:cs="仿宋"/>
                <w:b/>
                <w:bCs/>
                <w:color w:val="auto"/>
                <w:szCs w:val="24"/>
                <w:highlight w:val="none"/>
              </w:rPr>
            </w:pPr>
            <w:r>
              <w:rPr>
                <w:rFonts w:hint="eastAsia" w:ascii="仿宋" w:hAnsi="仿宋" w:eastAsia="仿宋" w:cs="仿宋"/>
                <w:b/>
                <w:bCs/>
                <w:color w:val="auto"/>
                <w:szCs w:val="24"/>
                <w:highlight w:val="none"/>
              </w:rPr>
              <w:t>企业资质</w:t>
            </w:r>
          </w:p>
        </w:tc>
        <w:tc>
          <w:tcPr>
            <w:tcW w:w="4329" w:type="dxa"/>
            <w:vAlign w:val="center"/>
          </w:tcPr>
          <w:p w14:paraId="66C9BC82">
            <w:pPr>
              <w:pStyle w:val="11"/>
              <w:keepNext w:val="0"/>
              <w:keepLines w:val="0"/>
              <w:pageBreakBefore w:val="0"/>
              <w:kinsoku/>
              <w:wordWrap/>
              <w:overflowPunct/>
              <w:topLinePunct w:val="0"/>
              <w:autoSpaceDE/>
              <w:autoSpaceDN/>
              <w:bidi w:val="0"/>
              <w:adjustRightInd/>
              <w:snapToGrid w:val="0"/>
              <w:spacing w:line="240" w:lineRule="auto"/>
              <w:ind w:firstLine="0"/>
              <w:jc w:val="left"/>
              <w:textAlignment w:val="auto"/>
              <w:rPr>
                <w:rFonts w:ascii="仿宋" w:hAnsi="仿宋" w:eastAsia="仿宋" w:cs="仿宋"/>
                <w:bCs/>
                <w:color w:val="auto"/>
                <w:kern w:val="0"/>
                <w:szCs w:val="24"/>
                <w:highlight w:val="none"/>
              </w:rPr>
            </w:pPr>
            <w:r>
              <w:rPr>
                <w:rFonts w:hint="eastAsia" w:ascii="仿宋" w:hAnsi="仿宋" w:eastAsia="仿宋" w:cs="仿宋"/>
                <w:bCs/>
                <w:color w:val="auto"/>
                <w:szCs w:val="24"/>
                <w:highlight w:val="none"/>
              </w:rPr>
              <w:t>供应商</w:t>
            </w:r>
            <w:r>
              <w:rPr>
                <w:rFonts w:hint="eastAsia" w:ascii="仿宋" w:hAnsi="仿宋" w:eastAsia="仿宋" w:cs="仿宋"/>
                <w:bCs/>
                <w:color w:val="auto"/>
                <w:szCs w:val="24"/>
                <w:highlight w:val="none"/>
                <w:lang w:val="en-US" w:eastAsia="zh-CN"/>
              </w:rPr>
              <w:t>自</w:t>
            </w:r>
            <w:r>
              <w:rPr>
                <w:rFonts w:hint="eastAsia" w:ascii="仿宋" w:hAnsi="仿宋" w:eastAsia="仿宋" w:cs="仿宋"/>
                <w:bCs/>
                <w:color w:val="auto"/>
                <w:szCs w:val="24"/>
                <w:highlight w:val="none"/>
              </w:rPr>
              <w:t>20</w:t>
            </w:r>
            <w:r>
              <w:rPr>
                <w:rFonts w:hint="eastAsia" w:ascii="仿宋" w:hAnsi="仿宋" w:eastAsia="仿宋" w:cs="仿宋"/>
                <w:bCs/>
                <w:color w:val="auto"/>
                <w:szCs w:val="24"/>
                <w:highlight w:val="none"/>
                <w:lang w:val="en-US" w:eastAsia="zh-CN"/>
              </w:rPr>
              <w:t>22</w:t>
            </w:r>
            <w:r>
              <w:rPr>
                <w:rFonts w:hint="eastAsia" w:ascii="仿宋" w:hAnsi="仿宋" w:eastAsia="仿宋" w:cs="仿宋"/>
                <w:bCs/>
                <w:color w:val="auto"/>
                <w:szCs w:val="24"/>
                <w:highlight w:val="none"/>
              </w:rPr>
              <w:t>年</w:t>
            </w:r>
            <w:r>
              <w:rPr>
                <w:rFonts w:hint="eastAsia" w:ascii="仿宋" w:hAnsi="仿宋" w:eastAsia="仿宋" w:cs="仿宋"/>
                <w:bCs/>
                <w:color w:val="auto"/>
                <w:kern w:val="0"/>
                <w:szCs w:val="24"/>
                <w:highlight w:val="none"/>
              </w:rPr>
              <w:t>1月1日以来</w:t>
            </w:r>
            <w:r>
              <w:rPr>
                <w:rFonts w:hint="eastAsia" w:ascii="仿宋" w:hAnsi="仿宋" w:eastAsia="仿宋" w:cs="仿宋"/>
                <w:bCs/>
                <w:color w:val="auto"/>
                <w:szCs w:val="24"/>
                <w:highlight w:val="none"/>
              </w:rPr>
              <w:t>《图书馆报》组织的馆配商评选活动中，获得过“全国优秀馆配商”称号的，每获得一年的得1分，最高3分。</w:t>
            </w:r>
            <w:r>
              <w:rPr>
                <w:rFonts w:hint="eastAsia" w:ascii="仿宋" w:hAnsi="仿宋" w:eastAsia="仿宋" w:cs="仿宋"/>
                <w:b/>
                <w:bCs/>
                <w:color w:val="auto"/>
                <w:szCs w:val="24"/>
                <w:highlight w:val="none"/>
              </w:rPr>
              <w:t>（需提供证书或相关证明材料扫描件，扫描件进入</w:t>
            </w:r>
            <w:r>
              <w:rPr>
                <w:rFonts w:hint="eastAsia" w:ascii="仿宋" w:hAnsi="仿宋" w:eastAsia="仿宋" w:cs="仿宋"/>
                <w:b/>
                <w:color w:val="auto"/>
                <w:kern w:val="0"/>
                <w:szCs w:val="24"/>
                <w:highlight w:val="none"/>
              </w:rPr>
              <w:t>磋商响应文件</w:t>
            </w:r>
            <w:r>
              <w:rPr>
                <w:rFonts w:hint="eastAsia" w:ascii="仿宋" w:hAnsi="仿宋" w:eastAsia="仿宋" w:cs="仿宋"/>
                <w:b/>
                <w:bCs/>
                <w:color w:val="auto"/>
                <w:szCs w:val="24"/>
                <w:highlight w:val="none"/>
              </w:rPr>
              <w:t>，否则不得分）。</w:t>
            </w:r>
          </w:p>
        </w:tc>
        <w:tc>
          <w:tcPr>
            <w:tcW w:w="939" w:type="dxa"/>
            <w:vAlign w:val="center"/>
          </w:tcPr>
          <w:p w14:paraId="46AE877F">
            <w:pPr>
              <w:pStyle w:val="11"/>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ascii="仿宋" w:hAnsi="仿宋" w:eastAsia="仿宋" w:cs="仿宋"/>
                <w:bCs/>
                <w:color w:val="auto"/>
                <w:kern w:val="0"/>
                <w:szCs w:val="24"/>
                <w:highlight w:val="none"/>
              </w:rPr>
            </w:pPr>
            <w:r>
              <w:rPr>
                <w:rFonts w:hint="eastAsia" w:ascii="仿宋" w:hAnsi="仿宋" w:eastAsia="仿宋" w:cs="仿宋"/>
                <w:color w:val="auto"/>
                <w:szCs w:val="24"/>
                <w:highlight w:val="none"/>
                <w:lang w:val="en-US" w:eastAsia="zh-CN"/>
              </w:rPr>
              <w:t>0-</w:t>
            </w:r>
            <w:r>
              <w:rPr>
                <w:rFonts w:hint="eastAsia" w:ascii="仿宋" w:hAnsi="仿宋" w:eastAsia="仿宋" w:cs="仿宋"/>
                <w:bCs/>
                <w:color w:val="auto"/>
                <w:kern w:val="0"/>
                <w:szCs w:val="24"/>
                <w:highlight w:val="none"/>
              </w:rPr>
              <w:t>3</w:t>
            </w:r>
          </w:p>
        </w:tc>
      </w:tr>
      <w:tr w14:paraId="4443F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743" w:type="dxa"/>
            <w:vMerge w:val="restart"/>
            <w:vAlign w:val="center"/>
          </w:tcPr>
          <w:p w14:paraId="472EC7DD">
            <w:pPr>
              <w:pStyle w:val="11"/>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3</w:t>
            </w:r>
          </w:p>
          <w:p w14:paraId="05128A3C">
            <w:pPr>
              <w:pStyle w:val="11"/>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ascii="仿宋" w:hAnsi="仿宋" w:eastAsia="仿宋" w:cs="仿宋"/>
                <w:color w:val="auto"/>
                <w:szCs w:val="24"/>
                <w:highlight w:val="none"/>
              </w:rPr>
            </w:pPr>
          </w:p>
        </w:tc>
        <w:tc>
          <w:tcPr>
            <w:tcW w:w="1253" w:type="dxa"/>
            <w:vMerge w:val="restart"/>
            <w:vAlign w:val="center"/>
          </w:tcPr>
          <w:p w14:paraId="2CC20C76">
            <w:pPr>
              <w:pStyle w:val="11"/>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ascii="仿宋" w:hAnsi="仿宋" w:eastAsia="仿宋" w:cs="仿宋"/>
                <w:b/>
                <w:bCs/>
                <w:color w:val="auto"/>
                <w:szCs w:val="24"/>
                <w:highlight w:val="none"/>
              </w:rPr>
            </w:pPr>
            <w:r>
              <w:rPr>
                <w:rFonts w:hint="eastAsia" w:ascii="仿宋" w:hAnsi="仿宋" w:eastAsia="仿宋" w:cs="仿宋"/>
                <w:b/>
                <w:bCs/>
                <w:color w:val="auto"/>
                <w:szCs w:val="24"/>
                <w:highlight w:val="none"/>
              </w:rPr>
              <w:t>技术部分</w:t>
            </w:r>
          </w:p>
          <w:p w14:paraId="11393A3C">
            <w:pPr>
              <w:pStyle w:val="11"/>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ascii="仿宋" w:hAnsi="仿宋" w:eastAsia="仿宋" w:cs="仿宋"/>
                <w:b/>
                <w:bCs/>
                <w:color w:val="auto"/>
                <w:szCs w:val="24"/>
                <w:highlight w:val="none"/>
              </w:rPr>
            </w:pPr>
            <w:r>
              <w:rPr>
                <w:rFonts w:hint="eastAsia" w:ascii="仿宋" w:hAnsi="仿宋" w:eastAsia="仿宋" w:cs="仿宋"/>
                <w:b/>
                <w:bCs/>
                <w:color w:val="auto"/>
                <w:szCs w:val="24"/>
                <w:highlight w:val="none"/>
              </w:rPr>
              <w:t>（64分）</w:t>
            </w:r>
          </w:p>
        </w:tc>
        <w:tc>
          <w:tcPr>
            <w:tcW w:w="1256" w:type="dxa"/>
            <w:vMerge w:val="restart"/>
            <w:vAlign w:val="center"/>
          </w:tcPr>
          <w:p w14:paraId="315AD3B7">
            <w:pPr>
              <w:pStyle w:val="11"/>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hint="default" w:ascii="仿宋" w:hAnsi="仿宋" w:eastAsia="仿宋" w:cs="仿宋"/>
                <w:b/>
                <w:bCs/>
                <w:color w:val="auto"/>
                <w:szCs w:val="24"/>
                <w:highlight w:val="none"/>
                <w:lang w:val="en-US" w:eastAsia="zh-CN"/>
              </w:rPr>
            </w:pPr>
            <w:r>
              <w:rPr>
                <w:rFonts w:hint="eastAsia" w:ascii="仿宋" w:hAnsi="仿宋" w:eastAsia="仿宋" w:cs="仿宋"/>
                <w:b/>
                <w:bCs/>
                <w:color w:val="auto"/>
                <w:szCs w:val="24"/>
                <w:highlight w:val="none"/>
                <w:lang w:val="en-US" w:eastAsia="zh-CN"/>
              </w:rPr>
              <w:t>图书采购方案</w:t>
            </w:r>
          </w:p>
        </w:tc>
        <w:tc>
          <w:tcPr>
            <w:tcW w:w="4329" w:type="dxa"/>
            <w:vAlign w:val="center"/>
          </w:tcPr>
          <w:p w14:paraId="7527F47F">
            <w:pPr>
              <w:pStyle w:val="11"/>
              <w:keepNext w:val="0"/>
              <w:keepLines w:val="0"/>
              <w:pageBreakBefore w:val="0"/>
              <w:kinsoku/>
              <w:wordWrap/>
              <w:overflowPunct/>
              <w:topLinePunct w:val="0"/>
              <w:autoSpaceDE/>
              <w:autoSpaceDN/>
              <w:bidi w:val="0"/>
              <w:adjustRightInd/>
              <w:snapToGrid w:val="0"/>
              <w:spacing w:line="240" w:lineRule="auto"/>
              <w:ind w:firstLine="0"/>
              <w:jc w:val="left"/>
              <w:textAlignment w:val="auto"/>
              <w:rPr>
                <w:rFonts w:ascii="仿宋" w:hAnsi="仿宋" w:eastAsia="仿宋" w:cs="仿宋"/>
                <w:bCs/>
                <w:color w:val="auto"/>
                <w:kern w:val="0"/>
                <w:szCs w:val="24"/>
                <w:highlight w:val="none"/>
              </w:rPr>
            </w:pPr>
            <w:r>
              <w:rPr>
                <w:rFonts w:hint="eastAsia" w:ascii="仿宋" w:hAnsi="仿宋" w:eastAsia="仿宋" w:cs="仿宋"/>
                <w:bCs/>
                <w:color w:val="auto"/>
                <w:szCs w:val="24"/>
                <w:highlight w:val="none"/>
              </w:rPr>
              <w:t>根据</w:t>
            </w:r>
            <w:r>
              <w:rPr>
                <w:rFonts w:hint="eastAsia" w:ascii="仿宋" w:hAnsi="仿宋" w:eastAsia="仿宋" w:cs="仿宋"/>
                <w:bCs/>
                <w:color w:val="auto"/>
                <w:szCs w:val="24"/>
                <w:highlight w:val="none"/>
                <w:lang w:val="en-US" w:eastAsia="zh-CN"/>
              </w:rPr>
              <w:t>供应商</w:t>
            </w:r>
            <w:r>
              <w:rPr>
                <w:rFonts w:hint="eastAsia" w:ascii="仿宋" w:hAnsi="仿宋" w:eastAsia="仿宋" w:cs="仿宋"/>
                <w:bCs/>
                <w:color w:val="auto"/>
                <w:szCs w:val="24"/>
                <w:highlight w:val="none"/>
              </w:rPr>
              <w:t>提供的现采方案，是否能够组织带领采购人参加省级及以上大型馆藏图书展，现场采购组成目录，且能保证现采规模与范围，由评委在分值范围内进行打分</w:t>
            </w:r>
            <w:r>
              <w:rPr>
                <w:rFonts w:hint="eastAsia" w:ascii="仿宋" w:hAnsi="仿宋" w:eastAsia="仿宋" w:cs="仿宋"/>
                <w:color w:val="auto"/>
                <w:sz w:val="24"/>
                <w:szCs w:val="24"/>
                <w:highlight w:val="none"/>
              </w:rPr>
              <w:t>（分值：</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、2、1、0）。</w:t>
            </w:r>
          </w:p>
        </w:tc>
        <w:tc>
          <w:tcPr>
            <w:tcW w:w="939" w:type="dxa"/>
            <w:vAlign w:val="center"/>
          </w:tcPr>
          <w:p w14:paraId="4CD0B571">
            <w:pPr>
              <w:pStyle w:val="11"/>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hint="eastAsia" w:ascii="仿宋" w:hAnsi="仿宋" w:eastAsia="仿宋" w:cs="仿宋"/>
                <w:bCs/>
                <w:color w:val="auto"/>
                <w:kern w:val="0"/>
                <w:szCs w:val="24"/>
                <w:highlight w:val="none"/>
                <w:lang w:eastAsia="zh-CN"/>
              </w:rPr>
            </w:pPr>
            <w:r>
              <w:rPr>
                <w:rFonts w:hint="eastAsia" w:ascii="仿宋" w:hAnsi="仿宋" w:eastAsia="仿宋" w:cs="仿宋"/>
                <w:color w:val="auto"/>
                <w:szCs w:val="24"/>
                <w:highlight w:val="none"/>
                <w:lang w:val="en-US" w:eastAsia="zh-CN"/>
              </w:rPr>
              <w:t>0-</w:t>
            </w:r>
            <w:r>
              <w:rPr>
                <w:rFonts w:hint="eastAsia" w:ascii="仿宋" w:hAnsi="仿宋" w:eastAsia="仿宋" w:cs="仿宋"/>
                <w:bCs/>
                <w:color w:val="auto"/>
                <w:kern w:val="0"/>
                <w:szCs w:val="24"/>
                <w:highlight w:val="none"/>
                <w:lang w:val="en-US" w:eastAsia="zh-CN"/>
              </w:rPr>
              <w:t>3</w:t>
            </w:r>
          </w:p>
        </w:tc>
      </w:tr>
      <w:tr w14:paraId="025AD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743" w:type="dxa"/>
            <w:vMerge w:val="continue"/>
            <w:vAlign w:val="center"/>
          </w:tcPr>
          <w:p w14:paraId="4C1146CB">
            <w:pPr>
              <w:pStyle w:val="11"/>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ascii="仿宋" w:hAnsi="仿宋" w:eastAsia="仿宋" w:cs="仿宋"/>
                <w:color w:val="auto"/>
                <w:szCs w:val="24"/>
                <w:highlight w:val="none"/>
              </w:rPr>
            </w:pPr>
          </w:p>
        </w:tc>
        <w:tc>
          <w:tcPr>
            <w:tcW w:w="1253" w:type="dxa"/>
            <w:vMerge w:val="continue"/>
            <w:vAlign w:val="center"/>
          </w:tcPr>
          <w:p w14:paraId="25ABCB55">
            <w:pPr>
              <w:pStyle w:val="11"/>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ascii="仿宋" w:hAnsi="仿宋" w:eastAsia="仿宋" w:cs="仿宋"/>
                <w:b/>
                <w:bCs/>
                <w:color w:val="auto"/>
                <w:szCs w:val="24"/>
                <w:highlight w:val="none"/>
              </w:rPr>
            </w:pPr>
          </w:p>
        </w:tc>
        <w:tc>
          <w:tcPr>
            <w:tcW w:w="1256" w:type="dxa"/>
            <w:vMerge w:val="continue"/>
            <w:vAlign w:val="center"/>
          </w:tcPr>
          <w:p w14:paraId="587F6AB4">
            <w:pPr>
              <w:pStyle w:val="11"/>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hint="default" w:ascii="仿宋" w:hAnsi="仿宋" w:eastAsia="仿宋" w:cs="仿宋"/>
                <w:b/>
                <w:bCs/>
                <w:color w:val="auto"/>
                <w:szCs w:val="24"/>
                <w:highlight w:val="none"/>
                <w:lang w:val="en-US" w:eastAsia="zh-CN"/>
              </w:rPr>
            </w:pPr>
          </w:p>
        </w:tc>
        <w:tc>
          <w:tcPr>
            <w:tcW w:w="4329" w:type="dxa"/>
            <w:vAlign w:val="center"/>
          </w:tcPr>
          <w:p w14:paraId="1D88EC2A">
            <w:pPr>
              <w:keepNext w:val="0"/>
              <w:keepLines w:val="0"/>
              <w:pageBreakBefore w:val="0"/>
              <w:widowControl/>
              <w:kinsoku/>
              <w:wordWrap/>
              <w:overflowPunct/>
              <w:topLinePunct w:val="0"/>
              <w:autoSpaceDE/>
              <w:autoSpaceDN/>
              <w:bidi w:val="0"/>
              <w:adjustRightInd/>
              <w:snapToGrid w:val="0"/>
              <w:spacing w:line="240" w:lineRule="auto"/>
              <w:textAlignment w:val="auto"/>
              <w:rPr>
                <w:rFonts w:ascii="仿宋" w:hAnsi="仿宋" w:eastAsia="仿宋" w:cs="仿宋"/>
                <w:b/>
                <w:color w:val="auto"/>
                <w:kern w:val="0"/>
                <w:sz w:val="24"/>
                <w:szCs w:val="24"/>
                <w:highlight w:val="none"/>
              </w:rPr>
            </w:pPr>
            <w:r>
              <w:rPr>
                <w:rFonts w:hint="eastAsia" w:ascii="仿宋" w:hAnsi="仿宋" w:eastAsia="仿宋" w:cs="仿宋"/>
                <w:bCs/>
                <w:color w:val="auto"/>
                <w:kern w:val="2"/>
                <w:sz w:val="24"/>
                <w:szCs w:val="24"/>
                <w:highlight w:val="none"/>
                <w:lang w:val="en-US" w:eastAsia="zh-CN" w:bidi="ar-SA"/>
              </w:rPr>
              <w:t>响应省级及以上大型馆藏图书展现场采购图书占采购总金额比例90%的基本要求，在此基础上每增加满1个百分点加1分，最高得5分</w:t>
            </w:r>
            <w:r>
              <w:rPr>
                <w:rFonts w:hint="eastAsia" w:ascii="仿宋" w:hAnsi="仿宋" w:eastAsia="仿宋" w:cs="仿宋"/>
                <w:color w:val="auto"/>
                <w:sz w:val="24"/>
                <w:szCs w:val="24"/>
                <w:highlight w:val="none"/>
              </w:rPr>
              <w:t>。</w:t>
            </w:r>
          </w:p>
        </w:tc>
        <w:tc>
          <w:tcPr>
            <w:tcW w:w="939" w:type="dxa"/>
            <w:vAlign w:val="center"/>
          </w:tcPr>
          <w:p w14:paraId="2009B062">
            <w:pPr>
              <w:pStyle w:val="11"/>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hint="eastAsia" w:ascii="仿宋" w:hAnsi="仿宋" w:eastAsia="仿宋" w:cs="仿宋"/>
                <w:bCs/>
                <w:color w:val="auto"/>
                <w:kern w:val="0"/>
                <w:szCs w:val="24"/>
                <w:highlight w:val="none"/>
                <w:lang w:eastAsia="zh-CN"/>
              </w:rPr>
            </w:pPr>
            <w:r>
              <w:rPr>
                <w:rFonts w:hint="eastAsia" w:ascii="仿宋" w:hAnsi="仿宋" w:eastAsia="仿宋" w:cs="仿宋"/>
                <w:color w:val="auto"/>
                <w:szCs w:val="24"/>
                <w:highlight w:val="none"/>
                <w:lang w:val="en-US" w:eastAsia="zh-CN"/>
              </w:rPr>
              <w:t>0-</w:t>
            </w:r>
            <w:r>
              <w:rPr>
                <w:rFonts w:hint="eastAsia" w:ascii="仿宋" w:hAnsi="仿宋" w:eastAsia="仿宋" w:cs="仿宋"/>
                <w:bCs/>
                <w:color w:val="auto"/>
                <w:kern w:val="0"/>
                <w:szCs w:val="24"/>
                <w:highlight w:val="none"/>
                <w:lang w:val="en-US" w:eastAsia="zh-CN"/>
              </w:rPr>
              <w:t>5</w:t>
            </w:r>
          </w:p>
        </w:tc>
      </w:tr>
      <w:tr w14:paraId="74E74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jc w:val="center"/>
        </w:trPr>
        <w:tc>
          <w:tcPr>
            <w:tcW w:w="743" w:type="dxa"/>
            <w:vAlign w:val="center"/>
          </w:tcPr>
          <w:p w14:paraId="3BBDFFD6">
            <w:pPr>
              <w:pStyle w:val="11"/>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4</w:t>
            </w:r>
          </w:p>
        </w:tc>
        <w:tc>
          <w:tcPr>
            <w:tcW w:w="1253" w:type="dxa"/>
            <w:vMerge w:val="continue"/>
            <w:vAlign w:val="center"/>
          </w:tcPr>
          <w:p w14:paraId="3C0CB303">
            <w:pPr>
              <w:pStyle w:val="11"/>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ascii="仿宋" w:hAnsi="仿宋" w:eastAsia="仿宋" w:cs="仿宋"/>
                <w:b/>
                <w:bCs/>
                <w:color w:val="auto"/>
                <w:szCs w:val="24"/>
                <w:highlight w:val="none"/>
              </w:rPr>
            </w:pPr>
          </w:p>
        </w:tc>
        <w:tc>
          <w:tcPr>
            <w:tcW w:w="1256" w:type="dxa"/>
            <w:vAlign w:val="center"/>
          </w:tcPr>
          <w:p w14:paraId="08676D15">
            <w:pPr>
              <w:pStyle w:val="11"/>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ascii="仿宋" w:hAnsi="仿宋" w:eastAsia="仿宋" w:cs="仿宋"/>
                <w:b/>
                <w:bCs/>
                <w:color w:val="auto"/>
                <w:szCs w:val="24"/>
                <w:highlight w:val="none"/>
              </w:rPr>
            </w:pPr>
            <w:r>
              <w:rPr>
                <w:rFonts w:hint="eastAsia" w:ascii="宋体" w:hAnsi="宋体" w:cs="宋体"/>
                <w:b/>
                <w:bCs/>
                <w:color w:val="auto"/>
                <w:highlight w:val="none"/>
              </w:rPr>
              <w:t>到馆加工服务</w:t>
            </w:r>
          </w:p>
        </w:tc>
        <w:tc>
          <w:tcPr>
            <w:tcW w:w="4329" w:type="dxa"/>
            <w:vAlign w:val="center"/>
          </w:tcPr>
          <w:p w14:paraId="38FC7C25">
            <w:pPr>
              <w:keepNext w:val="0"/>
              <w:keepLines w:val="0"/>
              <w:pageBreakBefore w:val="0"/>
              <w:kinsoku/>
              <w:wordWrap/>
              <w:overflowPunct/>
              <w:topLinePunct w:val="0"/>
              <w:autoSpaceDE/>
              <w:autoSpaceDN/>
              <w:bidi w:val="0"/>
              <w:adjustRightInd/>
              <w:snapToGrid w:val="0"/>
              <w:spacing w:line="240" w:lineRule="auto"/>
              <w:textAlignment w:val="auto"/>
              <w:rPr>
                <w:rFonts w:ascii="仿宋" w:hAnsi="仿宋" w:eastAsia="仿宋" w:cs="仿宋"/>
                <w:bCs/>
                <w:color w:val="auto"/>
                <w:kern w:val="0"/>
                <w:sz w:val="24"/>
                <w:szCs w:val="24"/>
                <w:highlight w:val="none"/>
              </w:rPr>
            </w:pPr>
            <w:r>
              <w:rPr>
                <w:rFonts w:hint="eastAsia" w:ascii="仿宋" w:hAnsi="仿宋" w:eastAsia="仿宋" w:cs="仿宋"/>
                <w:color w:val="auto"/>
                <w:sz w:val="24"/>
                <w:szCs w:val="24"/>
                <w:highlight w:val="none"/>
              </w:rPr>
              <w:t>为本项目配备的到馆加工人员</w:t>
            </w:r>
            <w:r>
              <w:rPr>
                <w:rFonts w:hint="eastAsia" w:ascii="仿宋" w:hAnsi="仿宋" w:eastAsia="仿宋" w:cs="仿宋"/>
                <w:color w:val="auto"/>
                <w:sz w:val="24"/>
                <w:szCs w:val="24"/>
                <w:highlight w:val="none"/>
                <w:lang w:val="en-US" w:eastAsia="zh-CN"/>
              </w:rPr>
              <w:t>并</w:t>
            </w:r>
            <w:r>
              <w:rPr>
                <w:rFonts w:hint="eastAsia" w:ascii="仿宋" w:hAnsi="仿宋" w:eastAsia="仿宋" w:cs="仿宋"/>
                <w:color w:val="auto"/>
                <w:sz w:val="24"/>
                <w:szCs w:val="24"/>
                <w:highlight w:val="none"/>
              </w:rPr>
              <w:t>提供国家图书馆编目</w:t>
            </w:r>
            <w:r>
              <w:rPr>
                <w:rFonts w:hint="eastAsia" w:ascii="仿宋" w:hAnsi="仿宋" w:eastAsia="仿宋" w:cs="仿宋"/>
                <w:color w:val="auto"/>
                <w:sz w:val="24"/>
                <w:szCs w:val="24"/>
                <w:highlight w:val="none"/>
                <w:lang w:val="en-US" w:eastAsia="zh-CN"/>
              </w:rPr>
              <w:t>员</w:t>
            </w:r>
            <w:r>
              <w:rPr>
                <w:rFonts w:hint="eastAsia" w:ascii="仿宋" w:hAnsi="仿宋" w:eastAsia="仿宋" w:cs="仿宋"/>
                <w:color w:val="auto"/>
                <w:sz w:val="24"/>
                <w:szCs w:val="24"/>
                <w:highlight w:val="none"/>
              </w:rPr>
              <w:t>上岗证或</w:t>
            </w:r>
            <w:r>
              <w:rPr>
                <w:rFonts w:hint="eastAsia" w:ascii="仿宋" w:hAnsi="仿宋" w:eastAsia="仿宋" w:cs="仿宋"/>
                <w:color w:val="auto"/>
                <w:sz w:val="24"/>
                <w:szCs w:val="24"/>
                <w:highlight w:val="none"/>
                <w:lang w:val="en-US" w:eastAsia="zh-CN"/>
              </w:rPr>
              <w:t>图书发行员</w:t>
            </w:r>
            <w:r>
              <w:rPr>
                <w:rFonts w:hint="eastAsia" w:ascii="仿宋" w:hAnsi="仿宋" w:eastAsia="仿宋" w:cs="仿宋"/>
                <w:color w:val="auto"/>
                <w:sz w:val="24"/>
                <w:szCs w:val="24"/>
                <w:highlight w:val="none"/>
              </w:rPr>
              <w:t>书</w:t>
            </w:r>
            <w:r>
              <w:rPr>
                <w:rFonts w:hint="eastAsia" w:ascii="仿宋" w:hAnsi="仿宋" w:eastAsia="仿宋" w:cs="仿宋"/>
                <w:color w:val="auto"/>
                <w:sz w:val="24"/>
                <w:szCs w:val="24"/>
                <w:highlight w:val="none"/>
                <w:lang w:val="en-US" w:eastAsia="zh-CN"/>
              </w:rPr>
              <w:t>的得2分</w:t>
            </w:r>
            <w:r>
              <w:rPr>
                <w:rFonts w:hint="eastAsia" w:ascii="仿宋" w:hAnsi="仿宋" w:eastAsia="仿宋" w:cs="仿宋"/>
                <w:color w:val="auto"/>
                <w:sz w:val="24"/>
                <w:szCs w:val="24"/>
                <w:highlight w:val="none"/>
              </w:rPr>
              <w:t>。</w:t>
            </w:r>
            <w:r>
              <w:rPr>
                <w:rFonts w:hint="eastAsia" w:ascii="仿宋" w:hAnsi="仿宋" w:eastAsia="仿宋" w:cs="仿宋"/>
                <w:b/>
                <w:bCs/>
                <w:color w:val="auto"/>
                <w:sz w:val="24"/>
                <w:szCs w:val="24"/>
                <w:highlight w:val="none"/>
              </w:rPr>
              <w:t>（需提供人员有效证书及近六个月的社保证明材料扫描件，</w:t>
            </w:r>
            <w:r>
              <w:rPr>
                <w:rFonts w:hint="eastAsia" w:ascii="仿宋" w:hAnsi="仿宋" w:eastAsia="仿宋" w:cs="仿宋"/>
                <w:b/>
                <w:bCs/>
                <w:color w:val="auto"/>
                <w:kern w:val="0"/>
                <w:sz w:val="24"/>
                <w:szCs w:val="24"/>
                <w:highlight w:val="none"/>
              </w:rPr>
              <w:t>扫</w:t>
            </w:r>
            <w:r>
              <w:rPr>
                <w:rFonts w:hint="eastAsia" w:ascii="仿宋" w:hAnsi="仿宋" w:eastAsia="仿宋" w:cs="仿宋"/>
                <w:b/>
                <w:color w:val="auto"/>
                <w:kern w:val="0"/>
                <w:sz w:val="24"/>
                <w:szCs w:val="24"/>
                <w:highlight w:val="none"/>
              </w:rPr>
              <w:t>描件进入磋商响应文件，否则不得分</w:t>
            </w:r>
            <w:r>
              <w:rPr>
                <w:rFonts w:hint="eastAsia" w:ascii="仿宋" w:hAnsi="仿宋" w:eastAsia="仿宋" w:cs="仿宋"/>
                <w:color w:val="auto"/>
                <w:sz w:val="24"/>
                <w:szCs w:val="24"/>
                <w:highlight w:val="none"/>
              </w:rPr>
              <w:t>）</w:t>
            </w:r>
          </w:p>
        </w:tc>
        <w:tc>
          <w:tcPr>
            <w:tcW w:w="939" w:type="dxa"/>
            <w:vAlign w:val="center"/>
          </w:tcPr>
          <w:p w14:paraId="40BB3F66">
            <w:pPr>
              <w:pStyle w:val="11"/>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ascii="仿宋" w:hAnsi="仿宋" w:eastAsia="仿宋" w:cs="仿宋"/>
                <w:bCs/>
                <w:color w:val="auto"/>
                <w:kern w:val="0"/>
                <w:szCs w:val="24"/>
                <w:highlight w:val="none"/>
              </w:rPr>
            </w:pPr>
            <w:r>
              <w:rPr>
                <w:rFonts w:hint="eastAsia" w:ascii="仿宋" w:hAnsi="仿宋" w:eastAsia="仿宋" w:cs="仿宋"/>
                <w:color w:val="auto"/>
                <w:szCs w:val="24"/>
                <w:highlight w:val="none"/>
                <w:lang w:val="en-US" w:eastAsia="zh-CN"/>
              </w:rPr>
              <w:t>0-</w:t>
            </w:r>
            <w:r>
              <w:rPr>
                <w:rFonts w:hint="eastAsia" w:ascii="仿宋" w:hAnsi="仿宋" w:eastAsia="仿宋" w:cs="仿宋"/>
                <w:bCs/>
                <w:color w:val="auto"/>
                <w:kern w:val="0"/>
                <w:szCs w:val="24"/>
                <w:highlight w:val="none"/>
              </w:rPr>
              <w:t>2</w:t>
            </w:r>
          </w:p>
        </w:tc>
      </w:tr>
      <w:tr w14:paraId="4827F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jc w:val="center"/>
        </w:trPr>
        <w:tc>
          <w:tcPr>
            <w:tcW w:w="743" w:type="dxa"/>
            <w:vMerge w:val="restart"/>
            <w:vAlign w:val="center"/>
          </w:tcPr>
          <w:p w14:paraId="5EBE89CC">
            <w:pPr>
              <w:pStyle w:val="11"/>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val="en-US" w:eastAsia="zh-CN"/>
              </w:rPr>
              <w:t>5</w:t>
            </w:r>
          </w:p>
        </w:tc>
        <w:tc>
          <w:tcPr>
            <w:tcW w:w="1253" w:type="dxa"/>
            <w:vMerge w:val="continue"/>
            <w:vAlign w:val="center"/>
          </w:tcPr>
          <w:p w14:paraId="38CA3A49">
            <w:pPr>
              <w:pStyle w:val="11"/>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ascii="仿宋" w:hAnsi="仿宋" w:eastAsia="仿宋" w:cs="仿宋"/>
                <w:color w:val="auto"/>
                <w:szCs w:val="24"/>
                <w:highlight w:val="none"/>
              </w:rPr>
            </w:pPr>
          </w:p>
        </w:tc>
        <w:tc>
          <w:tcPr>
            <w:tcW w:w="1256" w:type="dxa"/>
            <w:vMerge w:val="restart"/>
            <w:vAlign w:val="center"/>
          </w:tcPr>
          <w:p w14:paraId="6E5400A3">
            <w:pPr>
              <w:pStyle w:val="11"/>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ascii="仿宋" w:hAnsi="仿宋" w:eastAsia="仿宋" w:cs="仿宋"/>
                <w:b/>
                <w:bCs/>
                <w:color w:val="auto"/>
                <w:szCs w:val="24"/>
                <w:highlight w:val="none"/>
              </w:rPr>
            </w:pPr>
            <w:r>
              <w:rPr>
                <w:rFonts w:hint="eastAsia" w:ascii="宋体" w:hAnsi="宋体" w:cs="宋体"/>
                <w:b/>
                <w:bCs/>
                <w:color w:val="auto"/>
                <w:highlight w:val="none"/>
              </w:rPr>
              <w:t>编目数据</w:t>
            </w:r>
          </w:p>
        </w:tc>
        <w:tc>
          <w:tcPr>
            <w:tcW w:w="4329" w:type="dxa"/>
            <w:vAlign w:val="center"/>
          </w:tcPr>
          <w:p w14:paraId="11737D81">
            <w:pPr>
              <w:pStyle w:val="11"/>
              <w:keepNext w:val="0"/>
              <w:keepLines w:val="0"/>
              <w:pageBreakBefore w:val="0"/>
              <w:widowControl w:val="0"/>
              <w:kinsoku/>
              <w:wordWrap/>
              <w:overflowPunct/>
              <w:topLinePunct w:val="0"/>
              <w:autoSpaceDE/>
              <w:autoSpaceDN/>
              <w:bidi w:val="0"/>
              <w:adjustRightInd/>
              <w:snapToGrid w:val="0"/>
              <w:spacing w:line="240" w:lineRule="auto"/>
              <w:ind w:firstLine="0"/>
              <w:jc w:val="left"/>
              <w:textAlignment w:val="auto"/>
              <w:rPr>
                <w:rFonts w:hint="default" w:ascii="仿宋" w:hAnsi="仿宋" w:eastAsia="仿宋" w:cs="仿宋"/>
                <w:bCs/>
                <w:color w:val="auto"/>
                <w:kern w:val="0"/>
                <w:szCs w:val="24"/>
                <w:highlight w:val="none"/>
                <w:lang w:val="en-US" w:eastAsia="zh-CN"/>
              </w:rPr>
            </w:pPr>
            <w:r>
              <w:rPr>
                <w:rFonts w:hint="eastAsia" w:ascii="仿宋" w:hAnsi="仿宋" w:eastAsia="仿宋" w:cs="仿宋"/>
                <w:color w:val="auto"/>
                <w:szCs w:val="24"/>
                <w:highlight w:val="none"/>
              </w:rPr>
              <w:t>提供编目数据样例，编目数据采用国家图书馆编目细则，符合公共图书馆要求；编目数据应比同批次送达的图书提前或同时到馆，承诺达到100%的覆盖率的</w:t>
            </w:r>
            <w:r>
              <w:rPr>
                <w:rFonts w:hint="eastAsia" w:ascii="仿宋" w:hAnsi="仿宋" w:eastAsia="仿宋" w:cs="仿宋"/>
                <w:color w:val="auto"/>
                <w:szCs w:val="24"/>
                <w:highlight w:val="none"/>
                <w:lang w:val="en-US" w:eastAsia="zh-CN"/>
              </w:rPr>
              <w:t>得3分，</w:t>
            </w:r>
            <w:r>
              <w:rPr>
                <w:rFonts w:hint="eastAsia" w:ascii="仿宋" w:hAnsi="仿宋" w:eastAsia="仿宋" w:cs="仿宋"/>
                <w:color w:val="auto"/>
                <w:szCs w:val="24"/>
                <w:highlight w:val="none"/>
              </w:rPr>
              <w:t>达到</w:t>
            </w:r>
            <w:r>
              <w:rPr>
                <w:rFonts w:hint="eastAsia" w:ascii="仿宋" w:hAnsi="仿宋" w:eastAsia="仿宋" w:cs="仿宋"/>
                <w:color w:val="auto"/>
                <w:szCs w:val="24"/>
                <w:highlight w:val="none"/>
                <w:lang w:val="en-US" w:eastAsia="zh-CN"/>
              </w:rPr>
              <w:t>95</w:t>
            </w:r>
            <w:r>
              <w:rPr>
                <w:rFonts w:hint="eastAsia" w:ascii="仿宋" w:hAnsi="仿宋" w:eastAsia="仿宋" w:cs="仿宋"/>
                <w:color w:val="auto"/>
                <w:szCs w:val="24"/>
                <w:highlight w:val="none"/>
              </w:rPr>
              <w:t>%的覆盖率的</w:t>
            </w:r>
            <w:r>
              <w:rPr>
                <w:rFonts w:hint="eastAsia" w:ascii="仿宋" w:hAnsi="仿宋" w:eastAsia="仿宋" w:cs="仿宋"/>
                <w:color w:val="auto"/>
                <w:szCs w:val="24"/>
                <w:highlight w:val="none"/>
                <w:lang w:val="en-US" w:eastAsia="zh-CN"/>
              </w:rPr>
              <w:t>得2分，</w:t>
            </w:r>
            <w:r>
              <w:rPr>
                <w:rFonts w:hint="eastAsia" w:ascii="仿宋" w:hAnsi="仿宋" w:eastAsia="仿宋" w:cs="仿宋"/>
                <w:color w:val="auto"/>
                <w:szCs w:val="24"/>
                <w:highlight w:val="none"/>
              </w:rPr>
              <w:t>达到</w:t>
            </w:r>
            <w:r>
              <w:rPr>
                <w:rFonts w:hint="eastAsia" w:ascii="仿宋" w:hAnsi="仿宋" w:eastAsia="仿宋" w:cs="仿宋"/>
                <w:color w:val="auto"/>
                <w:szCs w:val="24"/>
                <w:highlight w:val="none"/>
                <w:lang w:val="en-US" w:eastAsia="zh-CN"/>
              </w:rPr>
              <w:t>90</w:t>
            </w:r>
            <w:r>
              <w:rPr>
                <w:rFonts w:hint="eastAsia" w:ascii="仿宋" w:hAnsi="仿宋" w:eastAsia="仿宋" w:cs="仿宋"/>
                <w:color w:val="auto"/>
                <w:szCs w:val="24"/>
                <w:highlight w:val="none"/>
              </w:rPr>
              <w:t>%的覆盖率的</w:t>
            </w:r>
            <w:r>
              <w:rPr>
                <w:rFonts w:hint="eastAsia" w:ascii="仿宋" w:hAnsi="仿宋" w:eastAsia="仿宋" w:cs="仿宋"/>
                <w:color w:val="auto"/>
                <w:szCs w:val="24"/>
                <w:highlight w:val="none"/>
                <w:lang w:val="en-US" w:eastAsia="zh-CN"/>
              </w:rPr>
              <w:t>得1分。</w:t>
            </w:r>
          </w:p>
        </w:tc>
        <w:tc>
          <w:tcPr>
            <w:tcW w:w="939" w:type="dxa"/>
            <w:vAlign w:val="center"/>
          </w:tcPr>
          <w:p w14:paraId="7632AB16">
            <w:pPr>
              <w:pStyle w:val="11"/>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ascii="仿宋" w:hAnsi="仿宋" w:eastAsia="仿宋" w:cs="仿宋"/>
                <w:bCs/>
                <w:color w:val="auto"/>
                <w:kern w:val="0"/>
                <w:szCs w:val="24"/>
                <w:highlight w:val="none"/>
              </w:rPr>
            </w:pPr>
            <w:r>
              <w:rPr>
                <w:rFonts w:hint="eastAsia" w:ascii="仿宋" w:hAnsi="仿宋" w:eastAsia="仿宋" w:cs="仿宋"/>
                <w:color w:val="auto"/>
                <w:szCs w:val="24"/>
                <w:highlight w:val="none"/>
                <w:lang w:val="en-US" w:eastAsia="zh-CN"/>
              </w:rPr>
              <w:t>0-</w:t>
            </w:r>
            <w:r>
              <w:rPr>
                <w:rFonts w:ascii="仿宋" w:hAnsi="仿宋" w:eastAsia="仿宋" w:cs="仿宋"/>
                <w:bCs/>
                <w:color w:val="auto"/>
                <w:kern w:val="0"/>
                <w:szCs w:val="24"/>
                <w:highlight w:val="none"/>
              </w:rPr>
              <w:t>3</w:t>
            </w:r>
          </w:p>
        </w:tc>
      </w:tr>
      <w:tr w14:paraId="055DD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743" w:type="dxa"/>
            <w:vMerge w:val="continue"/>
            <w:vAlign w:val="center"/>
          </w:tcPr>
          <w:p w14:paraId="396843B5">
            <w:pPr>
              <w:pStyle w:val="11"/>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hint="eastAsia" w:ascii="仿宋" w:hAnsi="仿宋" w:eastAsia="仿宋" w:cs="仿宋"/>
                <w:color w:val="auto"/>
                <w:szCs w:val="24"/>
                <w:highlight w:val="none"/>
              </w:rPr>
            </w:pPr>
          </w:p>
        </w:tc>
        <w:tc>
          <w:tcPr>
            <w:tcW w:w="1253" w:type="dxa"/>
            <w:vMerge w:val="continue"/>
            <w:vAlign w:val="center"/>
          </w:tcPr>
          <w:p w14:paraId="5F466C81">
            <w:pPr>
              <w:pStyle w:val="11"/>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ascii="仿宋" w:hAnsi="仿宋" w:eastAsia="仿宋" w:cs="仿宋"/>
                <w:color w:val="auto"/>
                <w:szCs w:val="24"/>
                <w:highlight w:val="none"/>
              </w:rPr>
            </w:pPr>
          </w:p>
        </w:tc>
        <w:tc>
          <w:tcPr>
            <w:tcW w:w="1256" w:type="dxa"/>
            <w:vMerge w:val="continue"/>
            <w:vAlign w:val="center"/>
          </w:tcPr>
          <w:p w14:paraId="4F232C30">
            <w:pPr>
              <w:pStyle w:val="11"/>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hint="eastAsia" w:ascii="宋体" w:hAnsi="宋体" w:cs="宋体"/>
                <w:b/>
                <w:bCs/>
                <w:color w:val="auto"/>
                <w:highlight w:val="none"/>
              </w:rPr>
            </w:pPr>
          </w:p>
        </w:tc>
        <w:tc>
          <w:tcPr>
            <w:tcW w:w="4329" w:type="dxa"/>
            <w:vAlign w:val="center"/>
          </w:tcPr>
          <w:p w14:paraId="48EBC640">
            <w:pPr>
              <w:pStyle w:val="11"/>
              <w:keepNext w:val="0"/>
              <w:keepLines w:val="0"/>
              <w:pageBreakBefore w:val="0"/>
              <w:kinsoku/>
              <w:wordWrap/>
              <w:overflowPunct/>
              <w:topLinePunct w:val="0"/>
              <w:autoSpaceDE/>
              <w:autoSpaceDN/>
              <w:bidi w:val="0"/>
              <w:adjustRightInd/>
              <w:snapToGrid w:val="0"/>
              <w:spacing w:line="240" w:lineRule="auto"/>
              <w:ind w:firstLine="0"/>
              <w:jc w:val="left"/>
              <w:textAlignment w:val="auto"/>
              <w:rPr>
                <w:rFonts w:ascii="仿宋" w:hAnsi="仿宋" w:eastAsia="仿宋" w:cs="仿宋"/>
                <w:bCs/>
                <w:color w:val="auto"/>
                <w:kern w:val="0"/>
                <w:szCs w:val="24"/>
                <w:highlight w:val="none"/>
              </w:rPr>
            </w:pPr>
            <w:r>
              <w:rPr>
                <w:rFonts w:hint="eastAsia" w:ascii="仿宋" w:hAnsi="仿宋" w:eastAsia="仿宋" w:cs="仿宋"/>
                <w:color w:val="auto"/>
                <w:szCs w:val="24"/>
                <w:highlight w:val="none"/>
              </w:rPr>
              <w:t>具有在有效期内的国图联编中心数据下载协议</w:t>
            </w:r>
            <w:r>
              <w:rPr>
                <w:rFonts w:hint="eastAsia" w:ascii="仿宋" w:hAnsi="仿宋" w:eastAsia="仿宋" w:cs="仿宋"/>
                <w:color w:val="auto"/>
                <w:szCs w:val="24"/>
                <w:highlight w:val="none"/>
                <w:lang w:val="en-US" w:eastAsia="zh-CN"/>
              </w:rPr>
              <w:t>、</w:t>
            </w:r>
            <w:r>
              <w:rPr>
                <w:rFonts w:hint="eastAsia" w:ascii="仿宋" w:hAnsi="仿宋" w:eastAsia="仿宋" w:cs="仿宋"/>
                <w:color w:val="auto"/>
                <w:szCs w:val="24"/>
                <w:highlight w:val="none"/>
              </w:rPr>
              <w:t>CALIS联机编目服务协议</w:t>
            </w:r>
            <w:r>
              <w:rPr>
                <w:rFonts w:hint="eastAsia" w:ascii="仿宋" w:hAnsi="仿宋" w:eastAsia="仿宋" w:cs="仿宋"/>
                <w:color w:val="auto"/>
                <w:szCs w:val="24"/>
                <w:highlight w:val="none"/>
                <w:lang w:eastAsia="zh-CN"/>
              </w:rPr>
              <w:t>，</w:t>
            </w:r>
            <w:r>
              <w:rPr>
                <w:rFonts w:hint="eastAsia" w:ascii="仿宋" w:hAnsi="仿宋" w:eastAsia="仿宋" w:cs="仿宋"/>
                <w:color w:val="auto"/>
                <w:sz w:val="24"/>
                <w:szCs w:val="24"/>
                <w:highlight w:val="none"/>
              </w:rPr>
              <w:t>每提供一个</w:t>
            </w:r>
            <w:r>
              <w:rPr>
                <w:rFonts w:hint="eastAsia" w:ascii="仿宋" w:hAnsi="仿宋" w:eastAsia="仿宋" w:cs="仿宋"/>
                <w:color w:val="auto"/>
                <w:szCs w:val="24"/>
                <w:highlight w:val="none"/>
              </w:rPr>
              <w:t>协议得1分，</w:t>
            </w:r>
            <w:r>
              <w:rPr>
                <w:rFonts w:hint="eastAsia" w:ascii="仿宋" w:hAnsi="仿宋" w:eastAsia="仿宋" w:cs="仿宋"/>
                <w:color w:val="auto"/>
                <w:sz w:val="24"/>
                <w:szCs w:val="24"/>
                <w:highlight w:val="none"/>
                <w:lang w:val="en-US" w:eastAsia="zh-CN"/>
              </w:rPr>
              <w:t>本项</w:t>
            </w:r>
            <w:r>
              <w:rPr>
                <w:rFonts w:hint="eastAsia" w:ascii="仿宋" w:hAnsi="仿宋" w:eastAsia="仿宋" w:cs="仿宋"/>
                <w:color w:val="auto"/>
                <w:sz w:val="24"/>
                <w:szCs w:val="24"/>
                <w:highlight w:val="none"/>
              </w:rPr>
              <w:t>最</w:t>
            </w:r>
            <w:r>
              <w:rPr>
                <w:rFonts w:hint="eastAsia" w:ascii="仿宋" w:hAnsi="仿宋" w:eastAsia="仿宋" w:cs="仿宋"/>
                <w:color w:val="auto"/>
                <w:sz w:val="24"/>
                <w:szCs w:val="24"/>
                <w:highlight w:val="none"/>
                <w:lang w:val="en-US" w:eastAsia="zh-CN"/>
              </w:rPr>
              <w:t>高</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b/>
                <w:bCs/>
                <w:color w:val="auto"/>
                <w:szCs w:val="24"/>
                <w:highlight w:val="none"/>
              </w:rPr>
              <w:t>（需提供</w:t>
            </w:r>
            <w:r>
              <w:rPr>
                <w:rFonts w:hint="eastAsia" w:ascii="仿宋" w:hAnsi="仿宋" w:eastAsia="仿宋" w:cs="仿宋"/>
                <w:b/>
                <w:bCs/>
                <w:color w:val="auto"/>
                <w:szCs w:val="24"/>
                <w:highlight w:val="none"/>
                <w:lang w:val="en-US" w:eastAsia="zh-CN"/>
              </w:rPr>
              <w:t>协议</w:t>
            </w:r>
            <w:r>
              <w:rPr>
                <w:rFonts w:hint="eastAsia" w:ascii="仿宋" w:hAnsi="仿宋" w:eastAsia="仿宋" w:cs="仿宋"/>
                <w:b/>
                <w:bCs/>
                <w:color w:val="auto"/>
                <w:szCs w:val="24"/>
                <w:highlight w:val="none"/>
              </w:rPr>
              <w:t>扫描件，扫描件进入</w:t>
            </w:r>
            <w:r>
              <w:rPr>
                <w:rFonts w:hint="eastAsia" w:ascii="仿宋" w:hAnsi="仿宋" w:eastAsia="仿宋" w:cs="仿宋"/>
                <w:b/>
                <w:color w:val="auto"/>
                <w:kern w:val="0"/>
                <w:szCs w:val="24"/>
                <w:highlight w:val="none"/>
              </w:rPr>
              <w:t>磋商响应文件</w:t>
            </w:r>
            <w:r>
              <w:rPr>
                <w:rFonts w:hint="eastAsia" w:ascii="仿宋" w:hAnsi="仿宋" w:eastAsia="仿宋" w:cs="仿宋"/>
                <w:b/>
                <w:bCs/>
                <w:color w:val="auto"/>
                <w:szCs w:val="24"/>
                <w:highlight w:val="none"/>
              </w:rPr>
              <w:t>，否则不得分）。</w:t>
            </w:r>
          </w:p>
        </w:tc>
        <w:tc>
          <w:tcPr>
            <w:tcW w:w="939" w:type="dxa"/>
            <w:vAlign w:val="center"/>
          </w:tcPr>
          <w:p w14:paraId="25738518">
            <w:pPr>
              <w:pStyle w:val="11"/>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hint="eastAsia" w:ascii="仿宋" w:hAnsi="仿宋" w:eastAsia="仿宋" w:cs="仿宋"/>
                <w:bCs/>
                <w:color w:val="auto"/>
                <w:kern w:val="0"/>
                <w:szCs w:val="24"/>
                <w:highlight w:val="none"/>
                <w:lang w:eastAsia="zh-CN"/>
              </w:rPr>
            </w:pPr>
            <w:r>
              <w:rPr>
                <w:rFonts w:hint="eastAsia" w:ascii="仿宋" w:hAnsi="仿宋" w:eastAsia="仿宋" w:cs="仿宋"/>
                <w:color w:val="auto"/>
                <w:szCs w:val="24"/>
                <w:highlight w:val="none"/>
                <w:lang w:val="en-US" w:eastAsia="zh-CN"/>
              </w:rPr>
              <w:t>0-</w:t>
            </w:r>
            <w:r>
              <w:rPr>
                <w:rFonts w:hint="eastAsia" w:ascii="仿宋" w:hAnsi="仿宋" w:eastAsia="仿宋" w:cs="仿宋"/>
                <w:bCs/>
                <w:color w:val="auto"/>
                <w:kern w:val="0"/>
                <w:szCs w:val="24"/>
                <w:highlight w:val="none"/>
                <w:lang w:val="en-US" w:eastAsia="zh-CN"/>
              </w:rPr>
              <w:t>2</w:t>
            </w:r>
          </w:p>
        </w:tc>
      </w:tr>
      <w:tr w14:paraId="77FE2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43" w:type="dxa"/>
            <w:vAlign w:val="center"/>
          </w:tcPr>
          <w:p w14:paraId="0AFFB6AB">
            <w:pPr>
              <w:pStyle w:val="11"/>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val="en-US" w:eastAsia="zh-CN"/>
              </w:rPr>
              <w:t>6</w:t>
            </w:r>
          </w:p>
        </w:tc>
        <w:tc>
          <w:tcPr>
            <w:tcW w:w="1253" w:type="dxa"/>
            <w:vMerge w:val="continue"/>
            <w:vAlign w:val="center"/>
          </w:tcPr>
          <w:p w14:paraId="7C908E91">
            <w:pPr>
              <w:pStyle w:val="11"/>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ascii="仿宋" w:hAnsi="仿宋" w:eastAsia="仿宋" w:cs="仿宋"/>
                <w:color w:val="auto"/>
                <w:szCs w:val="24"/>
                <w:highlight w:val="none"/>
              </w:rPr>
            </w:pPr>
          </w:p>
        </w:tc>
        <w:tc>
          <w:tcPr>
            <w:tcW w:w="1256" w:type="dxa"/>
            <w:vAlign w:val="center"/>
          </w:tcPr>
          <w:p w14:paraId="602E6BFA">
            <w:pPr>
              <w:pStyle w:val="11"/>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ascii="仿宋" w:hAnsi="仿宋" w:eastAsia="仿宋" w:cs="仿宋"/>
                <w:b/>
                <w:bCs/>
                <w:color w:val="auto"/>
                <w:szCs w:val="24"/>
                <w:highlight w:val="none"/>
              </w:rPr>
            </w:pPr>
            <w:r>
              <w:rPr>
                <w:rFonts w:hint="eastAsia" w:ascii="仿宋" w:hAnsi="仿宋" w:eastAsia="仿宋" w:cs="仿宋"/>
                <w:b/>
                <w:bCs/>
                <w:color w:val="auto"/>
                <w:szCs w:val="24"/>
                <w:highlight w:val="none"/>
              </w:rPr>
              <w:t>到书率承诺</w:t>
            </w:r>
          </w:p>
        </w:tc>
        <w:tc>
          <w:tcPr>
            <w:tcW w:w="4329" w:type="dxa"/>
            <w:vAlign w:val="center"/>
          </w:tcPr>
          <w:p w14:paraId="663A64A5">
            <w:pPr>
              <w:pStyle w:val="11"/>
              <w:keepNext w:val="0"/>
              <w:keepLines w:val="0"/>
              <w:pageBreakBefore w:val="0"/>
              <w:kinsoku/>
              <w:wordWrap/>
              <w:overflowPunct/>
              <w:topLinePunct w:val="0"/>
              <w:autoSpaceDE/>
              <w:autoSpaceDN/>
              <w:bidi w:val="0"/>
              <w:adjustRightInd/>
              <w:snapToGrid w:val="0"/>
              <w:spacing w:line="240" w:lineRule="auto"/>
              <w:ind w:firstLine="0"/>
              <w:jc w:val="left"/>
              <w:textAlignment w:val="auto"/>
              <w:rPr>
                <w:rFonts w:ascii="仿宋" w:hAnsi="仿宋" w:eastAsia="仿宋" w:cs="仿宋"/>
                <w:bCs/>
                <w:color w:val="auto"/>
                <w:kern w:val="0"/>
                <w:szCs w:val="24"/>
                <w:highlight w:val="none"/>
              </w:rPr>
            </w:pPr>
            <w:r>
              <w:rPr>
                <w:rFonts w:ascii="仿宋" w:hAnsi="仿宋" w:eastAsia="仿宋" w:cs="仿宋"/>
                <w:bCs/>
                <w:color w:val="auto"/>
                <w:kern w:val="0"/>
                <w:szCs w:val="24"/>
                <w:highlight w:val="none"/>
              </w:rPr>
              <w:t>承诺到书率等于95%</w:t>
            </w:r>
            <w:r>
              <w:rPr>
                <w:rFonts w:hint="eastAsia" w:ascii="仿宋" w:hAnsi="仿宋" w:eastAsia="仿宋" w:cs="仿宋"/>
                <w:bCs/>
                <w:color w:val="auto"/>
                <w:kern w:val="0"/>
                <w:szCs w:val="24"/>
                <w:highlight w:val="none"/>
                <w:lang w:val="en-US" w:eastAsia="zh-CN"/>
              </w:rPr>
              <w:t>的</w:t>
            </w:r>
            <w:r>
              <w:rPr>
                <w:rFonts w:ascii="仿宋" w:hAnsi="仿宋" w:eastAsia="仿宋" w:cs="仿宋"/>
                <w:bCs/>
                <w:color w:val="auto"/>
                <w:kern w:val="0"/>
                <w:szCs w:val="24"/>
                <w:highlight w:val="none"/>
              </w:rPr>
              <w:t>得1分</w:t>
            </w:r>
            <w:r>
              <w:rPr>
                <w:rFonts w:hint="eastAsia" w:ascii="仿宋" w:hAnsi="仿宋" w:eastAsia="仿宋" w:cs="仿宋"/>
                <w:bCs/>
                <w:color w:val="auto"/>
                <w:kern w:val="0"/>
                <w:szCs w:val="24"/>
                <w:highlight w:val="none"/>
                <w:lang w:eastAsia="zh-CN"/>
              </w:rPr>
              <w:t>，</w:t>
            </w:r>
            <w:r>
              <w:rPr>
                <w:rFonts w:ascii="仿宋" w:hAnsi="仿宋" w:eastAsia="仿宋" w:cs="仿宋"/>
                <w:bCs/>
                <w:color w:val="auto"/>
                <w:kern w:val="0"/>
                <w:szCs w:val="24"/>
                <w:highlight w:val="none"/>
              </w:rPr>
              <w:t>每增加1个百分点得1分，</w:t>
            </w:r>
            <w:r>
              <w:rPr>
                <w:rFonts w:hint="eastAsia" w:ascii="仿宋" w:hAnsi="仿宋" w:eastAsia="仿宋" w:cs="仿宋"/>
                <w:bCs/>
                <w:color w:val="auto"/>
                <w:kern w:val="0"/>
                <w:szCs w:val="24"/>
                <w:highlight w:val="none"/>
                <w:lang w:val="en-US" w:eastAsia="zh-CN"/>
              </w:rPr>
              <w:t>本项</w:t>
            </w:r>
            <w:r>
              <w:rPr>
                <w:rFonts w:ascii="仿宋" w:hAnsi="仿宋" w:eastAsia="仿宋" w:cs="仿宋"/>
                <w:bCs/>
                <w:color w:val="auto"/>
                <w:kern w:val="0"/>
                <w:szCs w:val="24"/>
                <w:highlight w:val="none"/>
              </w:rPr>
              <w:t>最高得3分。</w:t>
            </w:r>
          </w:p>
        </w:tc>
        <w:tc>
          <w:tcPr>
            <w:tcW w:w="939" w:type="dxa"/>
            <w:vAlign w:val="center"/>
          </w:tcPr>
          <w:p w14:paraId="1097C75E">
            <w:pPr>
              <w:pStyle w:val="11"/>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ascii="仿宋" w:hAnsi="仿宋" w:eastAsia="仿宋" w:cs="仿宋"/>
                <w:bCs/>
                <w:color w:val="auto"/>
                <w:kern w:val="0"/>
                <w:szCs w:val="24"/>
                <w:highlight w:val="none"/>
              </w:rPr>
            </w:pPr>
            <w:r>
              <w:rPr>
                <w:rFonts w:hint="eastAsia" w:ascii="仿宋" w:hAnsi="仿宋" w:eastAsia="仿宋" w:cs="仿宋"/>
                <w:color w:val="auto"/>
                <w:szCs w:val="24"/>
                <w:highlight w:val="none"/>
                <w:lang w:val="en-US" w:eastAsia="zh-CN"/>
              </w:rPr>
              <w:t>0-</w:t>
            </w:r>
            <w:r>
              <w:rPr>
                <w:rFonts w:hint="eastAsia" w:ascii="仿宋" w:hAnsi="仿宋" w:eastAsia="仿宋" w:cs="仿宋"/>
                <w:bCs/>
                <w:color w:val="auto"/>
                <w:kern w:val="0"/>
                <w:szCs w:val="24"/>
                <w:highlight w:val="none"/>
              </w:rPr>
              <w:t>3</w:t>
            </w:r>
          </w:p>
        </w:tc>
      </w:tr>
      <w:tr w14:paraId="26E61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43" w:type="dxa"/>
            <w:vMerge w:val="restart"/>
            <w:vAlign w:val="center"/>
          </w:tcPr>
          <w:p w14:paraId="2F119025">
            <w:pPr>
              <w:pStyle w:val="11"/>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val="en-US" w:eastAsia="zh-CN"/>
              </w:rPr>
              <w:t>7</w:t>
            </w:r>
          </w:p>
        </w:tc>
        <w:tc>
          <w:tcPr>
            <w:tcW w:w="1253" w:type="dxa"/>
            <w:vMerge w:val="continue"/>
            <w:vAlign w:val="center"/>
          </w:tcPr>
          <w:p w14:paraId="0FFB86B6">
            <w:pPr>
              <w:pStyle w:val="11"/>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ascii="仿宋" w:hAnsi="仿宋" w:eastAsia="仿宋" w:cs="仿宋"/>
                <w:color w:val="auto"/>
                <w:szCs w:val="24"/>
                <w:highlight w:val="none"/>
              </w:rPr>
            </w:pPr>
          </w:p>
        </w:tc>
        <w:tc>
          <w:tcPr>
            <w:tcW w:w="1256" w:type="dxa"/>
            <w:vMerge w:val="restart"/>
            <w:vAlign w:val="center"/>
          </w:tcPr>
          <w:p w14:paraId="3F74BFC6">
            <w:pPr>
              <w:pStyle w:val="11"/>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ascii="仿宋" w:hAnsi="仿宋" w:eastAsia="仿宋" w:cs="仿宋"/>
                <w:b/>
                <w:bCs/>
                <w:color w:val="auto"/>
                <w:szCs w:val="24"/>
                <w:highlight w:val="none"/>
              </w:rPr>
            </w:pPr>
            <w:r>
              <w:rPr>
                <w:rFonts w:hint="eastAsia" w:ascii="仿宋" w:hAnsi="仿宋" w:eastAsia="仿宋" w:cs="仿宋"/>
                <w:b/>
                <w:bCs/>
                <w:color w:val="auto"/>
                <w:szCs w:val="24"/>
                <w:highlight w:val="none"/>
              </w:rPr>
              <w:t>应急采购能力</w:t>
            </w:r>
          </w:p>
        </w:tc>
        <w:tc>
          <w:tcPr>
            <w:tcW w:w="4329" w:type="dxa"/>
            <w:vAlign w:val="center"/>
          </w:tcPr>
          <w:p w14:paraId="1D75977F">
            <w:pPr>
              <w:pStyle w:val="11"/>
              <w:keepNext w:val="0"/>
              <w:keepLines w:val="0"/>
              <w:pageBreakBefore w:val="0"/>
              <w:kinsoku/>
              <w:wordWrap/>
              <w:overflowPunct/>
              <w:topLinePunct w:val="0"/>
              <w:autoSpaceDE/>
              <w:autoSpaceDN/>
              <w:bidi w:val="0"/>
              <w:adjustRightInd/>
              <w:snapToGrid w:val="0"/>
              <w:spacing w:line="240" w:lineRule="auto"/>
              <w:ind w:firstLine="0"/>
              <w:jc w:val="left"/>
              <w:textAlignment w:val="auto"/>
              <w:rPr>
                <w:rFonts w:hint="eastAsia" w:ascii="仿宋" w:hAnsi="仿宋" w:eastAsia="仿宋" w:cs="仿宋"/>
                <w:color w:val="auto"/>
                <w:szCs w:val="24"/>
                <w:highlight w:val="none"/>
                <w:lang w:eastAsia="zh-CN"/>
              </w:rPr>
            </w:pPr>
            <w:bookmarkStart w:id="512" w:name="OLE_LINK2"/>
            <w:r>
              <w:rPr>
                <w:rFonts w:hint="eastAsia" w:ascii="仿宋" w:hAnsi="仿宋" w:eastAsia="仿宋" w:cs="仿宋"/>
                <w:color w:val="auto"/>
                <w:szCs w:val="24"/>
                <w:highlight w:val="none"/>
                <w:lang w:val="en-US" w:eastAsia="zh-CN"/>
              </w:rPr>
              <w:t>根据供应商</w:t>
            </w:r>
            <w:r>
              <w:rPr>
                <w:rFonts w:ascii="仿宋" w:hAnsi="仿宋" w:eastAsia="仿宋" w:cs="仿宋"/>
                <w:color w:val="auto"/>
                <w:szCs w:val="24"/>
                <w:highlight w:val="none"/>
              </w:rPr>
              <w:t>提供的对以下各种情况的应急情况处理能力，由评委进行打分</w:t>
            </w:r>
            <w:bookmarkEnd w:id="512"/>
            <w:r>
              <w:rPr>
                <w:rFonts w:ascii="仿宋" w:hAnsi="仿宋" w:eastAsia="仿宋" w:cs="仿宋"/>
                <w:color w:val="auto"/>
                <w:szCs w:val="24"/>
                <w:highlight w:val="none"/>
              </w:rPr>
              <w:t>：</w:t>
            </w:r>
          </w:p>
          <w:p w14:paraId="71C34B94">
            <w:pPr>
              <w:pStyle w:val="11"/>
              <w:keepNext w:val="0"/>
              <w:keepLines w:val="0"/>
              <w:pageBreakBefore w:val="0"/>
              <w:kinsoku/>
              <w:wordWrap/>
              <w:overflowPunct/>
              <w:topLinePunct w:val="0"/>
              <w:autoSpaceDE/>
              <w:autoSpaceDN/>
              <w:bidi w:val="0"/>
              <w:adjustRightInd/>
              <w:snapToGrid w:val="0"/>
              <w:spacing w:line="240" w:lineRule="auto"/>
              <w:ind w:firstLine="0"/>
              <w:jc w:val="left"/>
              <w:textAlignment w:val="auto"/>
              <w:rPr>
                <w:rFonts w:hint="eastAsia" w:ascii="仿宋" w:hAnsi="仿宋" w:eastAsia="仿宋" w:cs="仿宋"/>
                <w:color w:val="auto"/>
                <w:szCs w:val="24"/>
                <w:highlight w:val="none"/>
                <w:lang w:eastAsia="zh-CN"/>
              </w:rPr>
            </w:pPr>
            <w:r>
              <w:rPr>
                <w:rFonts w:ascii="仿宋" w:hAnsi="仿宋" w:eastAsia="仿宋" w:cs="仿宋"/>
                <w:color w:val="auto"/>
                <w:szCs w:val="24"/>
                <w:highlight w:val="none"/>
              </w:rPr>
              <w:t>1、对已订书单因情况变化，采购人要求减少订数或取消订购或补订的反应能力，零星、急需图书的反应能力，由评委在分值范围内进行打分</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lang w:val="en-US" w:eastAsia="zh-CN"/>
              </w:rPr>
              <w:t>按点写方案</w:t>
            </w:r>
            <w:r>
              <w:rPr>
                <w:rFonts w:hint="eastAsia" w:ascii="仿宋" w:hAnsi="仿宋" w:eastAsia="仿宋" w:cs="仿宋"/>
                <w:color w:val="auto"/>
                <w:szCs w:val="24"/>
                <w:highlight w:val="none"/>
                <w:lang w:eastAsia="zh-CN"/>
              </w:rPr>
              <w:t>）</w:t>
            </w:r>
            <w:r>
              <w:rPr>
                <w:rFonts w:hint="eastAsia" w:ascii="仿宋" w:hAnsi="仿宋" w:eastAsia="仿宋" w:cs="仿宋"/>
                <w:color w:val="auto"/>
                <w:sz w:val="24"/>
                <w:szCs w:val="24"/>
                <w:highlight w:val="none"/>
              </w:rPr>
              <w:t>（分值：3、2、1、0）。</w:t>
            </w:r>
          </w:p>
        </w:tc>
        <w:tc>
          <w:tcPr>
            <w:tcW w:w="939" w:type="dxa"/>
            <w:vAlign w:val="center"/>
          </w:tcPr>
          <w:p w14:paraId="24B2255A">
            <w:pPr>
              <w:pStyle w:val="11"/>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hint="eastAsia" w:ascii="仿宋" w:hAnsi="仿宋" w:eastAsia="仿宋" w:cs="仿宋"/>
                <w:bCs/>
                <w:color w:val="auto"/>
                <w:kern w:val="0"/>
                <w:szCs w:val="24"/>
                <w:highlight w:val="none"/>
                <w:lang w:eastAsia="zh-CN"/>
              </w:rPr>
            </w:pPr>
            <w:r>
              <w:rPr>
                <w:rFonts w:hint="eastAsia" w:ascii="仿宋" w:hAnsi="仿宋" w:eastAsia="仿宋" w:cs="仿宋"/>
                <w:color w:val="auto"/>
                <w:szCs w:val="24"/>
                <w:highlight w:val="none"/>
                <w:lang w:val="en-US" w:eastAsia="zh-CN"/>
              </w:rPr>
              <w:t>0-</w:t>
            </w:r>
            <w:r>
              <w:rPr>
                <w:rFonts w:hint="eastAsia" w:ascii="仿宋" w:hAnsi="仿宋" w:eastAsia="仿宋" w:cs="仿宋"/>
                <w:bCs/>
                <w:color w:val="auto"/>
                <w:kern w:val="0"/>
                <w:szCs w:val="24"/>
                <w:highlight w:val="none"/>
                <w:lang w:val="en-US" w:eastAsia="zh-CN"/>
              </w:rPr>
              <w:t>3</w:t>
            </w:r>
          </w:p>
        </w:tc>
      </w:tr>
      <w:tr w14:paraId="7BD14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43" w:type="dxa"/>
            <w:vMerge w:val="continue"/>
            <w:vAlign w:val="center"/>
          </w:tcPr>
          <w:p w14:paraId="56C77640">
            <w:pPr>
              <w:pStyle w:val="11"/>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hint="eastAsia" w:ascii="仿宋" w:hAnsi="仿宋" w:eastAsia="仿宋" w:cs="仿宋"/>
                <w:color w:val="auto"/>
                <w:szCs w:val="24"/>
                <w:highlight w:val="none"/>
              </w:rPr>
            </w:pPr>
          </w:p>
        </w:tc>
        <w:tc>
          <w:tcPr>
            <w:tcW w:w="1253" w:type="dxa"/>
            <w:vMerge w:val="continue"/>
            <w:vAlign w:val="center"/>
          </w:tcPr>
          <w:p w14:paraId="10963356">
            <w:pPr>
              <w:pStyle w:val="11"/>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ascii="仿宋" w:hAnsi="仿宋" w:eastAsia="仿宋" w:cs="仿宋"/>
                <w:color w:val="auto"/>
                <w:szCs w:val="24"/>
                <w:highlight w:val="none"/>
              </w:rPr>
            </w:pPr>
          </w:p>
        </w:tc>
        <w:tc>
          <w:tcPr>
            <w:tcW w:w="1256" w:type="dxa"/>
            <w:vMerge w:val="continue"/>
            <w:vAlign w:val="center"/>
          </w:tcPr>
          <w:p w14:paraId="7AE87EE5">
            <w:pPr>
              <w:pStyle w:val="11"/>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hint="eastAsia" w:ascii="仿宋" w:hAnsi="仿宋" w:eastAsia="仿宋" w:cs="仿宋"/>
                <w:b/>
                <w:bCs/>
                <w:color w:val="auto"/>
                <w:szCs w:val="24"/>
                <w:highlight w:val="none"/>
              </w:rPr>
            </w:pPr>
          </w:p>
        </w:tc>
        <w:tc>
          <w:tcPr>
            <w:tcW w:w="4329" w:type="dxa"/>
            <w:vAlign w:val="center"/>
          </w:tcPr>
          <w:p w14:paraId="38D1F78B">
            <w:pPr>
              <w:pStyle w:val="11"/>
              <w:keepNext w:val="0"/>
              <w:keepLines w:val="0"/>
              <w:pageBreakBefore w:val="0"/>
              <w:kinsoku/>
              <w:wordWrap/>
              <w:overflowPunct/>
              <w:topLinePunct w:val="0"/>
              <w:autoSpaceDE/>
              <w:autoSpaceDN/>
              <w:bidi w:val="0"/>
              <w:adjustRightInd/>
              <w:snapToGrid w:val="0"/>
              <w:spacing w:line="240" w:lineRule="auto"/>
              <w:ind w:firstLine="0"/>
              <w:jc w:val="left"/>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2、对已预订，但因到货、出版推迟等不能及时到馆的图书，或取消出版的图书信息能否及时予以反馈（反馈信息包括书名、ISBN、码洋、复本和出版社、买方的批次号、订单号等信息），并以书面形式分析、说明原因，根据反馈方案，由评委在分值范围内</w:t>
            </w:r>
            <w:r>
              <w:rPr>
                <w:rFonts w:ascii="仿宋" w:hAnsi="仿宋" w:eastAsia="仿宋" w:cs="仿宋"/>
                <w:color w:val="auto"/>
                <w:szCs w:val="24"/>
                <w:highlight w:val="none"/>
              </w:rPr>
              <w:t>进行打分</w:t>
            </w:r>
            <w:r>
              <w:rPr>
                <w:rFonts w:hint="eastAsia" w:ascii="仿宋" w:hAnsi="仿宋" w:eastAsia="仿宋" w:cs="仿宋"/>
                <w:color w:val="auto"/>
                <w:sz w:val="24"/>
                <w:szCs w:val="24"/>
                <w:highlight w:val="none"/>
              </w:rPr>
              <w:t>（分值：3、2、1、0）。</w:t>
            </w:r>
          </w:p>
        </w:tc>
        <w:tc>
          <w:tcPr>
            <w:tcW w:w="939" w:type="dxa"/>
            <w:vAlign w:val="center"/>
          </w:tcPr>
          <w:p w14:paraId="41E8CCA9">
            <w:pPr>
              <w:pStyle w:val="11"/>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hint="eastAsia" w:ascii="仿宋" w:hAnsi="仿宋" w:eastAsia="仿宋" w:cs="仿宋"/>
                <w:bCs/>
                <w:color w:val="auto"/>
                <w:kern w:val="0"/>
                <w:szCs w:val="24"/>
                <w:highlight w:val="none"/>
                <w:lang w:val="en-US" w:eastAsia="zh-CN"/>
              </w:rPr>
            </w:pPr>
            <w:r>
              <w:rPr>
                <w:rFonts w:hint="eastAsia" w:ascii="仿宋" w:hAnsi="仿宋" w:eastAsia="仿宋" w:cs="仿宋"/>
                <w:color w:val="auto"/>
                <w:szCs w:val="24"/>
                <w:highlight w:val="none"/>
                <w:lang w:val="en-US" w:eastAsia="zh-CN"/>
              </w:rPr>
              <w:t>0-</w:t>
            </w:r>
            <w:r>
              <w:rPr>
                <w:rFonts w:hint="eastAsia" w:ascii="仿宋" w:hAnsi="仿宋" w:eastAsia="仿宋" w:cs="仿宋"/>
                <w:bCs/>
                <w:color w:val="auto"/>
                <w:kern w:val="0"/>
                <w:szCs w:val="24"/>
                <w:highlight w:val="none"/>
                <w:lang w:val="en-US" w:eastAsia="zh-CN"/>
              </w:rPr>
              <w:t>3</w:t>
            </w:r>
          </w:p>
        </w:tc>
      </w:tr>
      <w:tr w14:paraId="2EE3B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743" w:type="dxa"/>
            <w:vMerge w:val="continue"/>
            <w:vAlign w:val="center"/>
          </w:tcPr>
          <w:p w14:paraId="669B1DF0">
            <w:pPr>
              <w:pStyle w:val="11"/>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hint="eastAsia" w:ascii="仿宋" w:hAnsi="仿宋" w:eastAsia="仿宋" w:cs="仿宋"/>
                <w:color w:val="auto"/>
                <w:szCs w:val="24"/>
                <w:highlight w:val="none"/>
              </w:rPr>
            </w:pPr>
          </w:p>
        </w:tc>
        <w:tc>
          <w:tcPr>
            <w:tcW w:w="1253" w:type="dxa"/>
            <w:vMerge w:val="continue"/>
            <w:vAlign w:val="center"/>
          </w:tcPr>
          <w:p w14:paraId="555D7284">
            <w:pPr>
              <w:pStyle w:val="11"/>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ascii="仿宋" w:hAnsi="仿宋" w:eastAsia="仿宋" w:cs="仿宋"/>
                <w:color w:val="auto"/>
                <w:szCs w:val="24"/>
                <w:highlight w:val="none"/>
              </w:rPr>
            </w:pPr>
          </w:p>
        </w:tc>
        <w:tc>
          <w:tcPr>
            <w:tcW w:w="1256" w:type="dxa"/>
            <w:vMerge w:val="continue"/>
            <w:vAlign w:val="center"/>
          </w:tcPr>
          <w:p w14:paraId="21830B88">
            <w:pPr>
              <w:pStyle w:val="11"/>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hint="eastAsia" w:ascii="仿宋" w:hAnsi="仿宋" w:eastAsia="仿宋" w:cs="仿宋"/>
                <w:b/>
                <w:bCs/>
                <w:color w:val="auto"/>
                <w:szCs w:val="24"/>
                <w:highlight w:val="none"/>
              </w:rPr>
            </w:pPr>
          </w:p>
        </w:tc>
        <w:tc>
          <w:tcPr>
            <w:tcW w:w="4329" w:type="dxa"/>
            <w:vAlign w:val="center"/>
          </w:tcPr>
          <w:p w14:paraId="7E264EF4">
            <w:pPr>
              <w:pStyle w:val="11"/>
              <w:keepNext w:val="0"/>
              <w:keepLines w:val="0"/>
              <w:pageBreakBefore w:val="0"/>
              <w:kinsoku/>
              <w:wordWrap/>
              <w:overflowPunct/>
              <w:topLinePunct w:val="0"/>
              <w:autoSpaceDE/>
              <w:autoSpaceDN/>
              <w:bidi w:val="0"/>
              <w:adjustRightInd/>
              <w:snapToGrid w:val="0"/>
              <w:spacing w:line="240" w:lineRule="auto"/>
              <w:ind w:firstLine="0"/>
              <w:jc w:val="left"/>
              <w:textAlignment w:val="auto"/>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rPr>
              <w:t>3、对图书质量问题、与预订不符等原因退书的处理态度及处理速度，由评委在分值范围内</w:t>
            </w:r>
            <w:r>
              <w:rPr>
                <w:rFonts w:ascii="仿宋" w:hAnsi="仿宋" w:eastAsia="仿宋" w:cs="仿宋"/>
                <w:color w:val="auto"/>
                <w:szCs w:val="24"/>
                <w:highlight w:val="none"/>
              </w:rPr>
              <w:t>进行打分</w:t>
            </w:r>
            <w:r>
              <w:rPr>
                <w:rFonts w:hint="eastAsia" w:ascii="仿宋" w:hAnsi="仿宋" w:eastAsia="仿宋" w:cs="仿宋"/>
                <w:color w:val="auto"/>
                <w:sz w:val="24"/>
                <w:szCs w:val="24"/>
                <w:highlight w:val="none"/>
              </w:rPr>
              <w:t>（分值：3、2、1、0）。</w:t>
            </w:r>
          </w:p>
        </w:tc>
        <w:tc>
          <w:tcPr>
            <w:tcW w:w="939" w:type="dxa"/>
            <w:vAlign w:val="center"/>
          </w:tcPr>
          <w:p w14:paraId="76F92CFB">
            <w:pPr>
              <w:pStyle w:val="11"/>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hint="eastAsia" w:ascii="仿宋" w:hAnsi="仿宋" w:eastAsia="仿宋" w:cs="仿宋"/>
                <w:bCs/>
                <w:color w:val="auto"/>
                <w:kern w:val="0"/>
                <w:szCs w:val="24"/>
                <w:highlight w:val="none"/>
                <w:lang w:val="en-US" w:eastAsia="zh-CN"/>
              </w:rPr>
            </w:pPr>
            <w:r>
              <w:rPr>
                <w:rFonts w:hint="eastAsia" w:ascii="仿宋" w:hAnsi="仿宋" w:eastAsia="仿宋" w:cs="仿宋"/>
                <w:color w:val="auto"/>
                <w:szCs w:val="24"/>
                <w:highlight w:val="none"/>
                <w:lang w:val="en-US" w:eastAsia="zh-CN"/>
              </w:rPr>
              <w:t>0-</w:t>
            </w:r>
            <w:r>
              <w:rPr>
                <w:rFonts w:hint="eastAsia" w:ascii="仿宋" w:hAnsi="仿宋" w:eastAsia="仿宋" w:cs="仿宋"/>
                <w:bCs/>
                <w:color w:val="auto"/>
                <w:kern w:val="0"/>
                <w:szCs w:val="24"/>
                <w:highlight w:val="none"/>
                <w:lang w:val="en-US" w:eastAsia="zh-CN"/>
              </w:rPr>
              <w:t>3</w:t>
            </w:r>
          </w:p>
        </w:tc>
      </w:tr>
      <w:tr w14:paraId="03CA0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43" w:type="dxa"/>
            <w:vMerge w:val="restart"/>
            <w:vAlign w:val="center"/>
          </w:tcPr>
          <w:p w14:paraId="62E14EFB">
            <w:pPr>
              <w:pStyle w:val="11"/>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val="en-US" w:eastAsia="zh-CN"/>
              </w:rPr>
              <w:t>8</w:t>
            </w:r>
          </w:p>
        </w:tc>
        <w:tc>
          <w:tcPr>
            <w:tcW w:w="1253" w:type="dxa"/>
            <w:vMerge w:val="continue"/>
            <w:vAlign w:val="center"/>
          </w:tcPr>
          <w:p w14:paraId="3A794A6A">
            <w:pPr>
              <w:pStyle w:val="11"/>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ascii="仿宋" w:hAnsi="仿宋" w:eastAsia="仿宋" w:cs="仿宋"/>
                <w:color w:val="auto"/>
                <w:szCs w:val="24"/>
                <w:highlight w:val="none"/>
              </w:rPr>
            </w:pPr>
          </w:p>
        </w:tc>
        <w:tc>
          <w:tcPr>
            <w:tcW w:w="1256" w:type="dxa"/>
            <w:vMerge w:val="restart"/>
            <w:vAlign w:val="center"/>
          </w:tcPr>
          <w:p w14:paraId="2327A996">
            <w:pPr>
              <w:pStyle w:val="11"/>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ascii="仿宋" w:hAnsi="仿宋" w:eastAsia="仿宋" w:cs="仿宋"/>
                <w:b/>
                <w:bCs/>
                <w:color w:val="auto"/>
                <w:szCs w:val="24"/>
                <w:highlight w:val="none"/>
              </w:rPr>
            </w:pPr>
            <w:r>
              <w:rPr>
                <w:rFonts w:hint="eastAsia" w:ascii="仿宋" w:hAnsi="仿宋" w:eastAsia="仿宋" w:cs="仿宋"/>
                <w:b/>
                <w:bCs/>
                <w:color w:val="auto"/>
                <w:szCs w:val="24"/>
                <w:highlight w:val="none"/>
              </w:rPr>
              <w:t>图书质量保证、图书退换处理方案</w:t>
            </w:r>
          </w:p>
        </w:tc>
        <w:tc>
          <w:tcPr>
            <w:tcW w:w="4329" w:type="dxa"/>
            <w:vAlign w:val="center"/>
          </w:tcPr>
          <w:p w14:paraId="750895BB">
            <w:pPr>
              <w:pStyle w:val="11"/>
              <w:keepNext w:val="0"/>
              <w:keepLines w:val="0"/>
              <w:pageBreakBefore w:val="0"/>
              <w:kinsoku/>
              <w:wordWrap/>
              <w:overflowPunct/>
              <w:topLinePunct w:val="0"/>
              <w:autoSpaceDE/>
              <w:autoSpaceDN/>
              <w:bidi w:val="0"/>
              <w:adjustRightInd/>
              <w:snapToGrid w:val="0"/>
              <w:spacing w:line="240" w:lineRule="auto"/>
              <w:ind w:firstLine="0"/>
              <w:jc w:val="left"/>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lang w:val="en-US" w:eastAsia="zh-CN"/>
              </w:rPr>
              <w:t>供应商</w:t>
            </w:r>
            <w:r>
              <w:rPr>
                <w:rFonts w:ascii="仿宋" w:hAnsi="仿宋" w:eastAsia="仿宋" w:cs="仿宋"/>
                <w:color w:val="auto"/>
                <w:szCs w:val="24"/>
                <w:highlight w:val="none"/>
              </w:rPr>
              <w:t>承诺书籍质量保证，是否为全新正版出版物、无污损、无缺页、无倒装</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lang w:val="en-US" w:eastAsia="zh-CN"/>
              </w:rPr>
              <w:t>包装</w:t>
            </w:r>
            <w:r>
              <w:rPr>
                <w:rFonts w:ascii="仿宋" w:hAnsi="仿宋" w:eastAsia="仿宋" w:cs="仿宋"/>
                <w:color w:val="auto"/>
                <w:szCs w:val="24"/>
                <w:highlight w:val="none"/>
              </w:rPr>
              <w:t>质量是否符合运输和方便装卸的要求、物流标识是否清楚等由评委在分值范围内进行打分</w:t>
            </w:r>
            <w:r>
              <w:rPr>
                <w:rFonts w:hint="eastAsia" w:ascii="仿宋" w:hAnsi="仿宋" w:eastAsia="仿宋" w:cs="仿宋"/>
                <w:color w:val="auto"/>
                <w:sz w:val="24"/>
                <w:szCs w:val="24"/>
                <w:highlight w:val="none"/>
              </w:rPr>
              <w:t>（分值：3、2、1、0）。</w:t>
            </w:r>
          </w:p>
        </w:tc>
        <w:tc>
          <w:tcPr>
            <w:tcW w:w="939" w:type="dxa"/>
            <w:vAlign w:val="center"/>
          </w:tcPr>
          <w:p w14:paraId="101911E9">
            <w:pPr>
              <w:pStyle w:val="11"/>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hint="eastAsia" w:ascii="仿宋" w:hAnsi="仿宋" w:eastAsia="仿宋" w:cs="仿宋"/>
                <w:bCs/>
                <w:color w:val="auto"/>
                <w:kern w:val="0"/>
                <w:szCs w:val="24"/>
                <w:highlight w:val="none"/>
                <w:lang w:eastAsia="zh-CN"/>
              </w:rPr>
            </w:pPr>
            <w:r>
              <w:rPr>
                <w:rFonts w:hint="eastAsia" w:ascii="仿宋" w:hAnsi="仿宋" w:eastAsia="仿宋" w:cs="仿宋"/>
                <w:color w:val="auto"/>
                <w:szCs w:val="24"/>
                <w:highlight w:val="none"/>
                <w:lang w:val="en-US" w:eastAsia="zh-CN"/>
              </w:rPr>
              <w:t>0-</w:t>
            </w:r>
            <w:r>
              <w:rPr>
                <w:rFonts w:hint="eastAsia" w:ascii="仿宋" w:hAnsi="仿宋" w:eastAsia="仿宋" w:cs="仿宋"/>
                <w:bCs/>
                <w:color w:val="auto"/>
                <w:kern w:val="0"/>
                <w:szCs w:val="24"/>
                <w:highlight w:val="none"/>
                <w:lang w:val="en-US" w:eastAsia="zh-CN"/>
              </w:rPr>
              <w:t>3</w:t>
            </w:r>
          </w:p>
        </w:tc>
      </w:tr>
      <w:tr w14:paraId="5F18F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743" w:type="dxa"/>
            <w:vMerge w:val="continue"/>
            <w:vAlign w:val="center"/>
          </w:tcPr>
          <w:p w14:paraId="75511386">
            <w:pPr>
              <w:pStyle w:val="11"/>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hint="eastAsia" w:ascii="仿宋" w:hAnsi="仿宋" w:eastAsia="仿宋" w:cs="仿宋"/>
                <w:color w:val="auto"/>
                <w:szCs w:val="24"/>
                <w:highlight w:val="none"/>
              </w:rPr>
            </w:pPr>
          </w:p>
        </w:tc>
        <w:tc>
          <w:tcPr>
            <w:tcW w:w="1253" w:type="dxa"/>
            <w:vMerge w:val="continue"/>
            <w:vAlign w:val="center"/>
          </w:tcPr>
          <w:p w14:paraId="594F9A45">
            <w:pPr>
              <w:pStyle w:val="11"/>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ascii="仿宋" w:hAnsi="仿宋" w:eastAsia="仿宋" w:cs="仿宋"/>
                <w:color w:val="auto"/>
                <w:szCs w:val="24"/>
                <w:highlight w:val="none"/>
              </w:rPr>
            </w:pPr>
          </w:p>
        </w:tc>
        <w:tc>
          <w:tcPr>
            <w:tcW w:w="1256" w:type="dxa"/>
            <w:vMerge w:val="continue"/>
            <w:vAlign w:val="center"/>
          </w:tcPr>
          <w:p w14:paraId="709C0AD7">
            <w:pPr>
              <w:pStyle w:val="11"/>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hint="eastAsia" w:ascii="仿宋" w:hAnsi="仿宋" w:eastAsia="仿宋" w:cs="仿宋"/>
                <w:b/>
                <w:bCs/>
                <w:color w:val="auto"/>
                <w:szCs w:val="24"/>
                <w:highlight w:val="none"/>
              </w:rPr>
            </w:pPr>
          </w:p>
        </w:tc>
        <w:tc>
          <w:tcPr>
            <w:tcW w:w="4329" w:type="dxa"/>
            <w:vAlign w:val="center"/>
          </w:tcPr>
          <w:p w14:paraId="3BE0B754">
            <w:pPr>
              <w:pStyle w:val="11"/>
              <w:keepNext w:val="0"/>
              <w:keepLines w:val="0"/>
              <w:pageBreakBefore w:val="0"/>
              <w:kinsoku/>
              <w:wordWrap/>
              <w:overflowPunct/>
              <w:topLinePunct w:val="0"/>
              <w:autoSpaceDE/>
              <w:autoSpaceDN/>
              <w:bidi w:val="0"/>
              <w:adjustRightInd/>
              <w:snapToGrid w:val="0"/>
              <w:spacing w:line="240" w:lineRule="auto"/>
              <w:ind w:firstLine="0"/>
              <w:jc w:val="left"/>
              <w:textAlignment w:val="auto"/>
              <w:rPr>
                <w:rFonts w:hint="eastAsia" w:ascii="仿宋" w:hAnsi="仿宋" w:eastAsia="仿宋" w:cs="仿宋"/>
                <w:color w:val="auto"/>
                <w:szCs w:val="24"/>
                <w:highlight w:val="none"/>
              </w:rPr>
            </w:pPr>
            <w:r>
              <w:rPr>
                <w:rFonts w:ascii="仿宋" w:hAnsi="仿宋" w:eastAsia="仿宋" w:cs="仿宋"/>
                <w:bCs/>
                <w:color w:val="auto"/>
                <w:kern w:val="0"/>
                <w:sz w:val="24"/>
                <w:szCs w:val="24"/>
                <w:highlight w:val="none"/>
              </w:rPr>
              <w:t>根据</w:t>
            </w:r>
            <w:r>
              <w:rPr>
                <w:rFonts w:hint="eastAsia" w:ascii="仿宋" w:hAnsi="仿宋" w:eastAsia="仿宋" w:cs="仿宋"/>
                <w:bCs/>
                <w:color w:val="auto"/>
                <w:kern w:val="0"/>
                <w:sz w:val="24"/>
                <w:szCs w:val="24"/>
                <w:highlight w:val="none"/>
                <w:lang w:val="en-US" w:eastAsia="zh-CN"/>
              </w:rPr>
              <w:t>供应商</w:t>
            </w:r>
            <w:r>
              <w:rPr>
                <w:rFonts w:ascii="仿宋" w:hAnsi="仿宋" w:eastAsia="仿宋" w:cs="仿宋"/>
                <w:bCs/>
                <w:color w:val="auto"/>
                <w:kern w:val="0"/>
                <w:sz w:val="24"/>
                <w:szCs w:val="24"/>
                <w:highlight w:val="none"/>
              </w:rPr>
              <w:t>是否有自己的配送渠道</w:t>
            </w:r>
            <w:r>
              <w:rPr>
                <w:rFonts w:hint="eastAsia" w:ascii="仿宋" w:hAnsi="仿宋" w:eastAsia="仿宋" w:cs="仿宋"/>
                <w:bCs/>
                <w:color w:val="auto"/>
                <w:kern w:val="0"/>
                <w:sz w:val="24"/>
                <w:szCs w:val="24"/>
                <w:highlight w:val="none"/>
                <w:lang w:eastAsia="zh-CN"/>
              </w:rPr>
              <w:t>、</w:t>
            </w:r>
            <w:r>
              <w:rPr>
                <w:rFonts w:ascii="仿宋" w:hAnsi="仿宋" w:eastAsia="仿宋" w:cs="仿宋"/>
                <w:bCs/>
                <w:color w:val="auto"/>
                <w:kern w:val="0"/>
                <w:sz w:val="24"/>
                <w:szCs w:val="24"/>
                <w:highlight w:val="none"/>
              </w:rPr>
              <w:t>与第三方稳定合作的配送渠道，是否能够保证采购人的配送要求与采购时效，由评委在范围内进行打分</w:t>
            </w:r>
            <w:r>
              <w:rPr>
                <w:rFonts w:hint="eastAsia" w:ascii="仿宋" w:hAnsi="仿宋" w:eastAsia="仿宋" w:cs="仿宋"/>
                <w:color w:val="auto"/>
                <w:sz w:val="24"/>
                <w:szCs w:val="24"/>
                <w:highlight w:val="none"/>
              </w:rPr>
              <w:t>（分值：3、2、1、0）。</w:t>
            </w:r>
          </w:p>
        </w:tc>
        <w:tc>
          <w:tcPr>
            <w:tcW w:w="939" w:type="dxa"/>
            <w:vAlign w:val="center"/>
          </w:tcPr>
          <w:p w14:paraId="4C1F8CDF">
            <w:pPr>
              <w:pStyle w:val="11"/>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hint="eastAsia" w:ascii="仿宋" w:hAnsi="仿宋" w:eastAsia="仿宋" w:cs="仿宋"/>
                <w:bCs/>
                <w:color w:val="auto"/>
                <w:kern w:val="0"/>
                <w:szCs w:val="24"/>
                <w:highlight w:val="none"/>
                <w:lang w:val="en-US" w:eastAsia="zh-CN"/>
              </w:rPr>
            </w:pPr>
            <w:r>
              <w:rPr>
                <w:rFonts w:hint="eastAsia" w:ascii="仿宋" w:hAnsi="仿宋" w:eastAsia="仿宋" w:cs="仿宋"/>
                <w:color w:val="auto"/>
                <w:szCs w:val="24"/>
                <w:highlight w:val="none"/>
                <w:lang w:val="en-US" w:eastAsia="zh-CN"/>
              </w:rPr>
              <w:t>0-</w:t>
            </w:r>
            <w:r>
              <w:rPr>
                <w:rFonts w:hint="eastAsia" w:ascii="仿宋" w:hAnsi="仿宋" w:eastAsia="仿宋" w:cs="仿宋"/>
                <w:bCs/>
                <w:color w:val="auto"/>
                <w:kern w:val="0"/>
                <w:szCs w:val="24"/>
                <w:highlight w:val="none"/>
                <w:lang w:val="en-US" w:eastAsia="zh-CN"/>
              </w:rPr>
              <w:t>3</w:t>
            </w:r>
          </w:p>
        </w:tc>
      </w:tr>
      <w:tr w14:paraId="6DC9A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43" w:type="dxa"/>
            <w:vMerge w:val="restart"/>
            <w:vAlign w:val="center"/>
          </w:tcPr>
          <w:p w14:paraId="0EF5AEC4">
            <w:pPr>
              <w:pStyle w:val="11"/>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val="en-US" w:eastAsia="zh-CN"/>
              </w:rPr>
              <w:t>9</w:t>
            </w:r>
          </w:p>
        </w:tc>
        <w:tc>
          <w:tcPr>
            <w:tcW w:w="1253" w:type="dxa"/>
            <w:vMerge w:val="continue"/>
            <w:vAlign w:val="center"/>
          </w:tcPr>
          <w:p w14:paraId="05A82B5D">
            <w:pPr>
              <w:pStyle w:val="11"/>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ascii="仿宋" w:hAnsi="仿宋" w:eastAsia="仿宋" w:cs="仿宋"/>
                <w:color w:val="auto"/>
                <w:szCs w:val="24"/>
                <w:highlight w:val="none"/>
              </w:rPr>
            </w:pPr>
          </w:p>
        </w:tc>
        <w:tc>
          <w:tcPr>
            <w:tcW w:w="1256" w:type="dxa"/>
            <w:vMerge w:val="restart"/>
            <w:vAlign w:val="center"/>
          </w:tcPr>
          <w:p w14:paraId="718922A3">
            <w:pPr>
              <w:keepNext w:val="0"/>
              <w:keepLines w:val="0"/>
              <w:pageBreakBefore w:val="0"/>
              <w:kinsoku/>
              <w:wordWrap/>
              <w:overflowPunct/>
              <w:topLinePunct w:val="0"/>
              <w:autoSpaceDE/>
              <w:autoSpaceDN/>
              <w:bidi w:val="0"/>
              <w:adjustRightInd/>
              <w:snapToGrid w:val="0"/>
              <w:spacing w:line="240" w:lineRule="auto"/>
              <w:jc w:val="center"/>
              <w:textAlignment w:val="auto"/>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供应商进书渠道、现采场所</w:t>
            </w:r>
          </w:p>
        </w:tc>
        <w:tc>
          <w:tcPr>
            <w:tcW w:w="4329" w:type="dxa"/>
            <w:vAlign w:val="center"/>
          </w:tcPr>
          <w:p w14:paraId="1753BDA3">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bCs/>
                <w:color w:val="auto"/>
                <w:kern w:val="0"/>
                <w:sz w:val="24"/>
                <w:szCs w:val="24"/>
                <w:highlight w:val="none"/>
                <w:lang w:eastAsia="zh-CN"/>
              </w:rPr>
            </w:pPr>
            <w:r>
              <w:rPr>
                <w:rFonts w:ascii="仿宋" w:hAnsi="仿宋" w:eastAsia="仿宋" w:cs="仿宋"/>
                <w:bCs/>
                <w:color w:val="auto"/>
                <w:kern w:val="0"/>
                <w:sz w:val="24"/>
                <w:szCs w:val="24"/>
                <w:highlight w:val="none"/>
              </w:rPr>
              <w:t>各类出版社进货渠道的满足性：提供与各类别出版社的合作合同。能提供有供书保障的</w:t>
            </w:r>
            <w:r>
              <w:rPr>
                <w:rFonts w:hint="eastAsia" w:ascii="仿宋" w:hAnsi="仿宋" w:eastAsia="仿宋" w:cs="仿宋"/>
                <w:bCs/>
                <w:color w:val="auto"/>
                <w:kern w:val="0"/>
                <w:sz w:val="24"/>
                <w:szCs w:val="24"/>
                <w:highlight w:val="none"/>
                <w:lang w:val="en-US" w:eastAsia="zh-CN"/>
              </w:rPr>
              <w:t>1</w:t>
            </w:r>
            <w:r>
              <w:rPr>
                <w:rFonts w:ascii="仿宋" w:hAnsi="仿宋" w:eastAsia="仿宋" w:cs="仿宋"/>
                <w:bCs/>
                <w:color w:val="auto"/>
                <w:kern w:val="0"/>
                <w:sz w:val="24"/>
                <w:szCs w:val="24"/>
                <w:highlight w:val="none"/>
              </w:rPr>
              <w:t>00家各类出版社授权书的得</w:t>
            </w:r>
            <w:r>
              <w:rPr>
                <w:rFonts w:hint="eastAsia" w:ascii="仿宋" w:hAnsi="仿宋" w:eastAsia="仿宋" w:cs="仿宋"/>
                <w:bCs/>
                <w:color w:val="auto"/>
                <w:kern w:val="0"/>
                <w:sz w:val="24"/>
                <w:szCs w:val="24"/>
                <w:highlight w:val="none"/>
                <w:lang w:val="en-US" w:eastAsia="zh-CN"/>
              </w:rPr>
              <w:t>2</w:t>
            </w:r>
            <w:r>
              <w:rPr>
                <w:rFonts w:ascii="仿宋" w:hAnsi="仿宋" w:eastAsia="仿宋" w:cs="仿宋"/>
                <w:bCs/>
                <w:color w:val="auto"/>
                <w:kern w:val="0"/>
                <w:sz w:val="24"/>
                <w:szCs w:val="24"/>
                <w:highlight w:val="none"/>
              </w:rPr>
              <w:t>分</w:t>
            </w:r>
            <w:r>
              <w:rPr>
                <w:rFonts w:hint="eastAsia" w:ascii="仿宋" w:hAnsi="仿宋" w:eastAsia="仿宋" w:cs="仿宋"/>
                <w:bCs/>
                <w:color w:val="auto"/>
                <w:kern w:val="0"/>
                <w:sz w:val="24"/>
                <w:szCs w:val="24"/>
                <w:highlight w:val="none"/>
                <w:lang w:eastAsia="zh-CN"/>
              </w:rPr>
              <w:t>；</w:t>
            </w:r>
            <w:r>
              <w:rPr>
                <w:rFonts w:hint="eastAsia" w:ascii="仿宋" w:hAnsi="仿宋" w:eastAsia="仿宋" w:cs="仿宋"/>
                <w:bCs/>
                <w:color w:val="auto"/>
                <w:kern w:val="0"/>
                <w:sz w:val="24"/>
                <w:szCs w:val="24"/>
                <w:highlight w:val="none"/>
                <w:lang w:val="en-US" w:eastAsia="zh-CN"/>
              </w:rPr>
              <w:t>1</w:t>
            </w:r>
            <w:r>
              <w:rPr>
                <w:rFonts w:ascii="仿宋" w:hAnsi="仿宋" w:eastAsia="仿宋" w:cs="仿宋"/>
                <w:bCs/>
                <w:color w:val="auto"/>
                <w:kern w:val="0"/>
                <w:sz w:val="24"/>
                <w:szCs w:val="24"/>
                <w:highlight w:val="none"/>
              </w:rPr>
              <w:t>00家的基础上每增加</w:t>
            </w:r>
            <w:r>
              <w:rPr>
                <w:rFonts w:hint="eastAsia" w:ascii="仿宋" w:hAnsi="仿宋" w:eastAsia="仿宋" w:cs="仿宋"/>
                <w:bCs/>
                <w:color w:val="auto"/>
                <w:kern w:val="0"/>
                <w:sz w:val="24"/>
                <w:szCs w:val="24"/>
                <w:highlight w:val="none"/>
                <w:lang w:val="en-US" w:eastAsia="zh-CN"/>
              </w:rPr>
              <w:t>5</w:t>
            </w:r>
            <w:r>
              <w:rPr>
                <w:rFonts w:ascii="仿宋" w:hAnsi="仿宋" w:eastAsia="仿宋" w:cs="仿宋"/>
                <w:bCs/>
                <w:color w:val="auto"/>
                <w:kern w:val="0"/>
                <w:sz w:val="24"/>
                <w:szCs w:val="24"/>
                <w:highlight w:val="none"/>
              </w:rPr>
              <w:t>0家，加1分，本项最高得</w:t>
            </w:r>
            <w:r>
              <w:rPr>
                <w:rFonts w:hint="eastAsia" w:ascii="仿宋" w:hAnsi="仿宋" w:eastAsia="仿宋" w:cs="仿宋"/>
                <w:bCs/>
                <w:color w:val="auto"/>
                <w:kern w:val="0"/>
                <w:sz w:val="24"/>
                <w:szCs w:val="24"/>
                <w:highlight w:val="none"/>
                <w:lang w:val="en-US" w:eastAsia="zh-CN"/>
              </w:rPr>
              <w:t>4</w:t>
            </w:r>
            <w:r>
              <w:rPr>
                <w:rFonts w:ascii="仿宋" w:hAnsi="仿宋" w:eastAsia="仿宋" w:cs="仿宋"/>
                <w:bCs/>
                <w:color w:val="auto"/>
                <w:kern w:val="0"/>
                <w:sz w:val="24"/>
                <w:szCs w:val="24"/>
                <w:highlight w:val="none"/>
              </w:rPr>
              <w:t>分。</w:t>
            </w:r>
          </w:p>
          <w:p w14:paraId="41BC548A">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bCs/>
                <w:color w:val="auto"/>
                <w:kern w:val="0"/>
                <w:sz w:val="24"/>
                <w:szCs w:val="24"/>
                <w:highlight w:val="none"/>
                <w:lang w:eastAsia="zh-CN"/>
              </w:rPr>
            </w:pPr>
            <w:r>
              <w:rPr>
                <w:rFonts w:hint="eastAsia" w:ascii="仿宋" w:hAnsi="仿宋" w:eastAsia="仿宋" w:cs="仿宋"/>
                <w:b/>
                <w:bCs w:val="0"/>
                <w:color w:val="auto"/>
                <w:kern w:val="0"/>
                <w:sz w:val="24"/>
                <w:szCs w:val="24"/>
                <w:highlight w:val="none"/>
                <w:lang w:eastAsia="zh-CN"/>
              </w:rPr>
              <w:t>（</w:t>
            </w:r>
            <w:r>
              <w:rPr>
                <w:rFonts w:hint="eastAsia" w:ascii="仿宋" w:hAnsi="仿宋" w:eastAsia="仿宋" w:cs="仿宋"/>
                <w:b/>
                <w:bCs w:val="0"/>
                <w:color w:val="auto"/>
                <w:kern w:val="0"/>
                <w:sz w:val="24"/>
                <w:szCs w:val="24"/>
                <w:highlight w:val="none"/>
                <w:lang w:val="en-US" w:eastAsia="zh-CN"/>
              </w:rPr>
              <w:t>需提供</w:t>
            </w:r>
            <w:r>
              <w:rPr>
                <w:rFonts w:ascii="仿宋" w:hAnsi="仿宋" w:eastAsia="仿宋" w:cs="仿宋"/>
                <w:b/>
                <w:bCs w:val="0"/>
                <w:color w:val="auto"/>
                <w:kern w:val="0"/>
                <w:sz w:val="24"/>
                <w:szCs w:val="24"/>
                <w:highlight w:val="none"/>
              </w:rPr>
              <w:t>与出版社</w:t>
            </w:r>
            <w:r>
              <w:rPr>
                <w:rFonts w:hint="eastAsia" w:ascii="仿宋" w:hAnsi="仿宋" w:eastAsia="仿宋" w:cs="仿宋"/>
                <w:b/>
                <w:bCs w:val="0"/>
                <w:color w:val="auto"/>
                <w:kern w:val="0"/>
                <w:sz w:val="24"/>
                <w:szCs w:val="24"/>
                <w:highlight w:val="none"/>
                <w:lang w:val="en-US" w:eastAsia="zh-CN"/>
              </w:rPr>
              <w:t>双方</w:t>
            </w:r>
            <w:r>
              <w:rPr>
                <w:rFonts w:ascii="仿宋" w:hAnsi="仿宋" w:eastAsia="仿宋" w:cs="仿宋"/>
                <w:b/>
                <w:bCs w:val="0"/>
                <w:color w:val="auto"/>
                <w:kern w:val="0"/>
                <w:sz w:val="24"/>
                <w:szCs w:val="24"/>
                <w:highlight w:val="none"/>
              </w:rPr>
              <w:t>签订的合作合同或授权书、一家出版社提供一张往来发票扫描件</w:t>
            </w:r>
            <w:r>
              <w:rPr>
                <w:rFonts w:hint="eastAsia" w:ascii="仿宋" w:hAnsi="仿宋" w:eastAsia="仿宋" w:cs="仿宋"/>
                <w:b/>
                <w:bCs w:val="0"/>
                <w:color w:val="auto"/>
                <w:kern w:val="0"/>
                <w:sz w:val="24"/>
                <w:szCs w:val="24"/>
                <w:highlight w:val="none"/>
                <w:lang w:eastAsia="zh-CN"/>
              </w:rPr>
              <w:t>，</w:t>
            </w:r>
            <w:r>
              <w:rPr>
                <w:rFonts w:hint="eastAsia" w:ascii="仿宋" w:hAnsi="仿宋" w:eastAsia="仿宋" w:cs="仿宋"/>
                <w:b/>
                <w:bCs w:val="0"/>
                <w:color w:val="auto"/>
                <w:kern w:val="0"/>
                <w:sz w:val="24"/>
                <w:szCs w:val="24"/>
                <w:highlight w:val="none"/>
              </w:rPr>
              <w:t>扫描件进入磋商响应文件，否则不得分）。</w:t>
            </w:r>
          </w:p>
        </w:tc>
        <w:tc>
          <w:tcPr>
            <w:tcW w:w="939" w:type="dxa"/>
            <w:vAlign w:val="center"/>
          </w:tcPr>
          <w:p w14:paraId="076B6485">
            <w:pPr>
              <w:pStyle w:val="11"/>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hint="eastAsia" w:ascii="仿宋" w:hAnsi="仿宋" w:eastAsia="仿宋" w:cs="仿宋"/>
                <w:bCs/>
                <w:color w:val="auto"/>
                <w:kern w:val="0"/>
                <w:szCs w:val="24"/>
                <w:highlight w:val="none"/>
                <w:lang w:eastAsia="zh-CN"/>
              </w:rPr>
            </w:pPr>
            <w:r>
              <w:rPr>
                <w:rFonts w:hint="eastAsia" w:ascii="仿宋" w:hAnsi="仿宋" w:eastAsia="仿宋" w:cs="仿宋"/>
                <w:color w:val="auto"/>
                <w:szCs w:val="24"/>
                <w:highlight w:val="none"/>
                <w:lang w:val="en-US" w:eastAsia="zh-CN"/>
              </w:rPr>
              <w:t>0-</w:t>
            </w:r>
            <w:r>
              <w:rPr>
                <w:rFonts w:hint="eastAsia" w:ascii="仿宋" w:hAnsi="仿宋" w:eastAsia="仿宋" w:cs="仿宋"/>
                <w:bCs/>
                <w:color w:val="auto"/>
                <w:kern w:val="0"/>
                <w:szCs w:val="24"/>
                <w:highlight w:val="none"/>
                <w:lang w:val="en-US" w:eastAsia="zh-CN"/>
              </w:rPr>
              <w:t>6</w:t>
            </w:r>
          </w:p>
        </w:tc>
      </w:tr>
      <w:tr w14:paraId="29AEC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43" w:type="dxa"/>
            <w:vMerge w:val="continue"/>
            <w:vAlign w:val="center"/>
          </w:tcPr>
          <w:p w14:paraId="2EA2EF0D">
            <w:pPr>
              <w:pStyle w:val="11"/>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ascii="仿宋" w:hAnsi="仿宋" w:eastAsia="仿宋" w:cs="仿宋"/>
                <w:color w:val="auto"/>
                <w:szCs w:val="24"/>
                <w:highlight w:val="none"/>
              </w:rPr>
            </w:pPr>
          </w:p>
        </w:tc>
        <w:tc>
          <w:tcPr>
            <w:tcW w:w="1253" w:type="dxa"/>
            <w:vMerge w:val="continue"/>
            <w:vAlign w:val="center"/>
          </w:tcPr>
          <w:p w14:paraId="3646682F">
            <w:pPr>
              <w:pStyle w:val="11"/>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ascii="仿宋" w:hAnsi="仿宋" w:eastAsia="仿宋" w:cs="仿宋"/>
                <w:color w:val="auto"/>
                <w:szCs w:val="24"/>
                <w:highlight w:val="none"/>
              </w:rPr>
            </w:pPr>
          </w:p>
        </w:tc>
        <w:tc>
          <w:tcPr>
            <w:tcW w:w="1256" w:type="dxa"/>
            <w:vMerge w:val="continue"/>
            <w:vAlign w:val="center"/>
          </w:tcPr>
          <w:p w14:paraId="77FF5F83">
            <w:pPr>
              <w:pStyle w:val="11"/>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ascii="仿宋" w:hAnsi="仿宋" w:eastAsia="仿宋" w:cs="仿宋"/>
                <w:b/>
                <w:bCs/>
                <w:color w:val="auto"/>
                <w:szCs w:val="24"/>
                <w:highlight w:val="none"/>
              </w:rPr>
            </w:pPr>
          </w:p>
        </w:tc>
        <w:tc>
          <w:tcPr>
            <w:tcW w:w="4329" w:type="dxa"/>
            <w:vAlign w:val="center"/>
          </w:tcPr>
          <w:p w14:paraId="7352D3E4">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仿宋" w:hAnsi="仿宋" w:eastAsia="仿宋" w:cs="仿宋"/>
                <w:bCs/>
                <w:color w:val="auto"/>
                <w:kern w:val="0"/>
                <w:sz w:val="24"/>
                <w:szCs w:val="24"/>
                <w:highlight w:val="none"/>
              </w:rPr>
            </w:pPr>
            <w:r>
              <w:rPr>
                <w:rFonts w:hint="eastAsia" w:ascii="仿宋" w:hAnsi="仿宋" w:eastAsia="仿宋" w:cs="仿宋"/>
                <w:color w:val="auto"/>
                <w:sz w:val="24"/>
                <w:szCs w:val="24"/>
                <w:highlight w:val="none"/>
              </w:rPr>
              <w:t>现采场所：</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拥有自有实体卖场（自有场地提供房产证明原件彩色扫描件或租赁协议原件彩色扫描件，扫描件进入</w:t>
            </w:r>
            <w:r>
              <w:rPr>
                <w:rFonts w:hint="eastAsia" w:ascii="仿宋" w:hAnsi="仿宋" w:eastAsia="仿宋" w:cs="仿宋"/>
                <w:color w:val="auto"/>
                <w:sz w:val="24"/>
                <w:szCs w:val="24"/>
                <w:highlight w:val="none"/>
                <w:lang w:val="en-US" w:eastAsia="zh-CN"/>
              </w:rPr>
              <w:t>磋商</w:t>
            </w:r>
            <w:r>
              <w:rPr>
                <w:rFonts w:hint="eastAsia" w:ascii="仿宋" w:hAnsi="仿宋" w:eastAsia="仿宋" w:cs="仿宋"/>
                <w:color w:val="auto"/>
                <w:sz w:val="24"/>
                <w:szCs w:val="24"/>
                <w:highlight w:val="none"/>
              </w:rPr>
              <w:t>响应文件，否则不得分）根据图书品质、丰富程度等响应情况，由评委在分值范围内进行打分（分值：</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3、2、1、0）。</w:t>
            </w:r>
          </w:p>
        </w:tc>
        <w:tc>
          <w:tcPr>
            <w:tcW w:w="939" w:type="dxa"/>
            <w:vAlign w:val="center"/>
          </w:tcPr>
          <w:p w14:paraId="1B4867E7">
            <w:pPr>
              <w:pStyle w:val="11"/>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hint="eastAsia" w:ascii="仿宋" w:hAnsi="仿宋" w:eastAsia="仿宋" w:cs="仿宋"/>
                <w:bCs/>
                <w:color w:val="auto"/>
                <w:kern w:val="0"/>
                <w:szCs w:val="24"/>
                <w:highlight w:val="none"/>
                <w:lang w:eastAsia="zh-CN"/>
              </w:rPr>
            </w:pPr>
            <w:r>
              <w:rPr>
                <w:rFonts w:hint="eastAsia" w:ascii="仿宋" w:hAnsi="仿宋" w:eastAsia="仿宋" w:cs="仿宋"/>
                <w:color w:val="auto"/>
                <w:szCs w:val="24"/>
                <w:highlight w:val="none"/>
                <w:lang w:val="en-US" w:eastAsia="zh-CN"/>
              </w:rPr>
              <w:t>0-</w:t>
            </w:r>
            <w:r>
              <w:rPr>
                <w:rFonts w:hint="eastAsia" w:ascii="仿宋" w:hAnsi="仿宋" w:eastAsia="仿宋" w:cs="仿宋"/>
                <w:bCs/>
                <w:color w:val="auto"/>
                <w:kern w:val="0"/>
                <w:szCs w:val="24"/>
                <w:highlight w:val="none"/>
                <w:lang w:val="en-US" w:eastAsia="zh-CN"/>
              </w:rPr>
              <w:t>4</w:t>
            </w:r>
          </w:p>
        </w:tc>
      </w:tr>
      <w:tr w14:paraId="5A5C2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43" w:type="dxa"/>
            <w:vAlign w:val="center"/>
          </w:tcPr>
          <w:p w14:paraId="43B481C9">
            <w:pPr>
              <w:pStyle w:val="11"/>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en-US" w:eastAsia="zh-CN"/>
              </w:rPr>
              <w:t>0</w:t>
            </w:r>
          </w:p>
        </w:tc>
        <w:tc>
          <w:tcPr>
            <w:tcW w:w="1253" w:type="dxa"/>
            <w:vMerge w:val="continue"/>
            <w:vAlign w:val="center"/>
          </w:tcPr>
          <w:p w14:paraId="4E260A23">
            <w:pPr>
              <w:pStyle w:val="11"/>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ascii="仿宋" w:hAnsi="仿宋" w:eastAsia="仿宋" w:cs="仿宋"/>
                <w:color w:val="auto"/>
                <w:szCs w:val="24"/>
                <w:highlight w:val="none"/>
              </w:rPr>
            </w:pPr>
          </w:p>
        </w:tc>
        <w:tc>
          <w:tcPr>
            <w:tcW w:w="1256" w:type="dxa"/>
            <w:vAlign w:val="center"/>
          </w:tcPr>
          <w:p w14:paraId="40778D70">
            <w:pPr>
              <w:pStyle w:val="11"/>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b/>
                <w:bCs/>
                <w:color w:val="auto"/>
                <w:szCs w:val="24"/>
                <w:highlight w:val="none"/>
              </w:rPr>
            </w:pPr>
            <w:r>
              <w:rPr>
                <w:rFonts w:hint="eastAsia" w:ascii="仿宋" w:hAnsi="仿宋" w:eastAsia="仿宋" w:cs="仿宋"/>
                <w:b/>
                <w:bCs/>
                <w:color w:val="auto"/>
                <w:szCs w:val="24"/>
                <w:highlight w:val="none"/>
                <w:lang w:val="en-US" w:eastAsia="zh-CN"/>
              </w:rPr>
              <w:t>网上订购能力</w:t>
            </w:r>
          </w:p>
        </w:tc>
        <w:tc>
          <w:tcPr>
            <w:tcW w:w="4329" w:type="dxa"/>
            <w:vAlign w:val="center"/>
          </w:tcPr>
          <w:p w14:paraId="72594DB8">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根据</w:t>
            </w:r>
            <w:r>
              <w:rPr>
                <w:rFonts w:hint="eastAsia" w:ascii="仿宋" w:hAnsi="仿宋" w:eastAsia="仿宋" w:cs="仿宋"/>
                <w:bCs/>
                <w:color w:val="auto"/>
                <w:kern w:val="0"/>
                <w:sz w:val="24"/>
                <w:szCs w:val="24"/>
                <w:highlight w:val="none"/>
                <w:lang w:val="en-US" w:eastAsia="zh-CN"/>
              </w:rPr>
              <w:t>供应商</w:t>
            </w:r>
            <w:r>
              <w:rPr>
                <w:rFonts w:hint="eastAsia" w:ascii="仿宋" w:hAnsi="仿宋" w:eastAsia="仿宋" w:cs="仿宋"/>
                <w:bCs/>
                <w:color w:val="auto"/>
                <w:kern w:val="0"/>
                <w:sz w:val="24"/>
                <w:szCs w:val="24"/>
                <w:highlight w:val="none"/>
              </w:rPr>
              <w:t>是否具有自己的电子商务网站，且能满足图书馆采购缺藏图书需求，由评委根据对应分值进行打分</w:t>
            </w:r>
            <w:r>
              <w:rPr>
                <w:rFonts w:hint="eastAsia" w:ascii="仿宋" w:hAnsi="仿宋" w:eastAsia="仿宋" w:cs="仿宋"/>
                <w:color w:val="auto"/>
                <w:sz w:val="24"/>
                <w:szCs w:val="24"/>
                <w:highlight w:val="none"/>
              </w:rPr>
              <w:t>（分值：2、1、0）。</w:t>
            </w:r>
          </w:p>
          <w:p w14:paraId="1239D7D3">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rPr>
              <w:t>（需提供</w:t>
            </w:r>
            <w:r>
              <w:rPr>
                <w:rFonts w:hint="eastAsia" w:ascii="仿宋" w:hAnsi="仿宋" w:eastAsia="仿宋" w:cs="仿宋"/>
                <w:b/>
                <w:bCs w:val="0"/>
                <w:color w:val="auto"/>
                <w:kern w:val="0"/>
                <w:sz w:val="24"/>
                <w:szCs w:val="24"/>
                <w:highlight w:val="none"/>
              </w:rPr>
              <w:t>网站地址、相关网络截图、测试账号</w:t>
            </w:r>
            <w:r>
              <w:rPr>
                <w:rFonts w:hint="eastAsia" w:ascii="仿宋" w:hAnsi="仿宋" w:eastAsia="仿宋" w:cs="仿宋"/>
                <w:b/>
                <w:bCs w:val="0"/>
                <w:color w:val="auto"/>
                <w:kern w:val="0"/>
                <w:sz w:val="24"/>
                <w:szCs w:val="24"/>
                <w:highlight w:val="none"/>
                <w:lang w:val="en-US" w:eastAsia="zh-CN"/>
              </w:rPr>
              <w:t>等证明材料扫描件，</w:t>
            </w:r>
            <w:r>
              <w:rPr>
                <w:rFonts w:hint="eastAsia" w:ascii="仿宋" w:hAnsi="仿宋" w:eastAsia="仿宋" w:cs="仿宋"/>
                <w:b/>
                <w:bCs w:val="0"/>
                <w:color w:val="auto"/>
                <w:kern w:val="0"/>
                <w:sz w:val="24"/>
                <w:szCs w:val="24"/>
                <w:highlight w:val="none"/>
              </w:rPr>
              <w:t>扫描件进入磋商响应文件，否则不得分）。</w:t>
            </w:r>
          </w:p>
        </w:tc>
        <w:tc>
          <w:tcPr>
            <w:tcW w:w="939" w:type="dxa"/>
            <w:vAlign w:val="center"/>
          </w:tcPr>
          <w:p w14:paraId="7C6EB6E0">
            <w:pPr>
              <w:pStyle w:val="11"/>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hint="eastAsia" w:ascii="仿宋" w:hAnsi="仿宋" w:eastAsia="仿宋" w:cs="仿宋"/>
                <w:bCs/>
                <w:color w:val="auto"/>
                <w:kern w:val="0"/>
                <w:szCs w:val="24"/>
                <w:highlight w:val="none"/>
                <w:lang w:eastAsia="zh-CN"/>
              </w:rPr>
            </w:pPr>
            <w:r>
              <w:rPr>
                <w:rFonts w:hint="eastAsia" w:ascii="仿宋" w:hAnsi="仿宋" w:eastAsia="仿宋" w:cs="仿宋"/>
                <w:color w:val="auto"/>
                <w:szCs w:val="24"/>
                <w:highlight w:val="none"/>
                <w:lang w:val="en-US" w:eastAsia="zh-CN"/>
              </w:rPr>
              <w:t>0-</w:t>
            </w:r>
            <w:r>
              <w:rPr>
                <w:rFonts w:hint="eastAsia" w:ascii="仿宋" w:hAnsi="仿宋" w:eastAsia="仿宋" w:cs="仿宋"/>
                <w:bCs/>
                <w:color w:val="auto"/>
                <w:kern w:val="0"/>
                <w:szCs w:val="24"/>
                <w:highlight w:val="none"/>
                <w:lang w:val="en-US" w:eastAsia="zh-CN"/>
              </w:rPr>
              <w:t>2</w:t>
            </w:r>
          </w:p>
        </w:tc>
      </w:tr>
      <w:tr w14:paraId="4B79B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43" w:type="dxa"/>
            <w:vMerge w:val="restart"/>
            <w:vAlign w:val="center"/>
          </w:tcPr>
          <w:p w14:paraId="7EA7B4C4">
            <w:pPr>
              <w:pStyle w:val="11"/>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en-US" w:eastAsia="zh-CN"/>
              </w:rPr>
              <w:t>1</w:t>
            </w:r>
          </w:p>
        </w:tc>
        <w:tc>
          <w:tcPr>
            <w:tcW w:w="1253" w:type="dxa"/>
            <w:vMerge w:val="continue"/>
            <w:vAlign w:val="center"/>
          </w:tcPr>
          <w:p w14:paraId="09E7EF49">
            <w:pPr>
              <w:pStyle w:val="11"/>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ascii="仿宋" w:hAnsi="仿宋" w:eastAsia="仿宋" w:cs="仿宋"/>
                <w:color w:val="auto"/>
                <w:szCs w:val="24"/>
                <w:highlight w:val="none"/>
              </w:rPr>
            </w:pPr>
          </w:p>
        </w:tc>
        <w:tc>
          <w:tcPr>
            <w:tcW w:w="1256" w:type="dxa"/>
            <w:vMerge w:val="restart"/>
            <w:vAlign w:val="center"/>
          </w:tcPr>
          <w:p w14:paraId="2B26F7B7">
            <w:pPr>
              <w:pStyle w:val="11"/>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rPr>
              <w:t>售后服务</w:t>
            </w:r>
          </w:p>
        </w:tc>
        <w:tc>
          <w:tcPr>
            <w:tcW w:w="4329" w:type="dxa"/>
            <w:vAlign w:val="center"/>
          </w:tcPr>
          <w:p w14:paraId="63B1ECB6">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lang w:val="en-US" w:eastAsia="zh-CN"/>
              </w:rPr>
              <w:t>根据售后服务网点</w:t>
            </w:r>
            <w:r>
              <w:rPr>
                <w:rFonts w:hint="eastAsia" w:ascii="仿宋" w:hAnsi="仿宋" w:eastAsia="仿宋" w:cs="仿宋"/>
                <w:bCs/>
                <w:color w:val="auto"/>
                <w:kern w:val="0"/>
                <w:sz w:val="24"/>
                <w:szCs w:val="24"/>
                <w:highlight w:val="none"/>
              </w:rPr>
              <w:t>是否能及时提供完善的售后服务，售后服务响应时间是否满足采购人后期的实际需求，由评委在分值范围内进行打分（分值：</w:t>
            </w:r>
            <w:r>
              <w:rPr>
                <w:rFonts w:hint="eastAsia" w:ascii="仿宋" w:hAnsi="仿宋" w:eastAsia="仿宋" w:cs="仿宋"/>
                <w:bCs/>
                <w:color w:val="auto"/>
                <w:kern w:val="0"/>
                <w:sz w:val="24"/>
                <w:szCs w:val="24"/>
                <w:highlight w:val="none"/>
                <w:lang w:val="en-US" w:eastAsia="zh-CN"/>
              </w:rPr>
              <w:t>5、4、</w:t>
            </w:r>
            <w:r>
              <w:rPr>
                <w:rFonts w:hint="eastAsia" w:ascii="仿宋" w:hAnsi="仿宋" w:eastAsia="仿宋" w:cs="仿宋"/>
                <w:bCs/>
                <w:color w:val="auto"/>
                <w:kern w:val="0"/>
                <w:sz w:val="24"/>
                <w:szCs w:val="24"/>
                <w:highlight w:val="none"/>
              </w:rPr>
              <w:t>3、2、1、0）。</w:t>
            </w:r>
          </w:p>
          <w:p w14:paraId="650F5D03">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bCs/>
                <w:color w:val="auto"/>
                <w:kern w:val="0"/>
                <w:sz w:val="24"/>
                <w:szCs w:val="24"/>
                <w:highlight w:val="none"/>
                <w:lang w:eastAsia="zh-CN"/>
              </w:rPr>
            </w:pPr>
            <w:r>
              <w:rPr>
                <w:rFonts w:hint="eastAsia" w:ascii="仿宋" w:hAnsi="仿宋" w:eastAsia="仿宋" w:cs="仿宋"/>
                <w:b/>
                <w:bCs/>
                <w:color w:val="auto"/>
                <w:sz w:val="24"/>
                <w:szCs w:val="24"/>
                <w:highlight w:val="none"/>
              </w:rPr>
              <w:t>（需提供</w:t>
            </w:r>
            <w:r>
              <w:rPr>
                <w:rFonts w:hint="eastAsia" w:ascii="仿宋" w:hAnsi="仿宋" w:eastAsia="仿宋" w:cs="仿宋"/>
                <w:b/>
                <w:bCs w:val="0"/>
                <w:color w:val="auto"/>
                <w:kern w:val="0"/>
                <w:sz w:val="24"/>
                <w:szCs w:val="24"/>
                <w:highlight w:val="none"/>
              </w:rPr>
              <w:t>售后服务地点</w:t>
            </w:r>
            <w:r>
              <w:rPr>
                <w:rFonts w:hint="eastAsia" w:ascii="仿宋" w:hAnsi="仿宋" w:eastAsia="仿宋" w:cs="仿宋"/>
                <w:b/>
                <w:bCs w:val="0"/>
                <w:color w:val="auto"/>
                <w:kern w:val="0"/>
                <w:sz w:val="24"/>
                <w:szCs w:val="24"/>
                <w:highlight w:val="none"/>
                <w:lang w:eastAsia="zh-CN"/>
              </w:rPr>
              <w:t>，</w:t>
            </w:r>
            <w:r>
              <w:rPr>
                <w:rFonts w:hint="eastAsia" w:ascii="仿宋" w:hAnsi="仿宋" w:eastAsia="仿宋" w:cs="仿宋"/>
                <w:b/>
                <w:bCs w:val="0"/>
                <w:color w:val="auto"/>
                <w:kern w:val="0"/>
                <w:sz w:val="24"/>
                <w:szCs w:val="24"/>
                <w:highlight w:val="none"/>
              </w:rPr>
              <w:t>以相关主管部门的登记证明为准，登记证明扫描件</w:t>
            </w:r>
            <w:r>
              <w:rPr>
                <w:rFonts w:hint="eastAsia" w:ascii="仿宋" w:hAnsi="仿宋" w:eastAsia="仿宋" w:cs="仿宋"/>
                <w:b/>
                <w:bCs w:val="0"/>
                <w:color w:val="auto"/>
                <w:kern w:val="0"/>
                <w:sz w:val="24"/>
                <w:szCs w:val="24"/>
                <w:highlight w:val="none"/>
                <w:lang w:eastAsia="zh-CN"/>
              </w:rPr>
              <w:t>，</w:t>
            </w:r>
            <w:r>
              <w:rPr>
                <w:rFonts w:hint="eastAsia" w:ascii="仿宋" w:hAnsi="仿宋" w:eastAsia="仿宋" w:cs="仿宋"/>
                <w:b/>
                <w:bCs w:val="0"/>
                <w:color w:val="auto"/>
                <w:kern w:val="0"/>
                <w:sz w:val="24"/>
                <w:szCs w:val="24"/>
                <w:highlight w:val="none"/>
              </w:rPr>
              <w:t>扫描件进入磋商响应文件，否则不得分）。</w:t>
            </w:r>
          </w:p>
        </w:tc>
        <w:tc>
          <w:tcPr>
            <w:tcW w:w="939" w:type="dxa"/>
            <w:vAlign w:val="center"/>
          </w:tcPr>
          <w:p w14:paraId="2E0D243C">
            <w:pPr>
              <w:pStyle w:val="11"/>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hint="eastAsia" w:ascii="仿宋" w:hAnsi="仿宋" w:eastAsia="仿宋" w:cs="仿宋"/>
                <w:bCs/>
                <w:color w:val="auto"/>
                <w:kern w:val="0"/>
                <w:szCs w:val="24"/>
                <w:highlight w:val="none"/>
                <w:lang w:eastAsia="zh-CN"/>
              </w:rPr>
            </w:pPr>
            <w:r>
              <w:rPr>
                <w:rFonts w:hint="eastAsia" w:ascii="仿宋" w:hAnsi="仿宋" w:eastAsia="仿宋" w:cs="仿宋"/>
                <w:color w:val="auto"/>
                <w:szCs w:val="24"/>
                <w:highlight w:val="none"/>
                <w:lang w:val="en-US" w:eastAsia="zh-CN"/>
              </w:rPr>
              <w:t>0-</w:t>
            </w:r>
            <w:r>
              <w:rPr>
                <w:rFonts w:hint="eastAsia" w:ascii="仿宋" w:hAnsi="仿宋" w:eastAsia="仿宋" w:cs="仿宋"/>
                <w:bCs/>
                <w:color w:val="auto"/>
                <w:kern w:val="0"/>
                <w:szCs w:val="24"/>
                <w:highlight w:val="none"/>
                <w:lang w:val="en-US" w:eastAsia="zh-CN"/>
              </w:rPr>
              <w:t>5</w:t>
            </w:r>
          </w:p>
        </w:tc>
      </w:tr>
      <w:tr w14:paraId="6DD37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743" w:type="dxa"/>
            <w:vMerge w:val="continue"/>
            <w:vAlign w:val="center"/>
          </w:tcPr>
          <w:p w14:paraId="133AE33A">
            <w:pPr>
              <w:pStyle w:val="11"/>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ascii="仿宋" w:hAnsi="仿宋" w:eastAsia="仿宋" w:cs="仿宋"/>
                <w:color w:val="auto"/>
                <w:szCs w:val="24"/>
                <w:highlight w:val="none"/>
              </w:rPr>
            </w:pPr>
          </w:p>
        </w:tc>
        <w:tc>
          <w:tcPr>
            <w:tcW w:w="1253" w:type="dxa"/>
            <w:vMerge w:val="continue"/>
            <w:vAlign w:val="center"/>
          </w:tcPr>
          <w:p w14:paraId="681B054A">
            <w:pPr>
              <w:pStyle w:val="11"/>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ascii="仿宋" w:hAnsi="仿宋" w:eastAsia="仿宋" w:cs="仿宋"/>
                <w:color w:val="auto"/>
                <w:szCs w:val="24"/>
                <w:highlight w:val="none"/>
              </w:rPr>
            </w:pPr>
          </w:p>
        </w:tc>
        <w:tc>
          <w:tcPr>
            <w:tcW w:w="1256" w:type="dxa"/>
            <w:vMerge w:val="continue"/>
            <w:vAlign w:val="center"/>
          </w:tcPr>
          <w:p w14:paraId="4BE75AB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仿宋" w:hAnsi="仿宋" w:eastAsia="仿宋" w:cs="仿宋"/>
                <w:b/>
                <w:bCs/>
                <w:color w:val="auto"/>
                <w:sz w:val="24"/>
                <w:szCs w:val="24"/>
                <w:highlight w:val="none"/>
              </w:rPr>
            </w:pPr>
          </w:p>
        </w:tc>
        <w:tc>
          <w:tcPr>
            <w:tcW w:w="4329" w:type="dxa"/>
            <w:vAlign w:val="center"/>
          </w:tcPr>
          <w:p w14:paraId="163127E9">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仿宋" w:hAnsi="仿宋" w:eastAsia="仿宋" w:cs="仿宋"/>
                <w:bCs/>
                <w:color w:val="auto"/>
                <w:kern w:val="0"/>
                <w:sz w:val="24"/>
                <w:szCs w:val="24"/>
                <w:highlight w:val="none"/>
              </w:rPr>
            </w:pPr>
            <w:r>
              <w:rPr>
                <w:rFonts w:hint="eastAsia" w:ascii="仿宋" w:hAnsi="仿宋" w:eastAsia="仿宋" w:cs="仿宋"/>
                <w:color w:val="auto"/>
                <w:sz w:val="24"/>
                <w:szCs w:val="24"/>
                <w:highlight w:val="none"/>
              </w:rPr>
              <w:t>在服务点有车辆配备、图书加工和服务场地、仓库储备情况说明</w:t>
            </w:r>
            <w:r>
              <w:rPr>
                <w:rFonts w:hint="eastAsia" w:ascii="仿宋" w:hAnsi="仿宋" w:eastAsia="仿宋" w:cs="仿宋"/>
                <w:b w:val="0"/>
                <w:bCs/>
                <w:color w:val="auto"/>
                <w:kern w:val="0"/>
                <w:sz w:val="24"/>
                <w:szCs w:val="24"/>
                <w:highlight w:val="none"/>
                <w:lang w:eastAsia="zh-CN"/>
              </w:rPr>
              <w:t>，</w:t>
            </w:r>
            <w:r>
              <w:rPr>
                <w:rFonts w:hint="eastAsia" w:ascii="仿宋" w:hAnsi="仿宋" w:eastAsia="仿宋" w:cs="仿宋"/>
                <w:color w:val="auto"/>
                <w:sz w:val="24"/>
                <w:szCs w:val="24"/>
                <w:highlight w:val="none"/>
              </w:rPr>
              <w:t>由评委在分值范围内进行打分</w:t>
            </w:r>
            <w:r>
              <w:rPr>
                <w:rFonts w:hint="eastAsia" w:ascii="仿宋" w:hAnsi="仿宋" w:eastAsia="仿宋" w:cs="仿宋"/>
                <w:bCs/>
                <w:color w:val="auto"/>
                <w:kern w:val="0"/>
                <w:sz w:val="24"/>
                <w:szCs w:val="24"/>
                <w:highlight w:val="none"/>
              </w:rPr>
              <w:t>（分值：</w:t>
            </w:r>
            <w:r>
              <w:rPr>
                <w:rFonts w:hint="eastAsia" w:ascii="仿宋" w:hAnsi="仿宋" w:eastAsia="仿宋" w:cs="仿宋"/>
                <w:bCs/>
                <w:color w:val="auto"/>
                <w:kern w:val="0"/>
                <w:sz w:val="24"/>
                <w:szCs w:val="24"/>
                <w:highlight w:val="none"/>
                <w:lang w:val="en-US" w:eastAsia="zh-CN"/>
              </w:rPr>
              <w:t>5、4、</w:t>
            </w:r>
            <w:r>
              <w:rPr>
                <w:rFonts w:hint="eastAsia" w:ascii="仿宋" w:hAnsi="仿宋" w:eastAsia="仿宋" w:cs="仿宋"/>
                <w:bCs/>
                <w:color w:val="auto"/>
                <w:kern w:val="0"/>
                <w:sz w:val="24"/>
                <w:szCs w:val="24"/>
                <w:highlight w:val="none"/>
              </w:rPr>
              <w:t>3、2、1、0）。</w:t>
            </w:r>
            <w:r>
              <w:rPr>
                <w:rFonts w:hint="eastAsia" w:ascii="仿宋" w:hAnsi="仿宋" w:eastAsia="仿宋" w:cs="仿宋"/>
                <w:b/>
                <w:bCs/>
                <w:color w:val="auto"/>
                <w:sz w:val="24"/>
                <w:szCs w:val="24"/>
                <w:highlight w:val="none"/>
              </w:rPr>
              <w:t>（需提供车辆设备证明</w:t>
            </w:r>
            <w:r>
              <w:rPr>
                <w:rFonts w:hint="eastAsia" w:ascii="仿宋" w:hAnsi="仿宋" w:eastAsia="仿宋" w:cs="仿宋"/>
                <w:b/>
                <w:bCs/>
                <w:color w:val="auto"/>
                <w:sz w:val="24"/>
                <w:szCs w:val="24"/>
                <w:highlight w:val="none"/>
                <w:lang w:val="en-US" w:eastAsia="zh-CN"/>
              </w:rPr>
              <w:t>扫描件</w:t>
            </w:r>
            <w:r>
              <w:rPr>
                <w:rFonts w:hint="eastAsia" w:ascii="仿宋" w:hAnsi="仿宋" w:eastAsia="仿宋" w:cs="仿宋"/>
                <w:b/>
                <w:bCs/>
                <w:color w:val="auto"/>
                <w:sz w:val="24"/>
                <w:szCs w:val="24"/>
                <w:highlight w:val="none"/>
              </w:rPr>
              <w:t>、租房协议或房产证证明扫描件及现场图片，扫描件进入磋商响应文件，否则不得分）。</w:t>
            </w:r>
          </w:p>
        </w:tc>
        <w:tc>
          <w:tcPr>
            <w:tcW w:w="939" w:type="dxa"/>
            <w:vAlign w:val="center"/>
          </w:tcPr>
          <w:p w14:paraId="3960DEB1">
            <w:pPr>
              <w:pStyle w:val="11"/>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hint="eastAsia" w:ascii="仿宋" w:hAnsi="仿宋" w:eastAsia="仿宋" w:cs="仿宋"/>
                <w:bCs/>
                <w:color w:val="auto"/>
                <w:kern w:val="0"/>
                <w:szCs w:val="24"/>
                <w:highlight w:val="none"/>
                <w:lang w:eastAsia="zh-CN"/>
              </w:rPr>
            </w:pPr>
            <w:r>
              <w:rPr>
                <w:rFonts w:hint="eastAsia" w:ascii="仿宋" w:hAnsi="仿宋" w:eastAsia="仿宋" w:cs="仿宋"/>
                <w:color w:val="auto"/>
                <w:szCs w:val="24"/>
                <w:highlight w:val="none"/>
                <w:lang w:val="en-US" w:eastAsia="zh-CN"/>
              </w:rPr>
              <w:t>0-</w:t>
            </w:r>
            <w:r>
              <w:rPr>
                <w:rFonts w:hint="eastAsia" w:ascii="仿宋" w:hAnsi="仿宋" w:eastAsia="仿宋" w:cs="仿宋"/>
                <w:bCs/>
                <w:color w:val="auto"/>
                <w:kern w:val="0"/>
                <w:szCs w:val="24"/>
                <w:highlight w:val="none"/>
                <w:lang w:val="en-US" w:eastAsia="zh-CN"/>
              </w:rPr>
              <w:t>5</w:t>
            </w:r>
          </w:p>
        </w:tc>
      </w:tr>
      <w:tr w14:paraId="6AD71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43" w:type="dxa"/>
            <w:vMerge w:val="restart"/>
            <w:vAlign w:val="center"/>
          </w:tcPr>
          <w:p w14:paraId="244356B6">
            <w:pPr>
              <w:pStyle w:val="11"/>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en-US" w:eastAsia="zh-CN"/>
              </w:rPr>
              <w:t>2</w:t>
            </w:r>
          </w:p>
        </w:tc>
        <w:tc>
          <w:tcPr>
            <w:tcW w:w="1253" w:type="dxa"/>
            <w:vMerge w:val="continue"/>
            <w:vAlign w:val="center"/>
          </w:tcPr>
          <w:p w14:paraId="06660E05">
            <w:pPr>
              <w:pStyle w:val="11"/>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ascii="仿宋" w:hAnsi="仿宋" w:eastAsia="仿宋" w:cs="仿宋"/>
                <w:color w:val="auto"/>
                <w:szCs w:val="24"/>
                <w:highlight w:val="none"/>
              </w:rPr>
            </w:pPr>
          </w:p>
        </w:tc>
        <w:tc>
          <w:tcPr>
            <w:tcW w:w="1256" w:type="dxa"/>
            <w:vMerge w:val="restart"/>
            <w:vAlign w:val="center"/>
          </w:tcPr>
          <w:p w14:paraId="7495CDB1">
            <w:pPr>
              <w:keepNext w:val="0"/>
              <w:keepLines w:val="0"/>
              <w:pageBreakBefore w:val="0"/>
              <w:kinsoku/>
              <w:wordWrap/>
              <w:overflowPunct/>
              <w:topLinePunct w:val="0"/>
              <w:autoSpaceDE/>
              <w:autoSpaceDN/>
              <w:bidi w:val="0"/>
              <w:adjustRightInd/>
              <w:snapToGrid w:val="0"/>
              <w:spacing w:line="240" w:lineRule="auto"/>
              <w:jc w:val="center"/>
              <w:textAlignment w:val="auto"/>
              <w:rPr>
                <w:rFonts w:ascii="仿宋" w:hAnsi="仿宋" w:eastAsia="仿宋" w:cs="仿宋"/>
                <w:b/>
                <w:bCs/>
                <w:color w:val="auto"/>
                <w:kern w:val="0"/>
                <w:sz w:val="24"/>
                <w:szCs w:val="24"/>
                <w:highlight w:val="none"/>
              </w:rPr>
            </w:pPr>
            <w:r>
              <w:rPr>
                <w:rFonts w:hint="eastAsia" w:ascii="仿宋" w:hAnsi="仿宋" w:eastAsia="仿宋" w:cs="仿宋"/>
                <w:b/>
                <w:bCs/>
                <w:color w:val="auto"/>
                <w:sz w:val="24"/>
                <w:szCs w:val="24"/>
                <w:highlight w:val="none"/>
              </w:rPr>
              <w:t>特色服务</w:t>
            </w:r>
          </w:p>
        </w:tc>
        <w:tc>
          <w:tcPr>
            <w:tcW w:w="4329" w:type="dxa"/>
            <w:vAlign w:val="center"/>
          </w:tcPr>
          <w:p w14:paraId="2FA6412A">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仿宋" w:hAnsi="仿宋" w:eastAsia="仿宋" w:cs="仿宋"/>
                <w:bCs/>
                <w:color w:val="auto"/>
                <w:kern w:val="0"/>
                <w:sz w:val="24"/>
                <w:szCs w:val="24"/>
                <w:highlight w:val="none"/>
              </w:rPr>
            </w:pPr>
            <w:r>
              <w:rPr>
                <w:rFonts w:hint="eastAsia" w:ascii="仿宋" w:hAnsi="仿宋" w:eastAsia="仿宋" w:cs="仿宋"/>
                <w:color w:val="auto"/>
                <w:sz w:val="24"/>
                <w:szCs w:val="24"/>
                <w:highlight w:val="none"/>
              </w:rPr>
              <w:t>为采购人的馆藏图书建设提供其它特色服务，且具有实际意义，包括外文原版书提供、辅助采购人开展活动等，评委根据响应情况进行打分</w:t>
            </w:r>
            <w:r>
              <w:rPr>
                <w:rFonts w:hint="eastAsia" w:ascii="仿宋" w:hAnsi="仿宋" w:eastAsia="仿宋" w:cs="仿宋"/>
                <w:bCs/>
                <w:color w:val="auto"/>
                <w:kern w:val="0"/>
                <w:sz w:val="24"/>
                <w:szCs w:val="24"/>
                <w:highlight w:val="none"/>
              </w:rPr>
              <w:t>（分值：3、2、1、0）。</w:t>
            </w:r>
          </w:p>
        </w:tc>
        <w:tc>
          <w:tcPr>
            <w:tcW w:w="939" w:type="dxa"/>
            <w:vAlign w:val="center"/>
          </w:tcPr>
          <w:p w14:paraId="0CCDC94B">
            <w:pPr>
              <w:pStyle w:val="11"/>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Cs/>
                <w:color w:val="auto"/>
                <w:kern w:val="0"/>
                <w:szCs w:val="24"/>
                <w:highlight w:val="none"/>
                <w:lang w:eastAsia="zh-CN"/>
              </w:rPr>
            </w:pPr>
            <w:r>
              <w:rPr>
                <w:rFonts w:hint="eastAsia" w:ascii="仿宋" w:hAnsi="仿宋" w:eastAsia="仿宋" w:cs="仿宋"/>
                <w:color w:val="auto"/>
                <w:szCs w:val="24"/>
                <w:highlight w:val="none"/>
                <w:lang w:val="en-US" w:eastAsia="zh-CN"/>
              </w:rPr>
              <w:t>0-3</w:t>
            </w:r>
          </w:p>
        </w:tc>
      </w:tr>
      <w:tr w14:paraId="23BF0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43" w:type="dxa"/>
            <w:vMerge w:val="continue"/>
            <w:vAlign w:val="center"/>
          </w:tcPr>
          <w:p w14:paraId="6D967283">
            <w:pPr>
              <w:pStyle w:val="11"/>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hint="eastAsia" w:ascii="仿宋" w:hAnsi="仿宋" w:eastAsia="仿宋" w:cs="仿宋"/>
                <w:color w:val="auto"/>
                <w:szCs w:val="24"/>
                <w:highlight w:val="none"/>
              </w:rPr>
            </w:pPr>
          </w:p>
        </w:tc>
        <w:tc>
          <w:tcPr>
            <w:tcW w:w="1253" w:type="dxa"/>
            <w:vMerge w:val="continue"/>
            <w:vAlign w:val="center"/>
          </w:tcPr>
          <w:p w14:paraId="75E02F2F">
            <w:pPr>
              <w:pStyle w:val="11"/>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ascii="仿宋" w:hAnsi="仿宋" w:eastAsia="仿宋" w:cs="仿宋"/>
                <w:color w:val="auto"/>
                <w:szCs w:val="24"/>
                <w:highlight w:val="none"/>
              </w:rPr>
            </w:pPr>
          </w:p>
        </w:tc>
        <w:tc>
          <w:tcPr>
            <w:tcW w:w="1256" w:type="dxa"/>
            <w:vMerge w:val="continue"/>
            <w:vAlign w:val="center"/>
          </w:tcPr>
          <w:p w14:paraId="53B4877A">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24"/>
                <w:szCs w:val="24"/>
                <w:highlight w:val="none"/>
              </w:rPr>
            </w:pPr>
          </w:p>
        </w:tc>
        <w:tc>
          <w:tcPr>
            <w:tcW w:w="4329" w:type="dxa"/>
            <w:vAlign w:val="center"/>
          </w:tcPr>
          <w:p w14:paraId="08FAF9F5">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具备一定规模的实体书店可为本馆读者提供“你选书我买单”服务（需现场完成图书分编</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加工</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借出全部手续），具备者得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p w14:paraId="32CC3BAA">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b/>
                <w:bCs w:val="0"/>
                <w:color w:val="auto"/>
                <w:kern w:val="0"/>
                <w:sz w:val="24"/>
                <w:szCs w:val="24"/>
                <w:highlight w:val="none"/>
                <w:lang w:eastAsia="zh-CN"/>
              </w:rPr>
              <w:t>（</w:t>
            </w:r>
            <w:r>
              <w:rPr>
                <w:rFonts w:hint="eastAsia" w:ascii="仿宋" w:hAnsi="仿宋" w:eastAsia="仿宋" w:cs="仿宋"/>
                <w:b/>
                <w:bCs w:val="0"/>
                <w:color w:val="auto"/>
                <w:kern w:val="0"/>
                <w:sz w:val="24"/>
                <w:szCs w:val="24"/>
                <w:highlight w:val="none"/>
                <w:lang w:val="en-US" w:eastAsia="zh-CN"/>
              </w:rPr>
              <w:t>需提供</w:t>
            </w:r>
            <w:r>
              <w:rPr>
                <w:rFonts w:hint="eastAsia" w:ascii="仿宋" w:hAnsi="仿宋" w:eastAsia="仿宋" w:cs="仿宋"/>
                <w:b/>
                <w:bCs/>
                <w:color w:val="auto"/>
                <w:sz w:val="24"/>
                <w:szCs w:val="24"/>
                <w:highlight w:val="none"/>
              </w:rPr>
              <w:t>证明材料扫描件</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val="0"/>
                <w:color w:val="auto"/>
                <w:kern w:val="0"/>
                <w:sz w:val="24"/>
                <w:szCs w:val="24"/>
                <w:highlight w:val="none"/>
              </w:rPr>
              <w:t>扫描件进入磋商响应文件，否则不得分）。</w:t>
            </w:r>
          </w:p>
        </w:tc>
        <w:tc>
          <w:tcPr>
            <w:tcW w:w="939" w:type="dxa"/>
            <w:vAlign w:val="center"/>
          </w:tcPr>
          <w:p w14:paraId="432027BA">
            <w:pPr>
              <w:pStyle w:val="11"/>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default"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0-3</w:t>
            </w:r>
          </w:p>
        </w:tc>
      </w:tr>
      <w:tr w14:paraId="40663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7" w:hRule="atLeast"/>
          <w:jc w:val="center"/>
        </w:trPr>
        <w:tc>
          <w:tcPr>
            <w:tcW w:w="743" w:type="dxa"/>
            <w:vMerge w:val="continue"/>
            <w:vAlign w:val="center"/>
          </w:tcPr>
          <w:p w14:paraId="064420F0">
            <w:pPr>
              <w:pStyle w:val="11"/>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hint="eastAsia" w:ascii="仿宋" w:hAnsi="仿宋" w:eastAsia="仿宋" w:cs="仿宋"/>
                <w:color w:val="auto"/>
                <w:szCs w:val="24"/>
                <w:highlight w:val="none"/>
              </w:rPr>
            </w:pPr>
          </w:p>
        </w:tc>
        <w:tc>
          <w:tcPr>
            <w:tcW w:w="1253" w:type="dxa"/>
            <w:vMerge w:val="continue"/>
            <w:vAlign w:val="center"/>
          </w:tcPr>
          <w:p w14:paraId="69E6D084">
            <w:pPr>
              <w:pStyle w:val="11"/>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ascii="仿宋" w:hAnsi="仿宋" w:eastAsia="仿宋" w:cs="仿宋"/>
                <w:color w:val="auto"/>
                <w:szCs w:val="24"/>
                <w:highlight w:val="none"/>
              </w:rPr>
            </w:pPr>
          </w:p>
        </w:tc>
        <w:tc>
          <w:tcPr>
            <w:tcW w:w="1256" w:type="dxa"/>
            <w:vMerge w:val="continue"/>
            <w:vAlign w:val="center"/>
          </w:tcPr>
          <w:p w14:paraId="34FA79D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24"/>
                <w:szCs w:val="24"/>
                <w:highlight w:val="none"/>
              </w:rPr>
            </w:pPr>
          </w:p>
        </w:tc>
        <w:tc>
          <w:tcPr>
            <w:tcW w:w="4329" w:type="dxa"/>
            <w:vAlign w:val="center"/>
          </w:tcPr>
          <w:p w14:paraId="2B074820">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能为本项目提供的阅读活动、专题讲座、书展、本地作者线下阅读推广等各类</w:t>
            </w:r>
            <w:r>
              <w:rPr>
                <w:rFonts w:hint="eastAsia" w:ascii="仿宋" w:hAnsi="仿宋" w:eastAsia="仿宋" w:cs="仿宋"/>
                <w:color w:val="auto"/>
                <w:sz w:val="24"/>
                <w:szCs w:val="24"/>
                <w:highlight w:val="none"/>
                <w:lang w:val="en-US" w:eastAsia="zh-CN"/>
              </w:rPr>
              <w:t>个性化服务</w:t>
            </w:r>
            <w:r>
              <w:rPr>
                <w:rFonts w:hint="eastAsia" w:ascii="仿宋" w:hAnsi="仿宋" w:eastAsia="仿宋" w:cs="仿宋"/>
                <w:color w:val="auto"/>
                <w:sz w:val="24"/>
                <w:szCs w:val="24"/>
                <w:highlight w:val="none"/>
              </w:rPr>
              <w:t>活动，</w:t>
            </w:r>
            <w:r>
              <w:rPr>
                <w:rFonts w:hint="eastAsia" w:ascii="仿宋" w:hAnsi="仿宋" w:eastAsia="仿宋" w:cs="仿宋"/>
                <w:color w:val="auto"/>
                <w:sz w:val="24"/>
                <w:szCs w:val="24"/>
                <w:highlight w:val="none"/>
                <w:lang w:val="en-US" w:eastAsia="zh-CN"/>
              </w:rPr>
              <w:t>并</w:t>
            </w:r>
            <w:r>
              <w:rPr>
                <w:rFonts w:hint="eastAsia" w:ascii="仿宋" w:hAnsi="仿宋" w:eastAsia="仿宋" w:cs="仿宋"/>
                <w:color w:val="auto"/>
                <w:sz w:val="24"/>
                <w:szCs w:val="24"/>
                <w:highlight w:val="none"/>
              </w:rPr>
              <w:t>能提供电子图书借阅、采借一体等特殊服务的，评委根据</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的服务方案,</w:t>
            </w:r>
            <w:r>
              <w:rPr>
                <w:rFonts w:hint="eastAsia" w:ascii="仿宋" w:hAnsi="仿宋" w:eastAsia="仿宋" w:cs="仿宋"/>
                <w:color w:val="auto"/>
                <w:sz w:val="24"/>
                <w:szCs w:val="24"/>
                <w:highlight w:val="none"/>
                <w:lang w:val="en-US" w:eastAsia="zh-CN"/>
              </w:rPr>
              <w:t>按照服务成效</w:t>
            </w:r>
            <w:r>
              <w:rPr>
                <w:rFonts w:hint="eastAsia" w:ascii="仿宋" w:hAnsi="仿宋" w:eastAsia="仿宋" w:cs="仿宋"/>
                <w:color w:val="auto"/>
                <w:sz w:val="24"/>
                <w:szCs w:val="24"/>
                <w:highlight w:val="none"/>
              </w:rPr>
              <w:t>进行打分</w:t>
            </w:r>
            <w:r>
              <w:rPr>
                <w:rFonts w:hint="eastAsia" w:ascii="仿宋" w:hAnsi="仿宋" w:eastAsia="仿宋" w:cs="仿宋"/>
                <w:bCs/>
                <w:color w:val="auto"/>
                <w:kern w:val="0"/>
                <w:sz w:val="24"/>
                <w:szCs w:val="24"/>
                <w:highlight w:val="none"/>
              </w:rPr>
              <w:t>（分值：3、2、1、0）。</w:t>
            </w:r>
          </w:p>
        </w:tc>
        <w:tc>
          <w:tcPr>
            <w:tcW w:w="939" w:type="dxa"/>
            <w:vAlign w:val="center"/>
          </w:tcPr>
          <w:p w14:paraId="1E003426">
            <w:pPr>
              <w:pStyle w:val="11"/>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0-3</w:t>
            </w:r>
          </w:p>
        </w:tc>
      </w:tr>
    </w:tbl>
    <w:p w14:paraId="49F577BB">
      <w:pPr>
        <w:rPr>
          <w:rFonts w:ascii="仿宋" w:hAnsi="仿宋" w:eastAsia="仿宋" w:cs="仿宋"/>
          <w:color w:val="auto"/>
          <w:szCs w:val="24"/>
          <w:highlight w:val="none"/>
        </w:rPr>
      </w:pPr>
      <w:r>
        <w:rPr>
          <w:rFonts w:ascii="仿宋" w:hAnsi="仿宋" w:eastAsia="仿宋" w:cs="仿宋"/>
          <w:color w:val="auto"/>
          <w:szCs w:val="24"/>
          <w:highlight w:val="none"/>
        </w:rPr>
        <w:br w:type="page"/>
      </w:r>
    </w:p>
    <w:p w14:paraId="124C3410">
      <w:pPr>
        <w:pStyle w:val="19"/>
        <w:spacing w:before="0" w:after="0" w:line="360" w:lineRule="auto"/>
        <w:jc w:val="left"/>
        <w:rPr>
          <w:rFonts w:ascii="仿宋" w:hAnsi="仿宋" w:eastAsia="仿宋" w:cs="仿宋"/>
          <w:color w:val="auto"/>
          <w:sz w:val="24"/>
          <w:szCs w:val="24"/>
          <w:highlight w:val="none"/>
        </w:rPr>
      </w:pPr>
      <w:bookmarkStart w:id="513" w:name="_Toc10849"/>
      <w:r>
        <w:rPr>
          <w:rFonts w:hint="eastAsia" w:ascii="仿宋" w:hAnsi="仿宋" w:eastAsia="仿宋" w:cs="仿宋"/>
          <w:color w:val="auto"/>
          <w:sz w:val="24"/>
          <w:szCs w:val="24"/>
          <w:highlight w:val="none"/>
        </w:rPr>
        <w:t>附件：政府采购活动现场确认声明书</w:t>
      </w:r>
      <w:bookmarkEnd w:id="511"/>
      <w:bookmarkEnd w:id="513"/>
    </w:p>
    <w:p w14:paraId="3DFEF8E2">
      <w:pPr>
        <w:spacing w:line="400" w:lineRule="exact"/>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政府采购活动现场确认声明书</w:t>
      </w:r>
    </w:p>
    <w:p w14:paraId="4B5E38CC">
      <w:pPr>
        <w:spacing w:line="340" w:lineRule="exact"/>
        <w:jc w:val="center"/>
        <w:rPr>
          <w:rFonts w:ascii="仿宋" w:hAnsi="仿宋" w:eastAsia="仿宋" w:cs="仿宋"/>
          <w:color w:val="auto"/>
          <w:sz w:val="24"/>
          <w:szCs w:val="24"/>
          <w:highlight w:val="none"/>
        </w:rPr>
      </w:pPr>
    </w:p>
    <w:p w14:paraId="487C27DF">
      <w:pPr>
        <w:spacing w:line="340" w:lineRule="exact"/>
        <w:jc w:val="left"/>
        <w:rPr>
          <w:rFonts w:ascii="仿宋" w:hAnsi="仿宋" w:eastAsia="仿宋" w:cs="仿宋"/>
          <w:color w:val="auto"/>
          <w:sz w:val="24"/>
          <w:szCs w:val="24"/>
          <w:highlight w:val="none"/>
          <w:u w:val="single"/>
        </w:rPr>
      </w:pPr>
      <w:r>
        <w:rPr>
          <w:rFonts w:hint="eastAsia" w:ascii="仿宋" w:hAnsi="仿宋" w:eastAsia="仿宋" w:cs="仿宋"/>
          <w:i/>
          <w:color w:val="auto"/>
          <w:sz w:val="24"/>
          <w:szCs w:val="24"/>
          <w:highlight w:val="none"/>
          <w:u w:val="single"/>
        </w:rPr>
        <w:t>（采购代理机构名称）</w:t>
      </w:r>
      <w:r>
        <w:rPr>
          <w:rFonts w:hint="eastAsia" w:ascii="仿宋" w:hAnsi="仿宋" w:eastAsia="仿宋" w:cs="仿宋"/>
          <w:color w:val="auto"/>
          <w:sz w:val="24"/>
          <w:szCs w:val="24"/>
          <w:highlight w:val="none"/>
          <w:u w:val="single"/>
        </w:rPr>
        <w:t>：</w:t>
      </w:r>
    </w:p>
    <w:p w14:paraId="2335DA7F">
      <w:pPr>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本人经由</w:t>
      </w:r>
      <w:r>
        <w:rPr>
          <w:rFonts w:hint="eastAsia" w:ascii="仿宋" w:hAnsi="仿宋" w:eastAsia="仿宋" w:cs="仿宋"/>
          <w:color w:val="auto"/>
          <w:sz w:val="24"/>
          <w:szCs w:val="24"/>
          <w:highlight w:val="none"/>
          <w:u w:val="single"/>
        </w:rPr>
        <w:t xml:space="preserve">   </w:t>
      </w:r>
      <w:r>
        <w:rPr>
          <w:rFonts w:hint="eastAsia" w:ascii="仿宋" w:hAnsi="仿宋" w:eastAsia="仿宋" w:cs="仿宋"/>
          <w:i/>
          <w:color w:val="auto"/>
          <w:sz w:val="24"/>
          <w:szCs w:val="24"/>
          <w:highlight w:val="none"/>
          <w:u w:val="single"/>
        </w:rPr>
        <w:t xml:space="preserve">（公司名称）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法定代表人（负责人）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，合法授权参加</w:t>
      </w:r>
      <w:r>
        <w:rPr>
          <w:rFonts w:hint="eastAsia" w:ascii="仿宋" w:hAnsi="仿宋" w:eastAsia="仿宋" w:cs="仿宋"/>
          <w:i/>
          <w:color w:val="auto"/>
          <w:sz w:val="24"/>
          <w:szCs w:val="24"/>
          <w:highlight w:val="none"/>
          <w:u w:val="single"/>
        </w:rPr>
        <w:t>（项目名称）（项目编号）（标项）</w:t>
      </w:r>
      <w:r>
        <w:rPr>
          <w:rFonts w:hint="eastAsia" w:ascii="仿宋" w:hAnsi="仿宋" w:eastAsia="仿宋" w:cs="仿宋"/>
          <w:color w:val="auto"/>
          <w:sz w:val="24"/>
          <w:szCs w:val="24"/>
          <w:highlight w:val="none"/>
          <w:u w:val="single"/>
        </w:rPr>
        <w:t>政府</w:t>
      </w:r>
      <w:r>
        <w:rPr>
          <w:rFonts w:hint="eastAsia" w:ascii="仿宋" w:hAnsi="仿宋" w:eastAsia="仿宋" w:cs="仿宋"/>
          <w:color w:val="auto"/>
          <w:sz w:val="24"/>
          <w:szCs w:val="24"/>
          <w:highlight w:val="none"/>
        </w:rPr>
        <w:t>采购活动，经与本单位法人代表（负责人）联系确认，现就有关公平竞争事项郑重声明如下：</w:t>
      </w:r>
    </w:p>
    <w:p w14:paraId="36A452F0">
      <w:pPr>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一、本单位与采购人之间 □不存在利害关系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存在下列利害关系</w:t>
      </w:r>
      <w:r>
        <w:rPr>
          <w:rFonts w:hint="eastAsia" w:ascii="仿宋" w:hAnsi="仿宋" w:eastAsia="仿宋" w:cs="仿宋"/>
          <w:color w:val="auto"/>
          <w:sz w:val="24"/>
          <w:szCs w:val="24"/>
          <w:highlight w:val="none"/>
          <w:u w:val="single"/>
        </w:rPr>
        <w:t xml:space="preserve">         ：</w:t>
      </w:r>
    </w:p>
    <w:p w14:paraId="49C44400">
      <w:pPr>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A.投资关系    B.行政隶属关系    C.业务指导关系</w:t>
      </w:r>
    </w:p>
    <w:p w14:paraId="1B9E5D3B">
      <w:pPr>
        <w:spacing w:line="340" w:lineRule="exact"/>
        <w:ind w:firstLine="48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D.其他可能影响采购公正的利害关系（如有，请如实说明）</w:t>
      </w:r>
      <w:r>
        <w:rPr>
          <w:rFonts w:hint="eastAsia" w:ascii="仿宋" w:hAnsi="仿宋" w:eastAsia="仿宋" w:cs="仿宋"/>
          <w:color w:val="auto"/>
          <w:sz w:val="24"/>
          <w:szCs w:val="24"/>
          <w:highlight w:val="none"/>
          <w:u w:val="single"/>
        </w:rPr>
        <w:t xml:space="preserve">         </w:t>
      </w:r>
    </w:p>
    <w:p w14:paraId="740CD99C">
      <w:pPr>
        <w:spacing w:line="340" w:lineRule="exact"/>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二、现已清楚知道参加本项目采购活动的其他所有供应商名称，本单位</w:t>
      </w:r>
    </w:p>
    <w:p w14:paraId="0FD65140">
      <w:pPr>
        <w:spacing w:line="340" w:lineRule="exact"/>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□与其他所有供应商之间均不存在利害关系  □与</w:t>
      </w:r>
      <w:r>
        <w:rPr>
          <w:rFonts w:hint="eastAsia" w:ascii="仿宋" w:hAnsi="仿宋" w:eastAsia="仿宋" w:cs="仿宋"/>
          <w:color w:val="auto"/>
          <w:sz w:val="24"/>
          <w:szCs w:val="24"/>
          <w:highlight w:val="none"/>
          <w:u w:val="single"/>
        </w:rPr>
        <w:t xml:space="preserve">（供应商名称）     </w:t>
      </w:r>
      <w:r>
        <w:rPr>
          <w:rFonts w:hint="eastAsia" w:ascii="仿宋" w:hAnsi="仿宋" w:eastAsia="仿宋" w:cs="仿宋"/>
          <w:color w:val="auto"/>
          <w:sz w:val="24"/>
          <w:szCs w:val="24"/>
          <w:highlight w:val="none"/>
        </w:rPr>
        <w:t>之间存在下列利害关系</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4926EA9D">
      <w:pPr>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A.法定代表人或负责人或实际控制人是同一人</w:t>
      </w:r>
    </w:p>
    <w:p w14:paraId="1BE4E2AD">
      <w:pPr>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B.法定代表人或负责人或实际控制人是夫妻关系</w:t>
      </w:r>
    </w:p>
    <w:p w14:paraId="410C2004">
      <w:pPr>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C.法定代表人或负责人或实际控制人是直系血亲关系</w:t>
      </w:r>
    </w:p>
    <w:p w14:paraId="276998B2">
      <w:pPr>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D.法定代表人或负责人或实际控制人存在三代以内旁系血亲关系</w:t>
      </w:r>
    </w:p>
    <w:p w14:paraId="6DCF7EEE">
      <w:pPr>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E.法定代表人或负责人或实际控制人存在近姻亲关系</w:t>
      </w:r>
    </w:p>
    <w:p w14:paraId="667A9D6B">
      <w:pPr>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F.法定代表人或负责人或实际控制人存在股份控制或实际控制关系</w:t>
      </w:r>
    </w:p>
    <w:p w14:paraId="3622F9DB">
      <w:pPr>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G.存在共同直接或间接投资设立子公司、联营企业和合营企业情况</w:t>
      </w:r>
    </w:p>
    <w:p w14:paraId="11EB001A">
      <w:pPr>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H.存在分级代理或代销关系、同一生产制造商关系、管理关系、重要业务（占主营业务收入50%以上）或重要财务往来关系（如融资）等其他实质性控制关系</w:t>
      </w:r>
    </w:p>
    <w:p w14:paraId="0B7522D7">
      <w:pPr>
        <w:spacing w:line="340" w:lineRule="exact"/>
        <w:ind w:left="240" w:hanging="240" w:hanging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I.其他利害关系情况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14:paraId="4E28C925">
      <w:pPr>
        <w:spacing w:line="340" w:lineRule="exact"/>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三、现已清楚知道并严格遵守政府采购法律法规和现场纪律。</w:t>
      </w:r>
    </w:p>
    <w:p w14:paraId="633E79B4">
      <w:pPr>
        <w:spacing w:line="340" w:lineRule="exact"/>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四、我发现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和</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供应商之间存在或可能存在上述第二条第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项利害关系。 </w:t>
      </w:r>
    </w:p>
    <w:p w14:paraId="52E6D044">
      <w:pPr>
        <w:spacing w:line="340" w:lineRule="exact"/>
        <w:ind w:firstLine="480"/>
        <w:rPr>
          <w:rFonts w:ascii="仿宋" w:hAnsi="仿宋" w:eastAsia="仿宋" w:cs="仿宋"/>
          <w:color w:val="auto"/>
          <w:sz w:val="24"/>
          <w:szCs w:val="24"/>
          <w:highlight w:val="none"/>
        </w:rPr>
      </w:pPr>
    </w:p>
    <w:p w14:paraId="31D33AEF">
      <w:pPr>
        <w:spacing w:line="340" w:lineRule="exact"/>
        <w:ind w:firstLine="480"/>
        <w:rPr>
          <w:rFonts w:ascii="仿宋" w:hAnsi="仿宋" w:eastAsia="仿宋" w:cs="仿宋"/>
          <w:color w:val="auto"/>
          <w:sz w:val="24"/>
          <w:szCs w:val="24"/>
          <w:highlight w:val="none"/>
        </w:rPr>
      </w:pPr>
    </w:p>
    <w:p w14:paraId="16833D61">
      <w:pPr>
        <w:wordWrap w:val="0"/>
        <w:spacing w:line="340" w:lineRule="exact"/>
        <w:ind w:firstLine="120" w:firstLineChars="50"/>
        <w:jc w:val="righ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（供应商代表签名）：     </w:t>
      </w:r>
    </w:p>
    <w:p w14:paraId="15B586A2">
      <w:pPr>
        <w:spacing w:line="340" w:lineRule="exact"/>
        <w:jc w:val="right"/>
        <w:rPr>
          <w:rFonts w:ascii="仿宋" w:hAnsi="仿宋" w:eastAsia="仿宋" w:cs="仿宋"/>
          <w:color w:val="auto"/>
          <w:sz w:val="24"/>
          <w:szCs w:val="24"/>
          <w:highlight w:val="none"/>
        </w:rPr>
      </w:pPr>
    </w:p>
    <w:p w14:paraId="685825EC">
      <w:pPr>
        <w:wordWrap w:val="0"/>
        <w:spacing w:line="340" w:lineRule="exact"/>
        <w:jc w:val="righ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   月   日</w:t>
      </w:r>
    </w:p>
    <w:p w14:paraId="78057C7B">
      <w:pPr>
        <w:spacing w:line="340" w:lineRule="exact"/>
        <w:rPr>
          <w:rFonts w:ascii="仿宋" w:hAnsi="仿宋" w:eastAsia="仿宋" w:cs="仿宋"/>
          <w:color w:val="auto"/>
          <w:sz w:val="28"/>
          <w:szCs w:val="28"/>
          <w:highlight w:val="none"/>
        </w:rPr>
      </w:pPr>
    </w:p>
    <w:p w14:paraId="7702442E">
      <w:pPr>
        <w:pStyle w:val="25"/>
        <w:rPr>
          <w:rFonts w:ascii="仿宋" w:hAnsi="仿宋" w:eastAsia="仿宋" w:cs="仿宋"/>
          <w:color w:val="auto"/>
          <w:highlight w:val="none"/>
        </w:rPr>
      </w:pPr>
    </w:p>
    <w:p w14:paraId="5FF23163">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注：1、供应商认为有利害关系和需要回避的人员，应提供相关证明材料，与本声明书一同提交。由采购代理机构和财政监督部门负责询问核查。</w:t>
      </w:r>
    </w:p>
    <w:p w14:paraId="50538716">
      <w:pPr>
        <w:spacing w:line="360" w:lineRule="auto"/>
        <w:ind w:firstLine="482"/>
        <w:jc w:val="left"/>
        <w:rPr>
          <w:rFonts w:ascii="仿宋" w:hAnsi="仿宋" w:eastAsia="仿宋" w:cs="仿宋"/>
          <w:b/>
          <w:color w:val="auto"/>
          <w:highlight w:val="none"/>
        </w:rPr>
      </w:pPr>
      <w:r>
        <w:rPr>
          <w:rFonts w:hint="eastAsia" w:ascii="仿宋" w:hAnsi="仿宋" w:eastAsia="仿宋" w:cs="仿宋"/>
          <w:b/>
          <w:color w:val="auto"/>
          <w:sz w:val="24"/>
          <w:highlight w:val="none"/>
        </w:rPr>
        <w:t>2、该声明书在投标文件解密后30分钟内以邮件方式发送至邮箱23469090@qq.com。</w:t>
      </w:r>
    </w:p>
    <w:p w14:paraId="6552DD65">
      <w:pPr>
        <w:pStyle w:val="11"/>
        <w:snapToGrid/>
        <w:spacing w:line="360" w:lineRule="auto"/>
        <w:ind w:firstLine="482" w:firstLineChars="200"/>
        <w:rPr>
          <w:color w:val="auto"/>
          <w:highlight w:val="none"/>
        </w:rPr>
      </w:pPr>
      <w:r>
        <w:rPr>
          <w:rFonts w:hint="eastAsia" w:ascii="仿宋" w:hAnsi="仿宋" w:eastAsia="仿宋" w:cs="仿宋"/>
          <w:b/>
          <w:color w:val="auto"/>
          <w:highlight w:val="none"/>
        </w:rPr>
        <w:t>3、该声明书请各供应商在开标前提前准备好。</w:t>
      </w:r>
    </w:p>
    <w:sectPr>
      <w:pgSz w:w="11906" w:h="16838"/>
      <w:pgMar w:top="1440" w:right="1797" w:bottom="1440" w:left="1797" w:header="851" w:footer="851"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Wingdings 3">
    <w:altName w:val="Symbol"/>
    <w:panose1 w:val="050401020108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2E511">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36EE5">
    <w:pPr>
      <w:pBdr>
        <w:top w:val="single" w:color="auto" w:sz="4" w:space="1"/>
      </w:pBd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9B60FD">
                          <w:pPr>
                            <w:pStyle w:val="12"/>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2B9B60FD">
                    <w:pPr>
                      <w:pStyle w:val="12"/>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248AB">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63543F">
                          <w:pPr>
                            <w:pStyle w:val="12"/>
                          </w:pPr>
                          <w:r>
                            <w:t xml:space="preserve">第 </w:t>
                          </w:r>
                          <w:r>
                            <w:fldChar w:fldCharType="begin"/>
                          </w:r>
                          <w:r>
                            <w:instrText xml:space="preserve"> PAGE  \* MERGEFORMAT </w:instrText>
                          </w:r>
                          <w:r>
                            <w:fldChar w:fldCharType="separate"/>
                          </w:r>
                          <w:r>
                            <w:t>63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0163543F">
                    <w:pPr>
                      <w:pStyle w:val="12"/>
                    </w:pPr>
                    <w:r>
                      <w:t xml:space="preserve">第 </w:t>
                    </w:r>
                    <w:r>
                      <w:fldChar w:fldCharType="begin"/>
                    </w:r>
                    <w:r>
                      <w:instrText xml:space="preserve"> PAGE  \* MERGEFORMAT </w:instrText>
                    </w:r>
                    <w:r>
                      <w:fldChar w:fldCharType="separate"/>
                    </w:r>
                    <w:r>
                      <w:t>63</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6FA24">
    <w:pPr>
      <w:pStyle w:val="12"/>
      <w:framePr w:wrap="around" w:vAnchor="text" w:hAnchor="margin" w:xAlign="center" w:y="1"/>
      <w:rPr>
        <w:rStyle w:val="23"/>
      </w:rPr>
    </w:pPr>
    <w:r>
      <w:fldChar w:fldCharType="begin"/>
    </w:r>
    <w:r>
      <w:rPr>
        <w:rStyle w:val="23"/>
        <w:highlight w:val="white"/>
      </w:rPr>
      <w:instrText xml:space="preserve">PAGE  </w:instrText>
    </w:r>
    <w:r>
      <w:fldChar w:fldCharType="separate"/>
    </w:r>
    <w:r>
      <w:rPr>
        <w:rStyle w:val="23"/>
        <w:highlight w:val="white"/>
      </w:rPr>
      <w:t>52</w:t>
    </w:r>
    <w:r>
      <w:fldChar w:fldCharType="end"/>
    </w:r>
  </w:p>
  <w:p w14:paraId="03510563">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D7C8E">
    <w:pPr>
      <w:pStyle w:val="13"/>
      <w:pBdr>
        <w:bottom w:val="none" w:color="auto" w:sz="0" w:space="1"/>
      </w:pBdr>
      <w:ind w:right="-4"/>
      <w:jc w:val="right"/>
      <w:rPr>
        <w:rFonts w:ascii="仿宋_GB2312" w:hAnsi="宋体" w:eastAsia="仿宋_GB2312"/>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F95F3">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0E6C9">
    <w:pPr>
      <w:pStyle w:val="13"/>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735D5">
    <w:pPr>
      <w:pStyle w:val="13"/>
      <w:jc w:val="right"/>
    </w:pPr>
    <w:r>
      <w:rPr>
        <w:rFonts w:ascii="仿宋_GB2312" w:hAnsi="宋体" w:eastAsia="仿宋_GB2312"/>
        <w:sz w:val="24"/>
        <w:szCs w:val="24"/>
      </w:rPr>
      <w:t xml:space="preserve">   </w:t>
    </w:r>
    <w:r>
      <w:rPr>
        <w:rFonts w:hint="eastAsia" w:ascii="仿宋_GB2312" w:hAnsi="宋体" w:eastAsia="仿宋_GB2312"/>
        <w:sz w:val="24"/>
        <w:szCs w:val="24"/>
      </w:rPr>
      <w:t xml:space="preserve">        </w:t>
    </w:r>
    <w:r>
      <w:rPr>
        <w:rFonts w:ascii="仿宋_GB2312" w:hAnsi="宋体" w:eastAsia="仿宋_GB2312"/>
        <w:sz w:val="24"/>
        <w:szCs w:val="24"/>
      </w:rPr>
      <w:t xml:space="preserve">                  </w:t>
    </w:r>
    <w:r>
      <w:rPr>
        <w:rFonts w:hint="eastAsia" w:ascii="仿宋_GB2312" w:hAnsi="宋体" w:eastAsia="仿宋_GB2312"/>
        <w:sz w:val="24"/>
        <w:szCs w:val="24"/>
      </w:rPr>
      <w:t xml:space="preserve"> </w:t>
    </w:r>
    <w:r>
      <w:fldChar w:fldCharType="begin"/>
    </w:r>
    <w:r>
      <w:instrText xml:space="preserve"> HYPERLINK "http://www.lssggzy.com" </w:instrText>
    </w:r>
    <w:r>
      <w:fldChar w:fldCharType="separate"/>
    </w:r>
    <w:r>
      <w:rPr>
        <w:rFonts w:hint="eastAsia" w:ascii="仿宋_GB2312" w:eastAsia="仿宋_GB2312"/>
        <w:sz w:val="24"/>
        <w:szCs w:val="24"/>
      </w:rPr>
      <w:t>lssggzy.lishui.gov.cn</w:t>
    </w:r>
    <w:r>
      <w:rPr>
        <w:rFonts w:hint="eastAsia" w:ascii="仿宋_GB2312" w:eastAsia="仿宋_GB2312"/>
        <w:sz w:val="24"/>
        <w:szCs w:val="24"/>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AD271">
    <w:pPr>
      <w:pStyle w:val="13"/>
      <w:tabs>
        <w:tab w:val="center" w:pos="4140"/>
        <w:tab w:val="right" w:pos="8300"/>
        <w:tab w:val="clear" w:pos="4153"/>
        <w:tab w:val="clear" w:pos="8306"/>
      </w:tabs>
    </w:pPr>
    <w:r>
      <w:rPr>
        <w:rFonts w:hint="eastAsia" w:ascii="仿宋_GB2312" w:eastAsia="仿宋_GB2312"/>
        <w:sz w:val="24"/>
        <w:szCs w:val="24"/>
      </w:rPr>
      <w:t>丽水市政府采购中心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413D00"/>
    <w:multiLevelType w:val="singleLevel"/>
    <w:tmpl w:val="89413D00"/>
    <w:lvl w:ilvl="0" w:tentative="0">
      <w:start w:val="1"/>
      <w:numFmt w:val="chineseCounting"/>
      <w:suff w:val="nothing"/>
      <w:lvlText w:val="%1、"/>
      <w:lvlJc w:val="left"/>
      <w:pPr>
        <w:ind w:left="0" w:firstLine="420"/>
      </w:pPr>
      <w:rPr>
        <w:rFonts w:hint="eastAsia"/>
      </w:rPr>
    </w:lvl>
  </w:abstractNum>
  <w:abstractNum w:abstractNumId="1">
    <w:nsid w:val="FBE2E76C"/>
    <w:multiLevelType w:val="singleLevel"/>
    <w:tmpl w:val="FBE2E76C"/>
    <w:lvl w:ilvl="0" w:tentative="0">
      <w:start w:val="1"/>
      <w:numFmt w:val="decimal"/>
      <w:suff w:val="space"/>
      <w:lvlText w:val="%1."/>
      <w:lvlJc w:val="left"/>
    </w:lvl>
  </w:abstractNum>
  <w:abstractNum w:abstractNumId="2">
    <w:nsid w:val="46707E8B"/>
    <w:multiLevelType w:val="multilevel"/>
    <w:tmpl w:val="46707E8B"/>
    <w:lvl w:ilvl="0" w:tentative="0">
      <w:start w:val="1"/>
      <w:numFmt w:val="bullet"/>
      <w:lvlText w:val="□"/>
      <w:lvlJc w:val="left"/>
      <w:pPr>
        <w:ind w:left="360" w:hanging="360"/>
      </w:pPr>
      <w:rPr>
        <w:rFonts w:hint="eastAsia" w:ascii="仿宋_GB2312" w:hAnsi="Calibri" w:eastAsia="仿宋_GB2312"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23291E"/>
    <w:rsid w:val="01205D5C"/>
    <w:rsid w:val="0315132D"/>
    <w:rsid w:val="03E06A6F"/>
    <w:rsid w:val="05E90CD0"/>
    <w:rsid w:val="06976AC0"/>
    <w:rsid w:val="08F71A98"/>
    <w:rsid w:val="0CBA24F6"/>
    <w:rsid w:val="0EE02FCE"/>
    <w:rsid w:val="10667503"/>
    <w:rsid w:val="1211457D"/>
    <w:rsid w:val="133732F7"/>
    <w:rsid w:val="13AB7ED0"/>
    <w:rsid w:val="18025875"/>
    <w:rsid w:val="18BF1EA7"/>
    <w:rsid w:val="1AB909E5"/>
    <w:rsid w:val="1BFD6F6E"/>
    <w:rsid w:val="1EA47B74"/>
    <w:rsid w:val="1F953961"/>
    <w:rsid w:val="20D109C9"/>
    <w:rsid w:val="20E25C4C"/>
    <w:rsid w:val="22D447A0"/>
    <w:rsid w:val="247C723B"/>
    <w:rsid w:val="24E011DB"/>
    <w:rsid w:val="25783DC9"/>
    <w:rsid w:val="25B61EA2"/>
    <w:rsid w:val="2B2F6A18"/>
    <w:rsid w:val="2C075719"/>
    <w:rsid w:val="2C493EA8"/>
    <w:rsid w:val="2E23291E"/>
    <w:rsid w:val="30002BFD"/>
    <w:rsid w:val="35C42F47"/>
    <w:rsid w:val="364F4412"/>
    <w:rsid w:val="365D554D"/>
    <w:rsid w:val="36D52B69"/>
    <w:rsid w:val="37CA01F4"/>
    <w:rsid w:val="385D692C"/>
    <w:rsid w:val="3AEF04D4"/>
    <w:rsid w:val="3B251A0F"/>
    <w:rsid w:val="40057CEB"/>
    <w:rsid w:val="412B15D8"/>
    <w:rsid w:val="414C1C7A"/>
    <w:rsid w:val="421D53C4"/>
    <w:rsid w:val="45C02C36"/>
    <w:rsid w:val="46192347"/>
    <w:rsid w:val="471418DC"/>
    <w:rsid w:val="47A67C0A"/>
    <w:rsid w:val="4A653DAC"/>
    <w:rsid w:val="4ADB0A48"/>
    <w:rsid w:val="4B5A31E5"/>
    <w:rsid w:val="4C561D97"/>
    <w:rsid w:val="4F440434"/>
    <w:rsid w:val="52D715BF"/>
    <w:rsid w:val="54366C36"/>
    <w:rsid w:val="55A84294"/>
    <w:rsid w:val="566C6937"/>
    <w:rsid w:val="57BD6FD6"/>
    <w:rsid w:val="586B76C2"/>
    <w:rsid w:val="59C965C4"/>
    <w:rsid w:val="5B2630E4"/>
    <w:rsid w:val="5F2C146D"/>
    <w:rsid w:val="68AA7102"/>
    <w:rsid w:val="69647F4F"/>
    <w:rsid w:val="6AE72B19"/>
    <w:rsid w:val="6E7361E8"/>
    <w:rsid w:val="6F0E2681"/>
    <w:rsid w:val="70953140"/>
    <w:rsid w:val="71280E8A"/>
    <w:rsid w:val="71A1306D"/>
    <w:rsid w:val="71DB0767"/>
    <w:rsid w:val="74535E9E"/>
    <w:rsid w:val="74C05C36"/>
    <w:rsid w:val="754D7793"/>
    <w:rsid w:val="77CA50CB"/>
    <w:rsid w:val="78994A9D"/>
    <w:rsid w:val="7D0D1638"/>
    <w:rsid w:val="7D45699A"/>
    <w:rsid w:val="7F5636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6">
    <w:name w:val="heading 3"/>
    <w:basedOn w:val="1"/>
    <w:next w:val="1"/>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adjustRightInd w:val="0"/>
      <w:snapToGrid w:val="0"/>
      <w:spacing w:beforeLines="50" w:after="120" w:line="360" w:lineRule="auto"/>
      <w:ind w:firstLine="480" w:firstLineChars="200"/>
    </w:pPr>
    <w:rPr>
      <w:sz w:val="24"/>
      <w:szCs w:val="24"/>
      <w:lang w:val="zh-CN"/>
    </w:rPr>
  </w:style>
  <w:style w:type="paragraph" w:styleId="3">
    <w:name w:val="Body Text Indent"/>
    <w:basedOn w:val="1"/>
    <w:next w:val="4"/>
    <w:qFormat/>
    <w:uiPriority w:val="0"/>
    <w:pPr>
      <w:ind w:firstLine="540"/>
    </w:pPr>
    <w:rPr>
      <w:sz w:val="28"/>
      <w:szCs w:val="20"/>
    </w:rPr>
  </w:style>
  <w:style w:type="paragraph" w:styleId="4">
    <w:name w:val="Normal Indent"/>
    <w:basedOn w:val="1"/>
    <w:next w:val="3"/>
    <w:qFormat/>
    <w:uiPriority w:val="0"/>
    <w:pPr>
      <w:ind w:firstLine="420"/>
    </w:pPr>
    <w:rPr>
      <w:rFonts w:ascii="Times New Roman" w:hAnsi="Times New Roman"/>
      <w:szCs w:val="20"/>
    </w:rPr>
  </w:style>
  <w:style w:type="paragraph" w:customStyle="1" w:styleId="5">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b/>
      <w:bCs/>
      <w:kern w:val="0"/>
      <w:sz w:val="20"/>
      <w:szCs w:val="20"/>
    </w:rPr>
  </w:style>
  <w:style w:type="paragraph" w:styleId="7">
    <w:name w:val="Body Text"/>
    <w:basedOn w:val="1"/>
    <w:next w:val="8"/>
    <w:qFormat/>
    <w:uiPriority w:val="0"/>
    <w:pPr>
      <w:tabs>
        <w:tab w:val="left" w:pos="208"/>
      </w:tabs>
      <w:spacing w:line="432" w:lineRule="auto"/>
    </w:pPr>
    <w:rPr>
      <w:rFonts w:ascii="仿宋_GB2312" w:eastAsia="仿宋_GB2312"/>
      <w:sz w:val="28"/>
    </w:rPr>
  </w:style>
  <w:style w:type="paragraph" w:styleId="8">
    <w:name w:val="Body Text First Indent"/>
    <w:basedOn w:val="7"/>
    <w:next w:val="1"/>
    <w:qFormat/>
    <w:uiPriority w:val="0"/>
    <w:pPr>
      <w:spacing w:after="120" w:line="240" w:lineRule="auto"/>
      <w:ind w:firstLine="420" w:firstLineChars="100"/>
    </w:pPr>
    <w:rPr>
      <w:rFonts w:ascii="Times New Roman" w:eastAsia="宋体"/>
      <w:sz w:val="21"/>
    </w:rPr>
  </w:style>
  <w:style w:type="paragraph" w:styleId="9">
    <w:name w:val="toc 3"/>
    <w:basedOn w:val="1"/>
    <w:next w:val="1"/>
    <w:qFormat/>
    <w:uiPriority w:val="39"/>
    <w:pPr>
      <w:spacing w:before="40" w:after="40"/>
      <w:ind w:left="200" w:leftChars="200"/>
      <w:jc w:val="left"/>
    </w:pPr>
    <w:rPr>
      <w:rFonts w:eastAsia="仿宋_GB2312"/>
      <w:iCs/>
      <w:sz w:val="20"/>
      <w:szCs w:val="20"/>
    </w:rPr>
  </w:style>
  <w:style w:type="paragraph" w:styleId="10">
    <w:name w:val="Plain Text"/>
    <w:basedOn w:val="1"/>
    <w:next w:val="1"/>
    <w:qFormat/>
    <w:uiPriority w:val="0"/>
    <w:rPr>
      <w:rFonts w:ascii="宋体" w:hAnsi="Courier New"/>
      <w:szCs w:val="20"/>
    </w:rPr>
  </w:style>
  <w:style w:type="paragraph" w:styleId="11">
    <w:name w:val="Body Text Indent 2"/>
    <w:basedOn w:val="1"/>
    <w:qFormat/>
    <w:uiPriority w:val="0"/>
    <w:pPr>
      <w:snapToGrid w:val="0"/>
      <w:spacing w:line="400" w:lineRule="exact"/>
      <w:ind w:firstLine="480"/>
    </w:pPr>
    <w:rPr>
      <w:rFonts w:eastAsia="仿宋_GB2312"/>
      <w:sz w:val="24"/>
    </w:rPr>
  </w:style>
  <w:style w:type="paragraph" w:styleId="12">
    <w:name w:val="footer"/>
    <w:basedOn w:val="1"/>
    <w:qFormat/>
    <w:uiPriority w:val="99"/>
    <w:pPr>
      <w:tabs>
        <w:tab w:val="center" w:pos="4153"/>
        <w:tab w:val="right" w:pos="8306"/>
      </w:tabs>
      <w:snapToGrid w:val="0"/>
      <w:jc w:val="left"/>
    </w:pPr>
    <w:rPr>
      <w:rFonts w:ascii="Times New Roman" w:hAnsi="Times New Roman"/>
      <w:sz w:val="18"/>
      <w:szCs w:val="18"/>
    </w:rPr>
  </w:style>
  <w:style w:type="paragraph" w:styleId="13">
    <w:name w:val="header"/>
    <w:basedOn w:val="1"/>
    <w:qFormat/>
    <w:uiPriority w:val="0"/>
    <w:pPr>
      <w:pBdr>
        <w:bottom w:val="single" w:color="auto" w:sz="6" w:space="1"/>
      </w:pBdr>
      <w:tabs>
        <w:tab w:val="center" w:pos="4153"/>
        <w:tab w:val="right" w:pos="8306"/>
      </w:tabs>
      <w:adjustRightInd w:val="0"/>
      <w:spacing w:line="240" w:lineRule="atLeast"/>
      <w:jc w:val="center"/>
    </w:pPr>
    <w:rPr>
      <w:rFonts w:ascii="Times New Roman" w:hAnsi="Times New Roman"/>
      <w:kern w:val="0"/>
      <w:sz w:val="18"/>
      <w:szCs w:val="20"/>
    </w:rPr>
  </w:style>
  <w:style w:type="paragraph" w:styleId="14">
    <w:name w:val="toc 1"/>
    <w:basedOn w:val="1"/>
    <w:next w:val="1"/>
    <w:qFormat/>
    <w:uiPriority w:val="39"/>
    <w:pPr>
      <w:tabs>
        <w:tab w:val="right" w:leader="dot" w:pos="9060"/>
      </w:tabs>
      <w:spacing w:before="40" w:after="40"/>
      <w:jc w:val="left"/>
    </w:pPr>
    <w:rPr>
      <w:rFonts w:eastAsia="仿宋_GB2312"/>
      <w:b/>
      <w:bCs/>
      <w:caps/>
      <w:sz w:val="20"/>
      <w:szCs w:val="20"/>
    </w:rPr>
  </w:style>
  <w:style w:type="paragraph" w:styleId="15">
    <w:name w:val="List"/>
    <w:basedOn w:val="1"/>
    <w:qFormat/>
    <w:uiPriority w:val="0"/>
    <w:pPr>
      <w:ind w:left="200" w:hanging="200" w:hangingChars="200"/>
    </w:pPr>
    <w:rPr>
      <w:rFonts w:ascii="Times New Roman" w:hAnsi="Times New Roman"/>
      <w:szCs w:val="24"/>
    </w:rPr>
  </w:style>
  <w:style w:type="paragraph" w:styleId="16">
    <w:name w:val="toc 6"/>
    <w:basedOn w:val="1"/>
    <w:next w:val="1"/>
    <w:qFormat/>
    <w:uiPriority w:val="39"/>
    <w:pPr>
      <w:ind w:left="1050"/>
      <w:jc w:val="left"/>
    </w:pPr>
    <w:rPr>
      <w:sz w:val="18"/>
      <w:szCs w:val="18"/>
    </w:rPr>
  </w:style>
  <w:style w:type="paragraph" w:styleId="17">
    <w:name w:val="toc 2"/>
    <w:basedOn w:val="1"/>
    <w:next w:val="1"/>
    <w:qFormat/>
    <w:uiPriority w:val="0"/>
    <w:pPr>
      <w:ind w:left="420" w:leftChars="200"/>
    </w:pPr>
  </w:style>
  <w:style w:type="paragraph" w:styleId="18">
    <w:name w:val="Normal (Web)"/>
    <w:basedOn w:val="1"/>
    <w:qFormat/>
    <w:uiPriority w:val="0"/>
    <w:pPr>
      <w:widowControl/>
      <w:spacing w:before="100" w:beforeAutospacing="1" w:after="100" w:afterAutospacing="1"/>
      <w:jc w:val="left"/>
    </w:pPr>
    <w:rPr>
      <w:rFonts w:ascii="宋体" w:hAnsi="宋体"/>
      <w:kern w:val="0"/>
      <w:sz w:val="24"/>
    </w:rPr>
  </w:style>
  <w:style w:type="paragraph" w:styleId="19">
    <w:name w:val="Title"/>
    <w:basedOn w:val="1"/>
    <w:next w:val="1"/>
    <w:qFormat/>
    <w:uiPriority w:val="0"/>
    <w:pPr>
      <w:spacing w:before="240" w:after="60"/>
      <w:jc w:val="center"/>
      <w:outlineLvl w:val="0"/>
    </w:pPr>
    <w:rPr>
      <w:rFonts w:ascii="Arial" w:hAnsi="Arial" w:cs="Arial"/>
      <w:b/>
      <w:bCs/>
      <w:sz w:val="32"/>
      <w:szCs w:val="32"/>
    </w:rPr>
  </w:style>
  <w:style w:type="table" w:styleId="21">
    <w:name w:val="Table Grid"/>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qFormat/>
    <w:uiPriority w:val="0"/>
  </w:style>
  <w:style w:type="character" w:styleId="24">
    <w:name w:val="Hyperlink"/>
    <w:qFormat/>
    <w:uiPriority w:val="99"/>
    <w:rPr>
      <w:color w:val="0000FF"/>
      <w:u w:val="single"/>
    </w:rPr>
  </w:style>
  <w:style w:type="paragraph" w:customStyle="1" w:styleId="25">
    <w:name w:val="表格文字"/>
    <w:basedOn w:val="26"/>
    <w:next w:val="7"/>
    <w:autoRedefine/>
    <w:qFormat/>
    <w:uiPriority w:val="0"/>
    <w:pPr>
      <w:spacing w:before="25" w:after="25"/>
      <w:jc w:val="left"/>
    </w:pPr>
    <w:rPr>
      <w:bCs/>
      <w:spacing w:val="10"/>
      <w:kern w:val="0"/>
      <w:sz w:val="24"/>
      <w:szCs w:val="20"/>
    </w:rPr>
  </w:style>
  <w:style w:type="paragraph" w:customStyle="1" w:styleId="26">
    <w:name w:val="表格文字（两侧对齐）"/>
    <w:basedOn w:val="1"/>
    <w:autoRedefine/>
    <w:qFormat/>
    <w:uiPriority w:val="0"/>
    <w:pPr>
      <w:snapToGrid w:val="0"/>
    </w:pPr>
    <w:rPr>
      <w:sz w:val="20"/>
    </w:rPr>
  </w:style>
  <w:style w:type="character" w:customStyle="1" w:styleId="27">
    <w:name w:val="NormalCharacter"/>
    <w:autoRedefine/>
    <w:qFormat/>
    <w:uiPriority w:val="0"/>
    <w:rPr>
      <w:kern w:val="2"/>
      <w:sz w:val="21"/>
      <w:szCs w:val="24"/>
      <w:lang w:val="en-US" w:eastAsia="zh-CN" w:bidi="ar-SA"/>
    </w:rPr>
  </w:style>
  <w:style w:type="paragraph" w:customStyle="1" w:styleId="28">
    <w:name w:val="列出段落2"/>
    <w:basedOn w:val="1"/>
    <w:qFormat/>
    <w:uiPriority w:val="0"/>
    <w:pPr>
      <w:ind w:firstLine="420" w:firstLineChars="200"/>
    </w:pPr>
    <w:rPr>
      <w:rFonts w:ascii="Calibri" w:hAnsi="Calibri" w:cs="黑体"/>
      <w:szCs w:val="22"/>
    </w:rPr>
  </w:style>
  <w:style w:type="paragraph" w:customStyle="1" w:styleId="2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0">
    <w:name w:val="样式 标题 31.1.1标题 333rd levelBOD 0Bold HeadCTH3H31Heading ...1"/>
    <w:basedOn w:val="6"/>
    <w:autoRedefine/>
    <w:qFormat/>
    <w:uiPriority w:val="0"/>
    <w:pPr>
      <w:spacing w:before="0" w:after="0"/>
      <w:ind w:firstLine="0" w:firstLineChars="0"/>
    </w:pPr>
    <w:rPr>
      <w:rFonts w:hAnsi="宋体" w:cs="宋体"/>
      <w:sz w:val="24"/>
    </w:rPr>
  </w:style>
  <w:style w:type="paragraph" w:customStyle="1" w:styleId="31">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正文_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正文_8_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
    <w:name w:val="p0"/>
    <w:basedOn w:val="1"/>
    <w:autoRedefine/>
    <w:qFormat/>
    <w:uiPriority w:val="0"/>
    <w:pPr>
      <w:widowControl/>
    </w:pPr>
    <w:rPr>
      <w:rFonts w:cs="宋体"/>
      <w:kern w:val="0"/>
      <w:szCs w:val="20"/>
    </w:rPr>
  </w:style>
  <w:style w:type="paragraph" w:customStyle="1" w:styleId="35">
    <w:name w:val="纯文本_3"/>
    <w:basedOn w:val="32"/>
    <w:autoRedefine/>
    <w:qFormat/>
    <w:uiPriority w:val="0"/>
    <w:rPr>
      <w:rFonts w:ascii="宋体" w:hAnsi="Courier New"/>
      <w:szCs w:val="20"/>
    </w:rPr>
  </w:style>
  <w:style w:type="paragraph" w:customStyle="1" w:styleId="36">
    <w:name w:val="正文_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纯文本_0"/>
    <w:basedOn w:val="38"/>
    <w:autoRedefine/>
    <w:unhideWhenUsed/>
    <w:qFormat/>
    <w:uiPriority w:val="0"/>
    <w:rPr>
      <w:rFonts w:ascii="宋体" w:hAnsi="Courier New"/>
      <w:kern w:val="0"/>
      <w:sz w:val="20"/>
      <w:szCs w:val="20"/>
    </w:rPr>
  </w:style>
  <w:style w:type="paragraph" w:customStyle="1" w:styleId="38">
    <w:name w:val="正文_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
    <w:name w:val="正文_2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0">
    <w:name w:val="纯文本_1"/>
    <w:basedOn w:val="41"/>
    <w:autoRedefine/>
    <w:qFormat/>
    <w:uiPriority w:val="0"/>
    <w:rPr>
      <w:rFonts w:ascii="宋体" w:hAnsi="Courier New"/>
      <w:szCs w:val="20"/>
    </w:rPr>
  </w:style>
  <w:style w:type="paragraph" w:customStyle="1" w:styleId="41">
    <w:name w:val="正文_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8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8"/>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18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1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1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7">
    <w:name w:val="List Paragraph"/>
    <w:basedOn w:val="1"/>
    <w:qFormat/>
    <w:uiPriority w:val="34"/>
    <w:pPr>
      <w:ind w:firstLine="420" w:firstLineChars="200"/>
    </w:pPr>
  </w:style>
  <w:style w:type="paragraph" w:customStyle="1" w:styleId="48">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49">
    <w:name w:val="正文1"/>
    <w:next w:val="1"/>
    <w:qFormat/>
    <w:uiPriority w:val="0"/>
    <w:rPr>
      <w:rFonts w:ascii="Calibri" w:hAnsi="Calibri" w:eastAsia="Times New Roman"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70</Pages>
  <Words>11051</Words>
  <Characters>12524</Characters>
  <Lines>0</Lines>
  <Paragraphs>0</Paragraphs>
  <TotalTime>18</TotalTime>
  <ScaleCrop>false</ScaleCrop>
  <LinksUpToDate>false</LinksUpToDate>
  <CharactersWithSpaces>13465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2025-04-23T08:02:00Z</dcterms:created>
  <dc:creator>NTKO</dc:creator>
  <cp:lastModifiedBy>NTKO</cp:lastModifiedBy>
  <dcterms:modified xsi:type="dcterms:W3CDTF">2025-06-26T06:25:59Z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87729346CB6C445ABB513A64E839CA78_13</vt:lpwstr>
  </property>
  <property fmtid="{D5CDD505-2E9C-101B-9397-08002B2CF9AE}" pid="4" name="KSOTemplateDocerSaveRecord">
    <vt:lpwstr>eyJoZGlkIjoiYjY5ZWJmZGVjZWZjM2M0M2RhZDBiYjkyNDU5ZTVhZDMiLCJ1c2VySWQiOiIyODA2ODExMDgifQ==</vt:lpwstr>
  </property>
</Properties>
</file>