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1C209">
      <w:pPr>
        <w:autoSpaceDE w:val="0"/>
        <w:autoSpaceDN w:val="0"/>
        <w:spacing w:line="500" w:lineRule="atLeast"/>
        <w:jc w:val="distribute"/>
        <w:textAlignment w:val="bottom"/>
        <w:rPr>
          <w:rFonts w:ascii="宋体" w:hAnsi="宋体"/>
          <w:b/>
          <w:bCs/>
          <w:color w:val="auto"/>
          <w:sz w:val="72"/>
          <w:szCs w:val="72"/>
          <w:highlight w:val="none"/>
        </w:rPr>
      </w:pPr>
    </w:p>
    <w:p w14:paraId="411A6E6F">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cs="宋体"/>
          <w:b/>
          <w:bCs/>
          <w:color w:val="auto"/>
          <w:sz w:val="72"/>
          <w:szCs w:val="72"/>
          <w:highlight w:val="none"/>
        </w:rPr>
        <w:t>温州市</w:t>
      </w:r>
      <w:r>
        <w:rPr>
          <w:rFonts w:hint="eastAsia" w:ascii="宋体" w:hAnsi="宋体" w:cs="宋体"/>
          <w:b/>
          <w:bCs/>
          <w:color w:val="auto"/>
          <w:sz w:val="72"/>
          <w:szCs w:val="72"/>
          <w:highlight w:val="none"/>
          <w:lang w:val="en-US" w:eastAsia="zh-CN"/>
        </w:rPr>
        <w:t>鹿城</w:t>
      </w:r>
      <w:r>
        <w:rPr>
          <w:rFonts w:hint="eastAsia" w:ascii="宋体" w:hAnsi="宋体" w:cs="宋体"/>
          <w:b/>
          <w:bCs/>
          <w:color w:val="auto"/>
          <w:sz w:val="72"/>
          <w:szCs w:val="72"/>
          <w:highlight w:val="none"/>
        </w:rPr>
        <w:t>区</w:t>
      </w:r>
      <w:r>
        <w:rPr>
          <w:rFonts w:hint="eastAsia" w:ascii="宋体" w:hAnsi="宋体"/>
          <w:b/>
          <w:bCs/>
          <w:color w:val="auto"/>
          <w:sz w:val="72"/>
          <w:szCs w:val="72"/>
          <w:highlight w:val="none"/>
        </w:rPr>
        <w:t>政府采购</w:t>
      </w:r>
    </w:p>
    <w:p w14:paraId="31948B5F">
      <w:pPr>
        <w:spacing w:line="400" w:lineRule="atLeast"/>
        <w:jc w:val="center"/>
        <w:rPr>
          <w:rFonts w:ascii="宋体" w:hAnsi="宋体"/>
          <w:b/>
          <w:color w:val="auto"/>
          <w:sz w:val="52"/>
          <w:highlight w:val="none"/>
        </w:rPr>
      </w:pPr>
    </w:p>
    <w:p w14:paraId="3AA17990">
      <w:pPr>
        <w:spacing w:line="400" w:lineRule="atLeast"/>
        <w:jc w:val="center"/>
        <w:rPr>
          <w:rFonts w:ascii="宋体" w:hAnsi="宋体"/>
          <w:b/>
          <w:color w:val="auto"/>
          <w:sz w:val="52"/>
          <w:highlight w:val="none"/>
        </w:rPr>
      </w:pPr>
    </w:p>
    <w:p w14:paraId="6AC23297">
      <w:pPr>
        <w:spacing w:line="400" w:lineRule="atLeast"/>
        <w:jc w:val="center"/>
        <w:rPr>
          <w:rFonts w:ascii="宋体" w:hAnsi="宋体"/>
          <w:b/>
          <w:color w:val="auto"/>
          <w:sz w:val="52"/>
          <w:highlight w:val="none"/>
        </w:rPr>
      </w:pPr>
    </w:p>
    <w:p w14:paraId="7E464AE8">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04E16E47">
      <w:pPr>
        <w:spacing w:line="400" w:lineRule="atLeast"/>
        <w:jc w:val="center"/>
        <w:rPr>
          <w:rFonts w:ascii="宋体" w:hAnsi="宋体"/>
          <w:b/>
          <w:color w:val="auto"/>
          <w:sz w:val="32"/>
          <w:highlight w:val="none"/>
        </w:rPr>
      </w:pPr>
    </w:p>
    <w:p w14:paraId="3A8A2F5F">
      <w:pPr>
        <w:jc w:val="center"/>
        <w:rPr>
          <w:rFonts w:ascii="宋体" w:hAnsi="宋体"/>
          <w:b/>
          <w:bCs/>
          <w:color w:val="auto"/>
          <w:sz w:val="24"/>
          <w:highlight w:val="none"/>
        </w:rPr>
      </w:pPr>
    </w:p>
    <w:p w14:paraId="2CC711B6">
      <w:pPr>
        <w:jc w:val="center"/>
        <w:rPr>
          <w:rFonts w:ascii="宋体" w:hAnsi="宋体"/>
          <w:b/>
          <w:bCs/>
          <w:color w:val="auto"/>
          <w:sz w:val="24"/>
          <w:highlight w:val="none"/>
        </w:rPr>
      </w:pPr>
    </w:p>
    <w:p w14:paraId="417923CC">
      <w:pPr>
        <w:tabs>
          <w:tab w:val="left" w:pos="4860"/>
        </w:tabs>
        <w:spacing w:line="600" w:lineRule="exact"/>
        <w:ind w:right="1143"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ZJJHCG20250425001-2</w:t>
      </w:r>
    </w:p>
    <w:p w14:paraId="1476866E">
      <w:pPr>
        <w:tabs>
          <w:tab w:val="left" w:pos="5245"/>
          <w:tab w:val="left" w:pos="9660"/>
        </w:tabs>
        <w:spacing w:line="600" w:lineRule="exact"/>
        <w:ind w:left="4006" w:leftChars="706" w:right="-22" w:hanging="2523" w:hangingChars="66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2025年鹿城区城市道路巡查与维养项目（第二次）</w:t>
      </w:r>
    </w:p>
    <w:p w14:paraId="64B00C83">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14:paraId="45EA5670">
      <w:pPr>
        <w:tabs>
          <w:tab w:val="left" w:pos="7441"/>
        </w:tabs>
        <w:jc w:val="left"/>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ab/>
      </w:r>
    </w:p>
    <w:p w14:paraId="175E9258">
      <w:pPr>
        <w:jc w:val="center"/>
        <w:rPr>
          <w:rFonts w:ascii="宋体" w:hAnsi="宋体"/>
          <w:b/>
          <w:bCs/>
          <w:color w:val="auto"/>
          <w:sz w:val="24"/>
          <w:highlight w:val="none"/>
        </w:rPr>
      </w:pPr>
    </w:p>
    <w:p w14:paraId="14468D5B">
      <w:pPr>
        <w:jc w:val="center"/>
        <w:rPr>
          <w:rFonts w:ascii="宋体" w:hAnsi="宋体"/>
          <w:b/>
          <w:bCs/>
          <w:color w:val="auto"/>
          <w:sz w:val="24"/>
          <w:highlight w:val="none"/>
        </w:rPr>
      </w:pPr>
    </w:p>
    <w:p w14:paraId="727C7B36">
      <w:pPr>
        <w:jc w:val="center"/>
        <w:rPr>
          <w:rFonts w:ascii="宋体" w:hAnsi="宋体"/>
          <w:b/>
          <w:bCs/>
          <w:color w:val="auto"/>
          <w:sz w:val="24"/>
          <w:highlight w:val="none"/>
        </w:rPr>
      </w:pPr>
    </w:p>
    <w:p w14:paraId="6CC4B724">
      <w:pPr>
        <w:jc w:val="center"/>
        <w:rPr>
          <w:rFonts w:ascii="宋体" w:hAnsi="宋体"/>
          <w:b/>
          <w:bCs/>
          <w:color w:val="auto"/>
          <w:sz w:val="24"/>
          <w:highlight w:val="none"/>
        </w:rPr>
      </w:pPr>
    </w:p>
    <w:p w14:paraId="3944182D">
      <w:pPr>
        <w:jc w:val="center"/>
        <w:rPr>
          <w:rFonts w:ascii="宋体" w:hAnsi="宋体"/>
          <w:b/>
          <w:bCs/>
          <w:color w:val="auto"/>
          <w:sz w:val="24"/>
          <w:highlight w:val="none"/>
        </w:rPr>
      </w:pPr>
    </w:p>
    <w:p w14:paraId="577830E3">
      <w:pPr>
        <w:spacing w:line="600" w:lineRule="exact"/>
        <w:ind w:left="3277" w:leftChars="693" w:hanging="1822" w:hangingChars="605"/>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bCs/>
          <w:color w:val="auto"/>
          <w:sz w:val="30"/>
          <w:szCs w:val="30"/>
          <w:highlight w:val="none"/>
          <w:lang w:eastAsia="zh-CN"/>
        </w:rPr>
        <w:t>温州市鹿城区市政公用管理处</w:t>
      </w:r>
    </w:p>
    <w:p w14:paraId="3BA81E61">
      <w:pPr>
        <w:spacing w:line="600" w:lineRule="exact"/>
        <w:ind w:left="1482" w:leftChars="693" w:hanging="27" w:hangingChars="7"/>
        <w:rPr>
          <w:rFonts w:hint="eastAsia" w:ascii="宋体" w:hAnsi="宋体" w:eastAsia="宋体"/>
          <w:b/>
          <w:color w:val="auto"/>
          <w:spacing w:val="12"/>
          <w:sz w:val="30"/>
          <w:szCs w:val="30"/>
          <w:highlight w:val="none"/>
          <w:lang w:eastAsia="zh-CN"/>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lang w:eastAsia="zh-CN"/>
        </w:rPr>
        <w:t>浙江建航工程咨询有限公司</w:t>
      </w:r>
    </w:p>
    <w:p w14:paraId="0AA6DC4D">
      <w:pPr>
        <w:spacing w:line="600" w:lineRule="exact"/>
        <w:ind w:left="2130" w:leftChars="1000" w:hanging="30" w:hangingChars="8"/>
        <w:rPr>
          <w:rFonts w:ascii="宋体" w:hAnsi="宋体"/>
          <w:b/>
          <w:color w:val="auto"/>
          <w:spacing w:val="40"/>
          <w:sz w:val="30"/>
          <w:szCs w:val="30"/>
          <w:highlight w:val="none"/>
        </w:rPr>
      </w:pPr>
    </w:p>
    <w:p w14:paraId="2EECEAA5">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cs="宋体"/>
          <w:b/>
          <w:color w:val="auto"/>
          <w:spacing w:val="40"/>
          <w:sz w:val="30"/>
          <w:szCs w:val="30"/>
          <w:highlight w:val="none"/>
          <w:lang w:val="en-US" w:eastAsia="zh-CN"/>
        </w:rPr>
        <w:t>二五年七</w:t>
      </w:r>
      <w:r>
        <w:rPr>
          <w:rFonts w:hint="eastAsia" w:ascii="宋体" w:hAnsi="宋体" w:cs="仿宋_GB2312"/>
          <w:b/>
          <w:color w:val="auto"/>
          <w:spacing w:val="40"/>
          <w:sz w:val="30"/>
          <w:szCs w:val="30"/>
          <w:highlight w:val="none"/>
        </w:rPr>
        <w:t>月</w:t>
      </w:r>
    </w:p>
    <w:p w14:paraId="6EDD1670">
      <w:pPr>
        <w:spacing w:line="600" w:lineRule="exact"/>
        <w:jc w:val="center"/>
        <w:rPr>
          <w:rFonts w:hint="eastAsia" w:ascii="宋体" w:hAnsi="宋体"/>
          <w:b/>
          <w:bCs/>
          <w:color w:val="auto"/>
          <w:sz w:val="32"/>
          <w:szCs w:val="32"/>
          <w:highlight w:val="none"/>
        </w:rPr>
        <w:sectPr>
          <w:footerReference r:id="rId4" w:type="first"/>
          <w:footerReference r:id="rId3" w:type="default"/>
          <w:type w:val="nextColumn"/>
          <w:pgSz w:w="11906" w:h="16838"/>
          <w:pgMar w:top="1134" w:right="1134" w:bottom="1134" w:left="1134" w:header="851" w:footer="850" w:gutter="0"/>
          <w:cols w:space="720" w:num="1"/>
          <w:titlePg/>
          <w:docGrid w:linePitch="312" w:charSpace="0"/>
        </w:sectPr>
      </w:pPr>
    </w:p>
    <w:p w14:paraId="1BF433C7">
      <w:pPr>
        <w:spacing w:line="6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79AC48B3">
      <w:pPr>
        <w:spacing w:line="600" w:lineRule="exact"/>
        <w:jc w:val="center"/>
        <w:rPr>
          <w:rFonts w:ascii="宋体" w:hAnsi="宋体"/>
          <w:b/>
          <w:bCs/>
          <w:color w:val="auto"/>
          <w:sz w:val="24"/>
          <w:highlight w:val="none"/>
        </w:rPr>
      </w:pPr>
    </w:p>
    <w:p w14:paraId="2BEC22F0">
      <w:pPr>
        <w:pStyle w:val="45"/>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rFonts w:hint="eastAsia" w:ascii="宋体" w:hAnsi="宋体" w:eastAsia="宋体"/>
          <w:bCs w:val="0"/>
          <w:color w:val="auto"/>
          <w:highlight w:val="none"/>
        </w:rPr>
        <w:fldChar w:fldCharType="begin"/>
      </w:r>
      <w:r>
        <w:rPr>
          <w:rFonts w:hint="eastAsia" w:ascii="宋体" w:hAnsi="宋体" w:eastAsia="宋体"/>
          <w:bCs w:val="0"/>
          <w:color w:val="auto"/>
          <w:highlight w:val="none"/>
        </w:rPr>
        <w:instrText xml:space="preserve"> HYPERLINK \l _Toc2776 </w:instrText>
      </w:r>
      <w:r>
        <w:rPr>
          <w:rFonts w:hint="eastAsia" w:ascii="宋体" w:hAnsi="宋体" w:eastAsia="宋体"/>
          <w:bCs w:val="0"/>
          <w:color w:val="auto"/>
          <w:highlight w:val="none"/>
        </w:rPr>
        <w:fldChar w:fldCharType="separate"/>
      </w:r>
      <w:r>
        <w:rPr>
          <w:rFonts w:hint="eastAsia" w:ascii="宋体" w:hAnsi="宋体" w:eastAsia="宋体" w:cs="Arial"/>
          <w:color w:val="auto"/>
          <w:szCs w:val="30"/>
          <w:highlight w:val="none"/>
          <w:lang w:eastAsia="zh-CN"/>
        </w:rPr>
        <w:t>浙江建航工程咨询有限公司</w:t>
      </w:r>
      <w:r>
        <w:rPr>
          <w:rFonts w:hint="eastAsia" w:ascii="宋体" w:hAnsi="宋体" w:eastAsia="宋体" w:cs="Arial"/>
          <w:color w:val="auto"/>
          <w:szCs w:val="30"/>
          <w:highlight w:val="none"/>
        </w:rPr>
        <w:t>关于</w:t>
      </w:r>
      <w:r>
        <w:rPr>
          <w:rFonts w:hint="eastAsia" w:ascii="宋体" w:hAnsi="宋体" w:eastAsia="宋体" w:cs="Arial"/>
          <w:color w:val="auto"/>
          <w:szCs w:val="30"/>
          <w:highlight w:val="none"/>
          <w:lang w:eastAsia="zh-CN"/>
        </w:rPr>
        <w:t>2025年鹿城区城市道路巡查与维养项目（第二次）</w:t>
      </w:r>
      <w:r>
        <w:rPr>
          <w:rFonts w:hint="eastAsia" w:ascii="宋体" w:hAnsi="宋体" w:eastAsia="宋体" w:cs="Arial"/>
          <w:color w:val="auto"/>
          <w:szCs w:val="30"/>
          <w:highlight w:val="none"/>
        </w:rPr>
        <w:t>的公开招标公告</w:t>
      </w:r>
      <w:r>
        <w:rPr>
          <w:color w:val="auto"/>
          <w:highlight w:val="none"/>
        </w:rPr>
        <w:tab/>
      </w:r>
      <w:r>
        <w:rPr>
          <w:color w:val="auto"/>
          <w:highlight w:val="none"/>
        </w:rPr>
        <w:fldChar w:fldCharType="begin"/>
      </w:r>
      <w:r>
        <w:rPr>
          <w:color w:val="auto"/>
          <w:highlight w:val="none"/>
        </w:rPr>
        <w:instrText xml:space="preserve"> PAGEREF _Toc2776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bCs w:val="0"/>
          <w:color w:val="auto"/>
          <w:highlight w:val="none"/>
        </w:rPr>
        <w:fldChar w:fldCharType="end"/>
      </w:r>
    </w:p>
    <w:p w14:paraId="18438FE0">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_Toc7152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_Toc7152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bCs/>
          <w:color w:val="auto"/>
          <w:highlight w:val="none"/>
        </w:rPr>
        <w:fldChar w:fldCharType="end"/>
      </w:r>
    </w:p>
    <w:p w14:paraId="75D7F631">
      <w:pPr>
        <w:pStyle w:val="45"/>
        <w:tabs>
          <w:tab w:val="right" w:leader="dot" w:pos="9638"/>
          <w:tab w:val="clear" w:pos="9628"/>
        </w:tabs>
        <w:ind w:left="218" w:leftChars="104" w:firstLine="0" w:firstLineChars="0"/>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_Toc17373 </w:instrText>
      </w:r>
      <w:r>
        <w:rPr>
          <w:rFonts w:hint="eastAsia" w:ascii="宋体" w:hAnsi="宋体"/>
          <w:bCs/>
          <w:color w:val="auto"/>
          <w:highlight w:val="none"/>
        </w:rPr>
        <w:fldChar w:fldCharType="separate"/>
      </w:r>
      <w:r>
        <w:rPr>
          <w:rFonts w:hint="eastAsia" w:ascii="宋体" w:hAnsi="宋体" w:eastAsia="宋体" w:cs="Times New Roman"/>
          <w:bCs/>
          <w:color w:val="auto"/>
          <w:kern w:val="2"/>
          <w:szCs w:val="26"/>
          <w:highlight w:val="none"/>
          <w:lang w:val="en-US" w:eastAsia="zh-CN" w:bidi="ar-SA"/>
        </w:rPr>
        <w:t>一、 须知前附表</w:t>
      </w:r>
      <w:r>
        <w:rPr>
          <w:color w:val="auto"/>
          <w:highlight w:val="none"/>
        </w:rPr>
        <w:tab/>
      </w:r>
      <w:r>
        <w:rPr>
          <w:color w:val="auto"/>
          <w:highlight w:val="none"/>
        </w:rPr>
        <w:fldChar w:fldCharType="begin"/>
      </w:r>
      <w:r>
        <w:rPr>
          <w:color w:val="auto"/>
          <w:highlight w:val="none"/>
        </w:rPr>
        <w:instrText xml:space="preserve"> PAGEREF _Toc17373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bCs/>
          <w:color w:val="auto"/>
          <w:highlight w:val="none"/>
        </w:rPr>
        <w:fldChar w:fldCharType="end"/>
      </w:r>
    </w:p>
    <w:p w14:paraId="56EF46E6">
      <w:pPr>
        <w:pStyle w:val="45"/>
        <w:tabs>
          <w:tab w:val="right" w:leader="dot" w:pos="9638"/>
          <w:tab w:val="clear" w:pos="9628"/>
        </w:tabs>
        <w:ind w:left="218" w:leftChars="104" w:firstLine="0" w:firstLineChars="0"/>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_Toc11369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二</w:t>
      </w:r>
      <w:r>
        <w:rPr>
          <w:rFonts w:hint="eastAsia" w:ascii="宋体" w:hAnsi="宋体"/>
          <w:bCs/>
          <w:color w:val="auto"/>
          <w:szCs w:val="26"/>
          <w:highlight w:val="none"/>
        </w:rPr>
        <w:t>、 说明</w:t>
      </w:r>
      <w:r>
        <w:rPr>
          <w:color w:val="auto"/>
          <w:highlight w:val="none"/>
        </w:rPr>
        <w:tab/>
      </w:r>
      <w:r>
        <w:rPr>
          <w:color w:val="auto"/>
          <w:highlight w:val="none"/>
        </w:rPr>
        <w:fldChar w:fldCharType="begin"/>
      </w:r>
      <w:r>
        <w:rPr>
          <w:color w:val="auto"/>
          <w:highlight w:val="none"/>
        </w:rPr>
        <w:instrText xml:space="preserve"> PAGEREF _Toc11369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bCs/>
          <w:color w:val="auto"/>
          <w:highlight w:val="none"/>
        </w:rPr>
        <w:fldChar w:fldCharType="end"/>
      </w:r>
    </w:p>
    <w:p w14:paraId="6D060EEF">
      <w:pPr>
        <w:pStyle w:val="45"/>
        <w:tabs>
          <w:tab w:val="right" w:leader="dot" w:pos="9638"/>
          <w:tab w:val="clear" w:pos="9628"/>
        </w:tabs>
        <w:ind w:left="218" w:leftChars="104" w:firstLine="0" w:firstLineChars="0"/>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_Toc15351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三</w:t>
      </w:r>
      <w:r>
        <w:rPr>
          <w:rFonts w:hint="eastAsia" w:ascii="宋体" w:hAnsi="宋体"/>
          <w:bCs/>
          <w:color w:val="auto"/>
          <w:szCs w:val="26"/>
          <w:highlight w:val="none"/>
        </w:rPr>
        <w:t>、 招标文件</w:t>
      </w:r>
      <w:r>
        <w:rPr>
          <w:color w:val="auto"/>
          <w:highlight w:val="none"/>
        </w:rPr>
        <w:tab/>
      </w:r>
      <w:r>
        <w:rPr>
          <w:color w:val="auto"/>
          <w:highlight w:val="none"/>
        </w:rPr>
        <w:fldChar w:fldCharType="begin"/>
      </w:r>
      <w:r>
        <w:rPr>
          <w:color w:val="auto"/>
          <w:highlight w:val="none"/>
        </w:rPr>
        <w:instrText xml:space="preserve"> PAGEREF _Toc15351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bCs/>
          <w:color w:val="auto"/>
          <w:highlight w:val="none"/>
        </w:rPr>
        <w:fldChar w:fldCharType="end"/>
      </w:r>
    </w:p>
    <w:p w14:paraId="714F54DE">
      <w:pPr>
        <w:pStyle w:val="45"/>
        <w:tabs>
          <w:tab w:val="right" w:leader="dot" w:pos="9638"/>
          <w:tab w:val="clear" w:pos="9628"/>
        </w:tabs>
        <w:ind w:left="218" w:leftChars="104" w:firstLine="0" w:firstLineChars="0"/>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_Toc13098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四</w:t>
      </w:r>
      <w:r>
        <w:rPr>
          <w:rFonts w:hint="eastAsia" w:ascii="宋体" w:hAnsi="宋体"/>
          <w:bCs/>
          <w:color w:val="auto"/>
          <w:szCs w:val="26"/>
          <w:highlight w:val="none"/>
        </w:rPr>
        <w:t>、 投标文件的编制</w:t>
      </w:r>
      <w:r>
        <w:rPr>
          <w:color w:val="auto"/>
          <w:highlight w:val="none"/>
        </w:rPr>
        <w:tab/>
      </w:r>
      <w:r>
        <w:rPr>
          <w:color w:val="auto"/>
          <w:highlight w:val="none"/>
        </w:rPr>
        <w:fldChar w:fldCharType="begin"/>
      </w:r>
      <w:r>
        <w:rPr>
          <w:color w:val="auto"/>
          <w:highlight w:val="none"/>
        </w:rPr>
        <w:instrText xml:space="preserve"> PAGEREF _Toc13098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bCs/>
          <w:color w:val="auto"/>
          <w:highlight w:val="none"/>
        </w:rPr>
        <w:fldChar w:fldCharType="end"/>
      </w:r>
    </w:p>
    <w:p w14:paraId="67419589">
      <w:pPr>
        <w:pStyle w:val="45"/>
        <w:tabs>
          <w:tab w:val="right" w:leader="dot" w:pos="9638"/>
          <w:tab w:val="clear" w:pos="9628"/>
        </w:tabs>
        <w:ind w:left="218" w:leftChars="104" w:firstLine="0" w:firstLineChars="0"/>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_Toc6064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五</w:t>
      </w:r>
      <w:r>
        <w:rPr>
          <w:rFonts w:hint="eastAsia" w:ascii="宋体" w:hAnsi="宋体"/>
          <w:bCs/>
          <w:color w:val="auto"/>
          <w:szCs w:val="26"/>
          <w:highlight w:val="none"/>
        </w:rPr>
        <w:t>、 投标文件的递交</w:t>
      </w:r>
      <w:r>
        <w:rPr>
          <w:color w:val="auto"/>
          <w:highlight w:val="none"/>
        </w:rPr>
        <w:tab/>
      </w:r>
      <w:r>
        <w:rPr>
          <w:color w:val="auto"/>
          <w:highlight w:val="none"/>
        </w:rPr>
        <w:fldChar w:fldCharType="begin"/>
      </w:r>
      <w:r>
        <w:rPr>
          <w:color w:val="auto"/>
          <w:highlight w:val="none"/>
        </w:rPr>
        <w:instrText xml:space="preserve"> PAGEREF _Toc6064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bCs/>
          <w:color w:val="auto"/>
          <w:highlight w:val="none"/>
        </w:rPr>
        <w:fldChar w:fldCharType="end"/>
      </w:r>
    </w:p>
    <w:p w14:paraId="0FDD473F">
      <w:pPr>
        <w:pStyle w:val="45"/>
        <w:tabs>
          <w:tab w:val="right" w:leader="dot" w:pos="9638"/>
          <w:tab w:val="clear" w:pos="9628"/>
        </w:tabs>
        <w:ind w:left="218" w:leftChars="104" w:firstLine="0" w:firstLineChars="0"/>
        <w:rPr>
          <w:rFonts w:hint="eastAsia" w:ascii="宋体" w:hAnsi="宋体"/>
          <w:bCs/>
          <w:color w:val="auto"/>
          <w:szCs w:val="26"/>
          <w:highlight w:val="none"/>
        </w:rPr>
      </w:pPr>
      <w:r>
        <w:rPr>
          <w:rFonts w:hint="eastAsia" w:ascii="宋体" w:hAnsi="宋体"/>
          <w:bCs/>
          <w:color w:val="auto"/>
          <w:szCs w:val="26"/>
          <w:highlight w:val="none"/>
        </w:rPr>
        <w:fldChar w:fldCharType="begin"/>
      </w:r>
      <w:r>
        <w:rPr>
          <w:rFonts w:hint="eastAsia" w:ascii="宋体" w:hAnsi="宋体"/>
          <w:bCs/>
          <w:color w:val="auto"/>
          <w:szCs w:val="26"/>
          <w:highlight w:val="none"/>
        </w:rPr>
        <w:instrText xml:space="preserve"> HYPERLINK \l _Toc6321 </w:instrText>
      </w:r>
      <w:r>
        <w:rPr>
          <w:rFonts w:hint="eastAsia" w:ascii="宋体" w:hAnsi="宋体"/>
          <w:bCs/>
          <w:color w:val="auto"/>
          <w:szCs w:val="26"/>
          <w:highlight w:val="none"/>
        </w:rPr>
        <w:fldChar w:fldCharType="separate"/>
      </w:r>
      <w:r>
        <w:rPr>
          <w:rFonts w:hint="eastAsia" w:ascii="宋体" w:hAnsi="宋体"/>
          <w:bCs/>
          <w:color w:val="auto"/>
          <w:szCs w:val="26"/>
          <w:highlight w:val="none"/>
          <w:lang w:val="en-US" w:eastAsia="zh-CN"/>
        </w:rPr>
        <w:t>六</w:t>
      </w:r>
      <w:r>
        <w:rPr>
          <w:rFonts w:hint="eastAsia" w:ascii="宋体" w:hAnsi="宋体"/>
          <w:bCs/>
          <w:color w:val="auto"/>
          <w:szCs w:val="26"/>
          <w:highlight w:val="none"/>
        </w:rPr>
        <w:t>、 开标</w:t>
      </w:r>
      <w:r>
        <w:rPr>
          <w:rFonts w:hint="eastAsia" w:ascii="宋体" w:hAnsi="宋体"/>
          <w:bCs/>
          <w:color w:val="auto"/>
          <w:szCs w:val="26"/>
          <w:highlight w:val="none"/>
        </w:rPr>
        <w:tab/>
      </w:r>
      <w:r>
        <w:rPr>
          <w:rFonts w:hint="eastAsia" w:ascii="Arial" w:hAnsi="Arial"/>
          <w:bCs/>
          <w:color w:val="auto"/>
          <w:szCs w:val="24"/>
          <w:highlight w:val="none"/>
        </w:rPr>
        <w:fldChar w:fldCharType="begin"/>
      </w:r>
      <w:r>
        <w:rPr>
          <w:rFonts w:hint="eastAsia" w:ascii="Arial" w:hAnsi="Arial"/>
          <w:bCs/>
          <w:color w:val="auto"/>
          <w:szCs w:val="24"/>
          <w:highlight w:val="none"/>
        </w:rPr>
        <w:instrText xml:space="preserve"> PAGEREF _Toc6321 \h </w:instrText>
      </w:r>
      <w:r>
        <w:rPr>
          <w:rFonts w:hint="eastAsia" w:ascii="Arial" w:hAnsi="Arial"/>
          <w:bCs/>
          <w:color w:val="auto"/>
          <w:szCs w:val="24"/>
          <w:highlight w:val="none"/>
        </w:rPr>
        <w:fldChar w:fldCharType="separate"/>
      </w:r>
      <w:r>
        <w:rPr>
          <w:rFonts w:hint="eastAsia" w:ascii="Arial" w:hAnsi="Arial"/>
          <w:bCs/>
          <w:color w:val="auto"/>
          <w:szCs w:val="24"/>
          <w:highlight w:val="none"/>
        </w:rPr>
        <w:t>16</w:t>
      </w:r>
      <w:r>
        <w:rPr>
          <w:rFonts w:hint="eastAsia" w:ascii="Arial" w:hAnsi="Arial"/>
          <w:bCs/>
          <w:color w:val="auto"/>
          <w:szCs w:val="24"/>
          <w:highlight w:val="none"/>
        </w:rPr>
        <w:fldChar w:fldCharType="end"/>
      </w:r>
      <w:r>
        <w:rPr>
          <w:rFonts w:hint="eastAsia" w:ascii="宋体" w:hAnsi="宋体"/>
          <w:bCs/>
          <w:color w:val="auto"/>
          <w:szCs w:val="26"/>
          <w:highlight w:val="none"/>
        </w:rPr>
        <w:fldChar w:fldCharType="end"/>
      </w:r>
    </w:p>
    <w:p w14:paraId="2A6650CC">
      <w:pPr>
        <w:pStyle w:val="45"/>
        <w:tabs>
          <w:tab w:val="right" w:leader="dot" w:pos="9638"/>
          <w:tab w:val="clear" w:pos="9628"/>
        </w:tabs>
        <w:ind w:left="218" w:leftChars="104" w:firstLine="0" w:firstLineChars="0"/>
        <w:rPr>
          <w:rFonts w:hint="eastAsia" w:ascii="宋体" w:hAnsi="宋体"/>
          <w:bCs/>
          <w:color w:val="auto"/>
          <w:szCs w:val="26"/>
          <w:highlight w:val="none"/>
        </w:rPr>
      </w:pPr>
      <w:r>
        <w:rPr>
          <w:rFonts w:hint="eastAsia" w:ascii="宋体" w:hAnsi="宋体"/>
          <w:bCs/>
          <w:color w:val="auto"/>
          <w:szCs w:val="26"/>
          <w:highlight w:val="none"/>
        </w:rPr>
        <w:fldChar w:fldCharType="begin"/>
      </w:r>
      <w:r>
        <w:rPr>
          <w:rFonts w:hint="eastAsia" w:ascii="宋体" w:hAnsi="宋体"/>
          <w:bCs/>
          <w:color w:val="auto"/>
          <w:szCs w:val="26"/>
          <w:highlight w:val="none"/>
        </w:rPr>
        <w:instrText xml:space="preserve"> HYPERLINK \l _Toc8993 </w:instrText>
      </w:r>
      <w:r>
        <w:rPr>
          <w:rFonts w:hint="eastAsia" w:ascii="宋体" w:hAnsi="宋体"/>
          <w:bCs/>
          <w:color w:val="auto"/>
          <w:szCs w:val="26"/>
          <w:highlight w:val="none"/>
        </w:rPr>
        <w:fldChar w:fldCharType="separate"/>
      </w:r>
      <w:r>
        <w:rPr>
          <w:rFonts w:hint="eastAsia" w:ascii="宋体" w:hAnsi="宋体"/>
          <w:bCs/>
          <w:color w:val="auto"/>
          <w:szCs w:val="26"/>
          <w:highlight w:val="none"/>
          <w:lang w:val="en-US" w:eastAsia="zh-CN"/>
        </w:rPr>
        <w:t>七</w:t>
      </w:r>
      <w:r>
        <w:rPr>
          <w:rFonts w:hint="eastAsia" w:ascii="宋体" w:hAnsi="宋体"/>
          <w:bCs/>
          <w:color w:val="auto"/>
          <w:szCs w:val="26"/>
          <w:highlight w:val="none"/>
        </w:rPr>
        <w:t xml:space="preserve">、 </w:t>
      </w:r>
      <w:r>
        <w:rPr>
          <w:rFonts w:hint="eastAsia" w:ascii="宋体" w:hAnsi="宋体"/>
          <w:bCs/>
          <w:color w:val="auto"/>
          <w:szCs w:val="26"/>
          <w:highlight w:val="none"/>
          <w:lang w:val="en-US" w:eastAsia="zh-CN"/>
        </w:rPr>
        <w:t>评</w:t>
      </w:r>
      <w:r>
        <w:rPr>
          <w:rFonts w:hint="eastAsia" w:ascii="宋体" w:hAnsi="宋体"/>
          <w:bCs/>
          <w:color w:val="auto"/>
          <w:szCs w:val="26"/>
          <w:highlight w:val="none"/>
        </w:rPr>
        <w:t>标</w:t>
      </w:r>
      <w:r>
        <w:rPr>
          <w:rFonts w:hint="eastAsia" w:ascii="宋体" w:hAnsi="宋体"/>
          <w:bCs/>
          <w:color w:val="auto"/>
          <w:szCs w:val="26"/>
          <w:highlight w:val="none"/>
        </w:rPr>
        <w:tab/>
      </w:r>
      <w:r>
        <w:rPr>
          <w:rFonts w:hint="eastAsia" w:ascii="Arial" w:hAnsi="Arial"/>
          <w:bCs/>
          <w:color w:val="auto"/>
          <w:szCs w:val="24"/>
          <w:highlight w:val="none"/>
        </w:rPr>
        <w:fldChar w:fldCharType="begin"/>
      </w:r>
      <w:r>
        <w:rPr>
          <w:rFonts w:hint="eastAsia" w:ascii="Arial" w:hAnsi="Arial"/>
          <w:bCs/>
          <w:color w:val="auto"/>
          <w:szCs w:val="24"/>
          <w:highlight w:val="none"/>
        </w:rPr>
        <w:instrText xml:space="preserve"> PAGEREF _Toc8993 \h </w:instrText>
      </w:r>
      <w:r>
        <w:rPr>
          <w:rFonts w:hint="eastAsia" w:ascii="Arial" w:hAnsi="Arial"/>
          <w:bCs/>
          <w:color w:val="auto"/>
          <w:szCs w:val="24"/>
          <w:highlight w:val="none"/>
        </w:rPr>
        <w:fldChar w:fldCharType="separate"/>
      </w:r>
      <w:r>
        <w:rPr>
          <w:rFonts w:hint="eastAsia" w:ascii="Arial" w:hAnsi="Arial"/>
          <w:bCs/>
          <w:color w:val="auto"/>
          <w:szCs w:val="24"/>
          <w:highlight w:val="none"/>
        </w:rPr>
        <w:t>17</w:t>
      </w:r>
      <w:r>
        <w:rPr>
          <w:rFonts w:hint="eastAsia" w:ascii="Arial" w:hAnsi="Arial"/>
          <w:bCs/>
          <w:color w:val="auto"/>
          <w:szCs w:val="24"/>
          <w:highlight w:val="none"/>
        </w:rPr>
        <w:fldChar w:fldCharType="end"/>
      </w:r>
      <w:r>
        <w:rPr>
          <w:rFonts w:hint="eastAsia" w:ascii="宋体" w:hAnsi="宋体"/>
          <w:bCs/>
          <w:color w:val="auto"/>
          <w:szCs w:val="26"/>
          <w:highlight w:val="none"/>
        </w:rPr>
        <w:fldChar w:fldCharType="end"/>
      </w:r>
    </w:p>
    <w:p w14:paraId="623D72BE">
      <w:pPr>
        <w:pStyle w:val="45"/>
        <w:tabs>
          <w:tab w:val="right" w:leader="dot" w:pos="9638"/>
          <w:tab w:val="clear" w:pos="9628"/>
        </w:tabs>
        <w:ind w:left="218" w:leftChars="104" w:firstLine="0" w:firstLineChars="0"/>
        <w:rPr>
          <w:rFonts w:hint="eastAsia" w:ascii="宋体" w:hAnsi="宋体"/>
          <w:bCs/>
          <w:color w:val="auto"/>
          <w:szCs w:val="26"/>
          <w:highlight w:val="none"/>
        </w:rPr>
      </w:pPr>
      <w:r>
        <w:rPr>
          <w:rFonts w:hint="eastAsia" w:ascii="宋体" w:hAnsi="宋体"/>
          <w:bCs/>
          <w:color w:val="auto"/>
          <w:szCs w:val="26"/>
          <w:highlight w:val="none"/>
        </w:rPr>
        <w:fldChar w:fldCharType="begin"/>
      </w:r>
      <w:r>
        <w:rPr>
          <w:rFonts w:hint="eastAsia" w:ascii="宋体" w:hAnsi="宋体"/>
          <w:bCs/>
          <w:color w:val="auto"/>
          <w:szCs w:val="26"/>
          <w:highlight w:val="none"/>
        </w:rPr>
        <w:instrText xml:space="preserve"> HYPERLINK \l _Toc20457 </w:instrText>
      </w:r>
      <w:r>
        <w:rPr>
          <w:rFonts w:hint="eastAsia" w:ascii="宋体" w:hAnsi="宋体"/>
          <w:bCs/>
          <w:color w:val="auto"/>
          <w:szCs w:val="26"/>
          <w:highlight w:val="none"/>
        </w:rPr>
        <w:fldChar w:fldCharType="separate"/>
      </w:r>
      <w:r>
        <w:rPr>
          <w:rFonts w:hint="eastAsia" w:ascii="宋体" w:hAnsi="宋体"/>
          <w:bCs/>
          <w:color w:val="auto"/>
          <w:szCs w:val="26"/>
          <w:highlight w:val="none"/>
          <w:lang w:val="en-US" w:eastAsia="zh-CN"/>
        </w:rPr>
        <w:t>八、 授予合同</w:t>
      </w:r>
      <w:r>
        <w:rPr>
          <w:rFonts w:hint="eastAsia" w:ascii="宋体" w:hAnsi="宋体"/>
          <w:bCs/>
          <w:color w:val="auto"/>
          <w:szCs w:val="26"/>
          <w:highlight w:val="none"/>
        </w:rPr>
        <w:tab/>
      </w:r>
      <w:r>
        <w:rPr>
          <w:rFonts w:hint="eastAsia" w:ascii="Arial" w:hAnsi="Arial"/>
          <w:bCs/>
          <w:color w:val="auto"/>
          <w:szCs w:val="24"/>
          <w:highlight w:val="none"/>
        </w:rPr>
        <w:fldChar w:fldCharType="begin"/>
      </w:r>
      <w:r>
        <w:rPr>
          <w:rFonts w:hint="eastAsia" w:ascii="Arial" w:hAnsi="Arial"/>
          <w:bCs/>
          <w:color w:val="auto"/>
          <w:szCs w:val="24"/>
          <w:highlight w:val="none"/>
        </w:rPr>
        <w:instrText xml:space="preserve"> PAGEREF _Toc20457 \h </w:instrText>
      </w:r>
      <w:r>
        <w:rPr>
          <w:rFonts w:hint="eastAsia" w:ascii="Arial" w:hAnsi="Arial"/>
          <w:bCs/>
          <w:color w:val="auto"/>
          <w:szCs w:val="24"/>
          <w:highlight w:val="none"/>
        </w:rPr>
        <w:fldChar w:fldCharType="separate"/>
      </w:r>
      <w:r>
        <w:rPr>
          <w:rFonts w:hint="eastAsia" w:ascii="Arial" w:hAnsi="Arial"/>
          <w:bCs/>
          <w:color w:val="auto"/>
          <w:szCs w:val="24"/>
          <w:highlight w:val="none"/>
        </w:rPr>
        <w:t>21</w:t>
      </w:r>
      <w:r>
        <w:rPr>
          <w:rFonts w:hint="eastAsia" w:ascii="Arial" w:hAnsi="Arial"/>
          <w:bCs/>
          <w:color w:val="auto"/>
          <w:szCs w:val="24"/>
          <w:highlight w:val="none"/>
        </w:rPr>
        <w:fldChar w:fldCharType="end"/>
      </w:r>
      <w:r>
        <w:rPr>
          <w:rFonts w:hint="eastAsia" w:ascii="宋体" w:hAnsi="宋体"/>
          <w:bCs/>
          <w:color w:val="auto"/>
          <w:szCs w:val="26"/>
          <w:highlight w:val="none"/>
        </w:rPr>
        <w:fldChar w:fldCharType="end"/>
      </w:r>
    </w:p>
    <w:p w14:paraId="6F1875FC">
      <w:pPr>
        <w:pStyle w:val="45"/>
        <w:tabs>
          <w:tab w:val="right" w:leader="dot" w:pos="9638"/>
          <w:tab w:val="clear" w:pos="9628"/>
        </w:tabs>
        <w:ind w:left="218" w:leftChars="104" w:firstLine="0" w:firstLineChars="0"/>
        <w:rPr>
          <w:rFonts w:hint="eastAsia" w:ascii="宋体" w:hAnsi="宋体"/>
          <w:bCs/>
          <w:color w:val="auto"/>
          <w:szCs w:val="26"/>
          <w:highlight w:val="none"/>
        </w:rPr>
      </w:pPr>
      <w:r>
        <w:rPr>
          <w:rFonts w:hint="eastAsia" w:ascii="宋体" w:hAnsi="宋体"/>
          <w:bCs/>
          <w:color w:val="auto"/>
          <w:szCs w:val="26"/>
          <w:highlight w:val="none"/>
        </w:rPr>
        <w:fldChar w:fldCharType="begin"/>
      </w:r>
      <w:r>
        <w:rPr>
          <w:rFonts w:hint="eastAsia" w:ascii="宋体" w:hAnsi="宋体"/>
          <w:bCs/>
          <w:color w:val="auto"/>
          <w:szCs w:val="26"/>
          <w:highlight w:val="none"/>
        </w:rPr>
        <w:instrText xml:space="preserve"> HYPERLINK \l _Toc18423 </w:instrText>
      </w:r>
      <w:r>
        <w:rPr>
          <w:rFonts w:hint="eastAsia" w:ascii="宋体" w:hAnsi="宋体"/>
          <w:bCs/>
          <w:color w:val="auto"/>
          <w:szCs w:val="26"/>
          <w:highlight w:val="none"/>
        </w:rPr>
        <w:fldChar w:fldCharType="separate"/>
      </w:r>
      <w:r>
        <w:rPr>
          <w:rFonts w:hint="eastAsia" w:ascii="宋体" w:hAnsi="宋体"/>
          <w:bCs/>
          <w:color w:val="auto"/>
          <w:szCs w:val="26"/>
          <w:highlight w:val="none"/>
          <w:lang w:val="en-US" w:eastAsia="zh-CN"/>
        </w:rPr>
        <w:t>九、 验收</w:t>
      </w:r>
      <w:r>
        <w:rPr>
          <w:rFonts w:hint="eastAsia" w:ascii="宋体" w:hAnsi="宋体"/>
          <w:bCs/>
          <w:color w:val="auto"/>
          <w:szCs w:val="26"/>
          <w:highlight w:val="none"/>
        </w:rPr>
        <w:tab/>
      </w:r>
      <w:r>
        <w:rPr>
          <w:rFonts w:hint="default" w:ascii="Arial" w:hAnsi="Arial"/>
          <w:bCs/>
          <w:color w:val="auto"/>
          <w:szCs w:val="24"/>
          <w:highlight w:val="none"/>
        </w:rPr>
        <w:fldChar w:fldCharType="begin"/>
      </w:r>
      <w:r>
        <w:rPr>
          <w:rFonts w:hint="default" w:ascii="Arial" w:hAnsi="Arial"/>
          <w:bCs/>
          <w:color w:val="auto"/>
          <w:szCs w:val="24"/>
          <w:highlight w:val="none"/>
        </w:rPr>
        <w:instrText xml:space="preserve"> PAGEREF _Toc18423 \h </w:instrText>
      </w:r>
      <w:r>
        <w:rPr>
          <w:rFonts w:hint="default" w:ascii="Arial" w:hAnsi="Arial"/>
          <w:bCs/>
          <w:color w:val="auto"/>
          <w:szCs w:val="24"/>
          <w:highlight w:val="none"/>
        </w:rPr>
        <w:fldChar w:fldCharType="separate"/>
      </w:r>
      <w:r>
        <w:rPr>
          <w:rFonts w:hint="default" w:ascii="Arial" w:hAnsi="Arial"/>
          <w:bCs/>
          <w:color w:val="auto"/>
          <w:szCs w:val="24"/>
          <w:highlight w:val="none"/>
        </w:rPr>
        <w:t>22</w:t>
      </w:r>
      <w:r>
        <w:rPr>
          <w:rFonts w:hint="default" w:ascii="Arial" w:hAnsi="Arial"/>
          <w:bCs/>
          <w:color w:val="auto"/>
          <w:szCs w:val="24"/>
          <w:highlight w:val="none"/>
        </w:rPr>
        <w:fldChar w:fldCharType="end"/>
      </w:r>
      <w:r>
        <w:rPr>
          <w:rFonts w:hint="eastAsia" w:ascii="宋体" w:hAnsi="宋体"/>
          <w:bCs/>
          <w:color w:val="auto"/>
          <w:szCs w:val="26"/>
          <w:highlight w:val="none"/>
        </w:rPr>
        <w:fldChar w:fldCharType="end"/>
      </w:r>
    </w:p>
    <w:p w14:paraId="5B21EFD2">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_Toc31884 </w:instrText>
      </w:r>
      <w:r>
        <w:rPr>
          <w:rFonts w:hint="eastAsia" w:ascii="宋体" w:hAnsi="宋体"/>
          <w:bCs/>
          <w:color w:val="auto"/>
          <w:highlight w:val="none"/>
        </w:rPr>
        <w:fldChar w:fldCharType="separate"/>
      </w:r>
      <w:r>
        <w:rPr>
          <w:rFonts w:hint="eastAsia" w:ascii="宋体" w:hAnsi="宋体" w:eastAsia="宋体" w:cs="宋体"/>
          <w:color w:val="auto"/>
          <w:szCs w:val="36"/>
          <w:highlight w:val="none"/>
          <w:lang w:val="en-US" w:eastAsia="zh-CN"/>
        </w:rPr>
        <w:t>第二部分   招标内容及要求</w:t>
      </w:r>
      <w:r>
        <w:rPr>
          <w:color w:val="auto"/>
          <w:highlight w:val="none"/>
        </w:rPr>
        <w:tab/>
      </w:r>
      <w:r>
        <w:rPr>
          <w:color w:val="auto"/>
          <w:highlight w:val="none"/>
        </w:rPr>
        <w:fldChar w:fldCharType="begin"/>
      </w:r>
      <w:r>
        <w:rPr>
          <w:color w:val="auto"/>
          <w:highlight w:val="none"/>
        </w:rPr>
        <w:instrText xml:space="preserve"> PAGEREF _Toc31884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bCs/>
          <w:color w:val="auto"/>
          <w:highlight w:val="none"/>
        </w:rPr>
        <w:fldChar w:fldCharType="end"/>
      </w:r>
    </w:p>
    <w:p w14:paraId="4FED3579">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_Toc190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 xml:space="preserve">第三部分   </w:t>
      </w:r>
      <w:r>
        <w:rPr>
          <w:rFonts w:hint="eastAsia" w:ascii="宋体" w:hAnsi="宋体" w:eastAsia="宋体" w:cs="Arial"/>
          <w:color w:val="auto"/>
          <w:szCs w:val="36"/>
          <w:highlight w:val="none"/>
          <w:lang w:val="en-US" w:eastAsia="zh-CN"/>
        </w:rPr>
        <w:t>评标原则及方法</w:t>
      </w:r>
      <w:r>
        <w:rPr>
          <w:color w:val="auto"/>
          <w:highlight w:val="none"/>
        </w:rPr>
        <w:tab/>
      </w:r>
      <w:r>
        <w:rPr>
          <w:color w:val="auto"/>
          <w:highlight w:val="none"/>
        </w:rPr>
        <w:fldChar w:fldCharType="begin"/>
      </w:r>
      <w:r>
        <w:rPr>
          <w:color w:val="auto"/>
          <w:highlight w:val="none"/>
        </w:rPr>
        <w:instrText xml:space="preserve"> PAGEREF _Toc190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bCs/>
          <w:color w:val="auto"/>
          <w:highlight w:val="none"/>
        </w:rPr>
        <w:fldChar w:fldCharType="end"/>
      </w:r>
    </w:p>
    <w:p w14:paraId="7252F02E">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_Toc26057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_Toc26057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bCs/>
          <w:color w:val="auto"/>
          <w:highlight w:val="none"/>
        </w:rPr>
        <w:fldChar w:fldCharType="end"/>
      </w:r>
    </w:p>
    <w:p w14:paraId="3864341E">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_Toc7026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 xml:space="preserve">第五部分   </w:t>
      </w:r>
      <w:r>
        <w:rPr>
          <w:rFonts w:hint="eastAsia" w:ascii="宋体" w:hAnsi="宋体" w:eastAsia="宋体" w:cs="Arial"/>
          <w:color w:val="auto"/>
          <w:szCs w:val="36"/>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_Toc7026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bCs/>
          <w:color w:val="auto"/>
          <w:highlight w:val="none"/>
        </w:rPr>
        <w:fldChar w:fldCharType="end"/>
      </w:r>
    </w:p>
    <w:p w14:paraId="33B34EC3">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7ED376BF">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7AC6E66D">
      <w:pPr>
        <w:widowControl/>
        <w:jc w:val="left"/>
        <w:rPr>
          <w:rFonts w:ascii="宋体" w:hAnsi="宋体"/>
          <w:b/>
          <w:bCs/>
          <w:color w:val="auto"/>
          <w:highlight w:val="none"/>
        </w:rPr>
      </w:pPr>
      <w:r>
        <w:rPr>
          <w:rFonts w:ascii="宋体" w:hAnsi="宋体"/>
          <w:color w:val="auto"/>
          <w:highlight w:val="none"/>
        </w:rPr>
        <w:br w:type="page"/>
      </w:r>
    </w:p>
    <w:p w14:paraId="684AEC1F">
      <w:pPr>
        <w:pStyle w:val="3"/>
        <w:spacing w:after="157" w:afterLines="50" w:line="400" w:lineRule="exact"/>
        <w:rPr>
          <w:rFonts w:ascii="宋体" w:hAnsi="宋体" w:eastAsia="宋体" w:cs="Arial"/>
          <w:b w:val="0"/>
          <w:bCs w:val="0"/>
          <w:color w:val="auto"/>
          <w:kern w:val="0"/>
          <w:sz w:val="30"/>
          <w:szCs w:val="30"/>
          <w:highlight w:val="none"/>
        </w:rPr>
      </w:pPr>
      <w:bookmarkStart w:id="0" w:name="_Toc492496682"/>
      <w:bookmarkStart w:id="1" w:name="_Toc398293639"/>
      <w:bookmarkStart w:id="2" w:name="_Toc2776"/>
      <w:bookmarkStart w:id="3" w:name="_Toc221356945"/>
      <w:bookmarkStart w:id="4" w:name="_Toc221374621"/>
      <w:bookmarkStart w:id="5" w:name="_Toc246261260"/>
      <w:bookmarkStart w:id="6" w:name="_Toc221356946"/>
      <w:bookmarkStart w:id="7" w:name="_Toc221356881"/>
      <w:bookmarkStart w:id="8" w:name="_Toc222114873"/>
      <w:bookmarkStart w:id="9" w:name="_Toc239145349"/>
      <w:bookmarkStart w:id="10" w:name="_Toc221374620"/>
      <w:bookmarkStart w:id="11" w:name="_Toc221423614"/>
      <w:bookmarkStart w:id="12" w:name="_Toc262049413"/>
      <w:bookmarkStart w:id="13" w:name="_Toc221423613"/>
      <w:bookmarkStart w:id="14" w:name="_Toc223715992"/>
      <w:bookmarkStart w:id="15" w:name="_Toc245191309"/>
      <w:bookmarkStart w:id="16" w:name="_Toc221356880"/>
      <w:bookmarkStart w:id="17" w:name="_Toc245722276"/>
      <w:bookmarkStart w:id="18" w:name="_Toc249758859"/>
      <w:bookmarkStart w:id="19" w:name="_Toc223715993"/>
      <w:bookmarkStart w:id="20" w:name="_Toc222114874"/>
      <w:bookmarkStart w:id="21" w:name="_Toc241404197"/>
      <w:bookmarkStart w:id="22" w:name="_Toc262105498"/>
      <w:bookmarkStart w:id="23" w:name="_Toc337660883"/>
      <w:bookmarkStart w:id="24" w:name="_Toc348800908"/>
      <w:bookmarkStart w:id="25" w:name="_Toc249758707"/>
      <w:r>
        <w:rPr>
          <w:rFonts w:hint="eastAsia" w:ascii="宋体" w:hAnsi="宋体" w:eastAsia="宋体" w:cs="Arial"/>
          <w:color w:val="auto"/>
          <w:sz w:val="30"/>
          <w:szCs w:val="30"/>
          <w:highlight w:val="none"/>
          <w:lang w:eastAsia="zh-CN"/>
        </w:rPr>
        <w:t>浙江建航工程咨询有限公司</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2025年鹿城区城市道路巡查与维养项目（第二次）</w:t>
      </w:r>
      <w:r>
        <w:rPr>
          <w:rFonts w:hint="eastAsia" w:ascii="宋体" w:hAnsi="宋体" w:eastAsia="宋体" w:cs="Arial"/>
          <w:color w:val="auto"/>
          <w:sz w:val="30"/>
          <w:szCs w:val="30"/>
          <w:highlight w:val="none"/>
        </w:rPr>
        <w:t>的公开招标公告</w:t>
      </w:r>
      <w:bookmarkEnd w:id="0"/>
      <w:bookmarkEnd w:id="1"/>
      <w:bookmarkEnd w:id="2"/>
    </w:p>
    <w:p w14:paraId="66A193BD">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14:paraId="38EFE25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u w:val="single"/>
          <w:lang w:eastAsia="zh-CN"/>
        </w:rPr>
        <w:t>2025年鹿城区城市道路巡查与维养项目（第二次）</w:t>
      </w:r>
      <w:r>
        <w:rPr>
          <w:rFonts w:hint="eastAsia" w:ascii="宋体" w:hAnsi="宋体"/>
          <w:color w:val="auto"/>
          <w:sz w:val="22"/>
          <w:szCs w:val="22"/>
          <w:highlight w:val="none"/>
          <w:u w:val="single"/>
        </w:rPr>
        <w:t>的潜在投标人应在政采云平台（www.zcygov.cn）获取（下载）采购文件，并于</w:t>
      </w:r>
      <w:r>
        <w:rPr>
          <w:rFonts w:hint="eastAsia" w:ascii="宋体" w:hAnsi="宋体"/>
          <w:color w:val="auto"/>
          <w:sz w:val="22"/>
          <w:szCs w:val="22"/>
          <w:highlight w:val="none"/>
          <w:u w:val="single"/>
          <w:lang w:eastAsia="zh-CN"/>
        </w:rPr>
        <w:t>202</w:t>
      </w:r>
      <w:r>
        <w:rPr>
          <w:rFonts w:hint="eastAsia" w:ascii="宋体" w:hAnsi="宋体"/>
          <w:color w:val="auto"/>
          <w:sz w:val="22"/>
          <w:szCs w:val="22"/>
          <w:highlight w:val="none"/>
          <w:u w:val="single"/>
          <w:lang w:val="en-US" w:eastAsia="zh-CN"/>
        </w:rPr>
        <w:t>5</w:t>
      </w:r>
      <w:r>
        <w:rPr>
          <w:rFonts w:hint="eastAsia" w:ascii="宋体" w:hAnsi="宋体"/>
          <w:color w:val="auto"/>
          <w:sz w:val="22"/>
          <w:szCs w:val="22"/>
          <w:highlight w:val="none"/>
          <w:u w:val="single"/>
          <w:lang w:eastAsia="zh-CN"/>
        </w:rPr>
        <w:t>年</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u w:val="single"/>
          <w:lang w:eastAsia="zh-CN"/>
        </w:rPr>
        <w:t>月</w:t>
      </w:r>
      <w:r>
        <w:rPr>
          <w:rFonts w:hint="eastAsia" w:ascii="宋体" w:hAnsi="宋体"/>
          <w:color w:val="auto"/>
          <w:sz w:val="22"/>
          <w:szCs w:val="22"/>
          <w:highlight w:val="none"/>
          <w:u w:val="single"/>
          <w:lang w:val="en-US" w:eastAsia="zh-CN"/>
        </w:rPr>
        <w:t>30</w:t>
      </w:r>
      <w:r>
        <w:rPr>
          <w:rFonts w:hint="eastAsia" w:ascii="宋体" w:hAnsi="宋体"/>
          <w:color w:val="auto"/>
          <w:sz w:val="22"/>
          <w:szCs w:val="22"/>
          <w:highlight w:val="none"/>
          <w:u w:val="single"/>
          <w:lang w:eastAsia="zh-CN"/>
        </w:rPr>
        <w:t>日</w:t>
      </w:r>
      <w:r>
        <w:rPr>
          <w:rFonts w:hint="eastAsia" w:ascii="宋体" w:hAnsi="宋体"/>
          <w:color w:val="auto"/>
          <w:sz w:val="22"/>
          <w:szCs w:val="22"/>
          <w:highlight w:val="none"/>
          <w:u w:val="single"/>
          <w:lang w:val="en-US" w:eastAsia="zh-CN"/>
        </w:rPr>
        <w:t>09:30</w:t>
      </w:r>
      <w:r>
        <w:rPr>
          <w:rFonts w:hint="eastAsia" w:ascii="宋体" w:hAnsi="宋体"/>
          <w:color w:val="auto"/>
          <w:sz w:val="22"/>
          <w:szCs w:val="22"/>
          <w:highlight w:val="none"/>
          <w:u w:val="single"/>
        </w:rPr>
        <w:t>（北京时间）前提交（上传）</w:t>
      </w:r>
      <w:r>
        <w:rPr>
          <w:rFonts w:hint="eastAsia" w:ascii="宋体" w:hAnsi="宋体"/>
          <w:color w:val="auto"/>
          <w:sz w:val="22"/>
          <w:szCs w:val="22"/>
          <w:highlight w:val="none"/>
          <w:u w:val="single"/>
          <w:lang w:eastAsia="zh-CN"/>
        </w:rPr>
        <w:t>投标文件</w:t>
      </w:r>
      <w:r>
        <w:rPr>
          <w:rFonts w:hint="eastAsia" w:ascii="宋体" w:hAnsi="宋体"/>
          <w:color w:val="auto"/>
          <w:sz w:val="22"/>
          <w:szCs w:val="22"/>
          <w:highlight w:val="none"/>
          <w:u w:val="single"/>
        </w:rPr>
        <w:t>。</w:t>
      </w:r>
    </w:p>
    <w:p w14:paraId="4450E2AF">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5ABF781E">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ZJJHCG20250425001-2</w:t>
      </w:r>
      <w:r>
        <w:rPr>
          <w:rFonts w:hint="eastAsia" w:ascii="宋体" w:hAnsi="宋体" w:cs="宋体"/>
          <w:bCs/>
          <w:color w:val="auto"/>
          <w:kern w:val="0"/>
          <w:sz w:val="22"/>
          <w:szCs w:val="22"/>
          <w:highlight w:val="none"/>
        </w:rPr>
        <w:t xml:space="preserve"> </w:t>
      </w:r>
    </w:p>
    <w:p w14:paraId="2720EF30">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2025年鹿城区城市道路巡查与维养项目（第二次）</w:t>
      </w:r>
      <w:r>
        <w:rPr>
          <w:rFonts w:hint="eastAsia" w:ascii="宋体" w:hAnsi="宋体" w:cs="宋体"/>
          <w:bCs/>
          <w:color w:val="auto"/>
          <w:kern w:val="0"/>
          <w:sz w:val="22"/>
          <w:szCs w:val="22"/>
          <w:highlight w:val="none"/>
        </w:rPr>
        <w:t xml:space="preserve"> </w:t>
      </w:r>
    </w:p>
    <w:p w14:paraId="2A4C9731">
      <w:pPr>
        <w:widowControl/>
        <w:spacing w:before="60" w:after="60" w:line="360" w:lineRule="exact"/>
        <w:ind w:right="60" w:firstLine="418" w:firstLineChars="19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预算金额（元）：5000000</w:t>
      </w:r>
    </w:p>
    <w:p w14:paraId="65353E4C">
      <w:pPr>
        <w:widowControl/>
        <w:spacing w:before="60" w:after="60" w:line="360" w:lineRule="exact"/>
        <w:ind w:right="60" w:firstLine="418" w:firstLineChars="19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最高限价(元)：5000000</w:t>
      </w:r>
    </w:p>
    <w:p w14:paraId="753B08D1">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采购需求： </w:t>
      </w:r>
    </w:p>
    <w:p w14:paraId="72DF315E">
      <w:pPr>
        <w:widowControl/>
        <w:spacing w:before="75" w:after="75" w:line="360" w:lineRule="atLeast"/>
        <w:ind w:left="638" w:leftChars="304" w:firstLine="0" w:firstLineChars="0"/>
        <w:jc w:val="left"/>
        <w:rPr>
          <w:rFonts w:hint="eastAsia" w:ascii="宋体" w:hAnsi="宋体" w:cs="宋体"/>
          <w:color w:val="auto"/>
          <w:kern w:val="0"/>
          <w:sz w:val="22"/>
          <w:szCs w:val="22"/>
          <w:highlight w:val="none"/>
        </w:rPr>
      </w:pPr>
    </w:p>
    <w:p w14:paraId="359E81B2">
      <w:pPr>
        <w:widowControl/>
        <w:spacing w:before="75" w:after="75" w:line="360" w:lineRule="atLeast"/>
        <w:ind w:left="638" w:leftChars="304"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标项</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w:t>
      </w:r>
    </w:p>
    <w:p w14:paraId="413FFCD9">
      <w:pPr>
        <w:widowControl/>
        <w:spacing w:before="75" w:after="75" w:line="360" w:lineRule="atLeast"/>
        <w:ind w:left="638" w:leftChars="304" w:firstLine="0" w:firstLineChars="0"/>
        <w:jc w:val="left"/>
        <w:rPr>
          <w:rFonts w:hint="eastAsia" w:ascii="宋体" w:hAnsi="宋体" w:eastAsia="宋体" w:cs="宋体"/>
          <w:bCs/>
          <w:color w:val="auto"/>
          <w:kern w:val="0"/>
          <w:sz w:val="22"/>
          <w:szCs w:val="22"/>
          <w:highlight w:val="none"/>
          <w:lang w:val="en-US" w:eastAsia="zh-CN"/>
        </w:rPr>
      </w:pPr>
      <w:r>
        <w:rPr>
          <w:rFonts w:hint="eastAsia" w:ascii="宋体" w:hAnsi="宋体" w:cs="宋体"/>
          <w:color w:val="auto"/>
          <w:kern w:val="0"/>
          <w:sz w:val="22"/>
          <w:szCs w:val="22"/>
          <w:highlight w:val="none"/>
          <w:lang w:eastAsia="zh-CN"/>
        </w:rPr>
        <w:t>标项名称</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西片（</w:t>
      </w:r>
      <w:r>
        <w:rPr>
          <w:rFonts w:hint="eastAsia" w:ascii="宋体" w:hAnsi="宋体" w:cs="宋体"/>
          <w:color w:val="auto"/>
          <w:kern w:val="0"/>
          <w:sz w:val="22"/>
          <w:szCs w:val="22"/>
          <w:highlight w:val="none"/>
        </w:rPr>
        <w:t>仰义、丰门、双屿、广化、南郊、松台街道辖区（信河街归属该</w:t>
      </w:r>
      <w:r>
        <w:rPr>
          <w:rFonts w:hint="eastAsia" w:ascii="宋体" w:hAnsi="宋体" w:cs="宋体"/>
          <w:color w:val="auto"/>
          <w:kern w:val="0"/>
          <w:sz w:val="22"/>
          <w:szCs w:val="22"/>
          <w:highlight w:val="none"/>
          <w:lang w:eastAsia="zh-CN"/>
        </w:rPr>
        <w:t>标项</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w:t>
      </w:r>
    </w:p>
    <w:p w14:paraId="675C1B74">
      <w:pPr>
        <w:widowControl/>
        <w:spacing w:before="75" w:after="75" w:line="360" w:lineRule="atLeast"/>
        <w:ind w:left="638" w:leftChars="304"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数量:</w:t>
      </w:r>
      <w:r>
        <w:rPr>
          <w:rFonts w:hint="eastAsia" w:ascii="宋体" w:hAnsi="宋体" w:cs="宋体"/>
          <w:color w:val="auto"/>
          <w:kern w:val="0"/>
          <w:sz w:val="22"/>
          <w:szCs w:val="22"/>
          <w:highlight w:val="none"/>
          <w:lang w:val="en-US" w:eastAsia="zh-CN"/>
        </w:rPr>
        <w:t>不限</w:t>
      </w:r>
    </w:p>
    <w:p w14:paraId="3EA5C959">
      <w:pPr>
        <w:widowControl/>
        <w:spacing w:before="75" w:after="75" w:line="360" w:lineRule="atLeast"/>
        <w:ind w:left="638" w:leftChars="304"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预算金额（元</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00</w:t>
      </w:r>
      <w:r>
        <w:rPr>
          <w:rFonts w:hint="eastAsia" w:ascii="宋体" w:hAnsi="宋体" w:cs="宋体"/>
          <w:color w:val="auto"/>
          <w:kern w:val="0"/>
          <w:sz w:val="22"/>
          <w:szCs w:val="22"/>
          <w:highlight w:val="none"/>
          <w:lang w:val="en-US" w:eastAsia="zh-CN"/>
        </w:rPr>
        <w:t>0000</w:t>
      </w:r>
      <w:r>
        <w:rPr>
          <w:rFonts w:hint="eastAsia" w:ascii="宋体" w:hAnsi="宋体" w:cs="宋体"/>
          <w:color w:val="auto"/>
          <w:kern w:val="0"/>
          <w:sz w:val="22"/>
          <w:szCs w:val="22"/>
          <w:highlight w:val="none"/>
        </w:rPr>
        <w:t>元/年</w:t>
      </w:r>
      <w:r>
        <w:rPr>
          <w:rFonts w:hint="eastAsia" w:ascii="宋体" w:hAnsi="宋体" w:cs="宋体"/>
          <w:color w:val="auto"/>
          <w:kern w:val="0"/>
          <w:sz w:val="22"/>
          <w:szCs w:val="22"/>
          <w:highlight w:val="none"/>
          <w:lang w:eastAsia="zh-CN"/>
        </w:rPr>
        <w:t>，</w:t>
      </w:r>
    </w:p>
    <w:p w14:paraId="3161A2B6">
      <w:pPr>
        <w:widowControl/>
        <w:spacing w:before="75" w:after="75" w:line="360" w:lineRule="atLeast"/>
        <w:ind w:left="638" w:leftChars="304" w:firstLine="0" w:firstLineChars="0"/>
        <w:jc w:val="left"/>
        <w:rPr>
          <w:rFonts w:hint="eastAsia" w:ascii="宋体" w:hAnsi="宋体" w:cs="宋体"/>
          <w:bCs/>
          <w:color w:val="auto"/>
          <w:kern w:val="0"/>
          <w:sz w:val="22"/>
          <w:szCs w:val="22"/>
          <w:highlight w:val="none"/>
          <w:lang w:val="en-US" w:eastAsia="zh-CN"/>
        </w:rPr>
      </w:pP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kern w:val="0"/>
          <w:sz w:val="22"/>
          <w:szCs w:val="22"/>
          <w:highlight w:val="none"/>
          <w:lang w:eastAsia="zh-CN"/>
        </w:rPr>
        <w:t>2025年鹿城区城市道路巡查与维养项目</w:t>
      </w:r>
      <w:r>
        <w:rPr>
          <w:rFonts w:hint="eastAsia" w:ascii="宋体" w:hAnsi="宋体" w:cs="宋体"/>
          <w:bCs/>
          <w:color w:val="auto"/>
          <w:kern w:val="0"/>
          <w:sz w:val="22"/>
          <w:szCs w:val="22"/>
          <w:highlight w:val="none"/>
        </w:rPr>
        <w:t>，具体采购内容及要求详见招标文件相关部</w:t>
      </w:r>
      <w:r>
        <w:rPr>
          <w:rFonts w:hint="eastAsia" w:ascii="宋体" w:hAnsi="宋体" w:cs="宋体"/>
          <w:bCs/>
          <w:color w:val="auto"/>
          <w:kern w:val="0"/>
          <w:sz w:val="22"/>
          <w:szCs w:val="22"/>
          <w:highlight w:val="none"/>
          <w:lang w:val="en-US" w:eastAsia="zh-CN"/>
        </w:rPr>
        <w:t>分；</w:t>
      </w:r>
    </w:p>
    <w:p w14:paraId="15DC720F">
      <w:pPr>
        <w:widowControl/>
        <w:spacing w:before="75" w:after="75" w:line="360" w:lineRule="atLeast"/>
        <w:ind w:left="638" w:leftChars="304" w:firstLine="0"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p w14:paraId="69B6441D">
      <w:pPr>
        <w:pStyle w:val="27"/>
        <w:rPr>
          <w:rFonts w:hint="eastAsia"/>
          <w:color w:val="auto"/>
          <w:highlight w:val="none"/>
        </w:rPr>
      </w:pPr>
    </w:p>
    <w:p w14:paraId="7D6F7DB4">
      <w:pPr>
        <w:widowControl/>
        <w:spacing w:before="60" w:after="60" w:line="360" w:lineRule="exact"/>
        <w:ind w:left="638" w:leftChars="304" w:right="60" w:firstLine="0" w:firstLineChars="0"/>
        <w:jc w:val="left"/>
        <w:rPr>
          <w:rFonts w:hint="default" w:ascii="宋体" w:hAnsi="宋体" w:cs="宋体"/>
          <w:bCs/>
          <w:color w:val="auto"/>
          <w:kern w:val="0"/>
          <w:sz w:val="22"/>
          <w:szCs w:val="22"/>
          <w:highlight w:val="none"/>
          <w:lang w:val="en-US"/>
        </w:rPr>
      </w:pPr>
      <w:r>
        <w:rPr>
          <w:rFonts w:hint="eastAsia" w:ascii="宋体" w:hAnsi="宋体" w:cs="宋体"/>
          <w:bCs/>
          <w:color w:val="auto"/>
          <w:kern w:val="0"/>
          <w:sz w:val="22"/>
          <w:szCs w:val="22"/>
          <w:highlight w:val="none"/>
        </w:rPr>
        <w:t>合同履约期限：</w:t>
      </w:r>
      <w:r>
        <w:rPr>
          <w:rFonts w:hint="eastAsia" w:ascii="宋体" w:hAnsi="宋体" w:cs="宋体"/>
          <w:bCs/>
          <w:color w:val="auto"/>
          <w:kern w:val="0"/>
          <w:sz w:val="22"/>
          <w:szCs w:val="22"/>
          <w:highlight w:val="none"/>
          <w:lang w:val="en-US" w:eastAsia="zh-CN"/>
        </w:rPr>
        <w:t>1年，服务期限从合同签订生效之日起开始计算。</w:t>
      </w:r>
    </w:p>
    <w:p w14:paraId="644E7A96">
      <w:pPr>
        <w:widowControl/>
        <w:spacing w:before="60" w:after="60" w:line="360" w:lineRule="exact"/>
        <w:ind w:right="60" w:firstLine="660" w:firstLineChars="3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w:t>
      </w:r>
      <w:r>
        <w:rPr>
          <w:rFonts w:hint="eastAsia" w:ascii="宋体" w:hAnsi="宋体" w:cs="宋体"/>
          <w:bCs/>
          <w:color w:val="auto"/>
          <w:kern w:val="0"/>
          <w:sz w:val="22"/>
          <w:szCs w:val="22"/>
          <w:highlight w:val="none"/>
          <w:lang w:val="en-US" w:eastAsia="zh-CN"/>
        </w:rPr>
        <w:t>否</w:t>
      </w:r>
      <w:r>
        <w:rPr>
          <w:rFonts w:hint="eastAsia" w:ascii="宋体" w:hAnsi="宋体" w:cs="宋体"/>
          <w:bCs/>
          <w:color w:val="auto"/>
          <w:kern w:val="0"/>
          <w:sz w:val="22"/>
          <w:szCs w:val="22"/>
          <w:highlight w:val="none"/>
        </w:rPr>
        <w:t>）接受联合体投标。</w:t>
      </w:r>
    </w:p>
    <w:p w14:paraId="584753D9">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6A5A5714">
      <w:pPr>
        <w:widowControl/>
        <w:spacing w:before="60" w:after="60" w:line="36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7D4F8DD">
      <w:pPr>
        <w:widowControl/>
        <w:spacing w:before="60" w:after="60" w:line="360" w:lineRule="exact"/>
        <w:ind w:left="708" w:leftChars="285" w:right="60" w:hanging="110" w:hangingChars="50"/>
        <w:jc w:val="left"/>
        <w:rPr>
          <w:rFonts w:ascii="宋体" w:hAnsi="宋体" w:cs="新宋体"/>
          <w:bCs/>
          <w:color w:val="auto"/>
          <w:sz w:val="22"/>
          <w:highlight w:val="none"/>
        </w:rPr>
      </w:pPr>
      <w:r>
        <w:rPr>
          <w:rFonts w:hint="eastAsia" w:ascii="宋体" w:hAnsi="宋体" w:cs="hakuyoxingshu7000"/>
          <w:bCs/>
          <w:color w:val="auto"/>
          <w:kern w:val="0"/>
          <w:sz w:val="22"/>
          <w:szCs w:val="22"/>
          <w:highlight w:val="none"/>
        </w:rPr>
        <w:t>2.落实政府采购政策需满足的资格要求：本项目整体专门面向中小企业采购（残疾人福利性单位和监狱企业视同小微企业）</w:t>
      </w:r>
      <w:r>
        <w:rPr>
          <w:rFonts w:hint="eastAsia" w:ascii="宋体" w:hAnsi="宋体" w:eastAsia="宋体" w:cs="宋体"/>
          <w:bCs/>
          <w:color w:val="auto"/>
          <w:kern w:val="0"/>
          <w:sz w:val="22"/>
          <w:szCs w:val="22"/>
          <w:highlight w:val="none"/>
        </w:rPr>
        <w:t>；</w:t>
      </w:r>
    </w:p>
    <w:p w14:paraId="75C02770">
      <w:pPr>
        <w:widowControl/>
        <w:spacing w:before="60" w:after="60" w:line="360" w:lineRule="exact"/>
        <w:ind w:left="708" w:leftChars="285" w:right="60" w:hanging="110" w:hangingChars="5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3.本项目的特定资格要求：</w:t>
      </w:r>
    </w:p>
    <w:p w14:paraId="58FB3C43">
      <w:pPr>
        <w:spacing w:line="460" w:lineRule="exact"/>
        <w:ind w:firstLine="440" w:firstLineChars="200"/>
        <w:rPr>
          <w:rFonts w:hint="eastAsia" w:ascii="宋体" w:hAnsi="宋体" w:eastAsia="宋体" w:cs="Times New Roman"/>
          <w:color w:val="auto"/>
          <w:sz w:val="22"/>
          <w:szCs w:val="22"/>
          <w:highlight w:val="none"/>
          <w:lang w:val="zh-CN" w:eastAsia="zh-CN"/>
        </w:rPr>
      </w:pPr>
      <w:r>
        <w:rPr>
          <w:rFonts w:hint="eastAsia" w:ascii="宋体" w:hAnsi="宋体"/>
          <w:color w:val="auto"/>
          <w:sz w:val="22"/>
          <w:szCs w:val="22"/>
          <w:highlight w:val="none"/>
          <w:lang w:val="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val="zh-CN"/>
        </w:rPr>
        <w:t>）具备市政公用工程施工总承包三级及以上资质（对应资质应在“浙江省建筑市场监管公共服务系统”上资质动态核查结果处于“合格”状态），且具备安全生产许可证</w:t>
      </w:r>
      <w:r>
        <w:rPr>
          <w:rFonts w:hint="eastAsia" w:ascii="宋体" w:hAnsi="宋体" w:eastAsia="宋体" w:cs="Times New Roman"/>
          <w:color w:val="auto"/>
          <w:sz w:val="22"/>
          <w:szCs w:val="22"/>
          <w:highlight w:val="none"/>
          <w:lang w:val="zh-CN" w:eastAsia="zh-CN"/>
        </w:rPr>
        <w:t>。</w:t>
      </w:r>
    </w:p>
    <w:p w14:paraId="1C1BF81A">
      <w:pPr>
        <w:spacing w:line="460" w:lineRule="exact"/>
        <w:ind w:firstLine="440" w:firstLineChars="200"/>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eastAsia="zh-CN"/>
        </w:rPr>
        <w:t>（</w:t>
      </w:r>
      <w:r>
        <w:rPr>
          <w:rFonts w:hint="eastAsia" w:ascii="宋体" w:hAnsi="宋体" w:eastAsia="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zh-CN" w:eastAsia="zh-CN"/>
        </w:rPr>
        <w:t>）项目负责人具备市政公用工程贰级及以上注册建造师，具备有效的安全生产考核合格证书（B证）。</w:t>
      </w:r>
    </w:p>
    <w:p w14:paraId="0EB3B952">
      <w:pPr>
        <w:spacing w:line="460" w:lineRule="exact"/>
        <w:ind w:firstLine="440" w:firstLineChars="200"/>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eastAsia="zh-CN"/>
        </w:rPr>
        <w:t>（</w:t>
      </w:r>
      <w:r>
        <w:rPr>
          <w:rFonts w:hint="eastAsia" w:ascii="宋体" w:hAnsi="宋体" w:eastAsia="宋体" w:cs="Times New Roman"/>
          <w:color w:val="auto"/>
          <w:sz w:val="22"/>
          <w:szCs w:val="22"/>
          <w:highlight w:val="none"/>
          <w:lang w:val="en-US" w:eastAsia="zh-CN"/>
        </w:rPr>
        <w:t>3</w:t>
      </w:r>
      <w:r>
        <w:rPr>
          <w:rFonts w:hint="eastAsia" w:ascii="宋体" w:hAnsi="宋体" w:eastAsia="宋体" w:cs="Times New Roman"/>
          <w:color w:val="auto"/>
          <w:sz w:val="22"/>
          <w:szCs w:val="22"/>
          <w:highlight w:val="none"/>
          <w:lang w:val="zh-CN" w:eastAsia="zh-CN"/>
        </w:rPr>
        <w:t>）单位负责人为同一人或者存在直接控股、管理关系的不同供应商，不得参加同一合同项下的采购活动。违反该款规定的，相关投标均无效。</w:t>
      </w:r>
    </w:p>
    <w:p w14:paraId="3EAE84C5">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14:paraId="3EE92E3B">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4F26F2C7">
      <w:pPr>
        <w:widowControl/>
        <w:spacing w:before="60" w:after="60" w:line="360" w:lineRule="exact"/>
        <w:ind w:right="60" w:firstLine="440"/>
        <w:jc w:val="left"/>
        <w:rPr>
          <w:rFonts w:hint="eastAsia"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7D3805C7">
      <w:pPr>
        <w:widowControl/>
        <w:spacing w:before="60" w:after="60" w:line="36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应用，在获取采购文件菜单中选择项目，申请获取采购文件；仅需浏览采购文件的供应商可点击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直接下载采购文件浏览，不视作依法获取采购文件</w:t>
      </w:r>
      <w:r>
        <w:rPr>
          <w:rFonts w:ascii="宋体" w:hAnsi="宋体"/>
          <w:color w:val="auto"/>
          <w:sz w:val="22"/>
          <w:szCs w:val="22"/>
          <w:highlight w:val="none"/>
        </w:rPr>
        <w:t>）。</w:t>
      </w:r>
    </w:p>
    <w:p w14:paraId="01A73A87">
      <w:pPr>
        <w:widowControl/>
        <w:spacing w:before="60" w:after="60" w:line="360" w:lineRule="exact"/>
        <w:ind w:right="60" w:firstLine="440"/>
        <w:jc w:val="lef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6AB5790E">
      <w:pPr>
        <w:widowControl/>
        <w:spacing w:before="60" w:after="60" w:line="360" w:lineRule="exact"/>
        <w:ind w:left="61" w:leftChars="29" w:right="60" w:firstLine="431" w:firstLineChars="196"/>
        <w:jc w:val="left"/>
        <w:rPr>
          <w:rFonts w:hint="eastAsia" w:ascii="宋体" w:hAnsi="宋体" w:cs="宋体"/>
          <w:b w:val="0"/>
          <w:color w:val="auto"/>
          <w:kern w:val="0"/>
          <w:sz w:val="22"/>
          <w:szCs w:val="22"/>
          <w:highlight w:val="none"/>
        </w:rPr>
      </w:pPr>
      <w:r>
        <w:rPr>
          <w:rFonts w:hint="eastAsia" w:ascii="宋体" w:hAnsi="宋体" w:cs="宋体"/>
          <w:b w:val="0"/>
          <w:color w:val="auto"/>
          <w:kern w:val="0"/>
          <w:sz w:val="22"/>
          <w:szCs w:val="22"/>
          <w:highlight w:val="none"/>
        </w:rPr>
        <w:t>售价（元）：0</w:t>
      </w:r>
    </w:p>
    <w:p w14:paraId="18764E8C">
      <w:pPr>
        <w:widowControl/>
        <w:spacing w:before="60" w:after="60" w:line="36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5FEE3177">
      <w:pPr>
        <w:widowControl/>
        <w:spacing w:before="60" w:after="60" w:line="360" w:lineRule="exact"/>
        <w:ind w:left="61" w:leftChars="29" w:right="60" w:firstLine="431" w:firstLineChars="196"/>
        <w:jc w:val="left"/>
        <w:rPr>
          <w:rFonts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投标文件提交截止时间：</w:t>
      </w:r>
      <w:r>
        <w:rPr>
          <w:rFonts w:hint="eastAsia" w:ascii="宋体" w:hAnsi="宋体" w:cs="宋体"/>
          <w:b w:val="0"/>
          <w:bCs w:val="0"/>
          <w:color w:val="auto"/>
          <w:kern w:val="0"/>
          <w:sz w:val="22"/>
          <w:szCs w:val="22"/>
          <w:highlight w:val="none"/>
          <w:lang w:eastAsia="zh-CN"/>
        </w:rPr>
        <w:t>202</w:t>
      </w:r>
      <w:r>
        <w:rPr>
          <w:rFonts w:hint="eastAsia" w:ascii="宋体" w:hAnsi="宋体" w:cs="宋体"/>
          <w:b w:val="0"/>
          <w:bCs w:val="0"/>
          <w:color w:val="auto"/>
          <w:kern w:val="0"/>
          <w:sz w:val="22"/>
          <w:szCs w:val="22"/>
          <w:highlight w:val="none"/>
          <w:lang w:val="en-US" w:eastAsia="zh-CN"/>
        </w:rPr>
        <w:t>5</w:t>
      </w:r>
      <w:r>
        <w:rPr>
          <w:rFonts w:hint="eastAsia" w:ascii="宋体" w:hAnsi="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7</w:t>
      </w:r>
      <w:r>
        <w:rPr>
          <w:rFonts w:hint="eastAsia" w:ascii="宋体" w:hAnsi="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30</w:t>
      </w:r>
      <w:r>
        <w:rPr>
          <w:rFonts w:hint="eastAsia" w:ascii="宋体" w:hAnsi="宋体" w:cs="宋体"/>
          <w:b w:val="0"/>
          <w:bCs w:val="0"/>
          <w:color w:val="auto"/>
          <w:kern w:val="0"/>
          <w:sz w:val="22"/>
          <w:szCs w:val="22"/>
          <w:highlight w:val="none"/>
          <w:lang w:eastAsia="zh-CN"/>
        </w:rPr>
        <w:t>日</w:t>
      </w:r>
      <w:r>
        <w:rPr>
          <w:rFonts w:hint="eastAsia" w:ascii="宋体" w:hAnsi="宋体" w:cs="宋体"/>
          <w:b w:val="0"/>
          <w:bCs w:val="0"/>
          <w:color w:val="auto"/>
          <w:kern w:val="0"/>
          <w:sz w:val="22"/>
          <w:szCs w:val="22"/>
          <w:highlight w:val="none"/>
          <w:lang w:val="en-US" w:eastAsia="zh-CN"/>
        </w:rPr>
        <w:t>09:30</w:t>
      </w:r>
      <w:r>
        <w:rPr>
          <w:rFonts w:hint="eastAsia" w:ascii="宋体" w:hAnsi="宋体" w:cs="宋体"/>
          <w:b w:val="0"/>
          <w:bCs w:val="0"/>
          <w:color w:val="auto"/>
          <w:kern w:val="0"/>
          <w:sz w:val="22"/>
          <w:szCs w:val="22"/>
          <w:highlight w:val="none"/>
        </w:rPr>
        <w:t>（北京时间）</w:t>
      </w:r>
    </w:p>
    <w:p w14:paraId="61D2915E">
      <w:pPr>
        <w:widowControl/>
        <w:spacing w:before="60" w:after="60" w:line="360" w:lineRule="exact"/>
        <w:ind w:left="61" w:leftChars="29" w:right="60" w:firstLine="431" w:firstLineChars="196"/>
        <w:jc w:val="left"/>
        <w:rPr>
          <w:rFonts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 xml:space="preserve">投标地点（网址）：通过“政府采购云平台（www.zcygov.cn）”在线递交。 </w:t>
      </w:r>
    </w:p>
    <w:p w14:paraId="46DE2EF1">
      <w:pPr>
        <w:widowControl/>
        <w:spacing w:before="60" w:after="60" w:line="360" w:lineRule="exact"/>
        <w:ind w:left="61" w:leftChars="29" w:right="60" w:firstLine="431" w:firstLineChars="196"/>
        <w:jc w:val="left"/>
        <w:rPr>
          <w:rFonts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开标时间：</w:t>
      </w:r>
      <w:r>
        <w:rPr>
          <w:rFonts w:hint="eastAsia" w:ascii="宋体" w:hAnsi="宋体" w:cs="宋体"/>
          <w:b w:val="0"/>
          <w:bCs w:val="0"/>
          <w:color w:val="auto"/>
          <w:kern w:val="0"/>
          <w:sz w:val="22"/>
          <w:szCs w:val="22"/>
          <w:highlight w:val="none"/>
          <w:lang w:eastAsia="zh-CN"/>
        </w:rPr>
        <w:t>202</w:t>
      </w:r>
      <w:r>
        <w:rPr>
          <w:rFonts w:hint="eastAsia" w:ascii="宋体" w:hAnsi="宋体" w:cs="宋体"/>
          <w:b w:val="0"/>
          <w:bCs w:val="0"/>
          <w:color w:val="auto"/>
          <w:kern w:val="0"/>
          <w:sz w:val="22"/>
          <w:szCs w:val="22"/>
          <w:highlight w:val="none"/>
          <w:lang w:val="en-US" w:eastAsia="zh-CN"/>
        </w:rPr>
        <w:t>5</w:t>
      </w:r>
      <w:r>
        <w:rPr>
          <w:rFonts w:hint="eastAsia" w:ascii="宋体" w:hAnsi="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7</w:t>
      </w:r>
      <w:r>
        <w:rPr>
          <w:rFonts w:hint="eastAsia" w:ascii="宋体" w:hAnsi="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30</w:t>
      </w:r>
      <w:r>
        <w:rPr>
          <w:rFonts w:hint="eastAsia" w:ascii="宋体" w:hAnsi="宋体" w:cs="宋体"/>
          <w:b w:val="0"/>
          <w:bCs w:val="0"/>
          <w:color w:val="auto"/>
          <w:kern w:val="0"/>
          <w:sz w:val="22"/>
          <w:szCs w:val="22"/>
          <w:highlight w:val="none"/>
          <w:lang w:eastAsia="zh-CN"/>
        </w:rPr>
        <w:t>日</w:t>
      </w:r>
      <w:r>
        <w:rPr>
          <w:rFonts w:hint="eastAsia" w:ascii="宋体" w:hAnsi="宋体" w:cs="宋体"/>
          <w:b w:val="0"/>
          <w:bCs w:val="0"/>
          <w:color w:val="auto"/>
          <w:kern w:val="0"/>
          <w:sz w:val="22"/>
          <w:szCs w:val="22"/>
          <w:highlight w:val="none"/>
          <w:lang w:val="en-US" w:eastAsia="zh-CN"/>
        </w:rPr>
        <w:t>09:30（北京时间）</w:t>
      </w:r>
    </w:p>
    <w:p w14:paraId="4FE89E5C">
      <w:pPr>
        <w:widowControl/>
        <w:spacing w:before="60" w:after="60" w:line="360" w:lineRule="exact"/>
        <w:ind w:left="61" w:leftChars="29" w:right="60" w:firstLine="431" w:firstLineChars="196"/>
        <w:jc w:val="left"/>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rPr>
        <w:t>开标地点（网址）：</w:t>
      </w:r>
      <w:r>
        <w:rPr>
          <w:rFonts w:hint="eastAsia" w:ascii="宋体" w:hAnsi="宋体" w:cs="宋体"/>
          <w:b w:val="0"/>
          <w:bCs w:val="0"/>
          <w:color w:val="auto"/>
          <w:kern w:val="0"/>
          <w:sz w:val="22"/>
          <w:szCs w:val="22"/>
          <w:highlight w:val="none"/>
          <w:lang w:val="en-US" w:eastAsia="zh-CN"/>
        </w:rPr>
        <w:t>线上：</w:t>
      </w:r>
      <w:r>
        <w:rPr>
          <w:rFonts w:hint="eastAsia" w:ascii="宋体" w:hAnsi="宋体" w:cs="宋体"/>
          <w:b w:val="0"/>
          <w:bCs w:val="0"/>
          <w:color w:val="auto"/>
          <w:kern w:val="0"/>
          <w:sz w:val="22"/>
          <w:szCs w:val="22"/>
          <w:highlight w:val="none"/>
        </w:rPr>
        <w:t>政府采购云平台（</w:t>
      </w:r>
      <w:r>
        <w:rPr>
          <w:rFonts w:ascii="宋体" w:hAnsi="宋体" w:cs="宋体"/>
          <w:b w:val="0"/>
          <w:bCs w:val="0"/>
          <w:color w:val="auto"/>
          <w:kern w:val="0"/>
          <w:sz w:val="22"/>
          <w:szCs w:val="22"/>
          <w:highlight w:val="none"/>
        </w:rPr>
        <w:t>www.zcygov.cn</w:t>
      </w:r>
      <w:r>
        <w:rPr>
          <w:rFonts w:hint="eastAsia" w:ascii="宋体" w:hAnsi="宋体" w:cs="宋体"/>
          <w:b w:val="0"/>
          <w:bCs w:val="0"/>
          <w:color w:val="auto"/>
          <w:kern w:val="0"/>
          <w:sz w:val="22"/>
          <w:szCs w:val="22"/>
          <w:highlight w:val="none"/>
        </w:rPr>
        <w:t>）</w:t>
      </w:r>
      <w:r>
        <w:rPr>
          <w:rFonts w:hint="eastAsia" w:ascii="宋体" w:hAnsi="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线下：温州市公共资源交易中心鹿城分中心</w:t>
      </w:r>
    </w:p>
    <w:p w14:paraId="4271CA2C">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bookmarkStart w:id="240" w:name="_GoBack"/>
      <w:bookmarkEnd w:id="240"/>
    </w:p>
    <w:p w14:paraId="2A7479DA">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1E993845">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14:paraId="22F497D3">
      <w:pPr>
        <w:widowControl/>
        <w:spacing w:before="60" w:after="60" w:line="36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w:t>
      </w:r>
      <w:r>
        <w:rPr>
          <w:rFonts w:hint="eastAsia" w:ascii="宋体" w:hAnsi="宋体" w:cs="宋体"/>
          <w:color w:val="auto"/>
          <w:kern w:val="0"/>
          <w:sz w:val="22"/>
          <w:szCs w:val="22"/>
          <w:highlight w:val="none"/>
          <w:lang w:eastAsia="zh-CN"/>
        </w:rPr>
        <w:t>、《浙江省财政厅关于进一步加大政府采购支持中小企业力度助力扎实稳住经济的通知》（浙财采监（2022）8号）</w:t>
      </w:r>
      <w:r>
        <w:rPr>
          <w:rFonts w:hint="eastAsia" w:ascii="宋体" w:hAnsi="宋体" w:cs="宋体"/>
          <w:color w:val="auto"/>
          <w:kern w:val="0"/>
          <w:sz w:val="22"/>
          <w:szCs w:val="22"/>
          <w:highlight w:val="none"/>
        </w:rPr>
        <w:t>已分别于2022年1月29日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2022年2月1日和2022年7月1日开始实施，此前有关规定与上述文件内容不一致的，按上述文件要求执行。</w:t>
      </w:r>
    </w:p>
    <w:p w14:paraId="7206342A">
      <w:pPr>
        <w:widowControl/>
        <w:spacing w:before="60" w:after="60" w:line="36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6EA3AF4">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.其他事项：</w:t>
      </w:r>
    </w:p>
    <w:p w14:paraId="6927CFDB">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本项目通过“政采云平台（www.zcygov.cn）”实行在线投标响应（电子投标），供应商应按照本</w:t>
      </w:r>
      <w:r>
        <w:rPr>
          <w:rFonts w:hint="eastAsia" w:ascii="宋体" w:hAnsi="宋体" w:cs="宋体"/>
          <w:bCs/>
          <w:color w:val="auto"/>
          <w:kern w:val="0"/>
          <w:sz w:val="22"/>
          <w:szCs w:val="22"/>
          <w:highlight w:val="none"/>
          <w:lang w:eastAsia="zh-CN"/>
        </w:rPr>
        <w:t>招标文件</w:t>
      </w:r>
      <w:r>
        <w:rPr>
          <w:rFonts w:hint="eastAsia" w:ascii="宋体" w:hAnsi="宋体" w:cs="宋体"/>
          <w:bCs/>
          <w:color w:val="auto"/>
          <w:kern w:val="0"/>
          <w:sz w:val="22"/>
          <w:szCs w:val="22"/>
          <w:highlight w:val="none"/>
        </w:rPr>
        <w:t>和“政采云平台”的要求，编制并加密</w:t>
      </w:r>
      <w:r>
        <w:rPr>
          <w:rFonts w:hint="eastAsia" w:ascii="宋体" w:hAnsi="宋体" w:cs="宋体"/>
          <w:bCs/>
          <w:color w:val="auto"/>
          <w:kern w:val="0"/>
          <w:sz w:val="22"/>
          <w:szCs w:val="22"/>
          <w:highlight w:val="none"/>
          <w:lang w:eastAsia="zh-CN"/>
        </w:rPr>
        <w:t>投标文件</w:t>
      </w:r>
      <w:r>
        <w:rPr>
          <w:rFonts w:hint="eastAsia" w:ascii="宋体" w:hAnsi="宋体" w:cs="宋体"/>
          <w:bCs/>
          <w:color w:val="auto"/>
          <w:kern w:val="0"/>
          <w:sz w:val="22"/>
          <w:szCs w:val="22"/>
          <w:highlight w:val="none"/>
        </w:rPr>
        <w:t>。电子投标具体操作流程详见《供应商项目采购-电子招投标操作指南》。</w:t>
      </w:r>
    </w:p>
    <w:p w14:paraId="59A1DAB1">
      <w:pPr>
        <w:widowControl/>
        <w:numPr>
          <w:ilvl w:val="0"/>
          <w:numId w:val="1"/>
        </w:numPr>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sz w:val="22"/>
          <w:szCs w:val="22"/>
          <w:highlight w:val="none"/>
          <w:lang w:val="zh-CN"/>
        </w:rPr>
        <w:t>为支持和促进中小企业发展</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进一步发挥政府采购政策功能</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温州市财政局出台了《温州市财政局关于温州市政府采购支持中小企业信用融资的通知》</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温财采〔</w:t>
      </w:r>
      <w:r>
        <w:rPr>
          <w:rFonts w:hint="eastAsia" w:ascii="宋体" w:hAnsi="宋体" w:cs="宋体"/>
          <w:color w:val="auto"/>
          <w:sz w:val="22"/>
          <w:szCs w:val="22"/>
          <w:highlight w:val="none"/>
          <w:lang w:val="en-US"/>
        </w:rPr>
        <w:t>2020</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rPr>
        <w:t>3</w:t>
      </w:r>
      <w:r>
        <w:rPr>
          <w:rFonts w:hint="eastAsia" w:ascii="宋体" w:hAnsi="宋体" w:cs="宋体"/>
          <w:color w:val="auto"/>
          <w:sz w:val="22"/>
          <w:szCs w:val="22"/>
          <w:highlight w:val="none"/>
          <w:lang w:val="zh-CN"/>
        </w:rPr>
        <w:t>号</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供应商若有融资意向</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可直接登录</w:t>
      </w:r>
      <w:r>
        <w:rPr>
          <w:rFonts w:hint="eastAsia" w:ascii="宋体" w:hAnsi="宋体" w:cs="宋体"/>
          <w:color w:val="auto"/>
          <w:sz w:val="22"/>
          <w:szCs w:val="22"/>
          <w:highlight w:val="none"/>
          <w:lang w:val="en-US"/>
        </w:rPr>
        <w:t>http://jinrong.zcygov.cn，</w:t>
      </w:r>
      <w:r>
        <w:rPr>
          <w:rFonts w:hint="eastAsia" w:ascii="宋体" w:hAnsi="宋体" w:cs="宋体"/>
          <w:color w:val="auto"/>
          <w:sz w:val="22"/>
          <w:szCs w:val="22"/>
          <w:highlight w:val="none"/>
          <w:lang w:val="zh-CN"/>
        </w:rPr>
        <w:t>查看信用融资政策文件及各相关银行服务方案</w:t>
      </w:r>
      <w:r>
        <w:rPr>
          <w:rFonts w:hint="eastAsia" w:ascii="宋体" w:hAnsi="宋体" w:cs="宋体"/>
          <w:color w:val="auto"/>
          <w:sz w:val="22"/>
          <w:szCs w:val="22"/>
          <w:highlight w:val="none"/>
          <w:lang w:val="en-US"/>
        </w:rPr>
        <w:t>，</w:t>
      </w:r>
      <w:r>
        <w:rPr>
          <w:rFonts w:hint="eastAsia" w:ascii="宋体" w:hAnsi="宋体" w:cs="宋体"/>
          <w:color w:val="auto"/>
          <w:sz w:val="22"/>
          <w:szCs w:val="22"/>
          <w:highlight w:val="none"/>
          <w:lang w:val="zh-CN"/>
        </w:rPr>
        <w:t>也可直接向各银行咨询相关业务。</w:t>
      </w:r>
    </w:p>
    <w:p w14:paraId="5917FE42">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ascii="宋体" w:hAnsi="宋体" w:cs="宋体"/>
          <w:b/>
          <w:bCs/>
          <w:color w:val="auto"/>
          <w:kern w:val="0"/>
          <w:sz w:val="22"/>
          <w:szCs w:val="22"/>
          <w:highlight w:val="none"/>
        </w:rPr>
        <w:t>对本次招标提出询问、质疑、投诉，请按以下方式联系</w:t>
      </w:r>
    </w:p>
    <w:p w14:paraId="5D3A7030">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 xml:space="preserve">温州市鹿城区市政公用管理处 </w:t>
      </w:r>
    </w:p>
    <w:p w14:paraId="27ECC864">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eastAsia="zh-CN"/>
        </w:rPr>
        <w:t>温州市鹿城区西山南路117号</w:t>
      </w:r>
    </w:p>
    <w:p w14:paraId="3CA776C0">
      <w:pPr>
        <w:widowControl/>
        <w:spacing w:before="60" w:after="60" w:line="360" w:lineRule="exact"/>
        <w:ind w:right="60" w:firstLine="44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eastAsia="zh-CN"/>
        </w:rPr>
        <w:t>陈先生</w:t>
      </w:r>
    </w:p>
    <w:p w14:paraId="3E5FF438">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0577-88536166 </w:t>
      </w:r>
    </w:p>
    <w:p w14:paraId="6017FC18">
      <w:pPr>
        <w:widowControl/>
        <w:spacing w:before="60" w:after="60" w:line="360" w:lineRule="exact"/>
        <w:ind w:right="60" w:firstLine="44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质疑联系人：</w:t>
      </w:r>
      <w:r>
        <w:rPr>
          <w:rFonts w:hint="eastAsia" w:ascii="宋体" w:hAnsi="宋体" w:cs="宋体"/>
          <w:color w:val="auto"/>
          <w:kern w:val="0"/>
          <w:sz w:val="22"/>
          <w:szCs w:val="22"/>
          <w:highlight w:val="none"/>
          <w:lang w:val="en-US" w:eastAsia="zh-CN"/>
        </w:rPr>
        <w:t>陈女士</w:t>
      </w:r>
    </w:p>
    <w:p w14:paraId="10CC4B24">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质疑联系方式：</w:t>
      </w:r>
      <w:r>
        <w:rPr>
          <w:rFonts w:hint="eastAsia" w:ascii="宋体" w:hAnsi="宋体" w:cs="宋体"/>
          <w:color w:val="auto"/>
          <w:kern w:val="0"/>
          <w:sz w:val="22"/>
          <w:szCs w:val="22"/>
          <w:highlight w:val="none"/>
          <w:lang w:eastAsia="zh-CN"/>
        </w:rPr>
        <w:t xml:space="preserve">0577-88536166  </w:t>
      </w:r>
    </w:p>
    <w:p w14:paraId="1ACA7A79">
      <w:pPr>
        <w:widowControl/>
        <w:spacing w:before="60" w:after="60" w:line="360" w:lineRule="exact"/>
        <w:ind w:left="0" w:leftChars="0" w:right="60" w:firstLine="440" w:firstLineChars="0"/>
        <w:jc w:val="left"/>
        <w:rPr>
          <w:rFonts w:hint="eastAsia" w:ascii="宋体" w:hAnsi="宋体" w:eastAsia="宋体" w:cs="宋体"/>
          <w:bCs w:val="0"/>
          <w:color w:val="auto"/>
          <w:kern w:val="0"/>
          <w:sz w:val="22"/>
          <w:szCs w:val="22"/>
          <w:highlight w:val="none"/>
          <w:lang w:eastAsia="zh-CN"/>
        </w:rPr>
      </w:pPr>
      <w:r>
        <w:rPr>
          <w:rFonts w:hint="eastAsia" w:ascii="宋体" w:hAnsi="宋体" w:cs="宋体"/>
          <w:bCs w:val="0"/>
          <w:color w:val="auto"/>
          <w:kern w:val="0"/>
          <w:sz w:val="22"/>
          <w:szCs w:val="22"/>
          <w:highlight w:val="none"/>
        </w:rPr>
        <w:t>招标代理机构：</w:t>
      </w:r>
      <w:r>
        <w:rPr>
          <w:rFonts w:hint="eastAsia" w:ascii="宋体" w:hAnsi="宋体" w:cs="宋体"/>
          <w:bCs w:val="0"/>
          <w:color w:val="auto"/>
          <w:kern w:val="0"/>
          <w:sz w:val="22"/>
          <w:szCs w:val="22"/>
          <w:highlight w:val="none"/>
          <w:lang w:eastAsia="zh-CN"/>
        </w:rPr>
        <w:t>浙江建航工程咨询有限公司</w:t>
      </w:r>
    </w:p>
    <w:p w14:paraId="5BC8BF71">
      <w:pPr>
        <w:widowControl/>
        <w:spacing w:before="60" w:after="60" w:line="360" w:lineRule="exact"/>
        <w:ind w:left="0" w:leftChars="0" w:right="60" w:firstLine="440" w:firstLineChars="0"/>
        <w:jc w:val="left"/>
        <w:rPr>
          <w:rFonts w:hint="eastAsia" w:ascii="宋体" w:hAnsi="宋体" w:eastAsia="宋体" w:cs="宋体"/>
          <w:bCs w:val="0"/>
          <w:color w:val="auto"/>
          <w:kern w:val="0"/>
          <w:sz w:val="22"/>
          <w:szCs w:val="22"/>
          <w:highlight w:val="none"/>
          <w:lang w:eastAsia="zh-CN"/>
        </w:rPr>
      </w:pPr>
      <w:r>
        <w:rPr>
          <w:rFonts w:hint="eastAsia" w:ascii="宋体" w:hAnsi="宋体" w:cs="宋体"/>
          <w:bCs w:val="0"/>
          <w:color w:val="auto"/>
          <w:kern w:val="0"/>
          <w:sz w:val="22"/>
          <w:szCs w:val="22"/>
          <w:highlight w:val="none"/>
        </w:rPr>
        <w:t>地址：</w:t>
      </w:r>
      <w:r>
        <w:rPr>
          <w:rFonts w:hint="eastAsia" w:ascii="宋体" w:hAnsi="宋体" w:cs="宋体"/>
          <w:bCs w:val="0"/>
          <w:color w:val="auto"/>
          <w:kern w:val="0"/>
          <w:sz w:val="22"/>
          <w:szCs w:val="22"/>
          <w:highlight w:val="none"/>
          <w:lang w:eastAsia="zh-CN"/>
        </w:rPr>
        <w:t>温州市鹿城区上美小区11幢一单元0402室 </w:t>
      </w:r>
    </w:p>
    <w:p w14:paraId="137F2DB3">
      <w:pPr>
        <w:widowControl/>
        <w:spacing w:before="60" w:after="60" w:line="360" w:lineRule="exact"/>
        <w:ind w:left="0" w:leftChars="0" w:right="60" w:firstLine="440" w:firstLineChars="0"/>
        <w:jc w:val="left"/>
        <w:rPr>
          <w:rFonts w:hint="default" w:ascii="宋体" w:hAnsi="宋体" w:eastAsia="宋体" w:cs="宋体"/>
          <w:bCs w:val="0"/>
          <w:color w:val="auto"/>
          <w:kern w:val="0"/>
          <w:sz w:val="22"/>
          <w:szCs w:val="22"/>
          <w:highlight w:val="none"/>
          <w:lang w:val="en-US" w:eastAsia="zh-CN"/>
        </w:rPr>
      </w:pPr>
      <w:r>
        <w:rPr>
          <w:rFonts w:hint="eastAsia" w:ascii="宋体" w:hAnsi="宋体" w:cs="宋体"/>
          <w:bCs w:val="0"/>
          <w:color w:val="auto"/>
          <w:kern w:val="0"/>
          <w:sz w:val="22"/>
          <w:szCs w:val="22"/>
          <w:highlight w:val="none"/>
        </w:rPr>
        <w:t>联系人：</w:t>
      </w:r>
      <w:r>
        <w:rPr>
          <w:rFonts w:hint="eastAsia" w:ascii="宋体" w:hAnsi="宋体" w:cs="宋体"/>
          <w:bCs w:val="0"/>
          <w:color w:val="auto"/>
          <w:kern w:val="0"/>
          <w:sz w:val="22"/>
          <w:szCs w:val="22"/>
          <w:highlight w:val="none"/>
          <w:lang w:val="en-US" w:eastAsia="zh-CN"/>
        </w:rPr>
        <w:t>李先生</w:t>
      </w:r>
    </w:p>
    <w:p w14:paraId="2E630964">
      <w:pPr>
        <w:widowControl/>
        <w:spacing w:before="60" w:after="60" w:line="360" w:lineRule="exact"/>
        <w:ind w:left="0" w:leftChars="0" w:right="60" w:firstLine="440" w:firstLineChars="0"/>
        <w:jc w:val="left"/>
        <w:rPr>
          <w:rFonts w:hint="eastAsia" w:ascii="宋体" w:hAnsi="宋体" w:eastAsia="宋体" w:cs="宋体"/>
          <w:bCs w:val="0"/>
          <w:color w:val="auto"/>
          <w:kern w:val="0"/>
          <w:sz w:val="22"/>
          <w:szCs w:val="22"/>
          <w:highlight w:val="none"/>
          <w:lang w:eastAsia="zh-CN"/>
        </w:rPr>
      </w:pPr>
      <w:r>
        <w:rPr>
          <w:rFonts w:hint="eastAsia" w:ascii="宋体" w:hAnsi="宋体" w:cs="宋体"/>
          <w:bCs w:val="0"/>
          <w:color w:val="auto"/>
          <w:kern w:val="0"/>
          <w:sz w:val="22"/>
          <w:szCs w:val="22"/>
          <w:highlight w:val="none"/>
        </w:rPr>
        <w:t>联系电话：</w:t>
      </w:r>
      <w:r>
        <w:rPr>
          <w:rFonts w:hint="eastAsia" w:ascii="宋体" w:hAnsi="宋体" w:cs="宋体"/>
          <w:bCs w:val="0"/>
          <w:color w:val="auto"/>
          <w:kern w:val="0"/>
          <w:sz w:val="22"/>
          <w:szCs w:val="22"/>
          <w:highlight w:val="none"/>
          <w:lang w:eastAsia="zh-CN"/>
        </w:rPr>
        <w:t>15868774758</w:t>
      </w:r>
    </w:p>
    <w:p w14:paraId="5AFD6723">
      <w:pPr>
        <w:widowControl/>
        <w:spacing w:before="60" w:after="60" w:line="360" w:lineRule="exact"/>
        <w:ind w:left="0" w:leftChars="0" w:right="60" w:firstLine="440" w:firstLineChars="0"/>
        <w:jc w:val="left"/>
        <w:rPr>
          <w:rFonts w:hint="eastAsia" w:ascii="宋体" w:hAnsi="宋体" w:cs="宋体"/>
          <w:bCs w:val="0"/>
          <w:color w:val="auto"/>
          <w:kern w:val="0"/>
          <w:sz w:val="22"/>
          <w:szCs w:val="22"/>
          <w:highlight w:val="none"/>
        </w:rPr>
      </w:pPr>
      <w:r>
        <w:rPr>
          <w:rFonts w:hint="eastAsia" w:ascii="宋体" w:hAnsi="宋体" w:cs="宋体"/>
          <w:bCs w:val="0"/>
          <w:color w:val="auto"/>
          <w:kern w:val="0"/>
          <w:sz w:val="22"/>
          <w:szCs w:val="22"/>
          <w:highlight w:val="none"/>
        </w:rPr>
        <w:t>质疑联系人：</w:t>
      </w:r>
      <w:r>
        <w:rPr>
          <w:rFonts w:hint="eastAsia" w:ascii="宋体" w:hAnsi="宋体" w:cs="宋体"/>
          <w:bCs w:val="0"/>
          <w:color w:val="auto"/>
          <w:kern w:val="0"/>
          <w:sz w:val="22"/>
          <w:szCs w:val="22"/>
          <w:highlight w:val="none"/>
          <w:lang w:val="en-US" w:eastAsia="zh-CN"/>
        </w:rPr>
        <w:t>黄女士</w:t>
      </w:r>
      <w:r>
        <w:rPr>
          <w:rFonts w:hint="eastAsia" w:ascii="宋体" w:hAnsi="宋体" w:cs="宋体"/>
          <w:bCs w:val="0"/>
          <w:color w:val="auto"/>
          <w:kern w:val="0"/>
          <w:sz w:val="22"/>
          <w:szCs w:val="22"/>
          <w:highlight w:val="none"/>
        </w:rPr>
        <w:t> </w:t>
      </w:r>
    </w:p>
    <w:p w14:paraId="5F47CDF7">
      <w:pPr>
        <w:widowControl/>
        <w:spacing w:before="60" w:after="60" w:line="360" w:lineRule="exact"/>
        <w:ind w:left="0" w:leftChars="0" w:right="60" w:firstLine="440" w:firstLineChars="0"/>
        <w:jc w:val="left"/>
        <w:rPr>
          <w:rFonts w:hint="eastAsia" w:ascii="宋体" w:hAnsi="宋体" w:eastAsia="宋体" w:cs="宋体"/>
          <w:bCs w:val="0"/>
          <w:color w:val="auto"/>
          <w:kern w:val="0"/>
          <w:sz w:val="22"/>
          <w:szCs w:val="22"/>
          <w:highlight w:val="none"/>
          <w:lang w:val="en-US" w:eastAsia="zh-CN"/>
        </w:rPr>
      </w:pPr>
      <w:r>
        <w:rPr>
          <w:rFonts w:hint="eastAsia" w:ascii="宋体" w:hAnsi="宋体" w:cs="宋体"/>
          <w:bCs w:val="0"/>
          <w:color w:val="auto"/>
          <w:kern w:val="0"/>
          <w:sz w:val="22"/>
          <w:szCs w:val="22"/>
          <w:highlight w:val="none"/>
        </w:rPr>
        <w:t>质疑联系方式：</w:t>
      </w:r>
      <w:r>
        <w:rPr>
          <w:rFonts w:hint="eastAsia" w:ascii="宋体" w:hAnsi="宋体" w:cs="宋体"/>
          <w:bCs w:val="0"/>
          <w:color w:val="auto"/>
          <w:kern w:val="0"/>
          <w:sz w:val="22"/>
          <w:szCs w:val="22"/>
          <w:highlight w:val="none"/>
          <w:lang w:val="en-US" w:eastAsia="zh-CN"/>
        </w:rPr>
        <w:t>0577-88129902</w:t>
      </w:r>
    </w:p>
    <w:p w14:paraId="1E409E47">
      <w:pPr>
        <w:widowControl/>
        <w:spacing w:before="60" w:after="60" w:line="360" w:lineRule="exact"/>
        <w:ind w:left="0" w:leftChars="0" w:right="60" w:firstLine="440" w:firstLineChars="0"/>
        <w:jc w:val="left"/>
        <w:rPr>
          <w:rFonts w:hint="eastAsia" w:ascii="宋体" w:hAnsi="宋体" w:cs="宋体"/>
          <w:bCs w:val="0"/>
          <w:color w:val="auto"/>
          <w:kern w:val="0"/>
          <w:sz w:val="22"/>
          <w:szCs w:val="22"/>
          <w:highlight w:val="none"/>
        </w:rPr>
      </w:pPr>
      <w:r>
        <w:rPr>
          <w:rFonts w:hint="eastAsia" w:ascii="宋体" w:hAnsi="宋体" w:cs="宋体"/>
          <w:bCs w:val="0"/>
          <w:color w:val="auto"/>
          <w:kern w:val="0"/>
          <w:sz w:val="22"/>
          <w:szCs w:val="22"/>
          <w:highlight w:val="none"/>
        </w:rPr>
        <w:t>同级政府采购监管部门：鹿城区财政局（浙江省政府采购行政裁决服务中心（温州））</w:t>
      </w:r>
    </w:p>
    <w:p w14:paraId="43BB02FC">
      <w:pPr>
        <w:widowControl/>
        <w:spacing w:before="60" w:after="60" w:line="360" w:lineRule="exact"/>
        <w:ind w:left="0" w:leftChars="0" w:right="60" w:firstLine="440" w:firstLineChars="0"/>
        <w:jc w:val="left"/>
        <w:rPr>
          <w:rFonts w:hint="eastAsia" w:ascii="宋体" w:hAnsi="宋体" w:cs="宋体"/>
          <w:bCs w:val="0"/>
          <w:color w:val="auto"/>
          <w:kern w:val="0"/>
          <w:sz w:val="22"/>
          <w:szCs w:val="22"/>
          <w:highlight w:val="none"/>
        </w:rPr>
      </w:pPr>
      <w:r>
        <w:rPr>
          <w:rFonts w:hint="eastAsia" w:ascii="宋体" w:hAnsi="宋体" w:cs="宋体"/>
          <w:bCs w:val="0"/>
          <w:color w:val="auto"/>
          <w:kern w:val="0"/>
          <w:sz w:val="22"/>
          <w:szCs w:val="22"/>
          <w:highlight w:val="none"/>
        </w:rPr>
        <w:t>地址：温州市鹿城区滨江街道瓯江路展银大厦1606室</w:t>
      </w:r>
    </w:p>
    <w:p w14:paraId="5CE3D146">
      <w:pPr>
        <w:widowControl/>
        <w:spacing w:before="60" w:after="60" w:line="360" w:lineRule="exact"/>
        <w:ind w:left="0" w:leftChars="0" w:right="60" w:firstLine="440" w:firstLineChars="0"/>
        <w:jc w:val="left"/>
        <w:rPr>
          <w:rFonts w:hint="eastAsia" w:ascii="宋体" w:hAnsi="宋体" w:cs="宋体"/>
          <w:bCs w:val="0"/>
          <w:color w:val="auto"/>
          <w:kern w:val="0"/>
          <w:sz w:val="22"/>
          <w:szCs w:val="22"/>
          <w:highlight w:val="none"/>
        </w:rPr>
      </w:pPr>
      <w:r>
        <w:rPr>
          <w:rFonts w:hint="eastAsia" w:ascii="宋体" w:hAnsi="宋体" w:cs="宋体"/>
          <w:bCs w:val="0"/>
          <w:color w:val="auto"/>
          <w:kern w:val="0"/>
          <w:sz w:val="22"/>
          <w:szCs w:val="22"/>
          <w:highlight w:val="none"/>
        </w:rPr>
        <w:t>联系人：李老师、王老师</w:t>
      </w:r>
    </w:p>
    <w:p w14:paraId="6751E04D">
      <w:pPr>
        <w:widowControl/>
        <w:spacing w:before="60" w:after="60" w:line="360" w:lineRule="exact"/>
        <w:ind w:left="0" w:leftChars="0" w:right="60" w:firstLine="440" w:firstLineChars="0"/>
        <w:jc w:val="left"/>
        <w:rPr>
          <w:rFonts w:hint="eastAsia" w:ascii="宋体" w:hAnsi="宋体" w:cs="宋体"/>
          <w:bCs w:val="0"/>
          <w:color w:val="auto"/>
          <w:kern w:val="0"/>
          <w:sz w:val="22"/>
          <w:szCs w:val="22"/>
          <w:highlight w:val="none"/>
        </w:rPr>
      </w:pPr>
      <w:r>
        <w:rPr>
          <w:rFonts w:hint="eastAsia" w:ascii="宋体" w:hAnsi="宋体" w:cs="宋体"/>
          <w:bCs w:val="0"/>
          <w:color w:val="auto"/>
          <w:kern w:val="0"/>
          <w:sz w:val="22"/>
          <w:szCs w:val="22"/>
          <w:highlight w:val="none"/>
        </w:rPr>
        <w:t>联系电话：0577-88501561，0577-85501562</w:t>
      </w:r>
    </w:p>
    <w:p w14:paraId="6A3CFA74">
      <w:pPr>
        <w:pStyle w:val="27"/>
        <w:rPr>
          <w:rFonts w:hint="eastAsia" w:ascii="宋体" w:hAnsi="宋体" w:cs="宋体"/>
          <w:bCs/>
          <w:color w:val="auto"/>
          <w:kern w:val="0"/>
          <w:sz w:val="22"/>
          <w:szCs w:val="22"/>
          <w:highlight w:val="none"/>
        </w:rPr>
      </w:pPr>
    </w:p>
    <w:p w14:paraId="133AF15F">
      <w:pPr>
        <w:rPr>
          <w:rFonts w:hint="eastAsia" w:ascii="宋体" w:hAnsi="宋体" w:cs="宋体"/>
          <w:bCs/>
          <w:color w:val="auto"/>
          <w:kern w:val="0"/>
          <w:sz w:val="22"/>
          <w:szCs w:val="22"/>
          <w:highlight w:val="none"/>
        </w:rPr>
      </w:pPr>
    </w:p>
    <w:p w14:paraId="4051A47E">
      <w:pPr>
        <w:widowControl/>
        <w:spacing w:before="60" w:after="60" w:line="400" w:lineRule="exact"/>
        <w:ind w:right="62" w:firstLine="44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63691A0A">
      <w:pPr>
        <w:widowControl/>
        <w:spacing w:before="60" w:after="60" w:line="400" w:lineRule="exact"/>
        <w:ind w:right="62" w:firstLine="442"/>
        <w:jc w:val="left"/>
        <w:rPr>
          <w:rFonts w:hint="eastAsia" w:ascii="宋体" w:hAnsi="宋体" w:cs="Arial"/>
          <w:b/>
          <w:bCs/>
          <w:color w:val="auto"/>
          <w:sz w:val="36"/>
          <w:szCs w:val="36"/>
          <w:highlight w:val="none"/>
        </w:rPr>
      </w:pPr>
      <w:r>
        <w:rPr>
          <w:rFonts w:hint="eastAsia" w:ascii="宋体" w:hAnsi="宋体" w:cs="宋体"/>
          <w:color w:val="auto"/>
          <w:kern w:val="0"/>
          <w:sz w:val="22"/>
          <w:szCs w:val="22"/>
          <w:highlight w:val="none"/>
        </w:rPr>
        <w:t>CA问题联系电话（人工）：汇信CA 400-888-4636；天谷CA 400-087-8198。</w:t>
      </w:r>
    </w:p>
    <w:p w14:paraId="038CDCB0">
      <w:pPr>
        <w:pStyle w:val="3"/>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41404198"/>
      <w:bookmarkStart w:id="27" w:name="_Toc221356947"/>
      <w:bookmarkStart w:id="28" w:name="_Toc222114875"/>
      <w:bookmarkStart w:id="29" w:name="_Toc7152"/>
      <w:bookmarkStart w:id="30" w:name="_Toc223715994"/>
      <w:bookmarkStart w:id="31" w:name="_Toc245722277"/>
      <w:bookmarkStart w:id="32" w:name="_Toc262049414"/>
      <w:bookmarkStart w:id="33" w:name="_Toc246261261"/>
      <w:bookmarkStart w:id="34" w:name="_Toc245191310"/>
      <w:bookmarkStart w:id="35" w:name="_Toc221374622"/>
      <w:bookmarkStart w:id="36" w:name="_Toc221423615"/>
      <w:bookmarkStart w:id="37" w:name="_Toc249758708"/>
      <w:bookmarkStart w:id="38" w:name="_Toc221356882"/>
      <w:bookmarkStart w:id="39" w:name="_Toc249758860"/>
      <w:bookmarkStart w:id="40" w:name="_Toc262105499"/>
      <w:bookmarkStart w:id="41" w:name="_Toc239145350"/>
      <w:bookmarkStart w:id="42" w:name="_Toc27051"/>
      <w:bookmarkStart w:id="43" w:name="_Toc22767"/>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4BB9180">
      <w:pPr>
        <w:pStyle w:val="3"/>
        <w:spacing w:before="120" w:after="120"/>
        <w:rPr>
          <w:rFonts w:hint="eastAsia" w:ascii="宋体" w:hAnsi="宋体" w:eastAsia="宋体" w:cs="Times New Roman"/>
          <w:b/>
          <w:bCs/>
          <w:color w:val="auto"/>
          <w:kern w:val="2"/>
          <w:sz w:val="26"/>
          <w:szCs w:val="26"/>
          <w:highlight w:val="none"/>
          <w:lang w:val="en-US" w:eastAsia="zh-CN" w:bidi="ar-SA"/>
        </w:rPr>
      </w:pPr>
    </w:p>
    <w:p w14:paraId="5137FD0C">
      <w:pPr>
        <w:pStyle w:val="3"/>
        <w:spacing w:before="120" w:after="120"/>
        <w:rPr>
          <w:rFonts w:hint="eastAsia" w:ascii="宋体" w:hAnsi="宋体" w:eastAsia="宋体" w:cs="Times New Roman"/>
          <w:b/>
          <w:bCs/>
          <w:color w:val="auto"/>
          <w:kern w:val="2"/>
          <w:sz w:val="26"/>
          <w:szCs w:val="26"/>
          <w:highlight w:val="none"/>
          <w:lang w:val="en-US" w:eastAsia="zh-CN" w:bidi="ar-SA"/>
        </w:rPr>
      </w:pPr>
      <w:bookmarkStart w:id="44" w:name="_Toc17373"/>
      <w:r>
        <w:rPr>
          <w:rFonts w:hint="eastAsia" w:ascii="宋体" w:hAnsi="宋体" w:eastAsia="宋体" w:cs="Times New Roman"/>
          <w:b/>
          <w:bCs/>
          <w:color w:val="auto"/>
          <w:kern w:val="2"/>
          <w:sz w:val="26"/>
          <w:szCs w:val="26"/>
          <w:highlight w:val="none"/>
          <w:lang w:val="en-US" w:eastAsia="zh-CN" w:bidi="ar-SA"/>
        </w:rPr>
        <w:t>一、须知前附表</w:t>
      </w:r>
      <w:bookmarkEnd w:id="42"/>
      <w:bookmarkEnd w:id="43"/>
      <w:bookmarkEnd w:id="44"/>
    </w:p>
    <w:tbl>
      <w:tblPr>
        <w:tblStyle w:val="62"/>
        <w:tblW w:w="5173" w:type="pct"/>
        <w:tblInd w:w="0" w:type="dxa"/>
        <w:tblLayout w:type="autofit"/>
        <w:tblCellMar>
          <w:top w:w="0" w:type="dxa"/>
          <w:left w:w="108" w:type="dxa"/>
          <w:bottom w:w="0" w:type="dxa"/>
          <w:right w:w="108" w:type="dxa"/>
        </w:tblCellMar>
      </w:tblPr>
      <w:tblGrid>
        <w:gridCol w:w="1026"/>
        <w:gridCol w:w="1882"/>
        <w:gridCol w:w="7287"/>
      </w:tblGrid>
      <w:tr w14:paraId="1D28F293">
        <w:tblPrEx>
          <w:tblCellMar>
            <w:top w:w="0" w:type="dxa"/>
            <w:left w:w="108" w:type="dxa"/>
            <w:bottom w:w="0" w:type="dxa"/>
            <w:right w:w="108" w:type="dxa"/>
          </w:tblCellMar>
        </w:tblPrEx>
        <w:trPr>
          <w:trHeight w:val="567"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599C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BEA5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ED03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46FE8D6E">
        <w:tblPrEx>
          <w:tblCellMar>
            <w:top w:w="0" w:type="dxa"/>
            <w:left w:w="108" w:type="dxa"/>
            <w:bottom w:w="0" w:type="dxa"/>
            <w:right w:w="108" w:type="dxa"/>
          </w:tblCellMar>
        </w:tblPrEx>
        <w:trPr>
          <w:trHeight w:val="967"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7033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41BC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8E04DC">
            <w:pPr>
              <w:keepNext w:val="0"/>
              <w:keepLines w:val="0"/>
              <w:widowControl/>
              <w:suppressLineNumbers w:val="0"/>
              <w:spacing w:before="60" w:beforeAutospacing="0" w:after="60" w:afterAutospacing="0" w:line="360" w:lineRule="exact"/>
              <w:ind w:left="0"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温州市鹿城区市政公用管理处</w:t>
            </w:r>
          </w:p>
          <w:p w14:paraId="325EC4C5">
            <w:pPr>
              <w:keepNext w:val="0"/>
              <w:keepLines w:val="0"/>
              <w:widowControl/>
              <w:suppressLineNumbers w:val="0"/>
              <w:spacing w:before="60" w:beforeAutospacing="0" w:after="60" w:afterAutospacing="0" w:line="360" w:lineRule="exact"/>
              <w:ind w:left="0" w:right="60"/>
              <w:jc w:val="lef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eastAsia="zh-CN"/>
              </w:rPr>
              <w:t>陈先生</w:t>
            </w:r>
          </w:p>
          <w:p w14:paraId="19EAAD1B">
            <w:pPr>
              <w:keepNext w:val="0"/>
              <w:keepLines w:val="0"/>
              <w:widowControl/>
              <w:suppressLineNumbers w:val="0"/>
              <w:spacing w:before="60" w:beforeAutospacing="0" w:after="60" w:afterAutospacing="0" w:line="360" w:lineRule="exact"/>
              <w:ind w:left="0" w:right="60"/>
              <w:jc w:val="left"/>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0577-88536166</w:t>
            </w:r>
          </w:p>
        </w:tc>
      </w:tr>
      <w:tr w14:paraId="7371613D">
        <w:tblPrEx>
          <w:tblCellMar>
            <w:top w:w="0" w:type="dxa"/>
            <w:left w:w="108" w:type="dxa"/>
            <w:bottom w:w="0" w:type="dxa"/>
            <w:right w:w="108" w:type="dxa"/>
          </w:tblCellMar>
        </w:tblPrEx>
        <w:trPr>
          <w:trHeight w:val="98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8808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2EB5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1BF757">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采购代理机构名称：</w:t>
            </w:r>
            <w:r>
              <w:rPr>
                <w:rFonts w:hint="eastAsia" w:ascii="宋体" w:hAnsi="宋体" w:cs="宋体"/>
                <w:color w:val="auto"/>
                <w:sz w:val="22"/>
                <w:szCs w:val="22"/>
                <w:highlight w:val="none"/>
                <w:lang w:eastAsia="zh-CN"/>
              </w:rPr>
              <w:t>浙江建航工程咨询有限公司</w:t>
            </w:r>
          </w:p>
          <w:p w14:paraId="107849D6">
            <w:pPr>
              <w:keepNext w:val="0"/>
              <w:keepLines w:val="0"/>
              <w:suppressLineNumbers w:val="0"/>
              <w:spacing w:before="0" w:beforeAutospacing="0" w:after="0" w:afterAutospacing="0" w:line="40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lang w:eastAsia="zh-CN"/>
              </w:rPr>
              <w:t>温州市鹿城区上美小区11幢一单元0402室</w:t>
            </w:r>
          </w:p>
          <w:p w14:paraId="35E167C3">
            <w:pPr>
              <w:keepNext w:val="0"/>
              <w:keepLines w:val="0"/>
              <w:suppressLineNumbers w:val="0"/>
              <w:spacing w:before="0" w:beforeAutospacing="0" w:after="0" w:afterAutospacing="0" w:line="40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李先生</w:t>
            </w:r>
          </w:p>
          <w:p w14:paraId="012E8D1E">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15868774758</w:t>
            </w:r>
          </w:p>
        </w:tc>
      </w:tr>
      <w:tr w14:paraId="4E00B9A5">
        <w:tblPrEx>
          <w:tblCellMar>
            <w:top w:w="0" w:type="dxa"/>
            <w:left w:w="108" w:type="dxa"/>
            <w:bottom w:w="0" w:type="dxa"/>
            <w:right w:w="108" w:type="dxa"/>
          </w:tblCellMar>
        </w:tblPrEx>
        <w:trPr>
          <w:trHeight w:val="75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C5FF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3C0E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D4D02B">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2025年鹿城区城市道路巡查与维养项目（第二次）</w:t>
            </w:r>
          </w:p>
          <w:p w14:paraId="3656BFD5">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t>
            </w:r>
            <w:r>
              <w:rPr>
                <w:rFonts w:hint="eastAsia" w:ascii="宋体" w:hAnsi="宋体" w:cs="宋体"/>
                <w:bCs/>
                <w:color w:val="auto"/>
                <w:kern w:val="0"/>
                <w:sz w:val="22"/>
                <w:szCs w:val="22"/>
                <w:highlight w:val="none"/>
                <w:lang w:eastAsia="zh-CN"/>
              </w:rPr>
              <w:t>ZJJHCG20250425001-2 </w:t>
            </w:r>
          </w:p>
        </w:tc>
      </w:tr>
      <w:tr w14:paraId="30CAB3F8">
        <w:tblPrEx>
          <w:tblCellMar>
            <w:top w:w="0" w:type="dxa"/>
            <w:left w:w="108" w:type="dxa"/>
            <w:bottom w:w="0" w:type="dxa"/>
            <w:right w:w="108" w:type="dxa"/>
          </w:tblCellMar>
        </w:tblPrEx>
        <w:trPr>
          <w:trHeight w:val="75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5AB4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F0FD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B4B9AE">
            <w:pPr>
              <w:keepNext w:val="0"/>
              <w:keepLines w:val="0"/>
              <w:suppressLineNumbers w:val="0"/>
              <w:autoSpaceDE w:val="0"/>
              <w:autoSpaceDN w:val="0"/>
              <w:adjustRightInd w:val="0"/>
              <w:spacing w:before="0" w:beforeAutospacing="0" w:after="0" w:afterAutospacing="0" w:line="400" w:lineRule="exact"/>
              <w:ind w:left="0" w:right="-34"/>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66611241">
        <w:tblPrEx>
          <w:tblCellMar>
            <w:top w:w="0" w:type="dxa"/>
            <w:left w:w="108" w:type="dxa"/>
            <w:bottom w:w="0" w:type="dxa"/>
            <w:right w:w="108" w:type="dxa"/>
          </w:tblCellMar>
        </w:tblPrEx>
        <w:trPr>
          <w:trHeight w:val="75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6C32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02F64B">
            <w:pPr>
              <w:keepNext w:val="0"/>
              <w:keepLines w:val="0"/>
              <w:suppressLineNumbers w:val="0"/>
              <w:spacing w:before="0" w:beforeAutospacing="0" w:after="0" w:afterAutospacing="0" w:line="300" w:lineRule="exact"/>
              <w:ind w:left="0" w:right="0"/>
              <w:jc w:val="center"/>
              <w:rPr>
                <w:rFonts w:hint="default" w:ascii="宋体" w:hAnsi="宋体" w:cs="宋体"/>
                <w:color w:val="auto"/>
                <w:kern w:val="0"/>
                <w:sz w:val="22"/>
                <w:szCs w:val="22"/>
                <w:highlight w:val="none"/>
                <w:lang w:val="zh-CN"/>
              </w:rPr>
            </w:pPr>
            <w:r>
              <w:rPr>
                <w:rFonts w:hint="eastAsia" w:ascii="宋体" w:hAnsi="宋体" w:cs="新宋体"/>
                <w:color w:val="auto"/>
                <w:kern w:val="0"/>
                <w:sz w:val="22"/>
                <w:szCs w:val="22"/>
                <w:highlight w:val="none"/>
              </w:rPr>
              <w:t>项目服务期限</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9848CB">
            <w:pPr>
              <w:keepNext w:val="0"/>
              <w:keepLines w:val="0"/>
              <w:suppressLineNumbers w:val="0"/>
              <w:spacing w:before="0" w:beforeAutospacing="0" w:after="0" w:afterAutospacing="0" w:line="300" w:lineRule="exact"/>
              <w:ind w:left="0" w:right="0"/>
              <w:rPr>
                <w:rFonts w:hint="default" w:ascii="宋体" w:hAnsi="宋体" w:eastAsia="宋体" w:cs="宋体"/>
                <w:color w:val="auto"/>
                <w:kern w:val="0"/>
                <w:sz w:val="22"/>
                <w:szCs w:val="22"/>
                <w:highlight w:val="none"/>
                <w:lang w:val="en-US" w:eastAsia="zh-CN"/>
              </w:rPr>
            </w:pPr>
            <w:r>
              <w:rPr>
                <w:rFonts w:hint="eastAsia" w:ascii="宋体" w:hAnsi="宋体" w:cs="新宋体"/>
                <w:color w:val="auto"/>
                <w:kern w:val="0"/>
                <w:sz w:val="22"/>
                <w:szCs w:val="22"/>
                <w:highlight w:val="none"/>
                <w:lang w:val="en-US" w:eastAsia="zh-CN"/>
              </w:rPr>
              <w:t>1年，服务期限从合同签订生效之日起开始计算。</w:t>
            </w:r>
          </w:p>
        </w:tc>
      </w:tr>
      <w:tr w14:paraId="4225D4AD">
        <w:tblPrEx>
          <w:tblCellMar>
            <w:top w:w="0" w:type="dxa"/>
            <w:left w:w="108" w:type="dxa"/>
            <w:bottom w:w="0" w:type="dxa"/>
            <w:right w:w="108" w:type="dxa"/>
          </w:tblCellMar>
        </w:tblPrEx>
        <w:trPr>
          <w:trHeight w:val="116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82B08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6C2FD9">
            <w:pPr>
              <w:keepNext w:val="0"/>
              <w:keepLines w:val="0"/>
              <w:suppressLineNumbers w:val="0"/>
              <w:spacing w:before="0" w:beforeAutospacing="0" w:after="0" w:afterAutospacing="0"/>
              <w:ind w:left="0" w:right="0"/>
              <w:jc w:val="center"/>
              <w:rPr>
                <w:rFonts w:hint="default"/>
                <w:color w:val="auto"/>
                <w:highlight w:val="none"/>
                <w:lang w:val="zh-CN"/>
              </w:rPr>
            </w:pPr>
            <w:r>
              <w:rPr>
                <w:rFonts w:hint="eastAsia"/>
                <w:color w:val="auto"/>
                <w:sz w:val="22"/>
                <w:szCs w:val="28"/>
                <w:highlight w:val="none"/>
                <w:u w:val="single"/>
                <w:lang w:val="zh-CN"/>
              </w:rPr>
              <w:t>▲</w:t>
            </w:r>
            <w:r>
              <w:rPr>
                <w:rFonts w:hint="eastAsia"/>
                <w:color w:val="auto"/>
                <w:sz w:val="22"/>
                <w:szCs w:val="28"/>
                <w:highlight w:val="none"/>
                <w:u w:val="single"/>
              </w:rPr>
              <w:t>投标人</w:t>
            </w:r>
            <w:r>
              <w:rPr>
                <w:rFonts w:hint="eastAsia"/>
                <w:color w:val="auto"/>
                <w:sz w:val="22"/>
                <w:szCs w:val="28"/>
                <w:highlight w:val="none"/>
                <w:u w:val="single"/>
                <w:lang w:val="zh-CN"/>
              </w:rPr>
              <w:t>资质格要求</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AF0786">
            <w:pPr>
              <w:keepNext w:val="0"/>
              <w:keepLines w:val="0"/>
              <w:suppressLineNumbers w:val="0"/>
              <w:spacing w:before="0" w:beforeAutospacing="0" w:after="0" w:afterAutospacing="0" w:line="400" w:lineRule="exact"/>
              <w:ind w:left="0" w:right="0"/>
              <w:rPr>
                <w:rFonts w:hint="default"/>
                <w:color w:val="auto"/>
                <w:sz w:val="22"/>
                <w:szCs w:val="28"/>
                <w:highlight w:val="none"/>
              </w:rPr>
            </w:pPr>
            <w:r>
              <w:rPr>
                <w:rFonts w:hint="eastAsia"/>
                <w:color w:val="auto"/>
                <w:sz w:val="22"/>
                <w:szCs w:val="28"/>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154CF5D">
            <w:pPr>
              <w:keepNext w:val="0"/>
              <w:keepLines w:val="0"/>
              <w:suppressLineNumbers w:val="0"/>
              <w:spacing w:before="0" w:beforeAutospacing="0" w:after="0" w:afterAutospacing="0" w:line="400" w:lineRule="exact"/>
              <w:ind w:left="0" w:right="0"/>
              <w:rPr>
                <w:rFonts w:hint="eastAsia" w:eastAsia="宋体"/>
                <w:color w:val="auto"/>
                <w:sz w:val="22"/>
                <w:szCs w:val="28"/>
                <w:highlight w:val="none"/>
                <w:lang w:eastAsia="zh-CN"/>
              </w:rPr>
            </w:pPr>
            <w:r>
              <w:rPr>
                <w:rFonts w:hint="eastAsia"/>
                <w:color w:val="auto"/>
                <w:sz w:val="22"/>
                <w:szCs w:val="28"/>
                <w:highlight w:val="none"/>
              </w:rPr>
              <w:t>2.落实政府采购政策需满足的资格要求：本项目整体专门面向中小企业采购（残疾人福利性单位和监狱企业视同小微企业）</w:t>
            </w:r>
            <w:r>
              <w:rPr>
                <w:rFonts w:hint="eastAsia"/>
                <w:color w:val="auto"/>
                <w:sz w:val="22"/>
                <w:szCs w:val="28"/>
                <w:highlight w:val="none"/>
                <w:lang w:eastAsia="zh-CN"/>
              </w:rPr>
              <w:t>；</w:t>
            </w:r>
          </w:p>
          <w:p w14:paraId="39A6ABB9">
            <w:pPr>
              <w:keepNext w:val="0"/>
              <w:keepLines w:val="0"/>
              <w:suppressLineNumbers w:val="0"/>
              <w:spacing w:before="0" w:beforeAutospacing="0" w:after="0" w:afterAutospacing="0" w:line="400" w:lineRule="exact"/>
              <w:ind w:left="0" w:right="0"/>
              <w:rPr>
                <w:rFonts w:hint="eastAsia"/>
                <w:color w:val="auto"/>
                <w:sz w:val="22"/>
                <w:szCs w:val="28"/>
                <w:highlight w:val="none"/>
              </w:rPr>
            </w:pPr>
            <w:r>
              <w:rPr>
                <w:rFonts w:hint="eastAsia"/>
                <w:color w:val="auto"/>
                <w:sz w:val="22"/>
                <w:szCs w:val="28"/>
                <w:highlight w:val="none"/>
              </w:rPr>
              <w:t>3.本项目的特定资格要求：</w:t>
            </w:r>
          </w:p>
          <w:p w14:paraId="560BB26B">
            <w:pPr>
              <w:keepNext w:val="0"/>
              <w:keepLines w:val="0"/>
              <w:suppressLineNumbers w:val="0"/>
              <w:spacing w:before="0" w:beforeAutospacing="0" w:after="0" w:afterAutospacing="0" w:line="400" w:lineRule="exact"/>
              <w:ind w:left="0" w:right="0"/>
              <w:rPr>
                <w:rFonts w:hint="eastAsia"/>
                <w:color w:val="auto"/>
                <w:sz w:val="22"/>
                <w:szCs w:val="28"/>
                <w:highlight w:val="none"/>
              </w:rPr>
            </w:pPr>
            <w:r>
              <w:rPr>
                <w:rFonts w:hint="eastAsia"/>
                <w:color w:val="auto"/>
                <w:sz w:val="22"/>
                <w:szCs w:val="28"/>
                <w:highlight w:val="none"/>
              </w:rPr>
              <w:t>（</w:t>
            </w:r>
            <w:r>
              <w:rPr>
                <w:rFonts w:hint="eastAsia"/>
                <w:color w:val="auto"/>
                <w:sz w:val="22"/>
                <w:szCs w:val="28"/>
                <w:highlight w:val="none"/>
                <w:lang w:val="en-US" w:eastAsia="zh-CN"/>
              </w:rPr>
              <w:t>1</w:t>
            </w:r>
            <w:r>
              <w:rPr>
                <w:rFonts w:hint="eastAsia"/>
                <w:color w:val="auto"/>
                <w:sz w:val="22"/>
                <w:szCs w:val="28"/>
                <w:highlight w:val="none"/>
              </w:rPr>
              <w:t>）具备市政公用工程施工总承包三级及以上资质（对应资质应在“浙江省建筑市场监管公共服务系统”上资质动态核查结果处于“合格”状态），且具备安全生产许可证。</w:t>
            </w:r>
          </w:p>
          <w:p w14:paraId="72027F09">
            <w:pPr>
              <w:keepNext w:val="0"/>
              <w:keepLines w:val="0"/>
              <w:suppressLineNumbers w:val="0"/>
              <w:spacing w:before="0" w:beforeAutospacing="0" w:after="0" w:afterAutospacing="0" w:line="400" w:lineRule="exact"/>
              <w:ind w:left="0" w:right="0"/>
              <w:rPr>
                <w:rFonts w:hint="eastAsia"/>
                <w:color w:val="auto"/>
                <w:sz w:val="22"/>
                <w:szCs w:val="28"/>
                <w:highlight w:val="none"/>
              </w:rPr>
            </w:pPr>
            <w:r>
              <w:rPr>
                <w:rFonts w:hint="eastAsia"/>
                <w:color w:val="auto"/>
                <w:sz w:val="22"/>
                <w:szCs w:val="28"/>
                <w:highlight w:val="none"/>
              </w:rPr>
              <w:t>（</w:t>
            </w:r>
            <w:r>
              <w:rPr>
                <w:rFonts w:hint="eastAsia"/>
                <w:color w:val="auto"/>
                <w:sz w:val="22"/>
                <w:szCs w:val="28"/>
                <w:highlight w:val="none"/>
                <w:lang w:val="en-US" w:eastAsia="zh-CN"/>
              </w:rPr>
              <w:t>2</w:t>
            </w:r>
            <w:r>
              <w:rPr>
                <w:rFonts w:hint="eastAsia"/>
                <w:color w:val="auto"/>
                <w:sz w:val="22"/>
                <w:szCs w:val="28"/>
                <w:highlight w:val="none"/>
              </w:rPr>
              <w:t>）项目负责人具备市政公用工程贰级及以上注册建造师，具备有效的安全生产考核合格证书（B证）。</w:t>
            </w:r>
          </w:p>
          <w:p w14:paraId="27571A5C">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sz w:val="22"/>
                <w:szCs w:val="28"/>
                <w:highlight w:val="none"/>
              </w:rPr>
              <w:t>（</w:t>
            </w:r>
            <w:r>
              <w:rPr>
                <w:rFonts w:hint="eastAsia"/>
                <w:color w:val="auto"/>
                <w:sz w:val="22"/>
                <w:szCs w:val="28"/>
                <w:highlight w:val="none"/>
                <w:lang w:val="en-US" w:eastAsia="zh-CN"/>
              </w:rPr>
              <w:t>3</w:t>
            </w:r>
            <w:r>
              <w:rPr>
                <w:rFonts w:hint="eastAsia"/>
                <w:color w:val="auto"/>
                <w:sz w:val="22"/>
                <w:szCs w:val="28"/>
                <w:highlight w:val="none"/>
              </w:rPr>
              <w:t>）单位负责人为同一人或者存在直接控股、管理关系的不同供应商，不得参加同一合同项下的采购活动。违反该款规定的，相关投标均无效。</w:t>
            </w:r>
          </w:p>
        </w:tc>
      </w:tr>
      <w:tr w14:paraId="100D26FD">
        <w:tblPrEx>
          <w:tblCellMar>
            <w:top w:w="0" w:type="dxa"/>
            <w:left w:w="108" w:type="dxa"/>
            <w:bottom w:w="0" w:type="dxa"/>
            <w:right w:w="108" w:type="dxa"/>
          </w:tblCellMar>
        </w:tblPrEx>
        <w:trPr>
          <w:trHeight w:val="73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40F6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69B0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C58096">
            <w:pPr>
              <w:keepNext w:val="0"/>
              <w:keepLines w:val="0"/>
              <w:suppressLineNumbers w:val="0"/>
              <w:autoSpaceDE w:val="0"/>
              <w:autoSpaceDN w:val="0"/>
              <w:adjustRightInd w:val="0"/>
              <w:spacing w:before="0" w:beforeAutospacing="0" w:after="0" w:afterAutospacing="0" w:line="400" w:lineRule="exact"/>
              <w:ind w:left="0" w:right="0"/>
              <w:rPr>
                <w:rFonts w:hint="default"/>
                <w:color w:val="auto"/>
                <w:highlight w:val="none"/>
                <w:lang w:val="zh-CN"/>
              </w:rPr>
            </w:pPr>
            <w:r>
              <w:rPr>
                <w:rFonts w:hint="eastAsia"/>
                <w:color w:val="auto"/>
                <w:sz w:val="22"/>
                <w:szCs w:val="28"/>
                <w:highlight w:val="none"/>
              </w:rPr>
              <w:sym w:font="Wingdings" w:char="00FE"/>
            </w:r>
            <w:r>
              <w:rPr>
                <w:rFonts w:hint="eastAsia"/>
                <w:color w:val="auto"/>
                <w:sz w:val="22"/>
                <w:szCs w:val="28"/>
                <w:highlight w:val="none"/>
                <w:lang w:val="zh-CN"/>
              </w:rPr>
              <w:t>不接受</w:t>
            </w:r>
          </w:p>
        </w:tc>
      </w:tr>
      <w:tr w14:paraId="0B89296E">
        <w:tblPrEx>
          <w:tblCellMar>
            <w:top w:w="0" w:type="dxa"/>
            <w:left w:w="108" w:type="dxa"/>
            <w:bottom w:w="0" w:type="dxa"/>
            <w:right w:w="108" w:type="dxa"/>
          </w:tblCellMar>
        </w:tblPrEx>
        <w:trPr>
          <w:trHeight w:val="73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6788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DF10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A15508">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3145941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14:paraId="71201094">
        <w:tblPrEx>
          <w:tblCellMar>
            <w:top w:w="0" w:type="dxa"/>
            <w:left w:w="108" w:type="dxa"/>
            <w:bottom w:w="0" w:type="dxa"/>
            <w:right w:w="108" w:type="dxa"/>
          </w:tblCellMar>
        </w:tblPrEx>
        <w:trPr>
          <w:trHeight w:val="73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1E1B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62A6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2FC61D">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79CB6B20">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20D5AE9E">
        <w:tblPrEx>
          <w:tblCellMar>
            <w:top w:w="0" w:type="dxa"/>
            <w:left w:w="108" w:type="dxa"/>
            <w:bottom w:w="0" w:type="dxa"/>
            <w:right w:w="108" w:type="dxa"/>
          </w:tblCellMar>
        </w:tblPrEx>
        <w:trPr>
          <w:trHeight w:val="73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AE2B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4858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F6A1A8">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0B10A4E2">
        <w:tblPrEx>
          <w:tblCellMar>
            <w:top w:w="0" w:type="dxa"/>
            <w:left w:w="108" w:type="dxa"/>
            <w:bottom w:w="0" w:type="dxa"/>
            <w:right w:w="108" w:type="dxa"/>
          </w:tblCellMar>
        </w:tblPrEx>
        <w:trPr>
          <w:trHeight w:val="73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811B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8212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19D465">
            <w:pPr>
              <w:keepNext w:val="0"/>
              <w:keepLines w:val="0"/>
              <w:suppressLineNumbers w:val="0"/>
              <w:autoSpaceDE w:val="0"/>
              <w:autoSpaceDN w:val="0"/>
              <w:adjustRightInd w:val="0"/>
              <w:spacing w:before="0" w:beforeAutospacing="0" w:after="0" w:afterAutospacing="0" w:line="400" w:lineRule="exact"/>
              <w:ind w:left="0" w:right="0"/>
              <w:rPr>
                <w:rFonts w:hint="default"/>
                <w:color w:val="auto"/>
                <w:highlight w:val="none"/>
                <w:lang w:val="zh-CN"/>
              </w:rPr>
            </w:pPr>
            <w:r>
              <w:rPr>
                <w:rFonts w:hint="eastAsia"/>
                <w:color w:val="auto"/>
                <w:sz w:val="22"/>
                <w:szCs w:val="28"/>
                <w:highlight w:val="none"/>
              </w:rPr>
              <w:sym w:font="Wingdings" w:char="00FE"/>
            </w:r>
            <w:r>
              <w:rPr>
                <w:rFonts w:hint="eastAsia"/>
                <w:color w:val="auto"/>
                <w:sz w:val="22"/>
                <w:szCs w:val="28"/>
                <w:highlight w:val="none"/>
                <w:lang w:val="zh-CN"/>
              </w:rPr>
              <w:t>不允许</w:t>
            </w:r>
          </w:p>
        </w:tc>
      </w:tr>
      <w:tr w14:paraId="14828CC6">
        <w:tblPrEx>
          <w:tblCellMar>
            <w:top w:w="0" w:type="dxa"/>
            <w:left w:w="108" w:type="dxa"/>
            <w:bottom w:w="0" w:type="dxa"/>
            <w:right w:w="108" w:type="dxa"/>
          </w:tblCellMar>
        </w:tblPrEx>
        <w:trPr>
          <w:trHeight w:val="108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94AC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DE94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2515F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21FD7F81">
        <w:tblPrEx>
          <w:tblCellMar>
            <w:top w:w="0" w:type="dxa"/>
            <w:left w:w="108" w:type="dxa"/>
            <w:bottom w:w="0" w:type="dxa"/>
            <w:right w:w="108" w:type="dxa"/>
          </w:tblCellMar>
        </w:tblPrEx>
        <w:trPr>
          <w:trHeight w:val="68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93091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7CDE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61096C">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5C373BA1">
        <w:tblPrEx>
          <w:tblCellMar>
            <w:top w:w="0" w:type="dxa"/>
            <w:left w:w="108" w:type="dxa"/>
            <w:bottom w:w="0" w:type="dxa"/>
            <w:right w:w="108" w:type="dxa"/>
          </w:tblCellMar>
        </w:tblPrEx>
        <w:trPr>
          <w:trHeight w:val="846"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BA84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78C0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9E174B">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b/>
                <w:bCs/>
                <w:color w:val="auto"/>
                <w:sz w:val="22"/>
                <w:szCs w:val="22"/>
                <w:highlight w:val="none"/>
              </w:rPr>
            </w:pPr>
            <w:r>
              <w:rPr>
                <w:rFonts w:hint="eastAsia" w:ascii="宋体" w:hAnsi="宋体" w:cs="宋体"/>
                <w:color w:val="auto"/>
                <w:sz w:val="22"/>
                <w:szCs w:val="22"/>
                <w:highlight w:val="none"/>
              </w:rPr>
              <w:t>根据浙江省财政厅关于明确政府采购保证金管理工作的通知【浙财采监（2019）5号文件】规定，</w:t>
            </w:r>
            <w:r>
              <w:rPr>
                <w:rFonts w:hint="eastAsia" w:ascii="宋体" w:hAnsi="宋体" w:cs="宋体"/>
                <w:b/>
                <w:bCs/>
                <w:color w:val="auto"/>
                <w:sz w:val="22"/>
                <w:szCs w:val="22"/>
                <w:highlight w:val="none"/>
              </w:rPr>
              <w:t>本项目不要求缴纳投标保证金。</w:t>
            </w:r>
          </w:p>
        </w:tc>
      </w:tr>
      <w:tr w14:paraId="72CDC66C">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93E7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F96A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eastAsia="zh-CN"/>
              </w:rPr>
              <w:t>投标文件</w:t>
            </w:r>
            <w:r>
              <w:rPr>
                <w:rFonts w:hint="eastAsia" w:ascii="宋体" w:hAnsi="宋体" w:cs="宋体"/>
                <w:color w:val="auto"/>
                <w:kern w:val="0"/>
                <w:sz w:val="22"/>
                <w:szCs w:val="22"/>
                <w:highlight w:val="none"/>
                <w:lang w:val="zh-CN"/>
              </w:rPr>
              <w:t>的组成</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4B257C">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599EC2D8">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08DB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2CDF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eastAsia="zh-CN"/>
              </w:rPr>
              <w:t>投标文件</w:t>
            </w:r>
            <w:r>
              <w:rPr>
                <w:rFonts w:hint="eastAsia" w:ascii="宋体" w:hAnsi="宋体" w:cs="宋体"/>
                <w:color w:val="auto"/>
                <w:kern w:val="0"/>
                <w:sz w:val="22"/>
                <w:szCs w:val="22"/>
                <w:highlight w:val="none"/>
                <w:lang w:val="zh-CN"/>
              </w:rPr>
              <w:t>的编制</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A5690F">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lang w:eastAsia="zh-CN"/>
              </w:rPr>
              <w:t>投标文件</w:t>
            </w:r>
            <w:r>
              <w:rPr>
                <w:rFonts w:hint="eastAsia" w:ascii="宋体" w:hAnsi="宋体" w:cs="宋体"/>
                <w:color w:val="auto"/>
                <w:kern w:val="0"/>
                <w:sz w:val="22"/>
                <w:szCs w:val="22"/>
                <w:highlight w:val="none"/>
                <w:lang w:val="zh-CN"/>
              </w:rPr>
              <w:t>。</w:t>
            </w:r>
          </w:p>
        </w:tc>
      </w:tr>
      <w:tr w14:paraId="60DB83D3">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4E81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CBF5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b/>
                <w:bCs/>
                <w:color w:val="auto"/>
                <w:kern w:val="0"/>
                <w:sz w:val="22"/>
                <w:szCs w:val="22"/>
                <w:highlight w:val="none"/>
                <w:u w:val="single"/>
                <w:lang w:val="zh-CN"/>
              </w:rPr>
              <w:t>▲签字或盖章要求</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2455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eastAsia="宋体" w:cs="宋体"/>
                <w:b/>
                <w:color w:val="auto"/>
                <w:kern w:val="0"/>
                <w:sz w:val="22"/>
                <w:szCs w:val="22"/>
                <w:highlight w:val="none"/>
                <w:u w:val="none"/>
                <w:lang w:val="zh-CN" w:eastAsia="zh-CN" w:bidi="ar-SA"/>
              </w:rPr>
            </w:pPr>
            <w:r>
              <w:rPr>
                <w:rFonts w:hint="eastAsia" w:ascii="宋体" w:eastAsia="宋体" w:cs="宋体"/>
                <w:b/>
                <w:color w:val="auto"/>
                <w:kern w:val="0"/>
                <w:sz w:val="22"/>
                <w:szCs w:val="22"/>
                <w:highlight w:val="none"/>
                <w:u w:val="none"/>
                <w:lang w:val="zh-CN" w:eastAsia="zh-CN" w:bidi="ar-SA"/>
              </w:rPr>
              <w:t>电子投标文件的相应位置应加盖：CA电子签章。</w:t>
            </w:r>
          </w:p>
          <w:p w14:paraId="30573F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eastAsia="宋体" w:cs="宋体"/>
                <w:b/>
                <w:bCs/>
                <w:color w:val="auto"/>
                <w:kern w:val="0"/>
                <w:sz w:val="22"/>
                <w:szCs w:val="22"/>
                <w:highlight w:val="none"/>
                <w:u w:val="none"/>
                <w:lang w:val="zh-CN" w:eastAsia="zh-CN" w:bidi="ar-SA"/>
              </w:rPr>
            </w:pPr>
            <w:r>
              <w:rPr>
                <w:rFonts w:hint="eastAsia" w:ascii="宋体" w:eastAsia="宋体" w:cs="宋体"/>
                <w:b/>
                <w:bCs/>
                <w:color w:val="auto"/>
                <w:kern w:val="0"/>
                <w:sz w:val="22"/>
                <w:szCs w:val="22"/>
                <w:highlight w:val="none"/>
                <w:u w:val="none"/>
                <w:lang w:val="zh-CN" w:eastAsia="zh-CN" w:bidi="ar-SA"/>
              </w:rPr>
              <w:t>1.单位公章：电子投标文件中所须加盖公章部分均采用CA电子签章，如投标人以联合体形式参与投标的，由联合体牵头人进行CA电子签章；</w:t>
            </w:r>
          </w:p>
          <w:p w14:paraId="27DE8C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2.法定代表人签署的规定：</w:t>
            </w:r>
          </w:p>
          <w:p w14:paraId="3F4A6C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如投标人已办理法人CA电子签章的，则法定代表人签署的地方可用CA电子签章进行签署；</w:t>
            </w:r>
          </w:p>
          <w:p w14:paraId="073726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如投标人未办理法人CA电子签章的，电子投标文件中要求投标人法定代表人签署的地方，须投标人制作成word版本先打印出来，由法定代表人签署后再上传PDF。</w:t>
            </w:r>
          </w:p>
          <w:p w14:paraId="472D39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3、授权代表签署的规定：</w:t>
            </w:r>
          </w:p>
          <w:p w14:paraId="0764DD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如授权代表已办理CA电子签章的，则授权代表签署的地方可用CA电子签章进行签署；</w:t>
            </w:r>
          </w:p>
          <w:p w14:paraId="1A0D9F1C">
            <w:pPr>
              <w:keepNext w:val="0"/>
              <w:keepLines w:val="0"/>
              <w:suppressLineNumbers w:val="0"/>
              <w:autoSpaceDE w:val="0"/>
              <w:autoSpaceDN w:val="0"/>
              <w:adjustRightInd w:val="0"/>
              <w:spacing w:before="0" w:beforeAutospacing="0" w:after="0" w:afterAutospacing="0" w:line="360" w:lineRule="exact"/>
              <w:ind w:left="0" w:right="0" w:firstLineChars="0"/>
              <w:rPr>
                <w:rFonts w:hint="default" w:ascii="宋体" w:hAnsi="宋体" w:eastAsia="宋体" w:cs="宋体"/>
                <w:color w:val="auto"/>
                <w:kern w:val="2"/>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如授权代表未办理CA电子签章的，电子投标文件中要求授权代表签署的地方，须投标人制作成word版本先打印出来，由授权代表签署后再上传PDF。4.政府采购云系统平台有新的操作流程的，按其规定。</w:t>
            </w:r>
          </w:p>
        </w:tc>
      </w:tr>
      <w:tr w14:paraId="768E07D9">
        <w:tblPrEx>
          <w:tblCellMar>
            <w:top w:w="0" w:type="dxa"/>
            <w:left w:w="108" w:type="dxa"/>
            <w:bottom w:w="0" w:type="dxa"/>
            <w:right w:w="108" w:type="dxa"/>
          </w:tblCellMar>
        </w:tblPrEx>
        <w:trPr>
          <w:trHeight w:val="1872"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EB690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18</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B51C8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投标文件</w:t>
            </w:r>
            <w:r>
              <w:rPr>
                <w:rFonts w:hint="eastAsia" w:ascii="宋体" w:hAnsi="宋体" w:cs="宋体"/>
                <w:color w:val="auto"/>
                <w:kern w:val="0"/>
                <w:sz w:val="22"/>
                <w:szCs w:val="22"/>
                <w:highlight w:val="none"/>
                <w:lang w:val="zh-CN"/>
              </w:rPr>
              <w:t>的形式</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2B42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bCs/>
                <w:color w:val="auto"/>
                <w:kern w:val="0"/>
                <w:sz w:val="22"/>
                <w:szCs w:val="22"/>
                <w:highlight w:val="none"/>
                <w:lang w:val="zh-CN" w:eastAsia="zh-CN" w:bidi="ar-SA"/>
              </w:rPr>
              <w:t>☑电子</w:t>
            </w:r>
            <w:r>
              <w:rPr>
                <w:rFonts w:hint="eastAsia" w:ascii="宋体" w:eastAsia="宋体" w:cs="宋体"/>
                <w:b/>
                <w:bCs/>
                <w:color w:val="auto"/>
                <w:kern w:val="0"/>
                <w:sz w:val="22"/>
                <w:szCs w:val="22"/>
                <w:highlight w:val="none"/>
                <w:lang w:val="en-US" w:eastAsia="zh-CN" w:bidi="ar-SA"/>
              </w:rPr>
              <w:t>投标文件</w:t>
            </w:r>
            <w:r>
              <w:rPr>
                <w:rFonts w:hint="eastAsia" w:ascii="宋体" w:eastAsia="宋体" w:cs="宋体"/>
                <w:b/>
                <w:color w:val="auto"/>
                <w:kern w:val="0"/>
                <w:sz w:val="22"/>
                <w:szCs w:val="22"/>
                <w:highlight w:val="none"/>
                <w:lang w:val="zh-CN" w:eastAsia="zh-CN" w:bidi="ar-SA"/>
              </w:rPr>
              <w:t>。</w:t>
            </w:r>
          </w:p>
          <w:p w14:paraId="7C689DF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投标人须准备电子</w:t>
            </w:r>
            <w:r>
              <w:rPr>
                <w:rFonts w:hint="eastAsia" w:ascii="宋体" w:eastAsia="宋体" w:cs="宋体"/>
                <w:b/>
                <w:color w:val="auto"/>
                <w:kern w:val="0"/>
                <w:sz w:val="22"/>
                <w:szCs w:val="22"/>
                <w:highlight w:val="none"/>
                <w:lang w:val="en-US" w:eastAsia="zh-CN" w:bidi="ar-SA"/>
              </w:rPr>
              <w:t>投标文件</w:t>
            </w:r>
            <w:r>
              <w:rPr>
                <w:rFonts w:hint="eastAsia" w:ascii="宋体" w:eastAsia="宋体" w:cs="宋体"/>
                <w:b/>
                <w:color w:val="auto"/>
                <w:kern w:val="0"/>
                <w:sz w:val="22"/>
                <w:szCs w:val="22"/>
                <w:highlight w:val="none"/>
                <w:lang w:val="zh-CN" w:eastAsia="zh-CN" w:bidi="ar-SA"/>
              </w:rPr>
              <w:t>（包括“电子加密投标文件(文件后缀格式为.jmbs)”和“备份投标文件(文件后缀格式为.bfbs)”两类，在投标文件编制完成后同时生成）。</w:t>
            </w:r>
          </w:p>
          <w:p w14:paraId="102BB4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（1）“电子加密投标文件”是指通过“政采云电子交易客户端”完成投标文件编制后生成并加密的数据电文形式的投标文件。</w:t>
            </w:r>
          </w:p>
          <w:p w14:paraId="648DC2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（2）“备份投标文件”是指与“电子加密投标文件”同时生成的数据电文形式的电子文件（备份标书），其他方式编制的备份投标文件视为无效备份投标文件。</w:t>
            </w:r>
          </w:p>
          <w:p w14:paraId="0F9E1548">
            <w:pPr>
              <w:pStyle w:val="24"/>
              <w:keepNext w:val="0"/>
              <w:keepLines w:val="0"/>
              <w:suppressLineNumbers w:val="0"/>
              <w:spacing w:before="0" w:beforeAutospacing="0" w:afterAutospacing="0" w:line="400" w:lineRule="exact"/>
              <w:ind w:left="0" w:right="0" w:firstLine="0" w:firstLineChars="0"/>
              <w:rPr>
                <w:rFonts w:hint="eastAsia" w:ascii="宋体" w:hAnsi="宋体" w:cs="宋体"/>
                <w:color w:val="auto"/>
                <w:sz w:val="22"/>
                <w:szCs w:val="22"/>
                <w:highlight w:val="none"/>
                <w:lang w:val="zh-CN"/>
              </w:rPr>
            </w:pPr>
            <w:r>
              <w:rPr>
                <w:rFonts w:hint="eastAsia" w:ascii="宋体" w:eastAsia="宋体" w:cs="宋体"/>
                <w:b/>
                <w:color w:val="auto"/>
                <w:kern w:val="0"/>
                <w:sz w:val="22"/>
                <w:szCs w:val="22"/>
                <w:highlight w:val="none"/>
                <w:lang w:val="zh-CN" w:eastAsia="zh-CN" w:bidi="ar-SA"/>
              </w:rPr>
              <w:t>以上两类投标文件均由资格响应文件、商务技术响应文件、报价响应文件三部分组成。</w:t>
            </w:r>
          </w:p>
        </w:tc>
      </w:tr>
      <w:tr w14:paraId="619944CA">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AFF82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19</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8F840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u w:val="single"/>
                <w:lang w:val="zh-CN"/>
              </w:rPr>
              <w:t>▲电子</w:t>
            </w:r>
            <w:r>
              <w:rPr>
                <w:rFonts w:hint="eastAsia" w:ascii="宋体" w:hAnsi="宋体" w:cs="宋体"/>
                <w:b/>
                <w:bCs/>
                <w:color w:val="auto"/>
                <w:kern w:val="0"/>
                <w:sz w:val="22"/>
                <w:szCs w:val="22"/>
                <w:highlight w:val="none"/>
                <w:u w:val="single"/>
                <w:lang w:val="en-US" w:eastAsia="zh-CN"/>
              </w:rPr>
              <w:t>投标文件</w:t>
            </w:r>
            <w:r>
              <w:rPr>
                <w:rFonts w:hint="eastAsia" w:ascii="宋体" w:hAnsi="宋体" w:cs="宋体"/>
                <w:b/>
                <w:bCs/>
                <w:color w:val="auto"/>
                <w:kern w:val="0"/>
                <w:sz w:val="22"/>
                <w:szCs w:val="22"/>
                <w:highlight w:val="none"/>
                <w:u w:val="single"/>
                <w:lang w:val="zh-CN"/>
              </w:rPr>
              <w:t>的上传和递交</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9EEB01">
            <w:pPr>
              <w:pStyle w:val="75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宋体" w:eastAsia="宋体" w:cs="宋体"/>
                <w:b/>
                <w:color w:val="auto"/>
                <w:sz w:val="22"/>
                <w:szCs w:val="22"/>
                <w:highlight w:val="none"/>
                <w:lang w:bidi="ar-SA"/>
              </w:rPr>
            </w:pPr>
            <w:r>
              <w:rPr>
                <w:rFonts w:hint="eastAsia" w:ascii="宋体" w:eastAsia="宋体" w:cs="宋体"/>
                <w:b/>
                <w:bCs/>
                <w:color w:val="auto"/>
                <w:sz w:val="22"/>
                <w:szCs w:val="22"/>
                <w:highlight w:val="none"/>
                <w:lang w:val="en-US" w:eastAsia="en-US" w:bidi="ar-SA"/>
              </w:rPr>
              <w:t>1、</w:t>
            </w:r>
            <w:r>
              <w:rPr>
                <w:rFonts w:hint="eastAsia" w:ascii="宋体" w:eastAsia="宋体" w:cs="宋体"/>
                <w:b/>
                <w:bCs/>
                <w:color w:val="auto"/>
                <w:sz w:val="22"/>
                <w:szCs w:val="22"/>
                <w:highlight w:val="none"/>
                <w:lang w:bidi="ar-SA"/>
              </w:rPr>
              <w:t>“电子加密</w:t>
            </w:r>
            <w:r>
              <w:rPr>
                <w:rFonts w:hint="eastAsia" w:ascii="宋体" w:eastAsia="宋体" w:cs="宋体"/>
                <w:b/>
                <w:bCs/>
                <w:color w:val="auto"/>
                <w:sz w:val="22"/>
                <w:szCs w:val="22"/>
                <w:highlight w:val="none"/>
                <w:lang w:eastAsia="zh-CN" w:bidi="ar-SA"/>
              </w:rPr>
              <w:t>投标文件</w:t>
            </w:r>
            <w:r>
              <w:rPr>
                <w:rFonts w:hint="eastAsia" w:ascii="宋体" w:eastAsia="宋体" w:cs="宋体"/>
                <w:b/>
                <w:bCs/>
                <w:color w:val="auto"/>
                <w:sz w:val="22"/>
                <w:szCs w:val="22"/>
                <w:highlight w:val="none"/>
                <w:lang w:bidi="ar-SA"/>
              </w:rPr>
              <w:t>”的上传、递交，</w:t>
            </w:r>
            <w:r>
              <w:rPr>
                <w:rFonts w:hint="eastAsia" w:ascii="宋体" w:eastAsia="宋体" w:cs="宋体"/>
                <w:b/>
                <w:bCs/>
                <w:color w:val="auto"/>
                <w:sz w:val="22"/>
                <w:szCs w:val="22"/>
                <w:highlight w:val="none"/>
                <w:lang w:val="en-US" w:eastAsia="en-US" w:bidi="ar-SA"/>
              </w:rPr>
              <w:t>具体详见《政府采购项目电子交易管理操作指南-投标人》（投标人自行去政采云系统上进行下载）</w:t>
            </w:r>
            <w:r>
              <w:rPr>
                <w:rFonts w:hint="eastAsia" w:ascii="宋体" w:eastAsia="宋体" w:cs="宋体"/>
                <w:b/>
                <w:bCs/>
                <w:color w:val="auto"/>
                <w:sz w:val="22"/>
                <w:szCs w:val="22"/>
                <w:highlight w:val="none"/>
                <w:lang w:bidi="ar-SA"/>
              </w:rPr>
              <w:t>：</w:t>
            </w:r>
          </w:p>
          <w:p w14:paraId="4A30A261">
            <w:pPr>
              <w:pStyle w:val="75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（1）投标人应在</w:t>
            </w:r>
            <w:r>
              <w:rPr>
                <w:rFonts w:hint="eastAsia" w:ascii="宋体" w:eastAsia="宋体" w:cs="宋体"/>
                <w:b/>
                <w:color w:val="auto"/>
                <w:sz w:val="22"/>
                <w:szCs w:val="22"/>
                <w:highlight w:val="none"/>
                <w:lang w:eastAsia="zh-CN" w:bidi="ar-SA"/>
              </w:rPr>
              <w:t>投标文件</w:t>
            </w:r>
            <w:r>
              <w:rPr>
                <w:rFonts w:hint="eastAsia" w:ascii="宋体" w:eastAsia="宋体" w:cs="宋体"/>
                <w:b/>
                <w:color w:val="auto"/>
                <w:sz w:val="22"/>
                <w:szCs w:val="22"/>
                <w:highlight w:val="none"/>
                <w:lang w:bidi="ar-SA"/>
              </w:rPr>
              <w:t>递交截止时间前将“电子加密</w:t>
            </w:r>
            <w:r>
              <w:rPr>
                <w:rFonts w:hint="eastAsia" w:ascii="宋体" w:eastAsia="宋体" w:cs="宋体"/>
                <w:b/>
                <w:color w:val="auto"/>
                <w:sz w:val="22"/>
                <w:szCs w:val="22"/>
                <w:highlight w:val="none"/>
                <w:lang w:eastAsia="zh-CN" w:bidi="ar-SA"/>
              </w:rPr>
              <w:t>投标文件</w:t>
            </w:r>
            <w:r>
              <w:rPr>
                <w:rFonts w:hint="eastAsia" w:ascii="宋体" w:eastAsia="宋体" w:cs="宋体"/>
                <w:b/>
                <w:color w:val="auto"/>
                <w:sz w:val="22"/>
                <w:szCs w:val="22"/>
                <w:highlight w:val="none"/>
                <w:lang w:bidi="ar-SA"/>
              </w:rPr>
              <w:t>”成功上传递交至“政府采购云平台”，</w:t>
            </w:r>
            <w:r>
              <w:rPr>
                <w:rFonts w:hint="eastAsia" w:ascii="宋体" w:eastAsia="宋体" w:cs="宋体"/>
                <w:b/>
                <w:bCs/>
                <w:color w:val="auto"/>
                <w:sz w:val="22"/>
                <w:szCs w:val="22"/>
                <w:highlight w:val="none"/>
                <w:lang w:val="en-US" w:eastAsia="en-US" w:bidi="ar-SA"/>
              </w:rPr>
              <w:t>接到解密通知</w:t>
            </w:r>
            <w:r>
              <w:rPr>
                <w:rFonts w:hint="eastAsia" w:ascii="宋体" w:eastAsia="宋体" w:cs="宋体"/>
                <w:b/>
                <w:bCs/>
                <w:color w:val="auto"/>
                <w:sz w:val="22"/>
                <w:szCs w:val="22"/>
                <w:highlight w:val="none"/>
                <w:lang w:bidi="ar-SA"/>
              </w:rPr>
              <w:t>后，解密电子加密</w:t>
            </w:r>
            <w:r>
              <w:rPr>
                <w:rFonts w:hint="eastAsia" w:ascii="宋体" w:eastAsia="宋体" w:cs="宋体"/>
                <w:b/>
                <w:bCs/>
                <w:color w:val="auto"/>
                <w:sz w:val="22"/>
                <w:szCs w:val="22"/>
                <w:highlight w:val="none"/>
                <w:lang w:eastAsia="zh-CN" w:bidi="ar-SA"/>
              </w:rPr>
              <w:t>投标文件</w:t>
            </w:r>
            <w:r>
              <w:rPr>
                <w:rFonts w:hint="eastAsia" w:ascii="宋体" w:eastAsia="宋体" w:cs="宋体"/>
                <w:b/>
                <w:color w:val="auto"/>
                <w:sz w:val="22"/>
                <w:szCs w:val="22"/>
                <w:highlight w:val="none"/>
                <w:lang w:bidi="ar-SA"/>
              </w:rPr>
              <w:t>。</w:t>
            </w:r>
          </w:p>
          <w:p w14:paraId="599F67ED">
            <w:pPr>
              <w:pStyle w:val="75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val="en-US" w:eastAsia="en-US" w:bidi="ar-SA"/>
              </w:rPr>
              <w:t>（2</w:t>
            </w:r>
            <w:r>
              <w:rPr>
                <w:rFonts w:hint="eastAsia" w:ascii="宋体" w:eastAsia="宋体" w:cs="宋体"/>
                <w:b/>
                <w:bCs/>
                <w:color w:val="auto"/>
                <w:sz w:val="22"/>
                <w:szCs w:val="22"/>
                <w:highlight w:val="none"/>
                <w:lang w:bidi="ar-SA"/>
              </w:rPr>
              <w:t>）</w:t>
            </w:r>
            <w:r>
              <w:rPr>
                <w:rFonts w:hint="eastAsia" w:ascii="宋体" w:eastAsia="宋体" w:cs="宋体"/>
                <w:b/>
                <w:bCs/>
                <w:color w:val="auto"/>
                <w:sz w:val="22"/>
                <w:szCs w:val="22"/>
                <w:highlight w:val="none"/>
                <w:lang w:val="en-US" w:eastAsia="en-US" w:bidi="ar-SA"/>
              </w:rPr>
              <w:t>电子加密</w:t>
            </w:r>
            <w:r>
              <w:rPr>
                <w:rFonts w:hint="eastAsia" w:ascii="宋体" w:eastAsia="宋体" w:cs="宋体"/>
                <w:b/>
                <w:bCs/>
                <w:color w:val="auto"/>
                <w:sz w:val="22"/>
                <w:szCs w:val="22"/>
                <w:highlight w:val="none"/>
                <w:lang w:val="en-US" w:eastAsia="zh-CN" w:bidi="ar-SA"/>
              </w:rPr>
              <w:t>投标文件</w:t>
            </w:r>
            <w:r>
              <w:rPr>
                <w:rFonts w:hint="eastAsia" w:ascii="宋体" w:eastAsia="宋体" w:cs="宋体"/>
                <w:b/>
                <w:bCs/>
                <w:color w:val="auto"/>
                <w:sz w:val="22"/>
                <w:szCs w:val="22"/>
                <w:highlight w:val="none"/>
                <w:lang w:bidi="ar-SA"/>
              </w:rPr>
              <w:t>上传成功后，在“电子投标文件上传-进行中”标签页下，显示状态为“已上传”。可在此处下载打印回执；在投标截止时间前，投标人可撤回电子加密投标文件，修改内容。</w:t>
            </w:r>
          </w:p>
          <w:p w14:paraId="00209297">
            <w:pPr>
              <w:pStyle w:val="75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2、“备份投标文件”的递交：</w:t>
            </w:r>
          </w:p>
          <w:p w14:paraId="355076C1">
            <w:pPr>
              <w:pStyle w:val="758"/>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both"/>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（1）投标人在“政府采购云平台”完成“电子加密</w:t>
            </w:r>
            <w:r>
              <w:rPr>
                <w:rFonts w:hint="eastAsia" w:ascii="宋体" w:eastAsia="宋体" w:cs="宋体"/>
                <w:b/>
                <w:color w:val="auto"/>
                <w:sz w:val="22"/>
                <w:szCs w:val="22"/>
                <w:highlight w:val="none"/>
                <w:lang w:eastAsia="zh-CN" w:bidi="ar-SA"/>
              </w:rPr>
              <w:t>投标文件</w:t>
            </w:r>
            <w:r>
              <w:rPr>
                <w:rFonts w:hint="eastAsia" w:ascii="宋体" w:eastAsia="宋体" w:cs="宋体"/>
                <w:b/>
                <w:color w:val="auto"/>
                <w:sz w:val="22"/>
                <w:szCs w:val="22"/>
                <w:highlight w:val="none"/>
                <w:lang w:bidi="ar-SA"/>
              </w:rPr>
              <w:t>”的上传递交后，</w:t>
            </w:r>
            <w:r>
              <w:rPr>
                <w:rFonts w:hint="eastAsia" w:ascii="宋体" w:eastAsia="宋体" w:cs="宋体"/>
                <w:b/>
                <w:color w:val="auto"/>
                <w:sz w:val="22"/>
                <w:szCs w:val="22"/>
                <w:highlight w:val="none"/>
                <w:lang w:bidi="ar-SA"/>
              </w:rPr>
              <w:fldChar w:fldCharType="begin"/>
            </w:r>
            <w:r>
              <w:rPr>
                <w:rStyle w:val="72"/>
                <w:rFonts w:hint="eastAsia" w:ascii="宋体" w:eastAsia="宋体" w:cs="宋体"/>
                <w:b/>
                <w:color w:val="auto"/>
                <w:sz w:val="22"/>
                <w:szCs w:val="22"/>
                <w:highlight w:val="none"/>
                <w:lang w:bidi="ar-SA"/>
              </w:rPr>
              <w:instrText xml:space="preserve">HYPERLINK "mailto:可以（建议）在投标截止时间前将系统生成的备份投标文件（后缀格式为.bfbs）以电子邮件形式传送至采购代理机构指定邮箱zhejiangchuangjia@126.com，"</w:instrText>
            </w:r>
            <w:r>
              <w:rPr>
                <w:rFonts w:hint="eastAsia" w:ascii="宋体" w:eastAsia="宋体" w:cs="宋体"/>
                <w:b/>
                <w:color w:val="auto"/>
                <w:sz w:val="22"/>
                <w:szCs w:val="22"/>
                <w:highlight w:val="none"/>
                <w:lang w:bidi="ar-SA"/>
              </w:rPr>
              <w:fldChar w:fldCharType="separate"/>
            </w:r>
            <w:r>
              <w:rPr>
                <w:rStyle w:val="72"/>
                <w:rFonts w:hint="eastAsia" w:ascii="宋体" w:eastAsia="宋体" w:cs="宋体"/>
                <w:b/>
                <w:color w:val="auto"/>
                <w:sz w:val="22"/>
                <w:szCs w:val="22"/>
                <w:highlight w:val="none"/>
                <w:lang w:bidi="ar-SA"/>
              </w:rPr>
              <w:t>可以（建议）在投标截止时间前将系统生成的备份投标文件（后缀格式为.bfbs）以电子邮件形式传送至采购代理机构指定邮箱</w:t>
            </w:r>
            <w:r>
              <w:rPr>
                <w:rStyle w:val="72"/>
                <w:rFonts w:hint="eastAsia" w:eastAsia="宋体" w:cs="宋体"/>
                <w:b/>
                <w:color w:val="auto"/>
                <w:sz w:val="22"/>
                <w:szCs w:val="22"/>
                <w:highlight w:val="none"/>
                <w:lang w:val="en-US" w:eastAsia="zh-CN" w:bidi="ar-SA"/>
              </w:rPr>
              <w:t>511920567</w:t>
            </w:r>
            <w:r>
              <w:rPr>
                <w:rStyle w:val="72"/>
                <w:rFonts w:hint="eastAsia" w:eastAsia="宋体" w:cs="宋体"/>
                <w:b/>
                <w:color w:val="auto"/>
                <w:sz w:val="22"/>
                <w:szCs w:val="22"/>
                <w:highlight w:val="none"/>
                <w:lang w:eastAsia="zh-CN" w:bidi="ar-SA"/>
              </w:rPr>
              <w:t>@qq.com</w:t>
            </w:r>
            <w:r>
              <w:rPr>
                <w:rStyle w:val="72"/>
                <w:rFonts w:hint="eastAsia" w:ascii="宋体" w:eastAsia="宋体" w:cs="宋体"/>
                <w:b/>
                <w:color w:val="auto"/>
                <w:sz w:val="22"/>
                <w:szCs w:val="22"/>
                <w:highlight w:val="none"/>
                <w:lang w:bidi="ar-SA"/>
              </w:rPr>
              <w:t>，</w:t>
            </w:r>
            <w:r>
              <w:rPr>
                <w:rFonts w:hint="eastAsia" w:ascii="宋体" w:eastAsia="宋体" w:cs="宋体"/>
                <w:b/>
                <w:color w:val="auto"/>
                <w:sz w:val="22"/>
                <w:szCs w:val="22"/>
                <w:highlight w:val="none"/>
                <w:lang w:bidi="ar-SA"/>
              </w:rPr>
              <w:fldChar w:fldCharType="end"/>
            </w:r>
            <w:r>
              <w:rPr>
                <w:rFonts w:hint="eastAsia" w:ascii="宋体" w:eastAsia="宋体" w:cs="宋体"/>
                <w:b/>
                <w:color w:val="auto"/>
                <w:sz w:val="22"/>
                <w:szCs w:val="22"/>
                <w:highlight w:val="none"/>
                <w:lang w:bidi="ar-SA"/>
              </w:rPr>
              <w:t>传送的备份标书需打包压缩并加密，加密密码由投标人自行保管；</w:t>
            </w:r>
          </w:p>
          <w:p w14:paraId="6783AB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3）通过“政府采购云平台”成功上传递交的“电子加密投标文件”已按时解密的，“备份投标文件”自动失效。无法按时解密的，投标人递交了备份投标文件的，以备份投标文件为依据，否则视为电子投标文件撤</w:t>
            </w:r>
            <w:r>
              <w:rPr>
                <w:rFonts w:hint="eastAsia" w:ascii="宋体" w:eastAsia="宋体" w:cs="宋体"/>
                <w:b/>
                <w:color w:val="auto"/>
                <w:kern w:val="0"/>
                <w:sz w:val="22"/>
                <w:szCs w:val="22"/>
                <w:highlight w:val="none"/>
                <w:lang w:val="en-US" w:eastAsia="zh-CN" w:bidi="ar-SA"/>
              </w:rPr>
              <w:t>回</w:t>
            </w:r>
            <w:r>
              <w:rPr>
                <w:rFonts w:hint="eastAsia" w:ascii="宋体" w:eastAsia="宋体" w:cs="宋体"/>
                <w:b/>
                <w:color w:val="auto"/>
                <w:kern w:val="0"/>
                <w:sz w:val="22"/>
                <w:szCs w:val="22"/>
                <w:highlight w:val="none"/>
                <w:lang w:val="zh-CN" w:eastAsia="zh-CN" w:bidi="ar-SA"/>
              </w:rPr>
              <w:t>。投标文件递交截止时间前，投标人仅递交了“备份投标文件”而未将“电子加密投标文件”成功上传至“政府采购云平台”的，投标无效。</w:t>
            </w:r>
          </w:p>
          <w:p w14:paraId="498A849A">
            <w:pPr>
              <w:pStyle w:val="24"/>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eastAsia" w:ascii="宋体" w:eastAsia="宋体" w:cs="宋体"/>
                <w:b/>
                <w:color w:val="auto"/>
                <w:sz w:val="22"/>
                <w:szCs w:val="22"/>
                <w:highlight w:val="none"/>
                <w:lang w:val="zh-CN" w:eastAsia="zh-CN" w:bidi="ar-SA"/>
              </w:rPr>
            </w:pPr>
            <w:r>
              <w:rPr>
                <w:rFonts w:hint="eastAsia" w:ascii="宋体" w:eastAsia="宋体" w:cs="宋体"/>
                <w:b/>
                <w:color w:val="auto"/>
                <w:sz w:val="22"/>
                <w:szCs w:val="22"/>
                <w:highlight w:val="none"/>
                <w:lang w:val="zh-CN" w:eastAsia="zh-CN" w:bidi="ar-SA"/>
              </w:rPr>
              <w:t>3、</w:t>
            </w:r>
            <w:r>
              <w:rPr>
                <w:rFonts w:hint="eastAsia" w:ascii="宋体" w:eastAsia="宋体" w:cs="宋体"/>
                <w:b/>
                <w:bCs/>
                <w:color w:val="auto"/>
                <w:sz w:val="22"/>
                <w:szCs w:val="22"/>
                <w:highlight w:val="none"/>
                <w:lang w:val="en-US" w:eastAsia="zh-CN" w:bidi="ar-SA"/>
              </w:rPr>
              <w:t>投标人需保证上传的电子加密投标文件与提交的备份投标文件必须同时生成且内容完全一致。</w:t>
            </w:r>
          </w:p>
          <w:p w14:paraId="2E81742C">
            <w:pPr>
              <w:pStyle w:val="24"/>
              <w:keepNext w:val="0"/>
              <w:keepLines w:val="0"/>
              <w:suppressLineNumbers w:val="0"/>
              <w:spacing w:before="0" w:beforeAutospacing="0" w:afterAutospacing="0" w:line="400" w:lineRule="exact"/>
              <w:ind w:left="0" w:right="0" w:firstLine="0" w:firstLineChars="0"/>
              <w:rPr>
                <w:rFonts w:hint="eastAsia" w:ascii="宋体" w:hAnsi="宋体" w:cs="宋体"/>
                <w:color w:val="auto"/>
                <w:sz w:val="22"/>
                <w:szCs w:val="22"/>
                <w:highlight w:val="none"/>
                <w:lang w:val="zh-CN"/>
              </w:rPr>
            </w:pPr>
            <w:r>
              <w:rPr>
                <w:rFonts w:hint="eastAsia" w:ascii="宋体" w:eastAsia="宋体" w:cs="宋体"/>
                <w:b/>
                <w:color w:val="auto"/>
                <w:sz w:val="22"/>
                <w:szCs w:val="22"/>
                <w:highlight w:val="none"/>
                <w:lang w:val="en-US" w:eastAsia="zh-CN" w:bidi="ar-SA"/>
              </w:rPr>
              <w:t>4、解密CA必须是上传并制作电子投标文件CA锁。</w:t>
            </w:r>
          </w:p>
        </w:tc>
      </w:tr>
      <w:tr w14:paraId="17C36312">
        <w:tblPrEx>
          <w:tblCellMar>
            <w:top w:w="0" w:type="dxa"/>
            <w:left w:w="108" w:type="dxa"/>
            <w:bottom w:w="0" w:type="dxa"/>
            <w:right w:w="108" w:type="dxa"/>
          </w:tblCellMar>
        </w:tblPrEx>
        <w:trPr>
          <w:trHeight w:val="463"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1CF7D9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20</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6AF9F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u w:val="single"/>
                <w:lang w:val="zh-CN"/>
              </w:rPr>
              <w:t>▲电子加密投标文件的解密和异常情况处理</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A863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（1）开标后，采购组织机构将向各投标人发出“电子加密投标文件”的解密通知，各投标人代表应当在接到解密通知后</w:t>
            </w:r>
            <w:r>
              <w:rPr>
                <w:rFonts w:hint="eastAsia" w:ascii="宋体" w:eastAsia="宋体" w:cs="宋体"/>
                <w:b/>
                <w:color w:val="auto"/>
                <w:kern w:val="0"/>
                <w:sz w:val="22"/>
                <w:szCs w:val="22"/>
                <w:highlight w:val="none"/>
                <w:lang w:val="en-US" w:eastAsia="zh-CN" w:bidi="ar-SA"/>
              </w:rPr>
              <w:t>30</w:t>
            </w:r>
            <w:r>
              <w:rPr>
                <w:rFonts w:hint="eastAsia" w:ascii="宋体" w:eastAsia="宋体" w:cs="宋体"/>
                <w:b/>
                <w:color w:val="auto"/>
                <w:kern w:val="0"/>
                <w:sz w:val="22"/>
                <w:szCs w:val="22"/>
                <w:highlight w:val="none"/>
                <w:lang w:val="zh-CN" w:eastAsia="zh-CN" w:bidi="ar-SA"/>
              </w:rPr>
              <w:t>分钟内自行完成“电子加密投标文件”的在线解密（解密电子加密投标文件必须插入CA）。</w:t>
            </w:r>
          </w:p>
          <w:p w14:paraId="189481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（2）投标文件递交截止时间前，投标人仅递交了“备份投标文件”而未将电子加密投标文件上传至“政府采购云平台”的，投标无效。</w:t>
            </w:r>
          </w:p>
          <w:p w14:paraId="0C6760CE">
            <w:pPr>
              <w:pStyle w:val="24"/>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eastAsia" w:ascii="宋体" w:eastAsia="宋体" w:cs="宋体"/>
                <w:b/>
                <w:color w:val="auto"/>
                <w:kern w:val="0"/>
                <w:sz w:val="22"/>
                <w:szCs w:val="22"/>
                <w:highlight w:val="none"/>
                <w:lang w:val="zh-CN" w:eastAsia="zh-CN" w:bidi="ar-SA"/>
              </w:rPr>
            </w:pPr>
            <w:r>
              <w:rPr>
                <w:rFonts w:hint="eastAsia" w:ascii="宋体" w:eastAsia="宋体" w:cs="宋体"/>
                <w:b/>
                <w:color w:val="auto"/>
                <w:kern w:val="0"/>
                <w:sz w:val="22"/>
                <w:szCs w:val="22"/>
                <w:highlight w:val="none"/>
                <w:lang w:val="zh-CN" w:eastAsia="zh-CN" w:bidi="ar-SA"/>
              </w:rPr>
              <w:t>（3）投标人务必按时自行解密，规定时间内解密失败且经异常处理但政采云电子交易系统仍未能识别备份投标文件的投标文件作无效标处理。</w:t>
            </w:r>
          </w:p>
          <w:p w14:paraId="1E8AB55C">
            <w:pPr>
              <w:pStyle w:val="24"/>
              <w:keepNext w:val="0"/>
              <w:keepLines w:val="0"/>
              <w:suppressLineNumbers w:val="0"/>
              <w:spacing w:before="0" w:beforeAutospacing="0" w:afterAutospacing="0" w:line="400" w:lineRule="exact"/>
              <w:ind w:left="0" w:right="0" w:firstLine="0" w:firstLineChars="0"/>
              <w:rPr>
                <w:rFonts w:hint="eastAsia" w:ascii="宋体" w:hAnsi="宋体" w:cs="宋体"/>
                <w:color w:val="auto"/>
                <w:sz w:val="22"/>
                <w:szCs w:val="22"/>
                <w:highlight w:val="none"/>
                <w:lang w:val="zh-CN"/>
              </w:rPr>
            </w:pPr>
            <w:r>
              <w:rPr>
                <w:rFonts w:hint="eastAsia" w:ascii="宋体" w:eastAsia="宋体" w:cs="宋体"/>
                <w:b/>
                <w:color w:val="auto"/>
                <w:kern w:val="0"/>
                <w:sz w:val="22"/>
                <w:szCs w:val="22"/>
                <w:highlight w:val="none"/>
                <w:lang w:val="zh-CN" w:eastAsia="zh-CN" w:bidi="ar-SA"/>
              </w:rPr>
              <w:t>（4）异常处理：如政采云上电子加密投标文件出现解密失败情况，投标人可根据自身意愿确认是否将备份电子投标文件压缩包的解密密码传送至采购代理机构邮箱</w:t>
            </w:r>
            <w:r>
              <w:rPr>
                <w:rFonts w:hint="eastAsia" w:ascii="宋体" w:eastAsia="宋体" w:cs="宋体"/>
                <w:b/>
                <w:color w:val="auto"/>
                <w:kern w:val="0"/>
                <w:sz w:val="22"/>
                <w:szCs w:val="22"/>
                <w:highlight w:val="none"/>
                <w:lang w:val="en-US" w:eastAsia="zh-CN" w:bidi="ar-SA"/>
              </w:rPr>
              <w:t>511920567</w:t>
            </w:r>
            <w:r>
              <w:rPr>
                <w:rFonts w:hint="eastAsia" w:ascii="宋体" w:eastAsia="宋体" w:cs="宋体"/>
                <w:b/>
                <w:color w:val="auto"/>
                <w:kern w:val="0"/>
                <w:sz w:val="22"/>
                <w:szCs w:val="22"/>
                <w:highlight w:val="none"/>
                <w:lang w:val="zh-CN" w:eastAsia="zh-CN" w:bidi="ar-SA"/>
              </w:rPr>
              <w:t>@qq.com,采购代理机构收到解密密码后通过【异常处理】的端口对投标人的备份电子投标文件进行上传（上传成功后，“电子加密投标文件”自动失效），由政采云系统进行识别，不能成功上传的视为电子投标文件撤回）。</w:t>
            </w:r>
          </w:p>
        </w:tc>
      </w:tr>
      <w:tr w14:paraId="3E537342">
        <w:tblPrEx>
          <w:tblCellMar>
            <w:top w:w="0" w:type="dxa"/>
            <w:left w:w="108" w:type="dxa"/>
            <w:bottom w:w="0" w:type="dxa"/>
            <w:right w:w="108" w:type="dxa"/>
          </w:tblCellMar>
        </w:tblPrEx>
        <w:trPr>
          <w:trHeight w:val="44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0426E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21</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7E38C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u w:val="single"/>
                <w:lang w:val="zh-CN"/>
              </w:rPr>
              <w:t>▲政采云系统默认投标人自动放弃的情形</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A774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bidi="ar-SA"/>
              </w:rPr>
              <w:t>（1）投标人未按规定上传电子投标文件的；</w:t>
            </w:r>
          </w:p>
          <w:p w14:paraId="19B79814">
            <w:pPr>
              <w:pStyle w:val="24"/>
              <w:keepNext w:val="0"/>
              <w:keepLines w:val="0"/>
              <w:suppressLineNumbers w:val="0"/>
              <w:spacing w:before="0" w:beforeAutospacing="0" w:afterAutospacing="0" w:line="400" w:lineRule="exact"/>
              <w:ind w:left="0" w:right="0" w:firstLine="0" w:firstLineChars="0"/>
              <w:rPr>
                <w:rFonts w:hint="eastAsia" w:ascii="宋体" w:hAnsi="宋体" w:cs="宋体"/>
                <w:color w:val="auto"/>
                <w:sz w:val="22"/>
                <w:szCs w:val="22"/>
                <w:highlight w:val="none"/>
                <w:lang w:val="zh-CN"/>
              </w:rPr>
            </w:pPr>
            <w:r>
              <w:rPr>
                <w:rFonts w:hint="eastAsia" w:ascii="宋体" w:eastAsia="宋体" w:cs="宋体"/>
                <w:b/>
                <w:bCs/>
                <w:color w:val="auto"/>
                <w:sz w:val="22"/>
                <w:szCs w:val="22"/>
                <w:highlight w:val="none"/>
                <w:lang w:bidi="ar-SA"/>
              </w:rPr>
              <w:t>（2）</w:t>
            </w:r>
            <w:r>
              <w:rPr>
                <w:rFonts w:hint="eastAsia" w:ascii="宋体" w:eastAsia="宋体" w:cs="宋体"/>
                <w:b/>
                <w:bCs/>
                <w:color w:val="auto"/>
                <w:kern w:val="0"/>
                <w:sz w:val="22"/>
                <w:szCs w:val="22"/>
                <w:highlight w:val="none"/>
                <w:lang w:val="zh-CN" w:eastAsia="zh-CN" w:bidi="ar-SA"/>
              </w:rPr>
              <w:t>在解密期限内投标人电子加密投标文件解密失败，且经异常处理后政采云电子交易系统仍未能解决的。</w:t>
            </w:r>
          </w:p>
        </w:tc>
      </w:tr>
      <w:tr w14:paraId="19C83282">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B8877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22</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BEEC8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b/>
                <w:bCs/>
                <w:color w:val="auto"/>
                <w:kern w:val="0"/>
                <w:sz w:val="22"/>
                <w:szCs w:val="22"/>
                <w:highlight w:val="none"/>
                <w:u w:val="single"/>
                <w:lang w:val="zh-CN"/>
              </w:rPr>
            </w:pPr>
            <w:r>
              <w:rPr>
                <w:rFonts w:hint="eastAsia" w:ascii="宋体" w:hAnsi="宋体" w:cs="宋体"/>
                <w:b/>
                <w:bCs/>
                <w:color w:val="auto"/>
                <w:kern w:val="0"/>
                <w:sz w:val="22"/>
                <w:szCs w:val="22"/>
                <w:highlight w:val="none"/>
                <w:u w:val="single"/>
                <w:lang w:val="zh-CN"/>
              </w:rPr>
              <w:t>▲提交投标文件截止时间、开标时间和地点</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CB0FD9">
            <w:pPr>
              <w:pStyle w:val="24"/>
              <w:keepNext w:val="0"/>
              <w:keepLines w:val="0"/>
              <w:suppressLineNumbers w:val="0"/>
              <w:spacing w:before="0" w:beforeAutospacing="0" w:after="0" w:afterAutospacing="0" w:line="400" w:lineRule="exact"/>
              <w:ind w:left="0" w:right="0" w:firstLine="0" w:firstLineChars="0"/>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bidi="ar-SA"/>
              </w:rPr>
              <w:t>详见招标公告</w:t>
            </w:r>
          </w:p>
          <w:p w14:paraId="46EA9277">
            <w:pPr>
              <w:pStyle w:val="24"/>
              <w:keepNext w:val="0"/>
              <w:keepLines w:val="0"/>
              <w:suppressLineNumbers w:val="0"/>
              <w:spacing w:before="0" w:beforeAutospacing="0" w:afterAutospacing="0" w:line="400" w:lineRule="exact"/>
              <w:ind w:left="0" w:right="0" w:firstLine="0" w:firstLineChars="0"/>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bidi="ar-SA"/>
              </w:rPr>
              <w:t>注：本项目政府采购项目电子交易，相关的电子交易流程（招标文件下载、电子投标文件上传等程序）均在“政府采购云平台”进行，投标人不必前往现场进行投标活动等事宜。</w:t>
            </w:r>
          </w:p>
        </w:tc>
      </w:tr>
      <w:tr w14:paraId="5AE175BE">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90EE3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23</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2212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询标澄清</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048053">
            <w:pPr>
              <w:pStyle w:val="24"/>
              <w:keepNext w:val="0"/>
              <w:keepLines w:val="0"/>
              <w:numPr>
                <w:ilvl w:val="0"/>
                <w:numId w:val="2"/>
              </w:numPr>
              <w:suppressLineNumbers w:val="0"/>
              <w:spacing w:before="0" w:beforeAutospacing="0" w:afterAutospacing="0" w:line="400" w:lineRule="exact"/>
              <w:ind w:right="0"/>
              <w:rPr>
                <w:rFonts w:hint="default"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供应商递交的电子投标文件存有疑问要求供应商进行澄清或根据评审需求需要与供应商进行评审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p w14:paraId="7C42F9C7">
            <w:pPr>
              <w:pStyle w:val="24"/>
              <w:keepNext w:val="0"/>
              <w:keepLines w:val="0"/>
              <w:numPr>
                <w:ilvl w:val="0"/>
                <w:numId w:val="2"/>
              </w:numPr>
              <w:suppressLineNumbers w:val="0"/>
              <w:spacing w:before="0" w:beforeAutospacing="0" w:afterAutospacing="0" w:line="400" w:lineRule="exact"/>
              <w:ind w:left="425" w:leftChars="0" w:right="0" w:hanging="425" w:firstLineChars="0"/>
              <w:rPr>
                <w:rFonts w:hint="default"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本项目采购过程中，涉及的供应商联系方式（如手机号码、</w:t>
            </w:r>
            <w:r>
              <w:rPr>
                <w:rFonts w:hint="eastAsia" w:ascii="宋体" w:hAnsi="宋体" w:cs="宋体"/>
                <w:color w:val="auto"/>
                <w:sz w:val="22"/>
                <w:szCs w:val="22"/>
                <w:highlight w:val="none"/>
                <w:lang w:eastAsia="zh-CN"/>
              </w:rPr>
              <w:t>投标文件</w:t>
            </w:r>
            <w:r>
              <w:rPr>
                <w:rFonts w:hint="eastAsia" w:ascii="宋体" w:hAnsi="宋体" w:cs="宋体"/>
                <w:color w:val="auto"/>
                <w:sz w:val="22"/>
                <w:szCs w:val="22"/>
                <w:highlight w:val="none"/>
                <w:lang w:val="zh-CN"/>
              </w:rPr>
              <w:t>中预留的邮箱、供应商地址），均以供应商递交的电子</w:t>
            </w:r>
            <w:r>
              <w:rPr>
                <w:rFonts w:hint="eastAsia" w:ascii="宋体" w:hAnsi="宋体" w:cs="宋体"/>
                <w:color w:val="auto"/>
                <w:sz w:val="22"/>
                <w:szCs w:val="22"/>
                <w:highlight w:val="none"/>
                <w:lang w:eastAsia="zh-CN"/>
              </w:rPr>
              <w:t>投标文件</w:t>
            </w:r>
            <w:r>
              <w:rPr>
                <w:rFonts w:hint="eastAsia" w:ascii="宋体" w:hAnsi="宋体" w:cs="宋体"/>
                <w:color w:val="auto"/>
                <w:sz w:val="22"/>
                <w:szCs w:val="22"/>
                <w:highlight w:val="none"/>
                <w:lang w:val="zh-CN"/>
              </w:rPr>
              <w:t>中《法定代表人声明书》或《法定代表人授权书》上注明的联系方式为准。</w:t>
            </w:r>
          </w:p>
        </w:tc>
      </w:tr>
      <w:tr w14:paraId="73D4517C">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62AEA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24</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8088C1">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73A35AB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的组建</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A23CBF">
            <w:pPr>
              <w:keepNext w:val="0"/>
              <w:keepLines w:val="0"/>
              <w:suppressLineNumbers w:val="0"/>
              <w:spacing w:before="0" w:beforeAutospacing="0" w:after="0" w:afterAutospacing="0" w:line="400" w:lineRule="exact"/>
              <w:ind w:left="0" w:right="0"/>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6D28A35B">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E7FAB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25</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544B7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履约担保</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F03B9B">
            <w:pPr>
              <w:keepNext w:val="0"/>
              <w:keepLines w:val="0"/>
              <w:suppressLineNumbers w:val="0"/>
              <w:spacing w:before="0" w:beforeAutospacing="0" w:after="0" w:afterAutospacing="0" w:line="400" w:lineRule="exact"/>
              <w:ind w:left="0" w:right="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4"/>
                <w:sz w:val="22"/>
                <w:szCs w:val="22"/>
                <w:highlight w:val="none"/>
                <w:lang w:eastAsia="zh-CN"/>
              </w:rPr>
              <w:instrText xml:space="preserve">,</w:instrText>
            </w:r>
            <w:r>
              <w:rPr>
                <w:rFonts w:hint="eastAsia" w:ascii="宋体" w:hAnsi="宋体" w:cs="宋体"/>
                <w:color w:val="auto"/>
                <w:kern w:val="0"/>
                <w:position w:val="-1"/>
                <w:sz w:val="15"/>
                <w:szCs w:val="22"/>
                <w:highlight w:val="none"/>
                <w:lang w:eastAsia="zh-CN"/>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25AF6144">
            <w:pPr>
              <w:keepNext w:val="0"/>
              <w:keepLines w:val="0"/>
              <w:suppressLineNumbers w:val="0"/>
              <w:spacing w:before="0" w:beforeAutospacing="0" w:after="0" w:afterAutospacing="0" w:line="400" w:lineRule="exact"/>
              <w:ind w:left="0" w:right="0"/>
              <w:rPr>
                <w:rFonts w:hint="eastAsia"/>
                <w:color w:val="auto"/>
                <w:sz w:val="22"/>
                <w:szCs w:val="28"/>
                <w:highlight w:val="none"/>
              </w:rPr>
            </w:pPr>
            <w:r>
              <w:rPr>
                <w:rFonts w:hint="eastAsia"/>
                <w:color w:val="auto"/>
                <w:sz w:val="22"/>
                <w:szCs w:val="28"/>
                <w:highlight w:val="none"/>
              </w:rPr>
              <w:t>1、履约担保金的形式：接受支票、汇票、本票或者金融机构、担保机构出具的保函等非现金形式</w:t>
            </w:r>
            <w:r>
              <w:rPr>
                <w:rFonts w:hint="eastAsia"/>
                <w:color w:val="auto"/>
                <w:sz w:val="22"/>
                <w:szCs w:val="28"/>
                <w:highlight w:val="none"/>
                <w:lang w:eastAsia="zh-CN"/>
              </w:rPr>
              <w:t>。</w:t>
            </w:r>
          </w:p>
          <w:p w14:paraId="2BF3A70B">
            <w:pPr>
              <w:keepNext w:val="0"/>
              <w:keepLines w:val="0"/>
              <w:suppressLineNumbers w:val="0"/>
              <w:spacing w:before="0" w:beforeAutospacing="0" w:after="0" w:afterAutospacing="0" w:line="400" w:lineRule="exact"/>
              <w:ind w:left="0" w:right="0"/>
              <w:rPr>
                <w:rFonts w:hint="default"/>
                <w:color w:val="auto"/>
                <w:highlight w:val="none"/>
                <w:lang w:val="zh-CN" w:eastAsia="zh-CN"/>
              </w:rPr>
            </w:pPr>
            <w:r>
              <w:rPr>
                <w:rFonts w:hint="eastAsia"/>
                <w:color w:val="auto"/>
                <w:sz w:val="22"/>
                <w:szCs w:val="28"/>
                <w:highlight w:val="none"/>
              </w:rPr>
              <w:t>2、履约担保金的金额：合同价</w:t>
            </w:r>
            <w:r>
              <w:rPr>
                <w:rFonts w:hint="eastAsia"/>
                <w:color w:val="auto"/>
                <w:sz w:val="22"/>
                <w:szCs w:val="28"/>
                <w:highlight w:val="none"/>
                <w:lang w:val="en-US" w:eastAsia="zh-CN"/>
              </w:rPr>
              <w:t>1</w:t>
            </w:r>
            <w:r>
              <w:rPr>
                <w:rFonts w:hint="eastAsia"/>
                <w:color w:val="auto"/>
                <w:sz w:val="22"/>
                <w:szCs w:val="28"/>
                <w:highlight w:val="none"/>
              </w:rPr>
              <w:t>%。</w:t>
            </w:r>
          </w:p>
        </w:tc>
      </w:tr>
      <w:tr w14:paraId="7589F291">
        <w:tblPrEx>
          <w:tblCellMar>
            <w:top w:w="0" w:type="dxa"/>
            <w:left w:w="108" w:type="dxa"/>
            <w:bottom w:w="0" w:type="dxa"/>
            <w:right w:w="108" w:type="dxa"/>
          </w:tblCellMar>
        </w:tblPrEx>
        <w:trPr>
          <w:trHeight w:val="39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A9329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26</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8B936B">
            <w:pPr>
              <w:keepNext w:val="0"/>
              <w:keepLines w:val="0"/>
              <w:suppressLineNumbers w:val="0"/>
              <w:adjustRightInd w:val="0"/>
              <w:spacing w:before="0" w:beforeAutospacing="0" w:after="0" w:afterAutospacing="0" w:line="40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政府采购</w:t>
            </w:r>
          </w:p>
          <w:p w14:paraId="1228711E">
            <w:pPr>
              <w:keepNext w:val="0"/>
              <w:keepLines w:val="0"/>
              <w:suppressLineNumbers w:val="0"/>
              <w:adjustRightInd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扶持政策</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E26DEE">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eastAsia" w:ascii="宋体" w:eastAsia="宋体" w:cs="宋体"/>
                <w:bCs/>
                <w:color w:val="auto"/>
                <w:sz w:val="22"/>
                <w:szCs w:val="22"/>
                <w:highlight w:val="none"/>
                <w:lang w:bidi="ar-SA"/>
              </w:rPr>
            </w:pPr>
            <w:r>
              <w:rPr>
                <w:rFonts w:hint="eastAsia" w:ascii="宋体" w:eastAsia="宋体" w:cs="宋体"/>
                <w:bCs/>
                <w:color w:val="auto"/>
                <w:sz w:val="22"/>
                <w:szCs w:val="22"/>
                <w:highlight w:val="none"/>
                <w:lang w:bidi="ar-SA"/>
              </w:rPr>
              <w:t>1.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562DE1CF">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textAlignment w:val="auto"/>
              <w:rPr>
                <w:rFonts w:hint="eastAsia" w:ascii="宋体" w:eastAsia="宋体" w:cs="宋体"/>
                <w:bCs/>
                <w:color w:val="auto"/>
                <w:sz w:val="22"/>
                <w:szCs w:val="22"/>
                <w:highlight w:val="none"/>
                <w:lang w:bidi="ar-SA"/>
              </w:rPr>
            </w:pPr>
            <w:r>
              <w:rPr>
                <w:rFonts w:hint="eastAsia" w:ascii="宋体" w:eastAsia="宋体" w:cs="宋体"/>
                <w:bCs/>
                <w:color w:val="auto"/>
                <w:sz w:val="22"/>
                <w:szCs w:val="22"/>
                <w:highlight w:val="none"/>
                <w:lang w:val="en-US" w:eastAsia="zh-CN" w:bidi="ar-SA"/>
              </w:rPr>
              <w:t>2.</w:t>
            </w:r>
            <w:r>
              <w:rPr>
                <w:rFonts w:hint="eastAsia" w:ascii="宋体" w:eastAsia="宋体" w:cs="宋体"/>
                <w:color w:val="auto"/>
                <w:kern w:val="0"/>
                <w:sz w:val="22"/>
                <w:szCs w:val="22"/>
                <w:highlight w:val="none"/>
                <w:lang w:bidi="ar-SA"/>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1A4C1703">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3.本项目《面向中小企业预留采购份额》执行的政策：</w:t>
            </w:r>
          </w:p>
          <w:p w14:paraId="322998B2">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（1）本项目</w:t>
            </w:r>
            <w:r>
              <w:rPr>
                <w:rFonts w:hint="eastAsia" w:ascii="宋体" w:eastAsia="宋体" w:cs="宋体"/>
                <w:b/>
                <w:color w:val="auto"/>
                <w:sz w:val="22"/>
                <w:szCs w:val="22"/>
                <w:highlight w:val="none"/>
                <w:u w:val="single"/>
                <w:lang w:val="en-US" w:eastAsia="zh-CN" w:bidi="ar-SA"/>
              </w:rPr>
              <w:t>是</w:t>
            </w:r>
            <w:r>
              <w:rPr>
                <w:rFonts w:hint="eastAsia" w:ascii="宋体" w:eastAsia="宋体" w:cs="宋体"/>
                <w:b/>
                <w:color w:val="auto"/>
                <w:sz w:val="22"/>
                <w:szCs w:val="22"/>
                <w:highlight w:val="none"/>
                <w:lang w:bidi="ar-SA"/>
              </w:rPr>
              <w:t>（是/否）属于预留份额专门面向中小企业采购的项目。</w:t>
            </w:r>
          </w:p>
          <w:p w14:paraId="6E99973E">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（2）本项目属性：</w:t>
            </w:r>
            <w:r>
              <w:rPr>
                <w:rFonts w:hint="eastAsia" w:ascii="宋体" w:eastAsia="宋体" w:cs="宋体"/>
                <w:b/>
                <w:color w:val="auto"/>
                <w:sz w:val="22"/>
                <w:szCs w:val="22"/>
                <w:highlight w:val="none"/>
                <w:u w:val="single"/>
                <w:lang w:val="en-US" w:eastAsia="zh-CN" w:bidi="ar-SA"/>
              </w:rPr>
              <w:t>②</w:t>
            </w:r>
            <w:r>
              <w:rPr>
                <w:rFonts w:hint="eastAsia" w:ascii="宋体" w:eastAsia="宋体" w:cs="宋体"/>
                <w:b/>
                <w:color w:val="auto"/>
                <w:sz w:val="22"/>
                <w:szCs w:val="22"/>
                <w:highlight w:val="none"/>
                <w:lang w:bidi="ar-SA"/>
              </w:rPr>
              <w:t>（①货物类/②服务类/③工程类）。</w:t>
            </w:r>
          </w:p>
          <w:p w14:paraId="6143B53F">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（3）本项目对应的中小企业划分标准所属行业：</w:t>
            </w:r>
            <w:r>
              <w:rPr>
                <w:rFonts w:hint="eastAsia" w:ascii="宋体" w:cs="宋体"/>
                <w:b/>
                <w:color w:val="auto"/>
                <w:sz w:val="22"/>
                <w:szCs w:val="22"/>
                <w:highlight w:val="none"/>
                <w:u w:val="single"/>
                <w:lang w:val="en-US" w:eastAsia="zh-CN" w:bidi="ar-SA"/>
              </w:rPr>
              <w:t xml:space="preserve"> </w:t>
            </w:r>
            <w:r>
              <w:rPr>
                <w:rFonts w:hint="eastAsia" w:ascii="宋体" w:eastAsia="宋体" w:cs="宋体"/>
                <w:b/>
                <w:color w:val="auto"/>
                <w:sz w:val="22"/>
                <w:szCs w:val="22"/>
                <w:highlight w:val="none"/>
                <w:u w:val="single"/>
                <w:lang w:bidi="ar-SA"/>
              </w:rPr>
              <w:t>其他未列明行业</w:t>
            </w:r>
            <w:r>
              <w:rPr>
                <w:rFonts w:hint="eastAsia" w:ascii="宋体" w:cs="宋体"/>
                <w:b/>
                <w:color w:val="auto"/>
                <w:sz w:val="22"/>
                <w:szCs w:val="22"/>
                <w:highlight w:val="none"/>
                <w:u w:val="single"/>
                <w:lang w:val="en-US" w:eastAsia="zh-CN" w:bidi="ar-SA"/>
              </w:rPr>
              <w:t xml:space="preserve"> </w:t>
            </w:r>
            <w:r>
              <w:rPr>
                <w:rFonts w:hint="eastAsia" w:ascii="宋体" w:eastAsia="宋体" w:cs="宋体"/>
                <w:b/>
                <w:color w:val="auto"/>
                <w:sz w:val="22"/>
                <w:szCs w:val="22"/>
                <w:highlight w:val="none"/>
                <w:lang w:bidi="ar-SA"/>
              </w:rPr>
              <w:t>。</w:t>
            </w:r>
          </w:p>
          <w:p w14:paraId="3277E3A8">
            <w:pPr>
              <w:keepNext w:val="0"/>
              <w:keepLines w:val="0"/>
              <w:suppressLineNumbers w:val="0"/>
              <w:autoSpaceDE w:val="0"/>
              <w:autoSpaceDN w:val="0"/>
              <w:adjustRightInd w:val="0"/>
              <w:spacing w:before="0" w:beforeAutospacing="0" w:after="0" w:afterAutospacing="0" w:line="400" w:lineRule="exact"/>
              <w:ind w:left="0" w:right="0"/>
              <w:rPr>
                <w:rFonts w:hint="default" w:ascii="Times New Roman" w:hAnsi="Times New Roman" w:eastAsia="宋体" w:cs="Times New Roman"/>
                <w:color w:val="auto"/>
                <w:kern w:val="2"/>
                <w:sz w:val="21"/>
                <w:szCs w:val="24"/>
                <w:highlight w:val="none"/>
                <w:lang w:val="zh-CN" w:eastAsia="zh-CN" w:bidi="ar-SA"/>
              </w:rPr>
            </w:pPr>
            <w:r>
              <w:rPr>
                <w:rFonts w:hint="eastAsia" w:ascii="宋体" w:eastAsia="宋体" w:cs="宋体"/>
                <w:b/>
                <w:color w:val="auto"/>
                <w:sz w:val="22"/>
                <w:szCs w:val="22"/>
                <w:highlight w:val="none"/>
                <w:lang w:bidi="ar-SA"/>
              </w:rPr>
              <w:t>（4）如为专门面向中小企业采购的项目，不再执行价格评审优惠的扶持政策。</w:t>
            </w:r>
          </w:p>
        </w:tc>
      </w:tr>
      <w:tr w14:paraId="75A9A0DB">
        <w:tblPrEx>
          <w:tblCellMar>
            <w:top w:w="0" w:type="dxa"/>
            <w:left w:w="108" w:type="dxa"/>
            <w:bottom w:w="0" w:type="dxa"/>
            <w:right w:w="108" w:type="dxa"/>
          </w:tblCellMar>
        </w:tblPrEx>
        <w:trPr>
          <w:trHeight w:val="46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149A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27</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76661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供应商信用查询</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B839DC">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default"/>
                <w:color w:val="auto"/>
                <w:highlight w:val="none"/>
              </w:rPr>
              <w:fldChar w:fldCharType="begin"/>
            </w:r>
            <w:r>
              <w:rPr>
                <w:rFonts w:hint="default"/>
                <w:color w:val="auto"/>
                <w:highlight w:val="none"/>
              </w:rPr>
              <w:instrText xml:space="preserve"> HYPERLINK "http://www.creditchina.gov.cn" </w:instrText>
            </w:r>
            <w:r>
              <w:rPr>
                <w:rFonts w:hint="default"/>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51BA5CD0">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（2）供应商信用信息查询记录和证据留存的具体方式：网页截图打印；</w:t>
            </w:r>
          </w:p>
          <w:p w14:paraId="34B9A265">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0F54A05D">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5B0CECDF">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0E923820">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（4）具有以上（3）所述信息记录的供应商，其投标做无效投标处理。</w:t>
            </w:r>
          </w:p>
        </w:tc>
      </w:tr>
      <w:tr w14:paraId="474988CA">
        <w:tblPrEx>
          <w:tblCellMar>
            <w:top w:w="0" w:type="dxa"/>
            <w:left w:w="108" w:type="dxa"/>
            <w:bottom w:w="0" w:type="dxa"/>
            <w:right w:w="108" w:type="dxa"/>
          </w:tblCellMar>
        </w:tblPrEx>
        <w:trPr>
          <w:trHeight w:val="795"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D1244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28</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3C822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合同备案</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9BD15B">
            <w:pPr>
              <w:keepNext w:val="0"/>
              <w:keepLines w:val="0"/>
              <w:suppressLineNumbers w:val="0"/>
              <w:spacing w:before="0" w:beforeAutospacing="0" w:after="0" w:afterAutospacing="0" w:line="400" w:lineRule="exact"/>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（1）中标供应商在中标通知书发出之日起30日历天内与采购人签订合同。</w:t>
            </w:r>
          </w:p>
          <w:p w14:paraId="42EC8BD1">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（2）中标供应商与采购人签订合同后，2日历天内将合同扫描件电子版发给采购代理机构：邮箱：</w:t>
            </w:r>
            <w:r>
              <w:rPr>
                <w:rFonts w:hint="eastAsia" w:ascii="宋体" w:hAnsi="宋体" w:cs="宋体"/>
                <w:b/>
                <w:color w:val="auto"/>
                <w:sz w:val="22"/>
                <w:szCs w:val="22"/>
                <w:highlight w:val="none"/>
                <w:u w:val="single"/>
                <w:lang w:eastAsia="zh-CN"/>
              </w:rPr>
              <w:t>511920567</w:t>
            </w:r>
            <w:r>
              <w:rPr>
                <w:rFonts w:hint="eastAsia" w:ascii="宋体" w:hAnsi="宋体" w:cs="宋体"/>
                <w:b/>
                <w:color w:val="auto"/>
                <w:sz w:val="22"/>
                <w:szCs w:val="22"/>
                <w:highlight w:val="none"/>
                <w:u w:val="single"/>
                <w:lang w:val="en-US" w:eastAsia="zh-CN"/>
              </w:rPr>
              <w:t>@qq</w:t>
            </w:r>
            <w:r>
              <w:rPr>
                <w:rFonts w:hint="eastAsia" w:ascii="宋体" w:hAnsi="宋体" w:cs="宋体"/>
                <w:b/>
                <w:color w:val="auto"/>
                <w:sz w:val="22"/>
                <w:szCs w:val="22"/>
                <w:highlight w:val="none"/>
                <w:u w:val="single"/>
                <w:lang w:eastAsia="zh-CN"/>
              </w:rPr>
              <w:t>.com</w:t>
            </w:r>
            <w:r>
              <w:rPr>
                <w:rFonts w:hint="eastAsia" w:ascii="宋体" w:hAnsi="宋体" w:cs="宋体"/>
                <w:color w:val="auto"/>
                <w:sz w:val="22"/>
                <w:szCs w:val="22"/>
                <w:highlight w:val="none"/>
              </w:rPr>
              <w:t>。</w:t>
            </w:r>
          </w:p>
        </w:tc>
      </w:tr>
      <w:tr w14:paraId="708703E8">
        <w:tblPrEx>
          <w:tblCellMar>
            <w:top w:w="0" w:type="dxa"/>
            <w:left w:w="108" w:type="dxa"/>
            <w:bottom w:w="0" w:type="dxa"/>
            <w:right w:w="108" w:type="dxa"/>
          </w:tblCellMar>
        </w:tblPrEx>
        <w:trPr>
          <w:trHeight w:val="90"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0BC06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29</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B3F50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合同履约管理</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17B687">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792B23EB">
        <w:tblPrEx>
          <w:tblCellMar>
            <w:top w:w="0" w:type="dxa"/>
            <w:left w:w="108" w:type="dxa"/>
            <w:bottom w:w="0" w:type="dxa"/>
            <w:right w:w="108" w:type="dxa"/>
          </w:tblCellMar>
        </w:tblPrEx>
        <w:trPr>
          <w:trHeight w:val="1063"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EAC4C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30</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9EEF0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解释权</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F6C4DA">
            <w:pPr>
              <w:keepNext w:val="0"/>
              <w:keepLines w:val="0"/>
              <w:suppressLineNumbers w:val="0"/>
              <w:spacing w:before="0" w:beforeAutospacing="0" w:after="0" w:afterAutospacing="0" w:line="400" w:lineRule="exact"/>
              <w:ind w:left="0" w:right="0"/>
              <w:rPr>
                <w:rFonts w:hint="default"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供应商须知、评标办法、</w:t>
            </w:r>
            <w:r>
              <w:rPr>
                <w:rFonts w:hint="eastAsia" w:ascii="宋体" w:hAnsi="宋体" w:cs="宋体"/>
                <w:color w:val="auto"/>
                <w:sz w:val="22"/>
                <w:szCs w:val="22"/>
                <w:highlight w:val="none"/>
                <w:lang w:eastAsia="zh-CN"/>
              </w:rPr>
              <w:t>投标文件</w:t>
            </w:r>
            <w:r>
              <w:rPr>
                <w:rFonts w:hint="eastAsia" w:ascii="宋体" w:hAnsi="宋体" w:cs="宋体"/>
                <w:color w:val="auto"/>
                <w:sz w:val="22"/>
                <w:szCs w:val="22"/>
                <w:highlight w:val="none"/>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A8609B9">
        <w:tblPrEx>
          <w:tblCellMar>
            <w:top w:w="0" w:type="dxa"/>
            <w:left w:w="108" w:type="dxa"/>
            <w:bottom w:w="0" w:type="dxa"/>
            <w:right w:w="108" w:type="dxa"/>
          </w:tblCellMar>
        </w:tblPrEx>
        <w:trPr>
          <w:trHeight w:val="988"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31B1F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31</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02A2C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eastAsia="zh-CN"/>
              </w:rPr>
              <w:t>其他</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F95507">
            <w:pPr>
              <w:keepNext w:val="0"/>
              <w:keepLines w:val="0"/>
              <w:widowControl/>
              <w:suppressLineNumbers w:val="0"/>
              <w:tabs>
                <w:tab w:val="left" w:pos="-360"/>
              </w:tabs>
              <w:autoSpaceDE w:val="0"/>
              <w:autoSpaceDN w:val="0"/>
              <w:spacing w:before="0" w:beforeAutospacing="0" w:after="0" w:afterAutospacing="0" w:line="380" w:lineRule="exact"/>
              <w:ind w:left="0" w:right="-34"/>
              <w:textAlignment w:val="bottom"/>
              <w:rPr>
                <w:rFonts w:hint="default" w:ascii="宋体" w:eastAsia="宋体"/>
                <w:b w:val="0"/>
                <w:bCs w:val="0"/>
                <w:color w:val="auto"/>
                <w:sz w:val="22"/>
                <w:szCs w:val="22"/>
                <w:highlight w:val="none"/>
              </w:rPr>
            </w:pPr>
            <w:r>
              <w:rPr>
                <w:rFonts w:hint="eastAsia" w:ascii="宋体" w:eastAsia="宋体"/>
                <w:b w:val="0"/>
                <w:bCs w:val="0"/>
                <w:color w:val="auto"/>
                <w:sz w:val="22"/>
                <w:szCs w:val="22"/>
                <w:highlight w:val="none"/>
              </w:rPr>
              <w:t>1.本招标文件中有关时间安排如有不一致的，一律以本“招标公告”为准；</w:t>
            </w:r>
          </w:p>
          <w:p w14:paraId="64CE363B">
            <w:pPr>
              <w:keepNext w:val="0"/>
              <w:keepLines w:val="0"/>
              <w:widowControl/>
              <w:suppressLineNumbers w:val="0"/>
              <w:tabs>
                <w:tab w:val="left" w:pos="-360"/>
              </w:tabs>
              <w:autoSpaceDE w:val="0"/>
              <w:autoSpaceDN w:val="0"/>
              <w:spacing w:before="0" w:beforeAutospacing="0" w:after="0" w:afterAutospacing="0" w:line="380" w:lineRule="exact"/>
              <w:ind w:left="0" w:right="-34"/>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2.本招标文件涉及的时间为“北京时间”；</w:t>
            </w:r>
          </w:p>
          <w:p w14:paraId="4DC758B8">
            <w:pPr>
              <w:keepNext w:val="0"/>
              <w:keepLines w:val="0"/>
              <w:widowControl/>
              <w:suppressLineNumbers w:val="0"/>
              <w:tabs>
                <w:tab w:val="left" w:pos="-360"/>
              </w:tabs>
              <w:autoSpaceDE w:val="0"/>
              <w:autoSpaceDN w:val="0"/>
              <w:spacing w:before="0" w:beforeAutospacing="0" w:after="0" w:afterAutospacing="0" w:line="380" w:lineRule="exact"/>
              <w:ind w:left="0" w:right="-34"/>
              <w:textAlignment w:val="bottom"/>
              <w:rPr>
                <w:rFonts w:hint="eastAsia" w:ascii="宋体" w:hAnsi="宋体" w:eastAsia="宋体" w:cs="宋体"/>
                <w:color w:val="auto"/>
                <w:kern w:val="2"/>
                <w:sz w:val="22"/>
                <w:szCs w:val="22"/>
                <w:highlight w:val="none"/>
                <w:lang w:val="zh-CN" w:eastAsia="zh-CN" w:bidi="ar-SA"/>
              </w:rPr>
            </w:pPr>
            <w:r>
              <w:rPr>
                <w:rFonts w:hint="eastAsia" w:ascii="宋体" w:eastAsia="宋体"/>
                <w:b w:val="0"/>
                <w:bCs w:val="0"/>
                <w:color w:val="auto"/>
                <w:sz w:val="22"/>
                <w:szCs w:val="22"/>
                <w:highlight w:val="none"/>
              </w:rPr>
              <w:t>3.本招标文件涉及的货币为“人民币”；</w:t>
            </w:r>
          </w:p>
        </w:tc>
      </w:tr>
      <w:tr w14:paraId="2D720063">
        <w:tblPrEx>
          <w:tblCellMar>
            <w:top w:w="0" w:type="dxa"/>
            <w:left w:w="108" w:type="dxa"/>
            <w:bottom w:w="0" w:type="dxa"/>
            <w:right w:w="108" w:type="dxa"/>
          </w:tblCellMar>
        </w:tblPrEx>
        <w:trPr>
          <w:trHeight w:val="423" w:hRule="atLeast"/>
        </w:trPr>
        <w:tc>
          <w:tcPr>
            <w:tcW w:w="50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DDDAF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32</w:t>
            </w:r>
          </w:p>
        </w:tc>
        <w:tc>
          <w:tcPr>
            <w:tcW w:w="92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257C9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采购代理服务费</w:t>
            </w:r>
          </w:p>
        </w:tc>
        <w:tc>
          <w:tcPr>
            <w:tcW w:w="357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2B9F5F">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kern w:val="2"/>
                <w:sz w:val="21"/>
                <w:szCs w:val="24"/>
                <w:highlight w:val="none"/>
                <w:lang w:val="en-US" w:eastAsia="zh-CN" w:bidi="ar-SA"/>
              </w:rPr>
            </w:pPr>
            <w:r>
              <w:rPr>
                <w:rFonts w:hint="eastAsia" w:hAnsi="宋体" w:cs="新宋体"/>
                <w:bCs/>
                <w:color w:val="auto"/>
                <w:sz w:val="22"/>
                <w:szCs w:val="22"/>
                <w:highlight w:val="none"/>
              </w:rPr>
              <w:t>采购代理服务费：本次招标（采购）代理服务费根据国家计委计价格【2002】1980号《招标代理服务收费管理暂行办法》规定按</w:t>
            </w:r>
            <w:r>
              <w:rPr>
                <w:rFonts w:hint="eastAsia" w:hAnsi="宋体" w:cs="新宋体"/>
                <w:bCs/>
                <w:color w:val="auto"/>
                <w:sz w:val="22"/>
                <w:szCs w:val="22"/>
                <w:highlight w:val="none"/>
                <w:lang w:val="en-US" w:eastAsia="zh-CN"/>
              </w:rPr>
              <w:t>19146元</w:t>
            </w:r>
            <w:r>
              <w:rPr>
                <w:rFonts w:hint="eastAsia" w:hAnsi="宋体" w:cs="新宋体"/>
                <w:bCs/>
                <w:color w:val="auto"/>
                <w:sz w:val="22"/>
                <w:szCs w:val="22"/>
                <w:highlight w:val="none"/>
              </w:rPr>
              <w:t>计算收取</w:t>
            </w:r>
            <w:r>
              <w:rPr>
                <w:rFonts w:hint="eastAsia" w:hAnsi="宋体" w:cs="新宋体"/>
                <w:bCs/>
                <w:color w:val="auto"/>
                <w:sz w:val="22"/>
                <w:szCs w:val="22"/>
                <w:highlight w:val="none"/>
                <w:lang w:val="en-US" w:eastAsia="zh-CN"/>
              </w:rPr>
              <w:t>,</w:t>
            </w:r>
            <w:r>
              <w:rPr>
                <w:rFonts w:hint="eastAsia" w:hAnsi="宋体" w:cs="新宋体"/>
                <w:bCs/>
                <w:color w:val="auto"/>
                <w:sz w:val="22"/>
                <w:szCs w:val="22"/>
                <w:highlight w:val="none"/>
              </w:rPr>
              <w:t>由中标人在领取中标通知书之前支付给采购代理机构。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6D33BC82">
      <w:pPr>
        <w:spacing w:before="100" w:beforeAutospacing="1" w:after="100" w:afterAutospacing="1" w:line="440" w:lineRule="exact"/>
        <w:jc w:val="center"/>
        <w:outlineLvl w:val="0"/>
        <w:rPr>
          <w:rFonts w:hint="eastAsia" w:ascii="宋体" w:hAnsi="宋体"/>
          <w:b/>
          <w:bCs/>
          <w:color w:val="auto"/>
          <w:sz w:val="26"/>
          <w:szCs w:val="26"/>
          <w:highlight w:val="none"/>
          <w:lang w:val="en-US" w:eastAsia="zh-CN"/>
        </w:rPr>
        <w:sectPr>
          <w:footerReference r:id="rId6" w:type="first"/>
          <w:footerReference r:id="rId5" w:type="default"/>
          <w:pgSz w:w="11906" w:h="16838"/>
          <w:pgMar w:top="1134" w:right="1134" w:bottom="1134" w:left="1134" w:header="851" w:footer="850" w:gutter="0"/>
          <w:pgNumType w:fmt="decimal" w:start="1"/>
          <w:cols w:space="720" w:num="1"/>
          <w:titlePg/>
          <w:docGrid w:linePitch="312" w:charSpace="0"/>
        </w:sectPr>
      </w:pPr>
      <w:bookmarkStart w:id="45" w:name="_Toc221356948"/>
      <w:bookmarkStart w:id="46" w:name="_Toc249758861"/>
      <w:bookmarkStart w:id="47" w:name="_Toc221374623"/>
      <w:bookmarkStart w:id="48" w:name="_Toc245191311"/>
      <w:bookmarkStart w:id="49" w:name="_Toc241404199"/>
      <w:bookmarkStart w:id="50" w:name="_Toc11369"/>
      <w:bookmarkStart w:id="51" w:name="_Toc223715995"/>
      <w:bookmarkStart w:id="52" w:name="_Toc262049415"/>
      <w:bookmarkStart w:id="53" w:name="_Toc245722278"/>
      <w:bookmarkStart w:id="54" w:name="_Toc246261262"/>
      <w:bookmarkStart w:id="55" w:name="_Toc222114876"/>
      <w:bookmarkStart w:id="56" w:name="_Toc221423616"/>
      <w:bookmarkStart w:id="57" w:name="_Toc249758709"/>
      <w:bookmarkStart w:id="58" w:name="_Toc239145351"/>
      <w:bookmarkStart w:id="59" w:name="_Toc221356883"/>
      <w:bookmarkStart w:id="60" w:name="_Toc262105500"/>
    </w:p>
    <w:p w14:paraId="4A835CE3">
      <w:pPr>
        <w:spacing w:before="100" w:beforeAutospacing="1" w:after="100" w:afterAutospacing="1" w:line="440" w:lineRule="exact"/>
        <w:jc w:val="center"/>
        <w:outlineLvl w:val="0"/>
        <w:rPr>
          <w:rFonts w:ascii="宋体" w:hAnsi="宋体"/>
          <w:b/>
          <w:bCs/>
          <w:color w:val="auto"/>
          <w:sz w:val="26"/>
          <w:szCs w:val="26"/>
          <w:highlight w:val="none"/>
        </w:rPr>
      </w:pPr>
      <w:r>
        <w:rPr>
          <w:rFonts w:hint="eastAsia" w:ascii="宋体" w:hAnsi="宋体"/>
          <w:b/>
          <w:bCs/>
          <w:color w:val="auto"/>
          <w:sz w:val="26"/>
          <w:szCs w:val="26"/>
          <w:highlight w:val="none"/>
          <w:lang w:val="en-US" w:eastAsia="zh-CN"/>
        </w:rPr>
        <w:t>二</w:t>
      </w:r>
      <w:r>
        <w:rPr>
          <w:rFonts w:hint="eastAsia" w:ascii="宋体" w:hAnsi="宋体"/>
          <w:b/>
          <w:bCs/>
          <w:color w:val="auto"/>
          <w:sz w:val="26"/>
          <w:szCs w:val="26"/>
          <w:highlight w:val="none"/>
        </w:rPr>
        <w:t>、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F330C56">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bookmarkStart w:id="61" w:name="_Toc221374624"/>
      <w:bookmarkStart w:id="62" w:name="_Toc245191312"/>
      <w:bookmarkStart w:id="63" w:name="_Toc221356949"/>
      <w:bookmarkStart w:id="64" w:name="_Toc249758862"/>
      <w:bookmarkStart w:id="65" w:name="_Toc262049416"/>
      <w:bookmarkStart w:id="66" w:name="_Toc222114877"/>
      <w:bookmarkStart w:id="67" w:name="_Toc221423617"/>
      <w:bookmarkStart w:id="68" w:name="_Toc223715996"/>
      <w:bookmarkStart w:id="69" w:name="_Toc262105501"/>
      <w:bookmarkStart w:id="70" w:name="_Toc241404200"/>
      <w:bookmarkStart w:id="71" w:name="_Toc245722279"/>
      <w:bookmarkStart w:id="72" w:name="_Toc221356884"/>
      <w:bookmarkStart w:id="73" w:name="_Toc246261263"/>
      <w:bookmarkStart w:id="74" w:name="_Toc239145352"/>
      <w:bookmarkStart w:id="75" w:name="_Toc249758710"/>
      <w:r>
        <w:rPr>
          <w:rFonts w:hint="eastAsia" w:ascii="宋体" w:hAnsi="宋体" w:eastAsia="宋体" w:cs="Arial"/>
          <w:color w:val="auto"/>
          <w:sz w:val="22"/>
          <w:szCs w:val="22"/>
          <w:highlight w:val="none"/>
        </w:rPr>
        <w:t>本次招标是</w:t>
      </w:r>
      <w:r>
        <w:rPr>
          <w:rFonts w:hint="eastAsia" w:ascii="宋体" w:hAnsi="宋体" w:eastAsia="宋体" w:cs="Arial"/>
          <w:color w:val="auto"/>
          <w:sz w:val="22"/>
          <w:szCs w:val="22"/>
          <w:highlight w:val="none"/>
          <w:lang w:val="en-US" w:eastAsia="zh-CN"/>
        </w:rPr>
        <w:t>按</w:t>
      </w:r>
      <w:r>
        <w:rPr>
          <w:rFonts w:hint="eastAsia" w:ascii="宋体" w:hAnsi="宋体" w:eastAsia="宋体" w:cs="Arial"/>
          <w:color w:val="auto"/>
          <w:sz w:val="22"/>
          <w:szCs w:val="22"/>
          <w:highlight w:val="none"/>
        </w:rPr>
        <w:t>照《中华人民共和国政府采购法》、《中华人民共和国政府采购法实施条例》、《政府采购货物和服务招标投标管理办法》和《关于进一步规范政府采购活动的若干意见》等法律及有关法规组织和实施的。</w:t>
      </w:r>
    </w:p>
    <w:p w14:paraId="4A8D2EEC">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合格投标人要求以招标公告对投标人资格条件要求的表述为准。</w:t>
      </w:r>
    </w:p>
    <w:p w14:paraId="4721B94C">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投标人代表</w:t>
      </w:r>
    </w:p>
    <w:p w14:paraId="2A5A79F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14:paraId="43DB98BC">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投标费用</w:t>
      </w:r>
    </w:p>
    <w:p w14:paraId="461B7B6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投标人应承担所有与准备和参加投标有关费用，不论投标的结果如何，采购人和招标代理机构均无义务和责任承担这些费用。</w:t>
      </w:r>
    </w:p>
    <w:p w14:paraId="58A9BFBF">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优化政府采购金融服务</w:t>
      </w:r>
    </w:p>
    <w:p w14:paraId="31122143">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w:t>
      </w:r>
      <w:r>
        <w:rPr>
          <w:rFonts w:hint="eastAsia" w:ascii="宋体" w:hAnsi="宋体" w:eastAsia="宋体" w:cs="宋体"/>
          <w:bCs/>
          <w:color w:val="auto"/>
          <w:spacing w:val="6"/>
          <w:sz w:val="22"/>
          <w:szCs w:val="22"/>
          <w:highlight w:val="none"/>
          <w:lang w:eastAsia="zh-CN"/>
        </w:rPr>
        <w:t>投标人</w:t>
      </w:r>
      <w:r>
        <w:rPr>
          <w:rFonts w:hint="eastAsia" w:ascii="宋体" w:hAnsi="宋体" w:eastAsia="宋体" w:cs="宋体"/>
          <w:bCs/>
          <w:color w:val="auto"/>
          <w:spacing w:val="6"/>
          <w:sz w:val="22"/>
          <w:szCs w:val="22"/>
          <w:highlight w:val="none"/>
        </w:rPr>
        <w:t>若有融资意向，可直接登录http://jinrong.zcygov.cn，查看信用融资政策文件及各相关银行服务方案，也可直接向各银行咨询相关业务。</w:t>
      </w:r>
    </w:p>
    <w:p w14:paraId="504CB75C">
      <w:pPr>
        <w:numPr>
          <w:ilvl w:val="0"/>
          <w:numId w:val="3"/>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特别说明：</w:t>
      </w:r>
    </w:p>
    <w:p w14:paraId="54E52AB9">
      <w:pPr>
        <w:numPr>
          <w:ilvl w:val="1"/>
          <w:numId w:val="4"/>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新宋体" w:hAnsi="新宋体" w:eastAsia="新宋体" w:cs="宋体"/>
          <w:bCs/>
          <w:color w:val="auto"/>
          <w:sz w:val="22"/>
          <w:szCs w:val="22"/>
          <w:highlight w:val="none"/>
        </w:rPr>
        <w:t>评标委员会、采购</w:t>
      </w:r>
      <w:r>
        <w:rPr>
          <w:rFonts w:hint="eastAsia" w:ascii="新宋体" w:hAnsi="新宋体" w:eastAsia="新宋体" w:cs="宋体"/>
          <w:bCs/>
          <w:color w:val="auto"/>
          <w:sz w:val="22"/>
          <w:szCs w:val="22"/>
          <w:highlight w:val="none"/>
          <w:lang w:val="en-US" w:eastAsia="zh-CN"/>
        </w:rPr>
        <w:t>人</w:t>
      </w:r>
      <w:r>
        <w:rPr>
          <w:rFonts w:hint="eastAsia" w:ascii="新宋体" w:hAnsi="新宋体" w:eastAsia="新宋体" w:cs="宋体"/>
          <w:bCs/>
          <w:color w:val="auto"/>
          <w:sz w:val="22"/>
          <w:szCs w:val="22"/>
          <w:highlight w:val="none"/>
        </w:rPr>
        <w:t>在项目评审直至合同签订、履约期间，有权要求投标人出具投标文件中的合同文本</w:t>
      </w:r>
      <w:r>
        <w:rPr>
          <w:rFonts w:hint="eastAsia" w:ascii="新宋体" w:hAnsi="新宋体" w:eastAsia="新宋体" w:cs="宋体"/>
          <w:bCs/>
          <w:color w:val="auto"/>
          <w:sz w:val="22"/>
          <w:szCs w:val="22"/>
          <w:highlight w:val="none"/>
          <w:lang w:eastAsia="zh-CN"/>
        </w:rPr>
        <w:t>、</w:t>
      </w:r>
      <w:r>
        <w:rPr>
          <w:rFonts w:hint="eastAsia" w:ascii="新宋体" w:hAnsi="新宋体" w:eastAsia="新宋体" w:cs="宋体"/>
          <w:bCs/>
          <w:color w:val="auto"/>
          <w:sz w:val="22"/>
          <w:szCs w:val="22"/>
          <w:highlight w:val="none"/>
          <w:lang w:val="en-US" w:eastAsia="zh-CN"/>
        </w:rPr>
        <w:t>证书、报告、证明等</w:t>
      </w:r>
      <w:r>
        <w:rPr>
          <w:rFonts w:hint="eastAsia" w:ascii="新宋体" w:hAnsi="新宋体" w:eastAsia="新宋体" w:cs="宋体"/>
          <w:bCs/>
          <w:color w:val="auto"/>
          <w:sz w:val="22"/>
          <w:szCs w:val="22"/>
          <w:highlight w:val="none"/>
        </w:rPr>
        <w:t>原件，予以确认其的真实性和有效性，如出现与事实不符等情况，将根据有关规定以“提供虚假材料谋取中标”予以处理。</w:t>
      </w:r>
    </w:p>
    <w:p w14:paraId="7D883DD0">
      <w:pPr>
        <w:numPr>
          <w:ilvl w:val="1"/>
          <w:numId w:val="4"/>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投标人应仔细阅读</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的所有内容，按照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的要求提交投标文件，并对所提供的全部资料的真实性承担法律责任。</w:t>
      </w:r>
    </w:p>
    <w:p w14:paraId="39B8CC90">
      <w:pPr>
        <w:numPr>
          <w:ilvl w:val="1"/>
          <w:numId w:val="4"/>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F506CDE">
      <w:pPr>
        <w:numPr>
          <w:ilvl w:val="1"/>
          <w:numId w:val="4"/>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6BD1601">
      <w:pPr>
        <w:numPr>
          <w:ilvl w:val="1"/>
          <w:numId w:val="4"/>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19991102">
      <w:pPr>
        <w:spacing w:before="100" w:beforeAutospacing="1" w:after="100" w:afterAutospacing="1" w:line="440" w:lineRule="exact"/>
        <w:jc w:val="center"/>
        <w:outlineLvl w:val="0"/>
        <w:rPr>
          <w:rFonts w:ascii="宋体" w:hAnsi="宋体"/>
          <w:b/>
          <w:bCs/>
          <w:color w:val="auto"/>
          <w:sz w:val="26"/>
          <w:szCs w:val="26"/>
          <w:highlight w:val="none"/>
        </w:rPr>
      </w:pPr>
      <w:bookmarkStart w:id="76" w:name="_Toc15351"/>
      <w:r>
        <w:rPr>
          <w:rFonts w:hint="eastAsia" w:ascii="宋体" w:hAnsi="宋体"/>
          <w:b/>
          <w:bCs/>
          <w:color w:val="auto"/>
          <w:sz w:val="26"/>
          <w:szCs w:val="26"/>
          <w:highlight w:val="none"/>
          <w:lang w:val="en-US" w:eastAsia="zh-CN"/>
        </w:rPr>
        <w:t>三</w:t>
      </w:r>
      <w:r>
        <w:rPr>
          <w:rFonts w:hint="eastAsia" w:ascii="宋体" w:hAnsi="宋体"/>
          <w:b/>
          <w:bCs/>
          <w:color w:val="auto"/>
          <w:sz w:val="26"/>
          <w:szCs w:val="26"/>
          <w:highlight w:val="none"/>
        </w:rPr>
        <w:t>、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B3E0DE9">
      <w:pPr>
        <w:numPr>
          <w:ilvl w:val="0"/>
          <w:numId w:val="5"/>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由</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目录所列内容及相关资料组成。</w:t>
      </w:r>
    </w:p>
    <w:p w14:paraId="7AFC802D">
      <w:pPr>
        <w:numPr>
          <w:ilvl w:val="0"/>
          <w:numId w:val="5"/>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质疑</w:t>
      </w:r>
    </w:p>
    <w:p w14:paraId="648B1B1D">
      <w:pPr>
        <w:numPr>
          <w:ilvl w:val="1"/>
          <w:numId w:val="6"/>
        </w:numPr>
        <w:tabs>
          <w:tab w:val="left" w:pos="360"/>
          <w:tab w:val="clear" w:pos="992"/>
        </w:tabs>
        <w:spacing w:line="460" w:lineRule="exact"/>
        <w:ind w:left="420" w:leftChars="0" w:hanging="420"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投标人认为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采购过程、中标或者成交结果使自己的权益受到损害的，可以在知道或者应知其权益受到损害之日起7个工作日内，以书面形式向采购人、采购代理机构提出质疑。逾期提出的，采购组织机构将不予受理、答复。</w:t>
      </w:r>
    </w:p>
    <w:p w14:paraId="00A2F95A">
      <w:pPr>
        <w:numPr>
          <w:ilvl w:val="1"/>
          <w:numId w:val="6"/>
        </w:numPr>
        <w:tabs>
          <w:tab w:val="left" w:pos="360"/>
          <w:tab w:val="clear" w:pos="992"/>
        </w:tabs>
        <w:spacing w:line="460" w:lineRule="exact"/>
        <w:ind w:left="420" w:leftChars="0" w:hanging="420"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604A8A2C">
      <w:pPr>
        <w:numPr>
          <w:ilvl w:val="1"/>
          <w:numId w:val="6"/>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提出质疑的投标人应当是参与本项目招标活动的投标人。投标人在法定质疑期内一次性提出针对同一采购程序环节的质疑。</w:t>
      </w:r>
    </w:p>
    <w:p w14:paraId="0F54C61B">
      <w:pPr>
        <w:numPr>
          <w:ilvl w:val="1"/>
          <w:numId w:val="6"/>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根据《政府采购质疑和投诉办法》第三十七条的规定，投诉人在全国范围12个月内三次以上投诉查无实据的，由财政部门列入不良行为记录名单。</w:t>
      </w:r>
    </w:p>
    <w:p w14:paraId="4C0493AA">
      <w:pPr>
        <w:numPr>
          <w:ilvl w:val="0"/>
          <w:numId w:val="5"/>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投诉</w:t>
      </w:r>
    </w:p>
    <w:p w14:paraId="12CBAED3">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52F693D">
      <w:pPr>
        <w:numPr>
          <w:ilvl w:val="0"/>
          <w:numId w:val="5"/>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的澄清或修改</w:t>
      </w:r>
    </w:p>
    <w:p w14:paraId="01BCD273">
      <w:pPr>
        <w:numPr>
          <w:ilvl w:val="1"/>
          <w:numId w:val="7"/>
        </w:numPr>
        <w:tabs>
          <w:tab w:val="left" w:pos="360"/>
          <w:tab w:val="clear" w:pos="992"/>
        </w:tabs>
        <w:spacing w:line="460" w:lineRule="exact"/>
        <w:ind w:left="420" w:leftChars="0" w:hanging="420"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采购人或者采购代理机构可以对已发出的</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进行必要的澄清或者修改。澄清或者修改在浙江政府采购网上发布公告，同时政采云系统会向所有已按</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规定方式获取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的组成部分。</w:t>
      </w:r>
    </w:p>
    <w:p w14:paraId="122F17AF">
      <w:pPr>
        <w:numPr>
          <w:ilvl w:val="1"/>
          <w:numId w:val="7"/>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的潜在投标人；不足15日的，采购人或者采购代理机构应当顺延提交投标文件的截止时间。</w:t>
      </w:r>
    </w:p>
    <w:p w14:paraId="536BC020">
      <w:pPr>
        <w:numPr>
          <w:ilvl w:val="1"/>
          <w:numId w:val="7"/>
        </w:numPr>
        <w:tabs>
          <w:tab w:val="left" w:pos="360"/>
          <w:tab w:val="clear" w:pos="992"/>
        </w:tabs>
        <w:spacing w:line="460" w:lineRule="exact"/>
        <w:ind w:left="420" w:leftChars="0" w:hanging="347" w:firstLineChars="0"/>
        <w:rPr>
          <w:rFonts w:hint="eastAsia" w:ascii="宋体" w:hAnsi="宋体" w:eastAsia="宋体" w:cs="宋体"/>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如有补充更正均见“</w:t>
      </w:r>
      <w:r>
        <w:rPr>
          <w:rFonts w:hint="eastAsia" w:ascii="宋体" w:hAnsi="宋体" w:eastAsia="宋体" w:cs="Arial"/>
          <w:color w:val="auto"/>
          <w:sz w:val="22"/>
          <w:szCs w:val="22"/>
          <w:highlight w:val="none"/>
          <w:lang w:val="en-US" w:eastAsia="zh-CN"/>
        </w:rPr>
        <w:t>浙江政府采购</w:t>
      </w:r>
      <w:r>
        <w:rPr>
          <w:rFonts w:hint="eastAsia" w:ascii="宋体" w:hAnsi="宋体" w:eastAsia="宋体" w:cs="Arial"/>
          <w:color w:val="auto"/>
          <w:sz w:val="22"/>
          <w:szCs w:val="22"/>
          <w:highlight w:val="none"/>
        </w:rPr>
        <w:t>”（https://zfcg.czt.zj.gov.cn/）。投标人须在开标</w:t>
      </w:r>
      <w:r>
        <w:rPr>
          <w:rFonts w:hint="eastAsia" w:ascii="宋体" w:hAnsi="宋体" w:eastAsia="宋体" w:cs="宋体"/>
          <w:color w:val="auto"/>
          <w:spacing w:val="6"/>
          <w:sz w:val="22"/>
          <w:highlight w:val="none"/>
        </w:rPr>
        <w:t>前一日自行查看是否有补充更正文件，并按补充更正文件要求投标，否则责任自负。</w:t>
      </w:r>
    </w:p>
    <w:p w14:paraId="49648A33">
      <w:pPr>
        <w:spacing w:before="100" w:beforeAutospacing="1" w:after="100" w:afterAutospacing="1" w:line="440" w:lineRule="exact"/>
        <w:jc w:val="center"/>
        <w:outlineLvl w:val="0"/>
        <w:rPr>
          <w:rFonts w:ascii="宋体" w:hAnsi="宋体"/>
          <w:b/>
          <w:bCs/>
          <w:color w:val="auto"/>
          <w:sz w:val="26"/>
          <w:szCs w:val="26"/>
          <w:highlight w:val="none"/>
        </w:rPr>
      </w:pPr>
      <w:bookmarkStart w:id="77" w:name="_Toc245722280"/>
      <w:bookmarkStart w:id="78" w:name="_Toc246261264"/>
      <w:bookmarkStart w:id="79" w:name="_Toc222114878"/>
      <w:bookmarkStart w:id="80" w:name="_Toc241404201"/>
      <w:bookmarkStart w:id="81" w:name="_Toc13098"/>
      <w:bookmarkStart w:id="82" w:name="_Toc221356950"/>
      <w:bookmarkStart w:id="83" w:name="_Toc223715997"/>
      <w:bookmarkStart w:id="84" w:name="_Toc262105502"/>
      <w:bookmarkStart w:id="85" w:name="_Toc262049417"/>
      <w:bookmarkStart w:id="86" w:name="_Toc249758863"/>
      <w:bookmarkStart w:id="87" w:name="_Toc221374625"/>
      <w:bookmarkStart w:id="88" w:name="_Toc239145353"/>
      <w:bookmarkStart w:id="89" w:name="_Toc221356885"/>
      <w:bookmarkStart w:id="90" w:name="_Toc249758711"/>
      <w:bookmarkStart w:id="91" w:name="_Toc245191313"/>
      <w:bookmarkStart w:id="92" w:name="_Toc221423618"/>
      <w:r>
        <w:rPr>
          <w:rFonts w:hint="eastAsia" w:ascii="宋体" w:hAnsi="宋体"/>
          <w:b/>
          <w:bCs/>
          <w:color w:val="auto"/>
          <w:sz w:val="26"/>
          <w:szCs w:val="26"/>
          <w:highlight w:val="none"/>
          <w:lang w:val="en-US" w:eastAsia="zh-CN"/>
        </w:rPr>
        <w:t>四</w:t>
      </w:r>
      <w:r>
        <w:rPr>
          <w:rFonts w:hint="eastAsia" w:ascii="宋体" w:hAnsi="宋体"/>
          <w:b/>
          <w:bCs/>
          <w:color w:val="auto"/>
          <w:sz w:val="26"/>
          <w:szCs w:val="26"/>
          <w:highlight w:val="none"/>
        </w:rPr>
        <w:t>、 投标文件的编制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82307F8">
      <w:pPr>
        <w:numPr>
          <w:ilvl w:val="0"/>
          <w:numId w:val="8"/>
        </w:numPr>
        <w:tabs>
          <w:tab w:val="left" w:pos="540"/>
          <w:tab w:val="clear" w:pos="42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14:paraId="286486DD">
      <w:pPr>
        <w:numPr>
          <w:ilvl w:val="0"/>
          <w:numId w:val="8"/>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596F6786">
      <w:pPr>
        <w:numPr>
          <w:ilvl w:val="0"/>
          <w:numId w:val="0"/>
        </w:numPr>
        <w:tabs>
          <w:tab w:val="left" w:pos="540"/>
        </w:tabs>
        <w:spacing w:line="460" w:lineRule="exact"/>
        <w:ind w:leftChars="0" w:firstLine="442" w:firstLineChars="200"/>
        <w:rPr>
          <w:rFonts w:hint="eastAsia" w:ascii="宋体" w:hAnsi="宋体" w:eastAsia="宋体" w:cs="Arial"/>
          <w:b/>
          <w:color w:val="auto"/>
          <w:sz w:val="22"/>
          <w:szCs w:val="22"/>
          <w:highlight w:val="none"/>
          <w:u w:val="single"/>
        </w:rPr>
      </w:pPr>
      <w:r>
        <w:rPr>
          <w:rFonts w:hint="eastAsia" w:ascii="宋体" w:hAnsi="宋体" w:eastAsia="宋体" w:cs="Arial"/>
          <w:b/>
          <w:color w:val="auto"/>
          <w:sz w:val="22"/>
          <w:szCs w:val="22"/>
          <w:highlight w:val="none"/>
          <w:u w:val="single"/>
        </w:rPr>
        <w:t>投标文件由资格</w:t>
      </w:r>
      <w:r>
        <w:rPr>
          <w:rFonts w:hint="eastAsia" w:ascii="宋体" w:hAnsi="宋体" w:cs="Arial"/>
          <w:b/>
          <w:color w:val="auto"/>
          <w:sz w:val="22"/>
          <w:szCs w:val="22"/>
          <w:highlight w:val="none"/>
          <w:u w:val="single"/>
          <w:lang w:val="en-US" w:eastAsia="zh-CN"/>
        </w:rPr>
        <w:t>响应</w:t>
      </w:r>
      <w:r>
        <w:rPr>
          <w:rFonts w:hint="eastAsia" w:ascii="宋体" w:hAnsi="宋体" w:eastAsia="宋体" w:cs="Arial"/>
          <w:b/>
          <w:color w:val="auto"/>
          <w:sz w:val="22"/>
          <w:szCs w:val="22"/>
          <w:highlight w:val="none"/>
          <w:u w:val="single"/>
        </w:rPr>
        <w:t>文件、商务技术响应文件、报价响应文件三部分构成</w:t>
      </w:r>
      <w:r>
        <w:rPr>
          <w:rFonts w:hint="eastAsia" w:ascii="宋体" w:hAnsi="宋体" w:cs="Arial"/>
          <w:b/>
          <w:color w:val="auto"/>
          <w:sz w:val="22"/>
          <w:szCs w:val="22"/>
          <w:highlight w:val="none"/>
          <w:u w:val="single"/>
          <w:lang w:eastAsia="zh-CN"/>
        </w:rPr>
        <w:t>。</w:t>
      </w:r>
    </w:p>
    <w:p w14:paraId="619A45BB">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w:t>
      </w:r>
      <w:r>
        <w:rPr>
          <w:rFonts w:hint="eastAsia" w:ascii="宋体" w:hAnsi="宋体" w:cs="hakuyoxingshu7000"/>
          <w:b/>
          <w:color w:val="auto"/>
          <w:sz w:val="22"/>
          <w:szCs w:val="22"/>
          <w:highlight w:val="none"/>
          <w:u w:val="single"/>
        </w:rPr>
        <w:t>▲资格响应文件（本部分为投标人资格审查内容，为实质性要求）</w:t>
      </w:r>
    </w:p>
    <w:tbl>
      <w:tblPr>
        <w:tblStyle w:val="62"/>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95"/>
        <w:gridCol w:w="1163"/>
      </w:tblGrid>
      <w:tr w14:paraId="20E8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212543D6">
            <w:pPr>
              <w:keepNext w:val="0"/>
              <w:keepLines w:val="0"/>
              <w:suppressLineNumbers w:val="0"/>
              <w:overflowPunct w:val="0"/>
              <w:spacing w:before="0" w:beforeAutospacing="0" w:after="0" w:afterAutospacing="0" w:line="430" w:lineRule="exact"/>
              <w:ind w:left="0" w:right="0"/>
              <w:jc w:val="center"/>
              <w:rPr>
                <w:rFonts w:hint="default" w:ascii="宋体" w:cs="新宋体"/>
                <w:b/>
                <w:color w:val="auto"/>
                <w:sz w:val="22"/>
                <w:szCs w:val="22"/>
                <w:highlight w:val="none"/>
              </w:rPr>
            </w:pPr>
            <w:r>
              <w:rPr>
                <w:rFonts w:hint="eastAsia" w:ascii="宋体" w:hAnsi="宋体" w:cs="新宋体"/>
                <w:b/>
                <w:color w:val="auto"/>
                <w:sz w:val="22"/>
                <w:szCs w:val="22"/>
                <w:highlight w:val="none"/>
              </w:rPr>
              <w:t>序号</w:t>
            </w:r>
          </w:p>
        </w:tc>
        <w:tc>
          <w:tcPr>
            <w:tcW w:w="7995" w:type="dxa"/>
            <w:vAlign w:val="center"/>
          </w:tcPr>
          <w:p w14:paraId="2E84AEF5">
            <w:pPr>
              <w:keepNext w:val="0"/>
              <w:keepLines w:val="0"/>
              <w:suppressLineNumbers w:val="0"/>
              <w:overflowPunct w:val="0"/>
              <w:spacing w:before="0" w:beforeAutospacing="0" w:after="0" w:afterAutospacing="0" w:line="430" w:lineRule="exact"/>
              <w:ind w:left="0" w:right="0"/>
              <w:jc w:val="center"/>
              <w:rPr>
                <w:rFonts w:hint="default" w:ascii="宋体" w:cs="新宋体"/>
                <w:b/>
                <w:color w:val="auto"/>
                <w:sz w:val="22"/>
                <w:szCs w:val="22"/>
                <w:highlight w:val="none"/>
              </w:rPr>
            </w:pPr>
            <w:r>
              <w:rPr>
                <w:rFonts w:hint="eastAsia" w:ascii="宋体" w:hAnsi="宋体" w:cs="新宋体"/>
                <w:b/>
                <w:color w:val="auto"/>
                <w:sz w:val="22"/>
                <w:szCs w:val="22"/>
                <w:highlight w:val="none"/>
              </w:rPr>
              <w:t>内容</w:t>
            </w:r>
          </w:p>
        </w:tc>
        <w:tc>
          <w:tcPr>
            <w:tcW w:w="1163" w:type="dxa"/>
            <w:vAlign w:val="center"/>
          </w:tcPr>
          <w:p w14:paraId="56155253">
            <w:pPr>
              <w:keepNext w:val="0"/>
              <w:keepLines w:val="0"/>
              <w:suppressLineNumbers w:val="0"/>
              <w:overflowPunct w:val="0"/>
              <w:spacing w:before="0" w:beforeAutospacing="0" w:after="0" w:afterAutospacing="0" w:line="430" w:lineRule="exact"/>
              <w:ind w:left="0" w:right="0"/>
              <w:jc w:val="center"/>
              <w:rPr>
                <w:rFonts w:hint="default" w:ascii="宋体" w:cs="新宋体"/>
                <w:b/>
                <w:color w:val="auto"/>
                <w:sz w:val="22"/>
                <w:szCs w:val="22"/>
                <w:highlight w:val="none"/>
              </w:rPr>
            </w:pPr>
            <w:r>
              <w:rPr>
                <w:rFonts w:hint="eastAsia" w:ascii="宋体" w:hAnsi="宋体" w:cs="新宋体"/>
                <w:b/>
                <w:color w:val="auto"/>
                <w:sz w:val="22"/>
                <w:szCs w:val="22"/>
                <w:highlight w:val="none"/>
              </w:rPr>
              <w:t>备注</w:t>
            </w:r>
          </w:p>
        </w:tc>
      </w:tr>
      <w:tr w14:paraId="513A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5ADB1B50">
            <w:pPr>
              <w:keepNext w:val="0"/>
              <w:keepLines w:val="0"/>
              <w:suppressLineNumbers w:val="0"/>
              <w:overflowPunct w:val="0"/>
              <w:spacing w:before="0" w:beforeAutospacing="0" w:after="0" w:afterAutospacing="0" w:line="430" w:lineRule="exact"/>
              <w:ind w:left="0" w:right="0"/>
              <w:jc w:val="center"/>
              <w:rPr>
                <w:rFonts w:hint="default" w:ascii="宋体" w:cs="新宋体"/>
                <w:bCs/>
                <w:color w:val="auto"/>
                <w:sz w:val="22"/>
                <w:szCs w:val="22"/>
                <w:highlight w:val="none"/>
              </w:rPr>
            </w:pPr>
            <w:r>
              <w:rPr>
                <w:rFonts w:hint="default" w:ascii="宋体" w:hAnsi="宋体" w:cs="新宋体"/>
                <w:bCs/>
                <w:color w:val="auto"/>
                <w:sz w:val="22"/>
                <w:szCs w:val="22"/>
                <w:highlight w:val="none"/>
              </w:rPr>
              <w:t>1</w:t>
            </w:r>
          </w:p>
        </w:tc>
        <w:tc>
          <w:tcPr>
            <w:tcW w:w="7995" w:type="dxa"/>
            <w:vAlign w:val="center"/>
          </w:tcPr>
          <w:p w14:paraId="60C7D873">
            <w:pPr>
              <w:keepNext w:val="0"/>
              <w:keepLines w:val="0"/>
              <w:suppressLineNumbers w:val="0"/>
              <w:spacing w:before="0" w:beforeAutospacing="0" w:after="0" w:afterAutospacing="0" w:line="400" w:lineRule="exact"/>
              <w:ind w:left="0" w:right="0"/>
              <w:rPr>
                <w:rFonts w:hint="default" w:ascii="宋体" w:cs="新宋体"/>
                <w:bCs/>
                <w:color w:val="auto"/>
                <w:sz w:val="22"/>
                <w:szCs w:val="22"/>
                <w:highlight w:val="none"/>
              </w:rPr>
            </w:pPr>
            <w:r>
              <w:rPr>
                <w:rFonts w:hint="eastAsia" w:ascii="宋体" w:hAnsi="宋体"/>
                <w:color w:val="auto"/>
                <w:sz w:val="22"/>
                <w:szCs w:val="22"/>
                <w:highlight w:val="none"/>
              </w:rPr>
              <w:t>营业执照</w:t>
            </w:r>
            <w:r>
              <w:rPr>
                <w:rFonts w:hint="default"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hint="default" w:ascii="宋体" w:hAnsi="宋体"/>
                <w:color w:val="auto"/>
                <w:sz w:val="22"/>
                <w:szCs w:val="22"/>
                <w:highlight w:val="none"/>
              </w:rPr>
              <w:t>)</w:t>
            </w:r>
            <w:r>
              <w:rPr>
                <w:rFonts w:hint="eastAsia" w:ascii="宋体" w:hAnsi="宋体"/>
                <w:color w:val="auto"/>
                <w:sz w:val="22"/>
                <w:szCs w:val="22"/>
                <w:highlight w:val="none"/>
                <w:lang w:val="en-US" w:eastAsia="zh-CN"/>
              </w:rPr>
              <w:t>复制件</w:t>
            </w:r>
            <w:r>
              <w:rPr>
                <w:rFonts w:hint="eastAsia" w:ascii="宋体" w:hAnsi="宋体"/>
                <w:color w:val="auto"/>
                <w:sz w:val="22"/>
                <w:szCs w:val="22"/>
                <w:highlight w:val="none"/>
              </w:rPr>
              <w:t>、税务登记证</w:t>
            </w:r>
            <w:r>
              <w:rPr>
                <w:rFonts w:hint="default" w:ascii="宋体" w:hAnsi="宋体"/>
                <w:color w:val="auto"/>
                <w:sz w:val="22"/>
                <w:szCs w:val="22"/>
                <w:highlight w:val="none"/>
              </w:rPr>
              <w:t>(</w:t>
            </w:r>
            <w:r>
              <w:rPr>
                <w:rFonts w:hint="eastAsia" w:ascii="宋体" w:hAnsi="宋体"/>
                <w:color w:val="auto"/>
                <w:sz w:val="22"/>
                <w:szCs w:val="22"/>
                <w:highlight w:val="none"/>
              </w:rPr>
              <w:t>或其它缴纳证明材料</w:t>
            </w:r>
            <w:r>
              <w:rPr>
                <w:rFonts w:hint="default" w:ascii="宋体" w:hAnsi="宋体"/>
                <w:color w:val="auto"/>
                <w:sz w:val="22"/>
                <w:szCs w:val="22"/>
                <w:highlight w:val="none"/>
              </w:rPr>
              <w:t>)</w:t>
            </w:r>
            <w:r>
              <w:rPr>
                <w:rFonts w:hint="eastAsia" w:ascii="宋体" w:hAnsi="宋体"/>
                <w:color w:val="auto"/>
                <w:sz w:val="22"/>
                <w:szCs w:val="22"/>
                <w:highlight w:val="none"/>
              </w:rPr>
              <w:t>复制件、社保登记证（或其它缴纳证明材料）复制件；实施“五证合一、一照一码”登记制度改革的，只需提供改革后取得的营业执照复制件；</w:t>
            </w:r>
          </w:p>
        </w:tc>
        <w:tc>
          <w:tcPr>
            <w:tcW w:w="1163" w:type="dxa"/>
            <w:vAlign w:val="center"/>
          </w:tcPr>
          <w:p w14:paraId="68EB736D">
            <w:pPr>
              <w:keepNext w:val="0"/>
              <w:keepLines w:val="0"/>
              <w:suppressLineNumbers w:val="0"/>
              <w:overflowPunct w:val="0"/>
              <w:spacing w:before="0" w:beforeAutospacing="0" w:after="0" w:afterAutospacing="0" w:line="430" w:lineRule="exact"/>
              <w:ind w:left="0" w:right="0"/>
              <w:jc w:val="center"/>
              <w:rPr>
                <w:rFonts w:hint="default" w:ascii="宋体" w:cs="新宋体"/>
                <w:b/>
                <w:color w:val="auto"/>
                <w:sz w:val="22"/>
                <w:szCs w:val="22"/>
                <w:highlight w:val="none"/>
              </w:rPr>
            </w:pPr>
          </w:p>
        </w:tc>
      </w:tr>
      <w:tr w14:paraId="4987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07352C0F">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新宋体"/>
                <w:bCs/>
                <w:color w:val="auto"/>
                <w:kern w:val="2"/>
                <w:sz w:val="22"/>
                <w:szCs w:val="22"/>
                <w:highlight w:val="none"/>
                <w:lang w:val="en-US" w:eastAsia="zh-CN" w:bidi="ar-SA"/>
              </w:rPr>
            </w:pPr>
            <w:r>
              <w:rPr>
                <w:rFonts w:hint="default" w:ascii="宋体" w:hAnsi="宋体" w:cs="新宋体"/>
                <w:bCs/>
                <w:color w:val="auto"/>
                <w:sz w:val="22"/>
                <w:szCs w:val="22"/>
                <w:highlight w:val="none"/>
              </w:rPr>
              <w:t>2</w:t>
            </w:r>
          </w:p>
        </w:tc>
        <w:tc>
          <w:tcPr>
            <w:tcW w:w="7995" w:type="dxa"/>
            <w:vAlign w:val="center"/>
          </w:tcPr>
          <w:p w14:paraId="740357AE">
            <w:pPr>
              <w:keepNext w:val="0"/>
              <w:keepLines w:val="0"/>
              <w:suppressLineNumbers w:val="0"/>
              <w:spacing w:before="0" w:beforeAutospacing="0" w:after="0" w:afterAutospacing="0" w:line="400" w:lineRule="exact"/>
              <w:ind w:left="0" w:right="0"/>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法定代表人声明书或法定代表人授权书</w:t>
            </w:r>
          </w:p>
        </w:tc>
        <w:tc>
          <w:tcPr>
            <w:tcW w:w="1163" w:type="dxa"/>
            <w:vMerge w:val="restart"/>
            <w:vAlign w:val="center"/>
          </w:tcPr>
          <w:p w14:paraId="62DCAACC">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r>
              <w:rPr>
                <w:rFonts w:hint="eastAsia" w:ascii="宋体" w:hAnsi="宋体" w:cs="新宋体"/>
                <w:bCs/>
                <w:color w:val="auto"/>
                <w:sz w:val="22"/>
                <w:szCs w:val="22"/>
                <w:highlight w:val="none"/>
              </w:rPr>
              <w:t>附件一</w:t>
            </w:r>
          </w:p>
        </w:tc>
      </w:tr>
      <w:tr w14:paraId="222E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5B65D79E">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新宋体"/>
                <w:bCs/>
                <w:color w:val="auto"/>
                <w:kern w:val="2"/>
                <w:sz w:val="22"/>
                <w:szCs w:val="22"/>
                <w:highlight w:val="none"/>
                <w:lang w:val="en-US" w:eastAsia="zh-CN" w:bidi="ar-SA"/>
              </w:rPr>
            </w:pPr>
            <w:r>
              <w:rPr>
                <w:rFonts w:hint="default" w:ascii="宋体" w:hAnsi="宋体" w:cs="新宋体"/>
                <w:bCs/>
                <w:color w:val="auto"/>
                <w:sz w:val="22"/>
                <w:szCs w:val="22"/>
                <w:highlight w:val="none"/>
              </w:rPr>
              <w:t>3</w:t>
            </w:r>
          </w:p>
        </w:tc>
        <w:tc>
          <w:tcPr>
            <w:tcW w:w="7995" w:type="dxa"/>
            <w:vAlign w:val="center"/>
          </w:tcPr>
          <w:p w14:paraId="687F0CDC">
            <w:pPr>
              <w:keepNext w:val="0"/>
              <w:keepLines w:val="0"/>
              <w:suppressLineNumbers w:val="0"/>
              <w:spacing w:before="0" w:beforeAutospacing="0" w:after="0" w:afterAutospacing="0" w:line="400" w:lineRule="exact"/>
              <w:ind w:left="0" w:right="0"/>
              <w:rPr>
                <w:rFonts w:hint="default"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投标供应商参与政府采购活动投标资格声明函</w:t>
            </w:r>
          </w:p>
        </w:tc>
        <w:tc>
          <w:tcPr>
            <w:tcW w:w="1163" w:type="dxa"/>
            <w:vMerge w:val="continue"/>
            <w:vAlign w:val="center"/>
          </w:tcPr>
          <w:p w14:paraId="39BBBB4D">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p>
        </w:tc>
      </w:tr>
      <w:tr w14:paraId="490F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538BB751">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新宋体"/>
                <w:bCs/>
                <w:color w:val="auto"/>
                <w:kern w:val="2"/>
                <w:sz w:val="22"/>
                <w:szCs w:val="22"/>
                <w:highlight w:val="none"/>
                <w:lang w:val="en-US" w:eastAsia="zh-CN" w:bidi="ar-SA"/>
              </w:rPr>
            </w:pPr>
            <w:r>
              <w:rPr>
                <w:rFonts w:hint="default" w:ascii="宋体" w:hAnsi="宋体" w:cs="新宋体"/>
                <w:bCs/>
                <w:color w:val="auto"/>
                <w:sz w:val="22"/>
                <w:szCs w:val="22"/>
                <w:highlight w:val="none"/>
              </w:rPr>
              <w:t>4</w:t>
            </w:r>
          </w:p>
        </w:tc>
        <w:tc>
          <w:tcPr>
            <w:tcW w:w="7995" w:type="dxa"/>
            <w:vAlign w:val="center"/>
          </w:tcPr>
          <w:p w14:paraId="5B95EB46">
            <w:pPr>
              <w:keepNext w:val="0"/>
              <w:keepLines w:val="0"/>
              <w:suppressLineNumbers w:val="0"/>
              <w:spacing w:before="0" w:beforeAutospacing="0" w:after="0" w:afterAutospacing="0" w:line="400" w:lineRule="exact"/>
              <w:ind w:left="0" w:right="0"/>
              <w:rPr>
                <w:rFonts w:hint="default"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诚信投标承诺书</w:t>
            </w:r>
          </w:p>
        </w:tc>
        <w:tc>
          <w:tcPr>
            <w:tcW w:w="1163" w:type="dxa"/>
            <w:vMerge w:val="continue"/>
            <w:vAlign w:val="center"/>
          </w:tcPr>
          <w:p w14:paraId="62DD3246">
            <w:pPr>
              <w:keepNext w:val="0"/>
              <w:keepLines w:val="0"/>
              <w:suppressLineNumbers w:val="0"/>
              <w:spacing w:before="0" w:beforeAutospacing="0" w:after="0" w:afterAutospacing="0" w:line="400" w:lineRule="exact"/>
              <w:ind w:left="0" w:right="0"/>
              <w:jc w:val="center"/>
              <w:rPr>
                <w:rFonts w:hint="default" w:ascii="宋体"/>
                <w:color w:val="auto"/>
                <w:sz w:val="22"/>
                <w:szCs w:val="22"/>
                <w:highlight w:val="none"/>
              </w:rPr>
            </w:pPr>
          </w:p>
        </w:tc>
      </w:tr>
      <w:tr w14:paraId="3C2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shd w:val="clear" w:color="auto" w:fill="auto"/>
            <w:vAlign w:val="center"/>
          </w:tcPr>
          <w:p w14:paraId="4E19E442">
            <w:pPr>
              <w:keepNext w:val="0"/>
              <w:keepLines w:val="0"/>
              <w:suppressLineNumbers w:val="0"/>
              <w:overflowPunct w:val="0"/>
              <w:spacing w:before="0" w:beforeAutospacing="0" w:after="0" w:afterAutospacing="0" w:line="430" w:lineRule="exact"/>
              <w:ind w:left="0" w:leftChars="0" w:right="0" w:rightChars="0"/>
              <w:jc w:val="center"/>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val="en-US" w:eastAsia="zh-CN"/>
              </w:rPr>
              <w:t>5</w:t>
            </w:r>
          </w:p>
        </w:tc>
        <w:tc>
          <w:tcPr>
            <w:tcW w:w="7995" w:type="dxa"/>
            <w:vAlign w:val="center"/>
          </w:tcPr>
          <w:p w14:paraId="0CAFF4F9">
            <w:pPr>
              <w:keepNext w:val="0"/>
              <w:keepLines w:val="0"/>
              <w:suppressLineNumbers w:val="0"/>
              <w:spacing w:before="0" w:beforeAutospacing="0" w:after="0" w:afterAutospacing="0" w:line="400" w:lineRule="exact"/>
              <w:ind w:left="0" w:right="0"/>
              <w:rPr>
                <w:rFonts w:hint="eastAsia" w:ascii="宋体" w:cs="新宋体"/>
                <w:bCs/>
                <w:color w:val="auto"/>
                <w:sz w:val="22"/>
                <w:szCs w:val="22"/>
                <w:highlight w:val="none"/>
              </w:rPr>
            </w:pPr>
            <w:r>
              <w:rPr>
                <w:rFonts w:hint="eastAsia" w:ascii="宋体" w:hAnsi="宋体" w:cs="新宋体"/>
                <w:bCs/>
                <w:color w:val="auto"/>
                <w:sz w:val="22"/>
                <w:szCs w:val="22"/>
                <w:highlight w:val="none"/>
              </w:rPr>
              <w:t>供应商“信用中国”</w:t>
            </w:r>
            <w:r>
              <w:rPr>
                <w:rFonts w:hint="default"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hint="default"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163" w:type="dxa"/>
            <w:vAlign w:val="center"/>
          </w:tcPr>
          <w:p w14:paraId="3D15BE58">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p>
        </w:tc>
      </w:tr>
      <w:tr w14:paraId="1FA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shd w:val="clear" w:color="auto" w:fill="auto"/>
            <w:vAlign w:val="center"/>
          </w:tcPr>
          <w:p w14:paraId="33B8B55F">
            <w:pPr>
              <w:keepNext w:val="0"/>
              <w:keepLines w:val="0"/>
              <w:suppressLineNumbers w:val="0"/>
              <w:overflowPunct w:val="0"/>
              <w:spacing w:before="0" w:beforeAutospacing="0" w:after="0" w:afterAutospacing="0" w:line="430" w:lineRule="exact"/>
              <w:ind w:left="0" w:leftChars="0" w:right="0" w:rightChars="0"/>
              <w:jc w:val="center"/>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val="en-US" w:eastAsia="zh-CN"/>
              </w:rPr>
              <w:t>6</w:t>
            </w:r>
          </w:p>
        </w:tc>
        <w:tc>
          <w:tcPr>
            <w:tcW w:w="7995" w:type="dxa"/>
            <w:vAlign w:val="center"/>
          </w:tcPr>
          <w:p w14:paraId="52260B7F">
            <w:pPr>
              <w:keepNext w:val="0"/>
              <w:keepLines w:val="0"/>
              <w:suppressLineNumbers w:val="0"/>
              <w:spacing w:before="0" w:beforeAutospacing="0" w:after="0" w:afterAutospacing="0" w:line="400" w:lineRule="exact"/>
              <w:ind w:left="0" w:right="0"/>
              <w:rPr>
                <w:rFonts w:hint="default" w:ascii="宋体" w:cs="新宋体"/>
                <w:bCs/>
                <w:color w:val="auto"/>
                <w:sz w:val="22"/>
                <w:szCs w:val="22"/>
                <w:highlight w:val="none"/>
              </w:rPr>
            </w:pPr>
            <w:r>
              <w:rPr>
                <w:rFonts w:hint="eastAsia" w:ascii="宋体" w:cs="新宋体"/>
                <w:bCs/>
                <w:color w:val="auto"/>
                <w:sz w:val="22"/>
                <w:szCs w:val="22"/>
                <w:highlight w:val="none"/>
              </w:rPr>
              <w:t>供应商</w:t>
            </w:r>
            <w:r>
              <w:rPr>
                <w:rFonts w:hint="eastAsia" w:ascii="宋体" w:cs="新宋体"/>
                <w:bCs/>
                <w:color w:val="auto"/>
                <w:sz w:val="22"/>
                <w:szCs w:val="22"/>
                <w:highlight w:val="none"/>
                <w:lang w:val="en-US" w:eastAsia="zh-CN"/>
              </w:rPr>
              <w:t>具备</w:t>
            </w:r>
            <w:r>
              <w:rPr>
                <w:rFonts w:hint="eastAsia" w:ascii="宋体" w:cs="新宋体"/>
                <w:bCs/>
                <w:color w:val="auto"/>
                <w:sz w:val="22"/>
                <w:szCs w:val="22"/>
                <w:highlight w:val="none"/>
              </w:rPr>
              <w:t>市政公用工程施工总承包三级及以上资质</w:t>
            </w:r>
            <w:r>
              <w:rPr>
                <w:rFonts w:hint="eastAsia" w:ascii="宋体" w:cs="新宋体"/>
                <w:b/>
                <w:bCs w:val="0"/>
                <w:color w:val="auto"/>
                <w:sz w:val="22"/>
                <w:szCs w:val="22"/>
                <w:highlight w:val="none"/>
              </w:rPr>
              <w:t>（对应资质应在“浙江省建筑市场监管公共服务系统”上资质动态核查结果处于“合格”状态</w:t>
            </w:r>
            <w:r>
              <w:rPr>
                <w:rFonts w:hint="eastAsia" w:ascii="宋体" w:cs="新宋体"/>
                <w:b/>
                <w:bCs w:val="0"/>
                <w:color w:val="auto"/>
                <w:sz w:val="22"/>
                <w:szCs w:val="22"/>
                <w:highlight w:val="none"/>
                <w:lang w:eastAsia="zh-CN"/>
              </w:rPr>
              <w:t>，提供</w:t>
            </w:r>
            <w:r>
              <w:rPr>
                <w:rFonts w:hint="eastAsia" w:ascii="宋体" w:cs="新宋体"/>
                <w:b/>
                <w:bCs w:val="0"/>
                <w:color w:val="auto"/>
                <w:sz w:val="22"/>
                <w:szCs w:val="22"/>
                <w:highlight w:val="none"/>
                <w:lang w:val="en-US" w:eastAsia="zh-CN"/>
              </w:rPr>
              <w:t>供应商</w:t>
            </w:r>
            <w:r>
              <w:rPr>
                <w:rFonts w:hint="eastAsia" w:ascii="宋体" w:cs="新宋体"/>
                <w:b/>
                <w:bCs w:val="0"/>
                <w:color w:val="auto"/>
                <w:sz w:val="22"/>
                <w:szCs w:val="22"/>
                <w:highlight w:val="none"/>
                <w:lang w:eastAsia="zh-CN"/>
              </w:rPr>
              <w:t>投标截止日当周或前一周的任一个周一在“浙江省建筑市场监管公共服务系统”上，参与投标资质的“资质动态核查结果证明”）</w:t>
            </w:r>
            <w:r>
              <w:rPr>
                <w:rFonts w:hint="eastAsia" w:ascii="宋体" w:cs="新宋体"/>
                <w:bCs/>
                <w:color w:val="auto"/>
                <w:sz w:val="22"/>
                <w:szCs w:val="22"/>
                <w:highlight w:val="none"/>
              </w:rPr>
              <w:t>及安全生产许可证</w:t>
            </w:r>
          </w:p>
        </w:tc>
        <w:tc>
          <w:tcPr>
            <w:tcW w:w="1163" w:type="dxa"/>
            <w:vAlign w:val="center"/>
          </w:tcPr>
          <w:p w14:paraId="4224F1D4">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p>
        </w:tc>
      </w:tr>
      <w:tr w14:paraId="70A7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shd w:val="clear" w:color="auto" w:fill="auto"/>
            <w:vAlign w:val="center"/>
          </w:tcPr>
          <w:p w14:paraId="6FD1D206">
            <w:pPr>
              <w:keepNext w:val="0"/>
              <w:keepLines w:val="0"/>
              <w:suppressLineNumbers w:val="0"/>
              <w:overflowPunct w:val="0"/>
              <w:spacing w:before="0" w:beforeAutospacing="0" w:after="0" w:afterAutospacing="0" w:line="430" w:lineRule="exact"/>
              <w:ind w:left="0" w:leftChars="0" w:right="0" w:rightChars="0"/>
              <w:jc w:val="center"/>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val="en-US" w:eastAsia="zh-CN"/>
              </w:rPr>
              <w:t>7</w:t>
            </w:r>
          </w:p>
        </w:tc>
        <w:tc>
          <w:tcPr>
            <w:tcW w:w="7995" w:type="dxa"/>
            <w:vAlign w:val="center"/>
          </w:tcPr>
          <w:p w14:paraId="7BBE18E8">
            <w:pPr>
              <w:keepNext w:val="0"/>
              <w:keepLines w:val="0"/>
              <w:suppressLineNumbers w:val="0"/>
              <w:spacing w:before="0" w:beforeAutospacing="0" w:after="0" w:afterAutospacing="0" w:line="400" w:lineRule="exact"/>
              <w:ind w:left="0" w:right="0"/>
              <w:rPr>
                <w:rFonts w:hint="eastAsia" w:ascii="宋体" w:cs="新宋体"/>
                <w:bCs/>
                <w:color w:val="auto"/>
                <w:sz w:val="22"/>
                <w:szCs w:val="22"/>
                <w:highlight w:val="none"/>
              </w:rPr>
            </w:pPr>
            <w:r>
              <w:rPr>
                <w:rFonts w:hint="eastAsia" w:ascii="宋体" w:cs="新宋体"/>
                <w:bCs/>
                <w:color w:val="auto"/>
                <w:sz w:val="22"/>
                <w:szCs w:val="22"/>
                <w:highlight w:val="none"/>
                <w:lang w:eastAsia="zh-CN"/>
              </w:rPr>
              <w:t>项目负责人具备市政公用工程贰级及以上注册建造师，具备有效的安全生产考核合格证书（B证）</w:t>
            </w:r>
          </w:p>
        </w:tc>
        <w:tc>
          <w:tcPr>
            <w:tcW w:w="1163" w:type="dxa"/>
            <w:vAlign w:val="center"/>
          </w:tcPr>
          <w:p w14:paraId="2F7171FB">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p>
        </w:tc>
      </w:tr>
      <w:tr w14:paraId="5DEF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3" w:type="dxa"/>
            <w:vAlign w:val="center"/>
          </w:tcPr>
          <w:p w14:paraId="63A65500">
            <w:pPr>
              <w:keepNext w:val="0"/>
              <w:keepLines w:val="0"/>
              <w:suppressLineNumbers w:val="0"/>
              <w:overflowPunct w:val="0"/>
              <w:spacing w:before="0" w:beforeAutospacing="0" w:after="0" w:afterAutospacing="0" w:line="430" w:lineRule="exact"/>
              <w:ind w:left="0" w:right="0"/>
              <w:jc w:val="center"/>
              <w:rPr>
                <w:rFonts w:hint="default" w:ascii="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8</w:t>
            </w:r>
          </w:p>
        </w:tc>
        <w:tc>
          <w:tcPr>
            <w:tcW w:w="7995" w:type="dxa"/>
            <w:vAlign w:val="center"/>
          </w:tcPr>
          <w:p w14:paraId="0C1A1D75">
            <w:pPr>
              <w:keepNext w:val="0"/>
              <w:keepLines w:val="0"/>
              <w:suppressLineNumbers w:val="0"/>
              <w:spacing w:before="0" w:beforeAutospacing="0" w:after="0" w:afterAutospacing="0" w:line="400" w:lineRule="exact"/>
              <w:ind w:left="0" w:right="0"/>
              <w:rPr>
                <w:rFonts w:hint="eastAsia" w:ascii="宋体" w:cs="新宋体"/>
                <w:bCs/>
                <w:color w:val="auto"/>
                <w:sz w:val="22"/>
                <w:szCs w:val="22"/>
                <w:highlight w:val="none"/>
                <w:lang w:eastAsia="zh-CN"/>
              </w:rPr>
            </w:pPr>
            <w:r>
              <w:rPr>
                <w:rFonts w:hint="eastAsia" w:ascii="宋体" w:cs="新宋体"/>
                <w:bCs/>
                <w:color w:val="auto"/>
                <w:sz w:val="22"/>
                <w:szCs w:val="22"/>
                <w:highlight w:val="none"/>
                <w:lang w:eastAsia="zh-CN"/>
              </w:rPr>
              <w:t>中</w:t>
            </w:r>
            <w:r>
              <w:rPr>
                <w:rFonts w:hint="eastAsia" w:ascii="宋体" w:cs="新宋体"/>
                <w:bCs/>
                <w:color w:val="auto"/>
                <w:sz w:val="22"/>
                <w:szCs w:val="22"/>
                <w:highlight w:val="none"/>
              </w:rPr>
              <w:t>小微企业（或监狱企业、残疾人福利单位）声明函</w:t>
            </w:r>
          </w:p>
        </w:tc>
        <w:tc>
          <w:tcPr>
            <w:tcW w:w="1163" w:type="dxa"/>
            <w:vAlign w:val="center"/>
          </w:tcPr>
          <w:p w14:paraId="33ED0E05">
            <w:pPr>
              <w:keepNext w:val="0"/>
              <w:keepLines w:val="0"/>
              <w:suppressLineNumbers w:val="0"/>
              <w:spacing w:before="0" w:beforeAutospacing="0" w:after="0" w:afterAutospacing="0"/>
              <w:ind w:left="0" w:right="0"/>
              <w:jc w:val="center"/>
              <w:rPr>
                <w:rFonts w:hint="default" w:ascii="宋体" w:cs="新宋体"/>
                <w:bCs/>
                <w:color w:val="auto"/>
                <w:sz w:val="22"/>
                <w:szCs w:val="22"/>
                <w:highlight w:val="none"/>
              </w:rPr>
            </w:pPr>
          </w:p>
        </w:tc>
      </w:tr>
    </w:tbl>
    <w:p w14:paraId="76C7CB00">
      <w:pPr>
        <w:spacing w:line="430" w:lineRule="exact"/>
        <w:ind w:left="187" w:leftChars="85" w:hanging="9" w:hangingChars="4"/>
        <w:rPr>
          <w:rFonts w:ascii="宋体" w:cs="楷体"/>
          <w:b/>
          <w:color w:val="auto"/>
          <w:sz w:val="22"/>
          <w:szCs w:val="22"/>
          <w:highlight w:val="none"/>
        </w:rPr>
      </w:pPr>
      <w:r>
        <w:rPr>
          <w:rFonts w:hint="eastAsia" w:ascii="宋体" w:hAnsi="宋体" w:cs="楷体"/>
          <w:b/>
          <w:color w:val="auto"/>
          <w:sz w:val="22"/>
          <w:szCs w:val="22"/>
          <w:highlight w:val="none"/>
        </w:rPr>
        <w:t>备注：</w:t>
      </w:r>
    </w:p>
    <w:p w14:paraId="145329EB">
      <w:pPr>
        <w:numPr>
          <w:ilvl w:val="0"/>
          <w:numId w:val="0"/>
        </w:numPr>
        <w:spacing w:line="430" w:lineRule="exact"/>
        <w:rPr>
          <w:rFonts w:ascii="宋体" w:cs="楷体"/>
          <w:b/>
          <w:color w:val="auto"/>
          <w:sz w:val="22"/>
          <w:szCs w:val="22"/>
          <w:highlight w:val="none"/>
        </w:rPr>
      </w:pPr>
      <w:r>
        <w:rPr>
          <w:rFonts w:hint="eastAsia" w:ascii="宋体" w:hAnsi="宋体" w:cs="新宋体"/>
          <w:color w:val="auto"/>
          <w:sz w:val="22"/>
          <w:szCs w:val="22"/>
          <w:highlight w:val="none"/>
          <w:lang w:val="en-US" w:eastAsia="zh-CN"/>
        </w:rPr>
        <w:t>①</w:t>
      </w: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995D978">
      <w:pPr>
        <w:spacing w:line="430" w:lineRule="exact"/>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报价响应文件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95"/>
        <w:gridCol w:w="1186"/>
      </w:tblGrid>
      <w:tr w14:paraId="2322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2782221">
            <w:pPr>
              <w:keepNext w:val="0"/>
              <w:keepLines w:val="0"/>
              <w:suppressLineNumbers w:val="0"/>
              <w:spacing w:before="0" w:beforeAutospacing="0" w:after="0" w:afterAutospacing="0" w:line="430" w:lineRule="exact"/>
              <w:ind w:left="0" w:right="0"/>
              <w:jc w:val="center"/>
              <w:rPr>
                <w:rFonts w:hint="default" w:ascii="宋体" w:cs="hakuyoxingshu7000"/>
                <w:color w:val="auto"/>
                <w:kern w:val="0"/>
                <w:sz w:val="22"/>
                <w:szCs w:val="22"/>
                <w:highlight w:val="none"/>
              </w:rPr>
            </w:pPr>
            <w:r>
              <w:rPr>
                <w:rFonts w:hint="eastAsia" w:ascii="宋体" w:hAnsi="宋体" w:cs="仿宋"/>
                <w:b/>
                <w:color w:val="auto"/>
                <w:kern w:val="2"/>
                <w:sz w:val="22"/>
                <w:szCs w:val="22"/>
                <w:highlight w:val="none"/>
              </w:rPr>
              <w:t>序号</w:t>
            </w:r>
          </w:p>
        </w:tc>
        <w:tc>
          <w:tcPr>
            <w:tcW w:w="7995" w:type="dxa"/>
            <w:vAlign w:val="center"/>
          </w:tcPr>
          <w:p w14:paraId="0E0CC34E">
            <w:pPr>
              <w:keepNext w:val="0"/>
              <w:keepLines w:val="0"/>
              <w:suppressLineNumbers w:val="0"/>
              <w:spacing w:before="0" w:beforeAutospacing="0" w:after="0" w:afterAutospacing="0" w:line="430" w:lineRule="exact"/>
              <w:ind w:left="0" w:right="0"/>
              <w:rPr>
                <w:rFonts w:hint="default"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186" w:type="dxa"/>
            <w:vAlign w:val="center"/>
          </w:tcPr>
          <w:p w14:paraId="662DA3AC">
            <w:pPr>
              <w:keepNext w:val="0"/>
              <w:keepLines w:val="0"/>
              <w:suppressLineNumbers w:val="0"/>
              <w:spacing w:before="0" w:beforeAutospacing="0" w:after="0" w:afterAutospacing="0" w:line="430" w:lineRule="exact"/>
              <w:ind w:left="0" w:right="0"/>
              <w:jc w:val="center"/>
              <w:rPr>
                <w:rFonts w:hint="default" w:ascii="宋体" w:cs="hakuyoxingshu7000"/>
                <w:color w:val="auto"/>
                <w:kern w:val="0"/>
                <w:sz w:val="22"/>
                <w:szCs w:val="22"/>
                <w:highlight w:val="none"/>
              </w:rPr>
            </w:pPr>
            <w:r>
              <w:rPr>
                <w:rFonts w:hint="eastAsia" w:ascii="宋体" w:hAnsi="宋体" w:cs="仿宋"/>
                <w:b/>
                <w:color w:val="auto"/>
                <w:kern w:val="2"/>
                <w:sz w:val="22"/>
                <w:szCs w:val="22"/>
                <w:highlight w:val="none"/>
              </w:rPr>
              <w:t>备注</w:t>
            </w:r>
          </w:p>
        </w:tc>
      </w:tr>
      <w:tr w14:paraId="749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vAlign w:val="center"/>
          </w:tcPr>
          <w:p w14:paraId="0473115C">
            <w:pPr>
              <w:keepNext w:val="0"/>
              <w:keepLines w:val="0"/>
              <w:suppressLineNumbers w:val="0"/>
              <w:overflowPunct w:val="0"/>
              <w:spacing w:before="0" w:beforeAutospacing="0" w:after="0" w:afterAutospacing="0" w:line="430" w:lineRule="exact"/>
              <w:ind w:left="0" w:right="0"/>
              <w:jc w:val="center"/>
              <w:rPr>
                <w:rFonts w:hint="eastAsia" w:ascii="宋体" w:eastAsia="宋体" w:cs="hakuyoxingshu7000"/>
                <w:color w:val="auto"/>
                <w:kern w:val="0"/>
                <w:sz w:val="22"/>
                <w:szCs w:val="22"/>
                <w:highlight w:val="none"/>
                <w:lang w:eastAsia="zh-CN"/>
              </w:rPr>
            </w:pPr>
            <w:r>
              <w:rPr>
                <w:rFonts w:hint="default" w:ascii="宋体" w:hAnsi="宋体" w:cs="新宋体"/>
                <w:bCs/>
                <w:color w:val="auto"/>
                <w:sz w:val="22"/>
                <w:szCs w:val="22"/>
                <w:highlight w:val="none"/>
              </w:rPr>
              <w:t>1</w:t>
            </w:r>
          </w:p>
        </w:tc>
        <w:tc>
          <w:tcPr>
            <w:tcW w:w="7995" w:type="dxa"/>
            <w:vAlign w:val="center"/>
          </w:tcPr>
          <w:p w14:paraId="614BBEB1">
            <w:pPr>
              <w:keepNext w:val="0"/>
              <w:keepLines w:val="0"/>
              <w:suppressLineNumbers w:val="0"/>
              <w:spacing w:before="0" w:beforeAutospacing="0" w:after="0" w:afterAutospacing="0" w:line="430" w:lineRule="exact"/>
              <w:ind w:left="0" w:right="0"/>
              <w:jc w:val="left"/>
              <w:rPr>
                <w:rFonts w:hint="default"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186" w:type="dxa"/>
            <w:vAlign w:val="center"/>
          </w:tcPr>
          <w:p w14:paraId="3258672A">
            <w:pPr>
              <w:keepNext w:val="0"/>
              <w:keepLines w:val="0"/>
              <w:suppressLineNumbers w:val="0"/>
              <w:spacing w:before="0" w:beforeAutospacing="0" w:after="0" w:afterAutospacing="0" w:line="430" w:lineRule="exact"/>
              <w:ind w:left="0" w:right="0"/>
              <w:jc w:val="center"/>
              <w:rPr>
                <w:rFonts w:hint="default"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bl>
    <w:p w14:paraId="12897AA5">
      <w:pPr>
        <w:numPr>
          <w:ilvl w:val="-1"/>
          <w:numId w:val="0"/>
        </w:numPr>
        <w:spacing w:line="430" w:lineRule="exact"/>
        <w:ind w:left="0" w:leftChars="0" w:firstLine="0" w:firstLineChars="0"/>
        <w:rPr>
          <w:rFonts w:hint="eastAsia" w:ascii="宋体" w:hAnsi="宋体" w:cs="hakuyoxingshu7000"/>
          <w:b/>
          <w:color w:val="auto"/>
          <w:sz w:val="22"/>
          <w:szCs w:val="22"/>
          <w:highlight w:val="none"/>
        </w:rPr>
      </w:pPr>
      <w:r>
        <w:rPr>
          <w:rFonts w:hint="eastAsia" w:ascii="宋体" w:hAnsi="宋体" w:cs="hakuyoxingshu7000"/>
          <w:b/>
          <w:color w:val="auto"/>
          <w:sz w:val="22"/>
          <w:szCs w:val="22"/>
          <w:highlight w:val="none"/>
          <w:lang w:eastAsia="zh-CN"/>
        </w:rPr>
        <w:t>（</w:t>
      </w:r>
      <w:r>
        <w:rPr>
          <w:rFonts w:hint="eastAsia" w:ascii="宋体" w:hAnsi="宋体" w:cs="hakuyoxingshu7000"/>
          <w:b/>
          <w:color w:val="auto"/>
          <w:sz w:val="22"/>
          <w:szCs w:val="22"/>
          <w:highlight w:val="none"/>
          <w:lang w:val="en-US" w:eastAsia="zh-CN"/>
        </w:rPr>
        <w:t>3</w:t>
      </w:r>
      <w:r>
        <w:rPr>
          <w:rFonts w:hint="eastAsia" w:ascii="宋体" w:hAnsi="宋体" w:cs="hakuyoxingshu7000"/>
          <w:b/>
          <w:color w:val="auto"/>
          <w:sz w:val="22"/>
          <w:szCs w:val="22"/>
          <w:highlight w:val="none"/>
          <w:lang w:eastAsia="zh-CN"/>
        </w:rPr>
        <w:t>）</w:t>
      </w:r>
      <w:r>
        <w:rPr>
          <w:rFonts w:hint="eastAsia" w:ascii="宋体" w:hAnsi="宋体" w:cs="hakuyoxingshu7000"/>
          <w:b/>
          <w:color w:val="auto"/>
          <w:sz w:val="22"/>
          <w:szCs w:val="22"/>
          <w:highlight w:val="none"/>
        </w:rPr>
        <w:t>商务技术响应文件</w:t>
      </w:r>
    </w:p>
    <w:tbl>
      <w:tblPr>
        <w:tblStyle w:val="62"/>
        <w:tblpPr w:leftFromText="180" w:rightFromText="180" w:vertAnchor="text" w:horzAnchor="page" w:tblpX="1210" w:tblpY="301"/>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10"/>
        <w:gridCol w:w="1170"/>
      </w:tblGrid>
      <w:tr w14:paraId="031D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80EC47B">
            <w:pPr>
              <w:keepNext w:val="0"/>
              <w:keepLines w:val="0"/>
              <w:suppressLineNumbers w:val="0"/>
              <w:spacing w:before="0" w:beforeAutospacing="0" w:after="0" w:afterAutospacing="0" w:line="430" w:lineRule="exact"/>
              <w:ind w:left="0" w:right="0"/>
              <w:jc w:val="center"/>
              <w:rPr>
                <w:rFonts w:hint="default" w:ascii="宋体" w:cs="仿宋"/>
                <w:b/>
                <w:color w:val="auto"/>
                <w:sz w:val="22"/>
                <w:szCs w:val="22"/>
                <w:highlight w:val="none"/>
              </w:rPr>
            </w:pPr>
            <w:r>
              <w:rPr>
                <w:rFonts w:hint="eastAsia" w:ascii="宋体" w:hAnsi="宋体" w:cs="仿宋"/>
                <w:b/>
                <w:color w:val="auto"/>
                <w:sz w:val="22"/>
                <w:szCs w:val="22"/>
                <w:highlight w:val="none"/>
              </w:rPr>
              <w:t>序号</w:t>
            </w:r>
          </w:p>
        </w:tc>
        <w:tc>
          <w:tcPr>
            <w:tcW w:w="8010" w:type="dxa"/>
            <w:vAlign w:val="center"/>
          </w:tcPr>
          <w:p w14:paraId="435E5E97">
            <w:pPr>
              <w:keepNext w:val="0"/>
              <w:keepLines w:val="0"/>
              <w:suppressLineNumbers w:val="0"/>
              <w:spacing w:before="0" w:beforeAutospacing="0" w:after="0" w:afterAutospacing="0" w:line="430" w:lineRule="exact"/>
              <w:ind w:left="0" w:right="0"/>
              <w:rPr>
                <w:rFonts w:hint="default" w:ascii="宋体" w:cs="仿宋"/>
                <w:b/>
                <w:color w:val="auto"/>
                <w:sz w:val="22"/>
                <w:szCs w:val="22"/>
                <w:highlight w:val="none"/>
              </w:rPr>
            </w:pPr>
            <w:r>
              <w:rPr>
                <w:rFonts w:hint="eastAsia" w:ascii="宋体" w:hAnsi="宋体" w:cs="仿宋"/>
                <w:b/>
                <w:color w:val="auto"/>
                <w:sz w:val="22"/>
                <w:szCs w:val="22"/>
                <w:highlight w:val="none"/>
              </w:rPr>
              <w:t>内容</w:t>
            </w:r>
          </w:p>
        </w:tc>
        <w:tc>
          <w:tcPr>
            <w:tcW w:w="1170" w:type="dxa"/>
            <w:vAlign w:val="center"/>
          </w:tcPr>
          <w:p w14:paraId="6FFAAD73">
            <w:pPr>
              <w:keepNext w:val="0"/>
              <w:keepLines w:val="0"/>
              <w:suppressLineNumbers w:val="0"/>
              <w:spacing w:before="0" w:beforeAutospacing="0" w:after="0" w:afterAutospacing="0" w:line="430" w:lineRule="exact"/>
              <w:ind w:left="0" w:right="0"/>
              <w:jc w:val="center"/>
              <w:rPr>
                <w:rFonts w:hint="default" w:ascii="宋体" w:cs="仿宋"/>
                <w:b/>
                <w:color w:val="auto"/>
                <w:sz w:val="22"/>
                <w:szCs w:val="22"/>
                <w:highlight w:val="none"/>
              </w:rPr>
            </w:pPr>
            <w:r>
              <w:rPr>
                <w:rFonts w:hint="eastAsia" w:ascii="宋体" w:hAnsi="宋体" w:cs="仿宋"/>
                <w:b/>
                <w:color w:val="auto"/>
                <w:sz w:val="22"/>
                <w:szCs w:val="22"/>
                <w:highlight w:val="none"/>
              </w:rPr>
              <w:t>备注</w:t>
            </w:r>
          </w:p>
        </w:tc>
      </w:tr>
      <w:tr w14:paraId="4DE5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9C1DF9F">
            <w:pPr>
              <w:keepNext w:val="0"/>
              <w:keepLines w:val="0"/>
              <w:suppressLineNumbers w:val="0"/>
              <w:overflowPunct w:val="0"/>
              <w:spacing w:before="0" w:beforeAutospacing="0" w:after="0" w:afterAutospacing="0" w:line="430" w:lineRule="exact"/>
              <w:ind w:left="0" w:right="0"/>
              <w:jc w:val="center"/>
              <w:rPr>
                <w:rFonts w:hint="default" w:ascii="宋体" w:cs="仿宋"/>
                <w:color w:val="auto"/>
                <w:sz w:val="22"/>
                <w:szCs w:val="22"/>
                <w:highlight w:val="none"/>
              </w:rPr>
            </w:pPr>
            <w:r>
              <w:rPr>
                <w:rFonts w:hint="default" w:ascii="宋体" w:hAnsi="宋体" w:cs="新宋体"/>
                <w:bCs/>
                <w:color w:val="auto"/>
                <w:sz w:val="22"/>
                <w:szCs w:val="22"/>
                <w:highlight w:val="none"/>
              </w:rPr>
              <w:t>1</w:t>
            </w:r>
          </w:p>
        </w:tc>
        <w:tc>
          <w:tcPr>
            <w:tcW w:w="8010" w:type="dxa"/>
            <w:vAlign w:val="center"/>
          </w:tcPr>
          <w:p w14:paraId="7BD57314">
            <w:pPr>
              <w:keepNext w:val="0"/>
              <w:keepLines w:val="0"/>
              <w:suppressLineNumbers w:val="0"/>
              <w:spacing w:before="0" w:beforeAutospacing="0" w:after="0" w:afterAutospacing="0" w:line="430" w:lineRule="exact"/>
              <w:ind w:left="0" w:right="0"/>
              <w:rPr>
                <w:rFonts w:hint="default" w:ascii="宋体" w:cs="仿宋"/>
                <w:color w:val="auto"/>
                <w:sz w:val="22"/>
                <w:szCs w:val="22"/>
                <w:highlight w:val="none"/>
              </w:rPr>
            </w:pPr>
            <w:r>
              <w:rPr>
                <w:rFonts w:hint="eastAsia" w:ascii="宋体" w:hAnsi="宋体" w:cs="仿宋"/>
                <w:color w:val="auto"/>
                <w:sz w:val="22"/>
                <w:szCs w:val="22"/>
                <w:highlight w:val="none"/>
              </w:rPr>
              <w:t>投标函</w:t>
            </w:r>
          </w:p>
        </w:tc>
        <w:tc>
          <w:tcPr>
            <w:tcW w:w="1170" w:type="dxa"/>
            <w:vAlign w:val="center"/>
          </w:tcPr>
          <w:p w14:paraId="0BCA4ACB">
            <w:pPr>
              <w:keepNext w:val="0"/>
              <w:keepLines w:val="0"/>
              <w:suppressLineNumbers w:val="0"/>
              <w:spacing w:before="0" w:beforeAutospacing="0" w:after="0" w:afterAutospacing="0" w:line="430" w:lineRule="exact"/>
              <w:ind w:left="0" w:right="0"/>
              <w:jc w:val="center"/>
              <w:rPr>
                <w:rFonts w:hint="default" w:ascii="宋体" w:hAnsi="Times New Roman" w:eastAsia="宋体" w:cs="hakuyoxingshu7000"/>
                <w:color w:val="auto"/>
                <w:kern w:val="0"/>
                <w:sz w:val="22"/>
                <w:szCs w:val="22"/>
                <w:highlight w:val="none"/>
                <w:lang w:val="en-US" w:eastAsia="zh-CN" w:bidi="ar-SA"/>
              </w:rPr>
            </w:pPr>
            <w:r>
              <w:rPr>
                <w:rFonts w:hint="eastAsia" w:ascii="宋体" w:hAnsi="宋体" w:cs="hakuyoxingshu7000"/>
                <w:color w:val="auto"/>
                <w:kern w:val="0"/>
                <w:sz w:val="22"/>
                <w:szCs w:val="22"/>
                <w:highlight w:val="none"/>
              </w:rPr>
              <w:t>附件三</w:t>
            </w:r>
          </w:p>
        </w:tc>
      </w:tr>
      <w:tr w14:paraId="0086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2356C48">
            <w:pPr>
              <w:keepNext w:val="0"/>
              <w:keepLines w:val="0"/>
              <w:suppressLineNumbers w:val="0"/>
              <w:overflowPunct w:val="0"/>
              <w:spacing w:before="0" w:beforeAutospacing="0" w:after="0" w:afterAutospacing="0" w:line="430" w:lineRule="exact"/>
              <w:ind w:left="0" w:right="0"/>
              <w:jc w:val="center"/>
              <w:rPr>
                <w:rFonts w:hint="default" w:ascii="宋体" w:cs="仿宋"/>
                <w:color w:val="auto"/>
                <w:sz w:val="22"/>
                <w:szCs w:val="22"/>
                <w:highlight w:val="none"/>
              </w:rPr>
            </w:pPr>
            <w:r>
              <w:rPr>
                <w:rFonts w:hint="default" w:ascii="宋体" w:hAnsi="宋体" w:cs="新宋体"/>
                <w:bCs/>
                <w:color w:val="auto"/>
                <w:sz w:val="22"/>
                <w:szCs w:val="22"/>
                <w:highlight w:val="none"/>
              </w:rPr>
              <w:t>2</w:t>
            </w:r>
          </w:p>
        </w:tc>
        <w:tc>
          <w:tcPr>
            <w:tcW w:w="8010" w:type="dxa"/>
            <w:vAlign w:val="center"/>
          </w:tcPr>
          <w:p w14:paraId="2112EDDF">
            <w:pPr>
              <w:keepNext w:val="0"/>
              <w:keepLines w:val="0"/>
              <w:suppressLineNumbers w:val="0"/>
              <w:spacing w:before="0" w:beforeAutospacing="0" w:after="0" w:afterAutospacing="0" w:line="430" w:lineRule="exact"/>
              <w:ind w:left="0" w:right="0"/>
              <w:rPr>
                <w:rFonts w:hint="default"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170" w:type="dxa"/>
            <w:vAlign w:val="center"/>
          </w:tcPr>
          <w:p w14:paraId="13C4D2C9">
            <w:pPr>
              <w:keepNext w:val="0"/>
              <w:keepLines w:val="0"/>
              <w:suppressLineNumbers w:val="0"/>
              <w:spacing w:before="0" w:beforeAutospacing="0" w:after="0" w:afterAutospacing="0" w:line="430" w:lineRule="exact"/>
              <w:ind w:left="0" w:right="0"/>
              <w:jc w:val="center"/>
              <w:rPr>
                <w:rFonts w:hint="default" w:ascii="宋体" w:hAnsi="Times New Roman"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附件四</w:t>
            </w:r>
          </w:p>
        </w:tc>
      </w:tr>
      <w:tr w14:paraId="1EE8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BE43DF4">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仿宋"/>
                <w:color w:val="auto"/>
                <w:kern w:val="2"/>
                <w:sz w:val="22"/>
                <w:szCs w:val="22"/>
                <w:highlight w:val="none"/>
                <w:lang w:val="en-US" w:eastAsia="zh-CN" w:bidi="ar-SA"/>
              </w:rPr>
            </w:pPr>
            <w:r>
              <w:rPr>
                <w:rFonts w:hint="default" w:ascii="宋体" w:hAnsi="宋体" w:cs="新宋体"/>
                <w:bCs/>
                <w:color w:val="auto"/>
                <w:sz w:val="22"/>
                <w:szCs w:val="22"/>
                <w:highlight w:val="none"/>
              </w:rPr>
              <w:t>3</w:t>
            </w:r>
          </w:p>
        </w:tc>
        <w:tc>
          <w:tcPr>
            <w:tcW w:w="8010" w:type="dxa"/>
            <w:vAlign w:val="center"/>
          </w:tcPr>
          <w:p w14:paraId="5E2211DD">
            <w:pPr>
              <w:keepNext w:val="0"/>
              <w:keepLines w:val="0"/>
              <w:suppressLineNumbers w:val="0"/>
              <w:spacing w:before="0" w:beforeAutospacing="0" w:after="0" w:afterAutospacing="0" w:line="430" w:lineRule="exact"/>
              <w:ind w:left="0" w:right="0"/>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投标人情况表</w:t>
            </w:r>
          </w:p>
        </w:tc>
        <w:tc>
          <w:tcPr>
            <w:tcW w:w="1170" w:type="dxa"/>
            <w:vAlign w:val="center"/>
          </w:tcPr>
          <w:p w14:paraId="1E956666">
            <w:pPr>
              <w:keepNext w:val="0"/>
              <w:keepLines w:val="0"/>
              <w:suppressLineNumbers w:val="0"/>
              <w:spacing w:before="0" w:beforeAutospacing="0" w:after="0" w:afterAutospacing="0" w:line="430" w:lineRule="exact"/>
              <w:ind w:left="0" w:right="0"/>
              <w:jc w:val="center"/>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附件五</w:t>
            </w:r>
          </w:p>
        </w:tc>
      </w:tr>
      <w:tr w14:paraId="1135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30AEFC0">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宋体"/>
                <w:color w:val="auto"/>
                <w:kern w:val="2"/>
                <w:sz w:val="22"/>
                <w:szCs w:val="22"/>
                <w:highlight w:val="none"/>
                <w:lang w:val="en-US" w:eastAsia="zh-CN" w:bidi="ar-SA"/>
              </w:rPr>
            </w:pPr>
            <w:r>
              <w:rPr>
                <w:rFonts w:hint="default" w:ascii="宋体" w:hAnsi="宋体" w:cs="新宋体"/>
                <w:bCs/>
                <w:color w:val="auto"/>
                <w:sz w:val="22"/>
                <w:szCs w:val="22"/>
                <w:highlight w:val="none"/>
              </w:rPr>
              <w:t>4</w:t>
            </w:r>
          </w:p>
        </w:tc>
        <w:tc>
          <w:tcPr>
            <w:tcW w:w="8010" w:type="dxa"/>
            <w:vAlign w:val="center"/>
          </w:tcPr>
          <w:p w14:paraId="5022642F">
            <w:pPr>
              <w:keepNext w:val="0"/>
              <w:keepLines w:val="0"/>
              <w:suppressLineNumbers w:val="0"/>
              <w:spacing w:before="0" w:beforeAutospacing="0" w:after="0" w:afterAutospacing="0" w:line="430" w:lineRule="exact"/>
              <w:ind w:left="0" w:right="0"/>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供应商为完成本项目组建的工作小组名单</w:t>
            </w:r>
          </w:p>
        </w:tc>
        <w:tc>
          <w:tcPr>
            <w:tcW w:w="1170" w:type="dxa"/>
            <w:vAlign w:val="center"/>
          </w:tcPr>
          <w:p w14:paraId="75FAC8E8">
            <w:pPr>
              <w:keepNext w:val="0"/>
              <w:keepLines w:val="0"/>
              <w:suppressLineNumbers w:val="0"/>
              <w:spacing w:before="0" w:beforeAutospacing="0" w:after="0" w:afterAutospacing="0" w:line="430" w:lineRule="exact"/>
              <w:ind w:left="0" w:right="0"/>
              <w:jc w:val="center"/>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附件六</w:t>
            </w:r>
          </w:p>
        </w:tc>
      </w:tr>
      <w:tr w14:paraId="049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auto"/>
            <w:vAlign w:val="center"/>
          </w:tcPr>
          <w:p w14:paraId="4073AA5E">
            <w:pPr>
              <w:keepNext w:val="0"/>
              <w:keepLines w:val="0"/>
              <w:suppressLineNumbers w:val="0"/>
              <w:overflowPunct w:val="0"/>
              <w:spacing w:before="0" w:beforeAutospacing="0" w:after="0" w:afterAutospacing="0" w:line="430" w:lineRule="exact"/>
              <w:ind w:left="0" w:right="0"/>
              <w:jc w:val="center"/>
              <w:rPr>
                <w:rFonts w:hint="default" w:ascii="宋体" w:hAnsi="Times New Roman" w:eastAsia="宋体" w:cs="仿宋"/>
                <w:color w:val="auto"/>
                <w:kern w:val="2"/>
                <w:sz w:val="22"/>
                <w:szCs w:val="22"/>
                <w:highlight w:val="none"/>
                <w:lang w:val="en-US" w:eastAsia="zh-CN" w:bidi="ar-SA"/>
              </w:rPr>
            </w:pPr>
            <w:r>
              <w:rPr>
                <w:rFonts w:hint="eastAsia" w:ascii="宋体" w:cs="新宋体"/>
                <w:bCs/>
                <w:color w:val="auto"/>
                <w:sz w:val="22"/>
                <w:szCs w:val="22"/>
                <w:highlight w:val="none"/>
                <w:lang w:val="en-US" w:eastAsia="zh-CN"/>
              </w:rPr>
              <w:t>5</w:t>
            </w:r>
          </w:p>
        </w:tc>
        <w:tc>
          <w:tcPr>
            <w:tcW w:w="8010" w:type="dxa"/>
            <w:vAlign w:val="center"/>
          </w:tcPr>
          <w:p w14:paraId="757B6653">
            <w:pPr>
              <w:keepNext w:val="0"/>
              <w:keepLines w:val="0"/>
              <w:suppressLineNumbers w:val="0"/>
              <w:spacing w:before="0" w:beforeAutospacing="0" w:after="0" w:afterAutospacing="0" w:line="430" w:lineRule="exact"/>
              <w:ind w:left="0" w:right="0"/>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拟投入本项目的设备一览表</w:t>
            </w:r>
          </w:p>
        </w:tc>
        <w:tc>
          <w:tcPr>
            <w:tcW w:w="1170" w:type="dxa"/>
            <w:vAlign w:val="center"/>
          </w:tcPr>
          <w:p w14:paraId="18B0A18F">
            <w:pPr>
              <w:keepNext w:val="0"/>
              <w:keepLines w:val="0"/>
              <w:suppressLineNumbers w:val="0"/>
              <w:spacing w:before="0" w:beforeAutospacing="0" w:after="0" w:afterAutospacing="0" w:line="430" w:lineRule="exact"/>
              <w:ind w:left="0" w:right="0"/>
              <w:jc w:val="center"/>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附件七</w:t>
            </w:r>
          </w:p>
        </w:tc>
      </w:tr>
      <w:tr w14:paraId="082C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FEB7596">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8010" w:type="dxa"/>
            <w:vAlign w:val="center"/>
          </w:tcPr>
          <w:p w14:paraId="6DB1FD22">
            <w:pPr>
              <w:keepNext w:val="0"/>
              <w:keepLines w:val="0"/>
              <w:suppressLineNumbers w:val="0"/>
              <w:spacing w:before="0" w:beforeAutospacing="0" w:after="0" w:afterAutospacing="0" w:line="430" w:lineRule="exact"/>
              <w:ind w:left="0" w:right="0"/>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供应商根据评分标准需提供的项目业绩情况表</w:t>
            </w:r>
          </w:p>
        </w:tc>
        <w:tc>
          <w:tcPr>
            <w:tcW w:w="1170" w:type="dxa"/>
            <w:vAlign w:val="center"/>
          </w:tcPr>
          <w:p w14:paraId="192C638C">
            <w:pPr>
              <w:keepNext w:val="0"/>
              <w:keepLines w:val="0"/>
              <w:suppressLineNumbers w:val="0"/>
              <w:spacing w:before="0" w:beforeAutospacing="0" w:after="0" w:afterAutospacing="0" w:line="430" w:lineRule="exact"/>
              <w:ind w:left="0" w:right="0"/>
              <w:jc w:val="center"/>
              <w:rPr>
                <w:rFonts w:hint="eastAsia" w:ascii="宋体" w:hAnsi="宋体" w:cs="仿宋"/>
                <w:color w:val="auto"/>
                <w:sz w:val="22"/>
                <w:szCs w:val="22"/>
                <w:highlight w:val="none"/>
              </w:rPr>
            </w:pPr>
            <w:r>
              <w:rPr>
                <w:rFonts w:hint="eastAsia" w:ascii="宋体" w:hAnsi="宋体" w:eastAsia="宋体" w:cs="宋体"/>
                <w:color w:val="auto"/>
                <w:kern w:val="2"/>
                <w:sz w:val="22"/>
                <w:szCs w:val="22"/>
                <w:highlight w:val="none"/>
                <w:lang w:val="en-US" w:eastAsia="zh-CN" w:bidi="ar"/>
              </w:rPr>
              <w:t>附件八</w:t>
            </w:r>
          </w:p>
        </w:tc>
      </w:tr>
      <w:tr w14:paraId="2C35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81D2EB7">
            <w:pPr>
              <w:keepNext w:val="0"/>
              <w:keepLines w:val="0"/>
              <w:suppressLineNumbers w:val="0"/>
              <w:overflowPunct w:val="0"/>
              <w:spacing w:before="0" w:beforeAutospacing="0" w:after="0" w:afterAutospacing="0" w:line="430" w:lineRule="exact"/>
              <w:ind w:left="0" w:right="0"/>
              <w:jc w:val="center"/>
              <w:rPr>
                <w:rFonts w:hint="eastAsia"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7</w:t>
            </w:r>
          </w:p>
        </w:tc>
        <w:tc>
          <w:tcPr>
            <w:tcW w:w="8010" w:type="dxa"/>
            <w:vAlign w:val="center"/>
          </w:tcPr>
          <w:p w14:paraId="7A805F36">
            <w:pPr>
              <w:keepNext w:val="0"/>
              <w:keepLines w:val="0"/>
              <w:suppressLineNumbers w:val="0"/>
              <w:spacing w:before="0" w:beforeAutospacing="0" w:after="0" w:afterAutospacing="0" w:line="430" w:lineRule="exact"/>
              <w:ind w:left="0" w:right="0"/>
              <w:rPr>
                <w:rFonts w:hint="default"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170" w:type="dxa"/>
            <w:vAlign w:val="center"/>
          </w:tcPr>
          <w:p w14:paraId="41814BC2">
            <w:pPr>
              <w:keepNext w:val="0"/>
              <w:keepLines w:val="0"/>
              <w:suppressLineNumbers w:val="0"/>
              <w:spacing w:before="0" w:beforeAutospacing="0" w:after="0" w:afterAutospacing="0" w:line="430" w:lineRule="exact"/>
              <w:ind w:left="0" w:right="0"/>
              <w:jc w:val="center"/>
              <w:rPr>
                <w:rFonts w:hint="default" w:ascii="宋体" w:cs="仿宋"/>
                <w:color w:val="auto"/>
                <w:sz w:val="22"/>
                <w:szCs w:val="22"/>
                <w:highlight w:val="none"/>
              </w:rPr>
            </w:pPr>
          </w:p>
        </w:tc>
      </w:tr>
      <w:tr w14:paraId="127E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76B90C4">
            <w:pPr>
              <w:keepNext w:val="0"/>
              <w:keepLines w:val="0"/>
              <w:suppressLineNumbers w:val="0"/>
              <w:overflowPunct w:val="0"/>
              <w:spacing w:before="0" w:beforeAutospacing="0" w:after="0" w:afterAutospacing="0" w:line="430" w:lineRule="exact"/>
              <w:ind w:left="0" w:right="0"/>
              <w:jc w:val="center"/>
              <w:rPr>
                <w:rFonts w:hint="eastAsia"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8</w:t>
            </w:r>
          </w:p>
        </w:tc>
        <w:tc>
          <w:tcPr>
            <w:tcW w:w="8010" w:type="dxa"/>
            <w:vAlign w:val="center"/>
          </w:tcPr>
          <w:p w14:paraId="4F716041">
            <w:pPr>
              <w:keepNext w:val="0"/>
              <w:keepLines w:val="0"/>
              <w:suppressLineNumbers w:val="0"/>
              <w:spacing w:before="0" w:beforeAutospacing="0" w:after="0" w:afterAutospacing="0" w:line="430" w:lineRule="exact"/>
              <w:ind w:left="0" w:right="0"/>
              <w:rPr>
                <w:rFonts w:hint="default"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w:t>
            </w:r>
            <w:r>
              <w:rPr>
                <w:rFonts w:hint="eastAsia" w:ascii="宋体" w:hAnsi="宋体" w:cs="仿宋"/>
                <w:color w:val="auto"/>
                <w:sz w:val="22"/>
                <w:szCs w:val="22"/>
                <w:highlight w:val="none"/>
                <w:lang w:eastAsia="zh-CN"/>
              </w:rPr>
              <w:t>商务技术响应文件</w:t>
            </w:r>
            <w:r>
              <w:rPr>
                <w:rFonts w:hint="eastAsia" w:ascii="宋体" w:hAnsi="宋体" w:cs="仿宋"/>
                <w:color w:val="auto"/>
                <w:sz w:val="22"/>
                <w:szCs w:val="22"/>
                <w:highlight w:val="none"/>
              </w:rPr>
              <w:t>评分内容，各供应商参照评分标准根据自身情况提供）</w:t>
            </w:r>
          </w:p>
        </w:tc>
        <w:tc>
          <w:tcPr>
            <w:tcW w:w="1170" w:type="dxa"/>
            <w:vAlign w:val="center"/>
          </w:tcPr>
          <w:p w14:paraId="3025AEAF">
            <w:pPr>
              <w:keepNext w:val="0"/>
              <w:keepLines w:val="0"/>
              <w:suppressLineNumbers w:val="0"/>
              <w:spacing w:before="0" w:beforeAutospacing="0" w:after="0" w:afterAutospacing="0" w:line="430" w:lineRule="exact"/>
              <w:ind w:left="0" w:right="0"/>
              <w:jc w:val="center"/>
              <w:rPr>
                <w:rFonts w:hint="default" w:ascii="宋体" w:cs="宋体"/>
                <w:color w:val="auto"/>
                <w:sz w:val="22"/>
                <w:szCs w:val="22"/>
                <w:highlight w:val="none"/>
              </w:rPr>
            </w:pPr>
          </w:p>
        </w:tc>
      </w:tr>
      <w:tr w14:paraId="1FAE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AE14F50">
            <w:pPr>
              <w:keepNext w:val="0"/>
              <w:keepLines w:val="0"/>
              <w:suppressLineNumbers w:val="0"/>
              <w:overflowPunct w:val="0"/>
              <w:spacing w:before="0" w:beforeAutospacing="0" w:after="0" w:afterAutospacing="0" w:line="430" w:lineRule="exact"/>
              <w:ind w:left="0" w:right="0"/>
              <w:jc w:val="center"/>
              <w:rPr>
                <w:rFonts w:hint="eastAsia"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9</w:t>
            </w:r>
          </w:p>
        </w:tc>
        <w:tc>
          <w:tcPr>
            <w:tcW w:w="8010" w:type="dxa"/>
            <w:vAlign w:val="center"/>
          </w:tcPr>
          <w:p w14:paraId="7A3C305F">
            <w:pPr>
              <w:keepNext w:val="0"/>
              <w:keepLines w:val="0"/>
              <w:suppressLineNumbers w:val="0"/>
              <w:spacing w:before="0" w:beforeAutospacing="0" w:after="0" w:afterAutospacing="0" w:line="430" w:lineRule="exact"/>
              <w:ind w:left="0" w:right="0"/>
              <w:rPr>
                <w:rFonts w:hint="default" w:ascii="宋体" w:hAnsi="宋体" w:cs="仿宋"/>
                <w:color w:val="auto"/>
                <w:sz w:val="22"/>
                <w:szCs w:val="22"/>
                <w:highlight w:val="none"/>
              </w:rPr>
            </w:pPr>
            <w:r>
              <w:rPr>
                <w:rFonts w:hint="eastAsia" w:ascii="宋体" w:hAnsi="宋体" w:cs="仿宋"/>
                <w:color w:val="auto"/>
                <w:sz w:val="22"/>
                <w:szCs w:val="22"/>
                <w:highlight w:val="none"/>
              </w:rPr>
              <w:t>结合招标文件评分细则供应商认为需要提供的其他技术资料</w:t>
            </w:r>
          </w:p>
        </w:tc>
        <w:tc>
          <w:tcPr>
            <w:tcW w:w="1170" w:type="dxa"/>
            <w:vAlign w:val="center"/>
          </w:tcPr>
          <w:p w14:paraId="27F0863F">
            <w:pPr>
              <w:keepNext w:val="0"/>
              <w:keepLines w:val="0"/>
              <w:suppressLineNumbers w:val="0"/>
              <w:spacing w:before="0" w:beforeAutospacing="0" w:after="0" w:afterAutospacing="0" w:line="430" w:lineRule="exact"/>
              <w:ind w:left="0" w:right="0"/>
              <w:jc w:val="center"/>
              <w:rPr>
                <w:rFonts w:hint="default" w:ascii="宋体" w:cs="仿宋"/>
                <w:color w:val="auto"/>
                <w:sz w:val="22"/>
                <w:szCs w:val="22"/>
                <w:highlight w:val="none"/>
              </w:rPr>
            </w:pPr>
          </w:p>
        </w:tc>
      </w:tr>
    </w:tbl>
    <w:p w14:paraId="4BF1A043">
      <w:pPr>
        <w:keepNext w:val="0"/>
        <w:keepLines w:val="0"/>
        <w:pageBreakBefore w:val="0"/>
        <w:widowControl w:val="0"/>
        <w:kinsoku/>
        <w:wordWrap/>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14:paraId="7F9658F8">
      <w:pPr>
        <w:keepNext w:val="0"/>
        <w:keepLines w:val="0"/>
        <w:pageBreakBefore w:val="0"/>
        <w:widowControl w:val="0"/>
        <w:numPr>
          <w:ilvl w:val="0"/>
          <w:numId w:val="9"/>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投标人可根据</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中的采购内容及需求和商务技术响应文件评分细则，提供投标人认为需要提供的文件和资料。</w:t>
      </w:r>
    </w:p>
    <w:p w14:paraId="66826919">
      <w:pPr>
        <w:keepNext w:val="0"/>
        <w:keepLines w:val="0"/>
        <w:pageBreakBefore w:val="0"/>
        <w:widowControl w:val="0"/>
        <w:numPr>
          <w:ilvl w:val="0"/>
          <w:numId w:val="9"/>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7BAB498">
      <w:pPr>
        <w:keepNext w:val="0"/>
        <w:keepLines w:val="0"/>
        <w:pageBreakBefore w:val="0"/>
        <w:widowControl w:val="0"/>
        <w:numPr>
          <w:ilvl w:val="0"/>
          <w:numId w:val="9"/>
        </w:numPr>
        <w:kinsoku/>
        <w:wordWrap/>
        <w:topLinePunct w:val="0"/>
        <w:autoSpaceDE/>
        <w:autoSpaceDN/>
        <w:bidi w:val="0"/>
        <w:adjustRightInd/>
        <w:snapToGrid/>
        <w:spacing w:line="40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以上所需的各种证书、证件、证明等若系复印件、扫描件，须加盖投标人有效的公章。</w:t>
      </w:r>
    </w:p>
    <w:p w14:paraId="684C9FDF">
      <w:pPr>
        <w:keepNext w:val="0"/>
        <w:keepLines w:val="0"/>
        <w:pageBreakBefore w:val="0"/>
        <w:widowControl w:val="0"/>
        <w:numPr>
          <w:ilvl w:val="0"/>
          <w:numId w:val="9"/>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14:paraId="75103289">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bookmarkStart w:id="93" w:name="_Toc221356951"/>
      <w:bookmarkStart w:id="94" w:name="_Toc221423619"/>
      <w:bookmarkStart w:id="95" w:name="_Toc239145354"/>
      <w:bookmarkStart w:id="96" w:name="_Toc245722281"/>
      <w:bookmarkStart w:id="97" w:name="_Toc221356887"/>
      <w:bookmarkStart w:id="98" w:name="_Toc221374626"/>
      <w:bookmarkStart w:id="99" w:name="_Toc245191314"/>
      <w:bookmarkStart w:id="100" w:name="_Toc246261265"/>
      <w:bookmarkStart w:id="101" w:name="_Toc223715998"/>
      <w:bookmarkStart w:id="102" w:name="_Toc249758864"/>
      <w:bookmarkStart w:id="103" w:name="_Toc262105503"/>
      <w:bookmarkStart w:id="104" w:name="_Toc249758712"/>
      <w:bookmarkStart w:id="105" w:name="_Toc222114879"/>
      <w:bookmarkStart w:id="106" w:name="_Toc262049418"/>
      <w:bookmarkStart w:id="107" w:name="_Toc241404202"/>
      <w:r>
        <w:rPr>
          <w:rFonts w:hint="eastAsia" w:ascii="宋体" w:hAnsi="宋体" w:eastAsia="宋体" w:cs="Times New Roman"/>
          <w:bCs/>
          <w:color w:val="auto"/>
          <w:sz w:val="22"/>
          <w:szCs w:val="22"/>
          <w:highlight w:val="none"/>
        </w:rPr>
        <w:t>投标文件编制</w:t>
      </w:r>
    </w:p>
    <w:p w14:paraId="64416690">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本项目通过“政采云平台（www.zcygov.cn）”实行在线投标响应（电子投标）。</w:t>
      </w: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应通过“政采云电子交易客户端”，并按照本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和“政采云平台”的要求编制并加密投标文件。</w:t>
      </w:r>
    </w:p>
    <w:p w14:paraId="1A6976A5">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bCs w:val="0"/>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E7C5C73">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“第</w:t>
      </w:r>
      <w:r>
        <w:rPr>
          <w:rFonts w:hint="eastAsia" w:ascii="宋体" w:hAnsi="宋体" w:eastAsia="宋体" w:cs="Times New Roman"/>
          <w:b w:val="0"/>
          <w:bCs/>
          <w:color w:val="auto"/>
          <w:sz w:val="22"/>
          <w:szCs w:val="22"/>
          <w:highlight w:val="none"/>
          <w:u w:val="none"/>
          <w:lang w:val="en-US" w:eastAsia="zh-CN"/>
        </w:rPr>
        <w:t>五</w:t>
      </w:r>
      <w:r>
        <w:rPr>
          <w:rFonts w:hint="eastAsia" w:ascii="宋体" w:hAnsi="宋体" w:eastAsia="宋体" w:cs="Times New Roman"/>
          <w:b w:val="0"/>
          <w:bCs/>
          <w:color w:val="auto"/>
          <w:sz w:val="22"/>
          <w:szCs w:val="22"/>
          <w:highlight w:val="none"/>
          <w:u w:val="none"/>
        </w:rPr>
        <w:t>部分 附件”中有提供格式的，投标人须参照格式进行编制（格式中要求提供相关证明材料的还需后附相关证明材料），并按格式要求在指定位置根据要求进行签章，否则视为未提供；本文件“第</w:t>
      </w:r>
      <w:r>
        <w:rPr>
          <w:rFonts w:hint="eastAsia" w:ascii="宋体" w:hAnsi="宋体" w:cs="Times New Roman"/>
          <w:b w:val="0"/>
          <w:bCs/>
          <w:color w:val="auto"/>
          <w:sz w:val="22"/>
          <w:szCs w:val="22"/>
          <w:highlight w:val="none"/>
          <w:u w:val="none"/>
          <w:lang w:val="en-US" w:eastAsia="zh-CN"/>
        </w:rPr>
        <w:t>五</w:t>
      </w:r>
      <w:r>
        <w:rPr>
          <w:rFonts w:hint="eastAsia" w:ascii="宋体" w:hAnsi="宋体" w:eastAsia="宋体" w:cs="Times New Roman"/>
          <w:b w:val="0"/>
          <w:bCs/>
          <w:color w:val="auto"/>
          <w:sz w:val="22"/>
          <w:szCs w:val="22"/>
          <w:highlight w:val="none"/>
          <w:u w:val="none"/>
        </w:rPr>
        <w:t xml:space="preserve">部分 </w:t>
      </w:r>
      <w:r>
        <w:rPr>
          <w:rFonts w:hint="eastAsia" w:ascii="宋体" w:hAnsi="宋体" w:cs="Times New Roman"/>
          <w:b w:val="0"/>
          <w:bCs/>
          <w:color w:val="auto"/>
          <w:sz w:val="22"/>
          <w:szCs w:val="22"/>
          <w:highlight w:val="none"/>
          <w:u w:val="none"/>
          <w:lang w:val="en-US" w:eastAsia="zh-CN"/>
        </w:rPr>
        <w:t>附件</w:t>
      </w:r>
      <w:r>
        <w:rPr>
          <w:rFonts w:hint="eastAsia" w:ascii="宋体" w:hAnsi="宋体" w:eastAsia="宋体" w:cs="Times New Roman"/>
          <w:b w:val="0"/>
          <w:bCs/>
          <w:color w:val="auto"/>
          <w:sz w:val="22"/>
          <w:szCs w:val="22"/>
          <w:highlight w:val="none"/>
          <w:u w:val="none"/>
        </w:rPr>
        <w:t>”未提供格式的，请各投标单位自行拟定格式，并加盖单位公章并由法定代表人或其授权代表签署（签字或盖章），否则视为未提供。</w:t>
      </w:r>
    </w:p>
    <w:p w14:paraId="4DE446FF">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投标文件内容不完整、编排混乱导致投标文件被误读、漏读或者查找不到相关内容的，是投标人的责任。</w:t>
      </w:r>
    </w:p>
    <w:p w14:paraId="41CDF171">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投标文件因字迹潦草或表达不清所引起的后果由投标人负责。</w:t>
      </w:r>
    </w:p>
    <w:p w14:paraId="50DCD3AE">
      <w:pPr>
        <w:numPr>
          <w:ilvl w:val="1"/>
          <w:numId w:val="1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投标人没有按照本章节“投标文件组成”要求提供全部资料，或者没有仔细阅读</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，或者没有对</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在各方面的要求作出实质性响应是投标人的风险，由此造成的一切后果由投标人自行承担。</w:t>
      </w:r>
    </w:p>
    <w:p w14:paraId="297606F1">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投标文件的签章</w:t>
      </w:r>
    </w:p>
    <w:p w14:paraId="16A475B1">
      <w:pPr>
        <w:numPr>
          <w:ilvl w:val="1"/>
          <w:numId w:val="11"/>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单位公章：电子投标文件中所须加盖公章部分均采用CA电子签章，如投标人以联合体形式参与投标人的，由联合体牵头人进行CA电子签章；</w:t>
      </w:r>
    </w:p>
    <w:p w14:paraId="0F30020B">
      <w:pPr>
        <w:numPr>
          <w:ilvl w:val="1"/>
          <w:numId w:val="11"/>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法定代表人签署的规定：</w:t>
      </w:r>
    </w:p>
    <w:p w14:paraId="791118B4">
      <w:pPr>
        <w:numPr>
          <w:ilvl w:val="-1"/>
          <w:numId w:val="0"/>
        </w:numPr>
        <w:tabs>
          <w:tab w:val="left" w:pos="360"/>
        </w:tabs>
        <w:spacing w:line="460" w:lineRule="exact"/>
        <w:ind w:left="73" w:leftChars="0"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如投标人已办理法人CA电子签章的，则法定代表人签署的地方可用CA电子签章进行签署；</w:t>
      </w:r>
    </w:p>
    <w:p w14:paraId="59619DD2">
      <w:pPr>
        <w:numPr>
          <w:ilvl w:val="-1"/>
          <w:numId w:val="0"/>
        </w:numPr>
        <w:tabs>
          <w:tab w:val="left" w:pos="360"/>
        </w:tabs>
        <w:spacing w:line="460" w:lineRule="exact"/>
        <w:ind w:left="525" w:leftChars="250" w:firstLine="0" w:firstLineChars="0"/>
        <w:rPr>
          <w:rFonts w:hint="eastAsia" w:ascii="宋体" w:hAnsi="宋体" w:eastAsia="宋体" w:cs="Arial"/>
          <w:color w:val="auto"/>
          <w:kern w:val="2"/>
          <w:sz w:val="22"/>
          <w:szCs w:val="22"/>
          <w:highlight w:val="none"/>
          <w:lang w:val="zh-CN"/>
        </w:rPr>
      </w:pPr>
      <w:r>
        <w:rPr>
          <w:rFonts w:hint="eastAsia" w:ascii="宋体" w:hAnsi="宋体" w:eastAsia="宋体" w:cs="Arial"/>
          <w:color w:val="auto"/>
          <w:kern w:val="2"/>
          <w:sz w:val="22"/>
          <w:szCs w:val="22"/>
          <w:highlight w:val="none"/>
          <w:lang w:val="zh-CN"/>
        </w:rPr>
        <w:t>如投标人未办理法人CA电子签章的，电子投标文件中要求投标人法定代表人签署的地方，须投标人制作成word版本先打印出来，由法定代表人签署后再上传PDF。</w:t>
      </w:r>
    </w:p>
    <w:p w14:paraId="6B52F13A">
      <w:pPr>
        <w:numPr>
          <w:ilvl w:val="1"/>
          <w:numId w:val="11"/>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授权代表签署的规定：</w:t>
      </w:r>
    </w:p>
    <w:p w14:paraId="21346A5B">
      <w:pPr>
        <w:numPr>
          <w:ilvl w:val="-1"/>
          <w:numId w:val="0"/>
        </w:numPr>
        <w:tabs>
          <w:tab w:val="left" w:pos="360"/>
        </w:tabs>
        <w:spacing w:line="460" w:lineRule="exact"/>
        <w:ind w:left="73" w:leftChars="0"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如授权代表已办理CA电子签章的，则授权代表签署的地方可用CA电子签章进行签署；</w:t>
      </w:r>
    </w:p>
    <w:p w14:paraId="0FB6E6E7">
      <w:pPr>
        <w:numPr>
          <w:ilvl w:val="-1"/>
          <w:numId w:val="0"/>
        </w:numPr>
        <w:tabs>
          <w:tab w:val="left" w:pos="360"/>
        </w:tabs>
        <w:spacing w:line="460" w:lineRule="exact"/>
        <w:ind w:left="525" w:leftChars="25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如授权代表未办理CA电子签章的，电子投标文件中要求授权代表签署的地方，须投标人制作成word版本先打印出来，由授权代表签署后再上传PDF。</w:t>
      </w:r>
    </w:p>
    <w:p w14:paraId="4030A987">
      <w:pPr>
        <w:numPr>
          <w:ilvl w:val="1"/>
          <w:numId w:val="11"/>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政采云系统平台有新的操作流程的，按其规定。</w:t>
      </w:r>
    </w:p>
    <w:p w14:paraId="0B96682C">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投标文件的形式</w:t>
      </w:r>
    </w:p>
    <w:p w14:paraId="66064C46">
      <w:pPr>
        <w:numPr>
          <w:ilvl w:val="1"/>
          <w:numId w:val="12"/>
        </w:numPr>
        <w:tabs>
          <w:tab w:val="left" w:pos="360"/>
          <w:tab w:val="left" w:pos="64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val="zh-CN" w:eastAsia="zh-CN"/>
        </w:rPr>
        <w:t>投标文件的形式</w:t>
      </w:r>
      <w:r>
        <w:rPr>
          <w:rFonts w:hint="eastAsia" w:ascii="宋体" w:hAnsi="宋体" w:cs="Arial"/>
          <w:color w:val="auto"/>
          <w:sz w:val="22"/>
          <w:szCs w:val="22"/>
          <w:highlight w:val="none"/>
          <w:lang w:val="zh-CN" w:eastAsia="zh-CN"/>
        </w:rPr>
        <w:t>：</w:t>
      </w:r>
      <w:r>
        <w:rPr>
          <w:rFonts w:hint="eastAsia" w:ascii="宋体" w:hAnsi="宋体" w:eastAsia="宋体" w:cs="Arial"/>
          <w:color w:val="auto"/>
          <w:sz w:val="22"/>
          <w:szCs w:val="22"/>
          <w:highlight w:val="none"/>
          <w:lang w:val="zh-CN" w:eastAsia="zh-CN"/>
        </w:rPr>
        <w:t>见投标人须知前附表第</w:t>
      </w:r>
      <w:r>
        <w:rPr>
          <w:rFonts w:hint="eastAsia" w:ascii="宋体" w:hAnsi="宋体" w:cs="Arial"/>
          <w:color w:val="auto"/>
          <w:sz w:val="22"/>
          <w:szCs w:val="22"/>
          <w:highlight w:val="none"/>
          <w:lang w:val="en-US" w:eastAsia="zh-CN"/>
        </w:rPr>
        <w:t>18</w:t>
      </w:r>
      <w:r>
        <w:rPr>
          <w:rFonts w:hint="eastAsia" w:ascii="宋体" w:hAnsi="宋体" w:eastAsia="宋体" w:cs="Arial"/>
          <w:color w:val="auto"/>
          <w:sz w:val="22"/>
          <w:szCs w:val="22"/>
          <w:highlight w:val="none"/>
          <w:lang w:val="zh-CN" w:eastAsia="zh-CN"/>
        </w:rPr>
        <w:t>款。</w:t>
      </w:r>
    </w:p>
    <w:p w14:paraId="68BA7963">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政采云系统默认投标人自动放弃的情形</w:t>
      </w:r>
    </w:p>
    <w:p w14:paraId="6709D668">
      <w:pPr>
        <w:numPr>
          <w:ilvl w:val="1"/>
          <w:numId w:val="13"/>
        </w:numPr>
        <w:tabs>
          <w:tab w:val="left" w:pos="360"/>
          <w:tab w:val="left" w:pos="640"/>
          <w:tab w:val="clear" w:pos="992"/>
        </w:tabs>
        <w:spacing w:line="460" w:lineRule="exact"/>
        <w:ind w:left="640" w:leftChars="0" w:hanging="567" w:firstLineChars="0"/>
        <w:rPr>
          <w:rFonts w:hint="eastAsia" w:ascii="宋体" w:hAnsi="宋体" w:eastAsia="宋体" w:cs="Arial"/>
          <w:color w:val="auto"/>
          <w:sz w:val="22"/>
          <w:szCs w:val="22"/>
          <w:highlight w:val="none"/>
          <w:lang w:val="zh-CN" w:eastAsia="zh-CN"/>
        </w:rPr>
      </w:pPr>
      <w:r>
        <w:rPr>
          <w:rFonts w:hint="eastAsia" w:ascii="宋体" w:hAnsi="宋体" w:cs="Arial"/>
          <w:color w:val="auto"/>
          <w:sz w:val="22"/>
          <w:szCs w:val="22"/>
          <w:highlight w:val="none"/>
          <w:lang w:val="en-US" w:eastAsia="zh-CN"/>
        </w:rPr>
        <w:t>投标人</w:t>
      </w:r>
      <w:r>
        <w:rPr>
          <w:rFonts w:hint="eastAsia" w:ascii="宋体" w:hAnsi="宋体" w:eastAsia="宋体" w:cs="Arial"/>
          <w:color w:val="auto"/>
          <w:sz w:val="22"/>
          <w:szCs w:val="22"/>
          <w:highlight w:val="none"/>
          <w:lang w:val="zh-CN" w:eastAsia="zh-CN"/>
        </w:rPr>
        <w:t>未按规定上传电子</w:t>
      </w:r>
      <w:r>
        <w:rPr>
          <w:rFonts w:hint="eastAsia" w:ascii="宋体" w:hAnsi="宋体" w:cs="Arial"/>
          <w:color w:val="auto"/>
          <w:sz w:val="22"/>
          <w:szCs w:val="22"/>
          <w:highlight w:val="none"/>
          <w:lang w:val="zh-CN" w:eastAsia="zh-CN"/>
        </w:rPr>
        <w:t>投标文件</w:t>
      </w:r>
      <w:r>
        <w:rPr>
          <w:rFonts w:hint="eastAsia" w:ascii="宋体" w:hAnsi="宋体" w:eastAsia="宋体" w:cs="Arial"/>
          <w:color w:val="auto"/>
          <w:sz w:val="22"/>
          <w:szCs w:val="22"/>
          <w:highlight w:val="none"/>
          <w:lang w:val="zh-CN" w:eastAsia="zh-CN"/>
        </w:rPr>
        <w:t>的；</w:t>
      </w:r>
    </w:p>
    <w:p w14:paraId="42DEABBC">
      <w:pPr>
        <w:numPr>
          <w:ilvl w:val="1"/>
          <w:numId w:val="13"/>
        </w:numPr>
        <w:tabs>
          <w:tab w:val="left" w:pos="360"/>
          <w:tab w:val="left" w:pos="640"/>
          <w:tab w:val="clear" w:pos="992"/>
        </w:tabs>
        <w:spacing w:line="460" w:lineRule="exact"/>
        <w:ind w:left="640" w:leftChars="0" w:hanging="567" w:firstLineChars="0"/>
        <w:rPr>
          <w:rFonts w:hint="eastAsia" w:ascii="宋体" w:hAnsi="宋体" w:eastAsia="宋体" w:cs="Arial"/>
          <w:color w:val="auto"/>
          <w:sz w:val="22"/>
          <w:szCs w:val="22"/>
          <w:highlight w:val="none"/>
          <w:lang w:val="zh-CN" w:eastAsia="zh-CN"/>
        </w:rPr>
      </w:pPr>
      <w:r>
        <w:rPr>
          <w:rFonts w:hint="eastAsia" w:ascii="宋体" w:hAnsi="宋体" w:eastAsia="宋体" w:cs="Arial"/>
          <w:color w:val="auto"/>
          <w:sz w:val="22"/>
          <w:szCs w:val="22"/>
          <w:highlight w:val="none"/>
          <w:lang w:val="zh-CN" w:eastAsia="zh-CN"/>
        </w:rPr>
        <w:t>在解密期限内</w:t>
      </w:r>
      <w:r>
        <w:rPr>
          <w:rFonts w:hint="eastAsia" w:ascii="宋体" w:hAnsi="宋体" w:cs="Arial"/>
          <w:color w:val="auto"/>
          <w:sz w:val="22"/>
          <w:szCs w:val="22"/>
          <w:highlight w:val="none"/>
          <w:lang w:val="en-US" w:eastAsia="zh-CN"/>
        </w:rPr>
        <w:t>投标人</w:t>
      </w:r>
      <w:r>
        <w:rPr>
          <w:rFonts w:hint="eastAsia" w:ascii="宋体" w:hAnsi="宋体" w:eastAsia="宋体" w:cs="Arial"/>
          <w:color w:val="auto"/>
          <w:sz w:val="22"/>
          <w:szCs w:val="22"/>
          <w:highlight w:val="none"/>
          <w:lang w:val="zh-CN" w:eastAsia="zh-CN"/>
        </w:rPr>
        <w:t>电子</w:t>
      </w:r>
      <w:r>
        <w:rPr>
          <w:rFonts w:hint="eastAsia" w:ascii="宋体" w:hAnsi="宋体" w:cs="Arial"/>
          <w:color w:val="auto"/>
          <w:sz w:val="22"/>
          <w:szCs w:val="22"/>
          <w:highlight w:val="none"/>
          <w:lang w:val="zh-CN" w:eastAsia="zh-CN"/>
        </w:rPr>
        <w:t>投标文件</w:t>
      </w:r>
      <w:r>
        <w:rPr>
          <w:rFonts w:hint="eastAsia" w:ascii="宋体" w:hAnsi="宋体" w:eastAsia="宋体" w:cs="Arial"/>
          <w:color w:val="auto"/>
          <w:sz w:val="22"/>
          <w:szCs w:val="22"/>
          <w:highlight w:val="none"/>
          <w:lang w:val="zh-CN" w:eastAsia="zh-CN"/>
        </w:rPr>
        <w:t>解密失败，且经异常处理后政采云电子交易系统仍未能解决的。</w:t>
      </w:r>
    </w:p>
    <w:p w14:paraId="0D1F613E">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投标报价</w:t>
      </w:r>
    </w:p>
    <w:p w14:paraId="3E4946EA">
      <w:pPr>
        <w:numPr>
          <w:ilvl w:val="1"/>
          <w:numId w:val="14"/>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eastAsia="宋体"/>
          <w:b w:val="0"/>
          <w:bCs w:val="0"/>
          <w:color w:val="auto"/>
          <w:sz w:val="22"/>
          <w:szCs w:val="22"/>
          <w:highlight w:val="none"/>
        </w:rPr>
        <w:t>供应商应按招标文件中《开标一览表》填写投标总价下浮。</w:t>
      </w:r>
    </w:p>
    <w:p w14:paraId="103130D3">
      <w:pPr>
        <w:numPr>
          <w:ilvl w:val="1"/>
          <w:numId w:val="1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eastAsia="宋体"/>
          <w:b w:val="0"/>
          <w:bCs w:val="0"/>
          <w:color w:val="auto"/>
          <w:sz w:val="22"/>
          <w:szCs w:val="22"/>
          <w:highlight w:val="none"/>
        </w:rPr>
        <w:t>本次招标</w:t>
      </w:r>
      <w:r>
        <w:rPr>
          <w:rFonts w:hint="eastAsia" w:ascii="宋体"/>
          <w:b w:val="0"/>
          <w:bCs w:val="0"/>
          <w:color w:val="auto"/>
          <w:sz w:val="22"/>
          <w:szCs w:val="22"/>
          <w:highlight w:val="none"/>
          <w:lang w:val="en-US" w:eastAsia="zh-CN"/>
        </w:rPr>
        <w:t>标项</w:t>
      </w:r>
      <w:r>
        <w:rPr>
          <w:rFonts w:hint="eastAsia" w:ascii="宋体" w:eastAsia="宋体"/>
          <w:b w:val="0"/>
          <w:bCs w:val="0"/>
          <w:color w:val="auto"/>
          <w:sz w:val="22"/>
          <w:szCs w:val="22"/>
          <w:highlight w:val="none"/>
        </w:rPr>
        <w:t>只允许有一个报价下浮，有选择的报价下浮将不予接受。</w:t>
      </w:r>
    </w:p>
    <w:p w14:paraId="09D84B96">
      <w:pPr>
        <w:numPr>
          <w:ilvl w:val="1"/>
          <w:numId w:val="1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eastAsia="宋体"/>
          <w:b w:val="0"/>
          <w:bCs w:val="0"/>
          <w:color w:val="auto"/>
          <w:sz w:val="22"/>
          <w:szCs w:val="22"/>
          <w:highlight w:val="none"/>
        </w:rPr>
        <w:t>本次招标标项只有一次投标下浮的机会，投标下浮为签订合同</w:t>
      </w:r>
      <w:r>
        <w:rPr>
          <w:rFonts w:hint="eastAsia" w:ascii="宋体"/>
          <w:b w:val="0"/>
          <w:bCs w:val="0"/>
          <w:color w:val="auto"/>
          <w:sz w:val="22"/>
          <w:szCs w:val="22"/>
          <w:highlight w:val="none"/>
          <w:lang w:eastAsia="zh-CN"/>
        </w:rPr>
        <w:t>服务期</w:t>
      </w:r>
      <w:r>
        <w:rPr>
          <w:rFonts w:hint="eastAsia" w:ascii="宋体" w:eastAsia="宋体"/>
          <w:b w:val="0"/>
          <w:bCs w:val="0"/>
          <w:color w:val="auto"/>
          <w:sz w:val="22"/>
          <w:szCs w:val="22"/>
          <w:highlight w:val="none"/>
        </w:rPr>
        <w:t>内所有项目的下浮率。</w:t>
      </w:r>
      <w:r>
        <w:rPr>
          <w:rFonts w:hint="eastAsia" w:ascii="宋体"/>
          <w:b w:val="0"/>
          <w:bCs w:val="0"/>
          <w:color w:val="auto"/>
          <w:sz w:val="22"/>
          <w:szCs w:val="22"/>
          <w:highlight w:val="none"/>
          <w:lang w:val="en-US" w:eastAsia="zh-CN"/>
        </w:rPr>
        <w:t>投标人</w:t>
      </w:r>
      <w:r>
        <w:rPr>
          <w:rFonts w:hint="eastAsia" w:ascii="宋体" w:eastAsia="宋体"/>
          <w:b w:val="0"/>
          <w:bCs w:val="0"/>
          <w:color w:val="auto"/>
          <w:sz w:val="22"/>
          <w:szCs w:val="22"/>
          <w:highlight w:val="none"/>
        </w:rPr>
        <w:t>应在各自技术和商务占优势的基础上并充分考虑本项目的重要性，提供对采购人最优惠的投标报价。</w:t>
      </w:r>
    </w:p>
    <w:p w14:paraId="0AA80803">
      <w:pPr>
        <w:numPr>
          <w:ilvl w:val="1"/>
          <w:numId w:val="1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lang w:eastAsia="zh-CN"/>
        </w:rPr>
        <w:t>投标下浮应包括在承包区域内提供道路日常维修与养护服务所需的一切劳务</w:t>
      </w:r>
      <w:r>
        <w:rPr>
          <w:rFonts w:hint="eastAsia" w:ascii="宋体" w:hAnsi="宋体" w:cs="Arial"/>
          <w:b/>
          <w:bCs/>
          <w:color w:val="auto"/>
          <w:sz w:val="22"/>
          <w:szCs w:val="22"/>
          <w:highlight w:val="none"/>
          <w:lang w:eastAsia="zh-CN"/>
        </w:rPr>
        <w:t>（</w:t>
      </w:r>
      <w:r>
        <w:rPr>
          <w:rFonts w:hint="eastAsia" w:ascii="宋体" w:hAnsi="宋体" w:cs="Arial"/>
          <w:b/>
          <w:bCs/>
          <w:color w:val="auto"/>
          <w:sz w:val="22"/>
          <w:szCs w:val="22"/>
          <w:highlight w:val="none"/>
          <w:lang w:val="en-US" w:eastAsia="zh-CN"/>
        </w:rPr>
        <w:t>含配合采购人开展日常监管和档案管理等工作的不少于1名人员的劳务支出费用</w:t>
      </w:r>
      <w:r>
        <w:rPr>
          <w:rFonts w:hint="eastAsia" w:ascii="宋体" w:hAnsi="宋体" w:cs="Arial"/>
          <w:b/>
          <w:bCs/>
          <w:color w:val="auto"/>
          <w:sz w:val="22"/>
          <w:szCs w:val="22"/>
          <w:highlight w:val="none"/>
          <w:lang w:eastAsia="zh-CN"/>
        </w:rPr>
        <w:t>）</w:t>
      </w:r>
      <w:r>
        <w:rPr>
          <w:rFonts w:hint="eastAsia" w:ascii="宋体" w:hAnsi="宋体" w:eastAsia="宋体" w:cs="Arial"/>
          <w:b/>
          <w:bCs/>
          <w:color w:val="auto"/>
          <w:sz w:val="22"/>
          <w:szCs w:val="22"/>
          <w:highlight w:val="none"/>
          <w:lang w:eastAsia="zh-CN"/>
        </w:rPr>
        <w:t>、材料、设备、配件、备件、损耗（包括水、电等）、仓储、运输（包括垃圾外运）、税费、保险、利润、完成合同所需的一切本身和不可或缺的所有工作开支、政策性文件规定及合同包含的所有风险、责任等各项全部费用并承担一切风险责任并承担一切风险责任。所有投标报价均以人民币报价。</w:t>
      </w:r>
    </w:p>
    <w:p w14:paraId="503795B6">
      <w:pPr>
        <w:numPr>
          <w:ilvl w:val="1"/>
          <w:numId w:val="1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投标人</w:t>
      </w:r>
      <w:r>
        <w:rPr>
          <w:rFonts w:hint="eastAsia" w:ascii="宋体" w:hAnsi="宋体" w:eastAsia="宋体" w:cs="Arial"/>
          <w:color w:val="auto"/>
          <w:sz w:val="22"/>
          <w:szCs w:val="22"/>
          <w:highlight w:val="none"/>
          <w:lang w:eastAsia="zh-CN"/>
        </w:rPr>
        <w:t>对在合同执行中，除上述费用及招标文件规定的由中标供应商负责的工作范围以外需要采购人协调或提供便利的工作应当在投标文件中说明。</w:t>
      </w:r>
    </w:p>
    <w:p w14:paraId="22B12D9D">
      <w:pPr>
        <w:numPr>
          <w:ilvl w:val="1"/>
          <w:numId w:val="1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报价是成交的一个重要因素，但最低报价不是成交的唯一依据。</w:t>
      </w:r>
    </w:p>
    <w:p w14:paraId="58F2E721">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投标人如发生下列情况之一，将上报同级政府采购监督管理部门，追究其责任：</w:t>
      </w:r>
    </w:p>
    <w:p w14:paraId="27CA3559">
      <w:pPr>
        <w:numPr>
          <w:ilvl w:val="0"/>
          <w:numId w:val="15"/>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规定的投标有效期内撤回投标；</w:t>
      </w:r>
    </w:p>
    <w:p w14:paraId="32C47948">
      <w:pPr>
        <w:numPr>
          <w:ilvl w:val="0"/>
          <w:numId w:val="15"/>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中标人未按中标通知书中规定的时间与采购人签订合同；</w:t>
      </w:r>
    </w:p>
    <w:p w14:paraId="68FE5EA8">
      <w:pPr>
        <w:numPr>
          <w:ilvl w:val="0"/>
          <w:numId w:val="15"/>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中提供虚假技术指标及参数，经评标委员会确认属实的。</w:t>
      </w:r>
    </w:p>
    <w:p w14:paraId="0BEE5BEA">
      <w:pPr>
        <w:numPr>
          <w:ilvl w:val="0"/>
          <w:numId w:val="15"/>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经同级政府采购监督管理部门审查认定投标人有违反《中华人民共和国政府采购法》等有关法律法规的行为。</w:t>
      </w:r>
    </w:p>
    <w:p w14:paraId="42285E39">
      <w:pPr>
        <w:numPr>
          <w:ilvl w:val="0"/>
          <w:numId w:val="8"/>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投标有效期</w:t>
      </w:r>
    </w:p>
    <w:p w14:paraId="1D71AED3">
      <w:pPr>
        <w:numPr>
          <w:ilvl w:val="1"/>
          <w:numId w:val="16"/>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自开标之日起 90天内投标应保持有效。投标有效期短于这个规定期限的投标将视为非响应性投标而予以拒绝。</w:t>
      </w:r>
    </w:p>
    <w:p w14:paraId="4EF30A9F">
      <w:pPr>
        <w:numPr>
          <w:ilvl w:val="1"/>
          <w:numId w:val="16"/>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特殊情况下，在原投标有效期截止前，采购人可与投标人协商延长投标有效期，这种要求和答复均以书面形式进行。投标人可拒绝接受延期要求。同意延长投标有效期的投标人不得修改投标文件。</w:t>
      </w:r>
    </w:p>
    <w:p w14:paraId="363B31B2">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108" w:name="_Toc6064"/>
      <w:r>
        <w:rPr>
          <w:rFonts w:hint="eastAsia" w:ascii="宋体" w:hAnsi="宋体"/>
          <w:b/>
          <w:bCs/>
          <w:color w:val="auto"/>
          <w:sz w:val="26"/>
          <w:szCs w:val="26"/>
          <w:highlight w:val="none"/>
          <w:lang w:val="en-US" w:eastAsia="zh-CN"/>
        </w:rPr>
        <w:t>五</w:t>
      </w:r>
      <w:r>
        <w:rPr>
          <w:rFonts w:hint="eastAsia" w:ascii="宋体" w:hAnsi="宋体"/>
          <w:b/>
          <w:bCs/>
          <w:color w:val="auto"/>
          <w:sz w:val="26"/>
          <w:szCs w:val="26"/>
          <w:highlight w:val="none"/>
        </w:rPr>
        <w:t>、 投标文件的递交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EE5D2BC">
      <w:pPr>
        <w:numPr>
          <w:ilvl w:val="0"/>
          <w:numId w:val="1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电子投标文件的上传和递交</w:t>
      </w:r>
    </w:p>
    <w:p w14:paraId="471B6D56">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val="en-US" w:eastAsia="zh-CN"/>
        </w:rPr>
      </w:pPr>
      <w:r>
        <w:rPr>
          <w:rFonts w:hint="eastAsia" w:ascii="宋体" w:hAnsi="宋体" w:eastAsia="宋体" w:cs="Arial"/>
          <w:color w:val="auto"/>
          <w:sz w:val="22"/>
          <w:szCs w:val="22"/>
          <w:highlight w:val="none"/>
          <w:lang w:eastAsia="zh-CN"/>
        </w:rPr>
        <w:t>电子投标文件的上传、递交：见投标人须知前附表第</w:t>
      </w:r>
      <w:r>
        <w:rPr>
          <w:rFonts w:hint="eastAsia" w:ascii="宋体" w:hAnsi="宋体" w:cs="Arial"/>
          <w:color w:val="auto"/>
          <w:sz w:val="22"/>
          <w:szCs w:val="22"/>
          <w:highlight w:val="none"/>
          <w:lang w:val="en-US" w:eastAsia="zh-CN"/>
        </w:rPr>
        <w:t>19</w:t>
      </w:r>
      <w:r>
        <w:rPr>
          <w:rFonts w:hint="eastAsia" w:ascii="宋体" w:hAnsi="宋体" w:eastAsia="宋体" w:cs="Arial"/>
          <w:color w:val="auto"/>
          <w:sz w:val="22"/>
          <w:szCs w:val="22"/>
          <w:highlight w:val="none"/>
          <w:lang w:eastAsia="zh-CN"/>
        </w:rPr>
        <w:t>款。</w:t>
      </w:r>
    </w:p>
    <w:p w14:paraId="4A60E933">
      <w:pPr>
        <w:numPr>
          <w:ilvl w:val="0"/>
          <w:numId w:val="1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“电子加密投标文件”</w:t>
      </w:r>
      <w:r>
        <w:rPr>
          <w:rFonts w:hint="eastAsia" w:ascii="宋体" w:hAnsi="宋体" w:cs="Arial"/>
          <w:bCs/>
          <w:color w:val="auto"/>
          <w:sz w:val="22"/>
          <w:szCs w:val="22"/>
          <w:highlight w:val="none"/>
          <w:lang w:eastAsia="zh-CN"/>
        </w:rPr>
        <w:t>的</w:t>
      </w:r>
      <w:r>
        <w:rPr>
          <w:rFonts w:hint="eastAsia" w:ascii="宋体" w:hAnsi="宋体" w:eastAsia="宋体" w:cs="Arial"/>
          <w:bCs/>
          <w:color w:val="auto"/>
          <w:sz w:val="22"/>
          <w:szCs w:val="22"/>
          <w:highlight w:val="none"/>
        </w:rPr>
        <w:t>解密和异常情况处理</w:t>
      </w:r>
    </w:p>
    <w:p w14:paraId="05D05574">
      <w:pPr>
        <w:numPr>
          <w:ilvl w:val="1"/>
          <w:numId w:val="1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val="zh-CN"/>
        </w:rPr>
        <w:t>“电子加密投标文件”</w:t>
      </w:r>
      <w:r>
        <w:rPr>
          <w:rFonts w:hint="eastAsia" w:ascii="宋体" w:hAnsi="宋体" w:cs="Arial"/>
          <w:color w:val="auto"/>
          <w:sz w:val="22"/>
          <w:szCs w:val="22"/>
          <w:highlight w:val="none"/>
          <w:lang w:val="zh-CN"/>
        </w:rPr>
        <w:t>的</w:t>
      </w:r>
      <w:r>
        <w:rPr>
          <w:rFonts w:hint="eastAsia" w:ascii="宋体" w:hAnsi="宋体" w:eastAsia="宋体" w:cs="Arial"/>
          <w:color w:val="auto"/>
          <w:sz w:val="22"/>
          <w:szCs w:val="22"/>
          <w:highlight w:val="none"/>
          <w:lang w:val="zh-CN"/>
        </w:rPr>
        <w:t>解密和异常情况处理</w:t>
      </w:r>
      <w:r>
        <w:rPr>
          <w:rFonts w:hint="eastAsia" w:ascii="宋体" w:hAnsi="宋体" w:cs="Arial"/>
          <w:color w:val="auto"/>
          <w:sz w:val="22"/>
          <w:szCs w:val="22"/>
          <w:highlight w:val="none"/>
          <w:lang w:val="zh-CN"/>
        </w:rPr>
        <w:t>：见投标人须知前附表第</w:t>
      </w:r>
      <w:r>
        <w:rPr>
          <w:rFonts w:hint="eastAsia" w:ascii="宋体" w:hAnsi="宋体" w:cs="Arial"/>
          <w:color w:val="auto"/>
          <w:sz w:val="22"/>
          <w:szCs w:val="22"/>
          <w:highlight w:val="none"/>
          <w:lang w:val="en-US" w:eastAsia="zh-CN"/>
        </w:rPr>
        <w:t>20</w:t>
      </w:r>
      <w:r>
        <w:rPr>
          <w:rFonts w:hint="eastAsia" w:ascii="宋体" w:hAnsi="宋体" w:cs="Arial"/>
          <w:color w:val="auto"/>
          <w:sz w:val="22"/>
          <w:szCs w:val="22"/>
          <w:highlight w:val="none"/>
          <w:lang w:val="zh-CN"/>
        </w:rPr>
        <w:t>款。</w:t>
      </w:r>
    </w:p>
    <w:p w14:paraId="42677D67">
      <w:pPr>
        <w:numPr>
          <w:ilvl w:val="0"/>
          <w:numId w:val="1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投标文件的补充、修改或撤回</w:t>
      </w:r>
    </w:p>
    <w:p w14:paraId="3C3E79F7">
      <w:pPr>
        <w:numPr>
          <w:ilvl w:val="1"/>
          <w:numId w:val="2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44386AD">
      <w:pPr>
        <w:numPr>
          <w:ilvl w:val="1"/>
          <w:numId w:val="2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投标文件递交截止时间后，投标人不得撤回、修改投标文件。</w:t>
      </w:r>
    </w:p>
    <w:p w14:paraId="13C955D4">
      <w:pPr>
        <w:numPr>
          <w:ilvl w:val="0"/>
          <w:numId w:val="1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w:t>
      </w:r>
      <w:r>
        <w:rPr>
          <w:rFonts w:hint="eastAsia" w:ascii="宋体" w:hAnsi="宋体" w:eastAsia="宋体" w:cs="Arial"/>
          <w:b/>
          <w:bCs w:val="0"/>
          <w:color w:val="auto"/>
          <w:sz w:val="22"/>
          <w:szCs w:val="22"/>
          <w:highlight w:val="none"/>
          <w:u w:val="single"/>
        </w:rPr>
        <w:t>▲发生下列情况之一的</w:t>
      </w:r>
      <w:r>
        <w:rPr>
          <w:rFonts w:hint="eastAsia" w:ascii="宋体" w:hAnsi="宋体" w:eastAsia="宋体" w:cs="Arial"/>
          <w:b/>
          <w:bCs w:val="0"/>
          <w:color w:val="auto"/>
          <w:sz w:val="22"/>
          <w:szCs w:val="22"/>
          <w:highlight w:val="none"/>
          <w:u w:val="single"/>
          <w:lang w:eastAsia="zh-CN"/>
        </w:rPr>
        <w:t>投标文件</w:t>
      </w:r>
      <w:r>
        <w:rPr>
          <w:rFonts w:hint="eastAsia" w:ascii="宋体" w:hAnsi="宋体" w:eastAsia="宋体" w:cs="Arial"/>
          <w:b/>
          <w:bCs w:val="0"/>
          <w:color w:val="auto"/>
          <w:sz w:val="22"/>
          <w:szCs w:val="22"/>
          <w:highlight w:val="none"/>
          <w:u w:val="single"/>
        </w:rPr>
        <w:t>将不予受理：</w:t>
      </w:r>
    </w:p>
    <w:p w14:paraId="6AF7B21C">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在投标截止时间以后上传的投标文件；</w:t>
      </w:r>
    </w:p>
    <w:p w14:paraId="3130C560">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仅递交了“备份投标文件”而未将电子加密投标文件上传至“政府采购云平台”的；</w:t>
      </w:r>
    </w:p>
    <w:p w14:paraId="2100720C">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未在规定时间解密，或者，解密失败且经异常处理政采云系统仍未能识别的；</w:t>
      </w:r>
    </w:p>
    <w:p w14:paraId="66817388">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以纸质形式提交的；</w:t>
      </w:r>
    </w:p>
    <w:p w14:paraId="158A6E07">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09" w:name="_Toc245722282"/>
      <w:bookmarkStart w:id="110" w:name="_Toc221423620"/>
      <w:bookmarkStart w:id="111" w:name="_Toc222114880"/>
      <w:bookmarkStart w:id="112" w:name="_Toc221356952"/>
      <w:bookmarkStart w:id="113" w:name="_Toc245191315"/>
      <w:bookmarkStart w:id="114" w:name="_Toc246261266"/>
      <w:bookmarkStart w:id="115" w:name="_Toc223715999"/>
      <w:bookmarkStart w:id="116" w:name="_Toc239145355"/>
      <w:bookmarkStart w:id="117" w:name="_Toc249758713"/>
      <w:bookmarkStart w:id="118" w:name="_Toc221356888"/>
      <w:bookmarkStart w:id="119" w:name="_Toc6321"/>
      <w:bookmarkStart w:id="120" w:name="_Toc262049419"/>
      <w:bookmarkStart w:id="121" w:name="_Toc249758865"/>
      <w:bookmarkStart w:id="122" w:name="_Toc262105504"/>
      <w:bookmarkStart w:id="123" w:name="_Toc221374627"/>
      <w:bookmarkStart w:id="124" w:name="_Toc241404203"/>
      <w:r>
        <w:rPr>
          <w:rFonts w:hint="eastAsia" w:ascii="宋体" w:hAnsi="宋体"/>
          <w:b/>
          <w:bCs/>
          <w:color w:val="auto"/>
          <w:sz w:val="26"/>
          <w:szCs w:val="26"/>
          <w:highlight w:val="none"/>
          <w:lang w:val="en-US" w:eastAsia="zh-CN"/>
        </w:rPr>
        <w:t>六</w:t>
      </w:r>
      <w:r>
        <w:rPr>
          <w:rFonts w:hint="eastAsia" w:ascii="宋体" w:hAnsi="宋体"/>
          <w:b/>
          <w:bCs/>
          <w:color w:val="auto"/>
          <w:sz w:val="26"/>
          <w:szCs w:val="26"/>
          <w:highlight w:val="none"/>
        </w:rPr>
        <w:t>、 开标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FB6A6DF">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bookmarkStart w:id="125" w:name="_Toc245191316"/>
      <w:bookmarkStart w:id="126" w:name="_Toc241404204"/>
      <w:bookmarkStart w:id="127" w:name="_Toc221423621"/>
      <w:bookmarkStart w:id="128" w:name="_Toc223716000"/>
      <w:bookmarkStart w:id="129" w:name="_Toc221374628"/>
      <w:bookmarkStart w:id="130" w:name="_Toc222114881"/>
      <w:bookmarkStart w:id="131" w:name="_Toc249758714"/>
      <w:bookmarkStart w:id="132" w:name="_Toc239145356"/>
      <w:bookmarkStart w:id="133" w:name="_Toc221356953"/>
      <w:bookmarkStart w:id="134" w:name="_Toc246261267"/>
      <w:bookmarkStart w:id="135" w:name="_Toc249758866"/>
      <w:bookmarkStart w:id="136" w:name="_Toc262105505"/>
      <w:bookmarkStart w:id="137" w:name="_Toc221356889"/>
      <w:bookmarkStart w:id="138" w:name="_Toc245722283"/>
      <w:bookmarkStart w:id="139" w:name="_Toc262049420"/>
      <w:r>
        <w:rPr>
          <w:rFonts w:hint="eastAsia" w:ascii="宋体" w:hAnsi="宋体" w:eastAsia="宋体" w:cs="Arial"/>
          <w:bCs/>
          <w:color w:val="auto"/>
          <w:sz w:val="22"/>
          <w:szCs w:val="22"/>
          <w:highlight w:val="none"/>
        </w:rPr>
        <w:t>开标形式</w:t>
      </w:r>
    </w:p>
    <w:p w14:paraId="175C1BAE">
      <w:pPr>
        <w:tabs>
          <w:tab w:val="left" w:pos="540"/>
        </w:tabs>
        <w:spacing w:line="4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采购组织机构将按照</w:t>
      </w:r>
      <w:r>
        <w:rPr>
          <w:rFonts w:hint="eastAsia" w:ascii="宋体" w:hAnsi="宋体" w:eastAsia="宋体" w:cs="宋体"/>
          <w:bCs/>
          <w:color w:val="auto"/>
          <w:kern w:val="0"/>
          <w:sz w:val="22"/>
          <w:szCs w:val="22"/>
          <w:highlight w:val="none"/>
          <w:lang w:eastAsia="zh-CN"/>
        </w:rPr>
        <w:t>招标文件</w:t>
      </w:r>
      <w:r>
        <w:rPr>
          <w:rFonts w:hint="eastAsia" w:ascii="宋体" w:hAnsi="宋体" w:eastAsia="宋体" w:cs="宋体"/>
          <w:bCs/>
          <w:color w:val="auto"/>
          <w:kern w:val="0"/>
          <w:sz w:val="22"/>
          <w:szCs w:val="22"/>
          <w:highlight w:val="none"/>
        </w:rPr>
        <w:t>规定的时间通过“政采云平台”组织开标、开启投标文件，所有</w:t>
      </w:r>
      <w:r>
        <w:rPr>
          <w:rFonts w:hint="eastAsia" w:ascii="宋体" w:hAnsi="宋体" w:eastAsia="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均应当准时在线参加。</w:t>
      </w:r>
    </w:p>
    <w:p w14:paraId="534F8083">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开标准备</w:t>
      </w:r>
    </w:p>
    <w:p w14:paraId="2B36FA9C">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开标的准备工作由采购组织机构负责落实。</w:t>
      </w:r>
    </w:p>
    <w:p w14:paraId="22358C75">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采购组织机构将按照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规定的时间通过“政采云平台”组织开标、开启投标文件，所有</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自己承担。</w:t>
      </w:r>
    </w:p>
    <w:p w14:paraId="6649863A">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开标流程</w:t>
      </w:r>
    </w:p>
    <w:p w14:paraId="2E20332F">
      <w:pPr>
        <w:numPr>
          <w:ilvl w:val="1"/>
          <w:numId w:val="2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按采购文件规定的时间、地点开启各投标人的投标文件。开标前，首先检查投标文件的密封情况，确认无误后开启投标文件（资格响应文件、商务技术响应文件、报价响应文件）</w:t>
      </w:r>
    </w:p>
    <w:p w14:paraId="1F7E9258">
      <w:pPr>
        <w:numPr>
          <w:ilvl w:val="1"/>
          <w:numId w:val="2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电子招投标开标及评审程序</w:t>
      </w:r>
    </w:p>
    <w:p w14:paraId="1703BD34">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投标截止时间后，投标人登录政采云平台，用“项目采购-开标评标”功能对电子投标文件进行在线解密。在线解密电子投标文件时间为开标时间起</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0分钟内。</w:t>
      </w:r>
    </w:p>
    <w:p w14:paraId="3CA8EB3F">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w:t>
      </w:r>
      <w:r>
        <w:rPr>
          <w:rFonts w:hint="eastAsia" w:ascii="宋体" w:hAnsi="宋体" w:eastAsia="宋体" w:cs="宋体"/>
          <w:bCs/>
          <w:color w:val="auto"/>
          <w:sz w:val="22"/>
          <w:szCs w:val="22"/>
          <w:highlight w:val="none"/>
          <w:lang w:val="en-US" w:eastAsia="zh-CN"/>
        </w:rPr>
        <w:t>公布各投标人名称、投标报价及招标文件规定的需要宣布的其他内容。</w:t>
      </w:r>
    </w:p>
    <w:p w14:paraId="6DFCCC8D">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w:t>
      </w:r>
      <w:r>
        <w:rPr>
          <w:rFonts w:hint="eastAsia" w:ascii="宋体" w:hAnsi="宋体" w:cs="宋体"/>
          <w:bCs/>
          <w:color w:val="auto"/>
          <w:sz w:val="22"/>
          <w:szCs w:val="22"/>
          <w:highlight w:val="none"/>
          <w:lang w:eastAsia="zh-CN"/>
        </w:rPr>
        <w:t>资格响应文件</w:t>
      </w:r>
      <w:r>
        <w:rPr>
          <w:rFonts w:hint="eastAsia" w:ascii="宋体" w:hAnsi="宋体" w:eastAsia="宋体" w:cs="宋体"/>
          <w:bCs/>
          <w:color w:val="auto"/>
          <w:sz w:val="22"/>
          <w:szCs w:val="22"/>
          <w:highlight w:val="none"/>
        </w:rPr>
        <w:t>和</w:t>
      </w:r>
      <w:r>
        <w:rPr>
          <w:rFonts w:hint="eastAsia" w:ascii="宋体" w:hAnsi="宋体" w:cs="宋体"/>
          <w:bCs/>
          <w:color w:val="auto"/>
          <w:sz w:val="22"/>
          <w:szCs w:val="22"/>
          <w:highlight w:val="none"/>
          <w:lang w:eastAsia="zh-CN"/>
        </w:rPr>
        <w:t>商务技术响应文件</w:t>
      </w:r>
      <w:r>
        <w:rPr>
          <w:rFonts w:hint="eastAsia" w:ascii="宋体" w:hAnsi="宋体" w:eastAsia="宋体" w:cs="宋体"/>
          <w:bCs/>
          <w:color w:val="auto"/>
          <w:sz w:val="22"/>
          <w:szCs w:val="22"/>
          <w:highlight w:val="none"/>
        </w:rPr>
        <w:t>进行评审</w:t>
      </w:r>
      <w:r>
        <w:rPr>
          <w:rFonts w:hint="eastAsia" w:ascii="宋体" w:hAnsi="宋体" w:eastAsia="宋体" w:cs="宋体"/>
          <w:bCs/>
          <w:color w:val="auto"/>
          <w:sz w:val="22"/>
          <w:szCs w:val="22"/>
          <w:highlight w:val="none"/>
          <w:lang w:eastAsia="zh-CN"/>
        </w:rPr>
        <w:t>。</w:t>
      </w:r>
    </w:p>
    <w:p w14:paraId="23BC4D7B">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在系统上公开资格和商务技术评审结果</w:t>
      </w:r>
      <w:r>
        <w:rPr>
          <w:rFonts w:hint="eastAsia" w:ascii="宋体" w:hAnsi="宋体" w:eastAsia="宋体" w:cs="宋体"/>
          <w:bCs/>
          <w:color w:val="auto"/>
          <w:sz w:val="22"/>
          <w:szCs w:val="22"/>
          <w:highlight w:val="none"/>
          <w:lang w:eastAsia="zh-CN"/>
        </w:rPr>
        <w:t>。</w:t>
      </w:r>
    </w:p>
    <w:p w14:paraId="59F23FA3">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w:t>
      </w:r>
      <w:r>
        <w:rPr>
          <w:rFonts w:hint="eastAsia" w:ascii="宋体" w:hAnsi="宋体" w:cs="宋体"/>
          <w:bCs/>
          <w:color w:val="auto"/>
          <w:sz w:val="22"/>
          <w:szCs w:val="22"/>
          <w:highlight w:val="none"/>
          <w:lang w:eastAsia="zh-CN"/>
        </w:rPr>
        <w:t>报价响应文件</w:t>
      </w:r>
      <w:r>
        <w:rPr>
          <w:rFonts w:hint="eastAsia" w:ascii="宋体" w:hAnsi="宋体" w:eastAsia="宋体" w:cs="宋体"/>
          <w:bCs/>
          <w:color w:val="auto"/>
          <w:sz w:val="22"/>
          <w:szCs w:val="22"/>
          <w:highlight w:val="none"/>
        </w:rPr>
        <w:t>进行评审</w:t>
      </w:r>
      <w:r>
        <w:rPr>
          <w:rFonts w:hint="eastAsia" w:ascii="宋体" w:hAnsi="宋体" w:eastAsia="宋体" w:cs="宋体"/>
          <w:bCs/>
          <w:color w:val="auto"/>
          <w:sz w:val="22"/>
          <w:szCs w:val="22"/>
          <w:highlight w:val="none"/>
          <w:lang w:eastAsia="zh-CN"/>
        </w:rPr>
        <w:t>。</w:t>
      </w:r>
    </w:p>
    <w:p w14:paraId="51526F33">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在系统上公布评审结果。</w:t>
      </w:r>
    </w:p>
    <w:p w14:paraId="34B76D0A">
      <w:pPr>
        <w:overflowPunct w:val="0"/>
        <w:spacing w:line="440" w:lineRule="exact"/>
        <w:ind w:left="11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特别说明：</w:t>
      </w:r>
      <w:r>
        <w:rPr>
          <w:rFonts w:hint="eastAsia" w:ascii="宋体" w:hAnsi="宋体" w:eastAsia="宋体" w:cs="宋体"/>
          <w:b/>
          <w:bCs/>
          <w:color w:val="auto"/>
          <w:sz w:val="22"/>
          <w:szCs w:val="22"/>
          <w:highlight w:val="none"/>
          <w:u w:val="single"/>
        </w:rPr>
        <w:t>1、政采云公司如对电子化开标及评审程序有调整的，按调整后的程序操作。</w:t>
      </w:r>
    </w:p>
    <w:p w14:paraId="5DC6A2F7">
      <w:pPr>
        <w:overflowPunct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2、目前政府采购全流程电子化交易，投标人须在规定时间内自行解密。</w:t>
      </w:r>
    </w:p>
    <w:p w14:paraId="7871C511">
      <w:pPr>
        <w:numPr>
          <w:ilvl w:val="0"/>
          <w:numId w:val="0"/>
        </w:numPr>
        <w:tabs>
          <w:tab w:val="left" w:pos="540"/>
        </w:tabs>
        <w:spacing w:line="460" w:lineRule="exact"/>
        <w:ind w:leftChars="0"/>
        <w:rPr>
          <w:rFonts w:hint="eastAsia" w:ascii="宋体" w:hAnsi="宋体" w:eastAsia="宋体" w:cs="Times New Roman"/>
          <w:b/>
          <w:bCs w:val="0"/>
          <w:color w:val="auto"/>
          <w:sz w:val="22"/>
          <w:szCs w:val="22"/>
          <w:highlight w:val="none"/>
          <w:u w:val="single"/>
          <w:lang w:eastAsia="zh-CN"/>
        </w:rPr>
      </w:pPr>
      <w:r>
        <w:rPr>
          <w:rFonts w:hint="eastAsia" w:ascii="宋体" w:hAnsi="宋体" w:cs="Times New Roman"/>
          <w:b/>
          <w:bCs w:val="0"/>
          <w:color w:val="auto"/>
          <w:sz w:val="22"/>
          <w:szCs w:val="22"/>
          <w:highlight w:val="none"/>
          <w:u w:val="single"/>
          <w:lang w:val="en-US" w:eastAsia="zh-CN"/>
        </w:rPr>
        <w:t>3、</w:t>
      </w:r>
      <w:r>
        <w:rPr>
          <w:rFonts w:hint="eastAsia" w:ascii="宋体" w:hAnsi="宋体" w:eastAsia="宋体" w:cs="Times New Roman"/>
          <w:b/>
          <w:bCs w:val="0"/>
          <w:color w:val="auto"/>
          <w:sz w:val="22"/>
          <w:szCs w:val="22"/>
          <w:highlight w:val="none"/>
          <w:u w:val="single"/>
          <w:lang w:eastAsia="zh-CN"/>
        </w:rPr>
        <w:t>电子</w:t>
      </w:r>
      <w:r>
        <w:rPr>
          <w:rFonts w:hint="eastAsia" w:ascii="宋体" w:hAnsi="宋体" w:cs="Times New Roman"/>
          <w:b/>
          <w:bCs w:val="0"/>
          <w:color w:val="auto"/>
          <w:sz w:val="22"/>
          <w:szCs w:val="22"/>
          <w:highlight w:val="none"/>
          <w:u w:val="single"/>
          <w:lang w:eastAsia="zh-CN"/>
        </w:rPr>
        <w:t>投标文件</w:t>
      </w:r>
      <w:r>
        <w:rPr>
          <w:rFonts w:hint="eastAsia" w:ascii="宋体" w:hAnsi="宋体" w:eastAsia="宋体" w:cs="Times New Roman"/>
          <w:b/>
          <w:bCs w:val="0"/>
          <w:color w:val="auto"/>
          <w:sz w:val="22"/>
          <w:szCs w:val="22"/>
          <w:highlight w:val="none"/>
          <w:u w:val="single"/>
          <w:lang w:eastAsia="zh-CN"/>
        </w:rPr>
        <w:t>解密结束后，各投标人签署《政府采购活动现场确认声明书》（见附件）后将扫描件发送至采购代理机构邮箱</w:t>
      </w:r>
      <w:r>
        <w:rPr>
          <w:rFonts w:hint="eastAsia" w:ascii="宋体" w:hAnsi="宋体" w:cs="Times New Roman"/>
          <w:b/>
          <w:bCs w:val="0"/>
          <w:color w:val="auto"/>
          <w:sz w:val="22"/>
          <w:szCs w:val="22"/>
          <w:highlight w:val="none"/>
          <w:u w:val="single"/>
          <w:lang w:eastAsia="zh-CN"/>
        </w:rPr>
        <w:t>511920567</w:t>
      </w:r>
      <w:r>
        <w:rPr>
          <w:rFonts w:hint="eastAsia" w:ascii="宋体" w:hAnsi="宋体" w:cs="Times New Roman"/>
          <w:b/>
          <w:bCs w:val="0"/>
          <w:color w:val="auto"/>
          <w:sz w:val="22"/>
          <w:szCs w:val="22"/>
          <w:highlight w:val="none"/>
          <w:u w:val="single"/>
          <w:lang w:val="en-US" w:eastAsia="zh-CN"/>
        </w:rPr>
        <w:t>@qq</w:t>
      </w:r>
      <w:r>
        <w:rPr>
          <w:rFonts w:hint="eastAsia" w:ascii="宋体" w:hAnsi="宋体" w:eastAsia="宋体" w:cs="Times New Roman"/>
          <w:b/>
          <w:bCs w:val="0"/>
          <w:color w:val="auto"/>
          <w:sz w:val="22"/>
          <w:szCs w:val="22"/>
          <w:highlight w:val="none"/>
          <w:u w:val="single"/>
          <w:lang w:eastAsia="zh-CN"/>
        </w:rPr>
        <w:t>.com。</w:t>
      </w:r>
    </w:p>
    <w:p w14:paraId="07F4C0C0">
      <w:pPr>
        <w:numPr>
          <w:ilvl w:val="0"/>
          <w:numId w:val="0"/>
        </w:numPr>
        <w:tabs>
          <w:tab w:val="left" w:pos="540"/>
        </w:tabs>
        <w:spacing w:line="460" w:lineRule="exact"/>
        <w:ind w:leftChars="0"/>
        <w:rPr>
          <w:rFonts w:hint="eastAsia" w:ascii="宋体" w:hAnsi="宋体" w:eastAsia="宋体" w:cs="Times New Roman"/>
          <w:b/>
          <w:bCs w:val="0"/>
          <w:color w:val="auto"/>
          <w:sz w:val="22"/>
          <w:szCs w:val="22"/>
          <w:highlight w:val="none"/>
          <w:u w:val="single"/>
          <w:lang w:eastAsia="zh-CN"/>
        </w:rPr>
      </w:pPr>
      <w:r>
        <w:rPr>
          <w:rFonts w:hint="eastAsia" w:ascii="宋体" w:hAnsi="宋体" w:cs="Times New Roman"/>
          <w:b/>
          <w:bCs w:val="0"/>
          <w:color w:val="auto"/>
          <w:sz w:val="22"/>
          <w:szCs w:val="22"/>
          <w:highlight w:val="none"/>
          <w:u w:val="single"/>
          <w:lang w:val="en-US" w:eastAsia="zh-CN"/>
        </w:rPr>
        <w:t>4、</w:t>
      </w:r>
      <w:r>
        <w:rPr>
          <w:rFonts w:hint="eastAsia" w:ascii="宋体" w:hAnsi="宋体" w:eastAsia="宋体" w:cs="Times New Roman"/>
          <w:b/>
          <w:bCs w:val="0"/>
          <w:color w:val="auto"/>
          <w:sz w:val="22"/>
          <w:szCs w:val="22"/>
          <w:highlight w:val="none"/>
          <w:u w:val="single"/>
          <w:lang w:eastAsia="zh-CN"/>
        </w:rPr>
        <w:t>评审结束后，在“政采云平台”系统平台上公布</w:t>
      </w:r>
      <w:r>
        <w:rPr>
          <w:rFonts w:hint="eastAsia" w:ascii="宋体" w:hAnsi="宋体" w:eastAsia="宋体" w:cs="Times New Roman"/>
          <w:b/>
          <w:bCs w:val="0"/>
          <w:color w:val="auto"/>
          <w:sz w:val="22"/>
          <w:szCs w:val="22"/>
          <w:highlight w:val="none"/>
          <w:u w:val="single"/>
          <w:lang w:val="en-US" w:eastAsia="zh-CN"/>
        </w:rPr>
        <w:t>个采购人的详细情况及</w:t>
      </w:r>
      <w:r>
        <w:rPr>
          <w:rFonts w:hint="eastAsia" w:ascii="宋体" w:hAnsi="宋体" w:eastAsia="宋体" w:cs="Times New Roman"/>
          <w:b/>
          <w:bCs w:val="0"/>
          <w:color w:val="auto"/>
          <w:sz w:val="22"/>
          <w:szCs w:val="22"/>
          <w:highlight w:val="none"/>
          <w:u w:val="single"/>
          <w:lang w:eastAsia="zh-CN"/>
        </w:rPr>
        <w:t>中标（成交）候选投标人名单</w:t>
      </w:r>
      <w:r>
        <w:rPr>
          <w:rFonts w:hint="eastAsia" w:ascii="宋体" w:hAnsi="宋体" w:eastAsia="宋体" w:cs="Times New Roman"/>
          <w:b/>
          <w:bCs w:val="0"/>
          <w:color w:val="auto"/>
          <w:sz w:val="22"/>
          <w:szCs w:val="22"/>
          <w:highlight w:val="none"/>
          <w:u w:val="single"/>
          <w:lang w:val="en-US" w:eastAsia="zh-CN"/>
        </w:rPr>
        <w:t>的</w:t>
      </w:r>
      <w:r>
        <w:rPr>
          <w:rFonts w:hint="eastAsia" w:ascii="宋体" w:hAnsi="宋体" w:eastAsia="宋体" w:cs="Times New Roman"/>
          <w:b/>
          <w:bCs w:val="0"/>
          <w:color w:val="auto"/>
          <w:sz w:val="22"/>
          <w:szCs w:val="22"/>
          <w:highlight w:val="none"/>
          <w:u w:val="single"/>
          <w:lang w:eastAsia="zh-CN"/>
        </w:rPr>
        <w:t>公告等。</w:t>
      </w:r>
    </w:p>
    <w:p w14:paraId="4A2AA355">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14:paraId="680BF518">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40" w:name="_Toc8993"/>
      <w:r>
        <w:rPr>
          <w:rFonts w:hint="eastAsia" w:ascii="宋体" w:hAnsi="宋体"/>
          <w:b/>
          <w:bCs/>
          <w:color w:val="auto"/>
          <w:sz w:val="26"/>
          <w:szCs w:val="26"/>
          <w:highlight w:val="none"/>
          <w:lang w:val="en-US" w:eastAsia="zh-CN"/>
        </w:rPr>
        <w:t>七</w:t>
      </w:r>
      <w:r>
        <w:rPr>
          <w:rFonts w:hint="eastAsia" w:ascii="宋体" w:hAnsi="宋体"/>
          <w:b/>
          <w:bCs/>
          <w:color w:val="auto"/>
          <w:sz w:val="26"/>
          <w:szCs w:val="26"/>
          <w:highlight w:val="none"/>
        </w:rPr>
        <w:t xml:space="preserve">、 </w:t>
      </w:r>
      <w:r>
        <w:rPr>
          <w:rFonts w:hint="eastAsia" w:ascii="宋体" w:hAnsi="宋体"/>
          <w:b/>
          <w:bCs/>
          <w:color w:val="auto"/>
          <w:sz w:val="26"/>
          <w:szCs w:val="26"/>
          <w:highlight w:val="none"/>
          <w:lang w:val="en-US" w:eastAsia="zh-CN"/>
        </w:rPr>
        <w:t>评</w:t>
      </w:r>
      <w:r>
        <w:rPr>
          <w:rFonts w:hint="eastAsia" w:ascii="宋体" w:hAnsi="宋体"/>
          <w:b/>
          <w:bCs/>
          <w:color w:val="auto"/>
          <w:sz w:val="26"/>
          <w:szCs w:val="26"/>
          <w:highlight w:val="none"/>
        </w:rPr>
        <w:t>标</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A067373">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评标委员会</w:t>
      </w:r>
    </w:p>
    <w:p w14:paraId="220109F3">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675167D9">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评标过程的保密性</w:t>
      </w:r>
    </w:p>
    <w:p w14:paraId="05728032">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375520F2">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投标文件的初审。初审分为资格性审查和符合性检查。</w:t>
      </w:r>
    </w:p>
    <w:p w14:paraId="0791F378">
      <w:pPr>
        <w:numPr>
          <w:ilvl w:val="1"/>
          <w:numId w:val="27"/>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资格性审查。</w:t>
      </w:r>
    </w:p>
    <w:p w14:paraId="2D71F651">
      <w:pPr>
        <w:pStyle w:val="124"/>
        <w:numPr>
          <w:ilvl w:val="0"/>
          <w:numId w:val="28"/>
        </w:numPr>
        <w:tabs>
          <w:tab w:val="left" w:pos="425"/>
        </w:tabs>
        <w:overflowPunct w:val="0"/>
        <w:spacing w:line="440" w:lineRule="exact"/>
        <w:ind w:hanging="136"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7A8C44E1">
      <w:pPr>
        <w:pStyle w:val="124"/>
        <w:numPr>
          <w:ilvl w:val="0"/>
          <w:numId w:val="28"/>
        </w:numPr>
        <w:tabs>
          <w:tab w:val="left" w:pos="425"/>
        </w:tabs>
        <w:overflowPunct w:val="0"/>
        <w:spacing w:line="440" w:lineRule="exact"/>
        <w:ind w:hanging="136"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在资格审查过程中，若对投标人的资格审查文件有疑问，采购组织机构将在系统上向投标人发起询标函</w:t>
      </w:r>
    </w:p>
    <w:p w14:paraId="61D94246">
      <w:pPr>
        <w:numPr>
          <w:ilvl w:val="1"/>
          <w:numId w:val="27"/>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符合性检查。依据招标文件的规定，从投标文件中的有效性、完整性和对招标文件的响应程度进行审查，并在“政采云系统-符合性评审”中录入投标人的符合性审查情况。</w:t>
      </w:r>
    </w:p>
    <w:p w14:paraId="2CB98AD9">
      <w:pPr>
        <w:numPr>
          <w:ilvl w:val="1"/>
          <w:numId w:val="27"/>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single"/>
          <w:lang w:eastAsia="zh-CN"/>
        </w:rPr>
      </w:pPr>
      <w:r>
        <w:rPr>
          <w:rFonts w:hint="eastAsia" w:ascii="宋体" w:hAnsi="宋体" w:eastAsia="宋体" w:cs="Times New Roman"/>
          <w:b/>
          <w:bCs w:val="0"/>
          <w:color w:val="auto"/>
          <w:sz w:val="22"/>
          <w:szCs w:val="22"/>
          <w:highlight w:val="none"/>
          <w:u w:val="single"/>
          <w:lang w:eastAsia="zh-CN"/>
        </w:rPr>
        <w:t>▲通过资格性审查与符合性审查的</w:t>
      </w:r>
      <w:r>
        <w:rPr>
          <w:rFonts w:hint="eastAsia" w:ascii="宋体" w:hAnsi="宋体" w:cs="Times New Roman"/>
          <w:b/>
          <w:bCs w:val="0"/>
          <w:color w:val="auto"/>
          <w:sz w:val="22"/>
          <w:szCs w:val="22"/>
          <w:highlight w:val="none"/>
          <w:u w:val="single"/>
          <w:lang w:eastAsia="zh-CN"/>
        </w:rPr>
        <w:t>商务技术响应文件</w:t>
      </w:r>
      <w:r>
        <w:rPr>
          <w:rFonts w:hint="eastAsia" w:ascii="宋体" w:hAnsi="宋体" w:eastAsia="宋体" w:cs="Times New Roman"/>
          <w:b/>
          <w:bCs w:val="0"/>
          <w:color w:val="auto"/>
          <w:sz w:val="22"/>
          <w:szCs w:val="22"/>
          <w:highlight w:val="none"/>
          <w:u w:val="single"/>
          <w:lang w:eastAsia="zh-CN"/>
        </w:rPr>
        <w:t>由评委进行综合评审，审查确认未通过的</w:t>
      </w:r>
      <w:r>
        <w:rPr>
          <w:rFonts w:hint="eastAsia" w:ascii="宋体" w:hAnsi="宋体" w:cs="Times New Roman"/>
          <w:b/>
          <w:bCs w:val="0"/>
          <w:color w:val="auto"/>
          <w:sz w:val="22"/>
          <w:szCs w:val="22"/>
          <w:highlight w:val="none"/>
          <w:u w:val="single"/>
          <w:lang w:eastAsia="zh-CN"/>
        </w:rPr>
        <w:t>商务技术响应文件</w:t>
      </w:r>
      <w:r>
        <w:rPr>
          <w:rFonts w:hint="eastAsia" w:ascii="宋体" w:hAnsi="宋体" w:eastAsia="宋体" w:cs="Times New Roman"/>
          <w:b/>
          <w:bCs w:val="0"/>
          <w:color w:val="auto"/>
          <w:sz w:val="22"/>
          <w:szCs w:val="22"/>
          <w:highlight w:val="none"/>
          <w:u w:val="single"/>
          <w:lang w:eastAsia="zh-CN"/>
        </w:rPr>
        <w:t>不予评审。</w:t>
      </w:r>
    </w:p>
    <w:p w14:paraId="62FAAA49">
      <w:pPr>
        <w:numPr>
          <w:ilvl w:val="0"/>
          <w:numId w:val="26"/>
        </w:numPr>
        <w:tabs>
          <w:tab w:val="left" w:pos="540"/>
          <w:tab w:val="clear" w:pos="420"/>
        </w:tabs>
        <w:spacing w:line="460" w:lineRule="exact"/>
        <w:rPr>
          <w:rFonts w:hint="default" w:ascii="宋体" w:hAnsi="宋体" w:eastAsia="宋体" w:cs="Arial"/>
          <w:b/>
          <w:bCs w:val="0"/>
          <w:color w:val="auto"/>
          <w:sz w:val="22"/>
          <w:szCs w:val="22"/>
          <w:highlight w:val="none"/>
          <w:lang w:val="en-US" w:eastAsia="zh-CN"/>
        </w:rPr>
      </w:pPr>
      <w:r>
        <w:rPr>
          <w:rFonts w:hint="eastAsia" w:ascii="宋体" w:hAnsi="宋体" w:eastAsia="宋体" w:cs="Arial"/>
          <w:b/>
          <w:bCs w:val="0"/>
          <w:color w:val="auto"/>
          <w:sz w:val="22"/>
          <w:szCs w:val="22"/>
          <w:highlight w:val="none"/>
          <w:lang w:val="en-US" w:eastAsia="zh-CN"/>
        </w:rPr>
        <w:t>无效标认定</w:t>
      </w:r>
    </w:p>
    <w:p w14:paraId="70DBA06A">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▲在对各投标人的投标文件进行综合评审时，投标文件有下列情况之一的，经评标委员会认定后按无效标处理：</w:t>
      </w:r>
    </w:p>
    <w:p w14:paraId="38A16A1D">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电子投标文件未按规定进行CA签章；</w:t>
      </w:r>
    </w:p>
    <w:p w14:paraId="1FDA61D9">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投标文件中要求投标人法定代表人或授权代表签字的地方无法定代表人签字或其授权代表签字的；</w:t>
      </w:r>
    </w:p>
    <w:p w14:paraId="2DFDA87D">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不具备招标文件中规定的资格要求的；</w:t>
      </w:r>
    </w:p>
    <w:p w14:paraId="3167147D">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报价超过招标文件中规定的预算金额或者最高限价的；</w:t>
      </w:r>
    </w:p>
    <w:p w14:paraId="37C4303F">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投标文件含有采购人不能接受的附加条件的；</w:t>
      </w:r>
    </w:p>
    <w:p w14:paraId="4B58D308">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投标文件没有对本招标文件作出实质性响应的，或不满足（不响应）本招标文件中标注“▲”的实质性要求条款的，或存在招标文件中明确规定的其他无效标情形的；</w:t>
      </w:r>
    </w:p>
    <w:p w14:paraId="238433F2">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经评标委员会认定投标人串通投标的；</w:t>
      </w:r>
    </w:p>
    <w:p w14:paraId="25173EC0">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同时出现两种及以上不一致价格且修正后投标人不确认报价的；</w:t>
      </w:r>
    </w:p>
    <w:p w14:paraId="2A2C3F43">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报价明显低于其他通过符合性审查投标人的报价，且在评标现场合理的时间内不能证明其报价合理性的；</w:t>
      </w:r>
    </w:p>
    <w:p w14:paraId="4978D37B">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授权代表无法定代表人合法、有效委托的；</w:t>
      </w:r>
    </w:p>
    <w:p w14:paraId="2BAE0FFF">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东片（七都、滨江、蒲鞋市、南汇、五马、大南街道辖区）</w:t>
      </w:r>
      <w:r>
        <w:rPr>
          <w:rFonts w:hint="eastAsia" w:ascii="宋体" w:hAnsi="宋体" w:cs="宋体"/>
          <w:b w:val="0"/>
          <w:bCs/>
          <w:color w:val="auto"/>
          <w:kern w:val="0"/>
          <w:sz w:val="22"/>
          <w:szCs w:val="22"/>
          <w:highlight w:val="none"/>
          <w:u w:val="single"/>
          <w:lang w:val="en-US" w:eastAsia="zh-CN"/>
        </w:rPr>
        <w:t>标项的中标单位参与本次项目的，按符合性不合格处理。</w:t>
      </w:r>
    </w:p>
    <w:p w14:paraId="154647AB">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sz w:val="22"/>
          <w:szCs w:val="22"/>
          <w:highlight w:val="none"/>
          <w:u w:val="single"/>
        </w:rPr>
        <w:t>规定时间内解密失败且经异常处理但政采云电子交易系统仍未能识别备份投标文件的；</w:t>
      </w:r>
    </w:p>
    <w:p w14:paraId="01A6E4A2">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评标委员会认定不符合法律、法规和招标文件中规定的其他实质性要求的。</w:t>
      </w:r>
    </w:p>
    <w:p w14:paraId="7795BC9D">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u w:val="single"/>
          <w:lang w:eastAsia="zh-CN"/>
        </w:rPr>
        <w:t>▲评标委员会发现投标文件有下列情形之一的属于重大偏差(评标委员会按少数服从多数原则认定),按照无效投标处理：</w:t>
      </w:r>
    </w:p>
    <w:p w14:paraId="40A1FDC9">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1）未按</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要求编制或字迹模糊、辨认不清的投标文件；</w:t>
      </w:r>
    </w:p>
    <w:p w14:paraId="50212304">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2）出现明显不符合技术规格、技术标准的要求或不满足</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技术规格书中的主要参数的投标文件；</w:t>
      </w:r>
    </w:p>
    <w:p w14:paraId="30D14DB2">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3）出现投标项目数量与</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对比出现较大偏差；商务报价明细表计算错误，出现较大差错；</w:t>
      </w:r>
    </w:p>
    <w:p w14:paraId="5C723411">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4）出现其它不符合</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中规定的实质性要求的投标文件，是否为偏离实质性要求由评标委员会认定。</w:t>
      </w:r>
    </w:p>
    <w:p w14:paraId="25AD9A36">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▲有下列情形之一的，视为投标人串通投标，其投标无效：</w:t>
      </w:r>
    </w:p>
    <w:p w14:paraId="0AD18D4A">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1)不同投标人的投标文件由同一单位或者个人编制；</w:t>
      </w:r>
    </w:p>
    <w:p w14:paraId="222BB900">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2)不同投标人委托同一单位或者个人办理投标事宜；</w:t>
      </w:r>
    </w:p>
    <w:p w14:paraId="503854A9">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3)不同投标人的投标文件载明的项目管理成员或者联系人员为同一人；</w:t>
      </w:r>
    </w:p>
    <w:p w14:paraId="1A7B511C">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4）不同投标人的投标文件异常一致或者投标报价呈规律性差异；</w:t>
      </w:r>
    </w:p>
    <w:p w14:paraId="22846943">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5）不同投标人的投标文件相互混装；</w:t>
      </w:r>
    </w:p>
    <w:p w14:paraId="3F188915">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▲参与同一个采购包（标项）的</w:t>
      </w:r>
      <w:r>
        <w:rPr>
          <w:rFonts w:hint="eastAsia" w:ascii="宋体" w:hAnsi="宋体" w:cs="Arial"/>
          <w:b/>
          <w:bCs/>
          <w:color w:val="auto"/>
          <w:sz w:val="22"/>
          <w:szCs w:val="22"/>
          <w:highlight w:val="none"/>
          <w:u w:val="single"/>
          <w:lang w:val="en-US" w:eastAsia="zh-CN"/>
        </w:rPr>
        <w:t>投标人</w:t>
      </w:r>
      <w:r>
        <w:rPr>
          <w:rFonts w:hint="eastAsia" w:ascii="宋体" w:hAnsi="宋体" w:eastAsia="宋体" w:cs="Arial"/>
          <w:b/>
          <w:bCs/>
          <w:color w:val="auto"/>
          <w:sz w:val="22"/>
          <w:szCs w:val="22"/>
          <w:highlight w:val="none"/>
          <w:u w:val="single"/>
          <w:lang w:eastAsia="zh-CN"/>
        </w:rPr>
        <w:t>存在下列情形之一且无法合理解释的，其响应无效：</w:t>
      </w:r>
    </w:p>
    <w:p w14:paraId="287E8B64">
      <w:pPr>
        <w:numPr>
          <w:ilvl w:val="-1"/>
          <w:numId w:val="0"/>
        </w:numPr>
        <w:tabs>
          <w:tab w:val="left" w:pos="360"/>
        </w:tabs>
        <w:spacing w:line="460" w:lineRule="exact"/>
        <w:ind w:left="0" w:leftChars="0" w:firstLine="440" w:firstLineChars="200"/>
        <w:rPr>
          <w:rFonts w:hint="eastAsia" w:ascii="宋体" w:hAnsi="宋体" w:eastAsia="宋体" w:cs="Arial"/>
          <w:b w:val="0"/>
          <w:bCs w:val="0"/>
          <w:color w:val="auto"/>
          <w:sz w:val="22"/>
          <w:szCs w:val="22"/>
          <w:highlight w:val="none"/>
          <w:u w:val="single"/>
          <w:lang w:eastAsia="zh-CN"/>
        </w:rPr>
      </w:pPr>
      <w:r>
        <w:rPr>
          <w:rFonts w:hint="eastAsia" w:ascii="宋体" w:hAnsi="宋体" w:cs="Arial"/>
          <w:b w:val="0"/>
          <w:bCs w:val="0"/>
          <w:color w:val="auto"/>
          <w:sz w:val="22"/>
          <w:szCs w:val="22"/>
          <w:highlight w:val="none"/>
          <w:u w:val="single"/>
          <w:lang w:val="en-US" w:eastAsia="zh-CN"/>
        </w:rPr>
        <w:t>1）</w:t>
      </w:r>
      <w:r>
        <w:rPr>
          <w:rFonts w:hint="eastAsia" w:ascii="宋体" w:hAnsi="宋体" w:eastAsia="宋体" w:cs="Arial"/>
          <w:b w:val="0"/>
          <w:bCs w:val="0"/>
          <w:color w:val="auto"/>
          <w:sz w:val="22"/>
          <w:szCs w:val="22"/>
          <w:highlight w:val="none"/>
          <w:u w:val="single"/>
          <w:lang w:eastAsia="zh-CN"/>
        </w:rPr>
        <w:t>不同投标人的电子投标（响应）文件上传计算机的网卡MAC地址或硬盘序列号等硬件信息相同的；</w:t>
      </w:r>
    </w:p>
    <w:p w14:paraId="6FED3086">
      <w:pPr>
        <w:numPr>
          <w:ilvl w:val="-1"/>
          <w:numId w:val="0"/>
        </w:numPr>
        <w:tabs>
          <w:tab w:val="left" w:pos="360"/>
        </w:tabs>
        <w:spacing w:line="460" w:lineRule="exact"/>
        <w:ind w:left="0" w:leftChars="0" w:firstLine="440" w:firstLineChars="200"/>
        <w:rPr>
          <w:rFonts w:hint="eastAsia" w:ascii="宋体" w:hAnsi="宋体" w:eastAsia="宋体" w:cs="Arial"/>
          <w:b w:val="0"/>
          <w:bCs w:val="0"/>
          <w:color w:val="auto"/>
          <w:sz w:val="22"/>
          <w:szCs w:val="22"/>
          <w:highlight w:val="none"/>
          <w:u w:val="single"/>
          <w:lang w:eastAsia="zh-CN"/>
        </w:rPr>
      </w:pPr>
      <w:r>
        <w:rPr>
          <w:rFonts w:hint="eastAsia" w:ascii="宋体" w:hAnsi="宋体" w:cs="Arial"/>
          <w:b w:val="0"/>
          <w:bCs w:val="0"/>
          <w:color w:val="auto"/>
          <w:sz w:val="22"/>
          <w:szCs w:val="22"/>
          <w:highlight w:val="none"/>
          <w:u w:val="single"/>
          <w:lang w:val="en-US" w:eastAsia="zh-CN"/>
        </w:rPr>
        <w:t>2）</w:t>
      </w:r>
      <w:r>
        <w:rPr>
          <w:rFonts w:hint="eastAsia" w:ascii="宋体" w:hAnsi="宋体" w:eastAsia="宋体" w:cs="Arial"/>
          <w:b w:val="0"/>
          <w:bCs w:val="0"/>
          <w:color w:val="auto"/>
          <w:sz w:val="22"/>
          <w:szCs w:val="22"/>
          <w:highlight w:val="none"/>
          <w:u w:val="single"/>
          <w:lang w:eastAsia="zh-CN"/>
        </w:rPr>
        <w:t>上传的电子投标（响应）文件若出现使用本项目其他投标人的数字证书加密的，或者加盖本项目其他投标人的电子印章的；</w:t>
      </w:r>
    </w:p>
    <w:p w14:paraId="368D5219">
      <w:pPr>
        <w:numPr>
          <w:ilvl w:val="-1"/>
          <w:numId w:val="0"/>
        </w:numPr>
        <w:tabs>
          <w:tab w:val="left" w:pos="360"/>
        </w:tabs>
        <w:spacing w:line="460" w:lineRule="exact"/>
        <w:ind w:left="0" w:leftChars="0" w:firstLine="440" w:firstLineChars="200"/>
        <w:rPr>
          <w:rFonts w:hint="eastAsia" w:ascii="宋体" w:hAnsi="宋体" w:eastAsia="宋体" w:cs="Arial"/>
          <w:b w:val="0"/>
          <w:bCs w:val="0"/>
          <w:color w:val="auto"/>
          <w:sz w:val="22"/>
          <w:szCs w:val="22"/>
          <w:highlight w:val="none"/>
          <w:u w:val="single"/>
          <w:lang w:eastAsia="zh-CN"/>
        </w:rPr>
      </w:pPr>
      <w:r>
        <w:rPr>
          <w:rFonts w:hint="eastAsia" w:ascii="宋体" w:hAnsi="宋体" w:cs="Arial"/>
          <w:b w:val="0"/>
          <w:bCs w:val="0"/>
          <w:color w:val="auto"/>
          <w:sz w:val="22"/>
          <w:szCs w:val="22"/>
          <w:highlight w:val="none"/>
          <w:u w:val="single"/>
          <w:lang w:val="en-US" w:eastAsia="zh-CN"/>
        </w:rPr>
        <w:t>3）</w:t>
      </w:r>
      <w:r>
        <w:rPr>
          <w:rFonts w:hint="eastAsia" w:ascii="宋体" w:hAnsi="宋体" w:eastAsia="宋体" w:cs="Arial"/>
          <w:b w:val="0"/>
          <w:bCs w:val="0"/>
          <w:color w:val="auto"/>
          <w:sz w:val="22"/>
          <w:szCs w:val="22"/>
          <w:highlight w:val="none"/>
          <w:u w:val="single"/>
          <w:lang w:eastAsia="zh-CN"/>
        </w:rPr>
        <w:t>不同投标人的投标（响应）文件的内容存在3处（含）以上错误一致的；</w:t>
      </w:r>
    </w:p>
    <w:p w14:paraId="2F97D43C">
      <w:pPr>
        <w:numPr>
          <w:ilvl w:val="-1"/>
          <w:numId w:val="0"/>
        </w:numPr>
        <w:tabs>
          <w:tab w:val="left" w:pos="360"/>
        </w:tabs>
        <w:spacing w:line="460" w:lineRule="exact"/>
        <w:ind w:left="0" w:leftChars="0" w:firstLine="440" w:firstLineChars="200"/>
        <w:rPr>
          <w:rFonts w:hint="eastAsia" w:ascii="宋体" w:hAnsi="宋体" w:eastAsia="宋体" w:cs="Arial"/>
          <w:b w:val="0"/>
          <w:bCs w:val="0"/>
          <w:color w:val="auto"/>
          <w:sz w:val="22"/>
          <w:szCs w:val="22"/>
          <w:highlight w:val="none"/>
          <w:u w:val="single"/>
          <w:lang w:eastAsia="zh-CN"/>
        </w:rPr>
      </w:pPr>
      <w:r>
        <w:rPr>
          <w:rFonts w:hint="eastAsia" w:ascii="宋体" w:hAnsi="宋体" w:cs="Arial"/>
          <w:b w:val="0"/>
          <w:bCs w:val="0"/>
          <w:color w:val="auto"/>
          <w:sz w:val="22"/>
          <w:szCs w:val="22"/>
          <w:highlight w:val="none"/>
          <w:u w:val="single"/>
          <w:lang w:val="en-US" w:eastAsia="zh-CN"/>
        </w:rPr>
        <w:t>4）</w:t>
      </w:r>
      <w:r>
        <w:rPr>
          <w:rFonts w:hint="eastAsia" w:ascii="宋体" w:hAnsi="宋体" w:eastAsia="宋体" w:cs="Arial"/>
          <w:b w:val="0"/>
          <w:bCs w:val="0"/>
          <w:color w:val="auto"/>
          <w:sz w:val="22"/>
          <w:szCs w:val="22"/>
          <w:highlight w:val="none"/>
          <w:u w:val="single"/>
          <w:lang w:eastAsia="zh-CN"/>
        </w:rPr>
        <w:t>不同投标人联系人为同一人或不同联系人的联系电话一致的。</w:t>
      </w:r>
    </w:p>
    <w:p w14:paraId="6B956F2F">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▲本项目采用政采云电子招投标开标及评审程序，如有以下情形之一的，按以下情况处理：</w:t>
      </w:r>
    </w:p>
    <w:p w14:paraId="43B82141">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投标人在规定时间内无法解密或解密失败的作无效投标处理。解密成功的投标人不足三家的，本项目流标重新组织采购活动。</w:t>
      </w:r>
    </w:p>
    <w:p w14:paraId="43785BBC">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因政采云平台原因无法读取或电子开评标无法正常进行，采购机构将情况上报行业监管部门同意后，重新组织采购活动。</w:t>
      </w:r>
    </w:p>
    <w:p w14:paraId="4CC721AD">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符合专业条件的投标人或者对</w:t>
      </w:r>
      <w:r>
        <w:rPr>
          <w:rFonts w:hint="eastAsia" w:ascii="宋体" w:hAnsi="宋体" w:eastAsia="宋体" w:cs="宋体"/>
          <w:b w:val="0"/>
          <w:bCs w:val="0"/>
          <w:color w:val="auto"/>
          <w:sz w:val="22"/>
          <w:szCs w:val="22"/>
          <w:highlight w:val="none"/>
          <w:u w:val="single"/>
          <w:lang w:eastAsia="zh-CN"/>
        </w:rPr>
        <w:t>招标文件</w:t>
      </w:r>
      <w:r>
        <w:rPr>
          <w:rFonts w:hint="eastAsia" w:ascii="宋体" w:hAnsi="宋体" w:eastAsia="宋体" w:cs="宋体"/>
          <w:b w:val="0"/>
          <w:bCs w:val="0"/>
          <w:color w:val="auto"/>
          <w:sz w:val="22"/>
          <w:szCs w:val="22"/>
          <w:highlight w:val="none"/>
          <w:u w:val="single"/>
        </w:rPr>
        <w:t>作实质响应的投标人不足</w:t>
      </w:r>
      <w:r>
        <w:rPr>
          <w:rFonts w:hint="eastAsia" w:ascii="宋体" w:hAnsi="宋体" w:cs="宋体"/>
          <w:b w:val="0"/>
          <w:bCs w:val="0"/>
          <w:color w:val="auto"/>
          <w:sz w:val="22"/>
          <w:szCs w:val="22"/>
          <w:highlight w:val="none"/>
          <w:u w:val="single"/>
          <w:lang w:val="en-US" w:eastAsia="zh-CN"/>
        </w:rPr>
        <w:t>3</w:t>
      </w:r>
      <w:r>
        <w:rPr>
          <w:rFonts w:hint="eastAsia" w:ascii="宋体" w:hAnsi="宋体" w:eastAsia="宋体" w:cs="宋体"/>
          <w:b w:val="0"/>
          <w:bCs w:val="0"/>
          <w:color w:val="auto"/>
          <w:sz w:val="22"/>
          <w:szCs w:val="22"/>
          <w:highlight w:val="none"/>
          <w:u w:val="single"/>
        </w:rPr>
        <w:t>家的，本次招标按废标处理，重新组织招标。</w:t>
      </w:r>
    </w:p>
    <w:p w14:paraId="6F4A7759">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在详细评标之前，评标委员会要审查每份投标文件是否实质上响应了招标文件的要求。实质上响应的投标应该是与招标文件要求的全部条款、条件和规格基本相符</w:t>
      </w:r>
      <w:r>
        <w:rPr>
          <w:rFonts w:hint="eastAsia" w:ascii="宋体" w:hAnsi="宋体" w:cs="Arial"/>
          <w:color w:val="auto"/>
          <w:sz w:val="22"/>
          <w:szCs w:val="22"/>
          <w:highlight w:val="none"/>
          <w:lang w:eastAsia="zh-CN"/>
        </w:rPr>
        <w:t>，</w:t>
      </w:r>
      <w:r>
        <w:rPr>
          <w:rFonts w:hint="eastAsia" w:ascii="宋体" w:hAnsi="宋体" w:eastAsia="宋体" w:cs="Arial"/>
          <w:color w:val="auto"/>
          <w:sz w:val="22"/>
          <w:szCs w:val="22"/>
          <w:highlight w:val="none"/>
          <w:lang w:eastAsia="zh-CN"/>
        </w:rPr>
        <w:t>没有重大偏离。</w:t>
      </w:r>
    </w:p>
    <w:p w14:paraId="6BDFE470">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实质上没有响应招标文件要求的投标将被否决，投标人不得通过修正或撤消不合要求的偏离或保留从而使其投标成为实质上响应的投标。</w:t>
      </w:r>
    </w:p>
    <w:p w14:paraId="68EC5653">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投标文件的澄清</w:t>
      </w:r>
    </w:p>
    <w:p w14:paraId="462CA161">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4D32E64E">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C58155A">
      <w:pPr>
        <w:numPr>
          <w:ilvl w:val="1"/>
          <w:numId w:val="32"/>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lang w:eastAsia="zh-CN"/>
        </w:rPr>
      </w:pPr>
      <w:r>
        <w:rPr>
          <w:rFonts w:hint="eastAsia" w:ascii="宋体" w:hAnsi="宋体" w:eastAsia="宋体" w:cs="Arial"/>
          <w:b/>
          <w:bCs/>
          <w:color w:val="auto"/>
          <w:sz w:val="22"/>
          <w:szCs w:val="22"/>
          <w:highlight w:val="none"/>
          <w:lang w:eastAsia="zh-CN"/>
        </w:rPr>
        <w:t>投标文件报价出现前后不一致的，除招标文件另有规定外，按照下列规定修正：</w:t>
      </w:r>
    </w:p>
    <w:p w14:paraId="0B121565">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highlight w:val="none"/>
        </w:rPr>
        <w:t>投标文件中开标一览表（报价表）内容与投标文件中相应内容不一致的，以开标一览表（报价表）为准</w:t>
      </w:r>
      <w:r>
        <w:rPr>
          <w:rFonts w:hint="eastAsia" w:ascii="宋体" w:hAnsi="宋体" w:eastAsia="宋体" w:cs="宋体"/>
          <w:color w:val="auto"/>
          <w:kern w:val="0"/>
          <w:sz w:val="22"/>
          <w:szCs w:val="22"/>
          <w:highlight w:val="none"/>
        </w:rPr>
        <w:t>。</w:t>
      </w:r>
    </w:p>
    <w:p w14:paraId="5B5EE8AE">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highlight w:val="none"/>
        </w:rPr>
        <w:t>大写金额和小写金额不一致的，以大写金额为准。</w:t>
      </w:r>
    </w:p>
    <w:p w14:paraId="5200037B">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3）单价金额小数点或者百分比有明显错位的，以开标一览表的总价为准，并修改单价。</w:t>
      </w:r>
    </w:p>
    <w:p w14:paraId="273B7BEA">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4）总价金额与按单价汇总金额不一致的，以单价金额计算结果为准。</w:t>
      </w:r>
    </w:p>
    <w:p w14:paraId="1FCEE813">
      <w:pPr>
        <w:spacing w:line="460" w:lineRule="exact"/>
        <w:ind w:firstLine="418" w:firstLineChars="19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b/>
          <w:bCs/>
          <w:color w:val="auto"/>
          <w:sz w:val="22"/>
          <w:highlight w:val="none"/>
        </w:rPr>
        <w:t>同时出现两种以上不一致的，按照前款规定的顺序修正。修正后的报价按照本</w:t>
      </w:r>
      <w:r>
        <w:rPr>
          <w:rFonts w:hint="eastAsia" w:ascii="宋体" w:hAnsi="宋体" w:eastAsia="宋体" w:cs="宋体"/>
          <w:b/>
          <w:bCs/>
          <w:color w:val="auto"/>
          <w:sz w:val="22"/>
          <w:highlight w:val="none"/>
          <w:lang w:eastAsia="zh-CN"/>
        </w:rPr>
        <w:t>招标文件</w:t>
      </w:r>
      <w:r>
        <w:rPr>
          <w:rFonts w:hint="eastAsia" w:ascii="宋体" w:hAnsi="宋体" w:eastAsia="宋体" w:cs="宋体"/>
          <w:b/>
          <w:bCs/>
          <w:color w:val="auto"/>
          <w:sz w:val="22"/>
          <w:highlight w:val="none"/>
        </w:rPr>
        <w:t>规定经投标人确认后产生约束力，投标人不确认的，其投标无效。</w:t>
      </w:r>
    </w:p>
    <w:p w14:paraId="27E9E819">
      <w:pPr>
        <w:numPr>
          <w:ilvl w:val="1"/>
          <w:numId w:val="32"/>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none"/>
          <w:lang w:eastAsia="zh-CN"/>
        </w:rPr>
      </w:pPr>
      <w:r>
        <w:rPr>
          <w:rFonts w:hint="eastAsia" w:ascii="宋体" w:hAnsi="宋体" w:eastAsia="宋体" w:cs="宋体"/>
          <w:color w:val="auto"/>
          <w:kern w:val="0"/>
          <w:sz w:val="22"/>
          <w:szCs w:val="22"/>
          <w:highlight w:val="none"/>
          <w:u w:val="single"/>
        </w:rPr>
        <w:t>▲</w:t>
      </w:r>
      <w:r>
        <w:rPr>
          <w:rFonts w:hint="eastAsia" w:ascii="宋体" w:hAnsi="宋体" w:eastAsia="宋体" w:cs="宋体"/>
          <w:b/>
          <w:bCs/>
          <w:color w:val="auto"/>
          <w:kern w:val="0"/>
          <w:sz w:val="22"/>
          <w:szCs w:val="22"/>
          <w:highlight w:val="none"/>
          <w:u w:val="single"/>
        </w:rPr>
        <w:t>评标委员会认为投标人的报价明显低于其他通过符合性审查投标人的报价，有可能影响产品质</w:t>
      </w:r>
      <w:r>
        <w:rPr>
          <w:rFonts w:hint="eastAsia" w:ascii="宋体" w:hAnsi="宋体" w:eastAsia="宋体" w:cs="Arial"/>
          <w:b/>
          <w:bCs/>
          <w:color w:val="auto"/>
          <w:sz w:val="22"/>
          <w:szCs w:val="22"/>
          <w:highlight w:val="none"/>
          <w:u w:val="single"/>
          <w:lang w:eastAsia="zh-CN"/>
        </w:rPr>
        <w:t>量或者不能诚信履约的，将要求其在合理时间内在“政采云平台”上作出在线澄清并提供书面说明，必要时提交相关证明材料；投标人不能证明其报价合理性的，评标委员会应当将其作为无效投标处理。</w:t>
      </w:r>
    </w:p>
    <w:p w14:paraId="438FE40D">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如果投标人代表拒绝按评标委员会要求在“政采云平台”作出在线回复且无其他有效回复方式的，评标委员会可以对其作出否决投标处理。</w:t>
      </w:r>
    </w:p>
    <w:p w14:paraId="2D0579D7">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经澄清后，若偏差仍存在，且不可接受，则投标文件将被认定为“没有实质性响应招标文件要求”，按无效投标处理，不再进入下一步评审。</w:t>
      </w:r>
    </w:p>
    <w:p w14:paraId="6A3128E5">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评标原则和评标办法</w:t>
      </w:r>
    </w:p>
    <w:p w14:paraId="2C111AE9">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评标委员会成员应当按照客观、公正、审慎的原则，根据</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规定的评标程序、评标方法和评标标准进行独立评审。</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内容违反国家有关强制性规定的，评标委员会应当停止评标并向采购人或者采购代理机构说明情况。</w:t>
      </w:r>
    </w:p>
    <w:p w14:paraId="511DD41E">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3BF92ABB">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BE48CE4">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本项目评标办法是综合评分法，具体评标内容及评分标准等详见第</w:t>
      </w:r>
      <w:r>
        <w:rPr>
          <w:rFonts w:hint="eastAsia" w:ascii="宋体" w:hAnsi="宋体" w:eastAsia="宋体" w:cs="Arial"/>
          <w:color w:val="auto"/>
          <w:sz w:val="22"/>
          <w:szCs w:val="22"/>
          <w:highlight w:val="none"/>
          <w:lang w:val="en-US" w:eastAsia="zh-CN"/>
        </w:rPr>
        <w:t>三</w:t>
      </w:r>
      <w:r>
        <w:rPr>
          <w:rFonts w:hint="eastAsia" w:ascii="宋体" w:hAnsi="宋体" w:eastAsia="宋体" w:cs="Arial"/>
          <w:color w:val="auto"/>
          <w:sz w:val="22"/>
          <w:szCs w:val="22"/>
          <w:highlight w:val="none"/>
        </w:rPr>
        <w:t>部分“评标原则及方法”。</w:t>
      </w:r>
    </w:p>
    <w:p w14:paraId="37D857CC">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评标过程中遇到特殊情况，由评标委员会遵循公开、公正原则，采取投票方式按照少数服从多数原则决定。</w:t>
      </w:r>
    </w:p>
    <w:p w14:paraId="047844EC">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确定中标候选人</w:t>
      </w:r>
    </w:p>
    <w:p w14:paraId="2F2AB05B">
      <w:pPr>
        <w:numPr>
          <w:ilvl w:val="1"/>
          <w:numId w:val="34"/>
        </w:numPr>
        <w:tabs>
          <w:tab w:val="left" w:pos="360"/>
          <w:tab w:val="clear" w:pos="992"/>
        </w:tabs>
        <w:spacing w:line="460" w:lineRule="exact"/>
        <w:ind w:left="420" w:leftChars="0" w:hanging="420" w:firstLineChars="0"/>
        <w:rPr>
          <w:rFonts w:hint="eastAsia" w:ascii="宋体" w:hAnsi="宋体" w:eastAsia="宋体" w:cs="宋体"/>
          <w:color w:val="auto"/>
          <w:kern w:val="0"/>
          <w:sz w:val="22"/>
          <w:szCs w:val="22"/>
          <w:highlight w:val="none"/>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本次招标由评标委员会推荐中标候选人，采购人根据评标委员会的推荐结果进行最终确认。</w:t>
      </w:r>
    </w:p>
    <w:p w14:paraId="4C69D0D6">
      <w:pPr>
        <w:numPr>
          <w:ilvl w:val="1"/>
          <w:numId w:val="34"/>
        </w:numPr>
        <w:tabs>
          <w:tab w:val="left" w:pos="360"/>
          <w:tab w:val="clear" w:pos="992"/>
        </w:tabs>
        <w:spacing w:line="460" w:lineRule="exact"/>
        <w:ind w:left="420" w:leftChars="0" w:hanging="420" w:firstLineChars="0"/>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 xml:space="preserve"> 评标委员会依据法律、法规及招标文件有关规定在有效标中按投标人的综合得分（即技术资信分与商务分之和）由高到低进行排序，综合得分前二名的投标人推荐为第一和第二中标候选人。（综合得分相同的，按投标下浮率从高到低顺序排列。综合得分且投标下浮率均相同的，由评标委员会随机抽签决定排名顺序。）</w:t>
      </w:r>
    </w:p>
    <w:p w14:paraId="3C30FF60">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b/>
          <w:bCs/>
          <w:color w:val="auto"/>
          <w:sz w:val="22"/>
          <w:szCs w:val="22"/>
          <w:highlight w:val="none"/>
          <w:u w:val="single"/>
          <w:lang w:val="en-US" w:eastAsia="zh-CN"/>
        </w:rPr>
        <w:t xml:space="preserve"> </w:t>
      </w:r>
      <w:r>
        <w:rPr>
          <w:rFonts w:hint="eastAsia" w:ascii="宋体" w:hAnsi="宋体" w:eastAsia="宋体" w:cs="Arial"/>
          <w:b/>
          <w:bCs/>
          <w:color w:val="auto"/>
          <w:sz w:val="22"/>
          <w:szCs w:val="22"/>
          <w:highlight w:val="none"/>
          <w:u w:val="single"/>
          <w:lang w:eastAsia="zh-CN"/>
        </w:rPr>
        <w:t>若出现以下情形之一，采购人可视具体情况确定是否由备选中标人为中标人或重新组织招标：</w:t>
      </w:r>
    </w:p>
    <w:p w14:paraId="09760B3C">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14:paraId="464FB6F2">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14:paraId="019AD7FB">
      <w:pPr>
        <w:spacing w:line="460" w:lineRule="exact"/>
        <w:ind w:firstLine="418" w:firstLineChars="19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3）招标文件规定应当提交履约保证金而在规定的期限内未能提交的</w:t>
      </w:r>
      <w:r>
        <w:rPr>
          <w:rFonts w:hint="eastAsia" w:ascii="宋体" w:hAnsi="宋体" w:cs="宋体"/>
          <w:color w:val="auto"/>
          <w:kern w:val="0"/>
          <w:sz w:val="22"/>
          <w:szCs w:val="22"/>
          <w:highlight w:val="none"/>
          <w:lang w:eastAsia="zh-CN"/>
        </w:rPr>
        <w:t>；</w:t>
      </w:r>
    </w:p>
    <w:p w14:paraId="60F5A190">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中标候选人未能在规定时间内与采购单位签订合同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非采购人原因造成的</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14:paraId="73B3EBA0">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）经质疑，采购人审查后，中标候选人确实在本次采购活动中存在违法违规行为或其他原因使质疑成立的。</w:t>
      </w:r>
    </w:p>
    <w:p w14:paraId="0E80F8E0">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val="en-US" w:eastAsia="zh-CN"/>
        </w:rPr>
        <w:t xml:space="preserve"> </w:t>
      </w:r>
      <w:r>
        <w:rPr>
          <w:rFonts w:hint="eastAsia" w:ascii="宋体" w:hAnsi="宋体" w:eastAsia="宋体" w:cs="Arial"/>
          <w:color w:val="auto"/>
          <w:sz w:val="22"/>
          <w:szCs w:val="22"/>
          <w:highlight w:val="none"/>
          <w:lang w:eastAsia="zh-CN"/>
        </w:rPr>
        <w:t>采购人、采购代理机构及评标委员会对未中标的投标人不作解释。</w:t>
      </w:r>
    </w:p>
    <w:p w14:paraId="04CE5128">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可中止电子交易活动的情形</w:t>
      </w:r>
    </w:p>
    <w:p w14:paraId="59B43F73">
      <w:pPr>
        <w:numPr>
          <w:ilvl w:val="1"/>
          <w:numId w:val="35"/>
        </w:numPr>
        <w:tabs>
          <w:tab w:val="left" w:pos="640"/>
          <w:tab w:val="clear" w:pos="992"/>
        </w:tabs>
        <w:spacing w:line="460" w:lineRule="exact"/>
        <w:ind w:left="640" w:leftChars="0" w:hanging="567" w:firstLineChars="0"/>
        <w:rPr>
          <w:rFonts w:hint="eastAsia" w:ascii="宋体" w:hAnsi="宋体" w:eastAsia="宋体" w:cs="Arial"/>
          <w:b/>
          <w:bCs/>
          <w:color w:val="auto"/>
          <w:sz w:val="22"/>
          <w:szCs w:val="22"/>
          <w:highlight w:val="none"/>
          <w:lang w:eastAsia="zh-CN"/>
        </w:rPr>
      </w:pPr>
      <w:r>
        <w:rPr>
          <w:rFonts w:hint="eastAsia" w:ascii="宋体" w:hAnsi="宋体" w:eastAsia="宋体" w:cs="Arial"/>
          <w:b/>
          <w:bCs/>
          <w:color w:val="auto"/>
          <w:sz w:val="22"/>
          <w:szCs w:val="22"/>
          <w:highlight w:val="none"/>
          <w:lang w:eastAsia="zh-CN"/>
        </w:rPr>
        <w:t>采购过程中出现以下情形，导致电子交易平台无法正常运行，或者无法保证电子交易的公平、公正和安全时，采购组织机构可中止电子交易活动：</w:t>
      </w:r>
    </w:p>
    <w:p w14:paraId="4AFF359F">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14:paraId="193876CF">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14:paraId="21898966">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14:paraId="2928016B">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14:paraId="5C59395B">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14:paraId="17C19786">
      <w:pPr>
        <w:numPr>
          <w:ilvl w:val="1"/>
          <w:numId w:val="35"/>
        </w:numPr>
        <w:tabs>
          <w:tab w:val="left" w:pos="640"/>
          <w:tab w:val="clear" w:pos="992"/>
        </w:tabs>
        <w:spacing w:line="460" w:lineRule="exact"/>
        <w:ind w:left="640" w:leftChars="0" w:hanging="567" w:firstLineChars="0"/>
        <w:rPr>
          <w:rFonts w:hint="eastAsia" w:ascii="宋体" w:hAnsi="宋体" w:eastAsia="宋体" w:cs="Arial"/>
          <w:b w:val="0"/>
          <w:bCs w:val="0"/>
          <w:color w:val="auto"/>
          <w:sz w:val="22"/>
          <w:szCs w:val="22"/>
          <w:highlight w:val="none"/>
          <w:lang w:eastAsia="zh-CN"/>
        </w:rPr>
      </w:pPr>
      <w:r>
        <w:rPr>
          <w:rFonts w:hint="eastAsia" w:ascii="宋体" w:hAnsi="宋体" w:eastAsia="宋体" w:cs="Arial"/>
          <w:b w:val="0"/>
          <w:bCs w:val="0"/>
          <w:color w:val="auto"/>
          <w:sz w:val="22"/>
          <w:szCs w:val="22"/>
          <w:highlight w:val="none"/>
          <w:lang w:eastAsia="zh-CN"/>
        </w:rPr>
        <w:t>出现前款规定情形，不影响采购公平、公正性的，采购组织机构可以待上述情形消除后继续组织电子交易活动；影响或可能影响采购公平、公正性的，应当重新采购。</w:t>
      </w:r>
    </w:p>
    <w:p w14:paraId="1AF5D3E1">
      <w:pPr>
        <w:pStyle w:val="4"/>
        <w:numPr>
          <w:ilvl w:val="0"/>
          <w:numId w:val="0"/>
        </w:numPr>
        <w:bidi w:val="0"/>
        <w:ind w:left="420" w:leftChars="0"/>
        <w:jc w:val="center"/>
        <w:rPr>
          <w:rFonts w:hint="eastAsia" w:ascii="宋体" w:hAnsi="宋体" w:eastAsia="宋体" w:cs="Times New Roman"/>
          <w:b/>
          <w:bCs/>
          <w:color w:val="auto"/>
          <w:kern w:val="2"/>
          <w:sz w:val="26"/>
          <w:szCs w:val="26"/>
          <w:highlight w:val="none"/>
          <w:lang w:val="en-US" w:eastAsia="zh-CN" w:bidi="ar-SA"/>
        </w:rPr>
      </w:pPr>
      <w:bookmarkStart w:id="141" w:name="_Toc34508136"/>
      <w:bookmarkStart w:id="142" w:name="_Toc306613654"/>
      <w:bookmarkStart w:id="143" w:name="_Toc34221901"/>
      <w:bookmarkStart w:id="144" w:name="_Toc20457"/>
      <w:r>
        <w:rPr>
          <w:rFonts w:hint="eastAsia" w:ascii="宋体" w:hAnsi="宋体" w:eastAsia="宋体" w:cs="Times New Roman"/>
          <w:b/>
          <w:bCs/>
          <w:color w:val="auto"/>
          <w:kern w:val="2"/>
          <w:sz w:val="26"/>
          <w:szCs w:val="26"/>
          <w:highlight w:val="none"/>
          <w:lang w:val="en-US" w:eastAsia="zh-CN" w:bidi="ar-SA"/>
        </w:rPr>
        <w:t xml:space="preserve">八、 </w:t>
      </w:r>
      <w:bookmarkStart w:id="145" w:name="_Toc32607"/>
      <w:r>
        <w:rPr>
          <w:rFonts w:hint="eastAsia" w:ascii="宋体" w:hAnsi="宋体" w:eastAsia="宋体" w:cs="Times New Roman"/>
          <w:b/>
          <w:bCs/>
          <w:color w:val="auto"/>
          <w:kern w:val="2"/>
          <w:sz w:val="26"/>
          <w:szCs w:val="26"/>
          <w:highlight w:val="none"/>
          <w:lang w:val="en-US" w:eastAsia="zh-CN" w:bidi="ar-SA"/>
        </w:rPr>
        <w:t>授予合同</w:t>
      </w:r>
      <w:bookmarkEnd w:id="141"/>
      <w:bookmarkEnd w:id="142"/>
      <w:bookmarkEnd w:id="143"/>
      <w:bookmarkEnd w:id="144"/>
      <w:bookmarkEnd w:id="145"/>
    </w:p>
    <w:p w14:paraId="783C6531">
      <w:pPr>
        <w:numPr>
          <w:ilvl w:val="0"/>
          <w:numId w:val="3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确定中标人</w:t>
      </w:r>
    </w:p>
    <w:p w14:paraId="7ACD9952">
      <w:pPr>
        <w:numPr>
          <w:ilvl w:val="1"/>
          <w:numId w:val="3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采购人自收到评标报告之日起5个工作日内，在评标报告确定的中标候选人名单中按顺序确定中标人。</w:t>
      </w:r>
    </w:p>
    <w:p w14:paraId="0CD3573A">
      <w:pPr>
        <w:numPr>
          <w:ilvl w:val="1"/>
          <w:numId w:val="3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中标人确定之日起2个工作日内，在“政采云”平台上公示中标结果，中标公告期限为1个工作日；</w:t>
      </w:r>
    </w:p>
    <w:p w14:paraId="50DA8830">
      <w:pPr>
        <w:numPr>
          <w:ilvl w:val="1"/>
          <w:numId w:val="3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在公告中标结果的同时，采购人向中标人发出中标通知书。</w:t>
      </w:r>
    </w:p>
    <w:p w14:paraId="39010483">
      <w:pPr>
        <w:numPr>
          <w:ilvl w:val="1"/>
          <w:numId w:val="3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各投标人对评标结果如有异议，可在中标结果公示之日起7个工作日内以书面形式向采购人进行署名投诉或提出质疑，但需对投诉或质疑内容的真实性承担法律责任。</w:t>
      </w:r>
    </w:p>
    <w:p w14:paraId="31988642">
      <w:pPr>
        <w:numPr>
          <w:ilvl w:val="0"/>
          <w:numId w:val="3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签订合同</w:t>
      </w:r>
    </w:p>
    <w:p w14:paraId="56ACD616">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公示期结束后，</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须在5个工作日内主动联系采购人或采购机构领取中标通知书。</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应当在中标通知书发出之日起30日内与采购人签订合同。</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未经采购人许可，在规定时间内未到采购人处与采购人签订合同，则视为拒签合同。</w:t>
      </w:r>
    </w:p>
    <w:p w14:paraId="55E52355">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的投标文件及投标修改文件、评标过程中有关澄清文件及经双方签字的询标纪要（承诺）和中标通知书均作为合同附件。</w:t>
      </w:r>
    </w:p>
    <w:p w14:paraId="5E2B217F">
      <w:pPr>
        <w:numPr>
          <w:ilvl w:val="1"/>
          <w:numId w:val="3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中标投标人应在合同签订后五个工作日内提交一份合同文本扫描件报招标代理机构备案。</w:t>
      </w:r>
    </w:p>
    <w:p w14:paraId="2B077275">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在规定时间内（30日历天）借故否认已经承诺的条件、拒签合同，以投标违约处理，并赔偿采购人由此造成的直接经济损失。</w:t>
      </w:r>
    </w:p>
    <w:p w14:paraId="004D9632">
      <w:pPr>
        <w:numPr>
          <w:ilvl w:val="0"/>
          <w:numId w:val="37"/>
        </w:numPr>
        <w:tabs>
          <w:tab w:val="left" w:pos="540"/>
          <w:tab w:val="clear" w:pos="420"/>
        </w:tabs>
        <w:spacing w:line="460" w:lineRule="exact"/>
        <w:rPr>
          <w:rFonts w:hint="default" w:ascii="宋体" w:hAnsi="宋体" w:eastAsia="宋体" w:cs="Arial"/>
          <w:b/>
          <w:bCs w:val="0"/>
          <w:color w:val="auto"/>
          <w:sz w:val="22"/>
          <w:szCs w:val="22"/>
          <w:highlight w:val="none"/>
          <w:lang w:val="en-US" w:eastAsia="zh-CN"/>
        </w:rPr>
      </w:pPr>
      <w:r>
        <w:rPr>
          <w:rFonts w:hint="eastAsia" w:ascii="宋体" w:hAnsi="宋体" w:eastAsia="宋体" w:cs="Arial"/>
          <w:b/>
          <w:bCs w:val="0"/>
          <w:color w:val="auto"/>
          <w:sz w:val="22"/>
          <w:szCs w:val="22"/>
          <w:highlight w:val="none"/>
          <w:lang w:val="en-US" w:eastAsia="zh-CN"/>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eastAsia="宋体" w:cs="宋体"/>
          <w:b/>
          <w:bCs w:val="0"/>
          <w:color w:val="auto"/>
          <w:kern w:val="0"/>
          <w:sz w:val="22"/>
          <w:szCs w:val="22"/>
          <w:highlight w:val="none"/>
        </w:rPr>
        <w:t>违法违规行为或其他原因</w:t>
      </w:r>
      <w:r>
        <w:rPr>
          <w:rFonts w:hint="eastAsia" w:ascii="宋体" w:hAnsi="宋体" w:eastAsia="宋体" w:cs="宋体"/>
          <w:b/>
          <w:bCs w:val="0"/>
          <w:color w:val="auto"/>
          <w:kern w:val="0"/>
          <w:sz w:val="22"/>
          <w:szCs w:val="22"/>
          <w:highlight w:val="none"/>
          <w:lang w:val="en-US" w:eastAsia="zh-CN"/>
        </w:rPr>
        <w:t>取消</w:t>
      </w:r>
      <w:r>
        <w:rPr>
          <w:rFonts w:hint="eastAsia" w:ascii="宋体" w:hAnsi="宋体" w:eastAsia="宋体" w:cs="Arial"/>
          <w:b/>
          <w:bCs w:val="0"/>
          <w:color w:val="auto"/>
          <w:sz w:val="22"/>
          <w:szCs w:val="22"/>
          <w:highlight w:val="none"/>
          <w:lang w:val="en-US" w:eastAsia="zh-CN"/>
        </w:rPr>
        <w:t>中标（成交）资格，或自愿放弃中标（成交）资格的供应商，需承担代理费和专家评审费等费用。</w:t>
      </w:r>
    </w:p>
    <w:p w14:paraId="00F8F8B4">
      <w:pPr>
        <w:pStyle w:val="4"/>
        <w:numPr>
          <w:ilvl w:val="0"/>
          <w:numId w:val="0"/>
        </w:numPr>
        <w:bidi w:val="0"/>
        <w:ind w:left="420" w:leftChars="0"/>
        <w:jc w:val="center"/>
        <w:rPr>
          <w:rFonts w:hint="eastAsia" w:ascii="宋体" w:hAnsi="宋体" w:eastAsia="宋体" w:cs="Times New Roman"/>
          <w:b/>
          <w:bCs/>
          <w:color w:val="auto"/>
          <w:kern w:val="2"/>
          <w:sz w:val="26"/>
          <w:szCs w:val="26"/>
          <w:highlight w:val="none"/>
          <w:lang w:val="en-US" w:eastAsia="zh-CN" w:bidi="ar-SA"/>
        </w:rPr>
      </w:pPr>
      <w:bookmarkStart w:id="146" w:name="_Toc18423"/>
      <w:bookmarkStart w:id="147" w:name="_Toc25540"/>
      <w:r>
        <w:rPr>
          <w:rFonts w:hint="eastAsia" w:ascii="宋体" w:hAnsi="宋体" w:eastAsia="宋体" w:cs="Times New Roman"/>
          <w:b/>
          <w:bCs/>
          <w:color w:val="auto"/>
          <w:kern w:val="2"/>
          <w:sz w:val="26"/>
          <w:szCs w:val="26"/>
          <w:highlight w:val="none"/>
          <w:lang w:val="en-US" w:eastAsia="zh-CN" w:bidi="ar-SA"/>
        </w:rPr>
        <w:t>九、验收</w:t>
      </w:r>
      <w:bookmarkEnd w:id="146"/>
      <w:bookmarkEnd w:id="147"/>
    </w:p>
    <w:p w14:paraId="3C81AFD1">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0E9141">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14:paraId="1D4E1348">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10D9B0B">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7EB5CC">
      <w:pPr>
        <w:numPr>
          <w:ilvl w:val="0"/>
          <w:numId w:val="40"/>
        </w:numPr>
        <w:tabs>
          <w:tab w:val="left" w:pos="540"/>
          <w:tab w:val="clear" w:pos="420"/>
        </w:tabs>
        <w:spacing w:line="460" w:lineRule="exact"/>
        <w:rPr>
          <w:rFonts w:hint="eastAsia" w:ascii="宋体" w:hAnsi="宋体" w:eastAsia="宋体" w:cs="Arial"/>
          <w:b/>
          <w:bCs w:val="0"/>
          <w:color w:val="auto"/>
          <w:sz w:val="22"/>
          <w:szCs w:val="22"/>
          <w:highlight w:val="none"/>
          <w:lang w:val="en-US" w:eastAsia="zh-CN"/>
        </w:rPr>
      </w:pPr>
      <w:bookmarkStart w:id="148" w:name="_Hlt68072998"/>
      <w:bookmarkEnd w:id="148"/>
      <w:bookmarkStart w:id="149" w:name="_Hlt75236101"/>
      <w:bookmarkEnd w:id="149"/>
      <w:bookmarkStart w:id="150" w:name="_Hlt75236011"/>
      <w:bookmarkEnd w:id="150"/>
      <w:bookmarkStart w:id="151" w:name="_Hlt68073093"/>
      <w:bookmarkEnd w:id="151"/>
      <w:bookmarkStart w:id="152" w:name="_Hlt68057669"/>
      <w:bookmarkEnd w:id="152"/>
      <w:bookmarkStart w:id="153" w:name="_Hlt74729768"/>
      <w:bookmarkEnd w:id="153"/>
      <w:bookmarkStart w:id="154" w:name="_Hlt68403820"/>
      <w:bookmarkEnd w:id="154"/>
      <w:bookmarkStart w:id="155" w:name="_Hlt74714665"/>
      <w:bookmarkEnd w:id="155"/>
      <w:bookmarkStart w:id="156" w:name="_Hlt74730295"/>
      <w:bookmarkEnd w:id="156"/>
      <w:bookmarkStart w:id="157" w:name="_Hlt75236290"/>
      <w:bookmarkEnd w:id="157"/>
      <w:bookmarkStart w:id="158" w:name="_Hlt74707468"/>
      <w:bookmarkEnd w:id="158"/>
      <w:bookmarkStart w:id="159" w:name="_Hlt68072990"/>
      <w:bookmarkEnd w:id="159"/>
      <w:r>
        <w:rPr>
          <w:rFonts w:hint="eastAsia" w:ascii="宋体" w:hAnsi="宋体" w:eastAsia="宋体" w:cs="Arial"/>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14:paraId="6EF6DE1B">
      <w:pPr>
        <w:widowControl/>
        <w:spacing w:before="60" w:after="60" w:line="400" w:lineRule="exact"/>
        <w:ind w:left="0" w:leftChars="0" w:right="0" w:firstLine="0" w:firstLineChars="0"/>
        <w:jc w:val="center"/>
        <w:rPr>
          <w:rStyle w:val="79"/>
          <w:rFonts w:hint="eastAsia" w:ascii="宋体" w:hAnsi="宋体" w:eastAsia="宋体" w:cs="宋体"/>
          <w:color w:val="auto"/>
          <w:sz w:val="36"/>
          <w:szCs w:val="36"/>
          <w:highlight w:val="none"/>
          <w:lang w:val="en-US" w:eastAsia="zh-CN"/>
        </w:rPr>
      </w:pPr>
      <w:r>
        <w:rPr>
          <w:rFonts w:hint="eastAsia" w:ascii="宋体" w:hAnsi="宋体"/>
          <w:color w:val="auto"/>
          <w:sz w:val="22"/>
          <w:szCs w:val="22"/>
          <w:highlight w:val="none"/>
        </w:rPr>
        <w:br w:type="page"/>
      </w:r>
      <w:bookmarkStart w:id="160" w:name="_Toc262049421"/>
      <w:bookmarkStart w:id="161" w:name="_Toc223716001"/>
      <w:bookmarkStart w:id="162" w:name="_Toc246261268"/>
      <w:bookmarkStart w:id="163" w:name="_Toc262105506"/>
      <w:bookmarkStart w:id="164" w:name="_Toc222114882"/>
      <w:bookmarkStart w:id="165" w:name="_Toc31884"/>
      <w:bookmarkStart w:id="166" w:name="_Toc221374629"/>
      <w:bookmarkStart w:id="167" w:name="_Toc241404205"/>
      <w:bookmarkStart w:id="168" w:name="_Toc221356890"/>
      <w:bookmarkStart w:id="169" w:name="_Toc245722284"/>
      <w:bookmarkStart w:id="170" w:name="_Toc239145357"/>
      <w:bookmarkStart w:id="171" w:name="_Toc249758715"/>
      <w:bookmarkStart w:id="172" w:name="_Toc221423622"/>
      <w:bookmarkStart w:id="173" w:name="_Toc221356954"/>
      <w:bookmarkStart w:id="174" w:name="_Toc245191317"/>
      <w:bookmarkStart w:id="175" w:name="_Toc249758867"/>
      <w:r>
        <w:rPr>
          <w:rStyle w:val="79"/>
          <w:rFonts w:hint="eastAsia" w:ascii="宋体" w:hAnsi="宋体" w:eastAsia="宋体" w:cs="宋体"/>
          <w:color w:val="auto"/>
          <w:sz w:val="36"/>
          <w:szCs w:val="36"/>
          <w:highlight w:val="none"/>
          <w:lang w:val="en-US" w:eastAsia="zh-CN"/>
        </w:rPr>
        <w:t>第二部分   招标内容及要求</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3647E0E8">
      <w:pPr>
        <w:rPr>
          <w:rFonts w:hint="eastAsia"/>
          <w:color w:val="auto"/>
          <w:highlight w:val="none"/>
        </w:rPr>
      </w:pPr>
      <w:bookmarkStart w:id="176" w:name="_Toc249758718"/>
      <w:bookmarkStart w:id="177" w:name="_Toc241404207"/>
      <w:bookmarkStart w:id="178" w:name="_Toc245722286"/>
      <w:bookmarkStart w:id="179" w:name="_Toc222114884"/>
      <w:bookmarkStart w:id="180" w:name="_Toc223716003"/>
      <w:bookmarkStart w:id="181" w:name="_Toc239145359"/>
      <w:bookmarkStart w:id="182" w:name="_Toc249758719"/>
      <w:bookmarkStart w:id="183" w:name="_Toc262049424"/>
      <w:bookmarkStart w:id="184" w:name="_Toc262105509"/>
      <w:bookmarkStart w:id="185" w:name="_Toc245191319"/>
      <w:bookmarkStart w:id="186" w:name="_Toc221356892"/>
      <w:bookmarkStart w:id="187" w:name="_Toc246261270"/>
      <w:bookmarkStart w:id="188" w:name="_Toc221423624"/>
      <w:bookmarkStart w:id="189" w:name="_Toc221356956"/>
      <w:bookmarkStart w:id="190" w:name="_Toc249758870"/>
      <w:bookmarkStart w:id="191" w:name="_Toc221374631"/>
      <w:bookmarkStart w:id="192" w:name="_Toc190"/>
    </w:p>
    <w:p w14:paraId="2EBECE87">
      <w:pPr>
        <w:keepNext w:val="0"/>
        <w:keepLines w:val="0"/>
        <w:pageBreakBefore w:val="0"/>
        <w:widowControl/>
        <w:kinsoku/>
        <w:wordWrap/>
        <w:overflowPunct/>
        <w:topLinePunct w:val="0"/>
        <w:autoSpaceDE w:val="0"/>
        <w:autoSpaceDN w:val="0"/>
        <w:bidi w:val="0"/>
        <w:adjustRightInd w:val="0"/>
        <w:snapToGrid/>
        <w:spacing w:line="360" w:lineRule="auto"/>
        <w:ind w:left="0" w:leftChars="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一、采购范围</w:t>
      </w:r>
    </w:p>
    <w:p w14:paraId="26CF92E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采购范围：</w:t>
      </w:r>
      <w:r>
        <w:rPr>
          <w:rFonts w:hint="eastAsia" w:ascii="宋体" w:hAnsi="宋体" w:eastAsia="宋体" w:cs="宋体"/>
          <w:b w:val="0"/>
          <w:bCs w:val="0"/>
          <w:color w:val="auto"/>
          <w:sz w:val="22"/>
          <w:szCs w:val="22"/>
          <w:highlight w:val="none"/>
          <w:lang w:eastAsia="zh-CN"/>
        </w:rPr>
        <w:t>鹿城区范围内城市道路、桥梁及背街小巷等日常巡查、维修与养护</w:t>
      </w:r>
      <w:r>
        <w:rPr>
          <w:rFonts w:hint="eastAsia" w:ascii="宋体" w:hAnsi="宋体" w:eastAsia="宋体" w:cs="宋体"/>
          <w:b w:val="0"/>
          <w:bCs w:val="0"/>
          <w:color w:val="auto"/>
          <w:sz w:val="22"/>
          <w:szCs w:val="22"/>
          <w:highlight w:val="none"/>
        </w:rPr>
        <w:t>。采购预算：总计约</w:t>
      </w:r>
      <w:r>
        <w:rPr>
          <w:rFonts w:hint="eastAsia" w:ascii="宋体" w:hAnsi="宋体" w:cs="宋体"/>
          <w:b w:val="0"/>
          <w:bCs w:val="0"/>
          <w:color w:val="auto"/>
          <w:sz w:val="22"/>
          <w:szCs w:val="22"/>
          <w:highlight w:val="none"/>
          <w:lang w:val="en-US" w:eastAsia="zh-CN"/>
        </w:rPr>
        <w:t>500</w:t>
      </w:r>
      <w:r>
        <w:rPr>
          <w:rFonts w:hint="eastAsia" w:ascii="宋体" w:hAnsi="宋体" w:eastAsia="宋体" w:cs="宋体"/>
          <w:b w:val="0"/>
          <w:bCs w:val="0"/>
          <w:color w:val="auto"/>
          <w:sz w:val="22"/>
          <w:szCs w:val="22"/>
          <w:highlight w:val="none"/>
        </w:rPr>
        <w:t>万元</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服务期限1</w:t>
      </w:r>
      <w:r>
        <w:rPr>
          <w:rFonts w:hint="eastAsia" w:ascii="宋体" w:hAnsi="宋体" w:eastAsia="宋体" w:cs="宋体"/>
          <w:b w:val="0"/>
          <w:bCs w:val="0"/>
          <w:color w:val="auto"/>
          <w:sz w:val="22"/>
          <w:szCs w:val="22"/>
          <w:highlight w:val="none"/>
          <w:lang w:val="en-US" w:eastAsia="zh-CN"/>
        </w:rPr>
        <w:t>年</w:t>
      </w:r>
      <w:r>
        <w:rPr>
          <w:rFonts w:hint="eastAsia" w:ascii="宋体" w:hAnsi="宋体" w:eastAsia="宋体" w:cs="宋体"/>
          <w:b w:val="0"/>
          <w:color w:val="auto"/>
          <w:sz w:val="22"/>
          <w:szCs w:val="22"/>
          <w:highlight w:val="none"/>
        </w:rPr>
        <w:t>。</w:t>
      </w:r>
    </w:p>
    <w:p w14:paraId="17F9D1CA">
      <w:pPr>
        <w:keepNext w:val="0"/>
        <w:keepLines w:val="0"/>
        <w:pageBreakBefore w:val="0"/>
        <w:widowControl/>
        <w:kinsoku/>
        <w:wordWrap/>
        <w:overflowPunct/>
        <w:topLinePunct w:val="0"/>
        <w:autoSpaceDE w:val="0"/>
        <w:autoSpaceDN w:val="0"/>
        <w:bidi w:val="0"/>
        <w:adjustRightInd w:val="0"/>
        <w:snapToGrid/>
        <w:spacing w:line="360" w:lineRule="auto"/>
        <w:ind w:left="0" w:leftChars="0"/>
        <w:textAlignment w:val="bottom"/>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rPr>
        <w:t>二、承包内容</w:t>
      </w:r>
    </w:p>
    <w:p w14:paraId="473C369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2.1</w:t>
      </w:r>
      <w:r>
        <w:rPr>
          <w:rFonts w:hint="eastAsia" w:ascii="宋体" w:hAnsi="宋体" w:cs="宋体"/>
          <w:b w:val="0"/>
          <w:color w:val="auto"/>
          <w:sz w:val="22"/>
          <w:szCs w:val="22"/>
          <w:highlight w:val="none"/>
          <w:lang w:eastAsia="zh-CN"/>
        </w:rPr>
        <w:t>、</w:t>
      </w:r>
      <w:r>
        <w:rPr>
          <w:rFonts w:hint="default" w:ascii="宋体" w:hAnsi="宋体" w:eastAsia="宋体" w:cs="宋体"/>
          <w:b w:val="0"/>
          <w:color w:val="auto"/>
          <w:sz w:val="22"/>
          <w:szCs w:val="22"/>
          <w:highlight w:val="none"/>
          <w:lang w:val="en-US"/>
        </w:rPr>
        <w:t>维修与养护</w:t>
      </w:r>
      <w:r>
        <w:rPr>
          <w:rFonts w:hint="eastAsia" w:ascii="宋体" w:hAnsi="宋体" w:eastAsia="宋体" w:cs="宋体"/>
          <w:b w:val="0"/>
          <w:color w:val="auto"/>
          <w:sz w:val="22"/>
          <w:szCs w:val="22"/>
          <w:highlight w:val="none"/>
        </w:rPr>
        <w:t>单位组成</w:t>
      </w:r>
    </w:p>
    <w:p w14:paraId="7B21019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本次采购将按照采购招标文件规定的评定标准选取相应</w:t>
      </w:r>
      <w:r>
        <w:rPr>
          <w:rFonts w:hint="eastAsia" w:ascii="宋体" w:hAnsi="宋体" w:cs="宋体"/>
          <w:b w:val="0"/>
          <w:color w:val="auto"/>
          <w:sz w:val="22"/>
          <w:szCs w:val="22"/>
          <w:highlight w:val="none"/>
          <w:lang w:eastAsia="zh-CN"/>
        </w:rPr>
        <w:t>标项</w:t>
      </w:r>
      <w:r>
        <w:rPr>
          <w:rFonts w:hint="eastAsia" w:ascii="宋体" w:hAnsi="宋体" w:eastAsia="宋体" w:cs="宋体"/>
          <w:b w:val="0"/>
          <w:color w:val="auto"/>
          <w:sz w:val="22"/>
          <w:szCs w:val="22"/>
          <w:highlight w:val="none"/>
        </w:rPr>
        <w:t>的投标供应商作为鹿城区市政公用管理处市政设施日常维修养护</w:t>
      </w:r>
      <w:r>
        <w:rPr>
          <w:rFonts w:hint="eastAsia" w:ascii="宋体" w:hAnsi="宋体" w:eastAsia="宋体" w:cs="宋体"/>
          <w:b w:val="0"/>
          <w:color w:val="auto"/>
          <w:sz w:val="22"/>
          <w:szCs w:val="22"/>
          <w:highlight w:val="none"/>
          <w:lang w:val="en-US" w:eastAsia="zh-CN"/>
        </w:rPr>
        <w:t>补充</w:t>
      </w:r>
      <w:r>
        <w:rPr>
          <w:rFonts w:hint="eastAsia" w:ascii="宋体" w:hAnsi="宋体" w:eastAsia="宋体" w:cs="宋体"/>
          <w:b w:val="0"/>
          <w:color w:val="auto"/>
          <w:sz w:val="22"/>
          <w:szCs w:val="22"/>
          <w:highlight w:val="none"/>
        </w:rPr>
        <w:t>单位，期限</w:t>
      </w:r>
      <w:r>
        <w:rPr>
          <w:rFonts w:hint="eastAsia" w:ascii="宋体" w:hAnsi="宋体" w:cs="宋体"/>
          <w:b w:val="0"/>
          <w:color w:val="auto"/>
          <w:sz w:val="22"/>
          <w:szCs w:val="22"/>
          <w:highlight w:val="none"/>
          <w:lang w:val="en-US" w:eastAsia="zh-CN"/>
        </w:rPr>
        <w:t>壹</w:t>
      </w:r>
      <w:r>
        <w:rPr>
          <w:rFonts w:hint="eastAsia" w:ascii="宋体" w:hAnsi="宋体" w:eastAsia="宋体" w:cs="宋体"/>
          <w:b w:val="0"/>
          <w:color w:val="auto"/>
          <w:sz w:val="22"/>
          <w:szCs w:val="22"/>
          <w:highlight w:val="none"/>
        </w:rPr>
        <w:t>年；经有关部门批准的</w:t>
      </w:r>
      <w:r>
        <w:rPr>
          <w:rFonts w:hint="eastAsia" w:ascii="宋体" w:hAnsi="宋体" w:eastAsia="宋体" w:cs="宋体"/>
          <w:b w:val="0"/>
          <w:color w:val="auto"/>
          <w:sz w:val="22"/>
          <w:szCs w:val="22"/>
          <w:highlight w:val="none"/>
          <w:lang w:val="en-US" w:eastAsia="zh-CN"/>
        </w:rPr>
        <w:t>单位</w:t>
      </w:r>
      <w:r>
        <w:rPr>
          <w:rFonts w:hint="eastAsia" w:ascii="宋体" w:hAnsi="宋体" w:eastAsia="宋体" w:cs="宋体"/>
          <w:b w:val="0"/>
          <w:color w:val="auto"/>
          <w:sz w:val="22"/>
          <w:szCs w:val="22"/>
          <w:highlight w:val="none"/>
        </w:rPr>
        <w:t>直接参与鹿城区市政公用管理处本次</w:t>
      </w:r>
      <w:r>
        <w:rPr>
          <w:rFonts w:hint="eastAsia" w:ascii="宋体" w:hAnsi="宋体" w:cs="宋体"/>
          <w:b w:val="0"/>
          <w:color w:val="auto"/>
          <w:sz w:val="22"/>
          <w:szCs w:val="22"/>
          <w:highlight w:val="none"/>
          <w:lang w:eastAsia="zh-CN"/>
        </w:rPr>
        <w:t>标项</w:t>
      </w:r>
      <w:r>
        <w:rPr>
          <w:rFonts w:hint="eastAsia" w:ascii="宋体" w:hAnsi="宋体" w:eastAsia="宋体" w:cs="宋体"/>
          <w:b w:val="0"/>
          <w:color w:val="auto"/>
          <w:sz w:val="22"/>
          <w:szCs w:val="22"/>
          <w:highlight w:val="none"/>
        </w:rPr>
        <w:t>的市政设施日常维修养护。</w:t>
      </w:r>
    </w:p>
    <w:p w14:paraId="31D3C47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w:t>
      </w:r>
      <w:r>
        <w:rPr>
          <w:rFonts w:hint="eastAsia" w:ascii="宋体" w:hAnsi="宋体" w:cs="宋体"/>
          <w:b w:val="0"/>
          <w:color w:val="auto"/>
          <w:sz w:val="22"/>
          <w:szCs w:val="22"/>
          <w:highlight w:val="none"/>
          <w:lang w:eastAsia="zh-CN"/>
        </w:rPr>
        <w:t>、</w:t>
      </w:r>
      <w:r>
        <w:rPr>
          <w:rFonts w:hint="eastAsia" w:ascii="宋体" w:hAnsi="宋体" w:eastAsia="宋体" w:cs="宋体"/>
          <w:b w:val="0"/>
          <w:color w:val="auto"/>
          <w:sz w:val="22"/>
          <w:szCs w:val="22"/>
          <w:highlight w:val="none"/>
        </w:rPr>
        <w:t>维修与养护任务分配</w:t>
      </w:r>
    </w:p>
    <w:p w14:paraId="0259147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2.2.1日常</w:t>
      </w:r>
      <w:r>
        <w:rPr>
          <w:rFonts w:hint="eastAsia" w:ascii="宋体" w:hAnsi="宋体" w:eastAsia="宋体" w:cs="宋体"/>
          <w:b w:val="0"/>
          <w:color w:val="auto"/>
          <w:sz w:val="22"/>
          <w:szCs w:val="22"/>
          <w:highlight w:val="none"/>
          <w:lang w:eastAsia="zh-CN"/>
        </w:rPr>
        <w:t>巡查、</w:t>
      </w:r>
      <w:r>
        <w:rPr>
          <w:rFonts w:hint="eastAsia" w:ascii="宋体" w:hAnsi="宋体" w:eastAsia="宋体" w:cs="宋体"/>
          <w:b w:val="0"/>
          <w:color w:val="auto"/>
          <w:sz w:val="22"/>
          <w:szCs w:val="22"/>
          <w:highlight w:val="none"/>
        </w:rPr>
        <w:t>维修与养护内容为</w:t>
      </w:r>
      <w:r>
        <w:rPr>
          <w:rFonts w:hint="eastAsia" w:ascii="宋体" w:hAnsi="宋体" w:eastAsia="宋体" w:cs="宋体"/>
          <w:b w:val="0"/>
          <w:bCs w:val="0"/>
          <w:color w:val="auto"/>
          <w:sz w:val="22"/>
          <w:szCs w:val="22"/>
          <w:highlight w:val="none"/>
          <w:lang w:eastAsia="zh-CN"/>
        </w:rPr>
        <w:t>鹿城区范围内城市道路、桥梁及背街小巷等日常巡查、维修与养护</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沥青类项目除外</w:t>
      </w:r>
      <w:r>
        <w:rPr>
          <w:rFonts w:hint="eastAsia" w:ascii="宋体" w:hAnsi="宋体" w:cs="宋体"/>
          <w:b w:val="0"/>
          <w:bCs w:val="0"/>
          <w:color w:val="auto"/>
          <w:sz w:val="22"/>
          <w:szCs w:val="22"/>
          <w:highlight w:val="none"/>
          <w:lang w:eastAsia="zh-CN"/>
        </w:rPr>
        <w:t>）</w:t>
      </w:r>
      <w:r>
        <w:rPr>
          <w:rFonts w:hint="eastAsia" w:ascii="宋体" w:hAnsi="宋体" w:eastAsia="宋体" w:cs="宋体"/>
          <w:b w:val="0"/>
          <w:color w:val="auto"/>
          <w:sz w:val="22"/>
          <w:szCs w:val="22"/>
          <w:highlight w:val="none"/>
        </w:rPr>
        <w:t>；</w:t>
      </w:r>
    </w:p>
    <w:p w14:paraId="0B562819">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2.2.2根据上级部门相关文件精神，维修与养护任务</w:t>
      </w:r>
      <w:r>
        <w:rPr>
          <w:rFonts w:hint="eastAsia" w:ascii="宋体" w:hAnsi="宋体" w:eastAsia="宋体" w:cs="宋体"/>
          <w:b w:val="0"/>
          <w:color w:val="auto"/>
          <w:sz w:val="22"/>
          <w:szCs w:val="22"/>
          <w:highlight w:val="none"/>
          <w:lang w:val="en-US" w:eastAsia="zh-CN"/>
        </w:rPr>
        <w:t>以</w:t>
      </w:r>
      <w:r>
        <w:rPr>
          <w:rFonts w:hint="eastAsia" w:ascii="宋体" w:hAnsi="宋体" w:eastAsia="宋体" w:cs="宋体"/>
          <w:b w:val="0"/>
          <w:color w:val="auto"/>
          <w:sz w:val="22"/>
          <w:szCs w:val="22"/>
          <w:highlight w:val="none"/>
        </w:rPr>
        <w:t>上级部门相关文件安排</w:t>
      </w:r>
      <w:r>
        <w:rPr>
          <w:rFonts w:hint="eastAsia" w:ascii="宋体" w:hAnsi="宋体" w:eastAsia="宋体" w:cs="宋体"/>
          <w:b w:val="0"/>
          <w:color w:val="auto"/>
          <w:sz w:val="22"/>
          <w:szCs w:val="22"/>
          <w:highlight w:val="none"/>
          <w:lang w:val="en-US" w:eastAsia="zh-CN"/>
        </w:rPr>
        <w:t>单位</w:t>
      </w:r>
      <w:r>
        <w:rPr>
          <w:rFonts w:hint="eastAsia" w:ascii="宋体" w:hAnsi="宋体" w:eastAsia="宋体" w:cs="宋体"/>
          <w:b w:val="0"/>
          <w:color w:val="auto"/>
          <w:sz w:val="22"/>
          <w:szCs w:val="22"/>
          <w:highlight w:val="none"/>
        </w:rPr>
        <w:t>为主，本次</w:t>
      </w:r>
      <w:r>
        <w:rPr>
          <w:rFonts w:hint="eastAsia" w:ascii="宋体" w:hAnsi="宋体" w:cs="宋体"/>
          <w:b w:val="0"/>
          <w:color w:val="auto"/>
          <w:sz w:val="22"/>
          <w:szCs w:val="22"/>
          <w:highlight w:val="none"/>
          <w:lang w:eastAsia="zh-CN"/>
        </w:rPr>
        <w:t>标项</w:t>
      </w:r>
      <w:r>
        <w:rPr>
          <w:rFonts w:hint="eastAsia" w:ascii="宋体" w:hAnsi="宋体" w:eastAsia="宋体" w:cs="宋体"/>
          <w:b w:val="0"/>
          <w:color w:val="auto"/>
          <w:sz w:val="22"/>
          <w:szCs w:val="22"/>
          <w:highlight w:val="none"/>
        </w:rPr>
        <w:t>采购中标的</w:t>
      </w:r>
      <w:r>
        <w:rPr>
          <w:rFonts w:hint="eastAsia" w:ascii="宋体" w:hAnsi="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家单位</w:t>
      </w:r>
      <w:r>
        <w:rPr>
          <w:rFonts w:hint="eastAsia" w:ascii="宋体" w:hAnsi="宋体" w:eastAsia="宋体" w:cs="宋体"/>
          <w:b w:val="0"/>
          <w:bCs w:val="0"/>
          <w:color w:val="auto"/>
          <w:sz w:val="22"/>
          <w:szCs w:val="22"/>
          <w:highlight w:val="none"/>
        </w:rPr>
        <w:t>原则</w:t>
      </w:r>
      <w:r>
        <w:rPr>
          <w:rFonts w:hint="eastAsia" w:ascii="宋体" w:hAnsi="宋体" w:eastAsia="宋体" w:cs="宋体"/>
          <w:b w:val="0"/>
          <w:color w:val="auto"/>
          <w:sz w:val="22"/>
          <w:szCs w:val="22"/>
          <w:highlight w:val="none"/>
        </w:rPr>
        <w:t>作为上述单位在该</w:t>
      </w:r>
      <w:r>
        <w:rPr>
          <w:rFonts w:hint="eastAsia" w:ascii="宋体" w:hAnsi="宋体" w:cs="宋体"/>
          <w:b w:val="0"/>
          <w:color w:val="auto"/>
          <w:sz w:val="22"/>
          <w:szCs w:val="22"/>
          <w:highlight w:val="none"/>
          <w:lang w:eastAsia="zh-CN"/>
        </w:rPr>
        <w:t>标项</w:t>
      </w:r>
      <w:r>
        <w:rPr>
          <w:rFonts w:hint="eastAsia" w:ascii="宋体" w:hAnsi="宋体" w:eastAsia="宋体" w:cs="宋体"/>
          <w:b w:val="0"/>
          <w:color w:val="auto"/>
          <w:sz w:val="22"/>
          <w:szCs w:val="22"/>
          <w:highlight w:val="none"/>
        </w:rPr>
        <w:t>相应的补充</w:t>
      </w:r>
      <w:r>
        <w:rPr>
          <w:rFonts w:hint="eastAsia" w:ascii="宋体" w:hAnsi="宋体" w:cs="宋体"/>
          <w:b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最终采购发生额视实际需要而定</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本次招标</w:t>
      </w:r>
      <w:r>
        <w:rPr>
          <w:rFonts w:hint="eastAsia" w:ascii="宋体" w:hAnsi="宋体" w:cs="宋体"/>
          <w:b w:val="0"/>
          <w:bCs w:val="0"/>
          <w:color w:val="auto"/>
          <w:sz w:val="22"/>
          <w:szCs w:val="22"/>
          <w:highlight w:val="none"/>
          <w:lang w:eastAsia="zh-CN"/>
        </w:rPr>
        <w:t>标项</w:t>
      </w:r>
      <w:r>
        <w:rPr>
          <w:rFonts w:hint="eastAsia" w:ascii="宋体" w:hAnsi="宋体" w:eastAsia="宋体" w:cs="宋体"/>
          <w:b w:val="0"/>
          <w:bCs w:val="0"/>
          <w:color w:val="auto"/>
          <w:sz w:val="22"/>
          <w:szCs w:val="22"/>
          <w:highlight w:val="none"/>
          <w:lang w:eastAsia="zh-CN"/>
        </w:rPr>
        <w:t>为</w:t>
      </w:r>
      <w:r>
        <w:rPr>
          <w:rFonts w:hint="eastAsia" w:ascii="宋体" w:hAnsi="宋体" w:cs="宋体"/>
          <w:color w:val="auto"/>
          <w:kern w:val="0"/>
          <w:sz w:val="22"/>
          <w:szCs w:val="22"/>
          <w:highlight w:val="none"/>
          <w:lang w:val="en-US" w:eastAsia="zh-CN"/>
        </w:rPr>
        <w:t>西片（</w:t>
      </w:r>
      <w:r>
        <w:rPr>
          <w:rFonts w:hint="eastAsia" w:ascii="宋体" w:hAnsi="宋体" w:cs="宋体"/>
          <w:color w:val="auto"/>
          <w:kern w:val="0"/>
          <w:sz w:val="22"/>
          <w:szCs w:val="22"/>
          <w:highlight w:val="none"/>
        </w:rPr>
        <w:t>仰义、丰门、双屿、广化、南郊、松台街道辖区（信河街归属该</w:t>
      </w:r>
      <w:r>
        <w:rPr>
          <w:rFonts w:hint="eastAsia" w:ascii="宋体" w:hAnsi="宋体" w:cs="宋体"/>
          <w:color w:val="auto"/>
          <w:kern w:val="0"/>
          <w:sz w:val="22"/>
          <w:szCs w:val="22"/>
          <w:highlight w:val="none"/>
          <w:lang w:eastAsia="zh-CN"/>
        </w:rPr>
        <w:t>标项</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w:t>
      </w:r>
      <w:r>
        <w:rPr>
          <w:rFonts w:hint="eastAsia" w:ascii="宋体" w:hAnsi="宋体" w:eastAsia="宋体" w:cs="宋体"/>
          <w:b w:val="0"/>
          <w:bCs w:val="0"/>
          <w:color w:val="auto"/>
          <w:sz w:val="22"/>
          <w:szCs w:val="22"/>
          <w:highlight w:val="none"/>
        </w:rPr>
        <w:t>；风险由投标人在报价中综合考虑。</w:t>
      </w:r>
    </w:p>
    <w:p w14:paraId="35156447">
      <w:pPr>
        <w:pStyle w:val="27"/>
        <w:keepNext w:val="0"/>
        <w:keepLines w:val="0"/>
        <w:pageBreakBefore w:val="0"/>
        <w:kinsoku/>
        <w:wordWrap/>
        <w:overflowPunct/>
        <w:topLinePunct w:val="0"/>
        <w:bidi w:val="0"/>
        <w:snapToGrid/>
        <w:spacing w:line="360" w:lineRule="auto"/>
        <w:ind w:left="0" w:leftChars="0" w:firstLine="440" w:firstLineChars="200"/>
        <w:rPr>
          <w:rFonts w:hint="eastAsia" w:ascii="宋体" w:hAnsi="宋体" w:eastAsia="宋体" w:cs="宋体"/>
          <w:b w:val="0"/>
          <w:color w:val="auto"/>
          <w:sz w:val="22"/>
          <w:szCs w:val="22"/>
          <w:highlight w:val="none"/>
          <w:lang w:val="zh-CN"/>
        </w:rPr>
      </w:pPr>
      <w:r>
        <w:rPr>
          <w:rFonts w:hint="eastAsia" w:ascii="宋体" w:hAnsi="宋体" w:cs="宋体"/>
          <w:b w:val="0"/>
          <w:bCs w:val="0"/>
          <w:color w:val="auto"/>
          <w:sz w:val="22"/>
          <w:szCs w:val="22"/>
          <w:highlight w:val="none"/>
          <w:lang w:val="en-US" w:eastAsia="zh-CN"/>
        </w:rPr>
        <w:t>2.2.3人员的配置要求：</w:t>
      </w:r>
      <w:r>
        <w:rPr>
          <w:rFonts w:hint="eastAsia" w:ascii="宋体" w:hAnsi="宋体" w:eastAsia="宋体" w:cs="宋体"/>
          <w:b w:val="0"/>
          <w:color w:val="auto"/>
          <w:sz w:val="22"/>
          <w:szCs w:val="22"/>
          <w:highlight w:val="none"/>
          <w:lang w:val="zh-CN"/>
        </w:rPr>
        <w:t xml:space="preserve"> </w:t>
      </w:r>
    </w:p>
    <w:p w14:paraId="0D2A7636">
      <w:pPr>
        <w:pStyle w:val="27"/>
        <w:keepNext w:val="0"/>
        <w:keepLines w:val="0"/>
        <w:pageBreakBefore w:val="0"/>
        <w:kinsoku/>
        <w:wordWrap/>
        <w:overflowPunct/>
        <w:topLinePunct w:val="0"/>
        <w:bidi w:val="0"/>
        <w:snapToGrid/>
        <w:spacing w:line="360" w:lineRule="auto"/>
        <w:ind w:left="0" w:leftChars="0" w:firstLine="440" w:firstLineChars="200"/>
        <w:rPr>
          <w:rFonts w:hint="default" w:ascii="宋体" w:hAnsi="宋体" w:cs="宋体"/>
          <w:b w:val="0"/>
          <w:color w:val="auto"/>
          <w:sz w:val="22"/>
          <w:szCs w:val="22"/>
          <w:highlight w:val="none"/>
          <w:lang w:val="en-US" w:eastAsia="zh-CN"/>
        </w:rPr>
      </w:pPr>
      <w:r>
        <w:rPr>
          <w:rFonts w:hint="eastAsia" w:ascii="宋体" w:hAnsi="宋体" w:cs="宋体"/>
          <w:b w:val="0"/>
          <w:color w:val="auto"/>
          <w:sz w:val="22"/>
          <w:szCs w:val="22"/>
          <w:highlight w:val="none"/>
          <w:u w:val="single"/>
          <w:lang w:val="en-US" w:eastAsia="zh-CN"/>
        </w:rPr>
        <w:t>▲1）供应商派出的道路日常维修与养护负责人员应为经过培训的专职道路管理人员并须具有一定道路施工经验的工程技术人员（其中具备工程师及以上职称的不少于1人）；同时另需配备不少于1名人员常驻采购人单位随时配合采购人开展日常监管和档案管理工作（工作时间与采购单位一致）。</w:t>
      </w:r>
    </w:p>
    <w:p w14:paraId="49B74145">
      <w:pPr>
        <w:keepNext w:val="0"/>
        <w:keepLines w:val="0"/>
        <w:pageBreakBefore w:val="0"/>
        <w:kinsoku/>
        <w:wordWrap/>
        <w:overflowPunct/>
        <w:topLinePunct w:val="0"/>
        <w:bidi w:val="0"/>
        <w:snapToGrid/>
        <w:spacing w:line="360" w:lineRule="auto"/>
        <w:ind w:left="0" w:leftChars="0" w:firstLine="440" w:firstLineChars="200"/>
        <w:rPr>
          <w:rFonts w:hint="default"/>
          <w:color w:val="auto"/>
          <w:sz w:val="22"/>
          <w:szCs w:val="22"/>
          <w:highlight w:val="none"/>
          <w:lang w:val="en-US" w:eastAsia="zh-CN"/>
        </w:rPr>
      </w:pPr>
      <w:r>
        <w:rPr>
          <w:rFonts w:hint="eastAsia" w:ascii="宋体" w:hAnsi="宋体" w:cs="宋体"/>
          <w:b w:val="0"/>
          <w:color w:val="auto"/>
          <w:sz w:val="22"/>
          <w:szCs w:val="22"/>
          <w:highlight w:val="none"/>
          <w:lang w:val="en-US" w:eastAsia="zh-CN"/>
        </w:rPr>
        <w:t>2）其他要求详见合同特殊条款。</w:t>
      </w:r>
    </w:p>
    <w:p w14:paraId="382F26A0">
      <w:pPr>
        <w:keepNext w:val="0"/>
        <w:keepLines w:val="0"/>
        <w:pageBreakBefore w:val="0"/>
        <w:widowControl/>
        <w:kinsoku/>
        <w:wordWrap/>
        <w:overflowPunct/>
        <w:topLinePunct w:val="0"/>
        <w:autoSpaceDE/>
        <w:autoSpaceDN/>
        <w:bidi w:val="0"/>
        <w:adjustRightInd w:val="0"/>
        <w:snapToGrid/>
        <w:spacing w:line="360" w:lineRule="auto"/>
        <w:ind w:left="0" w:leftChars="0"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鉴于本项目涉及范围分布广泛，涵盖城市道路、桥梁及背街小巷等各个区域，为减少人员作业风险，保障巡查人员安全，本次维护将根据中标供应商投标时承诺投入的相关设备(须具备相应的合格操作证书)予以实施。</w:t>
      </w:r>
    </w:p>
    <w:p w14:paraId="7FDFD76D">
      <w:pPr>
        <w:keepNext w:val="0"/>
        <w:keepLines w:val="0"/>
        <w:pageBreakBefore w:val="0"/>
        <w:widowControl/>
        <w:kinsoku/>
        <w:wordWrap/>
        <w:overflowPunct/>
        <w:topLinePunct w:val="0"/>
        <w:autoSpaceDE/>
        <w:autoSpaceDN/>
        <w:bidi w:val="0"/>
        <w:adjustRightInd w:val="0"/>
        <w:snapToGrid/>
        <w:spacing w:line="360" w:lineRule="auto"/>
        <w:ind w:left="0" w:leftChars="0"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下浮率的确定</w:t>
      </w:r>
    </w:p>
    <w:p w14:paraId="405C67D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鉴于日常维养项目的点位散、成本投入大，施工难度高等特点，本次</w:t>
      </w:r>
      <w:r>
        <w:rPr>
          <w:rFonts w:hint="eastAsia" w:ascii="宋体" w:hAnsi="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下浮率均确定要求为不小于</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w:t>
      </w:r>
    </w:p>
    <w:p w14:paraId="105C8243">
      <w:pPr>
        <w:keepNext w:val="0"/>
        <w:keepLines w:val="0"/>
        <w:pageBreakBefore w:val="0"/>
        <w:widowControl/>
        <w:kinsoku/>
        <w:wordWrap/>
        <w:overflowPunct/>
        <w:topLinePunct w:val="0"/>
        <w:autoSpaceDE/>
        <w:autoSpaceDN/>
        <w:bidi w:val="0"/>
        <w:adjustRightInd w:val="0"/>
        <w:snapToGrid/>
        <w:spacing w:line="360" w:lineRule="auto"/>
        <w:ind w:left="0" w:leftChars="0"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5</w:t>
      </w:r>
      <w:r>
        <w:rPr>
          <w:rFonts w:hint="default" w:ascii="宋体" w:hAnsi="宋体" w:eastAsia="宋体" w:cs="宋体"/>
          <w:color w:val="auto"/>
          <w:sz w:val="22"/>
          <w:szCs w:val="22"/>
          <w:highlight w:val="none"/>
          <w:lang w:val="en-US"/>
        </w:rPr>
        <w:t>维修与养护</w:t>
      </w:r>
      <w:r>
        <w:rPr>
          <w:rFonts w:hint="eastAsia" w:ascii="宋体" w:hAnsi="宋体" w:eastAsia="宋体" w:cs="宋体"/>
          <w:color w:val="auto"/>
          <w:sz w:val="22"/>
          <w:szCs w:val="22"/>
          <w:highlight w:val="none"/>
        </w:rPr>
        <w:t>单位的监督考核</w:t>
      </w:r>
    </w:p>
    <w:p w14:paraId="67DE291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.1考核标准与方式</w:t>
      </w:r>
    </w:p>
    <w:p w14:paraId="490E44F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220" w:firstLineChars="100"/>
        <w:textAlignment w:val="bottom"/>
        <w:rPr>
          <w:rFonts w:hint="eastAsia" w:ascii="宋体" w:hAnsi="宋体" w:eastAsia="宋体" w:cs="宋体"/>
          <w:b w:val="0"/>
          <w:color w:val="auto"/>
          <w:sz w:val="22"/>
          <w:szCs w:val="22"/>
          <w:highlight w:val="none"/>
        </w:rPr>
      </w:pPr>
      <w:r>
        <w:rPr>
          <w:rFonts w:hint="default" w:ascii="宋体" w:hAnsi="宋体" w:eastAsia="宋体" w:cs="宋体"/>
          <w:b w:val="0"/>
          <w:color w:val="auto"/>
          <w:sz w:val="22"/>
          <w:szCs w:val="22"/>
          <w:highlight w:val="none"/>
          <w:lang w:val="en-US"/>
        </w:rPr>
        <w:t>维修与养护单位</w:t>
      </w:r>
      <w:r>
        <w:rPr>
          <w:rFonts w:hint="eastAsia" w:ascii="宋体" w:hAnsi="宋体" w:eastAsia="宋体" w:cs="宋体"/>
          <w:b w:val="0"/>
          <w:color w:val="auto"/>
          <w:sz w:val="22"/>
          <w:szCs w:val="22"/>
          <w:highlight w:val="none"/>
        </w:rPr>
        <w:t>的考核，采取月考的方式，结合日常的维修与养护管理进行，满分为100分。考核内容包括修复进度及工程资料、修复质量、安全文明施工管理、日常巡查、数字城管处置情况、自然灾害（台风暴雨等）的应急处理、市政设施（道路、桥梁、隧道等）突发事件的预防与应急处理、被媒体曝光或领导发现批示等内容。（具体见考核标准）</w:t>
      </w:r>
    </w:p>
    <w:p w14:paraId="589AE30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220" w:firstLineChars="1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考核组成如下：</w:t>
      </w:r>
    </w:p>
    <w:tbl>
      <w:tblPr>
        <w:tblStyle w:val="62"/>
        <w:tblW w:w="9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224"/>
        <w:gridCol w:w="4475"/>
        <w:gridCol w:w="2657"/>
        <w:gridCol w:w="771"/>
      </w:tblGrid>
      <w:tr w14:paraId="2ECE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92" w:type="dxa"/>
            <w:gridSpan w:val="5"/>
            <w:tcBorders>
              <w:top w:val="nil"/>
              <w:left w:val="nil"/>
              <w:bottom w:val="nil"/>
              <w:right w:val="nil"/>
            </w:tcBorders>
            <w:shd w:val="clear" w:color="auto" w:fill="auto"/>
            <w:noWrap/>
            <w:vAlign w:val="center"/>
          </w:tcPr>
          <w:p w14:paraId="3265DD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市政设施日常养护考核标准</w:t>
            </w:r>
          </w:p>
        </w:tc>
      </w:tr>
      <w:tr w14:paraId="322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2" w:type="dxa"/>
            <w:gridSpan w:val="5"/>
            <w:tcBorders>
              <w:top w:val="nil"/>
              <w:left w:val="nil"/>
              <w:bottom w:val="nil"/>
              <w:right w:val="nil"/>
            </w:tcBorders>
            <w:shd w:val="clear" w:color="auto" w:fill="auto"/>
            <w:vAlign w:val="center"/>
          </w:tcPr>
          <w:p w14:paraId="72210C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工程名称：                                                              被考核单位：                                   </w:t>
            </w:r>
          </w:p>
        </w:tc>
      </w:tr>
      <w:tr w14:paraId="3DD5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5"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819F2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99" w:type="dxa"/>
            <w:gridSpan w:val="2"/>
            <w:tcBorders>
              <w:top w:val="single" w:color="000000" w:sz="8" w:space="0"/>
              <w:left w:val="single" w:color="000000" w:sz="4" w:space="0"/>
              <w:bottom w:val="single" w:color="000000" w:sz="8" w:space="0"/>
              <w:right w:val="single" w:color="000000" w:sz="4" w:space="0"/>
            </w:tcBorders>
            <w:shd w:val="clear" w:color="auto" w:fill="auto"/>
            <w:vAlign w:val="center"/>
          </w:tcPr>
          <w:p w14:paraId="553945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评价项目及内容</w:t>
            </w: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A9251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评价标准</w:t>
            </w:r>
          </w:p>
        </w:tc>
        <w:tc>
          <w:tcPr>
            <w:tcW w:w="771" w:type="dxa"/>
            <w:tcBorders>
              <w:top w:val="single" w:color="000000" w:sz="8" w:space="0"/>
              <w:left w:val="single" w:color="000000" w:sz="4" w:space="0"/>
              <w:bottom w:val="single" w:color="000000" w:sz="8" w:space="0"/>
              <w:right w:val="single" w:color="000000" w:sz="8" w:space="0"/>
            </w:tcBorders>
            <w:shd w:val="clear" w:color="auto" w:fill="auto"/>
            <w:vAlign w:val="center"/>
          </w:tcPr>
          <w:p w14:paraId="10A0AB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扣分值</w:t>
            </w:r>
          </w:p>
        </w:tc>
      </w:tr>
      <w:tr w14:paraId="66B3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5" w:type="dxa"/>
            <w:vMerge w:val="restart"/>
            <w:tcBorders>
              <w:top w:val="nil"/>
              <w:left w:val="single" w:color="000000" w:sz="8" w:space="0"/>
              <w:bottom w:val="single" w:color="000000" w:sz="4" w:space="0"/>
              <w:right w:val="single" w:color="000000" w:sz="4" w:space="0"/>
            </w:tcBorders>
            <w:shd w:val="clear" w:color="auto" w:fill="auto"/>
            <w:vAlign w:val="center"/>
          </w:tcPr>
          <w:p w14:paraId="5E0BDB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224" w:type="dxa"/>
            <w:vMerge w:val="restart"/>
            <w:tcBorders>
              <w:top w:val="nil"/>
              <w:left w:val="single" w:color="000000" w:sz="4" w:space="0"/>
              <w:bottom w:val="single" w:color="000000" w:sz="4" w:space="0"/>
              <w:right w:val="single" w:color="000000" w:sz="4" w:space="0"/>
            </w:tcBorders>
            <w:shd w:val="clear" w:color="auto" w:fill="auto"/>
            <w:vAlign w:val="center"/>
          </w:tcPr>
          <w:p w14:paraId="6B5E41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修复进度及工程资料（15分）</w:t>
            </w:r>
          </w:p>
        </w:tc>
        <w:tc>
          <w:tcPr>
            <w:tcW w:w="4475" w:type="dxa"/>
            <w:tcBorders>
              <w:top w:val="nil"/>
              <w:left w:val="single" w:color="000000" w:sz="4" w:space="0"/>
              <w:bottom w:val="single" w:color="000000" w:sz="4" w:space="0"/>
              <w:right w:val="single" w:color="000000" w:sz="4" w:space="0"/>
            </w:tcBorders>
            <w:shd w:val="clear" w:color="auto" w:fill="auto"/>
            <w:vAlign w:val="center"/>
          </w:tcPr>
          <w:p w14:paraId="707B76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1.联系单出具后，</w:t>
            </w:r>
            <w:r>
              <w:rPr>
                <w:rFonts w:hint="default" w:ascii="宋体" w:hAnsi="宋体" w:eastAsia="宋体" w:cs="宋体"/>
                <w:i w:val="0"/>
                <w:iCs w:val="0"/>
                <w:color w:val="auto"/>
                <w:kern w:val="0"/>
                <w:sz w:val="21"/>
                <w:szCs w:val="21"/>
                <w:highlight w:val="none"/>
                <w:u w:val="none"/>
                <w:lang w:val="en-US" w:eastAsia="zh-CN" w:bidi="ar"/>
              </w:rPr>
              <w:t>维修与养护单位</w:t>
            </w:r>
            <w:r>
              <w:rPr>
                <w:rFonts w:hint="eastAsia" w:ascii="宋体" w:hAnsi="宋体" w:eastAsia="宋体" w:cs="宋体"/>
                <w:i w:val="0"/>
                <w:iCs w:val="0"/>
                <w:color w:val="auto"/>
                <w:kern w:val="0"/>
                <w:sz w:val="21"/>
                <w:szCs w:val="21"/>
                <w:highlight w:val="none"/>
                <w:u w:val="none"/>
                <w:lang w:val="en-US" w:eastAsia="zh-CN" w:bidi="ar"/>
              </w:rPr>
              <w:t>必须在5个工作日内协同委托方进行现场查看，并编排《项目进度计划表》，及时做好备料准备，不得无故拖延。</w:t>
            </w:r>
          </w:p>
        </w:tc>
        <w:tc>
          <w:tcPr>
            <w:tcW w:w="2657" w:type="dxa"/>
            <w:tcBorders>
              <w:top w:val="nil"/>
              <w:left w:val="single" w:color="000000" w:sz="4" w:space="0"/>
              <w:bottom w:val="single" w:color="000000" w:sz="4" w:space="0"/>
              <w:right w:val="single" w:color="000000" w:sz="4" w:space="0"/>
            </w:tcBorders>
            <w:shd w:val="clear" w:color="auto" w:fill="auto"/>
            <w:vAlign w:val="center"/>
          </w:tcPr>
          <w:p w14:paraId="342EC5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违反规定一次，扣1分。</w:t>
            </w:r>
          </w:p>
        </w:tc>
        <w:tc>
          <w:tcPr>
            <w:tcW w:w="0" w:type="auto"/>
            <w:tcBorders>
              <w:top w:val="nil"/>
              <w:left w:val="single" w:color="000000" w:sz="4" w:space="0"/>
              <w:bottom w:val="single" w:color="000000" w:sz="4" w:space="0"/>
              <w:right w:val="single" w:color="000000" w:sz="8" w:space="0"/>
            </w:tcBorders>
            <w:shd w:val="clear" w:color="auto" w:fill="auto"/>
            <w:noWrap/>
            <w:vAlign w:val="center"/>
          </w:tcPr>
          <w:p w14:paraId="51191CD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AB6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2DE93A6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53DA815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39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2.少于10平方米的日常零星维修工程，需按照《温州市城市道路市政设施精细化管理标准》的处置时限控制工期，其中人行道坑洞3天、沉陷5天等（具体参照标准）。</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2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不同病害类型，超过相应工期的，每出现一次，扣1分。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F9D80E">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0E8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244A3FF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3AEE521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12B356D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大于</w:t>
            </w: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平方米的日常零星维修工程，根据经业务科室现场管理人员备案确认的《项目进度计划表》对各工期节点进行考核，考核人员应严格按照《项目进度计划表》进行控制。</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230755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节点未按期完成施工的，扣1分，后续每超一周补扣1分，以此类推，扣完为止。</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4233DC0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7B3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42B71C5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48B473B6">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60251D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4.零星维修工程完工后，必须在15天内将验收单上报，并附表（明细清单）；非零星工程需在施工完成后3个月内上报竣工图、自检资料、试验材料等资料；验收单签订后，必须在3个</w:t>
            </w:r>
            <w:r>
              <w:rPr>
                <w:rFonts w:hint="eastAsia" w:ascii="宋体" w:hAnsi="宋体" w:cs="宋体"/>
                <w:i w:val="0"/>
                <w:iCs w:val="0"/>
                <w:color w:val="auto"/>
                <w:kern w:val="0"/>
                <w:sz w:val="21"/>
                <w:szCs w:val="21"/>
                <w:highlight w:val="none"/>
                <w:u w:val="none"/>
                <w:lang w:val="en-US" w:eastAsia="zh-CN" w:bidi="ar"/>
              </w:rPr>
              <w:t>（月）</w:t>
            </w:r>
            <w:r>
              <w:rPr>
                <w:rFonts w:hint="eastAsia" w:ascii="宋体" w:hAnsi="宋体" w:eastAsia="宋体" w:cs="宋体"/>
                <w:i w:val="0"/>
                <w:iCs w:val="0"/>
                <w:color w:val="auto"/>
                <w:kern w:val="0"/>
                <w:sz w:val="21"/>
                <w:szCs w:val="21"/>
                <w:highlight w:val="none"/>
                <w:u w:val="none"/>
                <w:lang w:val="en-US" w:eastAsia="zh-CN" w:bidi="ar"/>
              </w:rPr>
              <w:t>内上报竣工结算。</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02E5AC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超过规定时间，或资料不齐的，每次扣1分。</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2DB0A2B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8E1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727CCF5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742ECDB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57C099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5.零星维修工程施工时，每处必须有对比照片，包括施工前后对比照片，以便在工程核对时准确把关（具体表格附后,以电子版为主）</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6239B8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照片不齐的，每次扣1分，没照片的扣2分。</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42776A30">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4778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89" w:type="dxa"/>
            <w:gridSpan w:val="2"/>
            <w:tcBorders>
              <w:top w:val="single" w:color="000000" w:sz="8" w:space="0"/>
              <w:left w:val="single" w:color="000000" w:sz="8" w:space="0"/>
              <w:bottom w:val="nil"/>
              <w:right w:val="single" w:color="000000" w:sz="4" w:space="0"/>
            </w:tcBorders>
            <w:shd w:val="clear" w:color="auto" w:fill="auto"/>
            <w:vAlign w:val="center"/>
          </w:tcPr>
          <w:p w14:paraId="06E50E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nil"/>
              <w:right w:val="single" w:color="000000" w:sz="4" w:space="0"/>
            </w:tcBorders>
            <w:shd w:val="clear" w:color="auto" w:fill="auto"/>
            <w:vAlign w:val="center"/>
          </w:tcPr>
          <w:p w14:paraId="686D6802">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nil"/>
              <w:right w:val="single" w:color="000000" w:sz="4" w:space="0"/>
            </w:tcBorders>
            <w:shd w:val="clear" w:color="auto" w:fill="auto"/>
            <w:vAlign w:val="center"/>
          </w:tcPr>
          <w:p w14:paraId="4DDE0CFB">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nil"/>
              <w:right w:val="single" w:color="000000" w:sz="8" w:space="0"/>
            </w:tcBorders>
            <w:shd w:val="clear" w:color="auto" w:fill="auto"/>
            <w:noWrap/>
            <w:vAlign w:val="center"/>
          </w:tcPr>
          <w:p w14:paraId="4F3BD61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72D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6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9C086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2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46F9D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修复质量（15分）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13182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工程施工材料（如花岗岩等铺装材料厚度，油漆品种等）、结构层厚度（混凝土路面厚度等）等主要标准，需满足《市政工程质量评定与验收标准》规定，</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1FE7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每低于规定低值5%，扣3分，以此类推（如10%，扣6分），扣完为止（强制性指标如强度等不符合的，需全部返工，且扣12分）。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33086A8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FCE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76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F31B3C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4D1A07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5718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道路车行道路面铺筑应平整、密实，道路纵坡、横坡顺适，无行车障碍与安全隐患，路面不积水；人行道方砖道面、路缘石、树池挡板应做到表面接头平整、安砌牢固、纵横缝均匀、直顺、灌缝饱满；构件油漆应除锈到位，油漆道数足够等，具体修复表观质量按照《城镇道路养护技术规范》《城市桥梁养护技术标准》及其他施工验收规范等执行。</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62AD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修补质量达不到要求的，发现一次，扣1分且必须返工处理；返工后仍达不到要求的，扣3分；因修补质量达不到要求，造成居民生命、财产损失的，扣5分。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26AFB58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FE2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89" w:type="dxa"/>
            <w:gridSpan w:val="2"/>
            <w:tcBorders>
              <w:top w:val="nil"/>
              <w:left w:val="single" w:color="000000" w:sz="4" w:space="0"/>
              <w:bottom w:val="nil"/>
              <w:right w:val="single" w:color="000000" w:sz="4" w:space="0"/>
            </w:tcBorders>
            <w:shd w:val="clear" w:color="auto" w:fill="auto"/>
            <w:vAlign w:val="center"/>
          </w:tcPr>
          <w:p w14:paraId="70DBC5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nil"/>
              <w:right w:val="single" w:color="000000" w:sz="4" w:space="0"/>
            </w:tcBorders>
            <w:shd w:val="clear" w:color="auto" w:fill="auto"/>
            <w:vAlign w:val="center"/>
          </w:tcPr>
          <w:p w14:paraId="293906E5">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nil"/>
              <w:right w:val="single" w:color="000000" w:sz="4" w:space="0"/>
            </w:tcBorders>
            <w:shd w:val="clear" w:color="auto" w:fill="auto"/>
            <w:vAlign w:val="center"/>
          </w:tcPr>
          <w:p w14:paraId="27E1E36B">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nil"/>
              <w:right w:val="single" w:color="000000" w:sz="4" w:space="0"/>
            </w:tcBorders>
            <w:shd w:val="clear" w:color="auto" w:fill="auto"/>
            <w:noWrap/>
            <w:vAlign w:val="center"/>
          </w:tcPr>
          <w:p w14:paraId="4795A92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6B7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7E7507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12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8854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安全、文明施工管理（35分）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D56A9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1.施工期间，必须在开挖修复区域设置规定的防护措施（按照温州市城市道路挖掘管理规定等执行，包括围挡、警示标志等），以保证过往行人及车辆通行安全。</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89E1A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防护措施不到位或防护措施破损未及时修复或不整洁的，发现一起扣1分；未设置防护措施的，发现一起扣2分；各类检查期间防护措施不到位的，扣5分。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30DF8B25">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543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E623B6A">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1ABBD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D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2.对于施工时间超过15天的维养工程，</w:t>
            </w:r>
            <w:r>
              <w:rPr>
                <w:rFonts w:hint="default" w:ascii="宋体" w:hAnsi="宋体" w:eastAsia="宋体" w:cs="宋体"/>
                <w:i w:val="0"/>
                <w:iCs w:val="0"/>
                <w:color w:val="auto"/>
                <w:kern w:val="0"/>
                <w:sz w:val="21"/>
                <w:szCs w:val="21"/>
                <w:highlight w:val="none"/>
                <w:u w:val="none"/>
                <w:lang w:val="en-US" w:eastAsia="zh-CN" w:bidi="ar"/>
              </w:rPr>
              <w:t>维修与养护单位</w:t>
            </w:r>
            <w:r>
              <w:rPr>
                <w:rFonts w:hint="eastAsia" w:ascii="宋体" w:hAnsi="宋体" w:eastAsia="宋体" w:cs="宋体"/>
                <w:i w:val="0"/>
                <w:iCs w:val="0"/>
                <w:color w:val="auto"/>
                <w:kern w:val="0"/>
                <w:sz w:val="21"/>
                <w:szCs w:val="21"/>
                <w:highlight w:val="none"/>
                <w:u w:val="none"/>
                <w:lang w:val="en-US" w:eastAsia="zh-CN" w:bidi="ar"/>
              </w:rPr>
              <w:t>要设置公示牌（工程两端面向道路来车方向各设置一块），公布负责人、监督电话和施工期限，以备巡视、督查时验查和市民监督。</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F3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未设置公示牌的，发现一起扣1分。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DFA98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4A41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159750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428FCB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9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3.各类材料、机具设备按规定整齐堆放，不得随意侵占道路及安全防护等设施。</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9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随意侵占其他道路资源的，发现一起扣1分。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9ADC1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24C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AB06EE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C5B191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B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4.施工期间，严格落实安全生产措施，严格执行安全生产规程，严防安全事故发生。</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39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安全生产措施或安全规程执行不到位的，每次最低扣2分；发生安全事故的，每次最低扣10分。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10DCF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27F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026F54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D76EF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2C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5.禁止直接在路面上拌和砂浆与水泥混凝土，并尽量控制扬尘和噪音。</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3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施工造成路面扬尘或严重噪音，而不加以控制的，发现一起扣1分；直接在路面上搅拌砂浆或混凝土的，发现一起扣2分。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CAD8C1">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1602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A06A5B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DE1CB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1A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6.施工中产生的各类垃圾应及时清运，严禁随意堆放。</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8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垃圾未及时清运并未做好防护措施，或已做好防护措施，但侵占盲道等公共资源的，发现一起扣1分。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39D21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862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39D71C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D4CD0B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A7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7.施工（养护）作业人员上岗前必须进行安全教育和技术培训，进入施工作业现场内的人员，必须穿戴具有反光功能、统一的安全标志服或反光背心等。</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FE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违反规定一次，扣1分。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9184B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D01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C5FC19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9811915">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B21C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8.制定安全生产方面的各项规章制度、预案等内控措施，提交备案。</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407F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未提交备案的，扣5分。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10856D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4E3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89" w:type="dxa"/>
            <w:gridSpan w:val="2"/>
            <w:tcBorders>
              <w:top w:val="nil"/>
              <w:left w:val="single" w:color="000000" w:sz="8" w:space="0"/>
              <w:bottom w:val="single" w:color="000000" w:sz="8" w:space="0"/>
              <w:right w:val="single" w:color="000000" w:sz="4" w:space="0"/>
            </w:tcBorders>
            <w:shd w:val="clear" w:color="auto" w:fill="auto"/>
            <w:vAlign w:val="center"/>
          </w:tcPr>
          <w:p w14:paraId="13AFEB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single" w:color="000000" w:sz="8" w:space="0"/>
              <w:right w:val="single" w:color="000000" w:sz="4" w:space="0"/>
            </w:tcBorders>
            <w:shd w:val="clear" w:color="auto" w:fill="auto"/>
            <w:vAlign w:val="center"/>
          </w:tcPr>
          <w:p w14:paraId="20E7029A">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single" w:color="000000" w:sz="8" w:space="0"/>
              <w:right w:val="single" w:color="000000" w:sz="4" w:space="0"/>
            </w:tcBorders>
            <w:shd w:val="clear" w:color="auto" w:fill="auto"/>
            <w:vAlign w:val="center"/>
          </w:tcPr>
          <w:p w14:paraId="56D2B549">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single" w:color="000000" w:sz="8" w:space="0"/>
              <w:right w:val="single" w:color="000000" w:sz="8" w:space="0"/>
            </w:tcBorders>
            <w:shd w:val="clear" w:color="auto" w:fill="auto"/>
            <w:noWrap/>
            <w:vAlign w:val="center"/>
          </w:tcPr>
          <w:p w14:paraId="19DD409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1FC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783543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122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5E8F89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日常巡查（10分）</w:t>
            </w:r>
          </w:p>
        </w:tc>
        <w:tc>
          <w:tcPr>
            <w:tcW w:w="4475" w:type="dxa"/>
            <w:tcBorders>
              <w:top w:val="single" w:color="000000" w:sz="8" w:space="0"/>
              <w:left w:val="single" w:color="000000" w:sz="4" w:space="0"/>
              <w:bottom w:val="nil"/>
              <w:right w:val="single" w:color="000000" w:sz="4" w:space="0"/>
            </w:tcBorders>
            <w:shd w:val="clear" w:color="auto" w:fill="auto"/>
            <w:vAlign w:val="center"/>
          </w:tcPr>
          <w:p w14:paraId="495C37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1.按照市级部门考核要求，对于辖区内市政设施进行定期巡查，确保市政设施巡检频次达到规范要求。</w:t>
            </w:r>
          </w:p>
        </w:tc>
        <w:tc>
          <w:tcPr>
            <w:tcW w:w="2657" w:type="dxa"/>
            <w:tcBorders>
              <w:top w:val="single" w:color="000000" w:sz="8" w:space="0"/>
              <w:left w:val="single" w:color="000000" w:sz="4" w:space="0"/>
              <w:bottom w:val="nil"/>
              <w:right w:val="single" w:color="000000" w:sz="4" w:space="0"/>
            </w:tcBorders>
            <w:shd w:val="clear" w:color="auto" w:fill="auto"/>
            <w:vAlign w:val="center"/>
          </w:tcPr>
          <w:p w14:paraId="596AAB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未在指定周期内完成巡查的，每条（座）设施每次扣1分</w:t>
            </w:r>
          </w:p>
        </w:tc>
        <w:tc>
          <w:tcPr>
            <w:tcW w:w="0" w:type="auto"/>
            <w:tcBorders>
              <w:top w:val="single" w:color="000000" w:sz="8" w:space="0"/>
              <w:left w:val="single" w:color="000000" w:sz="4" w:space="0"/>
              <w:bottom w:val="nil"/>
              <w:right w:val="single" w:color="000000" w:sz="8" w:space="0"/>
            </w:tcBorders>
            <w:shd w:val="clear" w:color="auto" w:fill="auto"/>
            <w:noWrap/>
            <w:vAlign w:val="center"/>
          </w:tcPr>
          <w:p w14:paraId="5A19E81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E0C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7E2735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2FF884D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875AF5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加强对道路完好率较差道路的巡查，及时发现道路、桥梁病害、无障碍设施完好情况，并上报处置。</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DE38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明显问题未在巡查周期内及时发现，造成恶劣影响的，每次扣5分。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2D904B50">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EE5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89" w:type="dxa"/>
            <w:gridSpan w:val="2"/>
            <w:tcBorders>
              <w:top w:val="nil"/>
              <w:left w:val="single" w:color="000000" w:sz="8" w:space="0"/>
              <w:bottom w:val="nil"/>
              <w:right w:val="single" w:color="000000" w:sz="4" w:space="0"/>
            </w:tcBorders>
            <w:shd w:val="clear" w:color="auto" w:fill="auto"/>
            <w:vAlign w:val="center"/>
          </w:tcPr>
          <w:p w14:paraId="073599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nil"/>
              <w:right w:val="single" w:color="000000" w:sz="4" w:space="0"/>
            </w:tcBorders>
            <w:shd w:val="clear" w:color="auto" w:fill="auto"/>
            <w:vAlign w:val="center"/>
          </w:tcPr>
          <w:p w14:paraId="2C7A292F">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nil"/>
              <w:right w:val="single" w:color="000000" w:sz="4" w:space="0"/>
            </w:tcBorders>
            <w:shd w:val="clear" w:color="auto" w:fill="auto"/>
            <w:vAlign w:val="center"/>
          </w:tcPr>
          <w:p w14:paraId="4A38E706">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nil"/>
              <w:right w:val="single" w:color="000000" w:sz="8" w:space="0"/>
            </w:tcBorders>
            <w:shd w:val="clear" w:color="auto" w:fill="auto"/>
            <w:noWrap/>
            <w:vAlign w:val="center"/>
          </w:tcPr>
          <w:p w14:paraId="377C6D2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9E2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758089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w:t>
            </w:r>
          </w:p>
        </w:tc>
        <w:tc>
          <w:tcPr>
            <w:tcW w:w="122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06878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数字城管处置情况（15分）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1A9F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1.在规定的时限内完成数字城管案卷的处置工作。</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E74B3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超期处置一件，扣2分。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E836A5E">
            <w:pPr>
              <w:keepNext w:val="0"/>
              <w:keepLines w:val="0"/>
              <w:suppressLineNumbers w:val="0"/>
              <w:spacing w:before="0" w:beforeAutospacing="0" w:after="0" w:afterAutospacing="0"/>
              <w:ind w:left="0" w:right="0"/>
              <w:rPr>
                <w:rFonts w:hint="default" w:ascii="宋体" w:hAnsi="宋体" w:eastAsia="宋体" w:cs="宋体"/>
                <w:i w:val="0"/>
                <w:iCs w:val="0"/>
                <w:color w:val="auto"/>
                <w:sz w:val="21"/>
                <w:szCs w:val="21"/>
                <w:highlight w:val="none"/>
                <w:u w:val="none"/>
              </w:rPr>
            </w:pPr>
          </w:p>
        </w:tc>
      </w:tr>
      <w:tr w14:paraId="2DBF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18D3E9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1D627EEE">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3FD44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2.注重数字城管处置的质量，不出现返工案卷。</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CB51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因施工方原因引起的，返工一次扣3分。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E89A06D">
            <w:pPr>
              <w:keepNext w:val="0"/>
              <w:keepLines w:val="0"/>
              <w:suppressLineNumbers w:val="0"/>
              <w:spacing w:before="0" w:beforeAutospacing="0" w:after="0" w:afterAutospacing="0"/>
              <w:ind w:left="0" w:right="0"/>
              <w:rPr>
                <w:rFonts w:hint="default" w:ascii="宋体" w:hAnsi="宋体" w:eastAsia="宋体" w:cs="宋体"/>
                <w:i w:val="0"/>
                <w:iCs w:val="0"/>
                <w:color w:val="auto"/>
                <w:sz w:val="21"/>
                <w:szCs w:val="21"/>
                <w:highlight w:val="none"/>
                <w:u w:val="none"/>
              </w:rPr>
            </w:pPr>
          </w:p>
        </w:tc>
      </w:tr>
      <w:tr w14:paraId="4EBB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759BF0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72D6476">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DE8BBC8">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6D61292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9A9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8A4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8B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市政设施突发事故及自然灾害（如台风暴雨等）的应急处置情况（5分）</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60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根据处防汛防台应急预案、道桥突发事件应急预案等内容，在应急事项出现时能根据预案要求，及时开展工程抢险，并做好善后处置。</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70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未能及时赶赴现场的，扣2分；未对突发事件进行及时有效处理的或善后工作未做好，引起的事故的，扣5分。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30700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A26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576BF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26AA3D64">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FDEB500">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5DBF54C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953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8" w:space="0"/>
              <w:left w:val="single" w:color="000000" w:sz="8" w:space="0"/>
              <w:bottom w:val="nil"/>
              <w:right w:val="single" w:color="000000" w:sz="4" w:space="0"/>
            </w:tcBorders>
            <w:shd w:val="clear" w:color="auto" w:fill="auto"/>
            <w:vAlign w:val="center"/>
          </w:tcPr>
          <w:p w14:paraId="243E36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w:t>
            </w:r>
          </w:p>
        </w:tc>
        <w:tc>
          <w:tcPr>
            <w:tcW w:w="1224" w:type="dxa"/>
            <w:tcBorders>
              <w:top w:val="single" w:color="000000" w:sz="8" w:space="0"/>
              <w:left w:val="single" w:color="000000" w:sz="4" w:space="0"/>
              <w:bottom w:val="nil"/>
              <w:right w:val="single" w:color="000000" w:sz="4" w:space="0"/>
            </w:tcBorders>
            <w:shd w:val="clear" w:color="auto" w:fill="auto"/>
            <w:vAlign w:val="center"/>
          </w:tcPr>
          <w:p w14:paraId="5AAD0C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被媒体曝光或领导发现批示（5分）</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0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加强文明、安全施工等管理工作，并做好与工程现场周边社区、居民的沟通，尽量避免投诉反映。</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AE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有责投诉一次，扣1分；被媒体曝光一次，扣2.5分；领导发现批示一次，扣5分。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91020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B5D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280F3D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7900487">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F54C886">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086EE4B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F4A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6FBD0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5C10">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CC44">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DDF100">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358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89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E32EE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说明：1.零星维修工程每月不定期考核，按月综合评价一次；套用《浙江省市政工程定额》等办理决算的，以工程为单位，每个工程评价一次，由工程业主代表综合评定；2.对故意拖延验收单不上报，以至工程量无法准确核对的（且无照片的），以现场负责人现场评判为主，对无法核对的，不予核对。3.每个评分子项累计扣分，每项扣完为止。</w:t>
            </w:r>
          </w:p>
        </w:tc>
      </w:tr>
      <w:tr w14:paraId="02F2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nil"/>
              <w:bottom w:val="nil"/>
              <w:right w:val="nil"/>
            </w:tcBorders>
            <w:shd w:val="clear" w:color="auto" w:fill="auto"/>
            <w:noWrap/>
            <w:vAlign w:val="center"/>
          </w:tcPr>
          <w:p w14:paraId="06C495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考核人（工程负责人）：                                                      考核日期：</w:t>
            </w:r>
          </w:p>
        </w:tc>
      </w:tr>
    </w:tbl>
    <w:p w14:paraId="3B5DA90C">
      <w:pPr>
        <w:rPr>
          <w:rFonts w:hint="eastAsia"/>
          <w:color w:val="auto"/>
          <w:highlight w:val="none"/>
        </w:rPr>
      </w:pPr>
    </w:p>
    <w:p w14:paraId="7E7FA349">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5</w:t>
      </w:r>
      <w:r>
        <w:rPr>
          <w:rFonts w:hint="eastAsia" w:ascii="宋体" w:hAnsi="宋体" w:eastAsia="宋体" w:cs="宋体"/>
          <w:b w:val="0"/>
          <w:color w:val="auto"/>
          <w:sz w:val="22"/>
          <w:highlight w:val="none"/>
        </w:rPr>
        <w:t>.2考核情况的处置</w:t>
      </w:r>
    </w:p>
    <w:p w14:paraId="49D648C5">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1</w:t>
      </w:r>
      <w:r>
        <w:rPr>
          <w:rFonts w:hint="eastAsia" w:ascii="宋体" w:hAnsi="宋体" w:cs="宋体"/>
          <w:b w:val="0"/>
          <w:color w:val="auto"/>
          <w:sz w:val="22"/>
          <w:highlight w:val="none"/>
          <w:lang w:eastAsia="zh-CN"/>
        </w:rPr>
        <w:t>）</w:t>
      </w:r>
      <w:r>
        <w:rPr>
          <w:rFonts w:hint="eastAsia" w:ascii="宋体" w:hAnsi="宋体" w:eastAsia="宋体" w:cs="宋体"/>
          <w:b w:val="0"/>
          <w:color w:val="auto"/>
          <w:sz w:val="22"/>
          <w:highlight w:val="none"/>
        </w:rPr>
        <w:t>考核分与月合同拨付金额挂钩。月考核分90分（含）以上为合格；月考核分低于90分或数字城管处置情况低于12分的，每少1分扣除当月签订工程合同价款0.5%，当月无签订合同的，以前面一个有签订合同的自然月的合同金额，作为扣款基数（扣款</w:t>
      </w:r>
      <w:r>
        <w:rPr>
          <w:rFonts w:hint="eastAsia" w:ascii="宋体" w:hAnsi="宋体" w:cs="宋体"/>
          <w:b w:val="0"/>
          <w:color w:val="auto"/>
          <w:sz w:val="22"/>
          <w:highlight w:val="none"/>
          <w:lang w:val="en-US" w:eastAsia="zh-CN"/>
        </w:rPr>
        <w:t>比例</w:t>
      </w:r>
      <w:r>
        <w:rPr>
          <w:rFonts w:hint="eastAsia" w:ascii="宋体" w:hAnsi="宋体" w:eastAsia="宋体" w:cs="宋体"/>
          <w:b w:val="0"/>
          <w:color w:val="auto"/>
          <w:sz w:val="22"/>
          <w:highlight w:val="none"/>
        </w:rPr>
        <w:t>同上）。扣款直接在结算中予以扣除。</w:t>
      </w:r>
    </w:p>
    <w:p w14:paraId="0343798E">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eastAsia="zh-CN"/>
        </w:rPr>
        <w:t>）</w:t>
      </w:r>
      <w:r>
        <w:rPr>
          <w:rFonts w:hint="eastAsia" w:ascii="宋体" w:hAnsi="宋体" w:eastAsia="宋体" w:cs="宋体"/>
          <w:b w:val="0"/>
          <w:color w:val="auto"/>
          <w:sz w:val="22"/>
          <w:highlight w:val="none"/>
        </w:rPr>
        <w:t>季度总分低于275分或数字城管处置情况低于38分的，下季度除应急情况外，有权不予安排其他施工任务。</w:t>
      </w:r>
    </w:p>
    <w:p w14:paraId="2D304C5A">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6</w:t>
      </w:r>
      <w:r>
        <w:rPr>
          <w:rFonts w:hint="eastAsia" w:ascii="宋体" w:hAnsi="宋体" w:eastAsia="宋体" w:cs="宋体"/>
          <w:b w:val="0"/>
          <w:color w:val="auto"/>
          <w:sz w:val="22"/>
          <w:highlight w:val="none"/>
        </w:rPr>
        <w:t>其他管理要求</w:t>
      </w:r>
    </w:p>
    <w:p w14:paraId="4EC8B173">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各维修与养护单位要进行养护情况考核的同时，还需遵循温州市鹿城区市政公用管理处的市政设施管理其他各项方案的要求，并根据其违反方案要求的内容，采取适宜的处罚措施。</w:t>
      </w:r>
    </w:p>
    <w:p w14:paraId="6A3DFF98">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7</w:t>
      </w:r>
      <w:r>
        <w:rPr>
          <w:rFonts w:hint="eastAsia" w:ascii="宋体" w:hAnsi="宋体" w:eastAsia="宋体" w:cs="宋体"/>
          <w:b w:val="0"/>
          <w:color w:val="auto"/>
          <w:sz w:val="22"/>
          <w:highlight w:val="none"/>
        </w:rPr>
        <w:t>维修与养护单位必须重视安全生产，有健全的安全生产制度，落实安全生产措施，在承包期内的如发生安全责任事故的，维修与养护单位必须承担一切责任（包括经济赔偿和民事责任）。</w:t>
      </w:r>
    </w:p>
    <w:p w14:paraId="6BEE5DD5">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8</w:t>
      </w:r>
      <w:r>
        <w:rPr>
          <w:rFonts w:hint="eastAsia" w:ascii="宋体" w:hAnsi="宋体" w:eastAsia="宋体" w:cs="宋体"/>
          <w:b w:val="0"/>
          <w:color w:val="auto"/>
          <w:sz w:val="22"/>
          <w:highlight w:val="none"/>
        </w:rPr>
        <w:t>维修与养护单位必须文明施工，并保质保量按时完成承担的施工任务。</w:t>
      </w:r>
    </w:p>
    <w:p w14:paraId="7CBCBB39">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9</w:t>
      </w:r>
      <w:r>
        <w:rPr>
          <w:rFonts w:hint="eastAsia" w:ascii="宋体" w:hAnsi="宋体" w:eastAsia="宋体" w:cs="宋体"/>
          <w:b w:val="0"/>
          <w:color w:val="auto"/>
          <w:sz w:val="22"/>
          <w:highlight w:val="none"/>
        </w:rPr>
        <w:t xml:space="preserve">履约保证金 </w:t>
      </w:r>
    </w:p>
    <w:p w14:paraId="2EB6BDAC">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9</w:t>
      </w:r>
      <w:r>
        <w:rPr>
          <w:rFonts w:hint="eastAsia" w:ascii="宋体" w:hAnsi="宋体" w:eastAsia="宋体" w:cs="宋体"/>
          <w:b w:val="0"/>
          <w:color w:val="auto"/>
          <w:sz w:val="22"/>
          <w:highlight w:val="none"/>
        </w:rPr>
        <w:t>.1</w:t>
      </w:r>
      <w:r>
        <w:rPr>
          <w:rFonts w:hint="eastAsia" w:ascii="宋体" w:hAnsi="宋体" w:cs="宋体"/>
          <w:b w:val="0"/>
          <w:color w:val="auto"/>
          <w:sz w:val="22"/>
          <w:highlight w:val="none"/>
          <w:lang w:val="en-US" w:eastAsia="zh-CN"/>
        </w:rPr>
        <w:t>本次招标</w:t>
      </w:r>
      <w:r>
        <w:rPr>
          <w:rFonts w:hint="eastAsia" w:ascii="宋体" w:hAnsi="宋体" w:cs="宋体"/>
          <w:b w:val="0"/>
          <w:color w:val="auto"/>
          <w:sz w:val="22"/>
          <w:highlight w:val="none"/>
          <w:lang w:eastAsia="zh-CN"/>
        </w:rPr>
        <w:t>标项</w:t>
      </w:r>
      <w:r>
        <w:rPr>
          <w:rFonts w:hint="eastAsia" w:ascii="宋体" w:hAnsi="宋体" w:eastAsia="宋体" w:cs="宋体"/>
          <w:b w:val="0"/>
          <w:color w:val="auto"/>
          <w:sz w:val="22"/>
          <w:highlight w:val="none"/>
        </w:rPr>
        <w:t>的中标供应商签订合同前需提供</w:t>
      </w:r>
      <w:r>
        <w:rPr>
          <w:rFonts w:hint="eastAsia" w:ascii="宋体" w:hAnsi="宋体" w:eastAsia="宋体" w:cs="宋体"/>
          <w:b w:val="0"/>
          <w:color w:val="auto"/>
          <w:sz w:val="22"/>
          <w:highlight w:val="none"/>
          <w:lang w:val="en-US" w:eastAsia="zh-CN"/>
        </w:rPr>
        <w:t>合同额1%</w:t>
      </w:r>
      <w:r>
        <w:rPr>
          <w:rFonts w:hint="eastAsia" w:ascii="宋体" w:hAnsi="宋体" w:eastAsia="宋体" w:cs="宋体"/>
          <w:b w:val="0"/>
          <w:color w:val="auto"/>
          <w:sz w:val="22"/>
          <w:highlight w:val="none"/>
        </w:rPr>
        <w:t>的履约保证金(现金或转账或保函形式)</w:t>
      </w:r>
      <w:r>
        <w:rPr>
          <w:rFonts w:hint="eastAsia" w:ascii="宋体" w:hAnsi="宋体" w:cs="宋体"/>
          <w:b w:val="0"/>
          <w:color w:val="auto"/>
          <w:sz w:val="22"/>
          <w:highlight w:val="none"/>
          <w:lang w:eastAsia="zh-CN"/>
        </w:rPr>
        <w:t>。</w:t>
      </w:r>
      <w:r>
        <w:rPr>
          <w:rFonts w:hint="eastAsia" w:ascii="宋体" w:hAnsi="宋体" w:eastAsia="宋体" w:cs="宋体"/>
          <w:b w:val="0"/>
          <w:color w:val="auto"/>
          <w:sz w:val="22"/>
          <w:highlight w:val="none"/>
        </w:rPr>
        <w:t>履约保证金</w:t>
      </w:r>
      <w:r>
        <w:rPr>
          <w:rFonts w:hint="eastAsia" w:ascii="宋体" w:hAnsi="宋体" w:eastAsia="宋体" w:cs="宋体"/>
          <w:b w:val="0"/>
          <w:color w:val="auto"/>
          <w:sz w:val="22"/>
          <w:highlight w:val="none"/>
          <w:lang w:val="en-US" w:eastAsia="zh-CN"/>
        </w:rPr>
        <w:t>在</w:t>
      </w:r>
      <w:r>
        <w:rPr>
          <w:rFonts w:hint="eastAsia" w:ascii="宋体" w:hAnsi="宋体" w:eastAsia="宋体" w:cs="宋体"/>
          <w:b w:val="0"/>
          <w:color w:val="auto"/>
          <w:sz w:val="22"/>
          <w:highlight w:val="none"/>
        </w:rPr>
        <w:t xml:space="preserve">合同期满且达到采购人要求后退还，不计息。 </w:t>
      </w:r>
    </w:p>
    <w:p w14:paraId="64093E4B">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10</w:t>
      </w:r>
      <w:r>
        <w:rPr>
          <w:rFonts w:hint="eastAsia" w:ascii="宋体" w:hAnsi="宋体" w:eastAsia="宋体" w:cs="宋体"/>
          <w:b w:val="0"/>
          <w:color w:val="auto"/>
          <w:sz w:val="22"/>
          <w:highlight w:val="none"/>
        </w:rPr>
        <w:t>项目负责人到位：</w:t>
      </w:r>
      <w:r>
        <w:rPr>
          <w:rFonts w:hint="eastAsia" w:ascii="宋体" w:hAnsi="宋体" w:cs="宋体"/>
          <w:b w:val="0"/>
          <w:color w:val="auto"/>
          <w:sz w:val="22"/>
          <w:highlight w:val="none"/>
          <w:lang w:val="en-US" w:eastAsia="zh-CN"/>
        </w:rPr>
        <w:t>采购人有权对项目负责人实际到岗履职情况进行不定期抽查，</w:t>
      </w:r>
      <w:r>
        <w:rPr>
          <w:rFonts w:hint="eastAsia" w:ascii="宋体" w:hAnsi="宋体" w:eastAsia="宋体" w:cs="宋体"/>
          <w:b w:val="0"/>
          <w:color w:val="auto"/>
          <w:sz w:val="22"/>
          <w:highlight w:val="none"/>
        </w:rPr>
        <w:t>经查实存在项目负责人未经批准，擅自离开,每</w:t>
      </w:r>
      <w:r>
        <w:rPr>
          <w:rFonts w:hint="eastAsia" w:ascii="宋体" w:hAnsi="宋体" w:cs="宋体"/>
          <w:b w:val="0"/>
          <w:color w:val="auto"/>
          <w:sz w:val="22"/>
          <w:highlight w:val="none"/>
          <w:lang w:val="en-US" w:eastAsia="zh-CN"/>
        </w:rPr>
        <w:t>发现一次</w:t>
      </w:r>
      <w:r>
        <w:rPr>
          <w:rFonts w:hint="eastAsia" w:ascii="宋体" w:hAnsi="宋体" w:eastAsia="宋体" w:cs="宋体"/>
          <w:b w:val="0"/>
          <w:color w:val="auto"/>
          <w:sz w:val="22"/>
          <w:highlight w:val="none"/>
        </w:rPr>
        <w:t>维修与养护单位向</w:t>
      </w:r>
      <w:r>
        <w:rPr>
          <w:rFonts w:hint="eastAsia" w:ascii="宋体" w:hAnsi="宋体" w:cs="宋体"/>
          <w:b w:val="0"/>
          <w:color w:val="auto"/>
          <w:sz w:val="22"/>
          <w:highlight w:val="none"/>
          <w:lang w:val="en-US" w:eastAsia="zh-CN"/>
        </w:rPr>
        <w:t>采购人</w:t>
      </w:r>
      <w:r>
        <w:rPr>
          <w:rFonts w:hint="eastAsia" w:ascii="宋体" w:hAnsi="宋体" w:eastAsia="宋体" w:cs="宋体"/>
          <w:b w:val="0"/>
          <w:color w:val="auto"/>
          <w:sz w:val="22"/>
          <w:highlight w:val="none"/>
        </w:rPr>
        <w:t>支付违约金1000元人民币；维修与养护单位后未经采购人同意，不得擅自更换项目负责人，否则每</w:t>
      </w:r>
      <w:r>
        <w:rPr>
          <w:rFonts w:hint="eastAsia" w:ascii="宋体" w:hAnsi="宋体" w:cs="宋体"/>
          <w:b w:val="0"/>
          <w:color w:val="auto"/>
          <w:sz w:val="22"/>
          <w:highlight w:val="none"/>
          <w:lang w:val="en-US" w:eastAsia="zh-CN"/>
        </w:rPr>
        <w:t>发现一次擅自更换的</w:t>
      </w:r>
      <w:r>
        <w:rPr>
          <w:rFonts w:hint="eastAsia" w:ascii="宋体" w:hAnsi="宋体" w:eastAsia="宋体" w:cs="宋体"/>
          <w:b w:val="0"/>
          <w:color w:val="auto"/>
          <w:sz w:val="22"/>
          <w:highlight w:val="none"/>
        </w:rPr>
        <w:t xml:space="preserve">，维修与养护单位向采购人支付违约金3000元。违约金直接从下一次支付工程款中扣除。 </w:t>
      </w:r>
    </w:p>
    <w:p w14:paraId="5AC50A87">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11</w:t>
      </w:r>
      <w:r>
        <w:rPr>
          <w:rFonts w:hint="eastAsia" w:ascii="宋体" w:hAnsi="宋体" w:eastAsia="宋体" w:cs="宋体"/>
          <w:b w:val="0"/>
          <w:color w:val="auto"/>
          <w:sz w:val="22"/>
          <w:highlight w:val="none"/>
        </w:rPr>
        <w:t xml:space="preserve">项目班组管理人员到位：采购人有权对项目班组管理人员实际到岗履职情况进行不定期抽查，经查实存在项目班组管理人员未经批准，擅自离开,每发现一次维修与养护单位向采购人支付违约金500元人民币；维修与养护单位后未经采购人同意，不得擅自更换项目班组管理人员，否则每发现一次擅自更换的，维修与养护单位向采购人支付违约金1000元。违约金直接从下一次支付工程款中扣除。 </w:t>
      </w:r>
    </w:p>
    <w:p w14:paraId="162D913F">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cs="宋体"/>
          <w:b w:val="0"/>
          <w:color w:val="auto"/>
          <w:sz w:val="22"/>
          <w:highlight w:val="none"/>
          <w:lang w:val="en-US" w:eastAsia="zh-CN"/>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12</w:t>
      </w:r>
      <w:r>
        <w:rPr>
          <w:rFonts w:hint="eastAsia" w:ascii="宋体" w:hAnsi="宋体" w:eastAsia="宋体" w:cs="宋体"/>
          <w:b w:val="0"/>
          <w:color w:val="auto"/>
          <w:sz w:val="22"/>
          <w:highlight w:val="none"/>
        </w:rPr>
        <w:t>安全文明施工：</w:t>
      </w:r>
      <w:r>
        <w:rPr>
          <w:rFonts w:hint="default" w:ascii="宋体" w:hAnsi="宋体" w:eastAsia="宋体" w:cs="宋体"/>
          <w:b w:val="0"/>
          <w:color w:val="auto"/>
          <w:sz w:val="22"/>
          <w:highlight w:val="none"/>
          <w:lang w:val="en-US"/>
        </w:rPr>
        <w:t>维修与养护单位</w:t>
      </w:r>
      <w:r>
        <w:rPr>
          <w:rFonts w:hint="eastAsia" w:ascii="宋体" w:hAnsi="宋体" w:eastAsia="宋体" w:cs="宋体"/>
          <w:b w:val="0"/>
          <w:color w:val="auto"/>
          <w:sz w:val="22"/>
          <w:highlight w:val="none"/>
        </w:rPr>
        <w:t>在施工过程中必须满足</w:t>
      </w:r>
      <w:r>
        <w:rPr>
          <w:rFonts w:hint="eastAsia" w:ascii="宋体" w:hAnsi="宋体" w:eastAsia="宋体" w:cs="宋体"/>
          <w:b w:val="0"/>
          <w:color w:val="auto"/>
          <w:sz w:val="22"/>
          <w:highlight w:val="none"/>
          <w:lang w:eastAsia="zh-CN"/>
        </w:rPr>
        <w:t>《温州市市政设施管理条例》、</w:t>
      </w:r>
      <w:r>
        <w:rPr>
          <w:rFonts w:hint="eastAsia" w:ascii="宋体" w:hAnsi="宋体" w:eastAsia="宋体" w:cs="宋体"/>
          <w:b w:val="0"/>
          <w:color w:val="auto"/>
          <w:sz w:val="22"/>
          <w:highlight w:val="none"/>
        </w:rPr>
        <w:t>《温州市区城市道路挖掘管理规定》（温城法发〔2013〕30号）及其他有关规定要求，否则采购人有权利酌情扣除</w:t>
      </w:r>
      <w:r>
        <w:rPr>
          <w:rFonts w:hint="eastAsia" w:ascii="宋体" w:hAnsi="宋体" w:cs="宋体"/>
          <w:b w:val="0"/>
          <w:color w:val="auto"/>
          <w:sz w:val="22"/>
          <w:highlight w:val="none"/>
          <w:lang w:val="en-US" w:eastAsia="zh-CN"/>
        </w:rPr>
        <w:t>违约金，违约金直接从下一次支付工程款中扣除</w:t>
      </w:r>
      <w:r>
        <w:rPr>
          <w:rFonts w:hint="eastAsia" w:ascii="宋体" w:hAnsi="宋体" w:eastAsia="宋体" w:cs="宋体"/>
          <w:b w:val="0"/>
          <w:color w:val="auto"/>
          <w:sz w:val="22"/>
          <w:highlight w:val="none"/>
        </w:rPr>
        <w:t>。</w:t>
      </w:r>
    </w:p>
    <w:p w14:paraId="186CAA61">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color w:val="auto"/>
          <w:highlight w:val="none"/>
        </w:rPr>
      </w:pPr>
      <w:r>
        <w:rPr>
          <w:rFonts w:hint="eastAsia" w:ascii="宋体" w:hAnsi="宋体" w:eastAsia="宋体" w:cs="宋体"/>
          <w:b w:val="0"/>
          <w:color w:val="auto"/>
          <w:sz w:val="22"/>
          <w:highlight w:val="none"/>
        </w:rPr>
        <w:t>2.</w:t>
      </w:r>
      <w:r>
        <w:rPr>
          <w:rFonts w:hint="eastAsia" w:ascii="宋体" w:hAnsi="宋体" w:cs="宋体"/>
          <w:b w:val="0"/>
          <w:color w:val="auto"/>
          <w:sz w:val="22"/>
          <w:highlight w:val="none"/>
          <w:lang w:val="en-US" w:eastAsia="zh-CN"/>
        </w:rPr>
        <w:t>13</w:t>
      </w:r>
      <w:r>
        <w:rPr>
          <w:rFonts w:hint="eastAsia" w:ascii="宋体" w:hAnsi="宋体" w:eastAsia="宋体" w:cs="宋体"/>
          <w:b w:val="0"/>
          <w:color w:val="auto"/>
          <w:sz w:val="22"/>
          <w:highlight w:val="none"/>
        </w:rPr>
        <w:t>农民工工资支付：</w:t>
      </w:r>
      <w:r>
        <w:rPr>
          <w:rFonts w:hint="default" w:ascii="宋体" w:hAnsi="宋体" w:eastAsia="宋体" w:cs="宋体"/>
          <w:b w:val="0"/>
          <w:color w:val="auto"/>
          <w:sz w:val="22"/>
          <w:highlight w:val="none"/>
          <w:lang w:val="en-US"/>
        </w:rPr>
        <w:t>维修与养护</w:t>
      </w:r>
      <w:r>
        <w:rPr>
          <w:rFonts w:hint="eastAsia" w:ascii="宋体" w:hAnsi="宋体" w:eastAsia="宋体" w:cs="宋体"/>
          <w:b w:val="0"/>
          <w:color w:val="auto"/>
          <w:sz w:val="22"/>
          <w:highlight w:val="none"/>
        </w:rPr>
        <w:t>单位必须按时支付农民工工资，否则采购人有权利酌情扣除违约金，违约金直接从下一次支付工程款中扣除。</w:t>
      </w:r>
    </w:p>
    <w:p w14:paraId="3E8BC8BD">
      <w:pPr>
        <w:keepNext w:val="0"/>
        <w:keepLines w:val="0"/>
        <w:pageBreakBefore w:val="0"/>
        <w:kinsoku/>
        <w:wordWrap/>
        <w:overflowPunct/>
        <w:topLinePunct w:val="0"/>
        <w:bidi w:val="0"/>
        <w:snapToGrid/>
        <w:spacing w:line="360" w:lineRule="auto"/>
        <w:ind w:left="0" w:leftChars="0"/>
        <w:rPr>
          <w:rFonts w:hint="eastAsia" w:ascii="宋体" w:hAnsi="宋体" w:eastAsia="宋体" w:cs="宋体"/>
          <w:color w:val="auto"/>
          <w:highlight w:val="none"/>
        </w:rPr>
      </w:pPr>
    </w:p>
    <w:p w14:paraId="6EDF37CE">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p>
    <w:p w14:paraId="135C413C">
      <w:pPr>
        <w:rPr>
          <w:rFonts w:hint="eastAsia"/>
          <w:color w:val="auto"/>
          <w:highlight w:val="none"/>
        </w:rPr>
        <w:sectPr>
          <w:pgSz w:w="11906" w:h="16838"/>
          <w:pgMar w:top="1134" w:right="1134" w:bottom="1134" w:left="1134" w:header="851" w:footer="850" w:gutter="0"/>
          <w:pgNumType w:fmt="decimal"/>
          <w:cols w:space="720" w:num="1"/>
          <w:titlePg/>
          <w:docGrid w:linePitch="312" w:charSpace="0"/>
        </w:sectPr>
      </w:pPr>
    </w:p>
    <w:p w14:paraId="033CC98C">
      <w:pPr>
        <w:pStyle w:val="3"/>
        <w:rPr>
          <w:rFonts w:hint="default" w:ascii="宋体" w:hAnsi="宋体" w:eastAsia="宋体" w:cs="Arial"/>
          <w:color w:val="auto"/>
          <w:sz w:val="36"/>
          <w:szCs w:val="36"/>
          <w:highlight w:val="none"/>
          <w:lang w:val="en-US" w:eastAsia="zh-CN"/>
        </w:rPr>
      </w:pPr>
      <w:r>
        <w:rPr>
          <w:rFonts w:hint="eastAsia" w:ascii="宋体" w:hAnsi="宋体" w:eastAsia="宋体" w:cs="Arial"/>
          <w:color w:val="auto"/>
          <w:sz w:val="36"/>
          <w:szCs w:val="36"/>
          <w:highlight w:val="none"/>
        </w:rPr>
        <w:t xml:space="preserve">第三部分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eastAsia="宋体" w:cs="Arial"/>
          <w:color w:val="auto"/>
          <w:sz w:val="36"/>
          <w:szCs w:val="36"/>
          <w:highlight w:val="none"/>
          <w:lang w:val="en-US" w:eastAsia="zh-CN"/>
        </w:rPr>
        <w:t>评标原则及方法</w:t>
      </w:r>
      <w:bookmarkEnd w:id="192"/>
    </w:p>
    <w:p w14:paraId="24C0E174">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14:paraId="5DE03BFB">
      <w:pPr>
        <w:pStyle w:val="24"/>
        <w:spacing w:before="120" w:beforeLines="50" w:afterLines="50"/>
        <w:rPr>
          <w:rFonts w:ascii="宋体" w:hAnsi="宋体" w:cs="Arial"/>
          <w:b/>
          <w:color w:val="auto"/>
          <w:highlight w:val="none"/>
        </w:rPr>
      </w:pPr>
      <w:bookmarkStart w:id="193" w:name="_Toc221356898"/>
      <w:bookmarkStart w:id="194" w:name="_Toc221356961"/>
      <w:r>
        <w:rPr>
          <w:rFonts w:hint="eastAsia" w:ascii="宋体" w:hAnsi="宋体" w:cs="Arial"/>
          <w:b/>
          <w:color w:val="auto"/>
          <w:highlight w:val="none"/>
        </w:rPr>
        <w:t>一. 总  则</w:t>
      </w:r>
      <w:bookmarkEnd w:id="193"/>
      <w:bookmarkEnd w:id="194"/>
    </w:p>
    <w:p w14:paraId="3FC5ECCA">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693902">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15DC222C">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70071A07">
      <w:pPr>
        <w:spacing w:line="420" w:lineRule="exact"/>
        <w:rPr>
          <w:rFonts w:hint="eastAsia" w:ascii="宋体" w:hAnsi="宋体" w:cs="Arial"/>
          <w:b/>
          <w:color w:val="auto"/>
          <w:sz w:val="22"/>
          <w:highlight w:val="none"/>
          <w:lang w:val="en-US" w:eastAsia="zh-CN"/>
        </w:rPr>
      </w:pPr>
      <w:r>
        <w:rPr>
          <w:rFonts w:hint="eastAsia" w:ascii="宋体" w:hAnsi="宋体" w:cs="Arial"/>
          <w:b/>
          <w:color w:val="auto"/>
          <w:sz w:val="22"/>
          <w:highlight w:val="none"/>
        </w:rPr>
        <w:t>三、</w:t>
      </w:r>
      <w:r>
        <w:rPr>
          <w:rFonts w:hint="eastAsia" w:ascii="宋体" w:hAnsi="宋体" w:cs="Arial"/>
          <w:b/>
          <w:color w:val="auto"/>
          <w:sz w:val="22"/>
          <w:highlight w:val="none"/>
          <w:lang w:val="en-US" w:eastAsia="zh-CN"/>
        </w:rPr>
        <w:t>评标程序</w:t>
      </w:r>
    </w:p>
    <w:p w14:paraId="1460D6BA">
      <w:pPr>
        <w:spacing w:line="420" w:lineRule="exact"/>
        <w:ind w:left="439" w:leftChars="209"/>
        <w:rPr>
          <w:rFonts w:hint="eastAsia" w:ascii="宋体" w:hAnsi="宋体" w:cs="Times New Roman"/>
          <w:b w:val="0"/>
          <w:color w:val="auto"/>
          <w:sz w:val="22"/>
          <w:szCs w:val="22"/>
          <w:highlight w:val="none"/>
          <w:lang w:val="en-US" w:eastAsia="zh-CN"/>
        </w:rPr>
      </w:pPr>
      <w:r>
        <w:rPr>
          <w:rFonts w:hint="eastAsia" w:ascii="宋体" w:hAnsi="宋体" w:cs="Times New Roman"/>
          <w:b w:val="0"/>
          <w:color w:val="auto"/>
          <w:sz w:val="22"/>
          <w:szCs w:val="22"/>
          <w:highlight w:val="none"/>
          <w:lang w:val="en-US" w:eastAsia="zh-CN"/>
        </w:rPr>
        <w:t>开标后，采购人或采购代理对投标人的资格进行审查；然后评标委员会对合格投标人的进行符合性审查，按照招标文件中规定的评标方法和标准，对符合性审查合格的投标文件进行商务和技术评估，综合比较与评价。</w:t>
      </w:r>
    </w:p>
    <w:p w14:paraId="12BE7FD0">
      <w:pPr>
        <w:spacing w:line="420" w:lineRule="exact"/>
        <w:rPr>
          <w:rFonts w:ascii="宋体" w:hAnsi="宋体" w:cs="Arial"/>
          <w:b/>
          <w:color w:val="auto"/>
          <w:sz w:val="22"/>
          <w:highlight w:val="none"/>
        </w:rPr>
      </w:pPr>
      <w:r>
        <w:rPr>
          <w:rFonts w:hint="eastAsia" w:ascii="宋体" w:hAnsi="宋体" w:cs="Arial"/>
          <w:b/>
          <w:color w:val="auto"/>
          <w:sz w:val="22"/>
          <w:highlight w:val="none"/>
          <w:lang w:val="en-US" w:eastAsia="zh-CN"/>
        </w:rPr>
        <w:t>四、</w:t>
      </w:r>
      <w:r>
        <w:rPr>
          <w:rFonts w:hint="eastAsia" w:ascii="宋体" w:hAnsi="宋体" w:cs="Arial"/>
          <w:b/>
          <w:color w:val="auto"/>
          <w:sz w:val="22"/>
          <w:highlight w:val="none"/>
        </w:rPr>
        <w:t>评标办法</w:t>
      </w:r>
    </w:p>
    <w:p w14:paraId="44EAAD42">
      <w:pPr>
        <w:rPr>
          <w:rFonts w:hint="eastAsia"/>
          <w:color w:val="auto"/>
          <w:highlight w:val="none"/>
        </w:rPr>
      </w:pPr>
      <w:bookmarkStart w:id="195" w:name="_Toc221356902"/>
      <w:bookmarkStart w:id="196" w:name="_Toc221356965"/>
    </w:p>
    <w:p w14:paraId="5C029D9D">
      <w:pPr>
        <w:spacing w:line="360" w:lineRule="auto"/>
        <w:ind w:left="420" w:leftChars="20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评标办法均采取综合评分法，其中技术资信标90分（技术权值为90%），商务（价格）标10分（价格权值为10%）。即最大限度地满足招标文件实质性要求前提下，按照招标文件中规定的各项评分内容进行综合评审。</w:t>
      </w:r>
    </w:p>
    <w:p w14:paraId="56ADEF2A">
      <w:pPr>
        <w:spacing w:line="360" w:lineRule="auto"/>
        <w:ind w:left="420" w:leftChars="20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评标过程中遇到特殊情况，由评标委员会遵循公平、公正原则，采取记名投票方式按照少数服从多数原则决定。</w:t>
      </w:r>
    </w:p>
    <w:p w14:paraId="583D3781">
      <w:pPr>
        <w:spacing w:line="420" w:lineRule="exact"/>
        <w:rPr>
          <w:rFonts w:ascii="宋体" w:hAnsi="宋体" w:cs="Arial"/>
          <w:b/>
          <w:color w:val="auto"/>
          <w:sz w:val="22"/>
          <w:highlight w:val="none"/>
        </w:rPr>
      </w:pPr>
      <w:r>
        <w:rPr>
          <w:rFonts w:hint="eastAsia" w:ascii="宋体" w:hAnsi="宋体" w:cs="Arial"/>
          <w:b/>
          <w:color w:val="auto"/>
          <w:sz w:val="22"/>
          <w:highlight w:val="none"/>
          <w:lang w:val="en-US" w:eastAsia="zh-CN"/>
        </w:rPr>
        <w:t>五</w:t>
      </w:r>
      <w:r>
        <w:rPr>
          <w:rFonts w:hint="eastAsia" w:ascii="宋体" w:hAnsi="宋体" w:cs="Arial"/>
          <w:b/>
          <w:color w:val="auto"/>
          <w:sz w:val="22"/>
          <w:highlight w:val="none"/>
        </w:rPr>
        <w:t>、评分细则</w:t>
      </w:r>
      <w:bookmarkEnd w:id="195"/>
      <w:bookmarkEnd w:id="196"/>
    </w:p>
    <w:p w14:paraId="5A7605F4">
      <w:pPr>
        <w:spacing w:line="400" w:lineRule="exact"/>
        <w:rPr>
          <w:rFonts w:hint="default" w:ascii="宋体" w:hAnsi="宋体" w:eastAsia="宋体" w:cs="Arial"/>
          <w:color w:val="auto"/>
          <w:sz w:val="22"/>
          <w:highlight w:val="none"/>
          <w:lang w:val="en-US" w:eastAsia="zh-CN"/>
        </w:rPr>
      </w:pPr>
      <w:bookmarkStart w:id="197" w:name="_Toc221356903"/>
      <w:bookmarkStart w:id="198" w:name="_Toc221356966"/>
      <w:r>
        <w:rPr>
          <w:rFonts w:hint="eastAsia" w:ascii="宋体" w:hAnsi="宋体" w:cs="Arial"/>
          <w:color w:val="auto"/>
          <w:sz w:val="22"/>
          <w:highlight w:val="none"/>
        </w:rPr>
        <w:t>1、商务技术分的评定（</w:t>
      </w:r>
      <w:r>
        <w:rPr>
          <w:rFonts w:hint="eastAsia" w:ascii="宋体" w:hAnsi="宋体" w:cs="Arial"/>
          <w:color w:val="auto"/>
          <w:sz w:val="22"/>
          <w:highlight w:val="none"/>
          <w:lang w:val="en-US" w:eastAsia="zh-CN"/>
        </w:rPr>
        <w:t>90分</w:t>
      </w:r>
      <w:r>
        <w:rPr>
          <w:rFonts w:hint="eastAsia" w:ascii="宋体" w:hAnsi="宋体" w:cs="Arial"/>
          <w:color w:val="auto"/>
          <w:sz w:val="22"/>
          <w:highlight w:val="none"/>
        </w:rPr>
        <w:t>）</w:t>
      </w:r>
    </w:p>
    <w:p w14:paraId="5EAC8E21">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
        <w:gridCol w:w="1140"/>
        <w:gridCol w:w="768"/>
        <w:gridCol w:w="6633"/>
        <w:gridCol w:w="982"/>
      </w:tblGrid>
      <w:tr w14:paraId="7873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70B4A757">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140" w:type="dxa"/>
            <w:tcBorders>
              <w:top w:val="single" w:color="auto" w:sz="4" w:space="0"/>
              <w:left w:val="single" w:color="auto" w:sz="4" w:space="0"/>
              <w:bottom w:val="single" w:color="auto" w:sz="4" w:space="0"/>
              <w:right w:val="single" w:color="auto" w:sz="4" w:space="0"/>
            </w:tcBorders>
            <w:noWrap/>
            <w:vAlign w:val="center"/>
          </w:tcPr>
          <w:p w14:paraId="763CE5F1">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评分内容</w:t>
            </w:r>
          </w:p>
        </w:tc>
        <w:tc>
          <w:tcPr>
            <w:tcW w:w="768" w:type="dxa"/>
            <w:tcBorders>
              <w:top w:val="single" w:color="auto" w:sz="4" w:space="0"/>
              <w:left w:val="single" w:color="auto" w:sz="4" w:space="0"/>
              <w:bottom w:val="single" w:color="auto" w:sz="4" w:space="0"/>
              <w:right w:val="single" w:color="auto" w:sz="4" w:space="0"/>
            </w:tcBorders>
            <w:noWrap/>
            <w:vAlign w:val="center"/>
          </w:tcPr>
          <w:p w14:paraId="2387328C">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分值（分）</w:t>
            </w:r>
          </w:p>
        </w:tc>
        <w:tc>
          <w:tcPr>
            <w:tcW w:w="6633" w:type="dxa"/>
            <w:tcBorders>
              <w:top w:val="single" w:color="auto" w:sz="4" w:space="0"/>
              <w:left w:val="single" w:color="auto" w:sz="4" w:space="0"/>
              <w:bottom w:val="single" w:color="auto" w:sz="4" w:space="0"/>
              <w:right w:val="single" w:color="auto" w:sz="4" w:space="0"/>
            </w:tcBorders>
            <w:noWrap/>
            <w:vAlign w:val="center"/>
          </w:tcPr>
          <w:p w14:paraId="48D9CA85">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评分标准说明</w:t>
            </w:r>
          </w:p>
        </w:tc>
        <w:tc>
          <w:tcPr>
            <w:tcW w:w="982" w:type="dxa"/>
            <w:tcBorders>
              <w:top w:val="single" w:color="auto" w:sz="4" w:space="0"/>
              <w:left w:val="single" w:color="auto" w:sz="4" w:space="0"/>
              <w:bottom w:val="single" w:color="auto" w:sz="4" w:space="0"/>
              <w:right w:val="single" w:color="auto" w:sz="4" w:space="0"/>
            </w:tcBorders>
            <w:noWrap/>
            <w:vAlign w:val="center"/>
          </w:tcPr>
          <w:p w14:paraId="2E42D1DE">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备注</w:t>
            </w:r>
          </w:p>
        </w:tc>
      </w:tr>
      <w:tr w14:paraId="2B67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2E365897">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1140" w:type="dxa"/>
            <w:tcBorders>
              <w:top w:val="single" w:color="auto" w:sz="4" w:space="0"/>
              <w:left w:val="single" w:color="auto" w:sz="4" w:space="0"/>
              <w:bottom w:val="single" w:color="auto" w:sz="4" w:space="0"/>
              <w:right w:val="single" w:color="auto" w:sz="4" w:space="0"/>
            </w:tcBorders>
            <w:noWrap/>
            <w:vAlign w:val="center"/>
          </w:tcPr>
          <w:p w14:paraId="7CA51AA4">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企业综合实力</w:t>
            </w:r>
          </w:p>
        </w:tc>
        <w:tc>
          <w:tcPr>
            <w:tcW w:w="768" w:type="dxa"/>
            <w:tcBorders>
              <w:top w:val="single" w:color="auto" w:sz="4" w:space="0"/>
              <w:left w:val="single" w:color="auto" w:sz="4" w:space="0"/>
              <w:bottom w:val="single" w:color="auto" w:sz="4" w:space="0"/>
              <w:right w:val="single" w:color="auto" w:sz="4" w:space="0"/>
            </w:tcBorders>
            <w:noWrap/>
            <w:vAlign w:val="center"/>
          </w:tcPr>
          <w:p w14:paraId="0CDD0C22">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000E97E9">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投标人具有有效的质量管理体系认证、环境质量管理体系认证、职业健康安全管理体系认证，每提供1个证书得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证书覆盖范围</w:t>
            </w:r>
            <w:r>
              <w:rPr>
                <w:rFonts w:hint="eastAsia" w:ascii="宋体" w:hAnsi="宋体" w:cs="宋体"/>
                <w:b w:val="0"/>
                <w:bCs w:val="0"/>
                <w:color w:val="auto"/>
                <w:sz w:val="22"/>
                <w:szCs w:val="22"/>
                <w:highlight w:val="none"/>
                <w:lang w:val="en-US" w:eastAsia="zh-CN"/>
              </w:rPr>
              <w:t>需含</w:t>
            </w:r>
            <w:r>
              <w:rPr>
                <w:rFonts w:hint="eastAsia" w:ascii="宋体" w:hAnsi="宋体" w:eastAsia="宋体" w:cs="宋体"/>
                <w:b w:val="0"/>
                <w:bCs w:val="0"/>
                <w:color w:val="auto"/>
                <w:sz w:val="22"/>
                <w:szCs w:val="22"/>
                <w:highlight w:val="none"/>
                <w:lang w:val="en-US" w:eastAsia="zh-CN"/>
              </w:rPr>
              <w:t>市政公用工程施工</w:t>
            </w:r>
            <w:r>
              <w:rPr>
                <w:rFonts w:hint="eastAsia" w:ascii="宋体" w:hAnsi="宋体" w:cs="宋体"/>
                <w:b w:val="0"/>
                <w:bCs w:val="0"/>
                <w:color w:val="auto"/>
                <w:sz w:val="22"/>
                <w:szCs w:val="22"/>
                <w:highlight w:val="none"/>
                <w:lang w:val="en-US" w:eastAsia="zh-CN"/>
              </w:rPr>
              <w:t>）</w:t>
            </w:r>
          </w:p>
          <w:p w14:paraId="40D0E935">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认证证书须在有效期内且证书状态为有效，提供以上证书复制件以及全国认证认可信息公共服务平台(http://cx.cnca.cn/CertECloud/result/skipResultList）查询到相关有效的证书信息网页截图加盖公章。未按要求提供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1667D08E">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客观分</w:t>
            </w:r>
          </w:p>
        </w:tc>
      </w:tr>
      <w:tr w14:paraId="1AF7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57FFA6A3">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1140" w:type="dxa"/>
            <w:tcBorders>
              <w:top w:val="single" w:color="auto" w:sz="4" w:space="0"/>
              <w:left w:val="single" w:color="auto" w:sz="4" w:space="0"/>
              <w:bottom w:val="single" w:color="auto" w:sz="4" w:space="0"/>
              <w:right w:val="single" w:color="auto" w:sz="4" w:space="0"/>
            </w:tcBorders>
            <w:noWrap/>
            <w:vAlign w:val="center"/>
          </w:tcPr>
          <w:p w14:paraId="5B53B031">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工程情况剖析</w:t>
            </w:r>
          </w:p>
        </w:tc>
        <w:tc>
          <w:tcPr>
            <w:tcW w:w="768" w:type="dxa"/>
            <w:tcBorders>
              <w:top w:val="single" w:color="auto" w:sz="4" w:space="0"/>
              <w:left w:val="single" w:color="auto" w:sz="4" w:space="0"/>
              <w:bottom w:val="single" w:color="auto" w:sz="4" w:space="0"/>
              <w:right w:val="single" w:color="auto" w:sz="4" w:space="0"/>
            </w:tcBorders>
            <w:noWrap/>
            <w:vAlign w:val="center"/>
          </w:tcPr>
          <w:p w14:paraId="0DC0DA4F">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6633" w:type="dxa"/>
            <w:tcBorders>
              <w:top w:val="single" w:color="auto" w:sz="4" w:space="0"/>
              <w:left w:val="single" w:color="auto" w:sz="4" w:space="0"/>
              <w:bottom w:val="single" w:color="auto" w:sz="4" w:space="0"/>
              <w:right w:val="single" w:color="auto" w:sz="4" w:space="0"/>
            </w:tcBorders>
            <w:noWrap/>
            <w:vAlign w:val="center"/>
          </w:tcPr>
          <w:p w14:paraId="1212B8B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对日常零星维养工程的认识与问题剖析，并提出针对性建议</w:t>
            </w:r>
            <w:r>
              <w:rPr>
                <w:rFonts w:hint="eastAsia" w:ascii="宋体" w:hAnsi="宋体" w:cs="宋体"/>
                <w:b w:val="0"/>
                <w:bCs w:val="0"/>
                <w:color w:val="auto"/>
                <w:sz w:val="22"/>
                <w:szCs w:val="22"/>
                <w:highlight w:val="none"/>
                <w:lang w:eastAsia="zh-CN"/>
              </w:rPr>
              <w:t>。</w:t>
            </w:r>
          </w:p>
          <w:p w14:paraId="2D149B0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分析全面合理，准确到位，提出的</w:t>
            </w:r>
            <w:r>
              <w:rPr>
                <w:rFonts w:hint="eastAsia" w:ascii="宋体" w:hAnsi="宋体" w:cs="宋体"/>
                <w:b w:val="0"/>
                <w:bCs w:val="0"/>
                <w:color w:val="auto"/>
                <w:sz w:val="22"/>
                <w:szCs w:val="22"/>
                <w:highlight w:val="none"/>
                <w:lang w:val="en-US" w:eastAsia="zh-CN"/>
              </w:rPr>
              <w:t>建议</w:t>
            </w:r>
            <w:r>
              <w:rPr>
                <w:rFonts w:hint="eastAsia" w:ascii="宋体" w:hAnsi="宋体" w:eastAsia="宋体" w:cs="宋体"/>
                <w:b w:val="0"/>
                <w:bCs w:val="0"/>
                <w:color w:val="auto"/>
                <w:sz w:val="22"/>
                <w:szCs w:val="22"/>
                <w:highlight w:val="none"/>
                <w:lang w:val="en-US" w:eastAsia="zh-CN"/>
              </w:rPr>
              <w:t>针对性强，切实有效可行</w:t>
            </w:r>
            <w:r>
              <w:rPr>
                <w:rFonts w:hint="eastAsia" w:ascii="宋体" w:hAnsi="宋体" w:cs="宋体"/>
                <w:b w:val="0"/>
                <w:bCs w:val="0"/>
                <w:color w:val="auto"/>
                <w:sz w:val="22"/>
                <w:szCs w:val="22"/>
                <w:highlight w:val="none"/>
                <w:lang w:val="en-US" w:eastAsia="zh-CN"/>
              </w:rPr>
              <w:t>的得分6分；</w:t>
            </w:r>
          </w:p>
          <w:p w14:paraId="64AE933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2</w:t>
            </w:r>
            <w:r>
              <w:rPr>
                <w:rFonts w:hint="default" w:ascii="宋体" w:hAnsi="宋体" w:cs="宋体"/>
                <w:b w:val="0"/>
                <w:bCs w:val="0"/>
                <w:color w:val="auto"/>
                <w:sz w:val="22"/>
                <w:szCs w:val="22"/>
                <w:highlight w:val="none"/>
                <w:lang w:val="en-US" w:eastAsia="zh-CN"/>
              </w:rPr>
              <w:t>）分析基本合理，提出的建议</w:t>
            </w:r>
            <w:r>
              <w:rPr>
                <w:rFonts w:hint="eastAsia" w:ascii="宋体" w:hAnsi="宋体" w:cs="宋体"/>
                <w:b w:val="0"/>
                <w:bCs w:val="0"/>
                <w:color w:val="auto"/>
                <w:sz w:val="22"/>
                <w:szCs w:val="22"/>
                <w:highlight w:val="none"/>
                <w:lang w:val="en-US" w:eastAsia="zh-CN"/>
              </w:rPr>
              <w:t>比较有</w:t>
            </w:r>
            <w:r>
              <w:rPr>
                <w:rFonts w:hint="default" w:ascii="宋体" w:hAnsi="宋体" w:cs="宋体"/>
                <w:b w:val="0"/>
                <w:bCs w:val="0"/>
                <w:color w:val="auto"/>
                <w:sz w:val="22"/>
                <w:szCs w:val="22"/>
                <w:highlight w:val="none"/>
                <w:lang w:val="en-US" w:eastAsia="zh-CN"/>
              </w:rPr>
              <w:t>针对性、有效性和可行性的得分</w:t>
            </w:r>
            <w:r>
              <w:rPr>
                <w:rFonts w:hint="eastAsia" w:ascii="宋体" w:hAnsi="宋体" w:cs="宋体"/>
                <w:b w:val="0"/>
                <w:bCs w:val="0"/>
                <w:color w:val="auto"/>
                <w:sz w:val="22"/>
                <w:szCs w:val="22"/>
                <w:highlight w:val="none"/>
                <w:lang w:val="en-US" w:eastAsia="zh-CN"/>
              </w:rPr>
              <w:t>4</w:t>
            </w:r>
            <w:r>
              <w:rPr>
                <w:rFonts w:hint="default" w:ascii="宋体" w:hAnsi="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w:t>
            </w:r>
          </w:p>
          <w:p w14:paraId="3946B57A">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default" w:ascii="宋体" w:hAnsi="宋体" w:cs="宋体"/>
                <w:b w:val="0"/>
                <w:bCs w:val="0"/>
                <w:color w:val="auto"/>
                <w:sz w:val="22"/>
                <w:szCs w:val="22"/>
                <w:highlight w:val="none"/>
                <w:lang w:val="en-US" w:eastAsia="zh-CN"/>
              </w:rPr>
              <w:t>（3）分析比较简单，提出的</w:t>
            </w:r>
            <w:r>
              <w:rPr>
                <w:rFonts w:hint="eastAsia" w:ascii="宋体" w:hAnsi="宋体" w:cs="宋体"/>
                <w:b w:val="0"/>
                <w:bCs w:val="0"/>
                <w:color w:val="auto"/>
                <w:sz w:val="22"/>
                <w:szCs w:val="22"/>
                <w:highlight w:val="none"/>
                <w:lang w:val="en-US" w:eastAsia="zh-CN"/>
              </w:rPr>
              <w:t>建议</w:t>
            </w:r>
            <w:r>
              <w:rPr>
                <w:rFonts w:hint="default" w:ascii="宋体" w:hAnsi="宋体" w:cs="宋体"/>
                <w:b w:val="0"/>
                <w:bCs w:val="0"/>
                <w:color w:val="auto"/>
                <w:sz w:val="22"/>
                <w:szCs w:val="22"/>
                <w:highlight w:val="none"/>
                <w:lang w:val="en-US" w:eastAsia="zh-CN"/>
              </w:rPr>
              <w:t>缺乏针对性、有效性、可行性的得</w:t>
            </w:r>
            <w:r>
              <w:rPr>
                <w:rFonts w:hint="eastAsia" w:ascii="宋体" w:hAnsi="宋体" w:cs="宋体"/>
                <w:b w:val="0"/>
                <w:bCs w:val="0"/>
                <w:color w:val="auto"/>
                <w:sz w:val="22"/>
                <w:szCs w:val="22"/>
                <w:highlight w:val="none"/>
                <w:lang w:val="en-US" w:eastAsia="zh-CN"/>
              </w:rPr>
              <w:t>2</w:t>
            </w:r>
            <w:r>
              <w:rPr>
                <w:rFonts w:hint="default" w:ascii="宋体" w:hAnsi="宋体" w:cs="宋体"/>
                <w:b w:val="0"/>
                <w:bCs w:val="0"/>
                <w:color w:val="auto"/>
                <w:sz w:val="22"/>
                <w:szCs w:val="22"/>
                <w:highlight w:val="none"/>
                <w:lang w:val="en-US" w:eastAsia="zh-CN"/>
              </w:rPr>
              <w:t>分；</w:t>
            </w:r>
          </w:p>
          <w:p w14:paraId="0C8E49A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3A742D0E">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r>
              <w:rPr>
                <w:rFonts w:hint="eastAsia" w:ascii="宋体" w:hAnsi="宋体" w:cs="宋体"/>
                <w:color w:val="auto"/>
                <w:sz w:val="22"/>
                <w:szCs w:val="22"/>
                <w:highlight w:val="none"/>
                <w:lang w:val="en-US" w:eastAsia="zh-CN"/>
              </w:rPr>
              <w:t>（不含沥青类项目）</w:t>
            </w:r>
          </w:p>
        </w:tc>
      </w:tr>
      <w:tr w14:paraId="3AB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415" w:type="dxa"/>
            <w:tcBorders>
              <w:top w:val="single" w:color="auto" w:sz="4" w:space="0"/>
              <w:left w:val="single" w:color="auto" w:sz="4" w:space="0"/>
              <w:right w:val="single" w:color="auto" w:sz="4" w:space="0"/>
            </w:tcBorders>
            <w:noWrap/>
            <w:vAlign w:val="center"/>
          </w:tcPr>
          <w:p w14:paraId="33D353B4">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c>
          <w:tcPr>
            <w:tcW w:w="1140" w:type="dxa"/>
            <w:tcBorders>
              <w:top w:val="single" w:color="auto" w:sz="4" w:space="0"/>
              <w:left w:val="single" w:color="auto" w:sz="4" w:space="0"/>
              <w:right w:val="single" w:color="auto" w:sz="4" w:space="0"/>
            </w:tcBorders>
            <w:noWrap/>
            <w:vAlign w:val="center"/>
          </w:tcPr>
          <w:p w14:paraId="74940944">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合同履约措施方案</w:t>
            </w:r>
          </w:p>
        </w:tc>
        <w:tc>
          <w:tcPr>
            <w:tcW w:w="768" w:type="dxa"/>
            <w:tcBorders>
              <w:top w:val="single" w:color="auto" w:sz="4" w:space="0"/>
              <w:left w:val="single" w:color="auto" w:sz="4" w:space="0"/>
              <w:right w:val="single" w:color="auto" w:sz="4" w:space="0"/>
            </w:tcBorders>
            <w:noWrap/>
            <w:vAlign w:val="center"/>
          </w:tcPr>
          <w:p w14:paraId="55295814">
            <w:pPr>
              <w:pStyle w:val="76"/>
              <w:keepNext w:val="0"/>
              <w:keepLines w:val="0"/>
              <w:suppressLineNumbers w:val="0"/>
              <w:overflowPunct/>
              <w:autoSpaceDE/>
              <w:autoSpaceDN/>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6633" w:type="dxa"/>
            <w:tcBorders>
              <w:top w:val="single" w:color="auto" w:sz="4" w:space="0"/>
              <w:left w:val="single" w:color="auto" w:sz="4" w:space="0"/>
              <w:bottom w:val="single" w:color="auto" w:sz="4" w:space="0"/>
              <w:right w:val="single" w:color="auto" w:sz="4" w:space="0"/>
            </w:tcBorders>
            <w:noWrap/>
            <w:vAlign w:val="center"/>
          </w:tcPr>
          <w:p w14:paraId="1B2354DA">
            <w:pPr>
              <w:pStyle w:val="124"/>
              <w:keepNext w:val="0"/>
              <w:keepLines w:val="0"/>
              <w:widowControl/>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根据协助巡查措施、巡查记录编排，维修档案建立，安全、文明施工管理保障、施工进度控制等，由评审专家综合打分。</w:t>
            </w:r>
          </w:p>
          <w:p w14:paraId="36524613">
            <w:pPr>
              <w:pStyle w:val="124"/>
              <w:keepNext w:val="0"/>
              <w:keepLines w:val="0"/>
              <w:widowControl/>
              <w:numPr>
                <w:ilvl w:val="0"/>
                <w:numId w:val="41"/>
              </w:numPr>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方案完整具体、切实可行，能满足采购需求，有利于项目实施的得8分；</w:t>
            </w:r>
          </w:p>
          <w:p w14:paraId="3E210920">
            <w:pPr>
              <w:pStyle w:val="124"/>
              <w:keepNext w:val="0"/>
              <w:keepLines w:val="0"/>
              <w:widowControl/>
              <w:numPr>
                <w:ilvl w:val="0"/>
                <w:numId w:val="41"/>
              </w:numPr>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方案较为完整可行，基本符合采购需求的得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CDD92C9">
            <w:pPr>
              <w:pStyle w:val="124"/>
              <w:keepNext w:val="0"/>
              <w:keepLines w:val="0"/>
              <w:widowControl/>
              <w:numPr>
                <w:ilvl w:val="0"/>
                <w:numId w:val="41"/>
              </w:numPr>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方案简单不全，存在明显缺陷遗漏的得2分；</w:t>
            </w:r>
          </w:p>
          <w:p w14:paraId="0566C57F">
            <w:pPr>
              <w:pStyle w:val="124"/>
              <w:keepNext w:val="0"/>
              <w:keepLines w:val="0"/>
              <w:widowControl/>
              <w:numPr>
                <w:ilvl w:val="0"/>
                <w:numId w:val="41"/>
              </w:numPr>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310911C3">
            <w:pPr>
              <w:pStyle w:val="124"/>
              <w:keepNext w:val="0"/>
              <w:keepLines w:val="0"/>
              <w:widowControl/>
              <w:suppressLineNumbers w:val="0"/>
              <w:spacing w:before="0" w:beforeLines="0" w:beforeAutospacing="0" w:after="0" w:afterLines="0" w:afterAutospacing="0" w:line="240" w:lineRule="auto"/>
              <w:ind w:left="63" w:leftChars="30" w:right="63" w:rightChars="30" w:firstLine="0" w:firstLineChars="0"/>
              <w:jc w:val="left"/>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主观分</w:t>
            </w:r>
          </w:p>
        </w:tc>
      </w:tr>
      <w:tr w14:paraId="1E0C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415" w:type="dxa"/>
            <w:vMerge w:val="restart"/>
            <w:tcBorders>
              <w:top w:val="single" w:color="auto" w:sz="4" w:space="0"/>
              <w:left w:val="single" w:color="auto" w:sz="4" w:space="0"/>
              <w:right w:val="single" w:color="auto" w:sz="4" w:space="0"/>
            </w:tcBorders>
            <w:noWrap/>
            <w:vAlign w:val="center"/>
          </w:tcPr>
          <w:p w14:paraId="64B09E49">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4</w:t>
            </w:r>
          </w:p>
        </w:tc>
        <w:tc>
          <w:tcPr>
            <w:tcW w:w="1140" w:type="dxa"/>
            <w:vMerge w:val="restart"/>
            <w:tcBorders>
              <w:top w:val="single" w:color="auto" w:sz="4" w:space="0"/>
              <w:left w:val="single" w:color="auto" w:sz="4" w:space="0"/>
              <w:right w:val="single" w:color="auto" w:sz="4" w:space="0"/>
            </w:tcBorders>
            <w:noWrap/>
            <w:vAlign w:val="center"/>
          </w:tcPr>
          <w:p w14:paraId="4CDBC091">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rPr>
              <w:t>日常维养的</w:t>
            </w:r>
            <w:r>
              <w:rPr>
                <w:rFonts w:hint="eastAsia" w:ascii="宋体" w:hAnsi="宋体" w:eastAsia="宋体" w:cs="宋体"/>
                <w:b/>
                <w:bCs/>
                <w:color w:val="auto"/>
                <w:kern w:val="0"/>
                <w:sz w:val="22"/>
                <w:szCs w:val="22"/>
                <w:highlight w:val="none"/>
                <w:lang w:val="en-US" w:eastAsia="zh-CN"/>
              </w:rPr>
              <w:t>措施方案</w:t>
            </w:r>
            <w:r>
              <w:rPr>
                <w:rFonts w:hint="eastAsia" w:ascii="宋体" w:hAnsi="宋体" w:eastAsia="宋体" w:cs="宋体"/>
                <w:b/>
                <w:bCs/>
                <w:color w:val="auto"/>
                <w:kern w:val="0"/>
                <w:sz w:val="22"/>
                <w:szCs w:val="22"/>
                <w:highlight w:val="none"/>
              </w:rPr>
              <w:t>（实施方案）</w:t>
            </w:r>
          </w:p>
        </w:tc>
        <w:tc>
          <w:tcPr>
            <w:tcW w:w="768" w:type="dxa"/>
            <w:tcBorders>
              <w:top w:val="single" w:color="auto" w:sz="4" w:space="0"/>
              <w:left w:val="single" w:color="auto" w:sz="4" w:space="0"/>
              <w:bottom w:val="single" w:color="auto" w:sz="4" w:space="0"/>
              <w:right w:val="single" w:color="auto" w:sz="4" w:space="0"/>
            </w:tcBorders>
            <w:noWrap/>
            <w:vAlign w:val="center"/>
          </w:tcPr>
          <w:p w14:paraId="4CB18CF0">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79953213">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根据每个施工区域封闭施工措施方案，</w:t>
            </w:r>
            <w:r>
              <w:rPr>
                <w:rFonts w:hint="eastAsia" w:ascii="宋体" w:hAnsi="宋体" w:eastAsia="宋体" w:cs="宋体"/>
                <w:b w:val="0"/>
                <w:bCs w:val="0"/>
                <w:color w:val="auto"/>
                <w:sz w:val="22"/>
                <w:szCs w:val="22"/>
                <w:highlight w:val="none"/>
                <w:lang w:val="en-US" w:eastAsia="zh-CN"/>
              </w:rPr>
              <w:t>由评审专家综合打分。</w:t>
            </w:r>
          </w:p>
          <w:p w14:paraId="19958E1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（1）方案完整具体、切实可行，能满足采购需求，有利于项目实施的得3分；</w:t>
            </w:r>
          </w:p>
          <w:p w14:paraId="18DEED1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（2）方案较为完整可行，基本符合采购需求的得2分；</w:t>
            </w:r>
          </w:p>
          <w:p w14:paraId="16F7811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（3）方案简单不全，存在明显缺陷遗漏的得1分；</w:t>
            </w:r>
          </w:p>
          <w:p w14:paraId="1145046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73E4D255">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主观分</w:t>
            </w:r>
          </w:p>
        </w:tc>
      </w:tr>
      <w:tr w14:paraId="0EBF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644C8DD3">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21E8E440">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0B1A21E5">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732DF08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交通安全</w:t>
            </w:r>
            <w:r>
              <w:rPr>
                <w:rFonts w:hint="eastAsia" w:ascii="宋体" w:hAnsi="宋体" w:eastAsia="宋体" w:cs="宋体"/>
                <w:b w:val="0"/>
                <w:bCs w:val="0"/>
                <w:color w:val="auto"/>
                <w:kern w:val="2"/>
                <w:sz w:val="22"/>
                <w:szCs w:val="22"/>
                <w:highlight w:val="none"/>
                <w:lang w:val="en-US" w:eastAsia="zh-CN" w:bidi="ar-SA"/>
              </w:rPr>
              <w:t>措施方案，</w:t>
            </w:r>
            <w:r>
              <w:rPr>
                <w:rFonts w:hint="eastAsia" w:ascii="宋体" w:hAnsi="宋体" w:eastAsia="宋体" w:cs="宋体"/>
                <w:b w:val="0"/>
                <w:bCs w:val="0"/>
                <w:color w:val="auto"/>
                <w:sz w:val="22"/>
                <w:szCs w:val="22"/>
                <w:highlight w:val="none"/>
                <w:lang w:val="en-US" w:eastAsia="zh-CN"/>
              </w:rPr>
              <w:t>由评审专家综合打分。</w:t>
            </w:r>
          </w:p>
          <w:p w14:paraId="7BA9EE80">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35C09C7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479D5F1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7649164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48B7CBC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主观分</w:t>
            </w:r>
          </w:p>
        </w:tc>
      </w:tr>
      <w:tr w14:paraId="3F4E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73B90111">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2D7C7C6C">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50137400">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40F8BE97">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根据城市道路日常维修</w:t>
            </w:r>
            <w:r>
              <w:rPr>
                <w:rFonts w:hint="eastAsia" w:ascii="宋体" w:hAnsi="宋体" w:eastAsia="宋体" w:cs="宋体"/>
                <w:color w:val="auto"/>
                <w:sz w:val="22"/>
                <w:szCs w:val="22"/>
                <w:highlight w:val="none"/>
              </w:rPr>
              <w:t>维护牌</w:t>
            </w:r>
            <w:r>
              <w:rPr>
                <w:rFonts w:hint="eastAsia" w:ascii="宋体" w:hAnsi="宋体" w:eastAsia="宋体" w:cs="宋体"/>
                <w:color w:val="auto"/>
                <w:sz w:val="22"/>
                <w:szCs w:val="22"/>
                <w:highlight w:val="none"/>
                <w:lang w:val="en-US" w:eastAsia="zh-CN"/>
              </w:rPr>
              <w:t>设计的适用性和配置情况，由评审专家综合打分。</w:t>
            </w:r>
          </w:p>
          <w:p w14:paraId="1CCC70A7">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4C525703">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6F0680F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6446892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p w14:paraId="05FD6397">
            <w:pPr>
              <w:pStyle w:val="25"/>
              <w:keepNext w:val="0"/>
              <w:keepLines w:val="0"/>
              <w:widowControl/>
              <w:suppressLineNumbers w:val="0"/>
              <w:spacing w:before="0" w:beforeLines="0" w:beforeAutospacing="0" w:after="0" w:afterLines="0" w:afterAutospacing="0" w:line="240" w:lineRule="auto"/>
              <w:ind w:left="63" w:leftChars="30" w:right="63" w:rightChars="3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注：基于维养项目特点，根据已</w:t>
            </w:r>
            <w:r>
              <w:rPr>
                <w:rFonts w:hint="eastAsia" w:ascii="宋体" w:hAnsi="宋体" w:eastAsia="宋体" w:cs="宋体"/>
                <w:b/>
                <w:bCs/>
                <w:color w:val="auto"/>
                <w:sz w:val="22"/>
                <w:szCs w:val="22"/>
                <w:highlight w:val="none"/>
              </w:rPr>
              <w:t>具备数量证明材料和承诺拟订制情况</w:t>
            </w:r>
            <w:r>
              <w:rPr>
                <w:rFonts w:hint="eastAsia" w:ascii="宋体" w:hAnsi="宋体" w:eastAsia="宋体" w:cs="宋体"/>
                <w:b/>
                <w:bCs/>
                <w:color w:val="auto"/>
                <w:sz w:val="22"/>
                <w:szCs w:val="22"/>
                <w:highlight w:val="none"/>
                <w:lang w:val="en-US" w:eastAsia="zh-CN"/>
              </w:rPr>
              <w:t>综合评定</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提供</w:t>
            </w:r>
            <w:r>
              <w:rPr>
                <w:rFonts w:hint="eastAsia" w:ascii="宋体" w:hAnsi="宋体" w:eastAsia="宋体" w:cs="宋体"/>
                <w:b/>
                <w:bCs/>
                <w:color w:val="auto"/>
                <w:sz w:val="22"/>
                <w:szCs w:val="22"/>
                <w:highlight w:val="none"/>
              </w:rPr>
              <w:t>参照图片与参数说明，</w:t>
            </w:r>
            <w:r>
              <w:rPr>
                <w:rFonts w:hint="eastAsia" w:ascii="宋体" w:hAnsi="宋体" w:eastAsia="宋体" w:cs="宋体"/>
                <w:b/>
                <w:bCs/>
                <w:color w:val="auto"/>
                <w:sz w:val="22"/>
                <w:szCs w:val="22"/>
                <w:highlight w:val="none"/>
                <w:lang w:val="en-US" w:eastAsia="zh-CN"/>
              </w:rPr>
              <w:t>若仅提供承诺的，</w:t>
            </w:r>
            <w:r>
              <w:rPr>
                <w:rFonts w:hint="eastAsia" w:ascii="宋体" w:hAnsi="宋体" w:eastAsia="宋体" w:cs="宋体"/>
                <w:b/>
                <w:bCs/>
                <w:color w:val="auto"/>
                <w:sz w:val="22"/>
                <w:szCs w:val="22"/>
                <w:highlight w:val="none"/>
              </w:rPr>
              <w:t>今后以此为样板</w:t>
            </w:r>
            <w:r>
              <w:rPr>
                <w:rFonts w:hint="eastAsia" w:ascii="宋体" w:hAnsi="宋体" w:eastAsia="宋体" w:cs="宋体"/>
                <w:b/>
                <w:bCs/>
                <w:color w:val="auto"/>
                <w:sz w:val="22"/>
                <w:szCs w:val="22"/>
                <w:highlight w:val="none"/>
                <w:lang w:val="en-US" w:eastAsia="zh-CN"/>
              </w:rPr>
              <w:t>配置</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w:t>
            </w:r>
          </w:p>
        </w:tc>
        <w:tc>
          <w:tcPr>
            <w:tcW w:w="982" w:type="dxa"/>
            <w:tcBorders>
              <w:top w:val="single" w:color="auto" w:sz="4" w:space="0"/>
              <w:left w:val="single" w:color="auto" w:sz="4" w:space="0"/>
              <w:bottom w:val="single" w:color="auto" w:sz="4" w:space="0"/>
              <w:right w:val="single" w:color="auto" w:sz="4" w:space="0"/>
            </w:tcBorders>
            <w:noWrap/>
            <w:vAlign w:val="center"/>
          </w:tcPr>
          <w:p w14:paraId="7EC0D73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主观分</w:t>
            </w:r>
          </w:p>
        </w:tc>
      </w:tr>
      <w:tr w14:paraId="2E7B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7D28BE3B">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2963F660">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20C8A42A">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30EA433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现场渣土随时清运措施、保证施工现场清洁措施</w:t>
            </w:r>
            <w:r>
              <w:rPr>
                <w:rFonts w:hint="eastAsia" w:ascii="宋体" w:hAnsi="宋体" w:eastAsia="宋体" w:cs="宋体"/>
                <w:b w:val="0"/>
                <w:bCs w:val="0"/>
                <w:color w:val="auto"/>
                <w:kern w:val="2"/>
                <w:sz w:val="22"/>
                <w:szCs w:val="22"/>
                <w:highlight w:val="none"/>
                <w:lang w:val="en-US" w:eastAsia="zh-CN" w:bidi="ar-SA"/>
              </w:rPr>
              <w:t>方案，</w:t>
            </w:r>
            <w:r>
              <w:rPr>
                <w:rFonts w:hint="eastAsia" w:ascii="宋体" w:hAnsi="宋体" w:eastAsia="宋体" w:cs="宋体"/>
                <w:b w:val="0"/>
                <w:bCs w:val="0"/>
                <w:color w:val="auto"/>
                <w:sz w:val="22"/>
                <w:szCs w:val="22"/>
                <w:highlight w:val="none"/>
                <w:lang w:val="en-US" w:eastAsia="zh-CN"/>
              </w:rPr>
              <w:t>由评审专家综合打分。</w:t>
            </w:r>
          </w:p>
          <w:p w14:paraId="4E705FD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4AEC0B0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33A094A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3618868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79C572D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主观分</w:t>
            </w:r>
          </w:p>
        </w:tc>
      </w:tr>
      <w:tr w14:paraId="283C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dxa"/>
            <w:vMerge w:val="restart"/>
            <w:tcBorders>
              <w:top w:val="single" w:color="auto" w:sz="4" w:space="0"/>
              <w:left w:val="single" w:color="auto" w:sz="4" w:space="0"/>
              <w:right w:val="single" w:color="auto" w:sz="4" w:space="0"/>
            </w:tcBorders>
            <w:noWrap/>
            <w:vAlign w:val="center"/>
          </w:tcPr>
          <w:p w14:paraId="4C201240">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w:t>
            </w:r>
          </w:p>
        </w:tc>
        <w:tc>
          <w:tcPr>
            <w:tcW w:w="1140" w:type="dxa"/>
            <w:vMerge w:val="restart"/>
            <w:tcBorders>
              <w:top w:val="single" w:color="auto" w:sz="4" w:space="0"/>
              <w:left w:val="single" w:color="auto" w:sz="4" w:space="0"/>
              <w:right w:val="single" w:color="auto" w:sz="4" w:space="0"/>
            </w:tcBorders>
            <w:noWrap/>
            <w:vAlign w:val="center"/>
          </w:tcPr>
          <w:p w14:paraId="653B7829">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日常维养项目的操作流程（实施方案）</w:t>
            </w:r>
          </w:p>
        </w:tc>
        <w:tc>
          <w:tcPr>
            <w:tcW w:w="768" w:type="dxa"/>
            <w:tcBorders>
              <w:top w:val="single" w:color="auto" w:sz="4" w:space="0"/>
              <w:left w:val="single" w:color="auto" w:sz="4" w:space="0"/>
              <w:bottom w:val="single" w:color="auto" w:sz="4" w:space="0"/>
              <w:right w:val="single" w:color="auto" w:sz="4" w:space="0"/>
            </w:tcBorders>
            <w:noWrap/>
            <w:vAlign w:val="center"/>
          </w:tcPr>
          <w:p w14:paraId="06DF9B2A">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4D482F07">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道路车行道砼路面的维修</w:t>
            </w:r>
            <w:r>
              <w:rPr>
                <w:rFonts w:hint="eastAsia" w:ascii="宋体" w:hAnsi="宋体" w:eastAsia="宋体" w:cs="宋体"/>
                <w:b w:val="0"/>
                <w:bCs w:val="0"/>
                <w:color w:val="auto"/>
                <w:sz w:val="22"/>
                <w:szCs w:val="22"/>
                <w:highlight w:val="none"/>
                <w:lang w:val="en-US" w:eastAsia="zh-CN"/>
              </w:rPr>
              <w:t>措施</w:t>
            </w:r>
            <w:r>
              <w:rPr>
                <w:rFonts w:hint="eastAsia" w:ascii="宋体" w:hAnsi="宋体" w:eastAsia="宋体" w:cs="宋体"/>
                <w:b w:val="0"/>
                <w:bCs w:val="0"/>
                <w:color w:val="auto"/>
                <w:kern w:val="2"/>
                <w:sz w:val="22"/>
                <w:szCs w:val="22"/>
                <w:highlight w:val="none"/>
                <w:lang w:val="en-US" w:eastAsia="zh-CN" w:bidi="ar-SA"/>
              </w:rPr>
              <w:t>方案，</w:t>
            </w:r>
            <w:r>
              <w:rPr>
                <w:rFonts w:hint="eastAsia" w:ascii="宋体" w:hAnsi="宋体" w:eastAsia="宋体" w:cs="宋体"/>
                <w:b w:val="0"/>
                <w:bCs w:val="0"/>
                <w:color w:val="auto"/>
                <w:sz w:val="22"/>
                <w:szCs w:val="22"/>
                <w:highlight w:val="none"/>
                <w:lang w:val="en-US" w:eastAsia="zh-CN"/>
              </w:rPr>
              <w:t>由评审专家综合打分。</w:t>
            </w:r>
          </w:p>
          <w:p w14:paraId="198517B0">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2A56C12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625F0FD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6E54401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B0F45FE">
            <w:pPr>
              <w:pStyle w:val="25"/>
              <w:keepNext w:val="0"/>
              <w:keepLines w:val="0"/>
              <w:numPr>
                <w:ilvl w:val="0"/>
                <w:numId w:val="0"/>
              </w:numPr>
              <w:suppressLineNumbers w:val="0"/>
              <w:tabs>
                <w:tab w:val="left" w:pos="482"/>
                <w:tab w:val="left" w:pos="2183"/>
                <w:tab w:val="left" w:pos="3884"/>
                <w:tab w:val="left" w:pos="5585"/>
              </w:tabs>
              <w:adjustRightInd w:val="0"/>
              <w:spacing w:before="0" w:beforeLines="0" w:beforeAutospacing="0" w:after="0" w:afterLines="0" w:afterAutospacing="0" w:line="240" w:lineRule="auto"/>
              <w:ind w:left="63" w:leftChars="30" w:right="63" w:rightChars="30"/>
              <w:textAlignment w:val="baseline"/>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727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387F2D4B">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24C57F67">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val="0"/>
                <w:bCs w:val="0"/>
                <w:color w:val="auto"/>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4D39248C">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4025E99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道路人行道的维修</w:t>
            </w:r>
            <w:r>
              <w:rPr>
                <w:rFonts w:hint="eastAsia" w:ascii="宋体" w:hAnsi="宋体" w:eastAsia="宋体" w:cs="宋体"/>
                <w:b w:val="0"/>
                <w:bCs w:val="0"/>
                <w:color w:val="auto"/>
                <w:sz w:val="22"/>
                <w:szCs w:val="22"/>
                <w:highlight w:val="none"/>
                <w:lang w:val="en-US" w:eastAsia="zh-CN"/>
              </w:rPr>
              <w:t>措施</w:t>
            </w:r>
            <w:r>
              <w:rPr>
                <w:rFonts w:hint="eastAsia" w:ascii="宋体" w:hAnsi="宋体" w:eastAsia="宋体" w:cs="宋体"/>
                <w:b w:val="0"/>
                <w:bCs w:val="0"/>
                <w:color w:val="auto"/>
                <w:kern w:val="2"/>
                <w:sz w:val="22"/>
                <w:szCs w:val="22"/>
                <w:highlight w:val="none"/>
                <w:lang w:val="en-US" w:eastAsia="zh-CN" w:bidi="ar-SA"/>
              </w:rPr>
              <w:t>方案，</w:t>
            </w:r>
            <w:r>
              <w:rPr>
                <w:rFonts w:hint="eastAsia" w:ascii="宋体" w:hAnsi="宋体" w:eastAsia="宋体" w:cs="宋体"/>
                <w:b w:val="0"/>
                <w:bCs w:val="0"/>
                <w:color w:val="auto"/>
                <w:sz w:val="22"/>
                <w:szCs w:val="22"/>
                <w:highlight w:val="none"/>
                <w:lang w:val="en-US" w:eastAsia="zh-CN"/>
              </w:rPr>
              <w:t>由评审专家综合打分。</w:t>
            </w:r>
          </w:p>
          <w:p w14:paraId="2882D7A3">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3411DB4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6EC79F5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389053E0">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254DDFA">
            <w:pPr>
              <w:pStyle w:val="25"/>
              <w:keepNext w:val="0"/>
              <w:keepLines w:val="0"/>
              <w:numPr>
                <w:ilvl w:val="0"/>
                <w:numId w:val="0"/>
              </w:numPr>
              <w:suppressLineNumbers w:val="0"/>
              <w:tabs>
                <w:tab w:val="left" w:pos="482"/>
                <w:tab w:val="left" w:pos="2183"/>
                <w:tab w:val="left" w:pos="3884"/>
                <w:tab w:val="left" w:pos="5585"/>
              </w:tabs>
              <w:adjustRightInd w:val="0"/>
              <w:spacing w:before="0" w:beforeLines="0" w:beforeAutospacing="0" w:after="0" w:afterLines="0" w:afterAutospacing="0" w:line="240" w:lineRule="auto"/>
              <w:ind w:left="63" w:leftChars="30" w:right="63" w:rightChars="30"/>
              <w:textAlignment w:val="baseline"/>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3335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7EDE876D">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29D05696">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val="0"/>
                <w:bCs w:val="0"/>
                <w:color w:val="auto"/>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47833467">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2F9ACC6E">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桥梁护栏、伸缩缝及其他小型构件的维修</w:t>
            </w:r>
            <w:r>
              <w:rPr>
                <w:rFonts w:hint="eastAsia" w:ascii="宋体" w:hAnsi="宋体" w:eastAsia="宋体" w:cs="宋体"/>
                <w:b w:val="0"/>
                <w:bCs w:val="0"/>
                <w:color w:val="auto"/>
                <w:sz w:val="22"/>
                <w:szCs w:val="22"/>
                <w:highlight w:val="none"/>
                <w:lang w:val="en-US" w:eastAsia="zh-CN"/>
              </w:rPr>
              <w:t>措施</w:t>
            </w:r>
            <w:r>
              <w:rPr>
                <w:rFonts w:hint="eastAsia" w:ascii="宋体" w:hAnsi="宋体" w:eastAsia="宋体" w:cs="宋体"/>
                <w:b w:val="0"/>
                <w:bCs w:val="0"/>
                <w:color w:val="auto"/>
                <w:kern w:val="2"/>
                <w:sz w:val="22"/>
                <w:szCs w:val="22"/>
                <w:highlight w:val="none"/>
                <w:lang w:val="en-US" w:eastAsia="zh-CN" w:bidi="ar-SA"/>
              </w:rPr>
              <w:t>方案，</w:t>
            </w:r>
            <w:r>
              <w:rPr>
                <w:rFonts w:hint="eastAsia" w:ascii="宋体" w:hAnsi="宋体" w:eastAsia="宋体" w:cs="宋体"/>
                <w:b w:val="0"/>
                <w:bCs w:val="0"/>
                <w:color w:val="auto"/>
                <w:sz w:val="22"/>
                <w:szCs w:val="22"/>
                <w:highlight w:val="none"/>
                <w:lang w:val="en-US" w:eastAsia="zh-CN"/>
              </w:rPr>
              <w:t>由评审专家综合打分。</w:t>
            </w:r>
          </w:p>
          <w:p w14:paraId="4A9E560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5BE91193">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6E7F65FA">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2EF8A4F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07630FEE">
            <w:pPr>
              <w:pStyle w:val="25"/>
              <w:keepNext w:val="0"/>
              <w:keepLines w:val="0"/>
              <w:numPr>
                <w:ilvl w:val="0"/>
                <w:numId w:val="0"/>
              </w:numPr>
              <w:suppressLineNumbers w:val="0"/>
              <w:tabs>
                <w:tab w:val="left" w:pos="482"/>
                <w:tab w:val="left" w:pos="2183"/>
                <w:tab w:val="left" w:pos="3884"/>
                <w:tab w:val="left" w:pos="5585"/>
              </w:tabs>
              <w:adjustRightInd w:val="0"/>
              <w:spacing w:before="0" w:beforeLines="0" w:beforeAutospacing="0" w:after="0" w:afterLines="0" w:afterAutospacing="0" w:line="240" w:lineRule="auto"/>
              <w:ind w:left="63" w:leftChars="30" w:right="63" w:rightChars="30"/>
              <w:textAlignment w:val="baseline"/>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389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415" w:type="dxa"/>
            <w:vMerge w:val="continue"/>
            <w:tcBorders>
              <w:left w:val="single" w:color="auto" w:sz="4" w:space="0"/>
              <w:bottom w:val="single" w:color="auto" w:sz="4" w:space="0"/>
              <w:right w:val="single" w:color="auto" w:sz="4" w:space="0"/>
            </w:tcBorders>
            <w:noWrap/>
            <w:vAlign w:val="center"/>
          </w:tcPr>
          <w:p w14:paraId="48339E0D">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bottom w:val="single" w:color="auto" w:sz="4" w:space="0"/>
              <w:right w:val="single" w:color="auto" w:sz="4" w:space="0"/>
            </w:tcBorders>
            <w:noWrap/>
            <w:vAlign w:val="center"/>
          </w:tcPr>
          <w:p w14:paraId="43DC3BC0">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val="0"/>
                <w:bCs w:val="0"/>
                <w:color w:val="auto"/>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23236071">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633" w:type="dxa"/>
            <w:tcBorders>
              <w:top w:val="single" w:color="auto" w:sz="4" w:space="0"/>
              <w:left w:val="single" w:color="auto" w:sz="4" w:space="0"/>
              <w:bottom w:val="single" w:color="auto" w:sz="4" w:space="0"/>
              <w:right w:val="single" w:color="auto" w:sz="4" w:space="0"/>
            </w:tcBorders>
            <w:noWrap/>
            <w:vAlign w:val="center"/>
          </w:tcPr>
          <w:p w14:paraId="5BE5D1A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根据</w:t>
            </w:r>
            <w:r>
              <w:rPr>
                <w:rFonts w:hint="eastAsia" w:ascii="宋体" w:hAnsi="宋体" w:eastAsia="宋体" w:cs="宋体"/>
                <w:b w:val="0"/>
                <w:bCs w:val="0"/>
                <w:color w:val="auto"/>
                <w:sz w:val="22"/>
                <w:szCs w:val="22"/>
                <w:highlight w:val="none"/>
              </w:rPr>
              <w:t>道路隔离墩等各类附属设施</w:t>
            </w:r>
            <w:r>
              <w:rPr>
                <w:rFonts w:hint="eastAsia" w:ascii="宋体" w:hAnsi="宋体" w:eastAsia="宋体" w:cs="宋体"/>
                <w:b w:val="0"/>
                <w:bCs w:val="0"/>
                <w:color w:val="auto"/>
                <w:sz w:val="22"/>
                <w:szCs w:val="22"/>
                <w:highlight w:val="none"/>
                <w:lang w:val="en-US" w:eastAsia="zh-CN"/>
              </w:rPr>
              <w:t>维修措施</w:t>
            </w:r>
            <w:r>
              <w:rPr>
                <w:rFonts w:hint="eastAsia" w:ascii="宋体" w:hAnsi="宋体" w:eastAsia="宋体" w:cs="宋体"/>
                <w:b w:val="0"/>
                <w:bCs w:val="0"/>
                <w:color w:val="auto"/>
                <w:kern w:val="2"/>
                <w:sz w:val="22"/>
                <w:szCs w:val="22"/>
                <w:highlight w:val="none"/>
                <w:lang w:val="en-US" w:eastAsia="zh-CN" w:bidi="ar-SA"/>
              </w:rPr>
              <w:t>方案，</w:t>
            </w:r>
            <w:r>
              <w:rPr>
                <w:rFonts w:hint="eastAsia" w:ascii="宋体" w:hAnsi="宋体" w:eastAsia="宋体" w:cs="宋体"/>
                <w:b w:val="0"/>
                <w:bCs w:val="0"/>
                <w:color w:val="auto"/>
                <w:sz w:val="22"/>
                <w:szCs w:val="22"/>
                <w:highlight w:val="none"/>
                <w:lang w:val="en-US" w:eastAsia="zh-CN"/>
              </w:rPr>
              <w:t>由评审专家综合打分。</w:t>
            </w:r>
          </w:p>
          <w:p w14:paraId="377E206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（1）方案完整具体、切实可行，能满足采购需求，有利于项目实施的得3分；</w:t>
            </w:r>
          </w:p>
          <w:p w14:paraId="6C624BE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（2）方案较为完整可行，基本符合采购需求的得2分；</w:t>
            </w:r>
          </w:p>
          <w:p w14:paraId="17DE7DB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102C9DF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34E78BB4">
            <w:pPr>
              <w:pStyle w:val="25"/>
              <w:keepNext w:val="0"/>
              <w:keepLines w:val="0"/>
              <w:numPr>
                <w:ilvl w:val="0"/>
                <w:numId w:val="0"/>
              </w:numPr>
              <w:suppressLineNumbers w:val="0"/>
              <w:tabs>
                <w:tab w:val="left" w:pos="482"/>
                <w:tab w:val="left" w:pos="2183"/>
                <w:tab w:val="left" w:pos="3884"/>
                <w:tab w:val="left" w:pos="5585"/>
              </w:tabs>
              <w:adjustRightInd w:val="0"/>
              <w:spacing w:before="0" w:beforeLines="0" w:beforeAutospacing="0" w:after="0" w:afterLines="0" w:afterAutospacing="0" w:line="240" w:lineRule="auto"/>
              <w:ind w:left="63" w:leftChars="30" w:right="63" w:rightChars="30"/>
              <w:textAlignment w:val="baseline"/>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6C0B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5" w:type="dxa"/>
            <w:vMerge w:val="restart"/>
            <w:tcBorders>
              <w:top w:val="single" w:color="auto" w:sz="4" w:space="0"/>
              <w:left w:val="single" w:color="auto" w:sz="4" w:space="0"/>
              <w:right w:val="single" w:color="auto" w:sz="4" w:space="0"/>
            </w:tcBorders>
            <w:noWrap/>
            <w:vAlign w:val="center"/>
          </w:tcPr>
          <w:p w14:paraId="23208106">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140" w:type="dxa"/>
            <w:vMerge w:val="restart"/>
            <w:tcBorders>
              <w:top w:val="single" w:color="auto" w:sz="4" w:space="0"/>
              <w:left w:val="single" w:color="auto" w:sz="4" w:space="0"/>
              <w:right w:val="single" w:color="auto" w:sz="4" w:space="0"/>
            </w:tcBorders>
            <w:noWrap/>
            <w:vAlign w:val="center"/>
          </w:tcPr>
          <w:p w14:paraId="0583629F">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机械设备配备</w:t>
            </w:r>
          </w:p>
        </w:tc>
        <w:tc>
          <w:tcPr>
            <w:tcW w:w="768" w:type="dxa"/>
            <w:tcBorders>
              <w:top w:val="single" w:color="auto" w:sz="4" w:space="0"/>
              <w:left w:val="single" w:color="auto" w:sz="4" w:space="0"/>
              <w:bottom w:val="single" w:color="auto" w:sz="4" w:space="0"/>
              <w:right w:val="single" w:color="auto" w:sz="4" w:space="0"/>
            </w:tcBorders>
            <w:noWrap/>
            <w:vAlign w:val="center"/>
          </w:tcPr>
          <w:p w14:paraId="1175146E">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w:t>
            </w:r>
          </w:p>
        </w:tc>
        <w:tc>
          <w:tcPr>
            <w:tcW w:w="6633" w:type="dxa"/>
            <w:tcBorders>
              <w:top w:val="single" w:color="auto" w:sz="4" w:space="0"/>
              <w:left w:val="single" w:color="auto" w:sz="4" w:space="0"/>
              <w:bottom w:val="single" w:color="auto" w:sz="4" w:space="0"/>
              <w:right w:val="single" w:color="auto" w:sz="4" w:space="0"/>
            </w:tcBorders>
            <w:noWrap/>
            <w:vAlign w:val="center"/>
          </w:tcPr>
          <w:p w14:paraId="516BB44E">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根据供应商提供的适用养护作业开展和救险抢修的工程类车辆（如挖</w:t>
            </w:r>
            <w:r>
              <w:rPr>
                <w:rFonts w:hint="eastAsia" w:ascii="宋体" w:hAnsi="宋体" w:cs="宋体"/>
                <w:color w:val="auto"/>
                <w:sz w:val="22"/>
                <w:szCs w:val="22"/>
                <w:highlight w:val="none"/>
                <w:lang w:val="en-US" w:eastAsia="zh-CN"/>
              </w:rPr>
              <w:t>掘</w:t>
            </w:r>
            <w:r>
              <w:rPr>
                <w:rFonts w:hint="eastAsia" w:ascii="宋体" w:hAnsi="宋体" w:eastAsia="宋体" w:cs="宋体"/>
                <w:color w:val="auto"/>
                <w:sz w:val="22"/>
                <w:szCs w:val="22"/>
                <w:highlight w:val="none"/>
                <w:lang w:val="en-US" w:eastAsia="zh-CN"/>
              </w:rPr>
              <w:t>机</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工程救险车、设施清洗车、桥检车、登高车、防撞缓冲车、工程作业发电车或发电车组等）</w:t>
            </w:r>
            <w:r>
              <w:rPr>
                <w:rFonts w:hint="eastAsia" w:ascii="宋体" w:hAnsi="宋体" w:cs="宋体"/>
                <w:color w:val="auto"/>
                <w:sz w:val="22"/>
                <w:szCs w:val="22"/>
                <w:highlight w:val="none"/>
                <w:lang w:val="en-US" w:eastAsia="zh-CN"/>
              </w:rPr>
              <w:t>、无人机设备（须满足拍照、录像、巡视等任务）</w:t>
            </w:r>
            <w:r>
              <w:rPr>
                <w:rFonts w:hint="eastAsia" w:ascii="宋体" w:hAnsi="宋体" w:eastAsia="宋体" w:cs="宋体"/>
                <w:color w:val="auto"/>
                <w:sz w:val="22"/>
                <w:szCs w:val="22"/>
                <w:highlight w:val="none"/>
                <w:lang w:val="en-US" w:eastAsia="zh-CN"/>
              </w:rPr>
              <w:t>，由评审专家</w:t>
            </w:r>
            <w:r>
              <w:rPr>
                <w:rFonts w:hint="eastAsia" w:ascii="宋体" w:hAnsi="宋体" w:cs="宋体"/>
                <w:color w:val="auto"/>
                <w:sz w:val="22"/>
                <w:szCs w:val="22"/>
                <w:highlight w:val="none"/>
                <w:lang w:val="en-US" w:eastAsia="zh-CN"/>
              </w:rPr>
              <w:t>根据自有情况或租赁时限情况进行</w:t>
            </w:r>
            <w:r>
              <w:rPr>
                <w:rFonts w:hint="eastAsia" w:ascii="宋体" w:hAnsi="宋体" w:eastAsia="宋体" w:cs="宋体"/>
                <w:color w:val="auto"/>
                <w:sz w:val="22"/>
                <w:szCs w:val="22"/>
                <w:highlight w:val="none"/>
                <w:lang w:val="en-US" w:eastAsia="zh-CN"/>
              </w:rPr>
              <w:t>综合打分。</w:t>
            </w:r>
          </w:p>
          <w:p w14:paraId="65F92CB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投入的设备设施性能优良</w:t>
            </w:r>
            <w:r>
              <w:rPr>
                <w:rFonts w:hint="eastAsia" w:ascii="宋体" w:hAnsi="宋体" w:eastAsia="宋体" w:cs="宋体"/>
                <w:color w:val="auto"/>
                <w:sz w:val="22"/>
                <w:szCs w:val="22"/>
                <w:highlight w:val="none"/>
                <w:lang w:val="en-US" w:eastAsia="zh-CN"/>
              </w:rPr>
              <w:t>，能满足采购需求，有利于项目实施的得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15A638C6">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（2）投入的设备设施数量、性能基本符合采购需求的得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100D8F1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（3）投入的设备设施数量、性能明显欠缺不足的得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286EA22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（4）未提供的不得分。</w:t>
            </w:r>
          </w:p>
          <w:p w14:paraId="5068B1A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注：自有的需</w:t>
            </w:r>
            <w:r>
              <w:rPr>
                <w:rFonts w:hint="eastAsia" w:ascii="宋体" w:hAnsi="宋体" w:eastAsia="宋体" w:cs="宋体"/>
                <w:b/>
                <w:color w:val="auto"/>
                <w:sz w:val="22"/>
                <w:szCs w:val="22"/>
                <w:highlight w:val="none"/>
              </w:rPr>
              <w:t>提供购买发票</w:t>
            </w:r>
            <w:r>
              <w:rPr>
                <w:rFonts w:hint="eastAsia" w:ascii="宋体" w:hAnsi="宋体" w:cs="宋体"/>
                <w:b/>
                <w:color w:val="auto"/>
                <w:sz w:val="22"/>
                <w:szCs w:val="22"/>
                <w:highlight w:val="none"/>
                <w:lang w:val="en-US" w:eastAsia="zh-CN"/>
              </w:rPr>
              <w:t>及</w:t>
            </w:r>
            <w:r>
              <w:rPr>
                <w:rFonts w:hint="eastAsia" w:ascii="宋体" w:hAnsi="宋体" w:eastAsia="宋体" w:cs="宋体"/>
                <w:b/>
                <w:color w:val="auto"/>
                <w:sz w:val="22"/>
                <w:szCs w:val="22"/>
                <w:highlight w:val="none"/>
              </w:rPr>
              <w:t>行驶证</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须体现车辆类型</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的</w:t>
            </w:r>
            <w:r>
              <w:rPr>
                <w:rFonts w:hint="eastAsia" w:ascii="宋体" w:hAnsi="宋体" w:cs="宋体"/>
                <w:b/>
                <w:color w:val="auto"/>
                <w:sz w:val="22"/>
                <w:szCs w:val="22"/>
                <w:highlight w:val="none"/>
                <w:lang w:val="en-US" w:eastAsia="zh-CN"/>
              </w:rPr>
              <w:t>复制件</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租赁的提供</w:t>
            </w:r>
            <w:r>
              <w:rPr>
                <w:rFonts w:hint="eastAsia" w:ascii="宋体" w:hAnsi="宋体" w:eastAsia="宋体" w:cs="宋体"/>
                <w:b/>
                <w:color w:val="auto"/>
                <w:sz w:val="22"/>
                <w:szCs w:val="22"/>
                <w:highlight w:val="none"/>
              </w:rPr>
              <w:t>租赁合同及行驶证（须体现车辆类型）的复制件</w:t>
            </w:r>
            <w:r>
              <w:rPr>
                <w:rFonts w:hint="eastAsia" w:ascii="宋体" w:hAnsi="宋体" w:eastAsia="宋体" w:cs="宋体"/>
                <w:b/>
                <w:color w:val="auto"/>
                <w:sz w:val="22"/>
                <w:szCs w:val="22"/>
                <w:highlight w:val="none"/>
                <w:lang w:val="en-US" w:eastAsia="zh-CN"/>
              </w:rPr>
              <w:t>。</w:t>
            </w:r>
          </w:p>
        </w:tc>
        <w:tc>
          <w:tcPr>
            <w:tcW w:w="982" w:type="dxa"/>
            <w:tcBorders>
              <w:top w:val="single" w:color="auto" w:sz="4" w:space="0"/>
              <w:left w:val="single" w:color="auto" w:sz="4" w:space="0"/>
              <w:bottom w:val="single" w:color="auto" w:sz="4" w:space="0"/>
              <w:right w:val="single" w:color="auto" w:sz="4" w:space="0"/>
            </w:tcBorders>
            <w:noWrap/>
            <w:vAlign w:val="center"/>
          </w:tcPr>
          <w:p w14:paraId="34F4C61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2273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415" w:type="dxa"/>
            <w:vMerge w:val="continue"/>
            <w:tcBorders>
              <w:left w:val="single" w:color="auto" w:sz="4" w:space="0"/>
              <w:right w:val="single" w:color="auto" w:sz="4" w:space="0"/>
            </w:tcBorders>
            <w:noWrap/>
            <w:vAlign w:val="center"/>
          </w:tcPr>
          <w:p w14:paraId="7EF6DC55">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right w:val="single" w:color="auto" w:sz="4" w:space="0"/>
            </w:tcBorders>
            <w:noWrap/>
            <w:vAlign w:val="center"/>
          </w:tcPr>
          <w:p w14:paraId="17D71914">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1DEBAFAC">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p>
        </w:tc>
        <w:tc>
          <w:tcPr>
            <w:tcW w:w="6633" w:type="dxa"/>
            <w:tcBorders>
              <w:top w:val="single" w:color="auto" w:sz="4" w:space="0"/>
              <w:left w:val="single" w:color="auto" w:sz="4" w:space="0"/>
              <w:bottom w:val="single" w:color="auto" w:sz="4" w:space="0"/>
              <w:right w:val="single" w:color="auto" w:sz="4" w:space="0"/>
            </w:tcBorders>
            <w:noWrap/>
            <w:vAlign w:val="center"/>
          </w:tcPr>
          <w:p w14:paraId="03CD1AE9">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投标人设备配备情况（以下设备均要求为投标人自有）：</w:t>
            </w:r>
          </w:p>
          <w:p w14:paraId="7B41C09D">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（1）配备四轮小货车的，每辆得1分，本小项最多得2分；</w:t>
            </w:r>
          </w:p>
          <w:p w14:paraId="49A20BB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（2）配备巡查车辆的得1分，</w:t>
            </w:r>
            <w:r>
              <w:rPr>
                <w:rFonts w:hint="eastAsia" w:ascii="宋体" w:hAnsi="宋体" w:cs="宋体"/>
                <w:b w:val="0"/>
                <w:bCs w:val="0"/>
                <w:color w:val="auto"/>
                <w:sz w:val="22"/>
                <w:szCs w:val="22"/>
                <w:highlight w:val="none"/>
                <w:lang w:val="en-US" w:eastAsia="zh-CN"/>
              </w:rPr>
              <w:t>在此基础上同时配备智能巡查系统的得2分，</w:t>
            </w:r>
            <w:r>
              <w:rPr>
                <w:rFonts w:hint="eastAsia" w:ascii="宋体" w:hAnsi="宋体" w:eastAsia="宋体" w:cs="宋体"/>
                <w:b w:val="0"/>
                <w:bCs w:val="0"/>
                <w:color w:val="auto"/>
                <w:sz w:val="22"/>
                <w:szCs w:val="22"/>
                <w:highlight w:val="none"/>
              </w:rPr>
              <w:t>本小项最多得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p w14:paraId="4B81A6E6">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注：自有车辆提供车辆行驶证</w:t>
            </w:r>
            <w:r>
              <w:rPr>
                <w:rFonts w:hint="eastAsia" w:ascii="宋体" w:hAnsi="宋体" w:cs="宋体"/>
                <w:b/>
                <w:bCs/>
                <w:color w:val="auto"/>
                <w:sz w:val="22"/>
                <w:szCs w:val="22"/>
                <w:highlight w:val="none"/>
                <w:lang w:val="en-US" w:eastAsia="zh-CN"/>
              </w:rPr>
              <w:t>复制件</w:t>
            </w:r>
            <w:r>
              <w:rPr>
                <w:rFonts w:hint="eastAsia" w:ascii="宋体" w:hAnsi="宋体" w:eastAsia="宋体" w:cs="宋体"/>
                <w:b/>
                <w:bCs/>
                <w:color w:val="auto"/>
                <w:sz w:val="22"/>
                <w:szCs w:val="22"/>
                <w:highlight w:val="none"/>
              </w:rPr>
              <w:t>、机动车登记证书</w:t>
            </w:r>
            <w:r>
              <w:rPr>
                <w:rFonts w:hint="eastAsia" w:ascii="宋体" w:hAnsi="宋体" w:cs="宋体"/>
                <w:b/>
                <w:bCs/>
                <w:color w:val="auto"/>
                <w:sz w:val="22"/>
                <w:szCs w:val="22"/>
                <w:highlight w:val="none"/>
                <w:lang w:val="en-US" w:eastAsia="zh-CN"/>
              </w:rPr>
              <w:t>复制件及车辆照片</w:t>
            </w:r>
            <w:r>
              <w:rPr>
                <w:rFonts w:hint="eastAsia" w:ascii="宋体" w:hAnsi="宋体" w:eastAsia="宋体" w:cs="宋体"/>
                <w:b/>
                <w:bCs/>
                <w:color w:val="auto"/>
                <w:sz w:val="22"/>
                <w:szCs w:val="22"/>
                <w:highlight w:val="none"/>
              </w:rPr>
              <w:t>。（以上资料需加盖单位公章，未提供或缺项不得分。）</w:t>
            </w:r>
          </w:p>
          <w:p w14:paraId="4035B8C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自有设备认定：自有设备必须为公司名下或其股东名下，否则不得分。（股东名下的自有机械须提供公司章程或股东名册或股权认购协议，否则不得分）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50489825">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客观分</w:t>
            </w:r>
          </w:p>
        </w:tc>
      </w:tr>
      <w:tr w14:paraId="33D9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415" w:type="dxa"/>
            <w:vMerge w:val="continue"/>
            <w:tcBorders>
              <w:left w:val="single" w:color="auto" w:sz="4" w:space="0"/>
              <w:right w:val="single" w:color="auto" w:sz="4" w:space="0"/>
            </w:tcBorders>
            <w:noWrap/>
            <w:vAlign w:val="center"/>
          </w:tcPr>
          <w:p w14:paraId="0BB39E90">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rPr>
            </w:pPr>
          </w:p>
        </w:tc>
        <w:tc>
          <w:tcPr>
            <w:tcW w:w="1140" w:type="dxa"/>
            <w:vMerge w:val="continue"/>
            <w:tcBorders>
              <w:left w:val="single" w:color="auto" w:sz="4" w:space="0"/>
              <w:right w:val="single" w:color="auto" w:sz="4" w:space="0"/>
            </w:tcBorders>
            <w:noWrap/>
            <w:vAlign w:val="center"/>
          </w:tcPr>
          <w:p w14:paraId="3AB0777B">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p>
        </w:tc>
        <w:tc>
          <w:tcPr>
            <w:tcW w:w="768" w:type="dxa"/>
            <w:tcBorders>
              <w:top w:val="single" w:color="auto" w:sz="4" w:space="0"/>
              <w:left w:val="single" w:color="auto" w:sz="4" w:space="0"/>
              <w:bottom w:val="single" w:color="auto" w:sz="4" w:space="0"/>
              <w:right w:val="single" w:color="auto" w:sz="4" w:space="0"/>
            </w:tcBorders>
            <w:noWrap/>
            <w:vAlign w:val="center"/>
          </w:tcPr>
          <w:p w14:paraId="2A2AFFF9">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p>
        </w:tc>
        <w:tc>
          <w:tcPr>
            <w:tcW w:w="6633" w:type="dxa"/>
            <w:tcBorders>
              <w:top w:val="single" w:color="auto" w:sz="4" w:space="0"/>
              <w:left w:val="single" w:color="auto" w:sz="4" w:space="0"/>
              <w:bottom w:val="single" w:color="auto" w:sz="4" w:space="0"/>
              <w:right w:val="single" w:color="auto" w:sz="4" w:space="0"/>
            </w:tcBorders>
            <w:noWrap/>
            <w:vAlign w:val="center"/>
          </w:tcPr>
          <w:p w14:paraId="38EE7B9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根据供应商提供的</w:t>
            </w:r>
            <w:r>
              <w:rPr>
                <w:rFonts w:hint="eastAsia" w:ascii="宋体" w:hAnsi="宋体" w:eastAsia="宋体" w:cs="宋体"/>
                <w:b w:val="0"/>
                <w:bCs w:val="0"/>
                <w:color w:val="auto"/>
                <w:sz w:val="22"/>
                <w:szCs w:val="22"/>
                <w:highlight w:val="none"/>
              </w:rPr>
              <w:t>其他小型施工机械，如小型汽油发电机、切割机、振动棒、空压机</w:t>
            </w:r>
            <w:r>
              <w:rPr>
                <w:rFonts w:hint="eastAsia" w:ascii="宋体" w:hAnsi="宋体" w:cs="宋体"/>
                <w:b w:val="0"/>
                <w:bCs w:val="0"/>
                <w:color w:val="auto"/>
                <w:sz w:val="22"/>
                <w:szCs w:val="22"/>
                <w:highlight w:val="none"/>
                <w:lang w:eastAsia="zh-CN"/>
              </w:rPr>
              <w:t>、热熔标线</w:t>
            </w:r>
            <w:r>
              <w:rPr>
                <w:rFonts w:hint="eastAsia" w:ascii="宋体" w:hAnsi="宋体" w:cs="宋体"/>
                <w:b w:val="0"/>
                <w:bCs w:val="0"/>
                <w:color w:val="auto"/>
                <w:sz w:val="22"/>
                <w:szCs w:val="22"/>
                <w:highlight w:val="none"/>
                <w:lang w:val="en-US" w:eastAsia="zh-CN"/>
              </w:rPr>
              <w:t>施划设备</w:t>
            </w:r>
            <w:r>
              <w:rPr>
                <w:rFonts w:hint="eastAsia" w:ascii="宋体" w:hAnsi="宋体" w:eastAsia="宋体" w:cs="宋体"/>
                <w:b w:val="0"/>
                <w:bCs w:val="0"/>
                <w:color w:val="auto"/>
                <w:sz w:val="22"/>
                <w:szCs w:val="22"/>
                <w:highlight w:val="none"/>
              </w:rPr>
              <w:t>等</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SA"/>
              </w:rPr>
              <w:t>由评审专家综合打分。</w:t>
            </w:r>
          </w:p>
          <w:p w14:paraId="2E204CC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（1）投入的设备设施性能优良，能满足采购需求，有利于项目实施的得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p w14:paraId="263DEA8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（2）投入的设备设施数量、性能基本符合采购需求的得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p>
          <w:p w14:paraId="114A5CA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（3）投入的设备设施数量、性能明显欠缺不足的得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p>
          <w:p w14:paraId="1F23E4D5">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p w14:paraId="1BFC577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bCs/>
                <w:color w:val="auto"/>
                <w:sz w:val="22"/>
                <w:szCs w:val="22"/>
                <w:highlight w:val="none"/>
                <w:lang w:val="en-US" w:eastAsia="zh-CN"/>
              </w:rPr>
              <w:t>需</w:t>
            </w:r>
            <w:r>
              <w:rPr>
                <w:rFonts w:hint="eastAsia" w:ascii="宋体" w:hAnsi="宋体" w:eastAsia="宋体" w:cs="宋体"/>
                <w:b/>
                <w:color w:val="auto"/>
                <w:sz w:val="22"/>
                <w:szCs w:val="22"/>
                <w:highlight w:val="none"/>
              </w:rPr>
              <w:t>提供购买发票</w:t>
            </w:r>
            <w:r>
              <w:rPr>
                <w:rFonts w:hint="eastAsia" w:ascii="宋体" w:hAnsi="宋体" w:cs="宋体"/>
                <w:b/>
                <w:color w:val="auto"/>
                <w:sz w:val="22"/>
                <w:szCs w:val="22"/>
                <w:highlight w:val="none"/>
                <w:lang w:val="en-US" w:eastAsia="zh-CN"/>
              </w:rPr>
              <w:t>复制件</w:t>
            </w:r>
            <w:r>
              <w:rPr>
                <w:rFonts w:hint="eastAsia" w:ascii="宋体" w:hAnsi="宋体" w:eastAsia="宋体" w:cs="宋体"/>
                <w:b/>
                <w:color w:val="auto"/>
                <w:sz w:val="22"/>
                <w:szCs w:val="22"/>
                <w:highlight w:val="none"/>
                <w:lang w:val="en-US" w:eastAsia="zh-CN"/>
              </w:rPr>
              <w:t>。</w:t>
            </w:r>
          </w:p>
        </w:tc>
        <w:tc>
          <w:tcPr>
            <w:tcW w:w="982" w:type="dxa"/>
            <w:tcBorders>
              <w:top w:val="single" w:color="auto" w:sz="4" w:space="0"/>
              <w:left w:val="single" w:color="auto" w:sz="4" w:space="0"/>
              <w:bottom w:val="single" w:color="auto" w:sz="4" w:space="0"/>
              <w:right w:val="single" w:color="auto" w:sz="4" w:space="0"/>
            </w:tcBorders>
            <w:noWrap/>
            <w:vAlign w:val="center"/>
          </w:tcPr>
          <w:p w14:paraId="1097A11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主观分</w:t>
            </w:r>
          </w:p>
        </w:tc>
      </w:tr>
      <w:tr w14:paraId="4C7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1AAD729C">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7</w:t>
            </w:r>
          </w:p>
        </w:tc>
        <w:tc>
          <w:tcPr>
            <w:tcW w:w="1140" w:type="dxa"/>
            <w:tcBorders>
              <w:top w:val="single" w:color="auto" w:sz="4" w:space="0"/>
              <w:left w:val="single" w:color="auto" w:sz="4" w:space="0"/>
              <w:bottom w:val="single" w:color="auto" w:sz="4" w:space="0"/>
              <w:right w:val="single" w:color="auto" w:sz="4" w:space="0"/>
            </w:tcBorders>
            <w:noWrap/>
            <w:vAlign w:val="center"/>
          </w:tcPr>
          <w:p w14:paraId="6090E129">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人员配置</w:t>
            </w:r>
          </w:p>
        </w:tc>
        <w:tc>
          <w:tcPr>
            <w:tcW w:w="768" w:type="dxa"/>
            <w:tcBorders>
              <w:top w:val="single" w:color="auto" w:sz="4" w:space="0"/>
              <w:left w:val="single" w:color="auto" w:sz="4" w:space="0"/>
              <w:bottom w:val="single" w:color="auto" w:sz="4" w:space="0"/>
              <w:right w:val="single" w:color="auto" w:sz="4" w:space="0"/>
            </w:tcBorders>
            <w:noWrap/>
            <w:vAlign w:val="center"/>
          </w:tcPr>
          <w:p w14:paraId="2F40604B">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6633" w:type="dxa"/>
            <w:tcBorders>
              <w:top w:val="single" w:color="auto" w:sz="4" w:space="0"/>
              <w:left w:val="single" w:color="auto" w:sz="4" w:space="0"/>
              <w:bottom w:val="single" w:color="auto" w:sz="4" w:space="0"/>
              <w:right w:val="single" w:color="auto" w:sz="4" w:space="0"/>
            </w:tcBorders>
            <w:noWrap/>
            <w:vAlign w:val="center"/>
          </w:tcPr>
          <w:p w14:paraId="57CF80B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根据投标供应商拟提交的企业现场管理人员及技术工人配备，由评审专家综合打分。</w:t>
            </w:r>
          </w:p>
          <w:p w14:paraId="7C75E83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人员配置</w:t>
            </w:r>
            <w:r>
              <w:rPr>
                <w:rFonts w:hint="eastAsia" w:ascii="宋体" w:hAnsi="宋体" w:eastAsia="宋体" w:cs="宋体"/>
                <w:color w:val="auto"/>
                <w:sz w:val="22"/>
                <w:szCs w:val="22"/>
                <w:highlight w:val="none"/>
                <w:lang w:val="en-US" w:eastAsia="zh-CN"/>
              </w:rPr>
              <w:t>方案完整具体、切实可行，能满足采购需求，有利于项目实施的得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p w14:paraId="126B4C3A">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（2）人员配置方案较为完整可行，基本符合采购需求的得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p w14:paraId="40B7978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（3）人员配置方案简单不全，存在明显缺陷遗漏的得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p w14:paraId="1E8F44C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（4）未提供的不得分。</w:t>
            </w:r>
          </w:p>
          <w:p w14:paraId="33481CA6">
            <w:pPr>
              <w:pStyle w:val="138"/>
              <w:keepNext w:val="0"/>
              <w:keepLines w:val="0"/>
              <w:widowControl/>
              <w:suppressLineNumbers w:val="0"/>
              <w:autoSpaceDE/>
              <w:autoSpaceDN/>
              <w:adjustRightInd/>
              <w:spacing w:before="0" w:beforeLines="0" w:beforeAutospacing="0" w:after="0" w:afterLines="0" w:afterAutospacing="0" w:line="240" w:lineRule="auto"/>
              <w:ind w:left="63" w:leftChars="30" w:right="63" w:rightChars="30"/>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注：同时</w:t>
            </w:r>
            <w:r>
              <w:rPr>
                <w:rFonts w:hint="eastAsia" w:ascii="宋体" w:hAnsi="宋体" w:eastAsia="宋体" w:cs="宋体"/>
                <w:b/>
                <w:bCs/>
                <w:color w:val="auto"/>
                <w:sz w:val="22"/>
                <w:szCs w:val="22"/>
                <w:highlight w:val="none"/>
              </w:rPr>
              <w:t>提供人员身份证</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职称证书</w:t>
            </w:r>
            <w:r>
              <w:rPr>
                <w:rFonts w:hint="eastAsia" w:ascii="宋体" w:hAnsi="宋体" w:eastAsia="宋体" w:cs="宋体"/>
                <w:b/>
                <w:bCs/>
                <w:color w:val="auto"/>
                <w:sz w:val="22"/>
                <w:szCs w:val="22"/>
                <w:highlight w:val="none"/>
              </w:rPr>
              <w:t>和</w:t>
            </w:r>
            <w:r>
              <w:rPr>
                <w:rFonts w:hint="eastAsia" w:ascii="宋体" w:hAnsi="宋体" w:cs="宋体"/>
                <w:b/>
                <w:bCs/>
                <w:color w:val="auto"/>
                <w:sz w:val="22"/>
                <w:szCs w:val="22"/>
                <w:highlight w:val="none"/>
                <w:lang w:val="en-US" w:eastAsia="zh-CN"/>
              </w:rPr>
              <w:t>投标截止日前连续三</w:t>
            </w:r>
            <w:r>
              <w:rPr>
                <w:rFonts w:hint="eastAsia" w:ascii="宋体" w:hAnsi="宋体" w:eastAsia="宋体" w:cs="宋体"/>
                <w:b/>
                <w:bCs/>
                <w:color w:val="auto"/>
                <w:sz w:val="22"/>
                <w:szCs w:val="22"/>
                <w:highlight w:val="none"/>
              </w:rPr>
              <w:t>个月社保缴纳证明</w:t>
            </w:r>
            <w:r>
              <w:rPr>
                <w:rFonts w:hint="eastAsia" w:ascii="宋体" w:hAnsi="宋体" w:cs="宋体"/>
                <w:b/>
                <w:bCs/>
                <w:color w:val="auto"/>
                <w:sz w:val="22"/>
                <w:szCs w:val="22"/>
                <w:highlight w:val="none"/>
                <w:lang w:val="en-US" w:eastAsia="zh-CN"/>
              </w:rPr>
              <w:t>复制件</w:t>
            </w:r>
            <w:r>
              <w:rPr>
                <w:rFonts w:hint="eastAsia" w:ascii="宋体" w:hAnsi="宋体" w:eastAsia="宋体" w:cs="宋体"/>
                <w:b/>
                <w:bCs/>
                <w:color w:val="auto"/>
                <w:sz w:val="22"/>
                <w:szCs w:val="22"/>
                <w:highlight w:val="none"/>
              </w:rPr>
              <w:t>，以上材料提供清晰</w:t>
            </w:r>
            <w:r>
              <w:rPr>
                <w:rFonts w:hint="eastAsia" w:ascii="宋体" w:hAnsi="宋体" w:cs="宋体"/>
                <w:b/>
                <w:bCs/>
                <w:color w:val="auto"/>
                <w:sz w:val="22"/>
                <w:szCs w:val="22"/>
                <w:highlight w:val="none"/>
                <w:lang w:val="en-US" w:eastAsia="zh-CN"/>
              </w:rPr>
              <w:t>复制件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未提供不得分。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49BFAF3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主观分</w:t>
            </w:r>
          </w:p>
        </w:tc>
      </w:tr>
      <w:tr w14:paraId="1717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7C82086B">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8</w:t>
            </w:r>
          </w:p>
        </w:tc>
        <w:tc>
          <w:tcPr>
            <w:tcW w:w="1140" w:type="dxa"/>
            <w:tcBorders>
              <w:top w:val="single" w:color="auto" w:sz="4" w:space="0"/>
              <w:left w:val="single" w:color="auto" w:sz="4" w:space="0"/>
              <w:bottom w:val="single" w:color="auto" w:sz="4" w:space="0"/>
              <w:right w:val="single" w:color="auto" w:sz="4" w:space="0"/>
            </w:tcBorders>
            <w:noWrap/>
            <w:vAlign w:val="center"/>
          </w:tcPr>
          <w:p w14:paraId="5DF44632">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企业办公、仓储条件</w:t>
            </w:r>
          </w:p>
        </w:tc>
        <w:tc>
          <w:tcPr>
            <w:tcW w:w="768" w:type="dxa"/>
            <w:tcBorders>
              <w:top w:val="single" w:color="auto" w:sz="4" w:space="0"/>
              <w:left w:val="single" w:color="auto" w:sz="4" w:space="0"/>
              <w:bottom w:val="single" w:color="auto" w:sz="4" w:space="0"/>
              <w:right w:val="single" w:color="auto" w:sz="4" w:space="0"/>
            </w:tcBorders>
            <w:noWrap/>
            <w:vAlign w:val="center"/>
          </w:tcPr>
          <w:p w14:paraId="5E80C951">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6633" w:type="dxa"/>
            <w:tcBorders>
              <w:top w:val="single" w:color="auto" w:sz="4" w:space="0"/>
              <w:left w:val="single" w:color="auto" w:sz="4" w:space="0"/>
              <w:bottom w:val="single" w:color="auto" w:sz="4" w:space="0"/>
              <w:right w:val="single" w:color="auto" w:sz="4" w:space="0"/>
            </w:tcBorders>
            <w:noWrap/>
            <w:vAlign w:val="center"/>
          </w:tcPr>
          <w:p w14:paraId="5CB29A8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投标人企业需具备7*24小时的应急服务办公能力，如需应急处置工作时，根据企业应急人员自办公场所和仓储、住宿基地出发到达现场开展应急处置的时效性，由专家根据其地理位置、面积大小、项目适用性等进行综合打分。</w:t>
            </w:r>
          </w:p>
          <w:p w14:paraId="378BF10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cs="宋体"/>
                <w:b w:val="0"/>
                <w:bCs/>
                <w:color w:val="auto"/>
                <w:sz w:val="22"/>
                <w:szCs w:val="22"/>
                <w:highlight w:val="none"/>
                <w:lang w:val="en-US" w:eastAsia="zh-CN"/>
              </w:rPr>
              <w:t>投标人能</w:t>
            </w:r>
            <w:r>
              <w:rPr>
                <w:rFonts w:hint="eastAsia" w:ascii="宋体" w:hAnsi="宋体" w:eastAsia="宋体" w:cs="宋体"/>
                <w:b w:val="0"/>
                <w:bCs/>
                <w:color w:val="auto"/>
                <w:sz w:val="22"/>
                <w:szCs w:val="22"/>
                <w:highlight w:val="none"/>
                <w:lang w:val="en-US" w:eastAsia="zh-CN"/>
              </w:rPr>
              <w:t>提供快速便捷、及时有效的应急响应能力的得</w:t>
            </w:r>
            <w:r>
              <w:rPr>
                <w:rFonts w:hint="eastAsia" w:ascii="宋体" w:hAnsi="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lang w:val="en-US" w:eastAsia="zh-CN"/>
              </w:rPr>
              <w:t>分；</w:t>
            </w:r>
          </w:p>
          <w:p w14:paraId="6F72EE0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2）投标人能提供比较快速有效的应急响应能力的得</w:t>
            </w: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分；</w:t>
            </w:r>
          </w:p>
          <w:p w14:paraId="780E8095">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3）应急响应能力较差的得</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分；</w:t>
            </w:r>
          </w:p>
          <w:p w14:paraId="68DE4DA7">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4）未提供不得分。</w:t>
            </w:r>
          </w:p>
          <w:p w14:paraId="07F4F335">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rPr>
            </w:pPr>
            <w:r>
              <w:rPr>
                <w:rFonts w:hint="eastAsia" w:ascii="宋体" w:hAnsi="宋体" w:eastAsia="宋体" w:cs="宋体"/>
                <w:b/>
                <w:bCs w:val="0"/>
                <w:color w:val="auto"/>
                <w:sz w:val="22"/>
                <w:szCs w:val="22"/>
                <w:highlight w:val="none"/>
                <w:lang w:val="en-US" w:eastAsia="zh-CN"/>
              </w:rPr>
              <w:t>注：提供相应证明材料辅助评审专家进行打分，包括但不限于：产权证、租赁协议、营业执照、现场照片等。</w:t>
            </w:r>
          </w:p>
        </w:tc>
        <w:tc>
          <w:tcPr>
            <w:tcW w:w="982" w:type="dxa"/>
            <w:tcBorders>
              <w:top w:val="single" w:color="auto" w:sz="4" w:space="0"/>
              <w:left w:val="single" w:color="auto" w:sz="4" w:space="0"/>
              <w:bottom w:val="single" w:color="auto" w:sz="4" w:space="0"/>
              <w:right w:val="single" w:color="auto" w:sz="4" w:space="0"/>
            </w:tcBorders>
            <w:noWrap/>
            <w:vAlign w:val="center"/>
          </w:tcPr>
          <w:p w14:paraId="3A39F690">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主观分</w:t>
            </w:r>
          </w:p>
        </w:tc>
      </w:tr>
      <w:tr w14:paraId="023C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150DC3AE">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9</w:t>
            </w:r>
          </w:p>
        </w:tc>
        <w:tc>
          <w:tcPr>
            <w:tcW w:w="1140" w:type="dxa"/>
            <w:tcBorders>
              <w:top w:val="single" w:color="auto" w:sz="4" w:space="0"/>
              <w:left w:val="single" w:color="auto" w:sz="4" w:space="0"/>
              <w:bottom w:val="single" w:color="auto" w:sz="4" w:space="0"/>
              <w:right w:val="single" w:color="auto" w:sz="4" w:space="0"/>
            </w:tcBorders>
            <w:noWrap/>
            <w:vAlign w:val="center"/>
          </w:tcPr>
          <w:p w14:paraId="32D3BAFB">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服务承诺</w:t>
            </w:r>
          </w:p>
        </w:tc>
        <w:tc>
          <w:tcPr>
            <w:tcW w:w="768" w:type="dxa"/>
            <w:tcBorders>
              <w:top w:val="single" w:color="auto" w:sz="4" w:space="0"/>
              <w:left w:val="single" w:color="auto" w:sz="4" w:space="0"/>
              <w:bottom w:val="single" w:color="auto" w:sz="4" w:space="0"/>
              <w:right w:val="single" w:color="auto" w:sz="4" w:space="0"/>
            </w:tcBorders>
            <w:noWrap/>
            <w:vAlign w:val="center"/>
          </w:tcPr>
          <w:p w14:paraId="032FF59F">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633" w:type="dxa"/>
            <w:tcBorders>
              <w:top w:val="single" w:color="auto" w:sz="4" w:space="0"/>
              <w:left w:val="single" w:color="auto" w:sz="4" w:space="0"/>
              <w:bottom w:val="single" w:color="auto" w:sz="4" w:space="0"/>
              <w:right w:val="single" w:color="auto" w:sz="4" w:space="0"/>
            </w:tcBorders>
            <w:noWrap/>
            <w:vAlign w:val="center"/>
          </w:tcPr>
          <w:p w14:paraId="3732CAB9">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根据投标供应商提供的优惠措施、服务承诺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由评审专家综合打分。</w:t>
            </w:r>
          </w:p>
          <w:p w14:paraId="001DBC12">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（1）方案完整具体、切实可行，能满足采购需求，有利于项目实施的得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14:paraId="63BBDC99">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（2）方案较为完整可行，基本符合采购需求的得</w:t>
            </w:r>
            <w:r>
              <w:rPr>
                <w:rFonts w:hint="eastAsia" w:ascii="宋体" w:hAnsi="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val="en-US" w:eastAsia="zh-CN"/>
              </w:rPr>
              <w:t>分；</w:t>
            </w:r>
          </w:p>
          <w:p w14:paraId="5762F000">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（3）方案简单不全，存在明显缺陷遗漏的得1分；</w:t>
            </w:r>
          </w:p>
          <w:p w14:paraId="68DD11D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75925CF0">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rPr>
              <w:t>主观分</w:t>
            </w:r>
          </w:p>
        </w:tc>
      </w:tr>
      <w:tr w14:paraId="265D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75239514">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1140" w:type="dxa"/>
            <w:tcBorders>
              <w:top w:val="single" w:color="auto" w:sz="4" w:space="0"/>
              <w:left w:val="single" w:color="auto" w:sz="4" w:space="0"/>
              <w:bottom w:val="single" w:color="auto" w:sz="4" w:space="0"/>
              <w:right w:val="single" w:color="auto" w:sz="4" w:space="0"/>
            </w:tcBorders>
            <w:noWrap/>
            <w:vAlign w:val="center"/>
          </w:tcPr>
          <w:p w14:paraId="46252572">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业主单位的服务评价</w:t>
            </w:r>
          </w:p>
        </w:tc>
        <w:tc>
          <w:tcPr>
            <w:tcW w:w="768" w:type="dxa"/>
            <w:tcBorders>
              <w:top w:val="single" w:color="auto" w:sz="4" w:space="0"/>
              <w:left w:val="single" w:color="auto" w:sz="4" w:space="0"/>
              <w:bottom w:val="single" w:color="auto" w:sz="4" w:space="0"/>
              <w:right w:val="single" w:color="auto" w:sz="4" w:space="0"/>
            </w:tcBorders>
            <w:noWrap/>
            <w:vAlign w:val="center"/>
          </w:tcPr>
          <w:p w14:paraId="502B6CB6">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6633" w:type="dxa"/>
            <w:tcBorders>
              <w:top w:val="single" w:color="auto" w:sz="4" w:space="0"/>
              <w:left w:val="single" w:color="auto" w:sz="4" w:space="0"/>
              <w:bottom w:val="single" w:color="auto" w:sz="4" w:space="0"/>
              <w:right w:val="single" w:color="auto" w:sz="4" w:space="0"/>
            </w:tcBorders>
            <w:noWrap/>
            <w:vAlign w:val="center"/>
          </w:tcPr>
          <w:p w14:paraId="230AF3E1">
            <w:pPr>
              <w:keepNext w:val="0"/>
              <w:keepLines w:val="0"/>
              <w:widowControl/>
              <w:numPr>
                <w:ilvl w:val="-1"/>
                <w:numId w:val="0"/>
              </w:numPr>
              <w:suppressLineNumbers w:val="0"/>
              <w:spacing w:before="0" w:beforeLines="0" w:beforeAutospacing="0" w:after="0" w:afterLines="0" w:afterAutospacing="0" w:line="240" w:lineRule="auto"/>
              <w:ind w:left="0" w:leftChars="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b w:val="0"/>
                <w:bCs w:val="0"/>
                <w:color w:val="auto"/>
                <w:sz w:val="22"/>
                <w:szCs w:val="22"/>
                <w:highlight w:val="none"/>
              </w:rPr>
              <w:t>投标人20</w:t>
            </w:r>
            <w:r>
              <w:rPr>
                <w:rFonts w:hint="eastAsia" w:ascii="宋体"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年1月1日以来</w:t>
            </w:r>
            <w:r>
              <w:rPr>
                <w:rFonts w:hint="eastAsia" w:ascii="宋体" w:hAnsi="宋体" w:eastAsia="宋体" w:cs="宋体"/>
                <w:b w:val="0"/>
                <w:bCs w:val="0"/>
                <w:color w:val="auto"/>
                <w:sz w:val="22"/>
                <w:szCs w:val="22"/>
                <w:highlight w:val="none"/>
                <w:lang w:val="en-US" w:eastAsia="zh-CN"/>
              </w:rPr>
              <w:t>城市道路维养类项目年度</w:t>
            </w:r>
            <w:r>
              <w:rPr>
                <w:rFonts w:hint="eastAsia" w:ascii="宋体" w:hAnsi="宋体" w:eastAsia="宋体" w:cs="宋体"/>
                <w:b w:val="0"/>
                <w:bCs w:val="0"/>
                <w:color w:val="auto"/>
                <w:sz w:val="22"/>
                <w:szCs w:val="22"/>
                <w:highlight w:val="none"/>
              </w:rPr>
              <w:t>业绩</w:t>
            </w:r>
            <w:r>
              <w:rPr>
                <w:rFonts w:hint="eastAsia" w:ascii="宋体" w:hAnsi="宋体" w:eastAsia="宋体" w:cs="宋体"/>
                <w:color w:val="auto"/>
                <w:sz w:val="22"/>
                <w:szCs w:val="22"/>
                <w:highlight w:val="none"/>
              </w:rPr>
              <w:t>业主单位提供的评价（至少提供一个，否则该项不给分），由评委</w:t>
            </w: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rPr>
              <w:t>打分。</w:t>
            </w:r>
          </w:p>
          <w:p w14:paraId="065EC308">
            <w:pPr>
              <w:keepNext w:val="0"/>
              <w:keepLines w:val="0"/>
              <w:widowControl/>
              <w:numPr>
                <w:ilvl w:val="0"/>
                <w:numId w:val="42"/>
              </w:numPr>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能为本项目提供</w:t>
            </w:r>
            <w:r>
              <w:rPr>
                <w:rFonts w:hint="eastAsia" w:ascii="宋体" w:hAnsi="宋体" w:cs="宋体"/>
                <w:color w:val="auto"/>
                <w:sz w:val="22"/>
                <w:szCs w:val="22"/>
                <w:highlight w:val="none"/>
                <w:lang w:val="en-US" w:eastAsia="zh-CN"/>
              </w:rPr>
              <w:t>满足采购要求的</w:t>
            </w:r>
            <w:r>
              <w:rPr>
                <w:rFonts w:hint="eastAsia" w:ascii="宋体" w:hAnsi="宋体" w:eastAsia="宋体" w:cs="宋体"/>
                <w:color w:val="auto"/>
                <w:sz w:val="22"/>
                <w:szCs w:val="22"/>
                <w:highlight w:val="none"/>
              </w:rPr>
              <w:t>服务保障能力，</w:t>
            </w:r>
            <w:r>
              <w:rPr>
                <w:rFonts w:hint="eastAsia" w:ascii="宋体" w:hAnsi="宋体" w:cs="宋体"/>
                <w:color w:val="auto"/>
                <w:sz w:val="22"/>
                <w:szCs w:val="22"/>
                <w:highlight w:val="none"/>
                <w:lang w:val="en-US" w:eastAsia="zh-CN"/>
              </w:rPr>
              <w:t>以</w:t>
            </w:r>
            <w:r>
              <w:rPr>
                <w:rFonts w:hint="eastAsia" w:ascii="宋体" w:hAnsi="宋体" w:eastAsia="宋体" w:cs="宋体"/>
                <w:color w:val="auto"/>
                <w:sz w:val="22"/>
                <w:szCs w:val="22"/>
                <w:highlight w:val="none"/>
              </w:rPr>
              <w:t>及具有全面可靠的服务覆盖能力的得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BF0FC39">
            <w:pPr>
              <w:keepNext w:val="0"/>
              <w:keepLines w:val="0"/>
              <w:widowControl/>
              <w:numPr>
                <w:ilvl w:val="0"/>
                <w:numId w:val="42"/>
              </w:numPr>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基本能够提供满足采购要求的服务保障能力和较全的服务覆盖能力的得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04A9E77A">
            <w:pPr>
              <w:keepNext w:val="0"/>
              <w:keepLines w:val="0"/>
              <w:widowControl/>
              <w:numPr>
                <w:ilvl w:val="0"/>
                <w:numId w:val="42"/>
              </w:numPr>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服务保障能力和覆盖能力较为不足的得1分</w:t>
            </w:r>
            <w:r>
              <w:rPr>
                <w:rFonts w:hint="eastAsia" w:ascii="宋体" w:hAnsi="宋体" w:cs="宋体"/>
                <w:color w:val="auto"/>
                <w:sz w:val="22"/>
                <w:szCs w:val="22"/>
                <w:highlight w:val="none"/>
                <w:lang w:eastAsia="zh-CN"/>
              </w:rPr>
              <w:t>；</w:t>
            </w:r>
          </w:p>
          <w:p w14:paraId="1269CCEB">
            <w:pPr>
              <w:keepNext w:val="0"/>
              <w:keepLines w:val="0"/>
              <w:widowControl/>
              <w:numPr>
                <w:ilvl w:val="0"/>
                <w:numId w:val="42"/>
              </w:numPr>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100AB62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主</w:t>
            </w:r>
            <w:r>
              <w:rPr>
                <w:rFonts w:hint="eastAsia" w:ascii="宋体" w:hAnsi="宋体" w:eastAsia="宋体" w:cs="宋体"/>
                <w:color w:val="auto"/>
                <w:kern w:val="0"/>
                <w:sz w:val="22"/>
                <w:szCs w:val="22"/>
                <w:highlight w:val="none"/>
                <w:lang w:val="en-US" w:eastAsia="zh-CN"/>
              </w:rPr>
              <w:t>观分</w:t>
            </w:r>
          </w:p>
        </w:tc>
      </w:tr>
      <w:tr w14:paraId="6572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5A577756">
            <w:pPr>
              <w:keepNext w:val="0"/>
              <w:keepLines w:val="0"/>
              <w:widowControl/>
              <w:suppressLineNumbers w:val="0"/>
              <w:spacing w:before="0" w:beforeLines="0" w:beforeAutospacing="0" w:after="0" w:afterLines="0" w:afterAutospacing="0" w:line="240" w:lineRule="auto"/>
              <w:ind w:left="63" w:leftChars="30" w:right="63" w:rightChars="3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val="en-US" w:eastAsia="zh-CN"/>
              </w:rPr>
              <w:t>1</w:t>
            </w:r>
          </w:p>
        </w:tc>
        <w:tc>
          <w:tcPr>
            <w:tcW w:w="1140" w:type="dxa"/>
            <w:tcBorders>
              <w:top w:val="single" w:color="auto" w:sz="4" w:space="0"/>
              <w:left w:val="single" w:color="auto" w:sz="4" w:space="0"/>
              <w:bottom w:val="single" w:color="auto" w:sz="4" w:space="0"/>
              <w:right w:val="single" w:color="auto" w:sz="4" w:space="0"/>
            </w:tcBorders>
            <w:noWrap/>
            <w:vAlign w:val="center"/>
          </w:tcPr>
          <w:p w14:paraId="1EDA0B85">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业绩</w:t>
            </w:r>
          </w:p>
        </w:tc>
        <w:tc>
          <w:tcPr>
            <w:tcW w:w="768" w:type="dxa"/>
            <w:tcBorders>
              <w:top w:val="single" w:color="auto" w:sz="4" w:space="0"/>
              <w:left w:val="single" w:color="auto" w:sz="4" w:space="0"/>
              <w:bottom w:val="single" w:color="auto" w:sz="4" w:space="0"/>
              <w:right w:val="single" w:color="auto" w:sz="4" w:space="0"/>
            </w:tcBorders>
            <w:noWrap/>
            <w:vAlign w:val="center"/>
          </w:tcPr>
          <w:p w14:paraId="4BD19475">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6633" w:type="dxa"/>
            <w:tcBorders>
              <w:top w:val="single" w:color="auto" w:sz="4" w:space="0"/>
              <w:left w:val="single" w:color="auto" w:sz="4" w:space="0"/>
              <w:bottom w:val="single" w:color="auto" w:sz="4" w:space="0"/>
              <w:right w:val="single" w:color="auto" w:sz="4" w:space="0"/>
            </w:tcBorders>
            <w:noWrap/>
            <w:vAlign w:val="center"/>
          </w:tcPr>
          <w:p w14:paraId="2CFCABC8">
            <w:pPr>
              <w:keepNext w:val="0"/>
              <w:keepLines w:val="0"/>
              <w:widowControl/>
              <w:suppressLineNumbers w:val="0"/>
              <w:spacing w:before="0" w:beforeLines="0" w:beforeAutospacing="0" w:after="0" w:afterLines="0" w:afterAutospacing="0" w:line="240" w:lineRule="auto"/>
              <w:ind w:left="63" w:leftChars="30" w:right="63" w:rightChars="30"/>
              <w:jc w:val="left"/>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rPr>
              <w:t>投标人20</w:t>
            </w:r>
            <w:r>
              <w:rPr>
                <w:rFonts w:hint="eastAsia" w:ascii="宋体"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rPr>
              <w:t>年1月1日以来</w:t>
            </w:r>
            <w:r>
              <w:rPr>
                <w:rFonts w:hint="eastAsia" w:ascii="宋体" w:hAnsi="宋体" w:eastAsia="宋体" w:cs="宋体"/>
                <w:b w:val="0"/>
                <w:bCs w:val="0"/>
                <w:color w:val="auto"/>
                <w:sz w:val="22"/>
                <w:szCs w:val="22"/>
                <w:highlight w:val="none"/>
                <w:lang w:val="en-US" w:eastAsia="zh-CN"/>
              </w:rPr>
              <w:t>类似城市道路维养类项目年度</w:t>
            </w:r>
            <w:r>
              <w:rPr>
                <w:rFonts w:hint="eastAsia" w:ascii="宋体" w:hAnsi="宋体" w:eastAsia="宋体" w:cs="宋体"/>
                <w:b w:val="0"/>
                <w:bCs w:val="0"/>
                <w:color w:val="auto"/>
                <w:sz w:val="22"/>
                <w:szCs w:val="22"/>
                <w:highlight w:val="none"/>
              </w:rPr>
              <w:t>业绩，以合同签订时间为准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每个合同</w:t>
            </w:r>
            <w:r>
              <w:rPr>
                <w:rFonts w:hint="eastAsia" w:ascii="宋体" w:hAnsi="宋体" w:cs="宋体"/>
                <w:b w:val="0"/>
                <w:bCs w:val="0"/>
                <w:color w:val="auto"/>
                <w:sz w:val="22"/>
                <w:szCs w:val="22"/>
                <w:highlight w:val="none"/>
                <w:lang w:eastAsia="zh-CN"/>
              </w:rPr>
              <w:t>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本项最高得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分。要求提供合同</w:t>
            </w:r>
            <w:r>
              <w:rPr>
                <w:rFonts w:hint="eastAsia" w:ascii="宋体" w:hAnsi="宋体" w:cs="宋体"/>
                <w:b w:val="0"/>
                <w:bCs w:val="0"/>
                <w:color w:val="auto"/>
                <w:sz w:val="22"/>
                <w:szCs w:val="22"/>
                <w:highlight w:val="none"/>
                <w:lang w:val="en-US" w:eastAsia="zh-CN"/>
              </w:rPr>
              <w:t>复制件</w:t>
            </w:r>
            <w:r>
              <w:rPr>
                <w:rFonts w:hint="eastAsia" w:ascii="宋体" w:hAnsi="宋体" w:eastAsia="宋体" w:cs="宋体"/>
                <w:b w:val="0"/>
                <w:bCs w:val="0"/>
                <w:color w:val="auto"/>
                <w:sz w:val="22"/>
                <w:szCs w:val="22"/>
                <w:highlight w:val="none"/>
              </w:rPr>
              <w:t>。</w:t>
            </w:r>
          </w:p>
        </w:tc>
        <w:tc>
          <w:tcPr>
            <w:tcW w:w="982" w:type="dxa"/>
            <w:tcBorders>
              <w:top w:val="single" w:color="auto" w:sz="4" w:space="0"/>
              <w:left w:val="single" w:color="auto" w:sz="4" w:space="0"/>
              <w:bottom w:val="single" w:color="auto" w:sz="4" w:space="0"/>
              <w:right w:val="single" w:color="auto" w:sz="4" w:space="0"/>
            </w:tcBorders>
            <w:noWrap/>
            <w:vAlign w:val="center"/>
          </w:tcPr>
          <w:p w14:paraId="68B63BF8">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客观分</w:t>
            </w:r>
          </w:p>
        </w:tc>
      </w:tr>
      <w:tr w14:paraId="187F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3D49B80C">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2</w:t>
            </w:r>
          </w:p>
        </w:tc>
        <w:tc>
          <w:tcPr>
            <w:tcW w:w="1140" w:type="dxa"/>
            <w:tcBorders>
              <w:top w:val="single" w:color="auto" w:sz="4" w:space="0"/>
              <w:left w:val="single" w:color="auto" w:sz="4" w:space="0"/>
              <w:bottom w:val="single" w:color="auto" w:sz="4" w:space="0"/>
              <w:right w:val="single" w:color="auto" w:sz="4" w:space="0"/>
            </w:tcBorders>
            <w:noWrap/>
            <w:vAlign w:val="center"/>
          </w:tcPr>
          <w:p w14:paraId="18A90CEB">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荣誉</w:t>
            </w:r>
          </w:p>
        </w:tc>
        <w:tc>
          <w:tcPr>
            <w:tcW w:w="768" w:type="dxa"/>
            <w:tcBorders>
              <w:top w:val="single" w:color="auto" w:sz="4" w:space="0"/>
              <w:left w:val="single" w:color="auto" w:sz="4" w:space="0"/>
              <w:bottom w:val="single" w:color="auto" w:sz="4" w:space="0"/>
              <w:right w:val="single" w:color="auto" w:sz="4" w:space="0"/>
            </w:tcBorders>
            <w:noWrap/>
            <w:vAlign w:val="center"/>
          </w:tcPr>
          <w:p w14:paraId="27ED7358">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633" w:type="dxa"/>
            <w:tcBorders>
              <w:top w:val="single" w:color="auto" w:sz="4" w:space="0"/>
              <w:left w:val="single" w:color="auto" w:sz="4" w:space="0"/>
              <w:bottom w:val="single" w:color="auto" w:sz="4" w:space="0"/>
              <w:right w:val="single" w:color="auto" w:sz="4" w:space="0"/>
            </w:tcBorders>
            <w:noWrap/>
            <w:vAlign w:val="center"/>
          </w:tcPr>
          <w:p w14:paraId="661F437B">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2020年</w:t>
            </w:r>
            <w:r>
              <w:rPr>
                <w:rFonts w:hint="eastAsia" w:ascii="宋体" w:hAnsi="宋体" w:eastAsia="宋体" w:cs="宋体"/>
                <w:b w:val="0"/>
                <w:bCs w:val="0"/>
                <w:color w:val="auto"/>
                <w:sz w:val="22"/>
                <w:szCs w:val="22"/>
                <w:highlight w:val="none"/>
                <w:lang w:val="en-US" w:eastAsia="zh-CN"/>
              </w:rPr>
              <w:t>1月1日起获得的</w:t>
            </w:r>
            <w:r>
              <w:rPr>
                <w:rFonts w:hint="eastAsia" w:ascii="宋体" w:hAnsi="宋体" w:eastAsia="宋体" w:cs="宋体"/>
                <w:b w:val="0"/>
                <w:bCs w:val="0"/>
                <w:color w:val="auto"/>
                <w:sz w:val="22"/>
                <w:szCs w:val="22"/>
                <w:highlight w:val="none"/>
              </w:rPr>
              <w:t>应急处置工作中的突出事迹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根据供应商在</w:t>
            </w:r>
            <w:r>
              <w:rPr>
                <w:rFonts w:hint="eastAsia" w:ascii="宋体" w:hAnsi="宋体" w:cs="宋体"/>
                <w:b w:val="0"/>
                <w:bCs w:val="0"/>
                <w:color w:val="auto"/>
                <w:sz w:val="22"/>
                <w:szCs w:val="22"/>
                <w:highlight w:val="none"/>
                <w:lang w:eastAsia="zh-CN"/>
              </w:rPr>
              <w:t>20</w:t>
            </w:r>
            <w:r>
              <w:rPr>
                <w:rFonts w:hint="eastAsia" w:ascii="宋体" w:hAnsi="宋体" w:cs="宋体"/>
                <w:b w:val="0"/>
                <w:bCs w:val="0"/>
                <w:color w:val="auto"/>
                <w:sz w:val="22"/>
                <w:szCs w:val="22"/>
                <w:highlight w:val="none"/>
                <w:lang w:val="en-US" w:eastAsia="zh-CN"/>
              </w:rPr>
              <w:t>20</w:t>
            </w:r>
            <w:r>
              <w:rPr>
                <w:rFonts w:hint="eastAsia" w:ascii="宋体" w:hAnsi="宋体" w:cs="宋体"/>
                <w:b w:val="0"/>
                <w:bCs w:val="0"/>
                <w:color w:val="auto"/>
                <w:sz w:val="22"/>
                <w:szCs w:val="22"/>
                <w:highlight w:val="none"/>
                <w:lang w:eastAsia="zh-CN"/>
              </w:rPr>
              <w:t>年</w:t>
            </w:r>
            <w:r>
              <w:rPr>
                <w:rFonts w:hint="eastAsia" w:ascii="宋体" w:hAnsi="宋体" w:eastAsia="宋体" w:cs="宋体"/>
                <w:b w:val="0"/>
                <w:bCs w:val="0"/>
                <w:color w:val="auto"/>
                <w:sz w:val="22"/>
                <w:szCs w:val="22"/>
                <w:highlight w:val="none"/>
              </w:rPr>
              <w:t>1月1日起工作中有参与抢险维修事项并获得的各级</w:t>
            </w:r>
            <w:r>
              <w:rPr>
                <w:rFonts w:hint="eastAsia" w:ascii="宋体" w:hAnsi="宋体" w:cs="宋体"/>
                <w:b w:val="0"/>
                <w:bCs w:val="0"/>
                <w:color w:val="auto"/>
                <w:sz w:val="22"/>
                <w:szCs w:val="22"/>
                <w:highlight w:val="none"/>
                <w:lang w:eastAsia="zh-CN"/>
              </w:rPr>
              <w:t>政府、部门及企事业单位</w:t>
            </w:r>
            <w:r>
              <w:rPr>
                <w:rFonts w:hint="eastAsia" w:ascii="宋体" w:hAnsi="宋体" w:eastAsia="宋体" w:cs="宋体"/>
                <w:b w:val="0"/>
                <w:bCs w:val="0"/>
                <w:color w:val="auto"/>
                <w:sz w:val="22"/>
                <w:szCs w:val="22"/>
                <w:highlight w:val="none"/>
              </w:rPr>
              <w:t>授予以相应表彰等各类材料的，每获得一次得1分；参与应急演练的，一次得0.5分</w:t>
            </w:r>
            <w:r>
              <w:rPr>
                <w:rFonts w:hint="eastAsia" w:ascii="宋体" w:hAnsi="宋体" w:cs="宋体"/>
                <w:b w:val="0"/>
                <w:bCs w:val="0"/>
                <w:color w:val="auto"/>
                <w:sz w:val="22"/>
                <w:szCs w:val="22"/>
                <w:highlight w:val="none"/>
                <w:lang w:val="en-US" w:eastAsia="zh-CN"/>
              </w:rPr>
              <w:t>。本项</w:t>
            </w:r>
            <w:r>
              <w:rPr>
                <w:rFonts w:hint="eastAsia" w:ascii="宋体" w:hAnsi="宋体" w:eastAsia="宋体" w:cs="宋体"/>
                <w:b w:val="0"/>
                <w:bCs w:val="0"/>
                <w:color w:val="auto"/>
                <w:sz w:val="22"/>
                <w:szCs w:val="22"/>
                <w:highlight w:val="none"/>
              </w:rPr>
              <w:t>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分。要求提供证明材料</w:t>
            </w:r>
            <w:r>
              <w:rPr>
                <w:rFonts w:hint="eastAsia" w:ascii="宋体" w:hAnsi="宋体" w:cs="宋体"/>
                <w:b w:val="0"/>
                <w:bCs w:val="0"/>
                <w:color w:val="auto"/>
                <w:sz w:val="22"/>
                <w:szCs w:val="22"/>
                <w:highlight w:val="none"/>
                <w:lang w:val="en-US" w:eastAsia="zh-CN"/>
              </w:rPr>
              <w:t>复制件</w:t>
            </w:r>
            <w:r>
              <w:rPr>
                <w:rFonts w:hint="eastAsia" w:ascii="宋体" w:hAnsi="宋体" w:eastAsia="宋体" w:cs="宋体"/>
                <w:b w:val="0"/>
                <w:bCs w:val="0"/>
                <w:color w:val="auto"/>
                <w:sz w:val="22"/>
                <w:szCs w:val="22"/>
                <w:highlight w:val="none"/>
              </w:rPr>
              <w:t>。</w:t>
            </w:r>
          </w:p>
          <w:p w14:paraId="13491FD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lang w:eastAsia="zh-CN"/>
              </w:rPr>
            </w:pPr>
            <w:r>
              <w:rPr>
                <w:rFonts w:hint="eastAsia" w:ascii="宋体" w:hAnsi="宋体" w:eastAsia="宋体" w:cs="宋体"/>
                <w:b/>
                <w:color w:val="auto"/>
                <w:sz w:val="22"/>
                <w:szCs w:val="22"/>
                <w:highlight w:val="none"/>
                <w:lang w:val="en-US" w:eastAsia="zh-CN"/>
              </w:rPr>
              <w:t>注：证明材料包括</w:t>
            </w:r>
            <w:r>
              <w:rPr>
                <w:rFonts w:hint="eastAsia" w:ascii="宋体" w:hAnsi="宋体" w:cs="宋体"/>
                <w:b/>
                <w:color w:val="auto"/>
                <w:sz w:val="22"/>
                <w:szCs w:val="22"/>
                <w:highlight w:val="none"/>
                <w:lang w:val="en-US" w:eastAsia="zh-CN"/>
              </w:rPr>
              <w:t>发文或</w:t>
            </w:r>
            <w:r>
              <w:rPr>
                <w:rFonts w:hint="eastAsia" w:ascii="宋体" w:hAnsi="宋体" w:eastAsia="宋体" w:cs="宋体"/>
                <w:b/>
                <w:color w:val="auto"/>
                <w:sz w:val="22"/>
                <w:szCs w:val="22"/>
                <w:highlight w:val="none"/>
                <w:lang w:val="en-US" w:eastAsia="zh-CN"/>
              </w:rPr>
              <w:t>网站公示</w:t>
            </w:r>
            <w:r>
              <w:rPr>
                <w:rFonts w:hint="eastAsia" w:ascii="宋体" w:hAnsi="宋体" w:cs="宋体"/>
                <w:b/>
                <w:color w:val="auto"/>
                <w:sz w:val="22"/>
                <w:szCs w:val="22"/>
                <w:highlight w:val="none"/>
                <w:lang w:val="en-US" w:eastAsia="zh-CN"/>
              </w:rPr>
              <w:t>或</w:t>
            </w:r>
            <w:r>
              <w:rPr>
                <w:rFonts w:hint="eastAsia" w:ascii="宋体" w:hAnsi="宋体" w:eastAsia="宋体" w:cs="宋体"/>
                <w:b/>
                <w:color w:val="auto"/>
                <w:sz w:val="22"/>
                <w:szCs w:val="22"/>
                <w:highlight w:val="none"/>
                <w:lang w:val="en-US" w:eastAsia="zh-CN"/>
              </w:rPr>
              <w:t>各级机关企事业单位的公众号内容截图等能可以佐证的材料。在中标后交由业主备查。</w:t>
            </w:r>
          </w:p>
        </w:tc>
        <w:tc>
          <w:tcPr>
            <w:tcW w:w="982" w:type="dxa"/>
            <w:tcBorders>
              <w:top w:val="single" w:color="auto" w:sz="4" w:space="0"/>
              <w:left w:val="single" w:color="auto" w:sz="4" w:space="0"/>
              <w:bottom w:val="single" w:color="auto" w:sz="4" w:space="0"/>
              <w:right w:val="single" w:color="auto" w:sz="4" w:space="0"/>
            </w:tcBorders>
            <w:noWrap/>
            <w:vAlign w:val="center"/>
          </w:tcPr>
          <w:p w14:paraId="5A0B0477">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客观分</w:t>
            </w:r>
          </w:p>
        </w:tc>
      </w:tr>
      <w:tr w14:paraId="45DA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415" w:type="dxa"/>
            <w:tcBorders>
              <w:top w:val="single" w:color="auto" w:sz="4" w:space="0"/>
              <w:left w:val="single" w:color="auto" w:sz="4" w:space="0"/>
              <w:bottom w:val="single" w:color="auto" w:sz="4" w:space="0"/>
              <w:right w:val="single" w:color="auto" w:sz="4" w:space="0"/>
            </w:tcBorders>
            <w:noWrap/>
            <w:vAlign w:val="center"/>
          </w:tcPr>
          <w:p w14:paraId="7F6DDB7A">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3</w:t>
            </w:r>
          </w:p>
        </w:tc>
        <w:tc>
          <w:tcPr>
            <w:tcW w:w="1140" w:type="dxa"/>
            <w:tcBorders>
              <w:top w:val="single" w:color="auto" w:sz="4" w:space="0"/>
              <w:left w:val="single" w:color="auto" w:sz="4" w:space="0"/>
              <w:bottom w:val="single" w:color="auto" w:sz="4" w:space="0"/>
              <w:right w:val="single" w:color="auto" w:sz="4" w:space="0"/>
            </w:tcBorders>
            <w:noWrap/>
            <w:vAlign w:val="center"/>
          </w:tcPr>
          <w:p w14:paraId="23D83495">
            <w:pPr>
              <w:keepNext w:val="0"/>
              <w:keepLines w:val="0"/>
              <w:widowControl/>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应急处置措施</w:t>
            </w:r>
          </w:p>
        </w:tc>
        <w:tc>
          <w:tcPr>
            <w:tcW w:w="768" w:type="dxa"/>
            <w:tcBorders>
              <w:top w:val="single" w:color="auto" w:sz="4" w:space="0"/>
              <w:left w:val="single" w:color="auto" w:sz="4" w:space="0"/>
              <w:bottom w:val="single" w:color="auto" w:sz="4" w:space="0"/>
              <w:right w:val="single" w:color="auto" w:sz="4" w:space="0"/>
            </w:tcBorders>
            <w:noWrap/>
            <w:vAlign w:val="center"/>
          </w:tcPr>
          <w:p w14:paraId="5D0D3C60">
            <w:pPr>
              <w:pStyle w:val="76"/>
              <w:keepNext w:val="0"/>
              <w:keepLines w:val="0"/>
              <w:suppressLineNumbers w:val="0"/>
              <w:spacing w:before="0" w:beforeLines="0" w:beforeAutospacing="0" w:after="0" w:afterLines="0" w:afterAutospacing="0" w:line="240" w:lineRule="auto"/>
              <w:ind w:left="63" w:leftChars="30" w:right="63" w:rightChars="3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6633" w:type="dxa"/>
            <w:tcBorders>
              <w:top w:val="single" w:color="auto" w:sz="4" w:space="0"/>
              <w:left w:val="single" w:color="auto" w:sz="4" w:space="0"/>
              <w:bottom w:val="single" w:color="auto" w:sz="4" w:space="0"/>
              <w:right w:val="single" w:color="auto" w:sz="4" w:space="0"/>
            </w:tcBorders>
            <w:noWrap/>
            <w:vAlign w:val="center"/>
          </w:tcPr>
          <w:p w14:paraId="37473E34">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应急响应及处置机制（道路</w:t>
            </w:r>
            <w:r>
              <w:rPr>
                <w:rFonts w:hint="eastAsia" w:ascii="宋体" w:hAnsi="宋体" w:cs="宋体"/>
                <w:b w:val="0"/>
                <w:bCs w:val="0"/>
                <w:color w:val="auto"/>
                <w:sz w:val="22"/>
                <w:szCs w:val="22"/>
                <w:highlight w:val="none"/>
                <w:lang w:val="en-US" w:eastAsia="zh-CN"/>
              </w:rPr>
              <w:t>桥隧塌陷等突发事件</w:t>
            </w:r>
            <w:r>
              <w:rPr>
                <w:rFonts w:hint="eastAsia" w:ascii="宋体" w:hAnsi="宋体" w:eastAsia="宋体" w:cs="宋体"/>
                <w:b w:val="0"/>
                <w:bCs w:val="0"/>
                <w:color w:val="auto"/>
                <w:sz w:val="22"/>
                <w:szCs w:val="22"/>
                <w:highlight w:val="none"/>
              </w:rPr>
              <w:t>、台风暴雨期间地下设施排险等）</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由评审专家综合打分。</w:t>
            </w:r>
          </w:p>
          <w:p w14:paraId="2AD1486D">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（1）应急预案内容要素完整，合理可行，措施有效可行的得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14:paraId="623D0BC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（2）预案内容较为完整，措施基本可行的得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p w14:paraId="60500CA1">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（3）预案内容简单不全，存在明显缺陷遗漏的得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14:paraId="02DC11FA">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（4）未提供的不得分。</w:t>
            </w:r>
          </w:p>
        </w:tc>
        <w:tc>
          <w:tcPr>
            <w:tcW w:w="982" w:type="dxa"/>
            <w:tcBorders>
              <w:top w:val="single" w:color="auto" w:sz="4" w:space="0"/>
              <w:left w:val="single" w:color="auto" w:sz="4" w:space="0"/>
              <w:bottom w:val="single" w:color="auto" w:sz="4" w:space="0"/>
              <w:right w:val="single" w:color="auto" w:sz="4" w:space="0"/>
            </w:tcBorders>
            <w:noWrap/>
            <w:vAlign w:val="center"/>
          </w:tcPr>
          <w:p w14:paraId="2E9097B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color w:val="auto"/>
                <w:sz w:val="22"/>
                <w:szCs w:val="22"/>
                <w:highlight w:val="none"/>
              </w:rPr>
            </w:pPr>
            <w:r>
              <w:rPr>
                <w:rFonts w:hint="eastAsia" w:ascii="宋体" w:hAnsi="宋体" w:eastAsia="宋体" w:cs="宋体"/>
                <w:color w:val="auto"/>
                <w:kern w:val="0"/>
                <w:sz w:val="22"/>
                <w:szCs w:val="22"/>
                <w:highlight w:val="none"/>
                <w:lang w:val="en-US" w:eastAsia="zh-CN"/>
              </w:rPr>
              <w:t>主观分</w:t>
            </w:r>
          </w:p>
        </w:tc>
      </w:tr>
      <w:tr w14:paraId="4114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jc w:val="center"/>
        </w:trPr>
        <w:tc>
          <w:tcPr>
            <w:tcW w:w="8956" w:type="dxa"/>
            <w:gridSpan w:val="4"/>
            <w:tcBorders>
              <w:top w:val="single" w:color="auto" w:sz="4" w:space="0"/>
              <w:left w:val="single" w:color="auto" w:sz="4" w:space="0"/>
              <w:bottom w:val="single" w:color="auto" w:sz="4" w:space="0"/>
              <w:right w:val="single" w:color="auto" w:sz="4" w:space="0"/>
            </w:tcBorders>
            <w:noWrap/>
            <w:vAlign w:val="center"/>
          </w:tcPr>
          <w:p w14:paraId="1774F12F">
            <w:pPr>
              <w:keepNext w:val="0"/>
              <w:keepLines w:val="0"/>
              <w:suppressLineNumbers w:val="0"/>
              <w:spacing w:before="0" w:beforeLines="0" w:beforeAutospacing="0" w:after="0" w:afterLines="0" w:afterAutospacing="0" w:line="240" w:lineRule="auto"/>
              <w:ind w:left="63" w:leftChars="30" w:right="63" w:rightChars="30"/>
              <w:rPr>
                <w:rFonts w:hint="default"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说明：</w:t>
            </w:r>
          </w:p>
          <w:p w14:paraId="4852E44F">
            <w:pPr>
              <w:keepNext w:val="0"/>
              <w:keepLines w:val="0"/>
              <w:suppressLineNumbers w:val="0"/>
              <w:spacing w:before="0" w:beforeLines="0" w:beforeAutospacing="0" w:after="0" w:afterLines="0" w:afterAutospacing="0" w:line="240" w:lineRule="auto"/>
              <w:ind w:left="63" w:leftChars="30" w:right="63" w:rightChars="30"/>
              <w:rPr>
                <w:rFonts w:hint="default"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w:t>
            </w:r>
            <w:r>
              <w:rPr>
                <w:rFonts w:hint="eastAsia" w:ascii="宋体" w:hAnsi="宋体" w:cs="宋体"/>
                <w:snapToGrid w:val="0"/>
                <w:color w:val="auto"/>
                <w:kern w:val="0"/>
                <w:sz w:val="22"/>
                <w:szCs w:val="22"/>
                <w:highlight w:val="none"/>
                <w:lang w:eastAsia="zh-CN"/>
              </w:rPr>
              <w:t>1</w:t>
            </w:r>
            <w:r>
              <w:rPr>
                <w:rFonts w:hint="eastAsia" w:ascii="宋体" w:hAnsi="宋体" w:eastAsia="宋体" w:cs="宋体"/>
                <w:snapToGrid w:val="0"/>
                <w:color w:val="auto"/>
                <w:kern w:val="0"/>
                <w:sz w:val="22"/>
                <w:szCs w:val="22"/>
                <w:highlight w:val="none"/>
              </w:rPr>
              <w:t>）</w:t>
            </w:r>
            <w:r>
              <w:rPr>
                <w:rFonts w:hint="eastAsia" w:ascii="宋体" w:hAnsi="宋体" w:cs="宋体"/>
                <w:snapToGrid w:val="0"/>
                <w:color w:val="auto"/>
                <w:kern w:val="0"/>
                <w:sz w:val="22"/>
                <w:szCs w:val="22"/>
                <w:highlight w:val="none"/>
                <w:lang w:eastAsia="zh-CN"/>
              </w:rPr>
              <w:t>商务技术响应文件</w:t>
            </w:r>
            <w:r>
              <w:rPr>
                <w:rFonts w:hint="eastAsia" w:ascii="宋体" w:hAnsi="宋体" w:eastAsia="宋体" w:cs="宋体"/>
                <w:snapToGrid w:val="0"/>
                <w:color w:val="auto"/>
                <w:kern w:val="0"/>
                <w:sz w:val="22"/>
                <w:szCs w:val="22"/>
                <w:highlight w:val="none"/>
              </w:rPr>
              <w:t>未提供评分项目内容的，该项按零分处理，且不受最低分值限制。</w:t>
            </w:r>
          </w:p>
          <w:p w14:paraId="17E21572">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2</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商务技术响应文件</w:t>
            </w:r>
            <w:r>
              <w:rPr>
                <w:rFonts w:hint="eastAsia" w:ascii="宋体" w:hAnsi="宋体" w:eastAsia="宋体" w:cs="宋体"/>
                <w:color w:val="auto"/>
                <w:kern w:val="0"/>
                <w:sz w:val="22"/>
                <w:szCs w:val="22"/>
                <w:highlight w:val="none"/>
              </w:rPr>
              <w:t>中提供的证明材料无法辨认的，按未提供处理。</w:t>
            </w:r>
          </w:p>
          <w:p w14:paraId="53322B3C">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b w:val="0"/>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3</w:t>
            </w:r>
            <w:r>
              <w:rPr>
                <w:rFonts w:hint="eastAsia" w:ascii="宋体" w:hAnsi="宋体" w:eastAsia="宋体" w:cs="宋体"/>
                <w:color w:val="auto"/>
                <w:kern w:val="0"/>
                <w:sz w:val="22"/>
                <w:szCs w:val="22"/>
                <w:highlight w:val="none"/>
              </w:rPr>
              <w:t>）投标人需根据</w:t>
            </w:r>
            <w:r>
              <w:rPr>
                <w:rFonts w:hint="eastAsia" w:ascii="宋体" w:hAnsi="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文件的要求进行制作，内容简洁明了，编排合理有序，与</w:t>
            </w:r>
            <w:r>
              <w:rPr>
                <w:rFonts w:hint="eastAsia" w:ascii="宋体" w:hAnsi="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文件内容无关或不符合</w:t>
            </w:r>
            <w:r>
              <w:rPr>
                <w:rFonts w:hint="eastAsia" w:ascii="宋体" w:hAnsi="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文件要求的资料不要编入</w:t>
            </w:r>
            <w:r>
              <w:rPr>
                <w:rFonts w:hint="eastAsia" w:ascii="宋体" w:hAnsi="宋体" w:cs="宋体"/>
                <w:color w:val="auto"/>
                <w:kern w:val="0"/>
                <w:sz w:val="22"/>
                <w:szCs w:val="22"/>
                <w:highlight w:val="none"/>
                <w:lang w:eastAsia="zh-CN"/>
              </w:rPr>
              <w:t>商务技术响应文件</w:t>
            </w:r>
            <w:r>
              <w:rPr>
                <w:rFonts w:hint="eastAsia" w:ascii="宋体" w:hAnsi="宋体" w:eastAsia="宋体" w:cs="宋体"/>
                <w:color w:val="auto"/>
                <w:kern w:val="0"/>
                <w:sz w:val="22"/>
                <w:szCs w:val="22"/>
                <w:highlight w:val="none"/>
              </w:rPr>
              <w:t>。</w:t>
            </w:r>
          </w:p>
        </w:tc>
        <w:tc>
          <w:tcPr>
            <w:tcW w:w="982" w:type="dxa"/>
            <w:tcBorders>
              <w:top w:val="single" w:color="auto" w:sz="4" w:space="0"/>
              <w:left w:val="single" w:color="auto" w:sz="4" w:space="0"/>
              <w:bottom w:val="single" w:color="auto" w:sz="4" w:space="0"/>
              <w:right w:val="single" w:color="auto" w:sz="4" w:space="0"/>
            </w:tcBorders>
            <w:noWrap/>
            <w:vAlign w:val="center"/>
          </w:tcPr>
          <w:p w14:paraId="7F5D861F">
            <w:pPr>
              <w:keepNext w:val="0"/>
              <w:keepLines w:val="0"/>
              <w:widowControl/>
              <w:suppressLineNumbers w:val="0"/>
              <w:spacing w:before="0" w:beforeLines="0" w:beforeAutospacing="0" w:after="0" w:afterLines="0" w:afterAutospacing="0" w:line="240" w:lineRule="auto"/>
              <w:ind w:left="63" w:leftChars="30" w:right="63" w:rightChars="30"/>
              <w:jc w:val="left"/>
              <w:rPr>
                <w:rFonts w:hint="default" w:ascii="宋体" w:hAnsi="宋体" w:eastAsia="宋体" w:cs="宋体"/>
                <w:color w:val="auto"/>
                <w:kern w:val="0"/>
                <w:sz w:val="22"/>
                <w:szCs w:val="22"/>
                <w:highlight w:val="none"/>
              </w:rPr>
            </w:pPr>
          </w:p>
        </w:tc>
      </w:tr>
    </w:tbl>
    <w:p w14:paraId="3B3886A1">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10分</w:t>
      </w:r>
      <w:r>
        <w:rPr>
          <w:rFonts w:hint="eastAsia" w:ascii="宋体" w:hAnsi="宋体" w:cs="Arial"/>
          <w:b/>
          <w:color w:val="auto"/>
          <w:sz w:val="22"/>
          <w:highlight w:val="none"/>
        </w:rPr>
        <w:t>）</w:t>
      </w:r>
    </w:p>
    <w:p w14:paraId="15FFA7DC">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满足招标文件要求且最高的投标下浮率为评标基准价。</w:t>
      </w:r>
    </w:p>
    <w:p w14:paraId="290ED1D8">
      <w:pPr>
        <w:numPr>
          <w:ilvl w:val="0"/>
          <w:numId w:val="43"/>
        </w:numPr>
        <w:spacing w:line="400" w:lineRule="exact"/>
        <w:ind w:left="425" w:leftChars="200" w:hanging="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有效投标人的投标报价等于评标基准价时其商务分为满分</w:t>
      </w:r>
      <w:r>
        <w:rPr>
          <w:rFonts w:hint="eastAsia" w:ascii="宋体" w:hAnsi="宋体" w:cs="宋体"/>
          <w:color w:val="auto"/>
          <w:sz w:val="22"/>
          <w:szCs w:val="22"/>
          <w:highlight w:val="none"/>
          <w:lang w:val="en-US" w:eastAsia="zh-CN"/>
        </w:rPr>
        <w:t>10分</w:t>
      </w:r>
      <w:r>
        <w:rPr>
          <w:rFonts w:hint="eastAsia" w:ascii="宋体" w:hAnsi="宋体" w:eastAsia="宋体" w:cs="宋体"/>
          <w:color w:val="auto"/>
          <w:sz w:val="22"/>
          <w:szCs w:val="22"/>
          <w:highlight w:val="none"/>
        </w:rPr>
        <w:t>；</w:t>
      </w:r>
    </w:p>
    <w:p w14:paraId="3CD16C71">
      <w:pPr>
        <w:numPr>
          <w:ilvl w:val="0"/>
          <w:numId w:val="43"/>
        </w:numPr>
        <w:spacing w:line="400" w:lineRule="exact"/>
        <w:ind w:left="425" w:leftChars="200" w:hanging="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其他投标人的价格分按以下公式计算：</w:t>
      </w:r>
    </w:p>
    <w:p w14:paraId="2928118A">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商务分得分=(投标报价（下浮率）／评标基准价）×</w:t>
      </w:r>
      <w:r>
        <w:rPr>
          <w:rFonts w:hint="eastAsia" w:ascii="宋体" w:hAnsi="宋体" w:cs="Arial"/>
          <w:color w:val="auto"/>
          <w:sz w:val="22"/>
          <w:highlight w:val="none"/>
          <w:lang w:val="en-US" w:eastAsia="zh-CN"/>
        </w:rPr>
        <w:t>10</w:t>
      </w:r>
      <w:r>
        <w:rPr>
          <w:rFonts w:hint="eastAsia" w:ascii="宋体" w:hAnsi="宋体" w:cs="Arial"/>
          <w:color w:val="auto"/>
          <w:sz w:val="22"/>
          <w:highlight w:val="none"/>
        </w:rPr>
        <w:t>%×100（四舍五入后保留小数2位）</w:t>
      </w:r>
    </w:p>
    <w:p w14:paraId="2AC8057C">
      <w:pPr>
        <w:spacing w:line="360" w:lineRule="exact"/>
        <w:ind w:firstLine="331" w:firstLineChars="15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本项目为预留份额项目，专门面向中小企业采购。专门面向中小企业采购的项目或者</w:t>
      </w:r>
      <w:r>
        <w:rPr>
          <w:rFonts w:hint="eastAsia" w:ascii="宋体" w:hAnsi="宋体" w:cs="宋体"/>
          <w:b/>
          <w:bCs/>
          <w:color w:val="auto"/>
          <w:sz w:val="22"/>
          <w:szCs w:val="22"/>
          <w:highlight w:val="none"/>
          <w:u w:val="single"/>
          <w:lang w:eastAsia="zh-CN"/>
        </w:rPr>
        <w:t>标项</w:t>
      </w:r>
      <w:r>
        <w:rPr>
          <w:rFonts w:hint="eastAsia" w:ascii="宋体" w:hAnsi="宋体" w:cs="宋体"/>
          <w:b/>
          <w:bCs/>
          <w:color w:val="auto"/>
          <w:sz w:val="22"/>
          <w:szCs w:val="22"/>
          <w:highlight w:val="none"/>
          <w:u w:val="single"/>
        </w:rPr>
        <w:t>，不再执行价格评审优惠的扶持政策。</w:t>
      </w:r>
    </w:p>
    <w:p w14:paraId="247F36D7">
      <w:pPr>
        <w:widowControl/>
        <w:autoSpaceDE w:val="0"/>
        <w:autoSpaceDN w:val="0"/>
        <w:adjustRightInd w:val="0"/>
        <w:spacing w:line="460" w:lineRule="atLeast"/>
        <w:ind w:firstLine="442" w:firstLineChars="200"/>
        <w:textAlignment w:val="bottom"/>
        <w:rPr>
          <w:rFonts w:hint="eastAsia" w:ascii="宋体" w:eastAsia="宋体"/>
          <w:b/>
          <w:bCs/>
          <w:color w:val="auto"/>
          <w:sz w:val="22"/>
          <w:highlight w:val="none"/>
          <w:u w:val="single"/>
        </w:rPr>
      </w:pPr>
      <w:r>
        <w:rPr>
          <w:rFonts w:hint="eastAsia" w:ascii="宋体"/>
          <w:b/>
          <w:bCs/>
          <w:color w:val="auto"/>
          <w:sz w:val="22"/>
          <w:highlight w:val="none"/>
          <w:u w:val="single"/>
          <w:lang w:val="en-US" w:eastAsia="zh-CN"/>
        </w:rPr>
        <w:t>3）▲</w:t>
      </w:r>
      <w:r>
        <w:rPr>
          <w:rFonts w:hint="eastAsia" w:ascii="宋体" w:eastAsia="宋体"/>
          <w:b/>
          <w:bCs/>
          <w:color w:val="auto"/>
          <w:sz w:val="22"/>
          <w:highlight w:val="none"/>
          <w:u w:val="single"/>
        </w:rPr>
        <w:t>本项目商务报价设最高限价，即报价下浮率均为不小于</w:t>
      </w:r>
      <w:r>
        <w:rPr>
          <w:rFonts w:hint="eastAsia" w:ascii="宋体"/>
          <w:b/>
          <w:bCs/>
          <w:color w:val="auto"/>
          <w:sz w:val="22"/>
          <w:highlight w:val="none"/>
          <w:u w:val="single"/>
          <w:lang w:val="en-US" w:eastAsia="zh-CN"/>
        </w:rPr>
        <w:t>5</w:t>
      </w:r>
      <w:r>
        <w:rPr>
          <w:rFonts w:hint="eastAsia" w:ascii="宋体" w:eastAsia="宋体"/>
          <w:b/>
          <w:bCs/>
          <w:color w:val="auto"/>
          <w:sz w:val="22"/>
          <w:highlight w:val="none"/>
          <w:u w:val="single"/>
        </w:rPr>
        <w:t>%；所有投标报价下浮率符合该项限价规定范围的均为有效投标报价；否则作无效标处理。（报价下浮率取整数，小数点四舍五入）</w:t>
      </w:r>
    </w:p>
    <w:p w14:paraId="427F5D40">
      <w:pPr>
        <w:numPr>
          <w:ilvl w:val="0"/>
          <w:numId w:val="0"/>
        </w:numPr>
        <w:spacing w:line="400" w:lineRule="exact"/>
        <w:ind w:leftChars="200"/>
        <w:rPr>
          <w:rFonts w:hint="eastAsia" w:ascii="宋体" w:hAnsi="宋体" w:cs="宋体"/>
          <w:color w:val="auto"/>
          <w:sz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所有供应商商务报价均超采购预算，采购人无法支付的,重新组织招标</w:t>
      </w:r>
      <w:r>
        <w:rPr>
          <w:rFonts w:hint="eastAsia" w:ascii="宋体" w:hAnsi="宋体" w:cs="宋体"/>
          <w:color w:val="auto"/>
          <w:sz w:val="22"/>
          <w:highlight w:val="none"/>
        </w:rPr>
        <w:t>。</w:t>
      </w:r>
    </w:p>
    <w:p w14:paraId="0FEB88C3">
      <w:pPr>
        <w:spacing w:line="400" w:lineRule="exact"/>
        <w:ind w:firstLine="440" w:firstLineChars="200"/>
        <w:rPr>
          <w:rFonts w:ascii="宋体" w:hAnsi="宋体" w:cs="宋体"/>
          <w:color w:val="auto"/>
          <w:kern w:val="0"/>
          <w:sz w:val="22"/>
          <w:szCs w:val="22"/>
          <w:highlight w:val="none"/>
        </w:rPr>
      </w:pPr>
      <w:r>
        <w:rPr>
          <w:rFonts w:hint="eastAsia" w:ascii="宋体" w:hAnsi="宋体" w:cs="宋体"/>
          <w:color w:val="auto"/>
          <w:sz w:val="22"/>
          <w:highlight w:val="none"/>
          <w:lang w:val="en-US" w:eastAsia="zh-CN"/>
        </w:rPr>
        <w:t>5）</w:t>
      </w:r>
      <w:r>
        <w:rPr>
          <w:rFonts w:hint="eastAsia" w:ascii="宋体" w:hAnsi="宋体" w:cs="Arial"/>
          <w:color w:val="auto"/>
          <w:sz w:val="22"/>
          <w:highlight w:val="none"/>
        </w:rPr>
        <w:t>有效投标人的综合得分为技术资信分和商务（报价）分的总和。</w:t>
      </w:r>
      <w:bookmarkEnd w:id="197"/>
      <w:bookmarkEnd w:id="198"/>
      <w:bookmarkStart w:id="199" w:name="_Toc221356894"/>
      <w:bookmarkStart w:id="200" w:name="_Toc221374632"/>
      <w:bookmarkStart w:id="201" w:name="_Toc245722287"/>
      <w:bookmarkStart w:id="202" w:name="_Toc239145360"/>
      <w:bookmarkStart w:id="203" w:name="_Toc222114885"/>
      <w:bookmarkStart w:id="204" w:name="_Toc221423625"/>
      <w:bookmarkStart w:id="205" w:name="_Toc223716004"/>
      <w:bookmarkStart w:id="206" w:name="_Toc221356957"/>
      <w:bookmarkStart w:id="207" w:name="_Toc246261271"/>
      <w:bookmarkStart w:id="208" w:name="_Toc245191320"/>
      <w:bookmarkStart w:id="209" w:name="_Toc241404208"/>
    </w:p>
    <w:p w14:paraId="3D45D43F">
      <w:pPr>
        <w:numPr>
          <w:ilvl w:val="0"/>
          <w:numId w:val="44"/>
        </w:numPr>
        <w:spacing w:line="400" w:lineRule="exact"/>
        <w:ind w:leftChars="0" w:firstLine="440" w:firstLineChars="20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评标委员会依据法律、法规及招标文件有关规定在有效标中按投标人的综合得分（即技术资信分与商务分之和）由高到低进行排序，综合得分前二名的投标人推荐为第一和第二中标候选人。（综合得分相同的，按投标下浮率从高到低顺序排列。综合得分且投标下浮率均相同的，由评标委员会随机抽签决定排名顺序。）</w:t>
      </w:r>
    </w:p>
    <w:p w14:paraId="0ECD0B5C">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六、定标办法</w:t>
      </w:r>
    </w:p>
    <w:p w14:paraId="17AB58E1">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eastAsia="宋体" w:cs="宋体"/>
          <w:color w:val="auto"/>
          <w:sz w:val="22"/>
          <w:szCs w:val="22"/>
          <w:highlight w:val="none"/>
          <w:lang w:bidi="ar-SA"/>
        </w:rPr>
      </w:pPr>
      <w:bookmarkStart w:id="210" w:name="_Toc221356904"/>
      <w:bookmarkStart w:id="211" w:name="_Toc221356967"/>
      <w:r>
        <w:rPr>
          <w:rFonts w:hint="eastAsia" w:ascii="宋体" w:eastAsia="宋体" w:cs="宋体"/>
          <w:color w:val="auto"/>
          <w:sz w:val="22"/>
          <w:szCs w:val="22"/>
          <w:highlight w:val="none"/>
          <w:lang w:bidi="ar-SA"/>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非采购人原因的造成的）；或者经质疑，采购人审查后，确因排名前列的候选人在本次采购活动中存在违法违规行为或其他原因使质疑成立的，采购人可以视具体情况确定是否由排名后续的中标候选人为中标人或重新组织招标。</w:t>
      </w:r>
    </w:p>
    <w:p w14:paraId="2D532D2F">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七、确定中标人</w:t>
      </w:r>
      <w:bookmarkEnd w:id="210"/>
      <w:bookmarkEnd w:id="211"/>
    </w:p>
    <w:p w14:paraId="058FEEB4">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eastAsia="宋体" w:cs="宋体"/>
          <w:color w:val="auto"/>
          <w:sz w:val="22"/>
          <w:szCs w:val="22"/>
          <w:highlight w:val="none"/>
          <w:lang w:bidi="ar-SA"/>
        </w:rPr>
      </w:pPr>
      <w:bookmarkStart w:id="212" w:name="_Toc221356968"/>
      <w:bookmarkStart w:id="213" w:name="_Toc221356905"/>
      <w:r>
        <w:rPr>
          <w:rFonts w:hint="eastAsia" w:ascii="宋体" w:eastAsia="宋体" w:cs="宋体"/>
          <w:color w:val="auto"/>
          <w:sz w:val="22"/>
          <w:szCs w:val="22"/>
          <w:highlight w:val="none"/>
          <w:lang w:bidi="ar-SA"/>
        </w:rPr>
        <w:t>评标结束后，采购人将在浙江政府采购网上公示中标结果。在规定期限内招标机构将向中标人发出中标通知书。</w:t>
      </w:r>
    </w:p>
    <w:p w14:paraId="3D5E9965">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eastAsia="宋体" w:cs="宋体"/>
          <w:b/>
          <w:color w:val="auto"/>
          <w:sz w:val="22"/>
          <w:szCs w:val="22"/>
          <w:highlight w:val="none"/>
          <w:lang w:bidi="ar-SA"/>
        </w:rPr>
      </w:pPr>
      <w:r>
        <w:rPr>
          <w:rFonts w:hint="eastAsia" w:ascii="宋体" w:eastAsia="宋体" w:cs="宋体"/>
          <w:b/>
          <w:color w:val="auto"/>
          <w:sz w:val="22"/>
          <w:szCs w:val="22"/>
          <w:highlight w:val="none"/>
          <w:lang w:bidi="ar-SA"/>
        </w:rPr>
        <w:t>八、投标人义务</w:t>
      </w:r>
      <w:bookmarkEnd w:id="212"/>
      <w:bookmarkEnd w:id="213"/>
    </w:p>
    <w:p w14:paraId="6ADE874C">
      <w:pPr>
        <w:keepNext w:val="0"/>
        <w:keepLines w:val="0"/>
        <w:pageBreakBefore w:val="0"/>
        <w:widowControl w:val="0"/>
        <w:kinsoku/>
        <w:wordWrap/>
        <w:overflowPunct/>
        <w:topLinePunct w:val="0"/>
        <w:autoSpaceDE/>
        <w:autoSpaceDN/>
        <w:bidi w:val="0"/>
        <w:adjustRightInd/>
        <w:snapToGrid/>
        <w:spacing w:line="360" w:lineRule="auto"/>
        <w:ind w:firstLine="330" w:firstLineChars="150"/>
        <w:textAlignment w:val="auto"/>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投标人应随时接受评标委员会的询标，解答包括有关的商务、技术问题等。评标结束，所有评标资料存招标机构备查。</w:t>
      </w:r>
    </w:p>
    <w:p w14:paraId="52717F2F">
      <w:pPr>
        <w:numPr>
          <w:ilvl w:val="-1"/>
          <w:numId w:val="0"/>
        </w:numPr>
        <w:spacing w:line="400" w:lineRule="exact"/>
        <w:ind w:leftChars="0" w:firstLine="440" w:firstLineChars="200"/>
        <w:rPr>
          <w:rFonts w:hint="default" w:ascii="宋体" w:hAnsi="宋体"/>
          <w:color w:val="auto"/>
          <w:sz w:val="22"/>
          <w:highlight w:val="none"/>
          <w:lang w:val="en-US" w:eastAsia="zh-CN"/>
        </w:rPr>
      </w:pPr>
    </w:p>
    <w:p w14:paraId="1638D4B3">
      <w:pPr>
        <w:pStyle w:val="3"/>
        <w:rPr>
          <w:rFonts w:hint="eastAsia" w:ascii="宋体" w:hAnsi="宋体" w:eastAsia="宋体"/>
          <w:color w:val="auto"/>
          <w:sz w:val="22"/>
          <w:highlight w:val="none"/>
        </w:rPr>
        <w:sectPr>
          <w:pgSz w:w="11906" w:h="16838"/>
          <w:pgMar w:top="1134" w:right="1134" w:bottom="1134" w:left="1134" w:header="851" w:footer="850" w:gutter="0"/>
          <w:pgNumType w:fmt="decimal"/>
          <w:cols w:space="720" w:num="1"/>
          <w:titlePg/>
          <w:docGrid w:linePitch="312" w:charSpace="0"/>
        </w:sectPr>
      </w:pPr>
    </w:p>
    <w:p w14:paraId="19863F3B">
      <w:pPr>
        <w:pStyle w:val="3"/>
        <w:rPr>
          <w:rFonts w:ascii="宋体" w:hAnsi="宋体" w:eastAsia="宋体" w:cs="Arial"/>
          <w:color w:val="auto"/>
          <w:sz w:val="36"/>
          <w:szCs w:val="36"/>
          <w:highlight w:val="none"/>
        </w:rPr>
      </w:pPr>
      <w:bookmarkStart w:id="214" w:name="_Toc262049425"/>
      <w:bookmarkStart w:id="215" w:name="_Toc262105510"/>
      <w:bookmarkStart w:id="216" w:name="_Toc26057"/>
      <w:bookmarkStart w:id="217" w:name="_Toc249758871"/>
      <w:bookmarkStart w:id="218" w:name="_Toc249758721"/>
      <w:r>
        <w:rPr>
          <w:rFonts w:hint="eastAsia" w:ascii="宋体" w:hAnsi="宋体" w:eastAsia="宋体" w:cs="Arial"/>
          <w:color w:val="auto"/>
          <w:sz w:val="36"/>
          <w:szCs w:val="36"/>
          <w:highlight w:val="none"/>
        </w:rPr>
        <w:t>第四部分   合同主要条款</w:t>
      </w:r>
      <w:bookmarkEnd w:id="199"/>
      <w:bookmarkEnd w:id="200"/>
      <w:bookmarkEnd w:id="201"/>
      <w:bookmarkEnd w:id="202"/>
      <w:bookmarkEnd w:id="203"/>
      <w:bookmarkEnd w:id="204"/>
      <w:bookmarkEnd w:id="205"/>
      <w:bookmarkEnd w:id="206"/>
      <w:bookmarkEnd w:id="207"/>
      <w:bookmarkEnd w:id="208"/>
      <w:bookmarkEnd w:id="209"/>
      <w:bookmarkEnd w:id="214"/>
      <w:bookmarkEnd w:id="215"/>
      <w:bookmarkEnd w:id="216"/>
      <w:bookmarkEnd w:id="217"/>
      <w:bookmarkEnd w:id="218"/>
    </w:p>
    <w:p w14:paraId="30F2D9C3">
      <w:pPr>
        <w:rPr>
          <w:color w:val="auto"/>
          <w:highlight w:val="none"/>
        </w:rPr>
      </w:pPr>
      <w:bookmarkStart w:id="219" w:name="_Toc221374633"/>
      <w:bookmarkStart w:id="220" w:name="_Toc221356897"/>
      <w:bookmarkStart w:id="221" w:name="_Toc221356960"/>
    </w:p>
    <w:p w14:paraId="03643782">
      <w:pPr>
        <w:pStyle w:val="34"/>
        <w:snapToGrid w:val="0"/>
        <w:spacing w:line="360" w:lineRule="auto"/>
        <w:jc w:val="both"/>
        <w:rPr>
          <w:rFonts w:hAnsi="宋体" w:cs="Arial"/>
          <w:b/>
          <w:color w:val="auto"/>
          <w:sz w:val="22"/>
          <w:szCs w:val="22"/>
          <w:highlight w:val="none"/>
          <w:u w:val="wave"/>
        </w:rPr>
      </w:pPr>
      <w:r>
        <w:rPr>
          <w:rFonts w:hint="eastAsia" w:hAnsi="宋体" w:cs="Arial"/>
          <w:b/>
          <w:color w:val="auto"/>
          <w:sz w:val="22"/>
          <w:szCs w:val="22"/>
          <w:highlight w:val="none"/>
          <w:u w:val="wave"/>
        </w:rPr>
        <w:t>说明：如甲乙双方同意，合同格式也可以按照其他形式。</w:t>
      </w:r>
    </w:p>
    <w:p w14:paraId="472D71B5">
      <w:pPr>
        <w:pStyle w:val="34"/>
        <w:snapToGrid w:val="0"/>
        <w:spacing w:line="360" w:lineRule="auto"/>
        <w:rPr>
          <w:rFonts w:hAnsi="宋体" w:cs="Arial"/>
          <w:color w:val="auto"/>
          <w:sz w:val="22"/>
          <w:szCs w:val="22"/>
          <w:highlight w:val="none"/>
        </w:rPr>
      </w:pPr>
    </w:p>
    <w:p w14:paraId="01A68962">
      <w:pPr>
        <w:spacing w:line="360" w:lineRule="atLeast"/>
        <w:rPr>
          <w:rFonts w:hint="eastAsia" w:ascii="宋体" w:eastAsia="宋体"/>
          <w:b w:val="0"/>
          <w:color w:val="auto"/>
          <w:sz w:val="24"/>
          <w:highlight w:val="none"/>
        </w:rPr>
      </w:pPr>
      <w:bookmarkStart w:id="222" w:name="_Toc467750260"/>
      <w:bookmarkStart w:id="223" w:name="_Toc467750261"/>
      <w:r>
        <w:rPr>
          <w:rFonts w:hint="eastAsia" w:ascii="宋体" w:eastAsia="宋体"/>
          <w:b w:val="0"/>
          <w:color w:val="auto"/>
          <w:sz w:val="24"/>
          <w:highlight w:val="none"/>
        </w:rPr>
        <w:t>发包方：</w:t>
      </w:r>
      <w:r>
        <w:rPr>
          <w:rFonts w:hint="eastAsia" w:ascii="宋体" w:eastAsia="宋体"/>
          <w:b w:val="0"/>
          <w:bCs w:val="0"/>
          <w:color w:val="auto"/>
          <w:sz w:val="24"/>
          <w:highlight w:val="none"/>
        </w:rPr>
        <w:t xml:space="preserve">         </w:t>
      </w:r>
      <w:r>
        <w:rPr>
          <w:rFonts w:hint="eastAsia" w:ascii="宋体" w:eastAsia="宋体"/>
          <w:b w:val="0"/>
          <w:color w:val="auto"/>
          <w:sz w:val="24"/>
          <w:highlight w:val="none"/>
        </w:rPr>
        <w:t xml:space="preserve">              （以下简称甲方）</w:t>
      </w:r>
    </w:p>
    <w:p w14:paraId="6D9BCF64">
      <w:pPr>
        <w:spacing w:line="360" w:lineRule="atLeast"/>
        <w:rPr>
          <w:rFonts w:hint="eastAsia" w:ascii="宋体" w:eastAsia="宋体"/>
          <w:b w:val="0"/>
          <w:color w:val="auto"/>
          <w:sz w:val="24"/>
          <w:highlight w:val="none"/>
        </w:rPr>
      </w:pPr>
      <w:r>
        <w:rPr>
          <w:rFonts w:hint="eastAsia" w:ascii="宋体" w:eastAsia="宋体"/>
          <w:b w:val="0"/>
          <w:color w:val="auto"/>
          <w:sz w:val="24"/>
          <w:highlight w:val="none"/>
        </w:rPr>
        <w:t>承包方：</w:t>
      </w:r>
      <w:r>
        <w:rPr>
          <w:rFonts w:hint="eastAsia" w:ascii="宋体" w:eastAsia="宋体"/>
          <w:b w:val="0"/>
          <w:bCs w:val="0"/>
          <w:color w:val="auto"/>
          <w:sz w:val="24"/>
          <w:highlight w:val="none"/>
        </w:rPr>
        <w:t xml:space="preserve">   </w:t>
      </w:r>
      <w:r>
        <w:rPr>
          <w:rFonts w:hint="eastAsia" w:ascii="宋体" w:eastAsia="宋体"/>
          <w:b w:val="0"/>
          <w:color w:val="auto"/>
          <w:sz w:val="24"/>
          <w:highlight w:val="none"/>
        </w:rPr>
        <w:t xml:space="preserve">                    （以下简称乙方）</w:t>
      </w:r>
    </w:p>
    <w:p w14:paraId="210A86CE">
      <w:pPr>
        <w:pStyle w:val="34"/>
        <w:snapToGrid w:val="0"/>
        <w:spacing w:line="440" w:lineRule="atLeast"/>
        <w:ind w:firstLine="482"/>
        <w:rPr>
          <w:rFonts w:hint="eastAsia" w:hAnsi="宋体" w:eastAsia="宋体"/>
          <w:b w:val="0"/>
          <w:color w:val="auto"/>
          <w:sz w:val="22"/>
          <w:szCs w:val="22"/>
          <w:highlight w:val="none"/>
        </w:rPr>
      </w:pPr>
    </w:p>
    <w:p w14:paraId="553079F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根据《</w:t>
      </w:r>
      <w:r>
        <w:rPr>
          <w:rFonts w:hint="eastAsia" w:hAnsi="宋体"/>
          <w:b w:val="0"/>
          <w:color w:val="auto"/>
          <w:sz w:val="22"/>
          <w:szCs w:val="22"/>
          <w:highlight w:val="none"/>
          <w:lang w:eastAsia="zh-CN"/>
        </w:rPr>
        <w:t>2025年鹿城区城市道路巡查与维养项目（第二次）</w:t>
      </w:r>
      <w:r>
        <w:rPr>
          <w:rFonts w:hint="eastAsia" w:hAnsi="宋体" w:eastAsia="宋体"/>
          <w:b w:val="0"/>
          <w:color w:val="auto"/>
          <w:sz w:val="22"/>
          <w:szCs w:val="22"/>
          <w:highlight w:val="none"/>
        </w:rPr>
        <w:t>》中标通知书，甲方将</w:t>
      </w:r>
      <w:r>
        <w:rPr>
          <w:rFonts w:hint="eastAsia" w:hAnsi="宋体" w:eastAsia="宋体"/>
          <w:b w:val="0"/>
          <w:color w:val="auto"/>
          <w:sz w:val="22"/>
          <w:szCs w:val="22"/>
          <w:highlight w:val="none"/>
          <w:u w:val="single"/>
        </w:rPr>
        <w:t xml:space="preserve">          </w:t>
      </w:r>
      <w:r>
        <w:rPr>
          <w:rFonts w:hint="eastAsia" w:hAnsi="宋体" w:eastAsia="宋体"/>
          <w:b w:val="0"/>
          <w:color w:val="auto"/>
          <w:sz w:val="22"/>
          <w:szCs w:val="22"/>
          <w:highlight w:val="none"/>
        </w:rPr>
        <w:t>承包给乙方，为了明确甲、乙双方的权利和义务，履行各自的职责，高效优质地完成工作任务，按照《中华人民共和国</w:t>
      </w:r>
      <w:r>
        <w:rPr>
          <w:rFonts w:hint="eastAsia" w:hAnsi="宋体"/>
          <w:b w:val="0"/>
          <w:color w:val="auto"/>
          <w:sz w:val="22"/>
          <w:szCs w:val="22"/>
          <w:highlight w:val="none"/>
          <w:lang w:eastAsia="zh-CN"/>
        </w:rPr>
        <w:t>民典</w:t>
      </w:r>
      <w:r>
        <w:rPr>
          <w:rFonts w:hint="eastAsia" w:hAnsi="宋体" w:eastAsia="宋体"/>
          <w:b w:val="0"/>
          <w:color w:val="auto"/>
          <w:sz w:val="22"/>
          <w:szCs w:val="22"/>
          <w:highlight w:val="none"/>
        </w:rPr>
        <w:t>法》的有关规定，经甲乙双方在平等、自愿的基础上共同协商一致，现签订承包合同。</w:t>
      </w:r>
    </w:p>
    <w:p w14:paraId="7357E499">
      <w:pPr>
        <w:pStyle w:val="34"/>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第一条  项目名称</w:t>
      </w:r>
    </w:p>
    <w:p w14:paraId="5087DD01">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b w:val="0"/>
          <w:color w:val="auto"/>
          <w:sz w:val="22"/>
          <w:szCs w:val="22"/>
          <w:highlight w:val="none"/>
          <w:lang w:eastAsia="zh-CN"/>
        </w:rPr>
        <w:t>2025年鹿城区城市道路巡查与维养项目（第二次）</w:t>
      </w:r>
      <w:r>
        <w:rPr>
          <w:rFonts w:hint="eastAsia" w:hAnsi="宋体" w:eastAsia="宋体"/>
          <w:b w:val="0"/>
          <w:color w:val="auto"/>
          <w:sz w:val="22"/>
          <w:szCs w:val="22"/>
          <w:highlight w:val="none"/>
        </w:rPr>
        <w:t>（</w:t>
      </w:r>
      <w:r>
        <w:rPr>
          <w:rFonts w:hint="eastAsia" w:hAnsi="宋体"/>
          <w:b w:val="0"/>
          <w:color w:val="auto"/>
          <w:sz w:val="22"/>
          <w:szCs w:val="22"/>
          <w:highlight w:val="none"/>
          <w:lang w:eastAsia="zh-CN"/>
        </w:rPr>
        <w:t>标项</w:t>
      </w:r>
      <w:r>
        <w:rPr>
          <w:rFonts w:hint="eastAsia" w:hAnsi="宋体" w:eastAsia="宋体"/>
          <w:b w:val="0"/>
          <w:color w:val="auto"/>
          <w:sz w:val="22"/>
          <w:szCs w:val="22"/>
          <w:highlight w:val="none"/>
        </w:rPr>
        <w:t>号：     ）。</w:t>
      </w:r>
    </w:p>
    <w:p w14:paraId="3DFCF5FB">
      <w:pPr>
        <w:pStyle w:val="34"/>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第二条  承包内容</w:t>
      </w:r>
    </w:p>
    <w:p w14:paraId="2297BAA3">
      <w:pPr>
        <w:pStyle w:val="34"/>
        <w:snapToGrid w:val="0"/>
        <w:spacing w:line="440" w:lineRule="atLeast"/>
        <w:ind w:firstLine="330" w:firstLineChars="150"/>
        <w:rPr>
          <w:rFonts w:hint="eastAsia" w:hAnsi="宋体" w:eastAsia="宋体"/>
          <w:b w:val="0"/>
          <w:color w:val="auto"/>
          <w:sz w:val="22"/>
          <w:szCs w:val="22"/>
          <w:highlight w:val="none"/>
        </w:rPr>
      </w:pPr>
      <w:r>
        <w:rPr>
          <w:rFonts w:hint="eastAsia" w:hAnsi="宋体" w:eastAsia="宋体"/>
          <w:b w:val="0"/>
          <w:color w:val="auto"/>
          <w:sz w:val="22"/>
          <w:szCs w:val="22"/>
          <w:highlight w:val="none"/>
        </w:rPr>
        <w:t>1、道路日常维修与养护服务（具体以招标文件要求为准）。道路约为</w:t>
      </w:r>
      <w:r>
        <w:rPr>
          <w:rFonts w:hint="eastAsia" w:hAnsi="宋体" w:eastAsia="宋体"/>
          <w:b w:val="0"/>
          <w:color w:val="auto"/>
          <w:sz w:val="22"/>
          <w:szCs w:val="22"/>
          <w:highlight w:val="none"/>
          <w:u w:val="single"/>
        </w:rPr>
        <w:t xml:space="preserve">   </w:t>
      </w:r>
      <w:r>
        <w:rPr>
          <w:rFonts w:hAnsi="宋体" w:eastAsia="宋体"/>
          <w:b w:val="0"/>
          <w:color w:val="auto"/>
          <w:sz w:val="22"/>
          <w:szCs w:val="22"/>
          <w:highlight w:val="none"/>
        </w:rPr>
        <w:t>。</w:t>
      </w:r>
    </w:p>
    <w:p w14:paraId="3D6AF816">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第三条  承包期限</w:t>
      </w:r>
    </w:p>
    <w:p w14:paraId="315BA918">
      <w:pPr>
        <w:widowControl/>
        <w:autoSpaceDE w:val="0"/>
        <w:autoSpaceDN w:val="0"/>
        <w:adjustRightInd w:val="0"/>
        <w:spacing w:line="460" w:lineRule="atLeast"/>
        <w:ind w:firstLine="220" w:firstLineChars="100"/>
        <w:textAlignment w:val="bottom"/>
        <w:rPr>
          <w:rFonts w:hint="eastAsia" w:ascii="宋体" w:eastAsia="宋体"/>
          <w:b w:val="0"/>
          <w:color w:val="auto"/>
          <w:sz w:val="22"/>
          <w:highlight w:val="none"/>
          <w:lang w:val="en-US" w:eastAsia="zh-CN"/>
        </w:rPr>
      </w:pPr>
      <w:r>
        <w:rPr>
          <w:rFonts w:hint="eastAsia" w:eastAsia="宋体"/>
          <w:b w:val="0"/>
          <w:color w:val="auto"/>
          <w:sz w:val="22"/>
          <w:szCs w:val="22"/>
          <w:highlight w:val="none"/>
        </w:rPr>
        <w:t>本次项目服务管理服务期为自合同签订之日起</w:t>
      </w:r>
      <w:r>
        <w:rPr>
          <w:rFonts w:hint="eastAsia"/>
          <w:b w:val="0"/>
          <w:color w:val="auto"/>
          <w:sz w:val="22"/>
          <w:szCs w:val="22"/>
          <w:highlight w:val="none"/>
          <w:lang w:val="en-US" w:eastAsia="zh-CN"/>
        </w:rPr>
        <w:t>壹</w:t>
      </w:r>
      <w:r>
        <w:rPr>
          <w:rFonts w:hint="eastAsia" w:eastAsia="宋体"/>
          <w:b w:val="0"/>
          <w:color w:val="auto"/>
          <w:sz w:val="22"/>
          <w:szCs w:val="22"/>
          <w:highlight w:val="none"/>
        </w:rPr>
        <w:t>年</w:t>
      </w:r>
      <w:r>
        <w:rPr>
          <w:rFonts w:hint="eastAsia"/>
          <w:b w:val="0"/>
          <w:color w:val="auto"/>
          <w:sz w:val="22"/>
          <w:szCs w:val="22"/>
          <w:highlight w:val="none"/>
          <w:lang w:eastAsia="zh-CN"/>
        </w:rPr>
        <w:t>，</w:t>
      </w:r>
      <w:r>
        <w:rPr>
          <w:rFonts w:hint="eastAsia"/>
          <w:b w:val="0"/>
          <w:color w:val="auto"/>
          <w:sz w:val="22"/>
          <w:szCs w:val="22"/>
          <w:highlight w:val="none"/>
          <w:lang w:val="en-US" w:eastAsia="zh-CN"/>
        </w:rPr>
        <w:t>根据考核情况甲方有权单方面解除合同</w:t>
      </w:r>
      <w:r>
        <w:rPr>
          <w:rFonts w:hint="eastAsia" w:eastAsia="宋体"/>
          <w:b w:val="0"/>
          <w:color w:val="auto"/>
          <w:sz w:val="22"/>
          <w:szCs w:val="22"/>
          <w:highlight w:val="none"/>
          <w:lang w:eastAsia="zh-CN"/>
        </w:rPr>
        <w:t>。</w:t>
      </w:r>
    </w:p>
    <w:p w14:paraId="4AA162A8">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第四条  承包经费</w:t>
      </w:r>
    </w:p>
    <w:p w14:paraId="7120B6A2">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（一）承包下浮率：</w:t>
      </w:r>
      <w:r>
        <w:rPr>
          <w:rFonts w:hint="eastAsia" w:hAnsi="宋体" w:eastAsia="宋体"/>
          <w:b w:val="0"/>
          <w:color w:val="auto"/>
          <w:sz w:val="22"/>
          <w:szCs w:val="22"/>
          <w:highlight w:val="none"/>
          <w:u w:val="single"/>
        </w:rPr>
        <w:t xml:space="preserve">     </w:t>
      </w:r>
      <w:r>
        <w:rPr>
          <w:rFonts w:hint="eastAsia" w:hAnsi="宋体" w:eastAsia="宋体"/>
          <w:b w:val="0"/>
          <w:color w:val="auto"/>
          <w:sz w:val="22"/>
          <w:szCs w:val="22"/>
          <w:highlight w:val="none"/>
        </w:rPr>
        <w:t>。</w:t>
      </w:r>
    </w:p>
    <w:p w14:paraId="39817700">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必须包括在承包区域内提供日常维修与养护服务所需的一切劳务</w:t>
      </w:r>
      <w:r>
        <w:rPr>
          <w:rFonts w:hint="eastAsia" w:ascii="宋体" w:hAnsi="宋体" w:cs="Arial"/>
          <w:b/>
          <w:bCs/>
          <w:color w:val="auto"/>
          <w:sz w:val="22"/>
          <w:szCs w:val="22"/>
          <w:highlight w:val="none"/>
          <w:lang w:eastAsia="zh-CN"/>
        </w:rPr>
        <w:t>（</w:t>
      </w:r>
      <w:r>
        <w:rPr>
          <w:rFonts w:hint="eastAsia" w:ascii="宋体" w:hAnsi="宋体" w:cs="Arial"/>
          <w:b/>
          <w:bCs/>
          <w:color w:val="auto"/>
          <w:sz w:val="22"/>
          <w:szCs w:val="22"/>
          <w:highlight w:val="none"/>
          <w:lang w:val="en-US" w:eastAsia="zh-CN"/>
        </w:rPr>
        <w:t>含配合采购人开展日常监管和档案管理等工作的不少于1名人员的劳务支出费用</w:t>
      </w:r>
      <w:r>
        <w:rPr>
          <w:rFonts w:hint="eastAsia" w:ascii="宋体" w:hAnsi="宋体" w:cs="Arial"/>
          <w:b/>
          <w:bCs/>
          <w:color w:val="auto"/>
          <w:sz w:val="22"/>
          <w:szCs w:val="22"/>
          <w:highlight w:val="none"/>
          <w:lang w:eastAsia="zh-CN"/>
        </w:rPr>
        <w:t>）</w:t>
      </w:r>
      <w:r>
        <w:rPr>
          <w:rFonts w:hint="eastAsia" w:hAnsi="宋体" w:eastAsia="宋体"/>
          <w:b w:val="0"/>
          <w:color w:val="auto"/>
          <w:sz w:val="22"/>
          <w:szCs w:val="22"/>
          <w:highlight w:val="none"/>
        </w:rPr>
        <w:t>、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14:paraId="78ED1963">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（三）承包经费</w:t>
      </w:r>
      <w:r>
        <w:rPr>
          <w:rFonts w:hint="eastAsia" w:hAnsi="宋体"/>
          <w:b w:val="0"/>
          <w:color w:val="auto"/>
          <w:sz w:val="22"/>
          <w:szCs w:val="22"/>
          <w:highlight w:val="none"/>
          <w:lang w:val="en-US" w:eastAsia="zh-CN"/>
        </w:rPr>
        <w:t>根据维修情况按实结算，按现行相关的计价规则计算，具体内容另行约定</w:t>
      </w:r>
      <w:r>
        <w:rPr>
          <w:rFonts w:hint="eastAsia" w:hAnsi="宋体" w:eastAsia="宋体"/>
          <w:b w:val="0"/>
          <w:color w:val="auto"/>
          <w:sz w:val="22"/>
          <w:szCs w:val="22"/>
          <w:highlight w:val="none"/>
        </w:rPr>
        <w:t>。</w:t>
      </w:r>
    </w:p>
    <w:p w14:paraId="5516DDF8">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（四）承包经费最终结算价依据中标通知书、招投标文件、验收考核等要求计算。</w:t>
      </w:r>
    </w:p>
    <w:p w14:paraId="710EB4B0">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第五条  承包方式</w:t>
      </w:r>
    </w:p>
    <w:p w14:paraId="271279BC">
      <w:pPr>
        <w:pStyle w:val="34"/>
        <w:snapToGrid w:val="0"/>
        <w:spacing w:line="440" w:lineRule="atLeast"/>
        <w:ind w:firstLine="440" w:firstLineChars="200"/>
        <w:rPr>
          <w:rFonts w:hint="default" w:hAnsi="宋体" w:eastAsia="宋体"/>
          <w:b w:val="0"/>
          <w:color w:val="auto"/>
          <w:sz w:val="22"/>
          <w:szCs w:val="22"/>
          <w:highlight w:val="none"/>
          <w:lang w:val="en-US" w:eastAsia="zh-CN"/>
        </w:rPr>
      </w:pPr>
      <w:r>
        <w:rPr>
          <w:rFonts w:hint="eastAsia" w:hAnsi="宋体" w:eastAsia="宋体"/>
          <w:b w:val="0"/>
          <w:color w:val="auto"/>
          <w:sz w:val="22"/>
          <w:szCs w:val="22"/>
          <w:highlight w:val="none"/>
        </w:rPr>
        <w:t>采用</w:t>
      </w:r>
      <w:r>
        <w:rPr>
          <w:rFonts w:hint="eastAsia" w:hAnsi="宋体"/>
          <w:b w:val="0"/>
          <w:color w:val="auto"/>
          <w:sz w:val="22"/>
          <w:szCs w:val="22"/>
          <w:highlight w:val="none"/>
          <w:lang w:val="en-US" w:eastAsia="zh-CN"/>
        </w:rPr>
        <w:t>包工包料</w:t>
      </w:r>
      <w:r>
        <w:rPr>
          <w:rFonts w:hint="eastAsia" w:hAnsi="宋体" w:eastAsia="宋体"/>
          <w:b w:val="0"/>
          <w:color w:val="auto"/>
          <w:sz w:val="22"/>
          <w:szCs w:val="22"/>
          <w:highlight w:val="none"/>
        </w:rPr>
        <w:t>形式。甲方</w:t>
      </w:r>
      <w:r>
        <w:rPr>
          <w:rFonts w:hint="eastAsia" w:hAnsi="宋体"/>
          <w:b w:val="0"/>
          <w:color w:val="auto"/>
          <w:sz w:val="22"/>
          <w:szCs w:val="22"/>
          <w:highlight w:val="none"/>
          <w:lang w:val="en-US" w:eastAsia="zh-CN"/>
        </w:rPr>
        <w:t>根据实际情况将</w:t>
      </w:r>
      <w:r>
        <w:rPr>
          <w:rFonts w:hint="eastAsia" w:hAnsi="宋体" w:eastAsia="宋体"/>
          <w:b w:val="0"/>
          <w:color w:val="auto"/>
          <w:sz w:val="22"/>
          <w:szCs w:val="22"/>
          <w:highlight w:val="none"/>
        </w:rPr>
        <w:t>道路日常维修与养护业务</w:t>
      </w:r>
      <w:r>
        <w:rPr>
          <w:rFonts w:hint="eastAsia" w:hAnsi="宋体"/>
          <w:b w:val="0"/>
          <w:color w:val="auto"/>
          <w:sz w:val="22"/>
          <w:szCs w:val="22"/>
          <w:highlight w:val="none"/>
          <w:lang w:val="en-US" w:eastAsia="zh-CN"/>
        </w:rPr>
        <w:t>分项派发</w:t>
      </w:r>
      <w:r>
        <w:rPr>
          <w:rFonts w:hint="eastAsia" w:hAnsi="宋体" w:eastAsia="宋体"/>
          <w:b w:val="0"/>
          <w:color w:val="auto"/>
          <w:sz w:val="22"/>
          <w:szCs w:val="22"/>
          <w:highlight w:val="none"/>
        </w:rPr>
        <w:t>给乙方</w:t>
      </w:r>
      <w:r>
        <w:rPr>
          <w:rFonts w:hint="eastAsia" w:hAnsi="宋体"/>
          <w:b w:val="0"/>
          <w:color w:val="auto"/>
          <w:sz w:val="22"/>
          <w:szCs w:val="22"/>
          <w:highlight w:val="none"/>
          <w:lang w:val="en-US" w:eastAsia="zh-CN"/>
        </w:rPr>
        <w:t>并签订协议</w:t>
      </w:r>
      <w:r>
        <w:rPr>
          <w:rFonts w:hint="eastAsia" w:hAnsi="宋体" w:eastAsia="宋体"/>
          <w:b w:val="0"/>
          <w:color w:val="auto"/>
          <w:sz w:val="22"/>
          <w:szCs w:val="22"/>
          <w:highlight w:val="none"/>
        </w:rPr>
        <w:t>，乙方按甲方的管理要求和标准组织</w:t>
      </w:r>
      <w:r>
        <w:rPr>
          <w:rFonts w:hint="eastAsia" w:hAnsi="宋体" w:eastAsia="宋体"/>
          <w:b w:val="0"/>
          <w:bCs w:val="0"/>
          <w:color w:val="auto"/>
          <w:sz w:val="22"/>
          <w:szCs w:val="22"/>
          <w:highlight w:val="none"/>
        </w:rPr>
        <w:t>道路日常维修与养护工</w:t>
      </w:r>
      <w:r>
        <w:rPr>
          <w:rFonts w:hint="eastAsia" w:hAnsi="宋体" w:eastAsia="宋体"/>
          <w:b w:val="0"/>
          <w:color w:val="auto"/>
          <w:sz w:val="22"/>
          <w:szCs w:val="22"/>
          <w:highlight w:val="none"/>
        </w:rPr>
        <w:t>作，并接受甲方的指导、监督和检查验收。</w:t>
      </w:r>
    </w:p>
    <w:p w14:paraId="6FDABEBB">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第六条  工作要求和质量标准</w:t>
      </w:r>
    </w:p>
    <w:p w14:paraId="405084AE">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各项具体工作的质量标准和作业规范按甲方具体要求</w:t>
      </w:r>
      <w:r>
        <w:rPr>
          <w:rFonts w:hint="eastAsia" w:hAnsi="宋体" w:eastAsia="宋体"/>
          <w:b w:val="0"/>
          <w:color w:val="auto"/>
          <w:sz w:val="22"/>
          <w:highlight w:val="none"/>
        </w:rPr>
        <w:t>《</w:t>
      </w:r>
      <w:r>
        <w:rPr>
          <w:rFonts w:hint="eastAsia" w:hAnsi="宋体"/>
          <w:b w:val="0"/>
          <w:color w:val="auto"/>
          <w:sz w:val="22"/>
          <w:highlight w:val="none"/>
          <w:lang w:val="en-US" w:eastAsia="zh-CN"/>
        </w:rPr>
        <w:t>城镇道路</w:t>
      </w:r>
      <w:r>
        <w:rPr>
          <w:rFonts w:hint="eastAsia" w:hAnsi="宋体" w:eastAsia="宋体"/>
          <w:b w:val="0"/>
          <w:color w:val="auto"/>
          <w:sz w:val="22"/>
          <w:highlight w:val="none"/>
        </w:rPr>
        <w:t>养护技术规范（CJJ</w:t>
      </w:r>
      <w:r>
        <w:rPr>
          <w:rFonts w:hint="eastAsia" w:hAnsi="宋体"/>
          <w:b w:val="0"/>
          <w:color w:val="auto"/>
          <w:sz w:val="22"/>
          <w:highlight w:val="none"/>
          <w:lang w:val="en-US" w:eastAsia="zh-CN"/>
        </w:rPr>
        <w:t>36</w:t>
      </w:r>
      <w:r>
        <w:rPr>
          <w:rFonts w:hint="eastAsia" w:hAnsi="宋体" w:eastAsia="宋体"/>
          <w:b w:val="0"/>
          <w:color w:val="auto"/>
          <w:sz w:val="22"/>
          <w:highlight w:val="none"/>
        </w:rPr>
        <w:t>-20</w:t>
      </w:r>
      <w:r>
        <w:rPr>
          <w:rFonts w:hint="eastAsia" w:hAnsi="宋体"/>
          <w:b w:val="0"/>
          <w:color w:val="auto"/>
          <w:sz w:val="22"/>
          <w:highlight w:val="none"/>
          <w:lang w:eastAsia="zh-CN"/>
        </w:rPr>
        <w:t>1</w:t>
      </w:r>
      <w:r>
        <w:rPr>
          <w:rFonts w:hint="eastAsia" w:hAnsi="宋体"/>
          <w:b w:val="0"/>
          <w:color w:val="auto"/>
          <w:sz w:val="22"/>
          <w:highlight w:val="none"/>
          <w:lang w:val="en-US" w:eastAsia="zh-CN"/>
        </w:rPr>
        <w:t>6</w:t>
      </w:r>
      <w:r>
        <w:rPr>
          <w:rFonts w:hint="eastAsia" w:hAnsi="宋体" w:eastAsia="宋体"/>
          <w:b w:val="0"/>
          <w:color w:val="auto"/>
          <w:sz w:val="22"/>
          <w:highlight w:val="none"/>
        </w:rPr>
        <w:t>）》</w:t>
      </w:r>
      <w:r>
        <w:rPr>
          <w:rFonts w:hint="eastAsia" w:hAnsi="宋体" w:eastAsia="宋体"/>
          <w:b w:val="0"/>
          <w:color w:val="auto"/>
          <w:sz w:val="22"/>
          <w:szCs w:val="22"/>
          <w:highlight w:val="none"/>
        </w:rPr>
        <w:t>及《招标文件》中所规定的执行。</w:t>
      </w:r>
    </w:p>
    <w:p w14:paraId="164967F7">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第七条  检查考评办法</w:t>
      </w:r>
    </w:p>
    <w:p w14:paraId="3762818A">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具体的检查验收方法、内容、程序等按甲方具体要求及《招标文件》执行。</w:t>
      </w:r>
    </w:p>
    <w:p w14:paraId="7DE8445E">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第八条  履约保证金</w:t>
      </w:r>
    </w:p>
    <w:p w14:paraId="4774F643">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在收到中标通知书后5个工作日内，需向甲方提供</w:t>
      </w:r>
      <w:r>
        <w:rPr>
          <w:rFonts w:hint="eastAsia" w:hAnsi="宋体" w:eastAsia="宋体"/>
          <w:b w:val="0"/>
          <w:color w:val="auto"/>
          <w:sz w:val="22"/>
          <w:szCs w:val="22"/>
          <w:highlight w:val="none"/>
          <w:lang w:val="en-US" w:eastAsia="zh-CN"/>
        </w:rPr>
        <w:t>合同额1%的</w:t>
      </w:r>
      <w:r>
        <w:rPr>
          <w:rFonts w:hint="eastAsia" w:hAnsi="宋体" w:eastAsia="宋体"/>
          <w:b w:val="0"/>
          <w:color w:val="auto"/>
          <w:sz w:val="22"/>
          <w:szCs w:val="22"/>
          <w:highlight w:val="none"/>
        </w:rPr>
        <w:t>道路日常维修与养护履约保证金。履约保证金在</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与</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rPr>
        <w:t>签订经济合同前递交。</w:t>
      </w:r>
    </w:p>
    <w:p w14:paraId="01AC2DC5">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w:t>
      </w:r>
      <w:r>
        <w:rPr>
          <w:rFonts w:hint="eastAsia" w:hAnsi="宋体" w:eastAsia="宋体"/>
          <w:b w:val="0"/>
          <w:bCs w:val="0"/>
          <w:color w:val="auto"/>
          <w:sz w:val="22"/>
          <w:szCs w:val="22"/>
          <w:highlight w:val="none"/>
        </w:rPr>
        <w:t>道路日常维修与养护履约保证金在全部承包任</w:t>
      </w:r>
      <w:r>
        <w:rPr>
          <w:rFonts w:hint="eastAsia" w:hAnsi="宋体" w:eastAsia="宋体"/>
          <w:b w:val="0"/>
          <w:color w:val="auto"/>
          <w:sz w:val="22"/>
          <w:szCs w:val="22"/>
          <w:highlight w:val="none"/>
        </w:rPr>
        <w:t>务按</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rPr>
        <w:t>要求完成并移交采购人后十五个工作日内无息退还履约保证金；履约保证金无息。</w:t>
      </w:r>
    </w:p>
    <w:p w14:paraId="10E404B1">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（三）</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不能按期保质保量完成</w:t>
      </w:r>
      <w:r>
        <w:rPr>
          <w:rFonts w:hint="eastAsia" w:hAnsi="宋体" w:eastAsia="宋体"/>
          <w:b w:val="0"/>
          <w:bCs w:val="0"/>
          <w:color w:val="auto"/>
          <w:sz w:val="22"/>
          <w:szCs w:val="22"/>
          <w:highlight w:val="none"/>
        </w:rPr>
        <w:t>道路日常维修与养护</w:t>
      </w:r>
      <w:r>
        <w:rPr>
          <w:rFonts w:hint="eastAsia" w:hAnsi="宋体" w:eastAsia="宋体"/>
          <w:b w:val="0"/>
          <w:color w:val="auto"/>
          <w:sz w:val="22"/>
          <w:szCs w:val="22"/>
          <w:highlight w:val="none"/>
        </w:rPr>
        <w:t>业务，除承担相关责任外，</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rPr>
        <w:t>可相应没收合同履约保证金。</w:t>
      </w:r>
    </w:p>
    <w:p w14:paraId="45201F81">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第九条  考评办法</w:t>
      </w:r>
    </w:p>
    <w:p w14:paraId="0F3D2FE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（一）乙方应严格按照甲方具体要求及《招标文件》的规定，对承包范围内的道路进行</w:t>
      </w:r>
      <w:r>
        <w:rPr>
          <w:rFonts w:hint="eastAsia" w:hAnsi="宋体" w:eastAsia="宋体"/>
          <w:b w:val="0"/>
          <w:bCs w:val="0"/>
          <w:color w:val="auto"/>
          <w:sz w:val="22"/>
          <w:szCs w:val="22"/>
          <w:highlight w:val="none"/>
        </w:rPr>
        <w:t>日常维修与养护</w:t>
      </w:r>
      <w:r>
        <w:rPr>
          <w:rFonts w:hint="eastAsia" w:hAnsi="宋体" w:eastAsia="宋体"/>
          <w:b w:val="0"/>
          <w:color w:val="auto"/>
          <w:sz w:val="22"/>
          <w:szCs w:val="22"/>
          <w:highlight w:val="none"/>
        </w:rPr>
        <w:t>。同时，还要接受甲方按《</w:t>
      </w:r>
      <w:r>
        <w:rPr>
          <w:rFonts w:hint="eastAsia" w:hAnsi="宋体"/>
          <w:b w:val="0"/>
          <w:color w:val="auto"/>
          <w:sz w:val="22"/>
          <w:szCs w:val="22"/>
          <w:highlight w:val="none"/>
          <w:lang w:eastAsia="zh-CN"/>
        </w:rPr>
        <w:t>市政设施日常养护考核标准</w:t>
      </w:r>
      <w:r>
        <w:rPr>
          <w:rFonts w:hint="eastAsia" w:hAnsi="宋体" w:eastAsia="宋体"/>
          <w:b w:val="0"/>
          <w:color w:val="auto"/>
          <w:sz w:val="22"/>
          <w:szCs w:val="22"/>
          <w:highlight w:val="none"/>
        </w:rPr>
        <w:t>》的规定进行质量检查考评。</w:t>
      </w:r>
    </w:p>
    <w:p w14:paraId="1689F990">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（二）考核及处罚标准（见第</w:t>
      </w:r>
      <w:r>
        <w:rPr>
          <w:rFonts w:hint="eastAsia" w:hAnsi="宋体"/>
          <w:b w:val="0"/>
          <w:color w:val="auto"/>
          <w:sz w:val="22"/>
          <w:szCs w:val="22"/>
          <w:highlight w:val="none"/>
          <w:lang w:eastAsia="zh-CN"/>
        </w:rPr>
        <w:t>四</w:t>
      </w:r>
      <w:r>
        <w:rPr>
          <w:rFonts w:hint="eastAsia" w:hAnsi="宋体" w:eastAsia="宋体"/>
          <w:b w:val="0"/>
          <w:color w:val="auto"/>
          <w:sz w:val="22"/>
          <w:szCs w:val="22"/>
          <w:highlight w:val="none"/>
        </w:rPr>
        <w:t>部分《合同特殊条款》）</w:t>
      </w:r>
    </w:p>
    <w:p w14:paraId="5E908EF3">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  权利和义务</w:t>
      </w:r>
    </w:p>
    <w:p w14:paraId="5CB9FB54">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（一）甲方权利与义务</w:t>
      </w:r>
    </w:p>
    <w:p w14:paraId="3DA6AA1D">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1、甲方对乙方的</w:t>
      </w:r>
      <w:r>
        <w:rPr>
          <w:rFonts w:hint="eastAsia" w:hAnsi="宋体" w:eastAsia="宋体"/>
          <w:b w:val="0"/>
          <w:bCs w:val="0"/>
          <w:color w:val="auto"/>
          <w:sz w:val="22"/>
          <w:szCs w:val="22"/>
          <w:highlight w:val="none"/>
        </w:rPr>
        <w:t>道路日常维修与养护</w:t>
      </w:r>
      <w:r>
        <w:rPr>
          <w:rFonts w:hint="eastAsia" w:hAnsi="宋体" w:eastAsia="宋体"/>
          <w:b w:val="0"/>
          <w:color w:val="auto"/>
          <w:sz w:val="22"/>
          <w:szCs w:val="22"/>
          <w:highlight w:val="none"/>
        </w:rPr>
        <w:t>业务进行全面的技术指导、检查、管理和监督，对检查中发现的环境卫生质量问题及时向乙方提出书面或口头改进意见。</w:t>
      </w:r>
    </w:p>
    <w:p w14:paraId="5642F61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2、甲方对乙方违反《</w:t>
      </w:r>
      <w:r>
        <w:rPr>
          <w:rFonts w:hint="eastAsia" w:hAnsi="宋体"/>
          <w:b w:val="0"/>
          <w:color w:val="auto"/>
          <w:sz w:val="22"/>
          <w:szCs w:val="22"/>
          <w:highlight w:val="none"/>
          <w:lang w:eastAsia="zh-CN"/>
        </w:rPr>
        <w:t>市政设施日常养护考核标准</w:t>
      </w:r>
      <w:r>
        <w:rPr>
          <w:rFonts w:hint="eastAsia" w:hAnsi="宋体" w:eastAsia="宋体"/>
          <w:b w:val="0"/>
          <w:color w:val="auto"/>
          <w:sz w:val="22"/>
          <w:szCs w:val="22"/>
          <w:highlight w:val="none"/>
        </w:rPr>
        <w:t>》中规定的行为进行处罚。</w:t>
      </w:r>
    </w:p>
    <w:p w14:paraId="156903C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3、甲方监督检查乙方落实安全生产措施（包括防台、防火）。</w:t>
      </w:r>
    </w:p>
    <w:p w14:paraId="683B3193">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4、甲方监督检查乙方对员工进行培训的情况，以提高</w:t>
      </w:r>
      <w:r>
        <w:rPr>
          <w:rFonts w:hint="eastAsia" w:hAnsi="宋体" w:eastAsia="宋体"/>
          <w:b w:val="0"/>
          <w:bCs w:val="0"/>
          <w:color w:val="auto"/>
          <w:sz w:val="22"/>
          <w:szCs w:val="22"/>
          <w:highlight w:val="none"/>
        </w:rPr>
        <w:t>道路日常维修与养护服务</w:t>
      </w:r>
      <w:r>
        <w:rPr>
          <w:rFonts w:hint="eastAsia" w:hAnsi="宋体" w:eastAsia="宋体"/>
          <w:b w:val="0"/>
          <w:color w:val="auto"/>
          <w:sz w:val="22"/>
          <w:szCs w:val="22"/>
          <w:highlight w:val="none"/>
        </w:rPr>
        <w:t>的技术水平。</w:t>
      </w:r>
    </w:p>
    <w:p w14:paraId="2FDE40E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5、甲方应按</w:t>
      </w:r>
      <w:r>
        <w:rPr>
          <w:rFonts w:hint="eastAsia" w:hAnsi="宋体" w:eastAsia="宋体"/>
          <w:b w:val="0"/>
          <w:bCs w:val="0"/>
          <w:color w:val="auto"/>
          <w:sz w:val="22"/>
          <w:szCs w:val="22"/>
          <w:highlight w:val="none"/>
        </w:rPr>
        <w:t>道路日常维修与养护</w:t>
      </w:r>
      <w:r>
        <w:rPr>
          <w:rFonts w:hint="eastAsia" w:hAnsi="宋体" w:eastAsia="宋体"/>
          <w:b w:val="0"/>
          <w:color w:val="auto"/>
          <w:sz w:val="22"/>
          <w:szCs w:val="22"/>
          <w:highlight w:val="none"/>
        </w:rPr>
        <w:t>质量和检查验收结果计算经费，扣除乙方因检查不合格应扣款后，将经费按期支付给乙方。</w:t>
      </w:r>
    </w:p>
    <w:p w14:paraId="23B5F2C1">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6、甲方可要求乙方调整不合格员工。</w:t>
      </w:r>
    </w:p>
    <w:p w14:paraId="52CBF735">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7、甲方可根据政策的变动并结合实际情况对本项目合同、</w:t>
      </w:r>
      <w:r>
        <w:rPr>
          <w:rFonts w:hint="eastAsia" w:hAnsi="宋体" w:eastAsia="宋体"/>
          <w:b w:val="0"/>
          <w:bCs w:val="0"/>
          <w:color w:val="auto"/>
          <w:sz w:val="22"/>
          <w:szCs w:val="22"/>
          <w:highlight w:val="none"/>
        </w:rPr>
        <w:t>《</w:t>
      </w:r>
      <w:r>
        <w:rPr>
          <w:rFonts w:hint="eastAsia" w:hAnsi="宋体"/>
          <w:b w:val="0"/>
          <w:bCs w:val="0"/>
          <w:color w:val="auto"/>
          <w:sz w:val="22"/>
          <w:szCs w:val="22"/>
          <w:highlight w:val="none"/>
          <w:lang w:eastAsia="zh-CN"/>
        </w:rPr>
        <w:t>市政设施日常养护考核标准</w:t>
      </w:r>
      <w:r>
        <w:rPr>
          <w:rFonts w:hint="eastAsia" w:hAnsi="宋体" w:eastAsia="宋体"/>
          <w:b w:val="0"/>
          <w:bCs w:val="0"/>
          <w:color w:val="auto"/>
          <w:sz w:val="22"/>
          <w:szCs w:val="22"/>
          <w:highlight w:val="none"/>
        </w:rPr>
        <w:t>》</w:t>
      </w:r>
      <w:r>
        <w:rPr>
          <w:rFonts w:hint="eastAsia" w:hAnsi="宋体" w:eastAsia="宋体"/>
          <w:b w:val="0"/>
          <w:color w:val="auto"/>
          <w:sz w:val="22"/>
          <w:szCs w:val="22"/>
          <w:highlight w:val="none"/>
        </w:rPr>
        <w:t>和“考核及处罚标准”进行修改和补充。</w:t>
      </w:r>
    </w:p>
    <w:p w14:paraId="6740EC6D">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8、甲方应按时支付款项。本合同的经费由政府拨款，如因政策影响，拨款未能及时到位，乙方不得以此为由而不履行本合同规定的义务，否则甲方按规定扣罚。</w:t>
      </w:r>
    </w:p>
    <w:p w14:paraId="61CBAD79">
      <w:pPr>
        <w:pStyle w:val="34"/>
        <w:snapToGrid w:val="0"/>
        <w:spacing w:line="440" w:lineRule="atLeast"/>
        <w:ind w:firstLine="220" w:firstLineChars="100"/>
        <w:rPr>
          <w:rFonts w:hint="eastAsia" w:hAnsi="宋体" w:eastAsia="宋体"/>
          <w:b w:val="0"/>
          <w:color w:val="auto"/>
          <w:sz w:val="22"/>
          <w:szCs w:val="22"/>
          <w:highlight w:val="none"/>
        </w:rPr>
      </w:pPr>
      <w:r>
        <w:rPr>
          <w:rFonts w:hint="eastAsia" w:hAnsi="宋体" w:eastAsia="宋体"/>
          <w:b w:val="0"/>
          <w:color w:val="auto"/>
          <w:sz w:val="22"/>
          <w:szCs w:val="22"/>
          <w:highlight w:val="none"/>
        </w:rPr>
        <w:t>（二）乙方权利和义务</w:t>
      </w:r>
    </w:p>
    <w:p w14:paraId="6799130A">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1、乙方有权根据承包合同按期领取承包结算经费。</w:t>
      </w:r>
    </w:p>
    <w:p w14:paraId="0DD2D995">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2、乙方有权对管理工作提出建议。</w:t>
      </w:r>
    </w:p>
    <w:p w14:paraId="0CF1A076">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3、乙方履行承诺的义务，并参加由甲方组织的检查和综合考评。</w:t>
      </w:r>
    </w:p>
    <w:p w14:paraId="26AC42F3">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4、乙方应接受甲方的检查监督及指导。</w:t>
      </w:r>
    </w:p>
    <w:p w14:paraId="16EE798D">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5、按甲方的要求开展工作，如有改变，乙方应提出书面申请，并征得甲方的书面同意。</w:t>
      </w:r>
    </w:p>
    <w:p w14:paraId="0BB9F190">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6、特殊情况下（台风、暴雨和冰雪等），乙方除应做好管辖地段保护工作外，还应服从甲方的统一指挥和调动，参加抢险救灾工作。 </w:t>
      </w:r>
    </w:p>
    <w:p w14:paraId="118127E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7、乙方应按甲方要求，为上岗工人购买统一的工作服或反光背心。</w:t>
      </w:r>
    </w:p>
    <w:p w14:paraId="7D9926A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8、负责提供本项目所需的全部工具、设备和材料。</w:t>
      </w:r>
    </w:p>
    <w:p w14:paraId="0A0E5A6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9、乙方负责安排骨干参加业务技术的培训学习。</w:t>
      </w:r>
    </w:p>
    <w:p w14:paraId="70D56044">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10、乙方负责作业过程中的事故处理和一切费用，并承担事故的所有责任。</w:t>
      </w:r>
    </w:p>
    <w:p w14:paraId="1F71D77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11、乙方应严格遵守国家法律、法规的规定，做好社会治安综合治理和计划生育等工作，不得违反国家法律、法规和温州市的有关规定。</w:t>
      </w:r>
    </w:p>
    <w:p w14:paraId="39EF6D3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12、在合同期内，因国家建设需要调整乙方管理任务和管理级别时，乙方要服从大局，相应增减承包面积及经费。由此造成的经济损失，甲方不负赔偿责任。</w:t>
      </w:r>
    </w:p>
    <w:p w14:paraId="5AE0467F">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13、乙方应遵守法律、法规和政策的规定，因以上原因使合同性质发生改变，甲方不负赔偿责任。</w:t>
      </w:r>
    </w:p>
    <w:p w14:paraId="7C21808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14、乙方须在中标后根据甲方的需要，办理相关款项支付手续（如开取发票）等工作。</w:t>
      </w:r>
    </w:p>
    <w:p w14:paraId="03E2D926">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第十一条  合同组成</w:t>
      </w:r>
    </w:p>
    <w:p w14:paraId="2CD12319">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承包合同组成：《招标文件》、《投标文件》、《中标通知书》、</w:t>
      </w:r>
      <w:r>
        <w:rPr>
          <w:rFonts w:hint="eastAsia" w:hAnsi="宋体" w:eastAsia="宋体"/>
          <w:b w:val="0"/>
          <w:bCs w:val="0"/>
          <w:color w:val="auto"/>
          <w:sz w:val="22"/>
          <w:szCs w:val="22"/>
          <w:highlight w:val="none"/>
        </w:rPr>
        <w:t>《</w:t>
      </w:r>
      <w:r>
        <w:rPr>
          <w:rFonts w:hint="eastAsia" w:hAnsi="宋体"/>
          <w:b w:val="0"/>
          <w:bCs w:val="0"/>
          <w:color w:val="auto"/>
          <w:sz w:val="22"/>
          <w:szCs w:val="22"/>
          <w:highlight w:val="none"/>
          <w:lang w:eastAsia="zh-CN"/>
        </w:rPr>
        <w:t>市政设施日常养护考核标准</w:t>
      </w:r>
      <w:r>
        <w:rPr>
          <w:rFonts w:hint="eastAsia" w:hAnsi="宋体" w:eastAsia="宋体"/>
          <w:b w:val="0"/>
          <w:bCs w:val="0"/>
          <w:color w:val="auto"/>
          <w:sz w:val="22"/>
          <w:szCs w:val="22"/>
          <w:highlight w:val="none"/>
        </w:rPr>
        <w:t>》</w:t>
      </w:r>
      <w:r>
        <w:rPr>
          <w:rFonts w:hint="eastAsia" w:hAnsi="宋体" w:eastAsia="宋体"/>
          <w:b w:val="0"/>
          <w:color w:val="auto"/>
          <w:sz w:val="22"/>
          <w:szCs w:val="22"/>
          <w:highlight w:val="none"/>
        </w:rPr>
        <w:t>和 “考核及处罚标准”及询标纪要和承诺书为本合同的有效组成部分。</w:t>
      </w:r>
    </w:p>
    <w:p w14:paraId="18412D9B">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第十二条  违约责任</w:t>
      </w:r>
    </w:p>
    <w:p w14:paraId="1C3EDFD0">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6539878C">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（二）乙方因机械、工具或技术等跟不上管理需要影响工作，未达到质量标准，按照《招标文件》第二部分内的“考核与处罚标准”的规定，甲方有权单方终止本合同，并没收履约保证金。</w:t>
      </w:r>
    </w:p>
    <w:p w14:paraId="2EBE447D">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第十三条  争议的解决</w:t>
      </w:r>
    </w:p>
    <w:p w14:paraId="07F4366A">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合同未尽事宜，应双方友好协调解决。协商不一致，任何一方均可提起仲裁或诉讼，仲裁或诉讼按合同履行地原则。</w:t>
      </w:r>
    </w:p>
    <w:p w14:paraId="2409D906">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第十四条  合同生效及终止</w:t>
      </w:r>
    </w:p>
    <w:p w14:paraId="092E7D37">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（一）本合同在</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rPr>
        <w:t>收到</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提交的履约保证金后，且经双方法定代表人或授权代表签署，</w:t>
      </w:r>
      <w:r>
        <w:rPr>
          <w:rFonts w:hint="eastAsia" w:hAnsi="宋体"/>
          <w:b w:val="0"/>
          <w:color w:val="auto"/>
          <w:sz w:val="22"/>
          <w:szCs w:val="22"/>
          <w:highlight w:val="none"/>
          <w:lang w:val="en-US" w:eastAsia="zh-CN"/>
        </w:rPr>
        <w:t>甲方</w:t>
      </w:r>
      <w:r>
        <w:rPr>
          <w:rFonts w:hint="eastAsia" w:hAnsi="宋体" w:eastAsia="宋体"/>
          <w:b w:val="0"/>
          <w:color w:val="auto"/>
          <w:sz w:val="22"/>
          <w:szCs w:val="22"/>
          <w:highlight w:val="none"/>
        </w:rPr>
        <w:t>与</w:t>
      </w:r>
      <w:r>
        <w:rPr>
          <w:rFonts w:hint="eastAsia" w:hAnsi="宋体"/>
          <w:b w:val="0"/>
          <w:color w:val="auto"/>
          <w:sz w:val="22"/>
          <w:szCs w:val="22"/>
          <w:highlight w:val="none"/>
          <w:lang w:val="en-US" w:eastAsia="zh-CN"/>
        </w:rPr>
        <w:t>乙方</w:t>
      </w:r>
      <w:r>
        <w:rPr>
          <w:rFonts w:hint="eastAsia" w:hAnsi="宋体" w:eastAsia="宋体"/>
          <w:b w:val="0"/>
          <w:color w:val="auto"/>
          <w:sz w:val="22"/>
          <w:szCs w:val="22"/>
          <w:highlight w:val="none"/>
        </w:rPr>
        <w:t>加盖印章后生效。</w:t>
      </w:r>
    </w:p>
    <w:p w14:paraId="1EB00658">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（二）合同终止：本合同出现以下情况时终止。</w:t>
      </w:r>
    </w:p>
    <w:p w14:paraId="4C613889">
      <w:pPr>
        <w:pStyle w:val="34"/>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1、期限届满时自行终止。</w:t>
      </w:r>
    </w:p>
    <w:p w14:paraId="7CBA84C4">
      <w:pPr>
        <w:pStyle w:val="34"/>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2、根据</w:t>
      </w:r>
      <w:r>
        <w:rPr>
          <w:rFonts w:hint="eastAsia" w:hAnsi="宋体" w:eastAsia="宋体"/>
          <w:b w:val="0"/>
          <w:bCs w:val="0"/>
          <w:color w:val="auto"/>
          <w:sz w:val="22"/>
          <w:szCs w:val="22"/>
          <w:highlight w:val="none"/>
        </w:rPr>
        <w:t>《</w:t>
      </w:r>
      <w:r>
        <w:rPr>
          <w:rFonts w:hint="eastAsia" w:hAnsi="宋体"/>
          <w:b w:val="0"/>
          <w:bCs w:val="0"/>
          <w:color w:val="auto"/>
          <w:sz w:val="22"/>
          <w:szCs w:val="22"/>
          <w:highlight w:val="none"/>
          <w:lang w:eastAsia="zh-CN"/>
        </w:rPr>
        <w:t>市政设施日常养护考核标准</w:t>
      </w:r>
      <w:r>
        <w:rPr>
          <w:rFonts w:hint="eastAsia" w:hAnsi="宋体" w:eastAsia="宋体"/>
          <w:b w:val="0"/>
          <w:bCs w:val="0"/>
          <w:color w:val="auto"/>
          <w:sz w:val="22"/>
          <w:szCs w:val="22"/>
          <w:highlight w:val="none"/>
        </w:rPr>
        <w:t>》</w:t>
      </w:r>
      <w:r>
        <w:rPr>
          <w:rFonts w:hint="eastAsia" w:hAnsi="宋体" w:eastAsia="宋体"/>
          <w:b w:val="0"/>
          <w:color w:val="auto"/>
          <w:sz w:val="22"/>
          <w:szCs w:val="22"/>
          <w:highlight w:val="none"/>
        </w:rPr>
        <w:t>及 “考核及处罚标准”进行检查考评，不符合相关规定</w:t>
      </w:r>
      <w:r>
        <w:rPr>
          <w:rFonts w:hint="eastAsia" w:hAnsi="宋体"/>
          <w:b w:val="0"/>
          <w:color w:val="auto"/>
          <w:sz w:val="22"/>
          <w:szCs w:val="22"/>
          <w:highlight w:val="none"/>
          <w:lang w:val="en-US" w:eastAsia="zh-CN"/>
        </w:rPr>
        <w:t>的甲方有权单方面</w:t>
      </w:r>
      <w:r>
        <w:rPr>
          <w:rFonts w:hint="eastAsia" w:hAnsi="宋体" w:eastAsia="宋体"/>
          <w:b w:val="0"/>
          <w:color w:val="auto"/>
          <w:sz w:val="22"/>
          <w:szCs w:val="22"/>
          <w:highlight w:val="none"/>
        </w:rPr>
        <w:t>终止合同。</w:t>
      </w:r>
    </w:p>
    <w:p w14:paraId="630D9CDD">
      <w:pPr>
        <w:pStyle w:val="34"/>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3、有以下行为之一的：</w:t>
      </w:r>
    </w:p>
    <w:p w14:paraId="4C56657E">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（1）违反管理规定，造成重大伤亡或重大损失。</w:t>
      </w:r>
    </w:p>
    <w:p w14:paraId="0397B4B1">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（2）因管理不善造成恶劣影响。</w:t>
      </w:r>
    </w:p>
    <w:p w14:paraId="3701AC03">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（3）擅自将合同转包给第三者。</w:t>
      </w:r>
    </w:p>
    <w:p w14:paraId="74D9BE17">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（4）违反劳动法或其他相关法律法规，造成恶劣影响。</w:t>
      </w:r>
    </w:p>
    <w:p w14:paraId="1626D16E">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（5）弄虚作假及其他不正当行为。</w:t>
      </w:r>
    </w:p>
    <w:p w14:paraId="1E66855E">
      <w:pPr>
        <w:pStyle w:val="34"/>
        <w:snapToGrid w:val="0"/>
        <w:spacing w:line="440" w:lineRule="atLeast"/>
        <w:ind w:firstLine="701" w:firstLineChars="319"/>
        <w:rPr>
          <w:rFonts w:hint="eastAsia" w:hAnsi="宋体" w:eastAsia="宋体"/>
          <w:b w:val="0"/>
          <w:color w:val="auto"/>
          <w:sz w:val="22"/>
          <w:szCs w:val="22"/>
          <w:highlight w:val="none"/>
        </w:rPr>
      </w:pPr>
      <w:r>
        <w:rPr>
          <w:rFonts w:hint="eastAsia" w:hAnsi="宋体" w:eastAsia="宋体"/>
          <w:b w:val="0"/>
          <w:color w:val="auto"/>
          <w:sz w:val="22"/>
          <w:szCs w:val="22"/>
          <w:highlight w:val="none"/>
        </w:rPr>
        <w:t>4、法律规定的终止事由。</w:t>
      </w:r>
    </w:p>
    <w:p w14:paraId="2D1E9C76">
      <w:pPr>
        <w:pStyle w:val="34"/>
        <w:snapToGrid w:val="0"/>
        <w:spacing w:line="44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（三）本合同一式拾份，双方各肆份，鹿城区公共资源交易中心执壹份，鹿城区财政局执壹份。</w:t>
      </w:r>
    </w:p>
    <w:p w14:paraId="6425A164">
      <w:pPr>
        <w:pStyle w:val="34"/>
        <w:snapToGrid w:val="0"/>
        <w:spacing w:line="440" w:lineRule="atLeas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rPr>
        <w:t>第十五条  合同的解释：本合同的解释权在温州市鹿城区市政公用管理处。</w:t>
      </w:r>
    </w:p>
    <w:p w14:paraId="77456550">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甲    方：（印章）                    乙    方：（印章）</w:t>
      </w:r>
    </w:p>
    <w:p w14:paraId="44E8A32F">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14:paraId="61845C56">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地    址：                            地    址：</w:t>
      </w:r>
    </w:p>
    <w:p w14:paraId="50E3DA47">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电    话：                            电    话：</w:t>
      </w:r>
    </w:p>
    <w:p w14:paraId="030B63B2">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传    真：                            传    真：</w:t>
      </w:r>
    </w:p>
    <w:p w14:paraId="5D79B4AC">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开户银行：                            开户银行：</w:t>
      </w:r>
    </w:p>
    <w:p w14:paraId="671628BF">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帐    号：                            帐    号：</w:t>
      </w:r>
    </w:p>
    <w:p w14:paraId="4769DE36">
      <w:pPr>
        <w:pStyle w:val="34"/>
        <w:snapToGrid w:val="0"/>
        <w:spacing w:line="400" w:lineRule="atLeast"/>
        <w:ind w:firstLine="482"/>
        <w:rPr>
          <w:rFonts w:hint="eastAsia" w:hAnsi="宋体" w:eastAsia="宋体"/>
          <w:b w:val="0"/>
          <w:color w:val="auto"/>
          <w:sz w:val="22"/>
          <w:szCs w:val="22"/>
          <w:highlight w:val="none"/>
        </w:rPr>
      </w:pPr>
      <w:r>
        <w:rPr>
          <w:rFonts w:hint="eastAsia" w:hAnsi="宋体" w:eastAsia="宋体"/>
          <w:b w:val="0"/>
          <w:color w:val="auto"/>
          <w:sz w:val="22"/>
          <w:szCs w:val="22"/>
          <w:highlight w:val="none"/>
        </w:rPr>
        <w:t>时    间：                            时    间：</w:t>
      </w:r>
    </w:p>
    <w:p w14:paraId="53EA3ED3">
      <w:pPr>
        <w:keepNext w:val="0"/>
        <w:keepLines w:val="0"/>
        <w:pageBreakBefore w:val="0"/>
        <w:widowControl/>
        <w:kinsoku/>
        <w:wordWrap/>
        <w:overflowPunct w:val="0"/>
        <w:topLinePunct w:val="0"/>
        <w:autoSpaceDE w:val="0"/>
        <w:autoSpaceDN w:val="0"/>
        <w:bidi w:val="0"/>
        <w:adjustRightInd w:val="0"/>
        <w:snapToGrid w:val="0"/>
        <w:spacing w:line="350" w:lineRule="exact"/>
        <w:jc w:val="left"/>
        <w:textAlignment w:val="baseline"/>
        <w:rPr>
          <w:rFonts w:hint="eastAsia" w:ascii="宋体" w:hAnsi="宋体" w:eastAsia="宋体" w:cs="宋体"/>
          <w:color w:val="auto"/>
          <w:sz w:val="22"/>
          <w:highlight w:val="none"/>
        </w:rPr>
      </w:pPr>
    </w:p>
    <w:p w14:paraId="4AAFBF9D">
      <w:pPr>
        <w:tabs>
          <w:tab w:val="left" w:pos="8994"/>
        </w:tabs>
        <w:bidi w:val="0"/>
        <w:jc w:val="left"/>
        <w:rPr>
          <w:rFonts w:ascii="宋体" w:hAnsi="宋体" w:cs="Arial"/>
          <w:color w:val="auto"/>
          <w:sz w:val="22"/>
          <w:szCs w:val="22"/>
          <w:highlight w:val="none"/>
        </w:rPr>
      </w:pPr>
      <w:r>
        <w:rPr>
          <w:rFonts w:hint="eastAsia" w:cs="Times New Roman"/>
          <w:color w:val="auto"/>
          <w:kern w:val="2"/>
          <w:sz w:val="21"/>
          <w:szCs w:val="24"/>
          <w:highlight w:val="none"/>
          <w:lang w:val="en-US" w:eastAsia="zh-CN" w:bidi="ar-SA"/>
        </w:rPr>
        <w:tab/>
      </w:r>
      <w:bookmarkEnd w:id="222"/>
      <w:bookmarkEnd w:id="223"/>
    </w:p>
    <w:p w14:paraId="2DACB688">
      <w:pPr>
        <w:snapToGrid w:val="0"/>
        <w:spacing w:line="360" w:lineRule="auto"/>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注：本合同作为示范文本，具体以中标人与招标人所签定正式合同为准。</w:t>
      </w:r>
    </w:p>
    <w:p w14:paraId="28D15380">
      <w:pPr>
        <w:spacing w:line="440" w:lineRule="exact"/>
        <w:ind w:firstLine="440" w:firstLineChars="200"/>
        <w:rPr>
          <w:rFonts w:ascii="宋体" w:hAnsi="宋体" w:cs="Arial"/>
          <w:color w:val="auto"/>
          <w:sz w:val="22"/>
          <w:szCs w:val="22"/>
          <w:highlight w:val="none"/>
        </w:rPr>
      </w:pPr>
    </w:p>
    <w:p w14:paraId="14D00BDC">
      <w:pPr>
        <w:spacing w:line="440" w:lineRule="exact"/>
        <w:ind w:firstLine="440" w:firstLineChars="200"/>
        <w:rPr>
          <w:rFonts w:ascii="宋体" w:hAnsi="宋体" w:cs="Arial"/>
          <w:color w:val="auto"/>
          <w:sz w:val="22"/>
          <w:szCs w:val="22"/>
          <w:highlight w:val="none"/>
        </w:rPr>
      </w:pPr>
    </w:p>
    <w:p w14:paraId="071166F9">
      <w:pPr>
        <w:spacing w:line="440" w:lineRule="exact"/>
        <w:ind w:firstLine="440" w:firstLineChars="200"/>
        <w:rPr>
          <w:rFonts w:ascii="宋体" w:hAnsi="宋体" w:cs="Arial"/>
          <w:color w:val="auto"/>
          <w:sz w:val="22"/>
          <w:szCs w:val="22"/>
          <w:highlight w:val="none"/>
        </w:rPr>
      </w:pPr>
    </w:p>
    <w:p w14:paraId="4F2E152E">
      <w:pPr>
        <w:spacing w:line="440" w:lineRule="exact"/>
        <w:ind w:firstLine="440" w:firstLineChars="200"/>
        <w:rPr>
          <w:rFonts w:ascii="宋体" w:hAnsi="宋体" w:cs="Arial"/>
          <w:color w:val="auto"/>
          <w:sz w:val="22"/>
          <w:szCs w:val="22"/>
          <w:highlight w:val="none"/>
        </w:rPr>
      </w:pPr>
    </w:p>
    <w:p w14:paraId="49BE0EA0">
      <w:pPr>
        <w:spacing w:line="440" w:lineRule="exact"/>
        <w:ind w:firstLine="440" w:firstLineChars="200"/>
        <w:rPr>
          <w:rFonts w:ascii="宋体" w:hAnsi="宋体" w:cs="Arial"/>
          <w:color w:val="auto"/>
          <w:sz w:val="22"/>
          <w:szCs w:val="22"/>
          <w:highlight w:val="none"/>
        </w:rPr>
      </w:pPr>
    </w:p>
    <w:p w14:paraId="2F0741AE">
      <w:pPr>
        <w:spacing w:line="440" w:lineRule="exact"/>
        <w:ind w:firstLine="440" w:firstLineChars="200"/>
        <w:rPr>
          <w:rFonts w:ascii="宋体" w:hAnsi="宋体" w:cs="Arial"/>
          <w:color w:val="auto"/>
          <w:sz w:val="22"/>
          <w:szCs w:val="22"/>
          <w:highlight w:val="none"/>
        </w:rPr>
      </w:pPr>
    </w:p>
    <w:p w14:paraId="52FCF7A2">
      <w:pPr>
        <w:spacing w:line="440" w:lineRule="exact"/>
        <w:ind w:firstLine="440" w:firstLineChars="200"/>
        <w:rPr>
          <w:rFonts w:ascii="宋体" w:hAnsi="宋体" w:cs="Arial"/>
          <w:color w:val="auto"/>
          <w:sz w:val="22"/>
          <w:szCs w:val="22"/>
          <w:highlight w:val="none"/>
        </w:rPr>
      </w:pPr>
    </w:p>
    <w:p w14:paraId="31256AD7">
      <w:pPr>
        <w:spacing w:line="440" w:lineRule="exact"/>
        <w:ind w:firstLine="440" w:firstLineChars="200"/>
        <w:rPr>
          <w:rFonts w:ascii="宋体" w:hAnsi="宋体" w:cs="Arial"/>
          <w:color w:val="auto"/>
          <w:sz w:val="22"/>
          <w:szCs w:val="22"/>
          <w:highlight w:val="none"/>
        </w:rPr>
      </w:pPr>
    </w:p>
    <w:p w14:paraId="68558233">
      <w:pPr>
        <w:spacing w:line="440" w:lineRule="exact"/>
        <w:ind w:firstLine="440" w:firstLineChars="200"/>
        <w:rPr>
          <w:rFonts w:ascii="宋体" w:hAnsi="宋体" w:cs="Arial"/>
          <w:color w:val="auto"/>
          <w:sz w:val="22"/>
          <w:szCs w:val="22"/>
          <w:highlight w:val="none"/>
        </w:rPr>
      </w:pPr>
    </w:p>
    <w:p w14:paraId="7BB1DBD8">
      <w:pPr>
        <w:spacing w:line="440" w:lineRule="exact"/>
        <w:ind w:firstLine="440" w:firstLineChars="200"/>
        <w:rPr>
          <w:rFonts w:ascii="宋体" w:hAnsi="宋体" w:cs="Arial"/>
          <w:color w:val="auto"/>
          <w:sz w:val="22"/>
          <w:szCs w:val="22"/>
          <w:highlight w:val="none"/>
        </w:rPr>
      </w:pPr>
    </w:p>
    <w:p w14:paraId="4A184C97">
      <w:pPr>
        <w:spacing w:line="440" w:lineRule="exact"/>
        <w:ind w:firstLine="440" w:firstLineChars="200"/>
        <w:rPr>
          <w:rFonts w:ascii="宋体" w:hAnsi="宋体" w:cs="Arial"/>
          <w:color w:val="auto"/>
          <w:sz w:val="22"/>
          <w:szCs w:val="22"/>
          <w:highlight w:val="none"/>
        </w:rPr>
      </w:pPr>
    </w:p>
    <w:p w14:paraId="6904E5EA">
      <w:pPr>
        <w:spacing w:line="440" w:lineRule="exact"/>
        <w:ind w:firstLine="440" w:firstLineChars="200"/>
        <w:rPr>
          <w:rFonts w:ascii="宋体" w:hAnsi="宋体" w:cs="Arial"/>
          <w:color w:val="auto"/>
          <w:sz w:val="22"/>
          <w:szCs w:val="22"/>
          <w:highlight w:val="none"/>
        </w:rPr>
      </w:pPr>
    </w:p>
    <w:p w14:paraId="20778FD2">
      <w:pPr>
        <w:spacing w:line="440" w:lineRule="exact"/>
        <w:ind w:firstLine="440" w:firstLineChars="200"/>
        <w:rPr>
          <w:rFonts w:ascii="宋体" w:hAnsi="宋体" w:cs="Arial"/>
          <w:color w:val="auto"/>
          <w:sz w:val="22"/>
          <w:szCs w:val="22"/>
          <w:highlight w:val="none"/>
        </w:rPr>
      </w:pPr>
    </w:p>
    <w:p w14:paraId="631201EA">
      <w:pPr>
        <w:spacing w:line="440" w:lineRule="exact"/>
        <w:ind w:firstLine="440" w:firstLineChars="200"/>
        <w:rPr>
          <w:rFonts w:ascii="宋体" w:hAnsi="宋体" w:cs="Arial"/>
          <w:color w:val="auto"/>
          <w:sz w:val="22"/>
          <w:szCs w:val="22"/>
          <w:highlight w:val="none"/>
        </w:rPr>
        <w:sectPr>
          <w:pgSz w:w="11906" w:h="16838"/>
          <w:pgMar w:top="1134" w:right="1134" w:bottom="1134" w:left="1134" w:header="851" w:footer="850" w:gutter="0"/>
          <w:pgNumType w:fmt="decimal"/>
          <w:cols w:space="720" w:num="1"/>
          <w:titlePg/>
          <w:docGrid w:linePitch="312" w:charSpace="0"/>
        </w:sectPr>
      </w:pPr>
    </w:p>
    <w:p w14:paraId="1D1B19BD">
      <w:pPr>
        <w:pStyle w:val="59"/>
        <w:keepNext w:val="0"/>
        <w:keepLines w:val="0"/>
        <w:pageBreakBefore w:val="0"/>
        <w:kinsoku/>
        <w:wordWrap/>
        <w:overflowPunct/>
        <w:topLinePunct w:val="0"/>
        <w:bidi w:val="0"/>
        <w:snapToGrid/>
        <w:spacing w:before="0" w:after="0" w:line="360" w:lineRule="auto"/>
        <w:ind w:left="0" w:leftChars="0"/>
        <w:rPr>
          <w:rFonts w:hint="eastAsia" w:ascii="宋体" w:hAnsi="宋体" w:eastAsia="宋体" w:cs="宋体"/>
          <w:color w:val="auto"/>
          <w:highlight w:val="none"/>
        </w:rPr>
      </w:pPr>
      <w:r>
        <w:rPr>
          <w:rFonts w:hint="eastAsia" w:ascii="宋体" w:hAnsi="宋体" w:eastAsia="宋体" w:cs="宋体"/>
          <w:color w:val="auto"/>
          <w:highlight w:val="none"/>
        </w:rPr>
        <w:t>特殊条款</w:t>
      </w:r>
    </w:p>
    <w:p w14:paraId="71C4A67A">
      <w:pPr>
        <w:keepNext w:val="0"/>
        <w:keepLines w:val="0"/>
        <w:pageBreakBefore w:val="0"/>
        <w:kinsoku/>
        <w:wordWrap/>
        <w:overflowPunct/>
        <w:topLinePunct w:val="0"/>
        <w:autoSpaceDE w:val="0"/>
        <w:autoSpaceDN w:val="0"/>
        <w:bidi w:val="0"/>
        <w:adjustRightInd w:val="0"/>
        <w:snapToGrid/>
        <w:spacing w:line="360" w:lineRule="auto"/>
        <w:ind w:firstLine="440" w:firstLineChars="200"/>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 xml:space="preserve">一、道路日常维修与养护服务考核要求 </w:t>
      </w:r>
    </w:p>
    <w:p w14:paraId="14B54B70">
      <w:pPr>
        <w:keepNext w:val="0"/>
        <w:keepLines w:val="0"/>
        <w:pageBreakBefore w:val="0"/>
        <w:kinsoku/>
        <w:wordWrap/>
        <w:overflowPunct/>
        <w:topLinePunct w:val="0"/>
        <w:autoSpaceDE w:val="0"/>
        <w:autoSpaceDN w:val="0"/>
        <w:bidi w:val="0"/>
        <w:adjustRightInd w:val="0"/>
        <w:snapToGrid/>
        <w:spacing w:line="360" w:lineRule="auto"/>
        <w:ind w:firstLine="440" w:firstLineChars="200"/>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a、道路日常维修与养护服务内容按照《城市道路养护技术规范（CJJ36-2016）》</w:t>
      </w:r>
      <w:r>
        <w:rPr>
          <w:rFonts w:hint="eastAsia" w:ascii="宋体" w:hAnsi="宋体" w:eastAsia="宋体" w:cs="宋体"/>
          <w:b w:val="0"/>
          <w:color w:val="auto"/>
          <w:sz w:val="22"/>
          <w:highlight w:val="none"/>
        </w:rPr>
        <w:t>等规范</w:t>
      </w:r>
      <w:r>
        <w:rPr>
          <w:rFonts w:hint="eastAsia" w:ascii="宋体" w:hAnsi="宋体" w:eastAsia="宋体" w:cs="宋体"/>
          <w:b w:val="0"/>
          <w:color w:val="auto"/>
          <w:sz w:val="22"/>
          <w:highlight w:val="none"/>
          <w:lang w:val="zh-CN"/>
        </w:rPr>
        <w:t>要求安排巡检周期，协助鹿城区市政公用管理处做好道路设施的日常巡查工作，对发现的问题应及时上报市政处确认修复方式；道路</w:t>
      </w:r>
      <w:r>
        <w:rPr>
          <w:rFonts w:hint="eastAsia" w:ascii="宋体" w:hAnsi="宋体" w:cs="宋体"/>
          <w:b w:val="0"/>
          <w:color w:val="auto"/>
          <w:sz w:val="22"/>
          <w:highlight w:val="none"/>
          <w:lang w:val="zh-CN"/>
        </w:rPr>
        <w:t>塌陷</w:t>
      </w:r>
      <w:r>
        <w:rPr>
          <w:rFonts w:hint="eastAsia" w:ascii="宋体" w:hAnsi="宋体" w:eastAsia="宋体" w:cs="宋体"/>
          <w:b w:val="0"/>
          <w:color w:val="auto"/>
          <w:sz w:val="22"/>
          <w:highlight w:val="none"/>
          <w:lang w:val="zh-CN"/>
        </w:rPr>
        <w:t>等严重安全隐患的点位，中标方发现后必须在1小时内做好安全维护，并原则上在24小时内修复到位（需预制构件除外），如因中标方未及时发现病害或修复不及时而造成的后果，应由中标方承担。</w:t>
      </w:r>
    </w:p>
    <w:p w14:paraId="626260AF">
      <w:pPr>
        <w:keepNext w:val="0"/>
        <w:keepLines w:val="0"/>
        <w:pageBreakBefore w:val="0"/>
        <w:kinsoku/>
        <w:wordWrap/>
        <w:overflowPunct/>
        <w:topLinePunct w:val="0"/>
        <w:autoSpaceDE w:val="0"/>
        <w:autoSpaceDN w:val="0"/>
        <w:bidi w:val="0"/>
        <w:adjustRightInd w:val="0"/>
        <w:snapToGrid/>
        <w:spacing w:line="360" w:lineRule="auto"/>
        <w:ind w:firstLine="440" w:firstLineChars="200"/>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b、道路日常维修与养护巡查工作要求</w:t>
      </w:r>
    </w:p>
    <w:p w14:paraId="22127056">
      <w:pPr>
        <w:keepNext w:val="0"/>
        <w:keepLines w:val="0"/>
        <w:pageBreakBefore w:val="0"/>
        <w:kinsoku/>
        <w:wordWrap/>
        <w:overflowPunct/>
        <w:topLinePunct w:val="0"/>
        <w:autoSpaceDE w:val="0"/>
        <w:autoSpaceDN w:val="0"/>
        <w:bidi w:val="0"/>
        <w:adjustRightInd w:val="0"/>
        <w:snapToGrid/>
        <w:spacing w:line="360" w:lineRule="auto"/>
        <w:ind w:firstLine="440" w:firstLineChars="200"/>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中标方派出的道路日常维修与养护负责人员应为经过培训的专职道路管理人员并须具有一定道路施工经验的工程技术人员（其中具备工程师及以上职称的不少于1人），对拟派人员须提供资质证明，每次道路巡查人员需1-2人，并做好道巡查记录，每个月3日前上报上月日报表给</w:t>
      </w:r>
      <w:r>
        <w:rPr>
          <w:rFonts w:hint="eastAsia" w:ascii="宋体" w:hAnsi="宋体" w:cs="宋体"/>
          <w:b w:val="0"/>
          <w:color w:val="auto"/>
          <w:sz w:val="22"/>
          <w:highlight w:val="none"/>
          <w:lang w:val="en-US" w:eastAsia="zh-CN"/>
        </w:rPr>
        <w:t>采购人</w:t>
      </w:r>
      <w:r>
        <w:rPr>
          <w:rFonts w:hint="eastAsia" w:ascii="宋体" w:hAnsi="宋体" w:eastAsia="宋体" w:cs="宋体"/>
          <w:b w:val="0"/>
          <w:color w:val="auto"/>
          <w:sz w:val="22"/>
          <w:highlight w:val="none"/>
          <w:lang w:val="zh-CN"/>
        </w:rPr>
        <w:t>；若在巡检过程中发现结构性病害应第一时间告知</w:t>
      </w:r>
      <w:r>
        <w:rPr>
          <w:rFonts w:hint="eastAsia" w:ascii="宋体" w:hAnsi="宋体" w:cs="宋体"/>
          <w:b w:val="0"/>
          <w:color w:val="auto"/>
          <w:sz w:val="22"/>
          <w:highlight w:val="none"/>
          <w:lang w:val="en-US" w:eastAsia="zh-CN"/>
        </w:rPr>
        <w:t>采购人</w:t>
      </w:r>
      <w:r>
        <w:rPr>
          <w:rFonts w:hint="eastAsia" w:ascii="宋体" w:hAnsi="宋体" w:eastAsia="宋体" w:cs="宋体"/>
          <w:b w:val="0"/>
          <w:color w:val="auto"/>
          <w:sz w:val="22"/>
          <w:highlight w:val="none"/>
          <w:lang w:val="zh-CN"/>
        </w:rPr>
        <w:t>，以便及时消除隐患。</w:t>
      </w:r>
      <w:r>
        <w:rPr>
          <w:rFonts w:hint="default" w:ascii="宋体" w:hAnsi="宋体" w:eastAsia="宋体" w:cs="宋体"/>
          <w:b w:val="0"/>
          <w:color w:val="auto"/>
          <w:sz w:val="22"/>
          <w:highlight w:val="none"/>
          <w:lang w:val="en-US"/>
        </w:rPr>
        <w:t>道路日常维修与养护单位</w:t>
      </w:r>
      <w:r>
        <w:rPr>
          <w:rFonts w:hint="eastAsia" w:ascii="宋体" w:hAnsi="宋体" w:eastAsia="宋体" w:cs="宋体"/>
          <w:b w:val="0"/>
          <w:color w:val="auto"/>
          <w:sz w:val="22"/>
          <w:highlight w:val="none"/>
          <w:lang w:val="zh-CN"/>
        </w:rPr>
        <w:t>须配备满足日常巡查养护必须的巡查养护车辆及各类小型工、器具等，且维修与养护单位的道路日常维修与养护巡查人员和车辆应随时配合采购人对道路的道路日常维修与养护巡查检查工作。</w:t>
      </w:r>
      <w:r>
        <w:rPr>
          <w:rFonts w:hint="eastAsia" w:ascii="宋体" w:hAnsi="宋体" w:cs="宋体"/>
          <w:b w:val="0"/>
          <w:color w:val="auto"/>
          <w:sz w:val="22"/>
          <w:highlight w:val="none"/>
          <w:lang w:val="en-US" w:eastAsia="zh-CN"/>
        </w:rPr>
        <w:t>同时另需配备不少于1名人员，须常驻采购人单位配合采购人</w:t>
      </w:r>
      <w:r>
        <w:rPr>
          <w:rFonts w:hint="eastAsia" w:ascii="宋体" w:hAnsi="宋体" w:eastAsia="宋体" w:cs="宋体"/>
          <w:b w:val="0"/>
          <w:color w:val="auto"/>
          <w:sz w:val="22"/>
          <w:highlight w:val="none"/>
          <w:lang w:val="zh-CN"/>
        </w:rPr>
        <w:t>道路日常</w:t>
      </w:r>
      <w:r>
        <w:rPr>
          <w:rFonts w:hint="eastAsia" w:ascii="宋体" w:hAnsi="宋体" w:cs="宋体"/>
          <w:b w:val="0"/>
          <w:color w:val="auto"/>
          <w:sz w:val="22"/>
          <w:highlight w:val="none"/>
          <w:lang w:val="en-US" w:eastAsia="zh-CN"/>
        </w:rPr>
        <w:t>监管和内页整理工作。</w:t>
      </w:r>
      <w:r>
        <w:rPr>
          <w:rFonts w:hint="eastAsia" w:ascii="宋体" w:hAnsi="宋体" w:eastAsia="宋体" w:cs="宋体"/>
          <w:b w:val="0"/>
          <w:color w:val="auto"/>
          <w:sz w:val="22"/>
          <w:highlight w:val="none"/>
          <w:lang w:val="zh-CN"/>
        </w:rPr>
        <w:t xml:space="preserve">考核内容：具体以考核表为准。 </w:t>
      </w:r>
    </w:p>
    <w:p w14:paraId="31004CF2">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c、人员管理和安全教育</w:t>
      </w:r>
    </w:p>
    <w:p w14:paraId="39D53AA7">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中标方按实际上岗人数自行到有关部门申办用工手续、员工劳动保险手续和暂住证手续等；应严格按照劳工法律各条规定逐条落实一线作业人员工资、岗位津贴、福利待遇、社会保险等要求，安排好属下人员的住宿和教育管理工作，如发生违纪违法事件，由中标方承担一切经济责任和法律责任。中标方需加强安全教育工作，配置安全设施，确保安全施工巡检，预防发生事故，如一旦发生人员伤亡事故，由中标方自行负责处理并承担责任。</w:t>
      </w:r>
    </w:p>
    <w:p w14:paraId="5B3A3D19">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 xml:space="preserve">二、考核及处罚标准 </w:t>
      </w:r>
    </w:p>
    <w:p w14:paraId="495042A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highlight w:val="none"/>
          <w:lang w:val="zh-CN"/>
        </w:rPr>
        <w:t>1、采购人组成的考核小组按照区市政公用处《市政设施日常养护单位养护考核标准》对中标供应商进行考核。</w:t>
      </w:r>
      <w:r>
        <w:rPr>
          <w:rFonts w:hint="eastAsia" w:ascii="宋体" w:hAnsi="宋体" w:eastAsia="宋体" w:cs="宋体"/>
          <w:b w:val="0"/>
          <w:color w:val="auto"/>
          <w:sz w:val="22"/>
          <w:szCs w:val="22"/>
          <w:highlight w:val="none"/>
        </w:rPr>
        <w:t>考核组成如下：</w:t>
      </w:r>
    </w:p>
    <w:tbl>
      <w:tblPr>
        <w:tblStyle w:val="62"/>
        <w:tblW w:w="98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224"/>
        <w:gridCol w:w="4475"/>
        <w:gridCol w:w="2657"/>
        <w:gridCol w:w="771"/>
      </w:tblGrid>
      <w:tr w14:paraId="4043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9892" w:type="dxa"/>
            <w:gridSpan w:val="5"/>
            <w:tcBorders>
              <w:top w:val="nil"/>
              <w:left w:val="nil"/>
              <w:bottom w:val="nil"/>
              <w:right w:val="nil"/>
            </w:tcBorders>
            <w:shd w:val="clear" w:color="auto" w:fill="auto"/>
            <w:noWrap/>
            <w:vAlign w:val="center"/>
          </w:tcPr>
          <w:p w14:paraId="0D92F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市政设施日常养护考核标准</w:t>
            </w:r>
          </w:p>
        </w:tc>
      </w:tr>
      <w:tr w14:paraId="2718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92" w:type="dxa"/>
            <w:gridSpan w:val="5"/>
            <w:tcBorders>
              <w:top w:val="nil"/>
              <w:left w:val="nil"/>
              <w:bottom w:val="nil"/>
              <w:right w:val="nil"/>
            </w:tcBorders>
            <w:shd w:val="clear" w:color="auto" w:fill="auto"/>
            <w:vAlign w:val="center"/>
          </w:tcPr>
          <w:p w14:paraId="1E4AF5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工程名称：                                                              被考核单位：                                   </w:t>
            </w:r>
          </w:p>
        </w:tc>
      </w:tr>
      <w:tr w14:paraId="1BF8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5" w:type="dxa"/>
            <w:tcBorders>
              <w:top w:val="single" w:color="000000" w:sz="8" w:space="0"/>
              <w:left w:val="single" w:color="000000" w:sz="8" w:space="0"/>
              <w:bottom w:val="single" w:color="000000" w:sz="8" w:space="0"/>
              <w:right w:val="single" w:color="000000" w:sz="4" w:space="0"/>
            </w:tcBorders>
            <w:shd w:val="clear" w:color="auto" w:fill="auto"/>
            <w:vAlign w:val="center"/>
          </w:tcPr>
          <w:p w14:paraId="7E0DBD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99" w:type="dxa"/>
            <w:gridSpan w:val="2"/>
            <w:tcBorders>
              <w:top w:val="single" w:color="000000" w:sz="8" w:space="0"/>
              <w:left w:val="single" w:color="000000" w:sz="4" w:space="0"/>
              <w:bottom w:val="single" w:color="000000" w:sz="8" w:space="0"/>
              <w:right w:val="single" w:color="000000" w:sz="4" w:space="0"/>
            </w:tcBorders>
            <w:shd w:val="clear" w:color="auto" w:fill="auto"/>
            <w:vAlign w:val="center"/>
          </w:tcPr>
          <w:p w14:paraId="004E1F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评价项目及内容</w:t>
            </w: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F2EA1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评价标准</w:t>
            </w:r>
          </w:p>
        </w:tc>
        <w:tc>
          <w:tcPr>
            <w:tcW w:w="771"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BA4A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扣分值</w:t>
            </w:r>
          </w:p>
        </w:tc>
      </w:tr>
      <w:tr w14:paraId="096C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vMerge w:val="restart"/>
            <w:tcBorders>
              <w:top w:val="nil"/>
              <w:left w:val="single" w:color="000000" w:sz="8" w:space="0"/>
              <w:bottom w:val="single" w:color="000000" w:sz="4" w:space="0"/>
              <w:right w:val="single" w:color="000000" w:sz="4" w:space="0"/>
            </w:tcBorders>
            <w:shd w:val="clear" w:color="auto" w:fill="auto"/>
            <w:vAlign w:val="center"/>
          </w:tcPr>
          <w:p w14:paraId="2AD302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224" w:type="dxa"/>
            <w:vMerge w:val="restart"/>
            <w:tcBorders>
              <w:top w:val="nil"/>
              <w:left w:val="single" w:color="000000" w:sz="4" w:space="0"/>
              <w:bottom w:val="single" w:color="000000" w:sz="4" w:space="0"/>
              <w:right w:val="single" w:color="000000" w:sz="4" w:space="0"/>
            </w:tcBorders>
            <w:shd w:val="clear" w:color="auto" w:fill="auto"/>
            <w:vAlign w:val="center"/>
          </w:tcPr>
          <w:p w14:paraId="6B6E4A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修复进度及工程资料（15分）</w:t>
            </w:r>
          </w:p>
        </w:tc>
        <w:tc>
          <w:tcPr>
            <w:tcW w:w="4475" w:type="dxa"/>
            <w:tcBorders>
              <w:top w:val="nil"/>
              <w:left w:val="single" w:color="000000" w:sz="4" w:space="0"/>
              <w:bottom w:val="single" w:color="000000" w:sz="4" w:space="0"/>
              <w:right w:val="single" w:color="000000" w:sz="4" w:space="0"/>
            </w:tcBorders>
            <w:shd w:val="clear" w:color="auto" w:fill="auto"/>
            <w:vAlign w:val="center"/>
          </w:tcPr>
          <w:p w14:paraId="4B39F5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1.联系单出具后，</w:t>
            </w:r>
            <w:r>
              <w:rPr>
                <w:rFonts w:hint="default" w:ascii="宋体" w:hAnsi="宋体" w:eastAsia="宋体" w:cs="宋体"/>
                <w:i w:val="0"/>
                <w:iCs w:val="0"/>
                <w:color w:val="auto"/>
                <w:kern w:val="0"/>
                <w:sz w:val="21"/>
                <w:szCs w:val="21"/>
                <w:highlight w:val="none"/>
                <w:u w:val="none"/>
                <w:lang w:val="en-US" w:eastAsia="zh-CN" w:bidi="ar"/>
              </w:rPr>
              <w:t>维修与养护单位</w:t>
            </w:r>
            <w:r>
              <w:rPr>
                <w:rFonts w:hint="eastAsia" w:ascii="宋体" w:hAnsi="宋体" w:eastAsia="宋体" w:cs="宋体"/>
                <w:i w:val="0"/>
                <w:iCs w:val="0"/>
                <w:color w:val="auto"/>
                <w:kern w:val="0"/>
                <w:sz w:val="21"/>
                <w:szCs w:val="21"/>
                <w:highlight w:val="none"/>
                <w:u w:val="none"/>
                <w:lang w:val="en-US" w:eastAsia="zh-CN" w:bidi="ar"/>
              </w:rPr>
              <w:t>必须在5个工作日内协同委托方进行现场查看，并编排《项目进度计划表》，及时做好备料准备，不得无故拖延。</w:t>
            </w:r>
          </w:p>
        </w:tc>
        <w:tc>
          <w:tcPr>
            <w:tcW w:w="2657" w:type="dxa"/>
            <w:tcBorders>
              <w:top w:val="nil"/>
              <w:left w:val="single" w:color="000000" w:sz="4" w:space="0"/>
              <w:bottom w:val="single" w:color="000000" w:sz="4" w:space="0"/>
              <w:right w:val="single" w:color="000000" w:sz="4" w:space="0"/>
            </w:tcBorders>
            <w:shd w:val="clear" w:color="auto" w:fill="auto"/>
            <w:vAlign w:val="center"/>
          </w:tcPr>
          <w:p w14:paraId="5A247D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违反规定一次，扣1分。</w:t>
            </w:r>
          </w:p>
        </w:tc>
        <w:tc>
          <w:tcPr>
            <w:tcW w:w="0" w:type="auto"/>
            <w:tcBorders>
              <w:top w:val="nil"/>
              <w:left w:val="single" w:color="000000" w:sz="4" w:space="0"/>
              <w:bottom w:val="single" w:color="000000" w:sz="4" w:space="0"/>
              <w:right w:val="single" w:color="000000" w:sz="8" w:space="0"/>
            </w:tcBorders>
            <w:shd w:val="clear" w:color="auto" w:fill="auto"/>
            <w:noWrap/>
            <w:vAlign w:val="center"/>
          </w:tcPr>
          <w:p w14:paraId="664518E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5E4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11D67AD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68C95CB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2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2.少于10平方米的日常零星维修工程，需按照《温州市城市道路市政设施精细化管理标准》的处置时限控制工期，其中人行道坑洞3天、沉陷5天等（具体参照标准）。</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4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不同病害类型，超过相应工期的，每出现一次，扣1分。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CE1DEA">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A5E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635B471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646F20E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30AD68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大于</w:t>
            </w: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平方米的日常零星维修工程，根据经业务科室现场管理人员备案确认的《项目进度计划表》对各工期节点进行考核，考核人员应严格按照《项目进度计划表》进行控制。</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4DC275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节点未按期完成施工的，扣1分，后续每超一周补扣1分，以此类推，扣完为止。</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7EE950E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1126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03F4769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26B3248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6336D3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4.零星维修工程完工后，必须在15天内将验收单上报，并附表（明细清单）；非零星工程需在施工完成后3个月内上报竣工图、自检资料、试验材料等资料；验收单签订后，必须在3个</w:t>
            </w:r>
            <w:r>
              <w:rPr>
                <w:rFonts w:hint="eastAsia" w:ascii="宋体" w:hAnsi="宋体" w:cs="宋体"/>
                <w:i w:val="0"/>
                <w:iCs w:val="0"/>
                <w:color w:val="auto"/>
                <w:kern w:val="0"/>
                <w:sz w:val="21"/>
                <w:szCs w:val="21"/>
                <w:highlight w:val="none"/>
                <w:u w:val="none"/>
                <w:lang w:val="en-US" w:eastAsia="zh-CN" w:bidi="ar"/>
              </w:rPr>
              <w:t>（月）</w:t>
            </w:r>
            <w:r>
              <w:rPr>
                <w:rFonts w:hint="eastAsia" w:ascii="宋体" w:hAnsi="宋体" w:eastAsia="宋体" w:cs="宋体"/>
                <w:i w:val="0"/>
                <w:iCs w:val="0"/>
                <w:color w:val="auto"/>
                <w:kern w:val="0"/>
                <w:sz w:val="21"/>
                <w:szCs w:val="21"/>
                <w:highlight w:val="none"/>
                <w:u w:val="none"/>
                <w:lang w:val="en-US" w:eastAsia="zh-CN" w:bidi="ar"/>
              </w:rPr>
              <w:t>内上报竣工结算。</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0C7B44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超过规定时间，或资料不齐的，每次扣1分。</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774D425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B18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65" w:type="dxa"/>
            <w:vMerge w:val="continue"/>
            <w:tcBorders>
              <w:top w:val="nil"/>
              <w:left w:val="single" w:color="000000" w:sz="8" w:space="0"/>
              <w:bottom w:val="single" w:color="000000" w:sz="4" w:space="0"/>
              <w:right w:val="single" w:color="000000" w:sz="4" w:space="0"/>
            </w:tcBorders>
            <w:shd w:val="clear" w:color="auto" w:fill="auto"/>
            <w:vAlign w:val="center"/>
          </w:tcPr>
          <w:p w14:paraId="713A39A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nil"/>
              <w:left w:val="single" w:color="000000" w:sz="4" w:space="0"/>
              <w:bottom w:val="single" w:color="000000" w:sz="4" w:space="0"/>
              <w:right w:val="single" w:color="000000" w:sz="4" w:space="0"/>
            </w:tcBorders>
            <w:shd w:val="clear" w:color="auto" w:fill="auto"/>
            <w:vAlign w:val="center"/>
          </w:tcPr>
          <w:p w14:paraId="3A996C7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nil"/>
              <w:right w:val="single" w:color="000000" w:sz="4" w:space="0"/>
            </w:tcBorders>
            <w:shd w:val="clear" w:color="auto" w:fill="auto"/>
            <w:vAlign w:val="center"/>
          </w:tcPr>
          <w:p w14:paraId="0A6256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5.零星维修工程施工时，每处必须有对比照片，包括施工前后对比照片，以便在工程核对时准确把关（具体表格附后,以电子版为主）</w:t>
            </w:r>
          </w:p>
        </w:tc>
        <w:tc>
          <w:tcPr>
            <w:tcW w:w="2657" w:type="dxa"/>
            <w:tcBorders>
              <w:top w:val="single" w:color="000000" w:sz="4" w:space="0"/>
              <w:left w:val="single" w:color="000000" w:sz="4" w:space="0"/>
              <w:bottom w:val="nil"/>
              <w:right w:val="single" w:color="000000" w:sz="4" w:space="0"/>
            </w:tcBorders>
            <w:shd w:val="clear" w:color="auto" w:fill="auto"/>
            <w:vAlign w:val="center"/>
          </w:tcPr>
          <w:p w14:paraId="384A44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照片不齐的，每次扣1分，没照片的扣2分。</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37AF103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2E0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9" w:type="dxa"/>
            <w:gridSpan w:val="2"/>
            <w:tcBorders>
              <w:top w:val="single" w:color="000000" w:sz="8" w:space="0"/>
              <w:left w:val="single" w:color="000000" w:sz="8" w:space="0"/>
              <w:bottom w:val="nil"/>
              <w:right w:val="single" w:color="000000" w:sz="4" w:space="0"/>
            </w:tcBorders>
            <w:shd w:val="clear" w:color="auto" w:fill="auto"/>
            <w:vAlign w:val="center"/>
          </w:tcPr>
          <w:p w14:paraId="7B9317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nil"/>
              <w:right w:val="single" w:color="000000" w:sz="4" w:space="0"/>
            </w:tcBorders>
            <w:shd w:val="clear" w:color="auto" w:fill="auto"/>
            <w:vAlign w:val="center"/>
          </w:tcPr>
          <w:p w14:paraId="03EA63EA">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nil"/>
              <w:right w:val="single" w:color="000000" w:sz="4" w:space="0"/>
            </w:tcBorders>
            <w:shd w:val="clear" w:color="auto" w:fill="auto"/>
            <w:vAlign w:val="center"/>
          </w:tcPr>
          <w:p w14:paraId="7932CB55">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nil"/>
              <w:right w:val="single" w:color="000000" w:sz="8" w:space="0"/>
            </w:tcBorders>
            <w:shd w:val="clear" w:color="auto" w:fill="auto"/>
            <w:noWrap/>
            <w:vAlign w:val="center"/>
          </w:tcPr>
          <w:p w14:paraId="5D115505">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4245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6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AD11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2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37DF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修复质量（15分）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E1995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工程施工材料（如花岗岩等铺装材料厚度，油漆品种等）、结构层厚度（混凝土路面厚度等）等主要标准，需满足《市政工程质量评定与验收标准》规定，</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33A91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每低于规定低值5%，扣3分，以此类推（如10%，扣6分），扣完为止（强制性指标如强度等不符合的，需全部返工，且扣12分）。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02F4378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31D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76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1C37A2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EA7341">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5A89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道路车行道路面铺筑应平整、密实，道路纵坡、横坡顺适，无行车障碍与安全隐患，路面不积水；人行道方砖道面、路缘石、树池挡板应做到表面接头平整、安砌牢固、纵横缝均匀、直顺、灌缝饱满；构件油漆应除锈到位，油漆道数足够等，具体修复表观质量按照《城镇道路养护技术规范》《城市桥梁养护技术标准》及其他施工验收规范等执行。</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BAC8A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修补质量达不到要求的，发现一次，扣1分且必须返工处理；返工后仍达不到要求的，扣3分；因修补质量达不到要求，造成居民生命、财产损失的，扣5分。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0C0B98B8">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401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89" w:type="dxa"/>
            <w:gridSpan w:val="2"/>
            <w:tcBorders>
              <w:top w:val="nil"/>
              <w:left w:val="single" w:color="000000" w:sz="4" w:space="0"/>
              <w:bottom w:val="nil"/>
              <w:right w:val="single" w:color="000000" w:sz="4" w:space="0"/>
            </w:tcBorders>
            <w:shd w:val="clear" w:color="auto" w:fill="auto"/>
            <w:vAlign w:val="center"/>
          </w:tcPr>
          <w:p w14:paraId="291CA3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nil"/>
              <w:right w:val="single" w:color="000000" w:sz="4" w:space="0"/>
            </w:tcBorders>
            <w:shd w:val="clear" w:color="auto" w:fill="auto"/>
            <w:vAlign w:val="center"/>
          </w:tcPr>
          <w:p w14:paraId="332E087C">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nil"/>
              <w:right w:val="single" w:color="000000" w:sz="4" w:space="0"/>
            </w:tcBorders>
            <w:shd w:val="clear" w:color="auto" w:fill="auto"/>
            <w:vAlign w:val="center"/>
          </w:tcPr>
          <w:p w14:paraId="77C9F74E">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nil"/>
              <w:right w:val="single" w:color="000000" w:sz="4" w:space="0"/>
            </w:tcBorders>
            <w:shd w:val="clear" w:color="auto" w:fill="auto"/>
            <w:noWrap/>
            <w:vAlign w:val="center"/>
          </w:tcPr>
          <w:p w14:paraId="5995B6F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0EE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0B1743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12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246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安全、文明施工管理（35分）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9F99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1.施工期间，必须在开挖修复区域设置规定的防护措施（按照温州市城市道路挖掘管理规定等执行，包括围挡、警示标志等），以保证过往行人及车辆通行安全。</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24B0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防护措施不到位或防护措施破损未及时修复或不整洁的，发现一起扣1分；未设置防护措施的，发现一起扣2分；各类检查期间防护措施不到位的，扣5分。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06CE3775">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457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4C69C8F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42265F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71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2.对于施工时间超过15天的维养工程，</w:t>
            </w:r>
            <w:r>
              <w:rPr>
                <w:rFonts w:hint="default" w:ascii="宋体" w:hAnsi="宋体" w:eastAsia="宋体" w:cs="宋体"/>
                <w:i w:val="0"/>
                <w:iCs w:val="0"/>
                <w:color w:val="auto"/>
                <w:kern w:val="0"/>
                <w:sz w:val="21"/>
                <w:szCs w:val="21"/>
                <w:highlight w:val="none"/>
                <w:u w:val="none"/>
                <w:lang w:val="en-US" w:eastAsia="zh-CN" w:bidi="ar"/>
              </w:rPr>
              <w:t>维修与养护单位</w:t>
            </w:r>
            <w:r>
              <w:rPr>
                <w:rFonts w:hint="eastAsia" w:ascii="宋体" w:hAnsi="宋体" w:eastAsia="宋体" w:cs="宋体"/>
                <w:i w:val="0"/>
                <w:iCs w:val="0"/>
                <w:color w:val="auto"/>
                <w:kern w:val="0"/>
                <w:sz w:val="21"/>
                <w:szCs w:val="21"/>
                <w:highlight w:val="none"/>
                <w:u w:val="none"/>
                <w:lang w:val="en-US" w:eastAsia="zh-CN" w:bidi="ar"/>
              </w:rPr>
              <w:t>要设置公示牌（工程两端面向道路来车方向各设置一块），公布负责人、监督电话和施工期限，以备巡视、督查时验查和市民监督。</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7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未设置公示牌的，发现一起扣1分。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28744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9FD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B7400A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AEACF5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A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3.各类材料、机具设备按规定整齐堆放，不得随意侵占道路及安全防护等设施。</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5D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随意侵占其他道路资源的，发现一起扣1分。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4C7D5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C7E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397F04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AD8B06">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48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4.施工期间，严格落实安全生产措施，严格执行安全生产规程，严防安全事故发生。</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16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安全生产措施或安全规程执行不到位的，每次最低扣2分；发生安全事故的，每次最低扣10分。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694E7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7B8F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37960D0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8CFAA5">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A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5.禁止直接在路面上拌和砂浆与水泥混凝土，并尽量控制扬尘和噪音。</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BE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施工造成路面扬尘或严重噪音，而不加以控制的，发现一起扣1分；直接在路面上搅拌砂浆或混凝土的，发现一起扣2分。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BAB3A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6DD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642ADC1">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A4D284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78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6.施工中产生的各类垃圾应及时清运，严禁随意堆放。</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26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垃圾未及时清运并未做好防护措施，或已做好防护措施，但侵占盲道等公共资源的，发现一起扣1分。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B87EFA">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CD9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96CE03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50829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FD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7.施工（养护）作业人员上岗前必须进行安全教育和技术培训，进入施工作业现场内的人员，必须穿戴具有反光功能、统一的安全标志服或反光背心等。</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80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违反规定一次，扣1分。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77571D">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6EE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27CF7170">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EE9D3A">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0B7A0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8.制定安全生产方面的各项规章制度、预案等内控措施，提交备案。</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655B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未提交备案的，扣5分。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019C5B92">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A2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989" w:type="dxa"/>
            <w:gridSpan w:val="2"/>
            <w:tcBorders>
              <w:top w:val="nil"/>
              <w:left w:val="single" w:color="000000" w:sz="8" w:space="0"/>
              <w:bottom w:val="single" w:color="000000" w:sz="8" w:space="0"/>
              <w:right w:val="single" w:color="000000" w:sz="4" w:space="0"/>
            </w:tcBorders>
            <w:shd w:val="clear" w:color="auto" w:fill="auto"/>
            <w:vAlign w:val="center"/>
          </w:tcPr>
          <w:p w14:paraId="6FE60E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single" w:color="000000" w:sz="8" w:space="0"/>
              <w:right w:val="single" w:color="000000" w:sz="4" w:space="0"/>
            </w:tcBorders>
            <w:shd w:val="clear" w:color="auto" w:fill="auto"/>
            <w:vAlign w:val="center"/>
          </w:tcPr>
          <w:p w14:paraId="3D8304FF">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single" w:color="000000" w:sz="8" w:space="0"/>
              <w:right w:val="single" w:color="000000" w:sz="4" w:space="0"/>
            </w:tcBorders>
            <w:shd w:val="clear" w:color="auto" w:fill="auto"/>
            <w:vAlign w:val="center"/>
          </w:tcPr>
          <w:p w14:paraId="51EE2DF3">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single" w:color="000000" w:sz="8" w:space="0"/>
              <w:right w:val="single" w:color="000000" w:sz="8" w:space="0"/>
            </w:tcBorders>
            <w:shd w:val="clear" w:color="auto" w:fill="auto"/>
            <w:noWrap/>
            <w:vAlign w:val="center"/>
          </w:tcPr>
          <w:p w14:paraId="4E00310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0E80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A363E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122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398068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日常巡查（10分）</w:t>
            </w:r>
          </w:p>
        </w:tc>
        <w:tc>
          <w:tcPr>
            <w:tcW w:w="4475" w:type="dxa"/>
            <w:tcBorders>
              <w:top w:val="single" w:color="000000" w:sz="8" w:space="0"/>
              <w:left w:val="single" w:color="000000" w:sz="4" w:space="0"/>
              <w:bottom w:val="nil"/>
              <w:right w:val="single" w:color="000000" w:sz="4" w:space="0"/>
            </w:tcBorders>
            <w:shd w:val="clear" w:color="auto" w:fill="auto"/>
            <w:vAlign w:val="center"/>
          </w:tcPr>
          <w:p w14:paraId="7D8B59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1.按照市级部门考核要求，对于辖区内市政设施进行定期巡查，确保市政设施巡检频次达到规范要求。</w:t>
            </w:r>
          </w:p>
        </w:tc>
        <w:tc>
          <w:tcPr>
            <w:tcW w:w="2657" w:type="dxa"/>
            <w:tcBorders>
              <w:top w:val="single" w:color="000000" w:sz="8" w:space="0"/>
              <w:left w:val="single" w:color="000000" w:sz="4" w:space="0"/>
              <w:bottom w:val="nil"/>
              <w:right w:val="single" w:color="000000" w:sz="4" w:space="0"/>
            </w:tcBorders>
            <w:shd w:val="clear" w:color="auto" w:fill="auto"/>
            <w:vAlign w:val="center"/>
          </w:tcPr>
          <w:p w14:paraId="0A6FB2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未在指定周期内完成巡查的，每条（座）设施每次扣1分</w:t>
            </w:r>
          </w:p>
        </w:tc>
        <w:tc>
          <w:tcPr>
            <w:tcW w:w="0" w:type="auto"/>
            <w:tcBorders>
              <w:top w:val="single" w:color="000000" w:sz="8" w:space="0"/>
              <w:left w:val="single" w:color="000000" w:sz="4" w:space="0"/>
              <w:bottom w:val="nil"/>
              <w:right w:val="single" w:color="000000" w:sz="8" w:space="0"/>
            </w:tcBorders>
            <w:shd w:val="clear" w:color="auto" w:fill="auto"/>
            <w:noWrap/>
            <w:vAlign w:val="center"/>
          </w:tcPr>
          <w:p w14:paraId="5B6095B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A41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0E3BC696">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16B64DB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07D673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加强对道路完好率较差道路的巡查，及时发现道路、桥梁病害、无障碍设施完好情况，并上报处置。</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E2B2C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明显问题未在巡查周期内及时发现，造成恶劣影响的，每次扣5分。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663059A">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5E22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89" w:type="dxa"/>
            <w:gridSpan w:val="2"/>
            <w:tcBorders>
              <w:top w:val="nil"/>
              <w:left w:val="single" w:color="000000" w:sz="8" w:space="0"/>
              <w:bottom w:val="nil"/>
              <w:right w:val="single" w:color="000000" w:sz="4" w:space="0"/>
            </w:tcBorders>
            <w:shd w:val="clear" w:color="auto" w:fill="auto"/>
            <w:vAlign w:val="center"/>
          </w:tcPr>
          <w:p w14:paraId="635820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nil"/>
              <w:left w:val="single" w:color="000000" w:sz="4" w:space="0"/>
              <w:bottom w:val="nil"/>
              <w:right w:val="single" w:color="000000" w:sz="4" w:space="0"/>
            </w:tcBorders>
            <w:shd w:val="clear" w:color="auto" w:fill="auto"/>
            <w:vAlign w:val="center"/>
          </w:tcPr>
          <w:p w14:paraId="7E39BE22">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nil"/>
              <w:left w:val="single" w:color="000000" w:sz="4" w:space="0"/>
              <w:bottom w:val="nil"/>
              <w:right w:val="single" w:color="000000" w:sz="4" w:space="0"/>
            </w:tcBorders>
            <w:shd w:val="clear" w:color="auto" w:fill="auto"/>
            <w:vAlign w:val="center"/>
          </w:tcPr>
          <w:p w14:paraId="41785638">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nil"/>
              <w:left w:val="single" w:color="000000" w:sz="4" w:space="0"/>
              <w:bottom w:val="nil"/>
              <w:right w:val="single" w:color="000000" w:sz="8" w:space="0"/>
            </w:tcBorders>
            <w:shd w:val="clear" w:color="auto" w:fill="auto"/>
            <w:noWrap/>
            <w:vAlign w:val="center"/>
          </w:tcPr>
          <w:p w14:paraId="4B5454E3">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BAB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2C7B62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w:t>
            </w:r>
          </w:p>
        </w:tc>
        <w:tc>
          <w:tcPr>
            <w:tcW w:w="122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3954F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数字城管处置情况（15分）</w:t>
            </w:r>
          </w:p>
        </w:tc>
        <w:tc>
          <w:tcPr>
            <w:tcW w:w="44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7CE22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1.在规定的时限内完成数字城管案卷的处置工作。</w:t>
            </w:r>
          </w:p>
        </w:tc>
        <w:tc>
          <w:tcPr>
            <w:tcW w:w="265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BD4F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超期处置一件，扣2分。</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D4653EE">
            <w:pPr>
              <w:keepNext w:val="0"/>
              <w:keepLines w:val="0"/>
              <w:suppressLineNumbers w:val="0"/>
              <w:spacing w:before="0" w:beforeAutospacing="0" w:after="0" w:afterAutospacing="0"/>
              <w:ind w:left="0" w:right="0"/>
              <w:rPr>
                <w:rFonts w:hint="default" w:ascii="宋体" w:hAnsi="宋体" w:eastAsia="宋体" w:cs="宋体"/>
                <w:i w:val="0"/>
                <w:iCs w:val="0"/>
                <w:color w:val="auto"/>
                <w:sz w:val="21"/>
                <w:szCs w:val="21"/>
                <w:highlight w:val="none"/>
                <w:u w:val="none"/>
              </w:rPr>
            </w:pPr>
          </w:p>
        </w:tc>
      </w:tr>
      <w:tr w14:paraId="244E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1589EA7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55236A79">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c>
          <w:tcPr>
            <w:tcW w:w="4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57852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2.注重数字城管处置的质量，不出现返工案卷。</w:t>
            </w:r>
          </w:p>
        </w:tc>
        <w:tc>
          <w:tcPr>
            <w:tcW w:w="265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911B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因施工方原因引起的，返工一次扣3分。</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D30A86F">
            <w:pPr>
              <w:keepNext w:val="0"/>
              <w:keepLines w:val="0"/>
              <w:suppressLineNumbers w:val="0"/>
              <w:spacing w:before="0" w:beforeAutospacing="0" w:after="0" w:afterAutospacing="0"/>
              <w:ind w:left="0" w:right="0"/>
              <w:rPr>
                <w:rFonts w:hint="default" w:ascii="宋体" w:hAnsi="宋体" w:eastAsia="宋体" w:cs="宋体"/>
                <w:i w:val="0"/>
                <w:iCs w:val="0"/>
                <w:color w:val="auto"/>
                <w:sz w:val="21"/>
                <w:szCs w:val="21"/>
                <w:highlight w:val="none"/>
                <w:u w:val="none"/>
              </w:rPr>
            </w:pPr>
          </w:p>
        </w:tc>
      </w:tr>
      <w:tr w14:paraId="0888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88A0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CCD8417">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7B29E61">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14B41557">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667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6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593C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6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市政设施突发事故及自然灾害（如台风暴雨等）的应急处置情况（5分）</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D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根据处防汛防台应急预案、道桥突发事件应急预案等内容，在应急事项出现时能根据预案要求，及时开展工程抢险，并做好善后处置。</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E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未能及时赶赴现场的，扣2分；未对突发事件进行及时有效处理的或善后工作未做好，引起的事故的，扣5分。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FCF834">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C1A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B4C5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6C6B006">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1BA4CB8C">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1E5144F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3D48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8" w:space="0"/>
              <w:left w:val="single" w:color="000000" w:sz="8" w:space="0"/>
              <w:bottom w:val="nil"/>
              <w:right w:val="single" w:color="000000" w:sz="4" w:space="0"/>
            </w:tcBorders>
            <w:shd w:val="clear" w:color="auto" w:fill="auto"/>
            <w:vAlign w:val="center"/>
          </w:tcPr>
          <w:p w14:paraId="7F55D3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w:t>
            </w:r>
          </w:p>
        </w:tc>
        <w:tc>
          <w:tcPr>
            <w:tcW w:w="1224" w:type="dxa"/>
            <w:tcBorders>
              <w:top w:val="single" w:color="000000" w:sz="8" w:space="0"/>
              <w:left w:val="single" w:color="000000" w:sz="4" w:space="0"/>
              <w:bottom w:val="nil"/>
              <w:right w:val="single" w:color="000000" w:sz="4" w:space="0"/>
            </w:tcBorders>
            <w:shd w:val="clear" w:color="auto" w:fill="auto"/>
            <w:vAlign w:val="center"/>
          </w:tcPr>
          <w:p w14:paraId="1A92DC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被媒体曝光或领导发现批示（5分）</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8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加强文明、安全施工等管理工作，并做好与工程现场周边社区、居民的沟通，尽量避免投诉反映。</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64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有责投诉一次，扣1分；被媒体曝光一次，扣2.5分；领导发现批示一次，扣5分。</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03B9D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6E7D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50FCE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p>
        </w:tc>
        <w:tc>
          <w:tcPr>
            <w:tcW w:w="447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BAB97EE">
            <w:pPr>
              <w:keepNext w:val="0"/>
              <w:keepLines w:val="0"/>
              <w:suppressLineNumbers w:val="0"/>
              <w:spacing w:before="0" w:beforeAutospacing="0" w:after="0" w:afterAutospacing="0"/>
              <w:ind w:left="0" w:right="0"/>
              <w:jc w:val="left"/>
              <w:rPr>
                <w:rFonts w:hint="default" w:ascii="Times New Roman" w:hAnsi="Times New Roman" w:eastAsia="宋体" w:cs="Times New Roman"/>
                <w:i w:val="0"/>
                <w:iCs w:val="0"/>
                <w:color w:val="auto"/>
                <w:sz w:val="21"/>
                <w:szCs w:val="21"/>
                <w:highlight w:val="none"/>
                <w:u w:val="none"/>
              </w:rPr>
            </w:pPr>
          </w:p>
        </w:tc>
        <w:tc>
          <w:tcPr>
            <w:tcW w:w="265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4EA72BD">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8" w:space="0"/>
              <w:left w:val="single" w:color="000000" w:sz="4" w:space="0"/>
              <w:bottom w:val="single" w:color="000000" w:sz="8" w:space="0"/>
              <w:right w:val="single" w:color="000000" w:sz="8" w:space="0"/>
            </w:tcBorders>
            <w:shd w:val="clear" w:color="auto" w:fill="auto"/>
            <w:noWrap/>
            <w:vAlign w:val="center"/>
          </w:tcPr>
          <w:p w14:paraId="331F39CC">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00C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6502E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4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381">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74A">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21BDFF">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highlight w:val="none"/>
                <w:u w:val="none"/>
              </w:rPr>
            </w:pPr>
          </w:p>
        </w:tc>
      </w:tr>
      <w:tr w14:paraId="26C8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89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62556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说明：1.零星维修工程每月不定期考核，按月综合评价一次；套用《浙江省市政工程定额》等办理决算的，以工程为单位，每个工程评价一次，由工程业主代表综合评定；2.对故意拖延验收单不上报，以至工程量无法准确核对的（且无照片的），以现场负责人现场评判为主，对无法核对的，不予核对。3.每个评分子项累计扣分，每项扣完为止。</w:t>
            </w:r>
          </w:p>
        </w:tc>
      </w:tr>
      <w:tr w14:paraId="63AD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nil"/>
              <w:bottom w:val="nil"/>
              <w:right w:val="nil"/>
            </w:tcBorders>
            <w:shd w:val="clear" w:color="auto" w:fill="auto"/>
            <w:noWrap/>
            <w:vAlign w:val="center"/>
          </w:tcPr>
          <w:p w14:paraId="0AEFB6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考核人（工程负责人）：                                                      考核日期：</w:t>
            </w:r>
          </w:p>
        </w:tc>
      </w:tr>
    </w:tbl>
    <w:p w14:paraId="41B361BE">
      <w:pPr>
        <w:keepNext w:val="0"/>
        <w:keepLines w:val="0"/>
        <w:pageBreakBefore w:val="0"/>
        <w:kinsoku/>
        <w:wordWrap/>
        <w:overflowPunct/>
        <w:topLinePunct w:val="0"/>
        <w:autoSpaceDE w:val="0"/>
        <w:autoSpaceDN w:val="0"/>
        <w:bidi w:val="0"/>
        <w:adjustRightInd w:val="0"/>
        <w:snapToGrid/>
        <w:spacing w:line="360" w:lineRule="auto"/>
        <w:ind w:left="0" w:leftChars="0" w:firstLine="440" w:firstLineChars="200"/>
        <w:rPr>
          <w:rFonts w:hint="eastAsia" w:ascii="宋体" w:hAnsi="宋体" w:eastAsia="宋体" w:cs="宋体"/>
          <w:b w:val="0"/>
          <w:color w:val="auto"/>
          <w:sz w:val="22"/>
          <w:highlight w:val="none"/>
          <w:lang w:val="zh-CN"/>
        </w:rPr>
      </w:pPr>
      <w:r>
        <w:rPr>
          <w:rFonts w:hint="eastAsia" w:ascii="宋体" w:hAnsi="宋体" w:cs="宋体"/>
          <w:b w:val="0"/>
          <w:color w:val="auto"/>
          <w:sz w:val="22"/>
          <w:highlight w:val="none"/>
          <w:lang w:val="en-US" w:eastAsia="zh-CN"/>
        </w:rPr>
        <w:t>2</w:t>
      </w:r>
      <w:r>
        <w:rPr>
          <w:rFonts w:hint="eastAsia" w:ascii="宋体" w:hAnsi="宋体" w:eastAsia="宋体" w:cs="宋体"/>
          <w:b w:val="0"/>
          <w:color w:val="auto"/>
          <w:sz w:val="22"/>
          <w:highlight w:val="none"/>
          <w:lang w:val="zh-CN"/>
        </w:rPr>
        <w:t xml:space="preserve">、考核将采取明检、暗检相结合的方式，每月综合考评一次。如需承包公司配合的将提前一小时通知该单位派员参加。 </w:t>
      </w:r>
    </w:p>
    <w:p w14:paraId="736774D8">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cs="宋体"/>
          <w:b w:val="0"/>
          <w:color w:val="auto"/>
          <w:sz w:val="22"/>
          <w:highlight w:val="none"/>
          <w:lang w:val="en-US" w:eastAsia="zh-CN"/>
        </w:rPr>
        <w:t>3、</w:t>
      </w:r>
      <w:r>
        <w:rPr>
          <w:rFonts w:hint="eastAsia" w:ascii="宋体" w:hAnsi="宋体" w:eastAsia="宋体" w:cs="宋体"/>
          <w:b w:val="0"/>
          <w:color w:val="auto"/>
          <w:sz w:val="22"/>
          <w:highlight w:val="none"/>
        </w:rPr>
        <w:t>考核分与月合同拨付金额挂钩。月考核分90分（含）以上为合格；月考核分低于90分或数字城管处置情况低于12分的，每少1分扣除当月签订工程合同价款0.5%，当月无签订合同的，以前面一个有签订合同的自然月的合同金额，作为扣款基数（扣款</w:t>
      </w:r>
      <w:r>
        <w:rPr>
          <w:rFonts w:hint="eastAsia" w:ascii="宋体" w:hAnsi="宋体" w:cs="宋体"/>
          <w:b w:val="0"/>
          <w:color w:val="auto"/>
          <w:sz w:val="22"/>
          <w:highlight w:val="none"/>
          <w:lang w:val="en-US" w:eastAsia="zh-CN"/>
        </w:rPr>
        <w:t>比例</w:t>
      </w:r>
      <w:r>
        <w:rPr>
          <w:rFonts w:hint="eastAsia" w:ascii="宋体" w:hAnsi="宋体" w:eastAsia="宋体" w:cs="宋体"/>
          <w:b w:val="0"/>
          <w:color w:val="auto"/>
          <w:sz w:val="22"/>
          <w:highlight w:val="none"/>
        </w:rPr>
        <w:t>同上）。扣款直接在结算中予以扣除。</w:t>
      </w:r>
    </w:p>
    <w:p w14:paraId="60AA0BBE">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color w:val="auto"/>
          <w:sz w:val="22"/>
          <w:highlight w:val="none"/>
        </w:rPr>
      </w:pPr>
      <w:r>
        <w:rPr>
          <w:rFonts w:hint="eastAsia" w:ascii="宋体" w:hAnsi="宋体" w:cs="宋体"/>
          <w:b w:val="0"/>
          <w:color w:val="auto"/>
          <w:sz w:val="22"/>
          <w:highlight w:val="none"/>
          <w:lang w:val="en-US" w:eastAsia="zh-CN"/>
        </w:rPr>
        <w:t>4、</w:t>
      </w:r>
      <w:r>
        <w:rPr>
          <w:rFonts w:hint="eastAsia" w:ascii="宋体" w:hAnsi="宋体" w:eastAsia="宋体" w:cs="宋体"/>
          <w:b w:val="0"/>
          <w:color w:val="auto"/>
          <w:sz w:val="22"/>
          <w:highlight w:val="none"/>
        </w:rPr>
        <w:t>季度总分低于275分或数字城管处置情况低于38分的，下季度除应急情况外，有权不予安排其他施工任务。</w:t>
      </w:r>
    </w:p>
    <w:p w14:paraId="2A65E06D">
      <w:pPr>
        <w:keepNext w:val="0"/>
        <w:keepLines w:val="0"/>
        <w:pageBreakBefore w:val="0"/>
        <w:kinsoku/>
        <w:wordWrap/>
        <w:overflowPunct/>
        <w:topLinePunct w:val="0"/>
        <w:autoSpaceDE w:val="0"/>
        <w:autoSpaceDN w:val="0"/>
        <w:bidi w:val="0"/>
        <w:adjustRightInd w:val="0"/>
        <w:snapToGrid/>
        <w:spacing w:line="360" w:lineRule="auto"/>
        <w:ind w:left="0" w:leftChars="0" w:firstLine="440" w:firstLineChars="200"/>
        <w:rPr>
          <w:rFonts w:hint="eastAsia" w:ascii="宋体" w:hAnsi="宋体" w:eastAsia="宋体" w:cs="宋体"/>
          <w:b w:val="0"/>
          <w:color w:val="auto"/>
          <w:sz w:val="22"/>
          <w:highlight w:val="none"/>
          <w:lang w:val="zh-CN"/>
        </w:rPr>
      </w:pPr>
      <w:r>
        <w:rPr>
          <w:rFonts w:hint="eastAsia" w:ascii="宋体" w:hAnsi="宋体" w:cs="宋体"/>
          <w:b w:val="0"/>
          <w:color w:val="auto"/>
          <w:sz w:val="22"/>
          <w:highlight w:val="none"/>
          <w:lang w:val="en-US" w:eastAsia="zh-CN"/>
        </w:rPr>
        <w:t>5</w:t>
      </w:r>
      <w:r>
        <w:rPr>
          <w:rFonts w:hint="eastAsia" w:ascii="宋体" w:hAnsi="宋体" w:eastAsia="宋体" w:cs="宋体"/>
          <w:b w:val="0"/>
          <w:color w:val="auto"/>
          <w:sz w:val="22"/>
          <w:highlight w:val="none"/>
          <w:lang w:val="zh-CN"/>
        </w:rPr>
        <w:t>、中标方未按采购人要求按时完成应急维修工程的，采购人有权对合同进行终止处理，并没收履约保证金，对供应商带来的损失，均由供应商自行处理。</w:t>
      </w:r>
    </w:p>
    <w:p w14:paraId="6E5C34A4">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三、道路维修工程履约考核</w:t>
      </w:r>
    </w:p>
    <w:p w14:paraId="23631A09">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1.中标方签订合同前需提供</w:t>
      </w:r>
      <w:r>
        <w:rPr>
          <w:rFonts w:hint="eastAsia" w:ascii="宋体" w:hAnsi="宋体" w:eastAsia="宋体" w:cs="宋体"/>
          <w:b w:val="0"/>
          <w:color w:val="auto"/>
          <w:sz w:val="22"/>
          <w:highlight w:val="none"/>
          <w:lang w:val="en-US" w:eastAsia="zh-CN"/>
        </w:rPr>
        <w:t>合同额1%</w:t>
      </w:r>
      <w:r>
        <w:rPr>
          <w:rFonts w:hint="eastAsia" w:ascii="宋体" w:hAnsi="宋体" w:eastAsia="宋体" w:cs="宋体"/>
          <w:b w:val="0"/>
          <w:color w:val="auto"/>
          <w:sz w:val="22"/>
          <w:highlight w:val="none"/>
        </w:rPr>
        <w:t>的履约保证金(现金或转账或保函形式)。履约保证金</w:t>
      </w:r>
      <w:r>
        <w:rPr>
          <w:rFonts w:hint="eastAsia" w:ascii="宋体" w:hAnsi="宋体" w:eastAsia="宋体" w:cs="宋体"/>
          <w:b w:val="0"/>
          <w:color w:val="auto"/>
          <w:sz w:val="22"/>
          <w:highlight w:val="none"/>
          <w:lang w:val="en-US" w:eastAsia="zh-CN"/>
        </w:rPr>
        <w:t>在</w:t>
      </w:r>
      <w:r>
        <w:rPr>
          <w:rFonts w:hint="eastAsia" w:ascii="宋体" w:hAnsi="宋体" w:eastAsia="宋体" w:cs="宋体"/>
          <w:b w:val="0"/>
          <w:color w:val="auto"/>
          <w:sz w:val="22"/>
          <w:highlight w:val="none"/>
        </w:rPr>
        <w:t>合同期满且达到采购人要求后退还，不计息。</w:t>
      </w:r>
    </w:p>
    <w:p w14:paraId="2462C37A">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2.项目负责人到位：采购人有权对项目负责人实际到岗履职情况进行不定期抽查，经查实存在项目负责人未经批准，擅自离开,每发现一次中标方向</w:t>
      </w:r>
      <w:r>
        <w:rPr>
          <w:rFonts w:hint="eastAsia" w:ascii="宋体" w:hAnsi="宋体" w:cs="宋体"/>
          <w:b w:val="0"/>
          <w:color w:val="auto"/>
          <w:sz w:val="22"/>
          <w:highlight w:val="none"/>
          <w:lang w:val="en-US" w:eastAsia="zh-CN"/>
        </w:rPr>
        <w:t>采购人</w:t>
      </w:r>
      <w:r>
        <w:rPr>
          <w:rFonts w:hint="eastAsia" w:ascii="宋体" w:hAnsi="宋体" w:eastAsia="宋体" w:cs="宋体"/>
          <w:b w:val="0"/>
          <w:color w:val="auto"/>
          <w:sz w:val="22"/>
          <w:highlight w:val="none"/>
          <w:lang w:val="zh-CN"/>
        </w:rPr>
        <w:t>支付违约金1000元人民币，不足一天按一天计（下同）；中标方后未经</w:t>
      </w:r>
      <w:r>
        <w:rPr>
          <w:rFonts w:hint="eastAsia" w:ascii="宋体" w:hAnsi="宋体" w:cs="宋体"/>
          <w:b w:val="0"/>
          <w:color w:val="auto"/>
          <w:sz w:val="22"/>
          <w:highlight w:val="none"/>
          <w:lang w:val="en-US" w:eastAsia="zh-CN"/>
        </w:rPr>
        <w:t>采购人</w:t>
      </w:r>
      <w:r>
        <w:rPr>
          <w:rFonts w:hint="eastAsia" w:ascii="宋体" w:hAnsi="宋体" w:eastAsia="宋体" w:cs="宋体"/>
          <w:b w:val="0"/>
          <w:color w:val="auto"/>
          <w:sz w:val="22"/>
          <w:highlight w:val="none"/>
          <w:lang w:val="zh-CN"/>
        </w:rPr>
        <w:t xml:space="preserve">同意，不得擅自更换项目负责人，否则每发现一次擅自更换的，中标方向采购人支付违约金3000元。违约金直接从下一次支付工程款中扣除。 </w:t>
      </w:r>
    </w:p>
    <w:p w14:paraId="65EDB00D">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3.项目班组管理人员到位：采购人有权对项目班组管理人员实际到岗履职情况进行不定期抽查，经查实存在项目班组管理人员未经批准，擅自离开,每发现一次</w:t>
      </w:r>
      <w:r>
        <w:rPr>
          <w:rFonts w:hint="eastAsia" w:ascii="宋体" w:hAnsi="宋体" w:cs="宋体"/>
          <w:b w:val="0"/>
          <w:color w:val="auto"/>
          <w:sz w:val="22"/>
          <w:highlight w:val="none"/>
          <w:lang w:val="en-US" w:eastAsia="zh-CN"/>
        </w:rPr>
        <w:t>中标方</w:t>
      </w:r>
      <w:r>
        <w:rPr>
          <w:rFonts w:hint="eastAsia" w:ascii="宋体" w:hAnsi="宋体" w:eastAsia="宋体" w:cs="宋体"/>
          <w:b w:val="0"/>
          <w:color w:val="auto"/>
          <w:sz w:val="22"/>
          <w:highlight w:val="none"/>
          <w:lang w:val="zh-CN"/>
        </w:rPr>
        <w:t xml:space="preserve">向采购人支付违约金500元人民币，不足一天按一天计（下同）；中标方后未经采购人同意，不得擅自更换项目班组管理人员，否则每发现一次擅自更换的，中标方向采购人支付违约金1000元。违约金直接从下一次支付工程款中扣除。 </w:t>
      </w:r>
    </w:p>
    <w:p w14:paraId="75140639">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zh-CN"/>
        </w:rPr>
        <w:t>4.安全文明施工：</w:t>
      </w:r>
      <w:r>
        <w:rPr>
          <w:rFonts w:hint="default" w:ascii="宋体" w:hAnsi="宋体" w:eastAsia="宋体" w:cs="宋体"/>
          <w:b w:val="0"/>
          <w:color w:val="auto"/>
          <w:sz w:val="22"/>
          <w:highlight w:val="none"/>
          <w:lang w:val="en-US"/>
        </w:rPr>
        <w:t>中标方</w:t>
      </w:r>
      <w:r>
        <w:rPr>
          <w:rFonts w:hint="eastAsia" w:ascii="宋体" w:hAnsi="宋体" w:eastAsia="宋体" w:cs="宋体"/>
          <w:b w:val="0"/>
          <w:color w:val="auto"/>
          <w:sz w:val="22"/>
          <w:highlight w:val="none"/>
          <w:lang w:val="zh-CN"/>
        </w:rPr>
        <w:t>在施工过程中必须满足</w:t>
      </w:r>
      <w:r>
        <w:rPr>
          <w:rFonts w:hint="eastAsia" w:ascii="宋体" w:hAnsi="宋体" w:eastAsia="宋体" w:cs="宋体"/>
          <w:b w:val="0"/>
          <w:color w:val="auto"/>
          <w:sz w:val="22"/>
          <w:highlight w:val="none"/>
          <w:lang w:eastAsia="zh-CN"/>
        </w:rPr>
        <w:t>《温州市市政设施管理条例》、</w:t>
      </w:r>
      <w:r>
        <w:rPr>
          <w:rFonts w:hint="eastAsia" w:ascii="宋体" w:hAnsi="宋体" w:eastAsia="宋体" w:cs="宋体"/>
          <w:b w:val="0"/>
          <w:color w:val="auto"/>
          <w:sz w:val="22"/>
          <w:highlight w:val="none"/>
        </w:rPr>
        <w:t>《温州市区城市道路挖掘管理规定》（温城法发〔2013〕30号）</w:t>
      </w:r>
      <w:r>
        <w:rPr>
          <w:rFonts w:hint="eastAsia" w:ascii="宋体" w:hAnsi="宋体" w:eastAsia="宋体" w:cs="宋体"/>
          <w:b w:val="0"/>
          <w:color w:val="auto"/>
          <w:sz w:val="22"/>
          <w:highlight w:val="none"/>
          <w:lang w:val="zh-CN"/>
        </w:rPr>
        <w:t xml:space="preserve">及其他有关规定要求，否则采购人有权利酌情扣除违约金，违约金直接从下一次支付工程款中扣除。 </w:t>
      </w:r>
    </w:p>
    <w:p w14:paraId="59A2CF45">
      <w:pPr>
        <w:keepNext w:val="0"/>
        <w:keepLines w:val="0"/>
        <w:pageBreakBefore w:val="0"/>
        <w:kinsoku/>
        <w:wordWrap/>
        <w:overflowPunct/>
        <w:topLinePunct w:val="0"/>
        <w:autoSpaceDE w:val="0"/>
        <w:autoSpaceDN w:val="0"/>
        <w:bidi w:val="0"/>
        <w:adjustRightInd w:val="0"/>
        <w:snapToGrid/>
        <w:spacing w:line="360" w:lineRule="auto"/>
        <w:ind w:left="0" w:leftChars="0" w:firstLine="442" w:firstLineChars="201"/>
        <w:rPr>
          <w:rFonts w:hint="eastAsia" w:ascii="宋体" w:hAnsi="宋体" w:eastAsia="宋体" w:cs="宋体"/>
          <w:b w:val="0"/>
          <w:color w:val="auto"/>
          <w:sz w:val="22"/>
          <w:highlight w:val="none"/>
          <w:lang w:val="zh-CN"/>
        </w:rPr>
      </w:pPr>
      <w:r>
        <w:rPr>
          <w:rFonts w:hint="eastAsia" w:ascii="宋体" w:hAnsi="宋体" w:eastAsia="宋体" w:cs="宋体"/>
          <w:b w:val="0"/>
          <w:color w:val="auto"/>
          <w:sz w:val="22"/>
          <w:highlight w:val="none"/>
          <w:lang w:val="en-US" w:eastAsia="zh-CN"/>
        </w:rPr>
        <w:t>5</w:t>
      </w:r>
      <w:r>
        <w:rPr>
          <w:rFonts w:hint="eastAsia" w:ascii="宋体" w:hAnsi="宋体" w:eastAsia="宋体" w:cs="宋体"/>
          <w:b w:val="0"/>
          <w:color w:val="auto"/>
          <w:sz w:val="22"/>
          <w:highlight w:val="none"/>
          <w:lang w:val="zh-CN"/>
        </w:rPr>
        <w:t>.农民工工资支付保证金：</w:t>
      </w:r>
      <w:r>
        <w:rPr>
          <w:rFonts w:hint="default" w:ascii="宋体" w:hAnsi="宋体" w:eastAsia="宋体" w:cs="宋体"/>
          <w:b w:val="0"/>
          <w:color w:val="auto"/>
          <w:sz w:val="22"/>
          <w:highlight w:val="none"/>
          <w:lang w:val="en-US"/>
        </w:rPr>
        <w:t>中标方</w:t>
      </w:r>
      <w:r>
        <w:rPr>
          <w:rFonts w:hint="eastAsia" w:ascii="宋体" w:hAnsi="宋体" w:eastAsia="宋体" w:cs="宋体"/>
          <w:b w:val="0"/>
          <w:color w:val="auto"/>
          <w:sz w:val="22"/>
          <w:highlight w:val="none"/>
          <w:lang w:val="zh-CN"/>
        </w:rPr>
        <w:t>必须按时支付农民工工资，否则采购人有权利酌情扣除违约金，违约金直接从下一次支付工程款中扣除。</w:t>
      </w:r>
    </w:p>
    <w:p w14:paraId="248CA1A1">
      <w:pPr>
        <w:autoSpaceDE w:val="0"/>
        <w:autoSpaceDN w:val="0"/>
        <w:adjustRightInd w:val="0"/>
        <w:spacing w:line="360" w:lineRule="auto"/>
        <w:ind w:firstLine="442" w:firstLineChars="201"/>
        <w:rPr>
          <w:rFonts w:hint="eastAsia" w:ascii="宋体" w:hAnsi="宋体" w:cs="宋体"/>
          <w:color w:val="auto"/>
          <w:sz w:val="22"/>
          <w:highlight w:val="none"/>
        </w:rPr>
        <w:sectPr>
          <w:pgSz w:w="11906" w:h="16838"/>
          <w:pgMar w:top="1134" w:right="1134" w:bottom="1134" w:left="1134" w:header="851" w:footer="850" w:gutter="0"/>
          <w:pgNumType w:fmt="decimal"/>
          <w:cols w:space="720" w:num="1"/>
          <w:titlePg/>
          <w:docGrid w:linePitch="312" w:charSpace="0"/>
        </w:sectPr>
      </w:pPr>
    </w:p>
    <w:tbl>
      <w:tblPr>
        <w:tblStyle w:val="62"/>
        <w:tblW w:w="8940" w:type="dxa"/>
        <w:tblInd w:w="89" w:type="dxa"/>
        <w:tblLayout w:type="autofit"/>
        <w:tblCellMar>
          <w:top w:w="0" w:type="dxa"/>
          <w:left w:w="108" w:type="dxa"/>
          <w:bottom w:w="0" w:type="dxa"/>
          <w:right w:w="108" w:type="dxa"/>
        </w:tblCellMar>
      </w:tblPr>
      <w:tblGrid>
        <w:gridCol w:w="2820"/>
        <w:gridCol w:w="1540"/>
        <w:gridCol w:w="2180"/>
        <w:gridCol w:w="2400"/>
      </w:tblGrid>
      <w:tr w14:paraId="3B5E22CC">
        <w:tblPrEx>
          <w:tblCellMar>
            <w:top w:w="0" w:type="dxa"/>
            <w:left w:w="108" w:type="dxa"/>
            <w:bottom w:w="0" w:type="dxa"/>
            <w:right w:w="108" w:type="dxa"/>
          </w:tblCellMar>
        </w:tblPrEx>
        <w:trPr>
          <w:trHeight w:val="675" w:hRule="atLeast"/>
        </w:trPr>
        <w:tc>
          <w:tcPr>
            <w:tcW w:w="8940" w:type="dxa"/>
            <w:gridSpan w:val="4"/>
            <w:tcBorders>
              <w:top w:val="nil"/>
              <w:left w:val="nil"/>
              <w:bottom w:val="nil"/>
              <w:right w:val="nil"/>
            </w:tcBorders>
            <w:noWrap w:val="0"/>
            <w:vAlign w:val="center"/>
          </w:tcPr>
          <w:p w14:paraId="150F4E7B">
            <w:pPr>
              <w:keepNext w:val="0"/>
              <w:keepLines w:val="0"/>
              <w:widowControl/>
              <w:suppressLineNumbers w:val="0"/>
              <w:spacing w:before="0" w:beforeAutospacing="0" w:after="0" w:afterAutospacing="0"/>
              <w:ind w:left="0" w:right="0"/>
              <w:jc w:val="center"/>
              <w:rPr>
                <w:rFonts w:hint="default" w:ascii="宋体" w:eastAsia="宋体"/>
                <w:color w:val="auto"/>
                <w:sz w:val="36"/>
                <w:szCs w:val="36"/>
                <w:highlight w:val="none"/>
              </w:rPr>
            </w:pPr>
            <w:r>
              <w:rPr>
                <w:rFonts w:hint="eastAsia" w:ascii="宋体" w:eastAsia="宋体"/>
                <w:color w:val="auto"/>
                <w:sz w:val="36"/>
                <w:szCs w:val="36"/>
                <w:highlight w:val="none"/>
              </w:rPr>
              <w:t>维修记录</w:t>
            </w:r>
          </w:p>
        </w:tc>
      </w:tr>
      <w:tr w14:paraId="7EAB4C80">
        <w:tblPrEx>
          <w:tblCellMar>
            <w:top w:w="0" w:type="dxa"/>
            <w:left w:w="108" w:type="dxa"/>
            <w:bottom w:w="0" w:type="dxa"/>
            <w:right w:w="108" w:type="dxa"/>
          </w:tblCellMar>
        </w:tblPrEx>
        <w:trPr>
          <w:trHeight w:val="300" w:hRule="atLeast"/>
        </w:trPr>
        <w:tc>
          <w:tcPr>
            <w:tcW w:w="8940" w:type="dxa"/>
            <w:gridSpan w:val="4"/>
            <w:tcBorders>
              <w:top w:val="nil"/>
              <w:left w:val="nil"/>
              <w:bottom w:val="single" w:color="auto" w:sz="4" w:space="0"/>
              <w:right w:val="nil"/>
            </w:tcBorders>
            <w:noWrap w:val="0"/>
            <w:vAlign w:val="center"/>
          </w:tcPr>
          <w:p w14:paraId="5606553B">
            <w:pPr>
              <w:keepNext w:val="0"/>
              <w:keepLines w:val="0"/>
              <w:widowControl/>
              <w:suppressLineNumbers w:val="0"/>
              <w:spacing w:before="0" w:beforeAutospacing="0" w:after="0" w:afterAutospacing="0"/>
              <w:ind w:left="0" w:right="0"/>
              <w:jc w:val="center"/>
              <w:rPr>
                <w:rFonts w:hint="default" w:ascii="宋体" w:eastAsia="宋体"/>
                <w:color w:val="auto"/>
                <w:sz w:val="20"/>
                <w:szCs w:val="20"/>
                <w:highlight w:val="none"/>
              </w:rPr>
            </w:pPr>
            <w:r>
              <w:rPr>
                <w:rFonts w:hint="eastAsia" w:ascii="宋体" w:eastAsia="宋体"/>
                <w:color w:val="auto"/>
                <w:sz w:val="20"/>
                <w:szCs w:val="20"/>
                <w:highlight w:val="none"/>
              </w:rPr>
              <w:t xml:space="preserve">                                       道路名称：</w:t>
            </w:r>
          </w:p>
        </w:tc>
      </w:tr>
      <w:tr w14:paraId="3B9B706A">
        <w:tblPrEx>
          <w:tblCellMar>
            <w:top w:w="0" w:type="dxa"/>
            <w:left w:w="108" w:type="dxa"/>
            <w:bottom w:w="0" w:type="dxa"/>
            <w:right w:w="108" w:type="dxa"/>
          </w:tblCellMar>
        </w:tblPrEx>
        <w:trPr>
          <w:trHeight w:val="435" w:hRule="atLeast"/>
        </w:trPr>
        <w:tc>
          <w:tcPr>
            <w:tcW w:w="2820" w:type="dxa"/>
            <w:tcBorders>
              <w:top w:val="nil"/>
              <w:left w:val="single" w:color="auto" w:sz="4" w:space="0"/>
              <w:bottom w:val="single" w:color="auto" w:sz="4" w:space="0"/>
              <w:right w:val="single" w:color="auto" w:sz="4" w:space="0"/>
            </w:tcBorders>
            <w:noWrap w:val="0"/>
            <w:vAlign w:val="center"/>
          </w:tcPr>
          <w:p w14:paraId="65492757">
            <w:pPr>
              <w:keepNext w:val="0"/>
              <w:keepLines w:val="0"/>
              <w:widowControl/>
              <w:suppressLineNumbers w:val="0"/>
              <w:spacing w:before="0" w:beforeAutospacing="0" w:after="0" w:afterAutospacing="0"/>
              <w:ind w:left="0" w:right="0"/>
              <w:jc w:val="center"/>
              <w:rPr>
                <w:rFonts w:hint="default" w:ascii="宋体" w:eastAsia="宋体"/>
                <w:color w:val="auto"/>
                <w:sz w:val="20"/>
                <w:szCs w:val="20"/>
                <w:highlight w:val="none"/>
              </w:rPr>
            </w:pPr>
            <w:r>
              <w:rPr>
                <w:rFonts w:hint="eastAsia" w:ascii="宋体" w:eastAsia="宋体"/>
                <w:color w:val="auto"/>
                <w:sz w:val="20"/>
                <w:szCs w:val="20"/>
                <w:highlight w:val="none"/>
              </w:rPr>
              <w:t>维修与养护单位</w:t>
            </w:r>
          </w:p>
        </w:tc>
        <w:tc>
          <w:tcPr>
            <w:tcW w:w="1540" w:type="dxa"/>
            <w:tcBorders>
              <w:top w:val="nil"/>
              <w:left w:val="nil"/>
              <w:bottom w:val="single" w:color="auto" w:sz="4" w:space="0"/>
              <w:right w:val="single" w:color="auto" w:sz="4" w:space="0"/>
            </w:tcBorders>
            <w:noWrap w:val="0"/>
            <w:vAlign w:val="center"/>
          </w:tcPr>
          <w:p w14:paraId="3F94D4F9">
            <w:pPr>
              <w:keepNext w:val="0"/>
              <w:keepLines w:val="0"/>
              <w:widowControl/>
              <w:suppressLineNumbers w:val="0"/>
              <w:spacing w:before="0" w:beforeAutospacing="0" w:after="0" w:afterAutospacing="0"/>
              <w:ind w:left="0" w:right="0"/>
              <w:jc w:val="center"/>
              <w:rPr>
                <w:rFonts w:hint="default" w:ascii="宋体" w:eastAsia="宋体"/>
                <w:color w:val="auto"/>
                <w:sz w:val="20"/>
                <w:szCs w:val="20"/>
                <w:highlight w:val="none"/>
              </w:rPr>
            </w:pPr>
            <w:r>
              <w:rPr>
                <w:rFonts w:hint="eastAsia" w:ascii="宋体" w:eastAsia="宋体"/>
                <w:color w:val="auto"/>
                <w:sz w:val="20"/>
                <w:szCs w:val="20"/>
                <w:highlight w:val="none"/>
              </w:rPr>
              <w:t>　</w:t>
            </w:r>
          </w:p>
        </w:tc>
        <w:tc>
          <w:tcPr>
            <w:tcW w:w="2180" w:type="dxa"/>
            <w:tcBorders>
              <w:top w:val="nil"/>
              <w:left w:val="nil"/>
              <w:bottom w:val="single" w:color="auto" w:sz="4" w:space="0"/>
              <w:right w:val="single" w:color="auto" w:sz="4" w:space="0"/>
            </w:tcBorders>
            <w:noWrap w:val="0"/>
            <w:vAlign w:val="center"/>
          </w:tcPr>
          <w:p w14:paraId="4B89DEEF">
            <w:pPr>
              <w:keepNext w:val="0"/>
              <w:keepLines w:val="0"/>
              <w:widowControl/>
              <w:suppressLineNumbers w:val="0"/>
              <w:spacing w:before="0" w:beforeAutospacing="0" w:after="0" w:afterAutospacing="0"/>
              <w:ind w:left="0" w:right="0"/>
              <w:jc w:val="center"/>
              <w:rPr>
                <w:rFonts w:hint="default" w:ascii="宋体" w:eastAsia="宋体"/>
                <w:color w:val="auto"/>
                <w:sz w:val="20"/>
                <w:szCs w:val="20"/>
                <w:highlight w:val="none"/>
              </w:rPr>
            </w:pPr>
            <w:r>
              <w:rPr>
                <w:rFonts w:hint="eastAsia" w:ascii="宋体" w:eastAsia="宋体"/>
                <w:color w:val="auto"/>
                <w:sz w:val="20"/>
                <w:szCs w:val="20"/>
                <w:highlight w:val="none"/>
              </w:rPr>
              <w:t>施工日期</w:t>
            </w:r>
          </w:p>
        </w:tc>
        <w:tc>
          <w:tcPr>
            <w:tcW w:w="2400" w:type="dxa"/>
            <w:tcBorders>
              <w:top w:val="nil"/>
              <w:left w:val="nil"/>
              <w:bottom w:val="single" w:color="auto" w:sz="4" w:space="0"/>
              <w:right w:val="single" w:color="auto" w:sz="4" w:space="0"/>
            </w:tcBorders>
            <w:noWrap w:val="0"/>
            <w:vAlign w:val="center"/>
          </w:tcPr>
          <w:p w14:paraId="18052E10">
            <w:pPr>
              <w:keepNext w:val="0"/>
              <w:keepLines w:val="0"/>
              <w:widowControl/>
              <w:suppressLineNumbers w:val="0"/>
              <w:spacing w:before="0" w:beforeAutospacing="0" w:after="0" w:afterAutospacing="0"/>
              <w:ind w:left="0" w:right="0"/>
              <w:jc w:val="center"/>
              <w:rPr>
                <w:rFonts w:hint="default" w:ascii="宋体" w:eastAsia="宋体"/>
                <w:color w:val="auto"/>
                <w:sz w:val="20"/>
                <w:szCs w:val="20"/>
                <w:highlight w:val="none"/>
              </w:rPr>
            </w:pPr>
            <w:r>
              <w:rPr>
                <w:rFonts w:hint="eastAsia" w:ascii="宋体" w:eastAsia="宋体"/>
                <w:color w:val="auto"/>
                <w:sz w:val="20"/>
                <w:szCs w:val="20"/>
                <w:highlight w:val="none"/>
              </w:rPr>
              <w:t>　</w:t>
            </w:r>
          </w:p>
        </w:tc>
      </w:tr>
      <w:tr w14:paraId="5C49F2EA">
        <w:tblPrEx>
          <w:tblCellMar>
            <w:top w:w="0" w:type="dxa"/>
            <w:left w:w="108" w:type="dxa"/>
            <w:bottom w:w="0" w:type="dxa"/>
            <w:right w:w="108" w:type="dxa"/>
          </w:tblCellMar>
        </w:tblPrEx>
        <w:trPr>
          <w:trHeight w:val="420" w:hRule="atLeast"/>
        </w:trPr>
        <w:tc>
          <w:tcPr>
            <w:tcW w:w="2820" w:type="dxa"/>
            <w:tcBorders>
              <w:top w:val="nil"/>
              <w:left w:val="single" w:color="auto" w:sz="4" w:space="0"/>
              <w:bottom w:val="single" w:color="auto" w:sz="4" w:space="0"/>
              <w:right w:val="single" w:color="auto" w:sz="4" w:space="0"/>
            </w:tcBorders>
            <w:noWrap w:val="0"/>
            <w:vAlign w:val="center"/>
          </w:tcPr>
          <w:p w14:paraId="1BFD6F8C">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当日维修点1</w:t>
            </w:r>
          </w:p>
        </w:tc>
        <w:tc>
          <w:tcPr>
            <w:tcW w:w="1540" w:type="dxa"/>
            <w:tcBorders>
              <w:top w:val="nil"/>
              <w:left w:val="nil"/>
              <w:bottom w:val="single" w:color="auto" w:sz="4" w:space="0"/>
              <w:right w:val="single" w:color="auto" w:sz="4" w:space="0"/>
            </w:tcBorders>
            <w:noWrap w:val="0"/>
            <w:vAlign w:val="center"/>
          </w:tcPr>
          <w:p w14:paraId="46ACFEA1">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c>
          <w:tcPr>
            <w:tcW w:w="2180" w:type="dxa"/>
            <w:tcBorders>
              <w:top w:val="nil"/>
              <w:left w:val="nil"/>
              <w:bottom w:val="single" w:color="auto" w:sz="4" w:space="0"/>
              <w:right w:val="single" w:color="auto" w:sz="4" w:space="0"/>
            </w:tcBorders>
            <w:noWrap w:val="0"/>
            <w:vAlign w:val="center"/>
          </w:tcPr>
          <w:p w14:paraId="2F6CE7E6">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维修尺寸及面积</w:t>
            </w:r>
          </w:p>
        </w:tc>
        <w:tc>
          <w:tcPr>
            <w:tcW w:w="2400" w:type="dxa"/>
            <w:tcBorders>
              <w:top w:val="nil"/>
              <w:left w:val="nil"/>
              <w:bottom w:val="single" w:color="auto" w:sz="4" w:space="0"/>
              <w:right w:val="single" w:color="auto" w:sz="4" w:space="0"/>
            </w:tcBorders>
            <w:noWrap w:val="0"/>
            <w:vAlign w:val="center"/>
          </w:tcPr>
          <w:p w14:paraId="40811BE5">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r>
      <w:tr w14:paraId="6A5957AB">
        <w:tblPrEx>
          <w:tblCellMar>
            <w:top w:w="0" w:type="dxa"/>
            <w:left w:w="108" w:type="dxa"/>
            <w:bottom w:w="0" w:type="dxa"/>
            <w:right w:w="108" w:type="dxa"/>
          </w:tblCellMar>
        </w:tblPrEx>
        <w:trPr>
          <w:trHeight w:val="2699" w:hRule="atLeast"/>
        </w:trPr>
        <w:tc>
          <w:tcPr>
            <w:tcW w:w="4360" w:type="dxa"/>
            <w:gridSpan w:val="2"/>
            <w:tcBorders>
              <w:top w:val="single" w:color="auto" w:sz="4" w:space="0"/>
              <w:left w:val="single" w:color="auto" w:sz="4" w:space="0"/>
              <w:bottom w:val="single" w:color="auto" w:sz="4" w:space="0"/>
              <w:right w:val="single" w:color="auto" w:sz="4" w:space="0"/>
            </w:tcBorders>
            <w:noWrap w:val="0"/>
            <w:vAlign w:val="center"/>
          </w:tcPr>
          <w:p w14:paraId="70594DC3">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维修前图片</w:t>
            </w:r>
          </w:p>
        </w:tc>
        <w:tc>
          <w:tcPr>
            <w:tcW w:w="4580" w:type="dxa"/>
            <w:gridSpan w:val="2"/>
            <w:tcBorders>
              <w:top w:val="single" w:color="auto" w:sz="4" w:space="0"/>
              <w:left w:val="nil"/>
              <w:bottom w:val="single" w:color="auto" w:sz="4" w:space="0"/>
              <w:right w:val="single" w:color="auto" w:sz="4" w:space="0"/>
            </w:tcBorders>
            <w:noWrap w:val="0"/>
            <w:vAlign w:val="center"/>
          </w:tcPr>
          <w:p w14:paraId="1CFA9182">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维修后图片</w:t>
            </w:r>
          </w:p>
        </w:tc>
      </w:tr>
      <w:tr w14:paraId="0DC044DA">
        <w:tblPrEx>
          <w:tblCellMar>
            <w:top w:w="0" w:type="dxa"/>
            <w:left w:w="108" w:type="dxa"/>
            <w:bottom w:w="0" w:type="dxa"/>
            <w:right w:w="108" w:type="dxa"/>
          </w:tblCellMar>
        </w:tblPrEx>
        <w:trPr>
          <w:trHeight w:val="375" w:hRule="atLeast"/>
        </w:trPr>
        <w:tc>
          <w:tcPr>
            <w:tcW w:w="2820" w:type="dxa"/>
            <w:tcBorders>
              <w:top w:val="nil"/>
              <w:left w:val="single" w:color="auto" w:sz="4" w:space="0"/>
              <w:bottom w:val="single" w:color="auto" w:sz="4" w:space="0"/>
              <w:right w:val="single" w:color="auto" w:sz="4" w:space="0"/>
            </w:tcBorders>
            <w:noWrap w:val="0"/>
            <w:vAlign w:val="center"/>
          </w:tcPr>
          <w:p w14:paraId="05C46546">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当日维修点2</w:t>
            </w:r>
          </w:p>
        </w:tc>
        <w:tc>
          <w:tcPr>
            <w:tcW w:w="1540" w:type="dxa"/>
            <w:tcBorders>
              <w:top w:val="nil"/>
              <w:left w:val="nil"/>
              <w:bottom w:val="single" w:color="auto" w:sz="4" w:space="0"/>
              <w:right w:val="single" w:color="auto" w:sz="4" w:space="0"/>
            </w:tcBorders>
            <w:noWrap w:val="0"/>
            <w:vAlign w:val="center"/>
          </w:tcPr>
          <w:p w14:paraId="5348BB9F">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c>
          <w:tcPr>
            <w:tcW w:w="2180" w:type="dxa"/>
            <w:tcBorders>
              <w:top w:val="nil"/>
              <w:left w:val="nil"/>
              <w:bottom w:val="single" w:color="auto" w:sz="4" w:space="0"/>
              <w:right w:val="single" w:color="auto" w:sz="4" w:space="0"/>
            </w:tcBorders>
            <w:noWrap w:val="0"/>
            <w:vAlign w:val="center"/>
          </w:tcPr>
          <w:p w14:paraId="18AE754D">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维修尺寸及面积</w:t>
            </w:r>
          </w:p>
        </w:tc>
        <w:tc>
          <w:tcPr>
            <w:tcW w:w="2400" w:type="dxa"/>
            <w:tcBorders>
              <w:top w:val="nil"/>
              <w:left w:val="nil"/>
              <w:bottom w:val="single" w:color="auto" w:sz="4" w:space="0"/>
              <w:right w:val="single" w:color="auto" w:sz="4" w:space="0"/>
            </w:tcBorders>
            <w:noWrap w:val="0"/>
            <w:vAlign w:val="center"/>
          </w:tcPr>
          <w:p w14:paraId="7BD60050">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r>
      <w:tr w14:paraId="4E46737B">
        <w:tblPrEx>
          <w:tblCellMar>
            <w:top w:w="0" w:type="dxa"/>
            <w:left w:w="108" w:type="dxa"/>
            <w:bottom w:w="0" w:type="dxa"/>
            <w:right w:w="108" w:type="dxa"/>
          </w:tblCellMar>
        </w:tblPrEx>
        <w:trPr>
          <w:trHeight w:val="1295" w:hRule="atLeast"/>
        </w:trPr>
        <w:tc>
          <w:tcPr>
            <w:tcW w:w="4360" w:type="dxa"/>
            <w:gridSpan w:val="2"/>
            <w:tcBorders>
              <w:top w:val="single" w:color="auto" w:sz="4" w:space="0"/>
              <w:left w:val="single" w:color="auto" w:sz="4" w:space="0"/>
              <w:bottom w:val="single" w:color="auto" w:sz="4" w:space="0"/>
              <w:right w:val="single" w:color="auto" w:sz="4" w:space="0"/>
            </w:tcBorders>
            <w:noWrap w:val="0"/>
            <w:vAlign w:val="center"/>
          </w:tcPr>
          <w:p w14:paraId="10905EC8">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　</w:t>
            </w:r>
          </w:p>
        </w:tc>
        <w:tc>
          <w:tcPr>
            <w:tcW w:w="4580" w:type="dxa"/>
            <w:gridSpan w:val="2"/>
            <w:tcBorders>
              <w:top w:val="single" w:color="auto" w:sz="4" w:space="0"/>
              <w:left w:val="nil"/>
              <w:bottom w:val="single" w:color="auto" w:sz="4" w:space="0"/>
              <w:right w:val="single" w:color="auto" w:sz="4" w:space="0"/>
            </w:tcBorders>
            <w:noWrap w:val="0"/>
            <w:vAlign w:val="center"/>
          </w:tcPr>
          <w:p w14:paraId="27CE1830">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　</w:t>
            </w:r>
          </w:p>
        </w:tc>
      </w:tr>
      <w:tr w14:paraId="606F8167">
        <w:tblPrEx>
          <w:tblCellMar>
            <w:top w:w="0" w:type="dxa"/>
            <w:left w:w="108" w:type="dxa"/>
            <w:bottom w:w="0" w:type="dxa"/>
            <w:right w:w="108" w:type="dxa"/>
          </w:tblCellMar>
        </w:tblPrEx>
        <w:trPr>
          <w:trHeight w:val="405" w:hRule="atLeast"/>
        </w:trPr>
        <w:tc>
          <w:tcPr>
            <w:tcW w:w="2820" w:type="dxa"/>
            <w:tcBorders>
              <w:top w:val="nil"/>
              <w:left w:val="single" w:color="auto" w:sz="4" w:space="0"/>
              <w:bottom w:val="single" w:color="auto" w:sz="4" w:space="0"/>
              <w:right w:val="single" w:color="auto" w:sz="4" w:space="0"/>
            </w:tcBorders>
            <w:noWrap w:val="0"/>
            <w:vAlign w:val="center"/>
          </w:tcPr>
          <w:p w14:paraId="68243E9F">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当日维修点3</w:t>
            </w:r>
          </w:p>
        </w:tc>
        <w:tc>
          <w:tcPr>
            <w:tcW w:w="1540" w:type="dxa"/>
            <w:tcBorders>
              <w:top w:val="nil"/>
              <w:left w:val="nil"/>
              <w:bottom w:val="single" w:color="auto" w:sz="4" w:space="0"/>
              <w:right w:val="single" w:color="auto" w:sz="4" w:space="0"/>
            </w:tcBorders>
            <w:noWrap w:val="0"/>
            <w:vAlign w:val="center"/>
          </w:tcPr>
          <w:p w14:paraId="39F95ACD">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c>
          <w:tcPr>
            <w:tcW w:w="2180" w:type="dxa"/>
            <w:tcBorders>
              <w:top w:val="nil"/>
              <w:left w:val="nil"/>
              <w:bottom w:val="single" w:color="auto" w:sz="4" w:space="0"/>
              <w:right w:val="single" w:color="auto" w:sz="4" w:space="0"/>
            </w:tcBorders>
            <w:noWrap w:val="0"/>
            <w:vAlign w:val="center"/>
          </w:tcPr>
          <w:p w14:paraId="59AC99B9">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维修尺寸及面积</w:t>
            </w:r>
          </w:p>
        </w:tc>
        <w:tc>
          <w:tcPr>
            <w:tcW w:w="2400" w:type="dxa"/>
            <w:tcBorders>
              <w:top w:val="nil"/>
              <w:left w:val="nil"/>
              <w:bottom w:val="single" w:color="auto" w:sz="4" w:space="0"/>
              <w:right w:val="single" w:color="auto" w:sz="4" w:space="0"/>
            </w:tcBorders>
            <w:noWrap w:val="0"/>
            <w:vAlign w:val="center"/>
          </w:tcPr>
          <w:p w14:paraId="207FD48C">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0"/>
                <w:szCs w:val="20"/>
                <w:highlight w:val="none"/>
              </w:rPr>
            </w:pPr>
            <w:r>
              <w:rPr>
                <w:rFonts w:hint="eastAsia" w:ascii="宋体" w:eastAsia="宋体"/>
                <w:b w:val="0"/>
                <w:bCs w:val="0"/>
                <w:color w:val="auto"/>
                <w:sz w:val="20"/>
                <w:szCs w:val="20"/>
                <w:highlight w:val="none"/>
              </w:rPr>
              <w:t>　</w:t>
            </w:r>
          </w:p>
        </w:tc>
      </w:tr>
      <w:tr w14:paraId="149F1787">
        <w:tblPrEx>
          <w:tblCellMar>
            <w:top w:w="0" w:type="dxa"/>
            <w:left w:w="108" w:type="dxa"/>
            <w:bottom w:w="0" w:type="dxa"/>
            <w:right w:w="108" w:type="dxa"/>
          </w:tblCellMar>
        </w:tblPrEx>
        <w:trPr>
          <w:trHeight w:val="90" w:hRule="atLeast"/>
        </w:trPr>
        <w:tc>
          <w:tcPr>
            <w:tcW w:w="4360" w:type="dxa"/>
            <w:gridSpan w:val="2"/>
            <w:tcBorders>
              <w:top w:val="single" w:color="auto" w:sz="4" w:space="0"/>
              <w:left w:val="single" w:color="auto" w:sz="4" w:space="0"/>
              <w:bottom w:val="single" w:color="auto" w:sz="4" w:space="0"/>
              <w:right w:val="single" w:color="auto" w:sz="4" w:space="0"/>
            </w:tcBorders>
            <w:noWrap w:val="0"/>
            <w:vAlign w:val="center"/>
          </w:tcPr>
          <w:p w14:paraId="1C0F6C14">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　</w:t>
            </w:r>
          </w:p>
        </w:tc>
        <w:tc>
          <w:tcPr>
            <w:tcW w:w="4580" w:type="dxa"/>
            <w:gridSpan w:val="2"/>
            <w:tcBorders>
              <w:top w:val="single" w:color="auto" w:sz="4" w:space="0"/>
              <w:left w:val="nil"/>
              <w:bottom w:val="single" w:color="auto" w:sz="4" w:space="0"/>
              <w:right w:val="single" w:color="auto" w:sz="4" w:space="0"/>
            </w:tcBorders>
            <w:noWrap w:val="0"/>
            <w:vAlign w:val="center"/>
          </w:tcPr>
          <w:p w14:paraId="35BC728C">
            <w:pPr>
              <w:keepNext w:val="0"/>
              <w:keepLines w:val="0"/>
              <w:widowControl/>
              <w:suppressLineNumbers w:val="0"/>
              <w:spacing w:before="0" w:beforeAutospacing="0" w:after="0" w:afterAutospacing="0"/>
              <w:ind w:left="0" w:right="0"/>
              <w:jc w:val="center"/>
              <w:rPr>
                <w:rFonts w:hint="default" w:ascii="宋体" w:eastAsia="宋体"/>
                <w:b w:val="0"/>
                <w:bCs w:val="0"/>
                <w:color w:val="auto"/>
                <w:sz w:val="28"/>
                <w:szCs w:val="28"/>
                <w:highlight w:val="none"/>
              </w:rPr>
            </w:pPr>
            <w:r>
              <w:rPr>
                <w:rFonts w:hint="eastAsia" w:ascii="宋体" w:eastAsia="宋体"/>
                <w:b w:val="0"/>
                <w:bCs w:val="0"/>
                <w:color w:val="auto"/>
                <w:sz w:val="28"/>
                <w:szCs w:val="28"/>
                <w:highlight w:val="none"/>
              </w:rPr>
              <w:t>　</w:t>
            </w:r>
          </w:p>
        </w:tc>
      </w:tr>
    </w:tbl>
    <w:p w14:paraId="6E886834">
      <w:pPr>
        <w:rPr>
          <w:rFonts w:hint="eastAsia"/>
          <w:color w:val="auto"/>
          <w:highlight w:val="none"/>
        </w:rPr>
      </w:pPr>
    </w:p>
    <w:tbl>
      <w:tblPr>
        <w:tblStyle w:val="62"/>
        <w:tblW w:w="8925" w:type="dxa"/>
        <w:tblInd w:w="89" w:type="dxa"/>
        <w:tblLayout w:type="fixed"/>
        <w:tblCellMar>
          <w:top w:w="0" w:type="dxa"/>
          <w:left w:w="108" w:type="dxa"/>
          <w:bottom w:w="0" w:type="dxa"/>
          <w:right w:w="108" w:type="dxa"/>
        </w:tblCellMar>
      </w:tblPr>
      <w:tblGrid>
        <w:gridCol w:w="826"/>
        <w:gridCol w:w="763"/>
        <w:gridCol w:w="852"/>
        <w:gridCol w:w="817"/>
        <w:gridCol w:w="870"/>
        <w:gridCol w:w="728"/>
        <w:gridCol w:w="799"/>
        <w:gridCol w:w="746"/>
        <w:gridCol w:w="692"/>
        <w:gridCol w:w="1007"/>
        <w:gridCol w:w="825"/>
      </w:tblGrid>
      <w:tr w14:paraId="258B9E1D">
        <w:tblPrEx>
          <w:tblCellMar>
            <w:top w:w="0" w:type="dxa"/>
            <w:left w:w="108" w:type="dxa"/>
            <w:bottom w:w="0" w:type="dxa"/>
            <w:right w:w="108" w:type="dxa"/>
          </w:tblCellMar>
        </w:tblPrEx>
        <w:trPr>
          <w:trHeight w:val="1146" w:hRule="atLeast"/>
        </w:trPr>
        <w:tc>
          <w:tcPr>
            <w:tcW w:w="8925" w:type="dxa"/>
            <w:gridSpan w:val="11"/>
            <w:tcBorders>
              <w:top w:val="nil"/>
              <w:left w:val="nil"/>
              <w:bottom w:val="single" w:color="auto" w:sz="4" w:space="0"/>
              <w:right w:val="nil"/>
            </w:tcBorders>
            <w:noWrap/>
            <w:vAlign w:val="center"/>
          </w:tcPr>
          <w:p w14:paraId="20FAD52E">
            <w:pPr>
              <w:keepNext w:val="0"/>
              <w:keepLines w:val="0"/>
              <w:widowControl/>
              <w:suppressLineNumbers w:val="0"/>
              <w:spacing w:before="0" w:beforeAutospacing="0" w:after="0" w:afterAutospacing="0"/>
              <w:ind w:left="0" w:right="0"/>
              <w:jc w:val="center"/>
              <w:rPr>
                <w:rFonts w:hint="default" w:ascii="宋体" w:eastAsia="宋体"/>
                <w:b w:val="0"/>
                <w:bCs w:val="0"/>
                <w:color w:val="auto"/>
                <w:sz w:val="36"/>
                <w:szCs w:val="36"/>
                <w:highlight w:val="none"/>
              </w:rPr>
            </w:pPr>
            <w:r>
              <w:rPr>
                <w:rFonts w:hint="eastAsia" w:ascii="宋体" w:eastAsia="宋体"/>
                <w:b w:val="0"/>
                <w:bCs w:val="0"/>
                <w:color w:val="auto"/>
                <w:sz w:val="36"/>
                <w:szCs w:val="36"/>
                <w:highlight w:val="none"/>
              </w:rPr>
              <w:t>市政设施零星工程（10平方米以下）维修时限</w:t>
            </w:r>
          </w:p>
        </w:tc>
      </w:tr>
      <w:tr w14:paraId="09076DC2">
        <w:tblPrEx>
          <w:tblCellMar>
            <w:top w:w="0" w:type="dxa"/>
            <w:left w:w="108" w:type="dxa"/>
            <w:bottom w:w="0" w:type="dxa"/>
            <w:right w:w="108" w:type="dxa"/>
          </w:tblCellMar>
        </w:tblPrEx>
        <w:trPr>
          <w:trHeight w:val="934" w:hRule="atLeast"/>
        </w:trPr>
        <w:tc>
          <w:tcPr>
            <w:tcW w:w="826" w:type="dxa"/>
            <w:vMerge w:val="restart"/>
            <w:tcBorders>
              <w:top w:val="nil"/>
              <w:left w:val="single" w:color="auto" w:sz="4" w:space="0"/>
              <w:bottom w:val="single" w:color="auto" w:sz="4" w:space="0"/>
              <w:right w:val="single" w:color="auto" w:sz="4" w:space="0"/>
            </w:tcBorders>
            <w:noWrap w:val="0"/>
            <w:vAlign w:val="center"/>
          </w:tcPr>
          <w:p w14:paraId="0403A939">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水泥混凝土车行道</w:t>
            </w:r>
          </w:p>
        </w:tc>
        <w:tc>
          <w:tcPr>
            <w:tcW w:w="763" w:type="dxa"/>
            <w:vMerge w:val="restart"/>
            <w:tcBorders>
              <w:top w:val="nil"/>
              <w:left w:val="single" w:color="auto" w:sz="4" w:space="0"/>
              <w:bottom w:val="single" w:color="auto" w:sz="4" w:space="0"/>
              <w:right w:val="single" w:color="auto" w:sz="4" w:space="0"/>
            </w:tcBorders>
            <w:noWrap w:val="0"/>
            <w:vAlign w:val="center"/>
          </w:tcPr>
          <w:p w14:paraId="794636F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破损</w:t>
            </w:r>
          </w:p>
        </w:tc>
        <w:tc>
          <w:tcPr>
            <w:tcW w:w="852" w:type="dxa"/>
            <w:vMerge w:val="restart"/>
            <w:tcBorders>
              <w:top w:val="nil"/>
              <w:left w:val="single" w:color="auto" w:sz="4" w:space="0"/>
              <w:bottom w:val="single" w:color="auto" w:sz="4" w:space="0"/>
              <w:right w:val="single" w:color="auto" w:sz="4" w:space="0"/>
            </w:tcBorders>
            <w:noWrap w:val="0"/>
            <w:vAlign w:val="center"/>
          </w:tcPr>
          <w:p w14:paraId="23B9799F">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坑洞</w:t>
            </w:r>
          </w:p>
        </w:tc>
        <w:tc>
          <w:tcPr>
            <w:tcW w:w="817" w:type="dxa"/>
            <w:vMerge w:val="restart"/>
            <w:tcBorders>
              <w:top w:val="nil"/>
              <w:left w:val="single" w:color="auto" w:sz="4" w:space="0"/>
              <w:bottom w:val="single" w:color="auto" w:sz="4" w:space="0"/>
              <w:right w:val="single" w:color="auto" w:sz="4" w:space="0"/>
            </w:tcBorders>
            <w:noWrap w:val="0"/>
            <w:vAlign w:val="center"/>
          </w:tcPr>
          <w:p w14:paraId="2656F7EB">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裂缝</w:t>
            </w:r>
          </w:p>
        </w:tc>
        <w:tc>
          <w:tcPr>
            <w:tcW w:w="870" w:type="dxa"/>
            <w:vMerge w:val="restart"/>
            <w:tcBorders>
              <w:top w:val="nil"/>
              <w:left w:val="single" w:color="auto" w:sz="4" w:space="0"/>
              <w:bottom w:val="single" w:color="auto" w:sz="4" w:space="0"/>
              <w:right w:val="single" w:color="auto" w:sz="4" w:space="0"/>
            </w:tcBorders>
            <w:noWrap w:val="0"/>
            <w:vAlign w:val="center"/>
          </w:tcPr>
          <w:p w14:paraId="07F71B9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露骨</w:t>
            </w:r>
          </w:p>
        </w:tc>
        <w:tc>
          <w:tcPr>
            <w:tcW w:w="728" w:type="dxa"/>
            <w:vMerge w:val="restart"/>
            <w:tcBorders>
              <w:top w:val="nil"/>
              <w:left w:val="single" w:color="auto" w:sz="4" w:space="0"/>
              <w:bottom w:val="single" w:color="auto" w:sz="4" w:space="0"/>
              <w:right w:val="single" w:color="auto" w:sz="4" w:space="0"/>
            </w:tcBorders>
            <w:noWrap w:val="0"/>
            <w:vAlign w:val="center"/>
          </w:tcPr>
          <w:p w14:paraId="214AE215">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沉陷</w:t>
            </w:r>
          </w:p>
        </w:tc>
        <w:tc>
          <w:tcPr>
            <w:tcW w:w="799" w:type="dxa"/>
            <w:vMerge w:val="restart"/>
            <w:tcBorders>
              <w:top w:val="nil"/>
              <w:left w:val="single" w:color="auto" w:sz="4" w:space="0"/>
              <w:bottom w:val="single" w:color="auto" w:sz="4" w:space="0"/>
              <w:right w:val="single" w:color="auto" w:sz="4" w:space="0"/>
            </w:tcBorders>
            <w:noWrap w:val="0"/>
            <w:vAlign w:val="center"/>
          </w:tcPr>
          <w:p w14:paraId="7B47D10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板角断裂</w:t>
            </w:r>
          </w:p>
        </w:tc>
        <w:tc>
          <w:tcPr>
            <w:tcW w:w="746" w:type="dxa"/>
            <w:vMerge w:val="restart"/>
            <w:tcBorders>
              <w:top w:val="nil"/>
              <w:left w:val="single" w:color="auto" w:sz="4" w:space="0"/>
              <w:bottom w:val="single" w:color="auto" w:sz="4" w:space="0"/>
              <w:right w:val="single" w:color="auto" w:sz="4" w:space="0"/>
            </w:tcBorders>
            <w:noWrap w:val="0"/>
            <w:vAlign w:val="center"/>
          </w:tcPr>
          <w:p w14:paraId="03DF4E9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错台</w:t>
            </w:r>
          </w:p>
        </w:tc>
        <w:tc>
          <w:tcPr>
            <w:tcW w:w="692" w:type="dxa"/>
            <w:vMerge w:val="restart"/>
            <w:tcBorders>
              <w:top w:val="nil"/>
              <w:left w:val="single" w:color="auto" w:sz="4" w:space="0"/>
              <w:bottom w:val="single" w:color="auto" w:sz="4" w:space="0"/>
              <w:right w:val="single" w:color="auto" w:sz="4" w:space="0"/>
            </w:tcBorders>
            <w:noWrap w:val="0"/>
            <w:vAlign w:val="center"/>
          </w:tcPr>
          <w:p w14:paraId="6FCE6CE9">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拱胀</w:t>
            </w:r>
          </w:p>
        </w:tc>
        <w:tc>
          <w:tcPr>
            <w:tcW w:w="1007" w:type="dxa"/>
            <w:tcBorders>
              <w:top w:val="nil"/>
              <w:left w:val="nil"/>
              <w:bottom w:val="single" w:color="auto" w:sz="4" w:space="0"/>
              <w:right w:val="single" w:color="auto" w:sz="4" w:space="0"/>
            </w:tcBorders>
            <w:noWrap w:val="0"/>
            <w:vAlign w:val="center"/>
          </w:tcPr>
          <w:p w14:paraId="66BD4CC7">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接缝</w:t>
            </w:r>
          </w:p>
        </w:tc>
        <w:tc>
          <w:tcPr>
            <w:tcW w:w="825" w:type="dxa"/>
            <w:vMerge w:val="restart"/>
            <w:tcBorders>
              <w:top w:val="nil"/>
              <w:left w:val="single" w:color="auto" w:sz="4" w:space="0"/>
              <w:bottom w:val="single" w:color="auto" w:sz="4" w:space="0"/>
              <w:right w:val="single" w:color="auto" w:sz="4" w:space="0"/>
            </w:tcBorders>
            <w:noWrap w:val="0"/>
            <w:vAlign w:val="center"/>
          </w:tcPr>
          <w:p w14:paraId="7703830C">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唧泥</w:t>
            </w:r>
          </w:p>
        </w:tc>
      </w:tr>
      <w:tr w14:paraId="5E40C2C1">
        <w:tblPrEx>
          <w:tblCellMar>
            <w:top w:w="0" w:type="dxa"/>
            <w:left w:w="108" w:type="dxa"/>
            <w:bottom w:w="0" w:type="dxa"/>
            <w:right w:w="108" w:type="dxa"/>
          </w:tblCellMar>
        </w:tblPrEx>
        <w:trPr>
          <w:trHeight w:val="684"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546F6EEE">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vMerge w:val="continue"/>
            <w:tcBorders>
              <w:top w:val="nil"/>
              <w:left w:val="single" w:color="auto" w:sz="4" w:space="0"/>
              <w:bottom w:val="single" w:color="auto" w:sz="4" w:space="0"/>
              <w:right w:val="single" w:color="auto" w:sz="4" w:space="0"/>
            </w:tcBorders>
            <w:noWrap w:val="0"/>
            <w:vAlign w:val="center"/>
          </w:tcPr>
          <w:p w14:paraId="287ADFE0">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52" w:type="dxa"/>
            <w:vMerge w:val="continue"/>
            <w:tcBorders>
              <w:top w:val="nil"/>
              <w:left w:val="single" w:color="auto" w:sz="4" w:space="0"/>
              <w:bottom w:val="single" w:color="auto" w:sz="4" w:space="0"/>
              <w:right w:val="single" w:color="auto" w:sz="4" w:space="0"/>
            </w:tcBorders>
            <w:noWrap w:val="0"/>
            <w:vAlign w:val="center"/>
          </w:tcPr>
          <w:p w14:paraId="0A3AF241">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17" w:type="dxa"/>
            <w:vMerge w:val="continue"/>
            <w:tcBorders>
              <w:top w:val="nil"/>
              <w:left w:val="single" w:color="auto" w:sz="4" w:space="0"/>
              <w:bottom w:val="single" w:color="auto" w:sz="4" w:space="0"/>
              <w:right w:val="single" w:color="auto" w:sz="4" w:space="0"/>
            </w:tcBorders>
            <w:noWrap w:val="0"/>
            <w:vAlign w:val="center"/>
          </w:tcPr>
          <w:p w14:paraId="0658923D">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70" w:type="dxa"/>
            <w:vMerge w:val="continue"/>
            <w:tcBorders>
              <w:top w:val="nil"/>
              <w:left w:val="single" w:color="auto" w:sz="4" w:space="0"/>
              <w:bottom w:val="single" w:color="auto" w:sz="4" w:space="0"/>
              <w:right w:val="single" w:color="auto" w:sz="4" w:space="0"/>
            </w:tcBorders>
            <w:noWrap w:val="0"/>
            <w:vAlign w:val="center"/>
          </w:tcPr>
          <w:p w14:paraId="484D34B8">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28" w:type="dxa"/>
            <w:vMerge w:val="continue"/>
            <w:tcBorders>
              <w:top w:val="nil"/>
              <w:left w:val="single" w:color="auto" w:sz="4" w:space="0"/>
              <w:bottom w:val="single" w:color="auto" w:sz="4" w:space="0"/>
              <w:right w:val="single" w:color="auto" w:sz="4" w:space="0"/>
            </w:tcBorders>
            <w:noWrap w:val="0"/>
            <w:vAlign w:val="center"/>
          </w:tcPr>
          <w:p w14:paraId="77E80E64">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99" w:type="dxa"/>
            <w:vMerge w:val="continue"/>
            <w:tcBorders>
              <w:top w:val="nil"/>
              <w:left w:val="single" w:color="auto" w:sz="4" w:space="0"/>
              <w:bottom w:val="single" w:color="auto" w:sz="4" w:space="0"/>
              <w:right w:val="single" w:color="auto" w:sz="4" w:space="0"/>
            </w:tcBorders>
            <w:noWrap w:val="0"/>
            <w:vAlign w:val="center"/>
          </w:tcPr>
          <w:p w14:paraId="50F7DBDE">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46" w:type="dxa"/>
            <w:vMerge w:val="continue"/>
            <w:tcBorders>
              <w:top w:val="nil"/>
              <w:left w:val="single" w:color="auto" w:sz="4" w:space="0"/>
              <w:bottom w:val="single" w:color="auto" w:sz="4" w:space="0"/>
              <w:right w:val="single" w:color="auto" w:sz="4" w:space="0"/>
            </w:tcBorders>
            <w:noWrap w:val="0"/>
            <w:vAlign w:val="center"/>
          </w:tcPr>
          <w:p w14:paraId="11EA1E65">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692" w:type="dxa"/>
            <w:vMerge w:val="continue"/>
            <w:tcBorders>
              <w:top w:val="nil"/>
              <w:left w:val="single" w:color="auto" w:sz="4" w:space="0"/>
              <w:bottom w:val="single" w:color="auto" w:sz="4" w:space="0"/>
              <w:right w:val="single" w:color="auto" w:sz="4" w:space="0"/>
            </w:tcBorders>
            <w:noWrap w:val="0"/>
            <w:vAlign w:val="center"/>
          </w:tcPr>
          <w:p w14:paraId="57D851B9">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1007" w:type="dxa"/>
            <w:tcBorders>
              <w:top w:val="nil"/>
              <w:left w:val="nil"/>
              <w:bottom w:val="single" w:color="auto" w:sz="4" w:space="0"/>
              <w:right w:val="single" w:color="auto" w:sz="4" w:space="0"/>
            </w:tcBorders>
            <w:noWrap w:val="0"/>
            <w:vAlign w:val="center"/>
          </w:tcPr>
          <w:p w14:paraId="5A8CB394">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养护差</w:t>
            </w:r>
          </w:p>
        </w:tc>
        <w:tc>
          <w:tcPr>
            <w:tcW w:w="825" w:type="dxa"/>
            <w:vMerge w:val="continue"/>
            <w:tcBorders>
              <w:top w:val="nil"/>
              <w:left w:val="single" w:color="auto" w:sz="4" w:space="0"/>
              <w:bottom w:val="single" w:color="auto" w:sz="4" w:space="0"/>
              <w:right w:val="single" w:color="auto" w:sz="4" w:space="0"/>
            </w:tcBorders>
            <w:noWrap w:val="0"/>
            <w:vAlign w:val="center"/>
          </w:tcPr>
          <w:p w14:paraId="642A535F">
            <w:pPr>
              <w:keepNext w:val="0"/>
              <w:keepLines w:val="0"/>
              <w:widowControl/>
              <w:suppressLineNumbers w:val="0"/>
              <w:spacing w:before="0" w:beforeAutospacing="0" w:after="0" w:afterAutospacing="0"/>
              <w:ind w:left="0" w:right="0"/>
              <w:jc w:val="left"/>
              <w:rPr>
                <w:rFonts w:hint="default"/>
                <w:b w:val="0"/>
                <w:bCs w:val="0"/>
                <w:color w:val="auto"/>
                <w:highlight w:val="none"/>
              </w:rPr>
            </w:pPr>
          </w:p>
        </w:tc>
      </w:tr>
      <w:tr w14:paraId="6B9BAC01">
        <w:tblPrEx>
          <w:tblCellMar>
            <w:top w:w="0" w:type="dxa"/>
            <w:left w:w="108" w:type="dxa"/>
            <w:bottom w:w="0" w:type="dxa"/>
            <w:right w:w="108" w:type="dxa"/>
          </w:tblCellMar>
        </w:tblPrEx>
        <w:trPr>
          <w:trHeight w:val="794"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5DE22F90">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tcBorders>
              <w:top w:val="nil"/>
              <w:left w:val="nil"/>
              <w:bottom w:val="single" w:color="auto" w:sz="4" w:space="0"/>
              <w:right w:val="single" w:color="auto" w:sz="4" w:space="0"/>
            </w:tcBorders>
            <w:noWrap w:val="0"/>
            <w:vAlign w:val="center"/>
          </w:tcPr>
          <w:p w14:paraId="7D47DF4D">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维修时限</w:t>
            </w:r>
          </w:p>
        </w:tc>
        <w:tc>
          <w:tcPr>
            <w:tcW w:w="852" w:type="dxa"/>
            <w:tcBorders>
              <w:top w:val="nil"/>
              <w:left w:val="nil"/>
              <w:bottom w:val="single" w:color="auto" w:sz="4" w:space="0"/>
              <w:right w:val="single" w:color="auto" w:sz="4" w:space="0"/>
            </w:tcBorders>
            <w:noWrap w:val="0"/>
            <w:vAlign w:val="center"/>
          </w:tcPr>
          <w:p w14:paraId="29DFA79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817" w:type="dxa"/>
            <w:tcBorders>
              <w:top w:val="nil"/>
              <w:left w:val="nil"/>
              <w:bottom w:val="single" w:color="auto" w:sz="4" w:space="0"/>
              <w:right w:val="single" w:color="auto" w:sz="4" w:space="0"/>
            </w:tcBorders>
            <w:noWrap w:val="0"/>
            <w:vAlign w:val="center"/>
          </w:tcPr>
          <w:p w14:paraId="41BF2950">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c>
          <w:tcPr>
            <w:tcW w:w="870" w:type="dxa"/>
            <w:tcBorders>
              <w:top w:val="nil"/>
              <w:left w:val="nil"/>
              <w:bottom w:val="single" w:color="auto" w:sz="4" w:space="0"/>
              <w:right w:val="single" w:color="auto" w:sz="4" w:space="0"/>
            </w:tcBorders>
            <w:noWrap w:val="0"/>
            <w:vAlign w:val="center"/>
          </w:tcPr>
          <w:p w14:paraId="78850737">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c>
          <w:tcPr>
            <w:tcW w:w="728" w:type="dxa"/>
            <w:tcBorders>
              <w:top w:val="nil"/>
              <w:left w:val="nil"/>
              <w:bottom w:val="single" w:color="auto" w:sz="4" w:space="0"/>
              <w:right w:val="single" w:color="auto" w:sz="4" w:space="0"/>
            </w:tcBorders>
            <w:noWrap w:val="0"/>
            <w:vAlign w:val="center"/>
          </w:tcPr>
          <w:p w14:paraId="379A13F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c>
          <w:tcPr>
            <w:tcW w:w="799" w:type="dxa"/>
            <w:tcBorders>
              <w:top w:val="nil"/>
              <w:left w:val="nil"/>
              <w:bottom w:val="single" w:color="auto" w:sz="4" w:space="0"/>
              <w:right w:val="single" w:color="auto" w:sz="4" w:space="0"/>
            </w:tcBorders>
            <w:noWrap w:val="0"/>
            <w:vAlign w:val="center"/>
          </w:tcPr>
          <w:p w14:paraId="4A53D2A6">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c>
          <w:tcPr>
            <w:tcW w:w="746" w:type="dxa"/>
            <w:tcBorders>
              <w:top w:val="nil"/>
              <w:left w:val="nil"/>
              <w:bottom w:val="single" w:color="auto" w:sz="4" w:space="0"/>
              <w:right w:val="single" w:color="auto" w:sz="4" w:space="0"/>
            </w:tcBorders>
            <w:noWrap w:val="0"/>
            <w:vAlign w:val="center"/>
          </w:tcPr>
          <w:p w14:paraId="60B5097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692" w:type="dxa"/>
            <w:tcBorders>
              <w:top w:val="nil"/>
              <w:left w:val="nil"/>
              <w:bottom w:val="single" w:color="auto" w:sz="4" w:space="0"/>
              <w:right w:val="single" w:color="auto" w:sz="4" w:space="0"/>
            </w:tcBorders>
            <w:noWrap w:val="0"/>
            <w:vAlign w:val="center"/>
          </w:tcPr>
          <w:p w14:paraId="0730BA6F">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1007" w:type="dxa"/>
            <w:tcBorders>
              <w:top w:val="nil"/>
              <w:left w:val="nil"/>
              <w:bottom w:val="single" w:color="auto" w:sz="4" w:space="0"/>
              <w:right w:val="single" w:color="auto" w:sz="4" w:space="0"/>
            </w:tcBorders>
            <w:noWrap w:val="0"/>
            <w:vAlign w:val="center"/>
          </w:tcPr>
          <w:p w14:paraId="0F4B51AE">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825" w:type="dxa"/>
            <w:tcBorders>
              <w:top w:val="nil"/>
              <w:left w:val="nil"/>
              <w:bottom w:val="single" w:color="auto" w:sz="4" w:space="0"/>
              <w:right w:val="single" w:color="auto" w:sz="4" w:space="0"/>
            </w:tcBorders>
            <w:noWrap w:val="0"/>
            <w:vAlign w:val="center"/>
          </w:tcPr>
          <w:p w14:paraId="6D2ED52C">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r>
      <w:tr w14:paraId="41B36111">
        <w:tblPrEx>
          <w:tblCellMar>
            <w:top w:w="0" w:type="dxa"/>
            <w:left w:w="108" w:type="dxa"/>
            <w:bottom w:w="0" w:type="dxa"/>
            <w:right w:w="108" w:type="dxa"/>
          </w:tblCellMar>
        </w:tblPrEx>
        <w:trPr>
          <w:trHeight w:val="340" w:hRule="atLeast"/>
        </w:trPr>
        <w:tc>
          <w:tcPr>
            <w:tcW w:w="826" w:type="dxa"/>
            <w:vMerge w:val="restart"/>
            <w:tcBorders>
              <w:top w:val="nil"/>
              <w:left w:val="single" w:color="auto" w:sz="4" w:space="0"/>
              <w:bottom w:val="single" w:color="auto" w:sz="4" w:space="0"/>
              <w:right w:val="single" w:color="auto" w:sz="4" w:space="0"/>
            </w:tcBorders>
            <w:noWrap w:val="0"/>
            <w:vAlign w:val="center"/>
          </w:tcPr>
          <w:p w14:paraId="4F3A2666">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沥青混凝土车行道</w:t>
            </w:r>
          </w:p>
        </w:tc>
        <w:tc>
          <w:tcPr>
            <w:tcW w:w="763" w:type="dxa"/>
            <w:vMerge w:val="restart"/>
            <w:tcBorders>
              <w:top w:val="nil"/>
              <w:left w:val="single" w:color="auto" w:sz="4" w:space="0"/>
              <w:bottom w:val="single" w:color="auto" w:sz="4" w:space="0"/>
              <w:right w:val="single" w:color="auto" w:sz="4" w:space="0"/>
            </w:tcBorders>
            <w:noWrap w:val="0"/>
            <w:vAlign w:val="center"/>
          </w:tcPr>
          <w:p w14:paraId="54EC3293">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破损</w:t>
            </w:r>
          </w:p>
        </w:tc>
        <w:tc>
          <w:tcPr>
            <w:tcW w:w="852" w:type="dxa"/>
            <w:vMerge w:val="restart"/>
            <w:tcBorders>
              <w:top w:val="nil"/>
              <w:left w:val="single" w:color="auto" w:sz="4" w:space="0"/>
              <w:bottom w:val="single" w:color="auto" w:sz="4" w:space="0"/>
              <w:right w:val="single" w:color="auto" w:sz="4" w:space="0"/>
            </w:tcBorders>
            <w:noWrap w:val="0"/>
            <w:vAlign w:val="center"/>
          </w:tcPr>
          <w:p w14:paraId="11B4642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坑槽</w:t>
            </w:r>
          </w:p>
        </w:tc>
        <w:tc>
          <w:tcPr>
            <w:tcW w:w="817" w:type="dxa"/>
            <w:vMerge w:val="restart"/>
            <w:tcBorders>
              <w:top w:val="nil"/>
              <w:left w:val="single" w:color="auto" w:sz="4" w:space="0"/>
              <w:bottom w:val="single" w:color="auto" w:sz="4" w:space="0"/>
              <w:right w:val="single" w:color="auto" w:sz="4" w:space="0"/>
            </w:tcBorders>
            <w:noWrap w:val="0"/>
            <w:vAlign w:val="center"/>
          </w:tcPr>
          <w:p w14:paraId="2A33C517">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裂缝</w:t>
            </w:r>
          </w:p>
        </w:tc>
        <w:tc>
          <w:tcPr>
            <w:tcW w:w="870" w:type="dxa"/>
            <w:vMerge w:val="restart"/>
            <w:tcBorders>
              <w:top w:val="nil"/>
              <w:left w:val="single" w:color="auto" w:sz="4" w:space="0"/>
              <w:bottom w:val="single" w:color="auto" w:sz="4" w:space="0"/>
              <w:right w:val="single" w:color="auto" w:sz="4" w:space="0"/>
            </w:tcBorders>
            <w:noWrap w:val="0"/>
            <w:vAlign w:val="center"/>
          </w:tcPr>
          <w:p w14:paraId="4B55C06F">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拥包波浪</w:t>
            </w:r>
          </w:p>
        </w:tc>
        <w:tc>
          <w:tcPr>
            <w:tcW w:w="728" w:type="dxa"/>
            <w:vMerge w:val="restart"/>
            <w:tcBorders>
              <w:top w:val="nil"/>
              <w:left w:val="single" w:color="auto" w:sz="4" w:space="0"/>
              <w:bottom w:val="single" w:color="auto" w:sz="4" w:space="0"/>
              <w:right w:val="single" w:color="auto" w:sz="4" w:space="0"/>
            </w:tcBorders>
            <w:noWrap w:val="0"/>
            <w:vAlign w:val="center"/>
          </w:tcPr>
          <w:p w14:paraId="2D4AEA2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沉陷</w:t>
            </w:r>
          </w:p>
        </w:tc>
        <w:tc>
          <w:tcPr>
            <w:tcW w:w="799" w:type="dxa"/>
            <w:vMerge w:val="restart"/>
            <w:tcBorders>
              <w:top w:val="nil"/>
              <w:left w:val="single" w:color="auto" w:sz="4" w:space="0"/>
              <w:bottom w:val="single" w:color="auto" w:sz="4" w:space="0"/>
              <w:right w:val="single" w:color="auto" w:sz="4" w:space="0"/>
            </w:tcBorders>
            <w:noWrap w:val="0"/>
            <w:vAlign w:val="center"/>
          </w:tcPr>
          <w:p w14:paraId="0877EEDA">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松散脱皮</w:t>
            </w:r>
          </w:p>
        </w:tc>
        <w:tc>
          <w:tcPr>
            <w:tcW w:w="746" w:type="dxa"/>
            <w:vMerge w:val="restart"/>
            <w:tcBorders>
              <w:top w:val="nil"/>
              <w:left w:val="single" w:color="auto" w:sz="4" w:space="0"/>
              <w:bottom w:val="single" w:color="auto" w:sz="4" w:space="0"/>
              <w:right w:val="single" w:color="auto" w:sz="4" w:space="0"/>
            </w:tcBorders>
            <w:noWrap w:val="0"/>
            <w:vAlign w:val="center"/>
          </w:tcPr>
          <w:p w14:paraId="031D65D9">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啃边</w:t>
            </w:r>
          </w:p>
        </w:tc>
        <w:tc>
          <w:tcPr>
            <w:tcW w:w="692" w:type="dxa"/>
            <w:vMerge w:val="restart"/>
            <w:tcBorders>
              <w:top w:val="nil"/>
              <w:left w:val="single" w:color="auto" w:sz="4" w:space="0"/>
              <w:bottom w:val="single" w:color="auto" w:sz="4" w:space="0"/>
              <w:right w:val="single" w:color="auto" w:sz="4" w:space="0"/>
            </w:tcBorders>
            <w:noWrap w:val="0"/>
            <w:vAlign w:val="center"/>
          </w:tcPr>
          <w:p w14:paraId="0B4187A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车辙</w:t>
            </w:r>
          </w:p>
        </w:tc>
        <w:tc>
          <w:tcPr>
            <w:tcW w:w="1007" w:type="dxa"/>
            <w:vMerge w:val="restart"/>
            <w:tcBorders>
              <w:top w:val="nil"/>
              <w:left w:val="single" w:color="auto" w:sz="4" w:space="0"/>
              <w:bottom w:val="single" w:color="auto" w:sz="4" w:space="0"/>
              <w:right w:val="single" w:color="auto" w:sz="4" w:space="0"/>
            </w:tcBorders>
            <w:noWrap w:val="0"/>
            <w:vAlign w:val="center"/>
          </w:tcPr>
          <w:p w14:paraId="57C02766">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泛油</w:t>
            </w:r>
          </w:p>
        </w:tc>
        <w:tc>
          <w:tcPr>
            <w:tcW w:w="825" w:type="dxa"/>
            <w:vMerge w:val="restart"/>
            <w:tcBorders>
              <w:top w:val="nil"/>
              <w:left w:val="single" w:color="auto" w:sz="4" w:space="0"/>
              <w:bottom w:val="single" w:color="auto" w:sz="4" w:space="0"/>
              <w:right w:val="single" w:color="auto" w:sz="4" w:space="0"/>
            </w:tcBorders>
            <w:noWrap w:val="0"/>
            <w:vAlign w:val="center"/>
          </w:tcPr>
          <w:p w14:paraId="434308A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翻浆</w:t>
            </w:r>
          </w:p>
        </w:tc>
      </w:tr>
      <w:tr w14:paraId="5761AC63">
        <w:tblPrEx>
          <w:tblCellMar>
            <w:top w:w="0" w:type="dxa"/>
            <w:left w:w="108" w:type="dxa"/>
            <w:bottom w:w="0" w:type="dxa"/>
            <w:right w:w="108" w:type="dxa"/>
          </w:tblCellMar>
        </w:tblPrEx>
        <w:trPr>
          <w:trHeight w:val="312"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68B55F0E">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vMerge w:val="continue"/>
            <w:tcBorders>
              <w:top w:val="nil"/>
              <w:left w:val="single" w:color="auto" w:sz="4" w:space="0"/>
              <w:bottom w:val="single" w:color="auto" w:sz="4" w:space="0"/>
              <w:right w:val="single" w:color="auto" w:sz="4" w:space="0"/>
            </w:tcBorders>
            <w:noWrap w:val="0"/>
            <w:vAlign w:val="center"/>
          </w:tcPr>
          <w:p w14:paraId="6E360087">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52" w:type="dxa"/>
            <w:vMerge w:val="continue"/>
            <w:tcBorders>
              <w:top w:val="nil"/>
              <w:left w:val="single" w:color="auto" w:sz="4" w:space="0"/>
              <w:bottom w:val="single" w:color="auto" w:sz="4" w:space="0"/>
              <w:right w:val="single" w:color="auto" w:sz="4" w:space="0"/>
            </w:tcBorders>
            <w:noWrap w:val="0"/>
            <w:vAlign w:val="center"/>
          </w:tcPr>
          <w:p w14:paraId="5371BA00">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17" w:type="dxa"/>
            <w:vMerge w:val="continue"/>
            <w:tcBorders>
              <w:top w:val="nil"/>
              <w:left w:val="single" w:color="auto" w:sz="4" w:space="0"/>
              <w:bottom w:val="single" w:color="auto" w:sz="4" w:space="0"/>
              <w:right w:val="single" w:color="auto" w:sz="4" w:space="0"/>
            </w:tcBorders>
            <w:noWrap w:val="0"/>
            <w:vAlign w:val="center"/>
          </w:tcPr>
          <w:p w14:paraId="4FC5DF68">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70" w:type="dxa"/>
            <w:vMerge w:val="continue"/>
            <w:tcBorders>
              <w:top w:val="nil"/>
              <w:left w:val="single" w:color="auto" w:sz="4" w:space="0"/>
              <w:bottom w:val="single" w:color="auto" w:sz="4" w:space="0"/>
              <w:right w:val="single" w:color="auto" w:sz="4" w:space="0"/>
            </w:tcBorders>
            <w:noWrap w:val="0"/>
            <w:vAlign w:val="center"/>
          </w:tcPr>
          <w:p w14:paraId="646B4699">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28" w:type="dxa"/>
            <w:vMerge w:val="continue"/>
            <w:tcBorders>
              <w:top w:val="nil"/>
              <w:left w:val="single" w:color="auto" w:sz="4" w:space="0"/>
              <w:bottom w:val="single" w:color="auto" w:sz="4" w:space="0"/>
              <w:right w:val="single" w:color="auto" w:sz="4" w:space="0"/>
            </w:tcBorders>
            <w:noWrap w:val="0"/>
            <w:vAlign w:val="center"/>
          </w:tcPr>
          <w:p w14:paraId="2202B922">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99" w:type="dxa"/>
            <w:vMerge w:val="continue"/>
            <w:tcBorders>
              <w:top w:val="nil"/>
              <w:left w:val="single" w:color="auto" w:sz="4" w:space="0"/>
              <w:bottom w:val="single" w:color="auto" w:sz="4" w:space="0"/>
              <w:right w:val="single" w:color="auto" w:sz="4" w:space="0"/>
            </w:tcBorders>
            <w:noWrap w:val="0"/>
            <w:vAlign w:val="center"/>
          </w:tcPr>
          <w:p w14:paraId="175184B2">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46" w:type="dxa"/>
            <w:vMerge w:val="continue"/>
            <w:tcBorders>
              <w:top w:val="nil"/>
              <w:left w:val="single" w:color="auto" w:sz="4" w:space="0"/>
              <w:bottom w:val="single" w:color="auto" w:sz="4" w:space="0"/>
              <w:right w:val="single" w:color="auto" w:sz="4" w:space="0"/>
            </w:tcBorders>
            <w:noWrap w:val="0"/>
            <w:vAlign w:val="center"/>
          </w:tcPr>
          <w:p w14:paraId="66F9B19E">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692" w:type="dxa"/>
            <w:vMerge w:val="continue"/>
            <w:tcBorders>
              <w:top w:val="nil"/>
              <w:left w:val="single" w:color="auto" w:sz="4" w:space="0"/>
              <w:bottom w:val="single" w:color="auto" w:sz="4" w:space="0"/>
              <w:right w:val="single" w:color="auto" w:sz="4" w:space="0"/>
            </w:tcBorders>
            <w:noWrap w:val="0"/>
            <w:vAlign w:val="center"/>
          </w:tcPr>
          <w:p w14:paraId="07313CF2">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CFDF3CD">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25" w:type="dxa"/>
            <w:vMerge w:val="continue"/>
            <w:tcBorders>
              <w:top w:val="nil"/>
              <w:left w:val="single" w:color="auto" w:sz="4" w:space="0"/>
              <w:bottom w:val="single" w:color="auto" w:sz="4" w:space="0"/>
              <w:right w:val="single" w:color="auto" w:sz="4" w:space="0"/>
            </w:tcBorders>
            <w:noWrap w:val="0"/>
            <w:vAlign w:val="center"/>
          </w:tcPr>
          <w:p w14:paraId="00B23AFD">
            <w:pPr>
              <w:keepNext w:val="0"/>
              <w:keepLines w:val="0"/>
              <w:widowControl/>
              <w:suppressLineNumbers w:val="0"/>
              <w:spacing w:before="0" w:beforeAutospacing="0" w:after="0" w:afterAutospacing="0"/>
              <w:ind w:left="0" w:right="0"/>
              <w:jc w:val="left"/>
              <w:rPr>
                <w:rFonts w:hint="default"/>
                <w:b w:val="0"/>
                <w:bCs w:val="0"/>
                <w:color w:val="auto"/>
                <w:highlight w:val="none"/>
              </w:rPr>
            </w:pPr>
          </w:p>
        </w:tc>
      </w:tr>
      <w:tr w14:paraId="488C4F47">
        <w:tblPrEx>
          <w:tblCellMar>
            <w:top w:w="0" w:type="dxa"/>
            <w:left w:w="108" w:type="dxa"/>
            <w:bottom w:w="0" w:type="dxa"/>
            <w:right w:w="108" w:type="dxa"/>
          </w:tblCellMar>
        </w:tblPrEx>
        <w:trPr>
          <w:trHeight w:val="567"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68212737">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tcBorders>
              <w:top w:val="nil"/>
              <w:left w:val="nil"/>
              <w:bottom w:val="single" w:color="auto" w:sz="4" w:space="0"/>
              <w:right w:val="single" w:color="auto" w:sz="4" w:space="0"/>
            </w:tcBorders>
            <w:noWrap w:val="0"/>
            <w:vAlign w:val="center"/>
          </w:tcPr>
          <w:p w14:paraId="0A5AAE36">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维修时限</w:t>
            </w:r>
          </w:p>
        </w:tc>
        <w:tc>
          <w:tcPr>
            <w:tcW w:w="852" w:type="dxa"/>
            <w:tcBorders>
              <w:top w:val="nil"/>
              <w:left w:val="nil"/>
              <w:bottom w:val="single" w:color="auto" w:sz="4" w:space="0"/>
              <w:right w:val="single" w:color="auto" w:sz="4" w:space="0"/>
            </w:tcBorders>
            <w:noWrap w:val="0"/>
            <w:vAlign w:val="center"/>
          </w:tcPr>
          <w:p w14:paraId="6DCE2F00">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3天</w:t>
            </w:r>
          </w:p>
        </w:tc>
        <w:tc>
          <w:tcPr>
            <w:tcW w:w="817" w:type="dxa"/>
            <w:tcBorders>
              <w:top w:val="nil"/>
              <w:left w:val="nil"/>
              <w:bottom w:val="single" w:color="auto" w:sz="4" w:space="0"/>
              <w:right w:val="single" w:color="auto" w:sz="4" w:space="0"/>
            </w:tcBorders>
            <w:noWrap w:val="0"/>
            <w:vAlign w:val="center"/>
          </w:tcPr>
          <w:p w14:paraId="13F8AC20">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870" w:type="dxa"/>
            <w:tcBorders>
              <w:top w:val="nil"/>
              <w:left w:val="nil"/>
              <w:bottom w:val="single" w:color="auto" w:sz="4" w:space="0"/>
              <w:right w:val="single" w:color="auto" w:sz="4" w:space="0"/>
            </w:tcBorders>
            <w:noWrap w:val="0"/>
            <w:vAlign w:val="center"/>
          </w:tcPr>
          <w:p w14:paraId="3F4EFC73">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728" w:type="dxa"/>
            <w:tcBorders>
              <w:top w:val="nil"/>
              <w:left w:val="nil"/>
              <w:bottom w:val="single" w:color="auto" w:sz="4" w:space="0"/>
              <w:right w:val="single" w:color="auto" w:sz="4" w:space="0"/>
            </w:tcBorders>
            <w:noWrap w:val="0"/>
            <w:vAlign w:val="center"/>
          </w:tcPr>
          <w:p w14:paraId="40EE8920">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799" w:type="dxa"/>
            <w:tcBorders>
              <w:top w:val="nil"/>
              <w:left w:val="nil"/>
              <w:bottom w:val="single" w:color="auto" w:sz="4" w:space="0"/>
              <w:right w:val="single" w:color="auto" w:sz="4" w:space="0"/>
            </w:tcBorders>
            <w:noWrap w:val="0"/>
            <w:vAlign w:val="center"/>
          </w:tcPr>
          <w:p w14:paraId="52D57A3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746" w:type="dxa"/>
            <w:tcBorders>
              <w:top w:val="nil"/>
              <w:left w:val="nil"/>
              <w:bottom w:val="single" w:color="auto" w:sz="4" w:space="0"/>
              <w:right w:val="single" w:color="auto" w:sz="4" w:space="0"/>
            </w:tcBorders>
            <w:noWrap w:val="0"/>
            <w:vAlign w:val="center"/>
          </w:tcPr>
          <w:p w14:paraId="609051E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3天</w:t>
            </w:r>
          </w:p>
        </w:tc>
        <w:tc>
          <w:tcPr>
            <w:tcW w:w="692" w:type="dxa"/>
            <w:tcBorders>
              <w:top w:val="nil"/>
              <w:left w:val="nil"/>
              <w:bottom w:val="single" w:color="auto" w:sz="4" w:space="0"/>
              <w:right w:val="single" w:color="auto" w:sz="4" w:space="0"/>
            </w:tcBorders>
            <w:noWrap w:val="0"/>
            <w:vAlign w:val="center"/>
          </w:tcPr>
          <w:p w14:paraId="2D51E47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1007" w:type="dxa"/>
            <w:tcBorders>
              <w:top w:val="nil"/>
              <w:left w:val="nil"/>
              <w:bottom w:val="single" w:color="auto" w:sz="4" w:space="0"/>
              <w:right w:val="single" w:color="auto" w:sz="4" w:space="0"/>
            </w:tcBorders>
            <w:noWrap w:val="0"/>
            <w:vAlign w:val="center"/>
          </w:tcPr>
          <w:p w14:paraId="31A8A70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7天</w:t>
            </w:r>
          </w:p>
        </w:tc>
        <w:tc>
          <w:tcPr>
            <w:tcW w:w="825" w:type="dxa"/>
            <w:tcBorders>
              <w:top w:val="nil"/>
              <w:left w:val="nil"/>
              <w:bottom w:val="single" w:color="auto" w:sz="4" w:space="0"/>
              <w:right w:val="single" w:color="auto" w:sz="4" w:space="0"/>
            </w:tcBorders>
            <w:noWrap w:val="0"/>
            <w:vAlign w:val="center"/>
          </w:tcPr>
          <w:p w14:paraId="308478BB">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r>
      <w:tr w14:paraId="291D2B65">
        <w:tblPrEx>
          <w:tblCellMar>
            <w:top w:w="0" w:type="dxa"/>
            <w:left w:w="108" w:type="dxa"/>
            <w:bottom w:w="0" w:type="dxa"/>
            <w:right w:w="108" w:type="dxa"/>
          </w:tblCellMar>
        </w:tblPrEx>
        <w:trPr>
          <w:trHeight w:val="312" w:hRule="atLeast"/>
        </w:trPr>
        <w:tc>
          <w:tcPr>
            <w:tcW w:w="826" w:type="dxa"/>
            <w:vMerge w:val="restart"/>
            <w:tcBorders>
              <w:top w:val="nil"/>
              <w:left w:val="single" w:color="auto" w:sz="4" w:space="0"/>
              <w:bottom w:val="single" w:color="auto" w:sz="4" w:space="0"/>
              <w:right w:val="single" w:color="auto" w:sz="4" w:space="0"/>
            </w:tcBorders>
            <w:noWrap w:val="0"/>
            <w:vAlign w:val="center"/>
          </w:tcPr>
          <w:p w14:paraId="00FBB629">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人行道</w:t>
            </w:r>
          </w:p>
        </w:tc>
        <w:tc>
          <w:tcPr>
            <w:tcW w:w="763" w:type="dxa"/>
            <w:vMerge w:val="restart"/>
            <w:tcBorders>
              <w:top w:val="nil"/>
              <w:left w:val="single" w:color="auto" w:sz="4" w:space="0"/>
              <w:bottom w:val="single" w:color="auto" w:sz="4" w:space="0"/>
              <w:right w:val="single" w:color="auto" w:sz="4" w:space="0"/>
            </w:tcBorders>
            <w:noWrap w:val="0"/>
            <w:vAlign w:val="center"/>
          </w:tcPr>
          <w:p w14:paraId="06EA7EEA">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破损</w:t>
            </w:r>
          </w:p>
        </w:tc>
        <w:tc>
          <w:tcPr>
            <w:tcW w:w="852" w:type="dxa"/>
            <w:vMerge w:val="restart"/>
            <w:tcBorders>
              <w:top w:val="nil"/>
              <w:left w:val="single" w:color="auto" w:sz="4" w:space="0"/>
              <w:bottom w:val="single" w:color="auto" w:sz="4" w:space="0"/>
              <w:right w:val="single" w:color="auto" w:sz="4" w:space="0"/>
            </w:tcBorders>
            <w:noWrap w:val="0"/>
            <w:vAlign w:val="center"/>
          </w:tcPr>
          <w:p w14:paraId="29B7ED39">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坑洞</w:t>
            </w:r>
          </w:p>
        </w:tc>
        <w:tc>
          <w:tcPr>
            <w:tcW w:w="817" w:type="dxa"/>
            <w:vMerge w:val="restart"/>
            <w:tcBorders>
              <w:top w:val="nil"/>
              <w:left w:val="single" w:color="auto" w:sz="4" w:space="0"/>
              <w:bottom w:val="single" w:color="auto" w:sz="4" w:space="0"/>
              <w:right w:val="single" w:color="auto" w:sz="4" w:space="0"/>
            </w:tcBorders>
            <w:noWrap w:val="0"/>
            <w:vAlign w:val="center"/>
          </w:tcPr>
          <w:p w14:paraId="7A236077">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错台</w:t>
            </w:r>
          </w:p>
        </w:tc>
        <w:tc>
          <w:tcPr>
            <w:tcW w:w="870" w:type="dxa"/>
            <w:vMerge w:val="restart"/>
            <w:tcBorders>
              <w:top w:val="nil"/>
              <w:left w:val="single" w:color="auto" w:sz="4" w:space="0"/>
              <w:bottom w:val="single" w:color="auto" w:sz="4" w:space="0"/>
              <w:right w:val="single" w:color="auto" w:sz="4" w:space="0"/>
            </w:tcBorders>
            <w:noWrap w:val="0"/>
            <w:vAlign w:val="center"/>
          </w:tcPr>
          <w:p w14:paraId="5AFE8FF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拱起</w:t>
            </w:r>
          </w:p>
        </w:tc>
        <w:tc>
          <w:tcPr>
            <w:tcW w:w="728" w:type="dxa"/>
            <w:vMerge w:val="restart"/>
            <w:tcBorders>
              <w:top w:val="nil"/>
              <w:left w:val="single" w:color="auto" w:sz="4" w:space="0"/>
              <w:bottom w:val="single" w:color="auto" w:sz="4" w:space="0"/>
              <w:right w:val="single" w:color="auto" w:sz="4" w:space="0"/>
            </w:tcBorders>
            <w:noWrap w:val="0"/>
            <w:vAlign w:val="center"/>
          </w:tcPr>
          <w:p w14:paraId="30E71F2E">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沉陷</w:t>
            </w:r>
          </w:p>
        </w:tc>
        <w:tc>
          <w:tcPr>
            <w:tcW w:w="799" w:type="dxa"/>
            <w:vMerge w:val="restart"/>
            <w:tcBorders>
              <w:top w:val="nil"/>
              <w:left w:val="single" w:color="auto" w:sz="4" w:space="0"/>
              <w:bottom w:val="single" w:color="auto" w:sz="4" w:space="0"/>
              <w:right w:val="single" w:color="auto" w:sz="4" w:space="0"/>
            </w:tcBorders>
            <w:noWrap w:val="0"/>
            <w:vAlign w:val="center"/>
          </w:tcPr>
          <w:p w14:paraId="1D44DEDE">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松动倾斜</w:t>
            </w:r>
          </w:p>
        </w:tc>
        <w:tc>
          <w:tcPr>
            <w:tcW w:w="14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B377A2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c>
          <w:tcPr>
            <w:tcW w:w="1007" w:type="dxa"/>
            <w:vMerge w:val="restart"/>
            <w:tcBorders>
              <w:top w:val="nil"/>
              <w:left w:val="single" w:color="auto" w:sz="4" w:space="0"/>
              <w:bottom w:val="single" w:color="auto" w:sz="4" w:space="0"/>
              <w:right w:val="single" w:color="auto" w:sz="4" w:space="0"/>
            </w:tcBorders>
            <w:noWrap w:val="0"/>
            <w:vAlign w:val="center"/>
          </w:tcPr>
          <w:p w14:paraId="6DC9DEAC">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c>
          <w:tcPr>
            <w:tcW w:w="825" w:type="dxa"/>
            <w:vMerge w:val="restart"/>
            <w:tcBorders>
              <w:top w:val="nil"/>
              <w:left w:val="single" w:color="auto" w:sz="4" w:space="0"/>
              <w:bottom w:val="single" w:color="auto" w:sz="4" w:space="0"/>
              <w:right w:val="single" w:color="auto" w:sz="4" w:space="0"/>
            </w:tcBorders>
            <w:noWrap w:val="0"/>
            <w:vAlign w:val="center"/>
          </w:tcPr>
          <w:p w14:paraId="05F4D85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r>
      <w:tr w14:paraId="6BD4A2C7">
        <w:tblPrEx>
          <w:tblCellMar>
            <w:top w:w="0" w:type="dxa"/>
            <w:left w:w="108" w:type="dxa"/>
            <w:bottom w:w="0" w:type="dxa"/>
            <w:right w:w="108" w:type="dxa"/>
          </w:tblCellMar>
        </w:tblPrEx>
        <w:trPr>
          <w:trHeight w:val="934"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4CFC8D6B">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vMerge w:val="continue"/>
            <w:tcBorders>
              <w:top w:val="nil"/>
              <w:left w:val="single" w:color="auto" w:sz="4" w:space="0"/>
              <w:bottom w:val="single" w:color="auto" w:sz="4" w:space="0"/>
              <w:right w:val="single" w:color="auto" w:sz="4" w:space="0"/>
            </w:tcBorders>
            <w:noWrap w:val="0"/>
            <w:vAlign w:val="center"/>
          </w:tcPr>
          <w:p w14:paraId="03794EB0">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52" w:type="dxa"/>
            <w:vMerge w:val="continue"/>
            <w:tcBorders>
              <w:top w:val="nil"/>
              <w:left w:val="single" w:color="auto" w:sz="4" w:space="0"/>
              <w:bottom w:val="single" w:color="auto" w:sz="4" w:space="0"/>
              <w:right w:val="single" w:color="auto" w:sz="4" w:space="0"/>
            </w:tcBorders>
            <w:noWrap w:val="0"/>
            <w:vAlign w:val="center"/>
          </w:tcPr>
          <w:p w14:paraId="6945F802">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17" w:type="dxa"/>
            <w:vMerge w:val="continue"/>
            <w:tcBorders>
              <w:top w:val="nil"/>
              <w:left w:val="single" w:color="auto" w:sz="4" w:space="0"/>
              <w:bottom w:val="single" w:color="auto" w:sz="4" w:space="0"/>
              <w:right w:val="single" w:color="auto" w:sz="4" w:space="0"/>
            </w:tcBorders>
            <w:noWrap w:val="0"/>
            <w:vAlign w:val="center"/>
          </w:tcPr>
          <w:p w14:paraId="5AC7AAF7">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70" w:type="dxa"/>
            <w:vMerge w:val="continue"/>
            <w:tcBorders>
              <w:top w:val="nil"/>
              <w:left w:val="single" w:color="auto" w:sz="4" w:space="0"/>
              <w:bottom w:val="single" w:color="auto" w:sz="4" w:space="0"/>
              <w:right w:val="single" w:color="auto" w:sz="4" w:space="0"/>
            </w:tcBorders>
            <w:noWrap w:val="0"/>
            <w:vAlign w:val="center"/>
          </w:tcPr>
          <w:p w14:paraId="07EFAC87">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28" w:type="dxa"/>
            <w:vMerge w:val="continue"/>
            <w:tcBorders>
              <w:top w:val="nil"/>
              <w:left w:val="single" w:color="auto" w:sz="4" w:space="0"/>
              <w:bottom w:val="single" w:color="auto" w:sz="4" w:space="0"/>
              <w:right w:val="single" w:color="auto" w:sz="4" w:space="0"/>
            </w:tcBorders>
            <w:noWrap w:val="0"/>
            <w:vAlign w:val="center"/>
          </w:tcPr>
          <w:p w14:paraId="488AE693">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99" w:type="dxa"/>
            <w:vMerge w:val="continue"/>
            <w:tcBorders>
              <w:top w:val="nil"/>
              <w:left w:val="single" w:color="auto" w:sz="4" w:space="0"/>
              <w:bottom w:val="single" w:color="auto" w:sz="4" w:space="0"/>
              <w:right w:val="single" w:color="auto" w:sz="4" w:space="0"/>
            </w:tcBorders>
            <w:noWrap w:val="0"/>
            <w:vAlign w:val="center"/>
          </w:tcPr>
          <w:p w14:paraId="39ACE453">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14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764AD3">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1007" w:type="dxa"/>
            <w:vMerge w:val="continue"/>
            <w:tcBorders>
              <w:top w:val="nil"/>
              <w:left w:val="single" w:color="auto" w:sz="4" w:space="0"/>
              <w:bottom w:val="single" w:color="auto" w:sz="4" w:space="0"/>
              <w:right w:val="single" w:color="auto" w:sz="4" w:space="0"/>
            </w:tcBorders>
            <w:noWrap w:val="0"/>
            <w:vAlign w:val="center"/>
          </w:tcPr>
          <w:p w14:paraId="5BAC926B">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825" w:type="dxa"/>
            <w:vMerge w:val="continue"/>
            <w:tcBorders>
              <w:top w:val="nil"/>
              <w:left w:val="single" w:color="auto" w:sz="4" w:space="0"/>
              <w:bottom w:val="single" w:color="auto" w:sz="4" w:space="0"/>
              <w:right w:val="single" w:color="auto" w:sz="4" w:space="0"/>
            </w:tcBorders>
            <w:noWrap w:val="0"/>
            <w:vAlign w:val="center"/>
          </w:tcPr>
          <w:p w14:paraId="5B262A9F">
            <w:pPr>
              <w:keepNext w:val="0"/>
              <w:keepLines w:val="0"/>
              <w:widowControl/>
              <w:suppressLineNumbers w:val="0"/>
              <w:spacing w:before="0" w:beforeAutospacing="0" w:after="0" w:afterAutospacing="0"/>
              <w:ind w:left="0" w:right="0"/>
              <w:jc w:val="left"/>
              <w:rPr>
                <w:rFonts w:hint="default"/>
                <w:b w:val="0"/>
                <w:bCs w:val="0"/>
                <w:color w:val="auto"/>
                <w:highlight w:val="none"/>
              </w:rPr>
            </w:pPr>
          </w:p>
        </w:tc>
      </w:tr>
      <w:tr w14:paraId="0A85AF5C">
        <w:tblPrEx>
          <w:tblCellMar>
            <w:top w:w="0" w:type="dxa"/>
            <w:left w:w="108" w:type="dxa"/>
            <w:bottom w:w="0" w:type="dxa"/>
            <w:right w:w="108" w:type="dxa"/>
          </w:tblCellMar>
        </w:tblPrEx>
        <w:trPr>
          <w:trHeight w:val="624" w:hRule="atLeast"/>
        </w:trPr>
        <w:tc>
          <w:tcPr>
            <w:tcW w:w="826" w:type="dxa"/>
            <w:vMerge w:val="continue"/>
            <w:tcBorders>
              <w:top w:val="nil"/>
              <w:left w:val="single" w:color="auto" w:sz="4" w:space="0"/>
              <w:bottom w:val="single" w:color="auto" w:sz="4" w:space="0"/>
              <w:right w:val="single" w:color="auto" w:sz="4" w:space="0"/>
            </w:tcBorders>
            <w:noWrap w:val="0"/>
            <w:vAlign w:val="center"/>
          </w:tcPr>
          <w:p w14:paraId="624BB8D0">
            <w:pPr>
              <w:keepNext w:val="0"/>
              <w:keepLines w:val="0"/>
              <w:widowControl/>
              <w:suppressLineNumbers w:val="0"/>
              <w:spacing w:before="0" w:beforeAutospacing="0" w:after="0" w:afterAutospacing="0"/>
              <w:ind w:left="0" w:right="0"/>
              <w:jc w:val="left"/>
              <w:rPr>
                <w:rFonts w:hint="default"/>
                <w:b w:val="0"/>
                <w:bCs w:val="0"/>
                <w:color w:val="auto"/>
                <w:highlight w:val="none"/>
              </w:rPr>
            </w:pPr>
          </w:p>
        </w:tc>
        <w:tc>
          <w:tcPr>
            <w:tcW w:w="763" w:type="dxa"/>
            <w:tcBorders>
              <w:top w:val="nil"/>
              <w:left w:val="nil"/>
              <w:bottom w:val="single" w:color="auto" w:sz="4" w:space="0"/>
              <w:right w:val="single" w:color="auto" w:sz="4" w:space="0"/>
            </w:tcBorders>
            <w:noWrap w:val="0"/>
            <w:vAlign w:val="center"/>
          </w:tcPr>
          <w:p w14:paraId="4B894A6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维修时限</w:t>
            </w:r>
          </w:p>
        </w:tc>
        <w:tc>
          <w:tcPr>
            <w:tcW w:w="852" w:type="dxa"/>
            <w:tcBorders>
              <w:top w:val="nil"/>
              <w:left w:val="nil"/>
              <w:bottom w:val="single" w:color="auto" w:sz="4" w:space="0"/>
              <w:right w:val="single" w:color="auto" w:sz="4" w:space="0"/>
            </w:tcBorders>
            <w:noWrap w:val="0"/>
            <w:vAlign w:val="center"/>
          </w:tcPr>
          <w:p w14:paraId="58A89CFE">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3天</w:t>
            </w:r>
          </w:p>
        </w:tc>
        <w:tc>
          <w:tcPr>
            <w:tcW w:w="817" w:type="dxa"/>
            <w:tcBorders>
              <w:top w:val="nil"/>
              <w:left w:val="nil"/>
              <w:bottom w:val="single" w:color="auto" w:sz="4" w:space="0"/>
              <w:right w:val="single" w:color="auto" w:sz="4" w:space="0"/>
            </w:tcBorders>
            <w:noWrap w:val="0"/>
            <w:vAlign w:val="center"/>
          </w:tcPr>
          <w:p w14:paraId="5FE62F98">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870" w:type="dxa"/>
            <w:tcBorders>
              <w:top w:val="nil"/>
              <w:left w:val="nil"/>
              <w:bottom w:val="single" w:color="auto" w:sz="4" w:space="0"/>
              <w:right w:val="single" w:color="auto" w:sz="4" w:space="0"/>
            </w:tcBorders>
            <w:noWrap w:val="0"/>
            <w:vAlign w:val="center"/>
          </w:tcPr>
          <w:p w14:paraId="2126359A">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728" w:type="dxa"/>
            <w:tcBorders>
              <w:top w:val="nil"/>
              <w:left w:val="nil"/>
              <w:bottom w:val="single" w:color="auto" w:sz="4" w:space="0"/>
              <w:right w:val="single" w:color="auto" w:sz="4" w:space="0"/>
            </w:tcBorders>
            <w:noWrap w:val="0"/>
            <w:vAlign w:val="center"/>
          </w:tcPr>
          <w:p w14:paraId="125A6C2E">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5天</w:t>
            </w:r>
          </w:p>
        </w:tc>
        <w:tc>
          <w:tcPr>
            <w:tcW w:w="799" w:type="dxa"/>
            <w:tcBorders>
              <w:top w:val="nil"/>
              <w:left w:val="nil"/>
              <w:bottom w:val="single" w:color="auto" w:sz="4" w:space="0"/>
              <w:right w:val="single" w:color="auto" w:sz="4" w:space="0"/>
            </w:tcBorders>
            <w:noWrap w:val="0"/>
            <w:vAlign w:val="center"/>
          </w:tcPr>
          <w:p w14:paraId="0228B66C">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3天</w:t>
            </w:r>
          </w:p>
        </w:tc>
        <w:tc>
          <w:tcPr>
            <w:tcW w:w="1438" w:type="dxa"/>
            <w:gridSpan w:val="2"/>
            <w:tcBorders>
              <w:top w:val="single" w:color="auto" w:sz="4" w:space="0"/>
              <w:left w:val="nil"/>
              <w:bottom w:val="single" w:color="auto" w:sz="4" w:space="0"/>
              <w:right w:val="single" w:color="auto" w:sz="4" w:space="0"/>
            </w:tcBorders>
            <w:noWrap w:val="0"/>
            <w:vAlign w:val="center"/>
          </w:tcPr>
          <w:p w14:paraId="4DBF5C01">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c>
          <w:tcPr>
            <w:tcW w:w="1007" w:type="dxa"/>
            <w:tcBorders>
              <w:top w:val="nil"/>
              <w:left w:val="nil"/>
              <w:bottom w:val="single" w:color="auto" w:sz="4" w:space="0"/>
              <w:right w:val="single" w:color="auto" w:sz="4" w:space="0"/>
            </w:tcBorders>
            <w:noWrap w:val="0"/>
            <w:vAlign w:val="center"/>
          </w:tcPr>
          <w:p w14:paraId="0231A865">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c>
          <w:tcPr>
            <w:tcW w:w="825" w:type="dxa"/>
            <w:tcBorders>
              <w:top w:val="nil"/>
              <w:left w:val="nil"/>
              <w:bottom w:val="single" w:color="auto" w:sz="4" w:space="0"/>
              <w:right w:val="single" w:color="auto" w:sz="4" w:space="0"/>
            </w:tcBorders>
            <w:noWrap w:val="0"/>
            <w:vAlign w:val="center"/>
          </w:tcPr>
          <w:p w14:paraId="2382FF02">
            <w:pPr>
              <w:keepNext w:val="0"/>
              <w:keepLines w:val="0"/>
              <w:widowControl/>
              <w:suppressLineNumbers w:val="0"/>
              <w:spacing w:before="0" w:beforeAutospacing="0" w:after="0" w:afterAutospacing="0"/>
              <w:ind w:left="0" w:right="0"/>
              <w:jc w:val="center"/>
              <w:rPr>
                <w:rFonts w:hint="default"/>
                <w:b w:val="0"/>
                <w:bCs w:val="0"/>
                <w:color w:val="auto"/>
                <w:highlight w:val="none"/>
              </w:rPr>
            </w:pPr>
            <w:r>
              <w:rPr>
                <w:rFonts w:hint="eastAsia"/>
                <w:b w:val="0"/>
                <w:bCs w:val="0"/>
                <w:color w:val="auto"/>
                <w:highlight w:val="none"/>
              </w:rPr>
              <w:t>　</w:t>
            </w:r>
          </w:p>
        </w:tc>
      </w:tr>
    </w:tbl>
    <w:p w14:paraId="355524EB">
      <w:pPr>
        <w:spacing w:line="440" w:lineRule="exact"/>
        <w:ind w:firstLine="440" w:firstLineChars="200"/>
        <w:rPr>
          <w:rFonts w:ascii="宋体" w:hAnsi="宋体" w:cs="Arial"/>
          <w:color w:val="auto"/>
          <w:sz w:val="22"/>
          <w:szCs w:val="22"/>
          <w:highlight w:val="none"/>
        </w:rPr>
        <w:sectPr>
          <w:pgSz w:w="11906" w:h="16838"/>
          <w:pgMar w:top="1134" w:right="1134" w:bottom="1134" w:left="1134" w:header="851" w:footer="850" w:gutter="0"/>
          <w:pgNumType w:fmt="decimal"/>
          <w:cols w:space="720" w:num="1"/>
          <w:titlePg/>
          <w:docGrid w:linePitch="312" w:charSpace="0"/>
        </w:sectPr>
      </w:pPr>
    </w:p>
    <w:p w14:paraId="1C69FE5C">
      <w:pPr>
        <w:pStyle w:val="3"/>
        <w:rPr>
          <w:rFonts w:hint="eastAsia" w:ascii="宋体" w:hAnsi="宋体" w:eastAsia="宋体" w:cs="Arial"/>
          <w:color w:val="auto"/>
          <w:sz w:val="36"/>
          <w:szCs w:val="36"/>
          <w:highlight w:val="none"/>
          <w:lang w:eastAsia="zh-CN"/>
        </w:rPr>
      </w:pPr>
      <w:bookmarkStart w:id="224" w:name="_Toc239145361"/>
      <w:bookmarkStart w:id="225" w:name="_Toc262049426"/>
      <w:bookmarkStart w:id="226" w:name="_Toc223716005"/>
      <w:bookmarkStart w:id="227" w:name="_Toc245191321"/>
      <w:bookmarkStart w:id="228" w:name="_Toc241404209"/>
      <w:bookmarkStart w:id="229" w:name="_Toc249758722"/>
      <w:bookmarkStart w:id="230" w:name="_Toc221423626"/>
      <w:bookmarkStart w:id="231" w:name="_Toc245722288"/>
      <w:bookmarkStart w:id="232" w:name="_Toc246261272"/>
      <w:bookmarkStart w:id="233" w:name="_Toc249758872"/>
      <w:bookmarkStart w:id="234" w:name="_Toc262105511"/>
      <w:bookmarkStart w:id="235" w:name="_Toc222114886"/>
      <w:bookmarkStart w:id="236" w:name="_Toc7026"/>
      <w:r>
        <w:rPr>
          <w:rFonts w:hint="eastAsia" w:ascii="宋体" w:hAnsi="宋体" w:eastAsia="宋体" w:cs="Arial"/>
          <w:color w:val="auto"/>
          <w:sz w:val="36"/>
          <w:szCs w:val="36"/>
          <w:highlight w:val="none"/>
        </w:rPr>
        <w:t xml:space="preserve">第五部分   </w:t>
      </w:r>
      <w:bookmarkEnd w:id="219"/>
      <w:bookmarkEnd w:id="220"/>
      <w:bookmarkEnd w:id="221"/>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Arial"/>
          <w:color w:val="auto"/>
          <w:sz w:val="36"/>
          <w:szCs w:val="36"/>
          <w:highlight w:val="none"/>
          <w:lang w:val="en-US" w:eastAsia="zh-CN"/>
        </w:rPr>
        <w:t>附件</w:t>
      </w:r>
      <w:bookmarkEnd w:id="236"/>
    </w:p>
    <w:p w14:paraId="69278716">
      <w:pPr>
        <w:rPr>
          <w:rFonts w:ascii="宋体" w:hAnsi="宋体"/>
          <w:color w:val="auto"/>
          <w:highlight w:val="none"/>
        </w:rPr>
      </w:pPr>
    </w:p>
    <w:p w14:paraId="249DB0B0">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21C84B84">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14:paraId="22D3ED72">
      <w:pPr>
        <w:spacing w:line="460" w:lineRule="exact"/>
        <w:jc w:val="center"/>
        <w:rPr>
          <w:rFonts w:ascii="宋体" w:hAnsi="宋体" w:cs="仿宋"/>
          <w:color w:val="auto"/>
          <w:sz w:val="28"/>
          <w:szCs w:val="28"/>
          <w:highlight w:val="none"/>
        </w:rPr>
      </w:pPr>
    </w:p>
    <w:p w14:paraId="280A5278">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72EBBBFC">
      <w:pPr>
        <w:spacing w:line="400" w:lineRule="exact"/>
        <w:rPr>
          <w:rFonts w:ascii="宋体" w:hAnsi="宋体"/>
          <w:color w:val="auto"/>
          <w:highlight w:val="none"/>
        </w:rPr>
      </w:pPr>
    </w:p>
    <w:p w14:paraId="3910D4F9">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温州市鹿城区市政公用管理处</w:t>
      </w:r>
      <w:r>
        <w:rPr>
          <w:rFonts w:hint="eastAsia" w:ascii="宋体" w:hAnsi="宋体"/>
          <w:color w:val="auto"/>
          <w:sz w:val="22"/>
          <w:szCs w:val="22"/>
          <w:highlight w:val="none"/>
        </w:rPr>
        <w:t>：</w:t>
      </w:r>
    </w:p>
    <w:p w14:paraId="62B0FA42">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浙江建航工程咨询有限公司</w:t>
      </w:r>
      <w:r>
        <w:rPr>
          <w:rFonts w:hint="eastAsia" w:ascii="宋体" w:hAnsi="宋体"/>
          <w:color w:val="auto"/>
          <w:sz w:val="22"/>
          <w:szCs w:val="22"/>
          <w:highlight w:val="none"/>
        </w:rPr>
        <w:t>：</w:t>
      </w:r>
    </w:p>
    <w:p w14:paraId="7F212E4C">
      <w:pPr>
        <w:spacing w:line="460" w:lineRule="exact"/>
        <w:rPr>
          <w:rFonts w:ascii="宋体" w:hAnsi="宋体"/>
          <w:color w:val="auto"/>
          <w:sz w:val="22"/>
          <w:szCs w:val="22"/>
          <w:highlight w:val="none"/>
          <w:u w:val="single"/>
        </w:rPr>
      </w:pPr>
    </w:p>
    <w:p w14:paraId="7E2D842E">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785579BD">
      <w:pPr>
        <w:spacing w:line="400" w:lineRule="exact"/>
        <w:rPr>
          <w:rFonts w:ascii="宋体" w:hAnsi="宋体"/>
          <w:color w:val="auto"/>
          <w:highlight w:val="none"/>
        </w:rPr>
      </w:pPr>
    </w:p>
    <w:p w14:paraId="6EFB4673">
      <w:pPr>
        <w:spacing w:line="400" w:lineRule="exact"/>
        <w:rPr>
          <w:rFonts w:ascii="宋体" w:hAnsi="宋体"/>
          <w:color w:val="auto"/>
          <w:highlight w:val="none"/>
        </w:rPr>
      </w:pPr>
    </w:p>
    <w:p w14:paraId="5A2598E2">
      <w:pPr>
        <w:spacing w:line="400" w:lineRule="exact"/>
        <w:rPr>
          <w:rFonts w:ascii="宋体" w:hAnsi="宋体"/>
          <w:color w:val="auto"/>
          <w:highlight w:val="none"/>
        </w:rPr>
      </w:pPr>
    </w:p>
    <w:p w14:paraId="0319E39E">
      <w:pPr>
        <w:spacing w:line="460" w:lineRule="exact"/>
        <w:ind w:firstLine="3971" w:firstLineChars="1805"/>
        <w:rPr>
          <w:rFonts w:ascii="宋体" w:hAnsi="宋体"/>
          <w:color w:val="auto"/>
          <w:sz w:val="22"/>
          <w:szCs w:val="22"/>
          <w:highlight w:val="none"/>
        </w:rPr>
      </w:pPr>
    </w:p>
    <w:p w14:paraId="0936CAD1">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35A7D111">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300E789D">
      <w:pPr>
        <w:spacing w:line="460" w:lineRule="exact"/>
        <w:rPr>
          <w:rFonts w:ascii="宋体" w:hAnsi="宋体"/>
          <w:color w:val="auto"/>
          <w:sz w:val="22"/>
          <w:szCs w:val="22"/>
          <w:highlight w:val="none"/>
        </w:rPr>
      </w:pPr>
    </w:p>
    <w:p w14:paraId="77C48CD7">
      <w:pPr>
        <w:widowControl/>
        <w:jc w:val="left"/>
        <w:rPr>
          <w:rFonts w:ascii="Arial" w:hAnsi="Arial" w:cs="Arial"/>
          <w:color w:val="auto"/>
          <w:szCs w:val="21"/>
          <w:highlight w:val="none"/>
        </w:rPr>
      </w:pPr>
    </w:p>
    <w:p w14:paraId="45B7CEDC">
      <w:pPr>
        <w:widowControl/>
        <w:jc w:val="left"/>
        <w:rPr>
          <w:rFonts w:ascii="Arial" w:hAnsi="Arial" w:cs="Arial"/>
          <w:color w:val="auto"/>
          <w:szCs w:val="21"/>
          <w:highlight w:val="none"/>
        </w:rPr>
      </w:pPr>
    </w:p>
    <w:p w14:paraId="4637C61A">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w:t>
      </w:r>
      <w:r>
        <w:rPr>
          <w:rFonts w:hint="eastAsia" w:ascii="宋体" w:hAnsi="宋体" w:cs="Courier New"/>
          <w:b/>
          <w:color w:val="auto"/>
          <w:sz w:val="22"/>
          <w:szCs w:val="22"/>
          <w:highlight w:val="none"/>
          <w:lang w:val="en-US" w:eastAsia="zh-CN"/>
        </w:rPr>
        <w:t>复制件</w:t>
      </w:r>
      <w:r>
        <w:rPr>
          <w:rFonts w:ascii="Arial" w:hAnsi="Arial" w:cs="Arial"/>
          <w:color w:val="auto"/>
          <w:szCs w:val="21"/>
          <w:highlight w:val="none"/>
        </w:rPr>
        <w:br w:type="page"/>
      </w:r>
    </w:p>
    <w:p w14:paraId="480FC91C">
      <w:pPr>
        <w:spacing w:line="380" w:lineRule="exact"/>
        <w:jc w:val="center"/>
        <w:rPr>
          <w:rFonts w:ascii="宋体" w:hAnsi="宋体" w:cs="仿宋"/>
          <w:b/>
          <w:color w:val="auto"/>
          <w:sz w:val="22"/>
          <w:szCs w:val="22"/>
          <w:highlight w:val="none"/>
        </w:rPr>
      </w:pPr>
    </w:p>
    <w:p w14:paraId="510726DD">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36CD7CB2">
      <w:pPr>
        <w:spacing w:line="400" w:lineRule="exact"/>
        <w:jc w:val="center"/>
        <w:rPr>
          <w:rFonts w:ascii="宋体" w:hAnsi="宋体"/>
          <w:b/>
          <w:bCs/>
          <w:color w:val="auto"/>
          <w:sz w:val="28"/>
          <w:szCs w:val="28"/>
          <w:highlight w:val="none"/>
        </w:rPr>
      </w:pPr>
    </w:p>
    <w:p w14:paraId="6A9FE6C1">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温州市鹿城区市政公用管理处</w:t>
      </w:r>
      <w:r>
        <w:rPr>
          <w:rFonts w:hint="eastAsia" w:ascii="宋体" w:hAnsi="宋体"/>
          <w:color w:val="auto"/>
          <w:sz w:val="22"/>
          <w:szCs w:val="22"/>
          <w:highlight w:val="none"/>
        </w:rPr>
        <w:t>：</w:t>
      </w:r>
    </w:p>
    <w:p w14:paraId="05A23FFE">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浙江建航工程咨询有限公司</w:t>
      </w:r>
      <w:r>
        <w:rPr>
          <w:rFonts w:hint="eastAsia" w:ascii="宋体" w:hAnsi="宋体"/>
          <w:color w:val="auto"/>
          <w:sz w:val="22"/>
          <w:szCs w:val="22"/>
          <w:highlight w:val="none"/>
        </w:rPr>
        <w:t>：</w:t>
      </w:r>
    </w:p>
    <w:p w14:paraId="60ABD533">
      <w:pPr>
        <w:spacing w:line="460" w:lineRule="exact"/>
        <w:rPr>
          <w:rFonts w:ascii="宋体" w:hAnsi="宋体"/>
          <w:color w:val="auto"/>
          <w:sz w:val="22"/>
          <w:szCs w:val="22"/>
          <w:highlight w:val="none"/>
          <w:u w:val="single"/>
        </w:rPr>
      </w:pPr>
    </w:p>
    <w:p w14:paraId="008638A4">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59071758">
      <w:pPr>
        <w:spacing w:line="460" w:lineRule="exact"/>
        <w:ind w:firstLine="220" w:firstLineChars="100"/>
        <w:rPr>
          <w:rFonts w:ascii="宋体" w:hAnsi="宋体"/>
          <w:color w:val="auto"/>
          <w:sz w:val="22"/>
          <w:szCs w:val="22"/>
          <w:highlight w:val="none"/>
        </w:rPr>
      </w:pPr>
    </w:p>
    <w:p w14:paraId="345608B1">
      <w:pPr>
        <w:spacing w:line="460" w:lineRule="exact"/>
        <w:ind w:firstLine="550" w:firstLineChars="250"/>
        <w:rPr>
          <w:rFonts w:ascii="宋体" w:hAnsi="宋体"/>
          <w:color w:val="auto"/>
          <w:sz w:val="22"/>
          <w:szCs w:val="22"/>
          <w:highlight w:val="none"/>
        </w:rPr>
      </w:pPr>
    </w:p>
    <w:p w14:paraId="0F4703E1">
      <w:pPr>
        <w:spacing w:line="460" w:lineRule="exact"/>
        <w:ind w:firstLine="2955"/>
        <w:rPr>
          <w:rFonts w:ascii="宋体" w:hAnsi="宋体"/>
          <w:color w:val="auto"/>
          <w:sz w:val="22"/>
          <w:szCs w:val="22"/>
          <w:highlight w:val="none"/>
        </w:rPr>
      </w:pPr>
    </w:p>
    <w:p w14:paraId="0238E722">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s="宋体"/>
          <w:color w:val="auto"/>
          <w:sz w:val="22"/>
          <w:szCs w:val="22"/>
          <w:highlight w:val="none"/>
        </w:rPr>
        <w:t>（签字或盖章）</w:t>
      </w:r>
      <w:r>
        <w:rPr>
          <w:rFonts w:hint="eastAsia" w:ascii="宋体" w:hAnsi="宋体"/>
          <w:color w:val="auto"/>
          <w:sz w:val="22"/>
          <w:szCs w:val="22"/>
          <w:highlight w:val="none"/>
        </w:rPr>
        <w:t>：</w:t>
      </w:r>
    </w:p>
    <w:p w14:paraId="45707054">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14B0DBE4">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4A1DB6BA">
      <w:pPr>
        <w:spacing w:line="460" w:lineRule="exact"/>
        <w:rPr>
          <w:rFonts w:ascii="宋体" w:hAnsi="宋体"/>
          <w:color w:val="auto"/>
          <w:sz w:val="22"/>
          <w:szCs w:val="22"/>
          <w:highlight w:val="none"/>
        </w:rPr>
      </w:pPr>
    </w:p>
    <w:p w14:paraId="6F43F695">
      <w:pPr>
        <w:spacing w:line="460" w:lineRule="exact"/>
        <w:rPr>
          <w:rFonts w:ascii="宋体" w:hAnsi="宋体"/>
          <w:color w:val="auto"/>
          <w:sz w:val="22"/>
          <w:szCs w:val="22"/>
          <w:highlight w:val="none"/>
        </w:rPr>
      </w:pPr>
    </w:p>
    <w:p w14:paraId="10D11496">
      <w:pPr>
        <w:spacing w:line="460" w:lineRule="exact"/>
        <w:rPr>
          <w:rFonts w:hint="eastAsia" w:ascii="宋体" w:hAnsi="宋体" w:eastAsia="宋体"/>
          <w:color w:val="auto"/>
          <w:sz w:val="22"/>
          <w:szCs w:val="22"/>
          <w:highlight w:val="none"/>
          <w:lang w:eastAsia="zh-CN"/>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r>
        <w:rPr>
          <w:rFonts w:hint="eastAsia" w:ascii="宋体" w:hAnsi="宋体"/>
          <w:b/>
          <w:color w:val="auto"/>
          <w:sz w:val="22"/>
          <w:szCs w:val="22"/>
          <w:highlight w:val="none"/>
          <w:lang w:val="en-US" w:eastAsia="zh-CN"/>
        </w:rPr>
        <w:t>复制件</w:t>
      </w:r>
    </w:p>
    <w:p w14:paraId="4FE43D6D">
      <w:pPr>
        <w:widowControl/>
        <w:jc w:val="left"/>
        <w:rPr>
          <w:rFonts w:ascii="宋体" w:hAnsi="宋体"/>
          <w:b/>
          <w:bCs/>
          <w:color w:val="auto"/>
          <w:highlight w:val="none"/>
        </w:rPr>
      </w:pPr>
    </w:p>
    <w:p w14:paraId="02C24701">
      <w:pPr>
        <w:widowControl/>
        <w:jc w:val="left"/>
        <w:rPr>
          <w:rFonts w:ascii="宋体" w:hAnsi="宋体"/>
          <w:b/>
          <w:bCs/>
          <w:color w:val="auto"/>
          <w:highlight w:val="none"/>
        </w:rPr>
      </w:pPr>
    </w:p>
    <w:p w14:paraId="099CAE3E">
      <w:pPr>
        <w:widowControl/>
        <w:jc w:val="left"/>
        <w:rPr>
          <w:rFonts w:ascii="宋体" w:hAnsi="宋体"/>
          <w:b/>
          <w:bCs/>
          <w:color w:val="auto"/>
          <w:highlight w:val="none"/>
        </w:rPr>
      </w:pPr>
    </w:p>
    <w:p w14:paraId="26E0A434">
      <w:pPr>
        <w:widowControl/>
        <w:jc w:val="left"/>
        <w:rPr>
          <w:rFonts w:ascii="宋体" w:hAnsi="宋体"/>
          <w:b/>
          <w:bCs/>
          <w:color w:val="auto"/>
          <w:highlight w:val="none"/>
        </w:rPr>
      </w:pPr>
    </w:p>
    <w:p w14:paraId="7CB2AC40">
      <w:pPr>
        <w:widowControl/>
        <w:jc w:val="left"/>
        <w:rPr>
          <w:rFonts w:ascii="宋体" w:hAnsi="宋体"/>
          <w:b/>
          <w:bCs/>
          <w:color w:val="auto"/>
          <w:highlight w:val="none"/>
        </w:rPr>
      </w:pPr>
    </w:p>
    <w:p w14:paraId="735726FD">
      <w:pPr>
        <w:widowControl/>
        <w:jc w:val="left"/>
        <w:rPr>
          <w:rFonts w:ascii="宋体" w:hAnsi="宋体"/>
          <w:b/>
          <w:bCs/>
          <w:color w:val="auto"/>
          <w:highlight w:val="none"/>
        </w:rPr>
      </w:pPr>
    </w:p>
    <w:p w14:paraId="4D83E355">
      <w:pPr>
        <w:widowControl/>
        <w:jc w:val="left"/>
        <w:rPr>
          <w:rFonts w:ascii="宋体" w:hAnsi="宋体"/>
          <w:b/>
          <w:bCs/>
          <w:color w:val="auto"/>
          <w:highlight w:val="none"/>
        </w:rPr>
      </w:pPr>
    </w:p>
    <w:p w14:paraId="418E721E">
      <w:pPr>
        <w:widowControl/>
        <w:jc w:val="left"/>
        <w:rPr>
          <w:rFonts w:ascii="宋体" w:hAnsi="宋体"/>
          <w:b/>
          <w:bCs/>
          <w:color w:val="auto"/>
          <w:highlight w:val="none"/>
        </w:rPr>
      </w:pPr>
    </w:p>
    <w:p w14:paraId="64C8DDD7">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1408F2C6">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w:t>
      </w:r>
      <w:r>
        <w:rPr>
          <w:rFonts w:hint="eastAsia" w:ascii="宋体" w:hAnsi="宋体" w:cs="Courier New"/>
          <w:b/>
          <w:color w:val="auto"/>
          <w:sz w:val="22"/>
          <w:szCs w:val="22"/>
          <w:highlight w:val="none"/>
        </w:rPr>
        <w:t>复制件</w:t>
      </w:r>
      <w:r>
        <w:rPr>
          <w:rFonts w:hint="eastAsia" w:ascii="宋体" w:hAnsi="宋体"/>
          <w:b/>
          <w:color w:val="auto"/>
          <w:sz w:val="22"/>
          <w:szCs w:val="22"/>
          <w:highlight w:val="none"/>
        </w:rPr>
        <w:t>；</w:t>
      </w:r>
    </w:p>
    <w:p w14:paraId="5B156424">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r>
        <w:rPr>
          <w:rFonts w:hint="eastAsia" w:ascii="宋体" w:hAnsi="宋体"/>
          <w:b/>
          <w:color w:val="auto"/>
          <w:sz w:val="22"/>
          <w:szCs w:val="22"/>
          <w:highlight w:val="none"/>
          <w:lang w:val="en-US" w:eastAsia="zh-CN"/>
        </w:rPr>
        <w:t>复制件</w:t>
      </w:r>
      <w:r>
        <w:rPr>
          <w:rFonts w:hint="eastAsia" w:ascii="宋体" w:hAnsi="宋体" w:cs="Courier New"/>
          <w:b/>
          <w:color w:val="auto"/>
          <w:sz w:val="22"/>
          <w:szCs w:val="22"/>
          <w:highlight w:val="none"/>
        </w:rPr>
        <w:t>。</w:t>
      </w:r>
    </w:p>
    <w:p w14:paraId="5E0B2C6B">
      <w:pPr>
        <w:spacing w:line="460" w:lineRule="exact"/>
        <w:rPr>
          <w:rFonts w:ascii="宋体" w:hAnsi="宋体"/>
          <w:color w:val="auto"/>
          <w:sz w:val="22"/>
          <w:szCs w:val="22"/>
          <w:highlight w:val="none"/>
        </w:rPr>
      </w:pPr>
    </w:p>
    <w:p w14:paraId="4164F352">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420398E5">
      <w:pPr>
        <w:spacing w:line="380" w:lineRule="exact"/>
        <w:jc w:val="center"/>
        <w:rPr>
          <w:rFonts w:ascii="宋体" w:hAnsi="宋体"/>
          <w:b/>
          <w:bCs/>
          <w:color w:val="auto"/>
          <w:sz w:val="32"/>
          <w:highlight w:val="none"/>
        </w:rPr>
      </w:pPr>
    </w:p>
    <w:p w14:paraId="2795479C">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）投标供应商参与政府采购活动投标资格声明函</w:t>
      </w:r>
    </w:p>
    <w:p w14:paraId="4DDE21C8">
      <w:pPr>
        <w:widowControl/>
        <w:adjustRightInd w:val="0"/>
        <w:snapToGrid w:val="0"/>
        <w:spacing w:line="360" w:lineRule="auto"/>
        <w:jc w:val="left"/>
        <w:rPr>
          <w:rFonts w:ascii="宋体" w:hAnsi="宋体" w:cs="新宋体"/>
          <w:color w:val="auto"/>
          <w:kern w:val="0"/>
          <w:sz w:val="22"/>
          <w:szCs w:val="22"/>
          <w:highlight w:val="none"/>
        </w:rPr>
      </w:pPr>
    </w:p>
    <w:p w14:paraId="7DD66B00">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温州市鹿城区市政公用管理处</w:t>
      </w:r>
      <w:r>
        <w:rPr>
          <w:rFonts w:hint="eastAsia" w:ascii="宋体" w:hAnsi="宋体" w:cs="宋体"/>
          <w:color w:val="auto"/>
          <w:kern w:val="0"/>
          <w:sz w:val="22"/>
          <w:szCs w:val="22"/>
          <w:highlight w:val="none"/>
        </w:rPr>
        <w:t>：</w:t>
      </w:r>
    </w:p>
    <w:p w14:paraId="46836903">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浙江建航工程咨询有限公司</w:t>
      </w:r>
      <w:r>
        <w:rPr>
          <w:rFonts w:hint="eastAsia" w:ascii="宋体" w:hAnsi="宋体" w:cs="宋体"/>
          <w:color w:val="auto"/>
          <w:kern w:val="0"/>
          <w:sz w:val="22"/>
          <w:szCs w:val="22"/>
          <w:highlight w:val="none"/>
        </w:rPr>
        <w:t>：</w:t>
      </w:r>
    </w:p>
    <w:p w14:paraId="3E92E7FD">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14:paraId="43E0836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318B317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0E0AD2AF">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71582D30">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14:paraId="4934790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8D0ADAB">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6、我单位未与单位负责人为同一人或者存在直接控股、管理关系的其他供应商，一起参加本项目的政府采购活动。</w:t>
      </w:r>
    </w:p>
    <w:p w14:paraId="21A0AB47">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的要求，并在响应文件中提供了相应的证明材料（采购文件没有要求特定资格条件的，本条款空格处可以空白）</w:t>
      </w:r>
    </w:p>
    <w:p w14:paraId="223D5B11">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lang w:val="en-US" w:eastAsia="zh-CN"/>
        </w:rPr>
        <w:t>8、</w:t>
      </w:r>
      <w:r>
        <w:rPr>
          <w:rFonts w:hint="eastAsia" w:ascii="新宋体" w:hAnsi="新宋体" w:eastAsia="新宋体" w:cs="新宋体"/>
          <w:color w:val="auto"/>
          <w:kern w:val="0"/>
          <w:sz w:val="22"/>
          <w:szCs w:val="22"/>
          <w:highlight w:val="none"/>
        </w:rPr>
        <w:t>我单位此次</w:t>
      </w:r>
      <w:r>
        <w:rPr>
          <w:rFonts w:hint="eastAsia" w:ascii="新宋体" w:hAnsi="新宋体" w:eastAsia="新宋体" w:cs="新宋体"/>
          <w:color w:val="auto"/>
          <w:kern w:val="0"/>
          <w:sz w:val="22"/>
          <w:szCs w:val="22"/>
          <w:highlight w:val="none"/>
          <w:lang w:val="en-US" w:eastAsia="zh-CN"/>
        </w:rPr>
        <w:t>参与本</w:t>
      </w:r>
      <w:r>
        <w:rPr>
          <w:rFonts w:hint="eastAsia" w:ascii="宋体" w:hAnsi="宋体" w:cs="宋体"/>
          <w:color w:val="auto"/>
          <w:sz w:val="22"/>
          <w:szCs w:val="22"/>
          <w:highlight w:val="none"/>
          <w:lang w:val="en-US" w:eastAsia="zh-CN"/>
        </w:rPr>
        <w:t>项目</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77F935F5">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lang w:val="en-US" w:eastAsia="zh-CN"/>
        </w:rPr>
      </w:pPr>
    </w:p>
    <w:p w14:paraId="19BE28E2">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21DD0333">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1EA3FE55">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75D8E09">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158E0F05">
      <w:pPr>
        <w:pStyle w:val="24"/>
        <w:rPr>
          <w:color w:val="auto"/>
          <w:highlight w:val="none"/>
        </w:rPr>
      </w:pPr>
    </w:p>
    <w:p w14:paraId="1FCF3434">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44C475FA">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w:t>
      </w:r>
      <w:r>
        <w:rPr>
          <w:rFonts w:hint="eastAsia" w:ascii="宋体" w:hAnsi="宋体" w:cs="宋体"/>
          <w:color w:val="auto"/>
          <w:sz w:val="22"/>
          <w:szCs w:val="22"/>
          <w:highlight w:val="none"/>
        </w:rPr>
        <w:t>（签字或盖章）</w:t>
      </w:r>
      <w:r>
        <w:rPr>
          <w:rFonts w:hint="eastAsia" w:ascii="宋体" w:hAnsi="宋体" w:cs="Arial"/>
          <w:color w:val="auto"/>
          <w:kern w:val="0"/>
          <w:sz w:val="22"/>
          <w:szCs w:val="22"/>
          <w:highlight w:val="none"/>
        </w:rPr>
        <w:t>：</w:t>
      </w:r>
    </w:p>
    <w:p w14:paraId="134A6042">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0AC176A1">
      <w:pPr>
        <w:pStyle w:val="24"/>
        <w:rPr>
          <w:color w:val="auto"/>
          <w:highlight w:val="none"/>
        </w:rPr>
      </w:pPr>
    </w:p>
    <w:p w14:paraId="1294E7A7">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537242EA">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14:paraId="7CB2F5F4">
      <w:pPr>
        <w:ind w:right="-153" w:rightChars="-73"/>
        <w:jc w:val="center"/>
        <w:rPr>
          <w:rFonts w:ascii="宋体" w:hAnsi="宋体"/>
          <w:color w:val="auto"/>
          <w:sz w:val="22"/>
          <w:szCs w:val="22"/>
          <w:highlight w:val="none"/>
        </w:rPr>
      </w:pPr>
    </w:p>
    <w:p w14:paraId="650D07DF">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14C2134F">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42B2E891">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530B2D51">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14:paraId="7215BD7A">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12FA6869">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03469D79">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559E512">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14:paraId="3964F5AF">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14:paraId="61F7673F">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14:paraId="624C4952">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7D2707C1">
      <w:pPr>
        <w:numPr>
          <w:ilvl w:val="0"/>
          <w:numId w:val="45"/>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730D6389">
      <w:pPr>
        <w:snapToGrid w:val="0"/>
        <w:spacing w:line="500" w:lineRule="exact"/>
        <w:ind w:firstLine="385" w:firstLineChars="175"/>
        <w:rPr>
          <w:rFonts w:ascii="宋体" w:hAnsi="宋体"/>
          <w:color w:val="auto"/>
          <w:sz w:val="22"/>
          <w:szCs w:val="22"/>
          <w:highlight w:val="none"/>
        </w:rPr>
      </w:pPr>
    </w:p>
    <w:p w14:paraId="53D35BD0">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0F2BA7BC">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w:t>
      </w:r>
      <w:r>
        <w:rPr>
          <w:rFonts w:hint="eastAsia" w:ascii="宋体" w:hAnsi="宋体" w:cs="宋体"/>
          <w:color w:val="auto"/>
          <w:sz w:val="22"/>
          <w:szCs w:val="22"/>
          <w:highlight w:val="none"/>
        </w:rPr>
        <w:t>（签字或盖章）</w:t>
      </w:r>
      <w:r>
        <w:rPr>
          <w:rFonts w:hint="eastAsia" w:ascii="宋体" w:hAnsi="宋体" w:cs="Arial"/>
          <w:color w:val="auto"/>
          <w:kern w:val="0"/>
          <w:sz w:val="22"/>
          <w:szCs w:val="22"/>
          <w:highlight w:val="none"/>
        </w:rPr>
        <w:t>：</w:t>
      </w:r>
    </w:p>
    <w:p w14:paraId="4349C744">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408144E3">
      <w:pPr>
        <w:rPr>
          <w:rFonts w:ascii="宋体"/>
          <w:b/>
          <w:bCs/>
          <w:color w:val="auto"/>
          <w:sz w:val="22"/>
          <w:szCs w:val="22"/>
          <w:highlight w:val="none"/>
        </w:rPr>
      </w:pPr>
      <w:r>
        <w:rPr>
          <w:rFonts w:ascii="宋体"/>
          <w:b/>
          <w:bCs/>
          <w:color w:val="auto"/>
          <w:sz w:val="22"/>
          <w:szCs w:val="22"/>
          <w:highlight w:val="none"/>
        </w:rPr>
        <w:br w:type="page"/>
      </w:r>
    </w:p>
    <w:p w14:paraId="6FB44BDD">
      <w:pPr>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14:paraId="51E53828">
      <w:pPr>
        <w:spacing w:line="460" w:lineRule="exact"/>
        <w:jc w:val="center"/>
        <w:rPr>
          <w:rFonts w:ascii="宋体" w:eastAsia="宋体" w:cs="仿宋_GB2312"/>
          <w:color w:val="auto"/>
          <w:sz w:val="32"/>
          <w:szCs w:val="32"/>
          <w:highlight w:val="none"/>
          <w:lang w:val="zh-CN"/>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1）</w:t>
      </w:r>
      <w:r>
        <w:rPr>
          <w:rFonts w:hint="eastAsia" w:ascii="宋体" w:eastAsia="宋体" w:cs="仿宋_GB2312"/>
          <w:b/>
          <w:bCs/>
          <w:color w:val="auto"/>
          <w:sz w:val="22"/>
          <w:szCs w:val="22"/>
          <w:highlight w:val="none"/>
          <w:lang w:val="zh-CN"/>
        </w:rPr>
        <w:t>开标一览表</w:t>
      </w:r>
    </w:p>
    <w:p w14:paraId="3A1B0C43">
      <w:pPr>
        <w:autoSpaceDE w:val="0"/>
        <w:autoSpaceDN w:val="0"/>
        <w:adjustRightInd w:val="0"/>
        <w:rPr>
          <w:rFonts w:hint="eastAsia" w:ascii="宋体" w:eastAsia="宋体" w:cs="仿宋_GB2312"/>
          <w:b w:val="0"/>
          <w:color w:val="auto"/>
          <w:sz w:val="22"/>
          <w:szCs w:val="22"/>
          <w:highlight w:val="none"/>
          <w:lang w:val="zh-CN"/>
        </w:rPr>
      </w:pPr>
      <w:r>
        <w:rPr>
          <w:rFonts w:hint="eastAsia" w:ascii="宋体" w:eastAsia="宋体" w:cs="仿宋_GB2312"/>
          <w:b w:val="0"/>
          <w:color w:val="auto"/>
          <w:sz w:val="22"/>
          <w:szCs w:val="22"/>
          <w:highlight w:val="none"/>
          <w:lang w:val="zh-CN"/>
        </w:rPr>
        <w:t>投标人名称：</w:t>
      </w:r>
      <w:r>
        <w:rPr>
          <w:rFonts w:ascii="宋体" w:eastAsia="宋体" w:cs="仿宋_GB2312"/>
          <w:b w:val="0"/>
          <w:color w:val="auto"/>
          <w:sz w:val="22"/>
          <w:szCs w:val="22"/>
          <w:highlight w:val="none"/>
          <w:u w:val="single"/>
          <w:lang w:val="zh-CN"/>
        </w:rPr>
        <w:t xml:space="preserve">             </w:t>
      </w:r>
      <w:r>
        <w:rPr>
          <w:rFonts w:ascii="宋体" w:eastAsia="宋体" w:cs="仿宋_GB2312"/>
          <w:b w:val="0"/>
          <w:color w:val="auto"/>
          <w:sz w:val="22"/>
          <w:szCs w:val="22"/>
          <w:highlight w:val="none"/>
          <w:lang w:val="zh-CN"/>
        </w:rPr>
        <w:t xml:space="preserve">     </w:t>
      </w:r>
      <w:r>
        <w:rPr>
          <w:rFonts w:hint="eastAsia" w:ascii="宋体" w:eastAsia="宋体" w:cs="仿宋_GB2312"/>
          <w:b w:val="0"/>
          <w:color w:val="auto"/>
          <w:sz w:val="22"/>
          <w:szCs w:val="22"/>
          <w:highlight w:val="none"/>
          <w:lang w:val="zh-CN"/>
        </w:rPr>
        <w:t>招标编号：</w:t>
      </w:r>
      <w:r>
        <w:rPr>
          <w:rFonts w:ascii="宋体" w:eastAsia="宋体" w:cs="仿宋_GB2312"/>
          <w:b w:val="0"/>
          <w:color w:val="auto"/>
          <w:sz w:val="22"/>
          <w:szCs w:val="22"/>
          <w:highlight w:val="none"/>
          <w:u w:val="single"/>
          <w:lang w:val="zh-CN"/>
        </w:rPr>
        <w:t xml:space="preserve">         </w:t>
      </w:r>
      <w:r>
        <w:rPr>
          <w:rFonts w:ascii="宋体" w:eastAsia="宋体" w:cs="仿宋_GB2312"/>
          <w:b w:val="0"/>
          <w:color w:val="auto"/>
          <w:sz w:val="22"/>
          <w:szCs w:val="22"/>
          <w:highlight w:val="none"/>
          <w:lang w:val="zh-CN"/>
        </w:rPr>
        <w:t xml:space="preserve">  </w:t>
      </w:r>
      <w:r>
        <w:rPr>
          <w:rFonts w:hint="eastAsia" w:ascii="宋体" w:eastAsia="宋体" w:cs="仿宋_GB2312"/>
          <w:b w:val="0"/>
          <w:color w:val="auto"/>
          <w:sz w:val="22"/>
          <w:szCs w:val="22"/>
          <w:highlight w:val="none"/>
          <w:lang w:val="zh-CN"/>
        </w:rPr>
        <w:t xml:space="preserve">  报价单位：</w:t>
      </w:r>
      <w:r>
        <w:rPr>
          <w:rFonts w:hint="eastAsia" w:ascii="宋体" w:eastAsia="宋体" w:cs="仿宋_GB2312"/>
          <w:b w:val="0"/>
          <w:color w:val="auto"/>
          <w:sz w:val="22"/>
          <w:szCs w:val="22"/>
          <w:highlight w:val="none"/>
          <w:u w:val="single"/>
          <w:lang w:val="zh-CN"/>
        </w:rPr>
        <w:t>人民币元</w:t>
      </w:r>
    </w:p>
    <w:tbl>
      <w:tblPr>
        <w:tblStyle w:val="62"/>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309"/>
        <w:gridCol w:w="2080"/>
        <w:gridCol w:w="1743"/>
      </w:tblGrid>
      <w:tr w14:paraId="14F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347" w:type="dxa"/>
            <w:tcBorders>
              <w:right w:val="single" w:color="auto" w:sz="4" w:space="0"/>
            </w:tcBorders>
            <w:noWrap w:val="0"/>
            <w:vAlign w:val="center"/>
          </w:tcPr>
          <w:p w14:paraId="1DF39BC6">
            <w:pPr>
              <w:pStyle w:val="33"/>
              <w:keepNext w:val="0"/>
              <w:keepLines w:val="0"/>
              <w:pageBreakBefore w:val="0"/>
              <w:suppressLineNumbers w:val="0"/>
              <w:tabs>
                <w:tab w:val="right" w:leader="dot" w:pos="8987"/>
              </w:tabs>
              <w:kinsoku/>
              <w:wordWrap/>
              <w:topLinePunct w:val="0"/>
              <w:bidi w:val="0"/>
              <w:spacing w:before="0" w:beforeAutospacing="0" w:after="0" w:afterAutospacing="0" w:line="460" w:lineRule="atLeast"/>
              <w:ind w:left="0" w:leftChars="0" w:right="0"/>
              <w:jc w:val="center"/>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项目名称</w:t>
            </w:r>
          </w:p>
        </w:tc>
        <w:tc>
          <w:tcPr>
            <w:tcW w:w="2309" w:type="dxa"/>
            <w:tcBorders>
              <w:right w:val="single" w:color="000000" w:sz="6" w:space="0"/>
            </w:tcBorders>
            <w:noWrap w:val="0"/>
            <w:vAlign w:val="center"/>
          </w:tcPr>
          <w:p w14:paraId="15B5CF19">
            <w:pPr>
              <w:pStyle w:val="33"/>
              <w:keepNext w:val="0"/>
              <w:keepLines w:val="0"/>
              <w:pageBreakBefore w:val="0"/>
              <w:suppressLineNumbers w:val="0"/>
              <w:tabs>
                <w:tab w:val="right" w:leader="dot" w:pos="8987"/>
              </w:tabs>
              <w:kinsoku/>
              <w:wordWrap/>
              <w:topLinePunct w:val="0"/>
              <w:bidi w:val="0"/>
              <w:spacing w:before="0" w:beforeAutospacing="0" w:after="0" w:afterAutospacing="0" w:line="460" w:lineRule="atLeast"/>
              <w:ind w:left="0" w:leftChars="0" w:right="0"/>
              <w:jc w:val="center"/>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rPr>
              <w:t>投</w:t>
            </w:r>
            <w:r>
              <w:rPr>
                <w:rFonts w:hint="eastAsia" w:hAnsi="宋体" w:eastAsia="宋体"/>
                <w:b w:val="0"/>
                <w:color w:val="auto"/>
                <w:sz w:val="22"/>
                <w:szCs w:val="22"/>
                <w:highlight w:val="none"/>
                <w:lang w:eastAsia="zh-CN"/>
              </w:rPr>
              <w:t>标报价（下浮率）</w:t>
            </w:r>
          </w:p>
          <w:p w14:paraId="6D496440">
            <w:pPr>
              <w:pStyle w:val="33"/>
              <w:keepNext w:val="0"/>
              <w:keepLines w:val="0"/>
              <w:pageBreakBefore w:val="0"/>
              <w:suppressLineNumbers w:val="0"/>
              <w:tabs>
                <w:tab w:val="right" w:leader="dot" w:pos="8987"/>
              </w:tabs>
              <w:kinsoku/>
              <w:wordWrap/>
              <w:topLinePunct w:val="0"/>
              <w:bidi w:val="0"/>
              <w:spacing w:before="0" w:beforeAutospacing="0" w:after="0" w:afterAutospacing="0" w:line="460" w:lineRule="atLeast"/>
              <w:ind w:left="0" w:leftChars="0" w:right="0"/>
              <w:jc w:val="center"/>
              <w:rPr>
                <w:rFonts w:hint="eastAsia" w:hAnsi="宋体" w:eastAsia="宋体"/>
                <w:b w:val="0"/>
                <w:color w:val="auto"/>
                <w:sz w:val="22"/>
                <w:szCs w:val="22"/>
                <w:highlight w:val="none"/>
              </w:rPr>
            </w:pPr>
            <w:r>
              <w:rPr>
                <w:rFonts w:hint="eastAsia" w:hAnsi="宋体" w:eastAsia="宋体"/>
                <w:b w:val="0"/>
                <w:color w:val="auto"/>
                <w:sz w:val="22"/>
                <w:szCs w:val="22"/>
                <w:highlight w:val="none"/>
              </w:rPr>
              <w:t>（</w:t>
            </w:r>
            <w:r>
              <w:rPr>
                <w:rFonts w:hint="eastAsia" w:hAnsi="宋体" w:eastAsia="宋体"/>
                <w:b w:val="0"/>
                <w:color w:val="auto"/>
                <w:sz w:val="22"/>
                <w:szCs w:val="22"/>
                <w:highlight w:val="none"/>
                <w:lang w:eastAsia="zh-CN"/>
              </w:rPr>
              <w:t>%</w:t>
            </w:r>
            <w:r>
              <w:rPr>
                <w:rFonts w:hint="eastAsia" w:hAnsi="宋体" w:eastAsia="宋体"/>
                <w:b w:val="0"/>
                <w:color w:val="auto"/>
                <w:sz w:val="22"/>
                <w:szCs w:val="22"/>
                <w:highlight w:val="none"/>
              </w:rPr>
              <w:t>）</w:t>
            </w:r>
          </w:p>
        </w:tc>
        <w:tc>
          <w:tcPr>
            <w:tcW w:w="2080" w:type="dxa"/>
            <w:noWrap w:val="0"/>
            <w:vAlign w:val="center"/>
          </w:tcPr>
          <w:p w14:paraId="2D826D5D">
            <w:pPr>
              <w:pStyle w:val="34"/>
              <w:keepNext w:val="0"/>
              <w:keepLines w:val="0"/>
              <w:pageBreakBefore w:val="0"/>
              <w:suppressLineNumbers w:val="0"/>
              <w:kinsoku/>
              <w:wordWrap/>
              <w:topLinePunct w:val="0"/>
              <w:bidi w:val="0"/>
              <w:spacing w:before="0" w:beforeAutospacing="0" w:after="0" w:afterAutospacing="0"/>
              <w:ind w:left="0" w:leftChars="0" w:right="0"/>
              <w:jc w:val="center"/>
              <w:rPr>
                <w:rFonts w:hint="eastAsia" w:hAnsi="宋体" w:eastAsia="宋体"/>
                <w:b w:val="0"/>
                <w:color w:val="auto"/>
                <w:kern w:val="0"/>
                <w:sz w:val="22"/>
                <w:szCs w:val="22"/>
                <w:highlight w:val="none"/>
              </w:rPr>
            </w:pPr>
            <w:r>
              <w:rPr>
                <w:rFonts w:hint="eastAsia" w:hAnsi="宋体" w:eastAsia="宋体"/>
                <w:b w:val="0"/>
                <w:color w:val="auto"/>
                <w:kern w:val="0"/>
                <w:sz w:val="22"/>
                <w:szCs w:val="22"/>
                <w:highlight w:val="none"/>
              </w:rPr>
              <w:t>承包期限</w:t>
            </w:r>
          </w:p>
        </w:tc>
        <w:tc>
          <w:tcPr>
            <w:tcW w:w="1743" w:type="dxa"/>
            <w:noWrap w:val="0"/>
            <w:vAlign w:val="center"/>
          </w:tcPr>
          <w:p w14:paraId="62B5083D">
            <w:pPr>
              <w:pStyle w:val="34"/>
              <w:keepNext w:val="0"/>
              <w:keepLines w:val="0"/>
              <w:pageBreakBefore w:val="0"/>
              <w:suppressLineNumbers w:val="0"/>
              <w:kinsoku/>
              <w:wordWrap/>
              <w:topLinePunct w:val="0"/>
              <w:bidi w:val="0"/>
              <w:snapToGrid w:val="0"/>
              <w:spacing w:before="0" w:beforeAutospacing="0" w:after="0" w:afterAutospacing="0" w:line="460" w:lineRule="atLeast"/>
              <w:ind w:left="0" w:leftChars="0" w:right="0"/>
              <w:jc w:val="center"/>
              <w:rPr>
                <w:rFonts w:hint="eastAsia" w:hAnsi="宋体" w:eastAsia="宋体"/>
                <w:b w:val="0"/>
                <w:color w:val="auto"/>
                <w:kern w:val="0"/>
                <w:sz w:val="22"/>
                <w:szCs w:val="22"/>
                <w:highlight w:val="none"/>
              </w:rPr>
            </w:pPr>
            <w:r>
              <w:rPr>
                <w:rFonts w:hint="eastAsia" w:hAnsi="宋体" w:eastAsia="宋体"/>
                <w:b w:val="0"/>
                <w:color w:val="auto"/>
                <w:kern w:val="0"/>
                <w:sz w:val="22"/>
                <w:szCs w:val="22"/>
                <w:highlight w:val="none"/>
              </w:rPr>
              <w:t>备注</w:t>
            </w:r>
          </w:p>
        </w:tc>
      </w:tr>
      <w:tr w14:paraId="3A8F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3347" w:type="dxa"/>
            <w:tcBorders>
              <w:right w:val="single" w:color="auto" w:sz="4" w:space="0"/>
            </w:tcBorders>
            <w:noWrap w:val="0"/>
            <w:vAlign w:val="center"/>
          </w:tcPr>
          <w:p w14:paraId="4194BF6D">
            <w:pPr>
              <w:pStyle w:val="33"/>
              <w:keepNext w:val="0"/>
              <w:keepLines w:val="0"/>
              <w:pageBreakBefore w:val="0"/>
              <w:suppressLineNumbers w:val="0"/>
              <w:tabs>
                <w:tab w:val="right" w:leader="dot" w:pos="8987"/>
              </w:tabs>
              <w:kinsoku/>
              <w:wordWrap/>
              <w:topLinePunct w:val="0"/>
              <w:bidi w:val="0"/>
              <w:spacing w:before="0" w:beforeAutospacing="0" w:after="0" w:afterAutospacing="0"/>
              <w:ind w:left="0" w:leftChars="0" w:right="0"/>
              <w:jc w:val="center"/>
              <w:rPr>
                <w:rFonts w:hint="eastAsia" w:hAnsi="宋体" w:eastAsia="宋体"/>
                <w:b w:val="0"/>
                <w:color w:val="auto"/>
                <w:sz w:val="22"/>
                <w:szCs w:val="22"/>
                <w:highlight w:val="none"/>
                <w:lang w:eastAsia="zh-CN"/>
              </w:rPr>
            </w:pPr>
            <w:r>
              <w:rPr>
                <w:rFonts w:hint="eastAsia" w:hAnsi="宋体"/>
                <w:b w:val="0"/>
                <w:color w:val="auto"/>
                <w:sz w:val="22"/>
                <w:szCs w:val="22"/>
                <w:highlight w:val="none"/>
                <w:lang w:eastAsia="zh-CN"/>
              </w:rPr>
              <w:t>2025年鹿城区城市道路巡查与维养项目（第二次）</w:t>
            </w:r>
          </w:p>
        </w:tc>
        <w:tc>
          <w:tcPr>
            <w:tcW w:w="2309" w:type="dxa"/>
            <w:tcBorders>
              <w:right w:val="single" w:color="000000" w:sz="6" w:space="0"/>
            </w:tcBorders>
            <w:noWrap w:val="0"/>
            <w:vAlign w:val="center"/>
          </w:tcPr>
          <w:p w14:paraId="379C9BD0">
            <w:pPr>
              <w:pStyle w:val="33"/>
              <w:keepNext w:val="0"/>
              <w:keepLines w:val="0"/>
              <w:pageBreakBefore w:val="0"/>
              <w:suppressLineNumbers w:val="0"/>
              <w:tabs>
                <w:tab w:val="right" w:leader="dot" w:pos="8987"/>
              </w:tabs>
              <w:kinsoku/>
              <w:wordWrap/>
              <w:topLinePunct w:val="0"/>
              <w:bidi w:val="0"/>
              <w:spacing w:before="0" w:beforeAutospacing="0" w:after="0" w:afterAutospacing="0"/>
              <w:ind w:left="0" w:leftChars="0" w:right="0"/>
              <w:rPr>
                <w:rFonts w:hint="eastAsia" w:hAnsi="宋体" w:eastAsia="宋体"/>
                <w:b w:val="0"/>
                <w:color w:val="auto"/>
                <w:sz w:val="22"/>
                <w:szCs w:val="22"/>
                <w:highlight w:val="none"/>
                <w:u w:val="single"/>
                <w:lang w:eastAsia="zh-CN"/>
              </w:rPr>
            </w:pPr>
            <w:r>
              <w:rPr>
                <w:rFonts w:hint="eastAsia" w:hAnsi="宋体" w:eastAsia="宋体"/>
                <w:b w:val="0"/>
                <w:color w:val="auto"/>
                <w:sz w:val="22"/>
                <w:szCs w:val="22"/>
                <w:highlight w:val="none"/>
                <w:u w:val="single"/>
                <w:lang w:eastAsia="zh-CN"/>
              </w:rPr>
              <w:t xml:space="preserve">       %（取整）</w:t>
            </w:r>
          </w:p>
        </w:tc>
        <w:tc>
          <w:tcPr>
            <w:tcW w:w="2080" w:type="dxa"/>
            <w:tcBorders>
              <w:left w:val="single" w:color="000000" w:sz="6" w:space="0"/>
            </w:tcBorders>
            <w:noWrap w:val="0"/>
            <w:vAlign w:val="center"/>
          </w:tcPr>
          <w:p w14:paraId="0F572B14">
            <w:pPr>
              <w:pStyle w:val="34"/>
              <w:keepNext w:val="0"/>
              <w:keepLines w:val="0"/>
              <w:pageBreakBefore w:val="0"/>
              <w:suppressLineNumbers w:val="0"/>
              <w:kinsoku/>
              <w:wordWrap/>
              <w:topLinePunct w:val="0"/>
              <w:bidi w:val="0"/>
              <w:spacing w:before="0" w:beforeAutospacing="0" w:after="0" w:afterAutospacing="0"/>
              <w:ind w:left="0" w:leftChars="0" w:right="0"/>
              <w:jc w:val="center"/>
              <w:rPr>
                <w:rFonts w:hint="eastAsia" w:hAnsi="宋体" w:eastAsia="宋体"/>
                <w:b w:val="0"/>
                <w:color w:val="auto"/>
                <w:kern w:val="0"/>
                <w:sz w:val="22"/>
                <w:szCs w:val="22"/>
                <w:highlight w:val="none"/>
                <w:lang w:eastAsia="zh-CN"/>
              </w:rPr>
            </w:pPr>
            <w:r>
              <w:rPr>
                <w:rFonts w:hint="eastAsia" w:hAnsi="宋体"/>
                <w:b w:val="0"/>
                <w:color w:val="auto"/>
                <w:kern w:val="0"/>
                <w:sz w:val="22"/>
                <w:szCs w:val="22"/>
                <w:highlight w:val="none"/>
                <w:lang w:eastAsia="zh-CN"/>
              </w:rPr>
              <w:t>服务期壹年</w:t>
            </w:r>
          </w:p>
        </w:tc>
        <w:tc>
          <w:tcPr>
            <w:tcW w:w="1743" w:type="dxa"/>
            <w:noWrap w:val="0"/>
            <w:vAlign w:val="center"/>
          </w:tcPr>
          <w:p w14:paraId="53C98186">
            <w:pPr>
              <w:pStyle w:val="34"/>
              <w:keepNext w:val="0"/>
              <w:keepLines w:val="0"/>
              <w:pageBreakBefore w:val="0"/>
              <w:suppressLineNumbers w:val="0"/>
              <w:kinsoku/>
              <w:wordWrap/>
              <w:topLinePunct w:val="0"/>
              <w:bidi w:val="0"/>
              <w:snapToGrid w:val="0"/>
              <w:spacing w:before="0" w:beforeAutospacing="0" w:after="0" w:afterAutospacing="0"/>
              <w:ind w:left="0" w:leftChars="0" w:right="0"/>
              <w:jc w:val="center"/>
              <w:rPr>
                <w:rFonts w:hint="eastAsia" w:eastAsia="宋体"/>
                <w:b w:val="0"/>
                <w:bCs w:val="0"/>
                <w:color w:val="auto"/>
                <w:kern w:val="0"/>
                <w:sz w:val="22"/>
                <w:szCs w:val="22"/>
                <w:highlight w:val="none"/>
              </w:rPr>
            </w:pPr>
            <w:r>
              <w:rPr>
                <w:rFonts w:hint="eastAsia" w:eastAsia="宋体"/>
                <w:b w:val="0"/>
                <w:bCs w:val="0"/>
                <w:color w:val="auto"/>
                <w:kern w:val="0"/>
                <w:sz w:val="22"/>
                <w:szCs w:val="22"/>
                <w:highlight w:val="none"/>
              </w:rPr>
              <w:t>不小于</w:t>
            </w:r>
            <w:r>
              <w:rPr>
                <w:rFonts w:hint="eastAsia"/>
                <w:b w:val="0"/>
                <w:bCs w:val="0"/>
                <w:color w:val="auto"/>
                <w:kern w:val="0"/>
                <w:sz w:val="22"/>
                <w:szCs w:val="22"/>
                <w:highlight w:val="none"/>
                <w:lang w:val="en-US" w:eastAsia="zh-CN"/>
              </w:rPr>
              <w:t>5</w:t>
            </w:r>
            <w:r>
              <w:rPr>
                <w:rFonts w:hint="eastAsia" w:eastAsia="宋体"/>
                <w:b w:val="0"/>
                <w:bCs w:val="0"/>
                <w:color w:val="auto"/>
                <w:kern w:val="0"/>
                <w:sz w:val="22"/>
                <w:szCs w:val="22"/>
                <w:highlight w:val="none"/>
              </w:rPr>
              <w:t>%。</w:t>
            </w:r>
          </w:p>
        </w:tc>
      </w:tr>
    </w:tbl>
    <w:p w14:paraId="4D1231B2">
      <w:pPr>
        <w:autoSpaceDE w:val="0"/>
        <w:autoSpaceDN w:val="0"/>
        <w:adjustRightInd w:val="0"/>
        <w:spacing w:line="460" w:lineRule="atLeast"/>
        <w:rPr>
          <w:rFonts w:ascii="宋体" w:eastAsia="宋体" w:cs="仿宋_GB2312"/>
          <w:b w:val="0"/>
          <w:color w:val="auto"/>
          <w:sz w:val="22"/>
          <w:szCs w:val="22"/>
          <w:highlight w:val="none"/>
          <w:lang w:val="zh-CN"/>
        </w:rPr>
      </w:pPr>
      <w:r>
        <w:rPr>
          <w:rFonts w:hint="eastAsia" w:ascii="宋体" w:eastAsia="宋体" w:cs="仿宋_GB2312"/>
          <w:b w:val="0"/>
          <w:color w:val="auto"/>
          <w:sz w:val="22"/>
          <w:szCs w:val="22"/>
          <w:highlight w:val="none"/>
          <w:lang w:val="zh-CN"/>
        </w:rPr>
        <w:t>注：</w:t>
      </w:r>
    </w:p>
    <w:p w14:paraId="004C42D9">
      <w:pPr>
        <w:pStyle w:val="34"/>
        <w:spacing w:line="460" w:lineRule="atLeast"/>
        <w:rPr>
          <w:rFonts w:hint="eastAsia" w:hAnsi="宋体" w:eastAsia="宋体"/>
          <w:b w:val="0"/>
          <w:color w:val="auto"/>
          <w:sz w:val="22"/>
          <w:szCs w:val="22"/>
          <w:highlight w:val="none"/>
        </w:rPr>
      </w:pPr>
      <w:r>
        <w:rPr>
          <w:rFonts w:hint="eastAsia" w:hAnsi="宋体"/>
          <w:b w:val="0"/>
          <w:color w:val="auto"/>
          <w:sz w:val="22"/>
          <w:szCs w:val="22"/>
          <w:highlight w:val="none"/>
          <w:u w:val="single"/>
          <w:lang w:val="en-US" w:eastAsia="zh-CN"/>
        </w:rPr>
        <w:t>1.</w:t>
      </w:r>
      <w:r>
        <w:rPr>
          <w:rFonts w:hint="eastAsia" w:hAnsi="宋体" w:eastAsia="宋体"/>
          <w:b w:val="0"/>
          <w:color w:val="auto"/>
          <w:sz w:val="22"/>
          <w:szCs w:val="22"/>
          <w:highlight w:val="none"/>
          <w:u w:val="single"/>
        </w:rPr>
        <w:t>▲开标一览表中投标报价（下浮率）为符合招标文件要求的</w:t>
      </w:r>
      <w:r>
        <w:rPr>
          <w:rFonts w:hint="eastAsia" w:hAnsi="宋体"/>
          <w:b w:val="0"/>
          <w:color w:val="auto"/>
          <w:sz w:val="22"/>
          <w:szCs w:val="22"/>
          <w:highlight w:val="none"/>
          <w:u w:val="single"/>
          <w:lang w:eastAsia="zh-CN"/>
        </w:rPr>
        <w:t>标项</w:t>
      </w:r>
      <w:r>
        <w:rPr>
          <w:rFonts w:hint="eastAsia" w:hAnsi="宋体" w:eastAsia="宋体"/>
          <w:b w:val="0"/>
          <w:color w:val="auto"/>
          <w:sz w:val="22"/>
          <w:szCs w:val="22"/>
          <w:highlight w:val="none"/>
          <w:u w:val="single"/>
        </w:rPr>
        <w:t>内全部费用，承包价格必须包括在承包区域内提供道路日常维修与养护服务所需的一切劳务（含配合采购人开展日常监管和档案管理等工作的不少于1名人员的劳务支出费用）、材料、设备、配件、备件、损耗（包括水、电等）、仓储、运输（包括垃圾外运）、维护、税费、保险、利润、完成合同所需的一切本身和不可或缺的所有工作开支、政策性文件规定及合同包含的所有风险、责任、招标代理服务等各项全部费用并承担一切风险责任。</w:t>
      </w:r>
    </w:p>
    <w:p w14:paraId="36A4175A">
      <w:pPr>
        <w:pStyle w:val="34"/>
        <w:keepNext w:val="0"/>
        <w:keepLines w:val="0"/>
        <w:pageBreakBefore w:val="0"/>
        <w:kinsoku/>
        <w:wordWrap/>
        <w:topLinePunct w:val="0"/>
        <w:bidi w:val="0"/>
        <w:snapToGrid/>
        <w:spacing w:line="460" w:lineRule="exact"/>
        <w:rPr>
          <w:rFonts w:hint="eastAsia" w:hAnsi="宋体" w:eastAsia="宋体"/>
          <w:b w:val="0"/>
          <w:color w:val="auto"/>
          <w:sz w:val="22"/>
          <w:szCs w:val="22"/>
          <w:highlight w:val="none"/>
        </w:rPr>
      </w:pPr>
      <w:r>
        <w:rPr>
          <w:rFonts w:hint="eastAsia" w:hAnsi="宋体"/>
          <w:b w:val="0"/>
          <w:color w:val="auto"/>
          <w:sz w:val="22"/>
          <w:szCs w:val="22"/>
          <w:highlight w:val="none"/>
          <w:u w:val="single"/>
          <w:lang w:val="en-US" w:eastAsia="zh-CN"/>
        </w:rPr>
        <w:t>2.</w:t>
      </w:r>
      <w:r>
        <w:rPr>
          <w:rFonts w:hint="eastAsia" w:hAnsi="宋体" w:eastAsia="宋体"/>
          <w:b w:val="0"/>
          <w:color w:val="auto"/>
          <w:sz w:val="22"/>
          <w:szCs w:val="22"/>
          <w:highlight w:val="none"/>
          <w:u w:val="single"/>
        </w:rPr>
        <w:t>▲不提供此表格的将视为没有实质性响应招标文件。</w:t>
      </w:r>
    </w:p>
    <w:p w14:paraId="3F30ACC1">
      <w:pPr>
        <w:keepNext w:val="0"/>
        <w:keepLines w:val="0"/>
        <w:pageBreakBefore w:val="0"/>
        <w:kinsoku/>
        <w:wordWrap/>
        <w:topLinePunct w:val="0"/>
        <w:bidi w:val="0"/>
        <w:snapToGrid/>
        <w:spacing w:line="460" w:lineRule="exact"/>
        <w:rPr>
          <w:rFonts w:hint="eastAsia" w:ascii="宋体" w:hAnsi="宋体"/>
          <w:color w:val="auto"/>
          <w:sz w:val="22"/>
          <w:szCs w:val="22"/>
          <w:highlight w:val="none"/>
          <w:u w:val="single"/>
          <w:lang w:val="en-US" w:eastAsia="zh-CN"/>
        </w:rPr>
      </w:pPr>
      <w:r>
        <w:rPr>
          <w:rFonts w:hint="eastAsia" w:ascii="宋体" w:hAnsi="宋体"/>
          <w:color w:val="auto"/>
          <w:sz w:val="22"/>
          <w:szCs w:val="22"/>
          <w:highlight w:val="none"/>
          <w:u w:val="single"/>
          <w:lang w:val="en-US" w:eastAsia="zh-CN"/>
        </w:rPr>
        <w:t>3.▲本项目商务报价设最高限价，即报价下浮率均为不小于5%；所有投标报价下浮率符合该项限价规定范围的均为有效投标报价；否则作无效标处理。（报价下浮率取整数，小数点四舍五入）</w:t>
      </w:r>
    </w:p>
    <w:p w14:paraId="4A15B003">
      <w:pPr>
        <w:keepNext w:val="0"/>
        <w:keepLines w:val="0"/>
        <w:pageBreakBefore w:val="0"/>
        <w:kinsoku/>
        <w:wordWrap/>
        <w:topLinePunct w:val="0"/>
        <w:bidi w:val="0"/>
        <w:snapToGrid/>
        <w:spacing w:line="460" w:lineRule="exac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u w:val="single"/>
          <w:lang w:val="en-US" w:eastAsia="zh-CN"/>
        </w:rPr>
        <w:t>4.本项目按下浮率投标，即投标人报价如为8折，即下浮率为20%。</w:t>
      </w:r>
    </w:p>
    <w:p w14:paraId="373EAF31">
      <w:pPr>
        <w:spacing w:line="380" w:lineRule="exact"/>
        <w:rPr>
          <w:rFonts w:hint="eastAsia" w:ascii="宋体" w:hAnsi="宋体"/>
          <w:color w:val="auto"/>
          <w:sz w:val="22"/>
          <w:szCs w:val="22"/>
          <w:highlight w:val="none"/>
        </w:rPr>
      </w:pPr>
    </w:p>
    <w:p w14:paraId="63638992">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59EF349B">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w:t>
      </w:r>
      <w:r>
        <w:rPr>
          <w:rFonts w:hint="eastAsia" w:ascii="宋体" w:hAnsi="宋体" w:cs="宋体"/>
          <w:color w:val="auto"/>
          <w:sz w:val="22"/>
          <w:szCs w:val="22"/>
          <w:highlight w:val="none"/>
        </w:rPr>
        <w:t>（签字或盖章）</w:t>
      </w:r>
      <w:r>
        <w:rPr>
          <w:rFonts w:hint="eastAsia" w:ascii="宋体" w:hAnsi="宋体"/>
          <w:color w:val="auto"/>
          <w:sz w:val="22"/>
          <w:szCs w:val="22"/>
          <w:highlight w:val="none"/>
        </w:rPr>
        <w:t>：</w:t>
      </w:r>
    </w:p>
    <w:p w14:paraId="57D1005B">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73C26480">
      <w:pPr>
        <w:spacing w:line="460" w:lineRule="exact"/>
        <w:rPr>
          <w:rFonts w:hint="eastAsia" w:ascii="宋体" w:hAnsi="宋体"/>
          <w:color w:val="auto"/>
          <w:sz w:val="22"/>
          <w:szCs w:val="22"/>
          <w:highlight w:val="none"/>
        </w:rPr>
      </w:pPr>
    </w:p>
    <w:p w14:paraId="3AF4C49B">
      <w:pPr>
        <w:spacing w:line="460" w:lineRule="exact"/>
        <w:rPr>
          <w:rFonts w:hint="eastAsia" w:ascii="宋体" w:hAnsi="宋体"/>
          <w:color w:val="auto"/>
          <w:sz w:val="22"/>
          <w:szCs w:val="22"/>
          <w:highlight w:val="none"/>
        </w:rPr>
      </w:pPr>
    </w:p>
    <w:p w14:paraId="1993ECA6">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1DCB1659">
      <w:pPr>
        <w:spacing w:line="440" w:lineRule="atLeast"/>
        <w:jc w:val="center"/>
        <w:rPr>
          <w:rFonts w:hint="eastAsia" w:hAnsi="宋体"/>
          <w:b/>
          <w:bCs/>
          <w:color w:val="auto"/>
          <w:sz w:val="22"/>
          <w:szCs w:val="22"/>
          <w:highlight w:val="none"/>
        </w:rPr>
      </w:pPr>
    </w:p>
    <w:p w14:paraId="0540E9A5">
      <w:pPr>
        <w:spacing w:line="440" w:lineRule="atLeast"/>
        <w:jc w:val="center"/>
        <w:rPr>
          <w:rFonts w:ascii="宋体"/>
          <w:b/>
          <w:color w:val="auto"/>
          <w:sz w:val="22"/>
          <w:szCs w:val="22"/>
          <w:highlight w:val="none"/>
        </w:rPr>
      </w:pPr>
      <w:r>
        <w:rPr>
          <w:rFonts w:hint="eastAsia" w:hAnsi="宋体"/>
          <w:b/>
          <w:bCs/>
          <w:color w:val="auto"/>
          <w:sz w:val="22"/>
          <w:szCs w:val="22"/>
          <w:highlight w:val="none"/>
        </w:rPr>
        <w:t>（</w:t>
      </w:r>
      <w:r>
        <w:rPr>
          <w:rFonts w:hint="eastAsia" w:hAnsi="宋体" w:cs="Times New Roman"/>
          <w:b/>
          <w:bCs/>
          <w:color w:val="auto"/>
          <w:sz w:val="22"/>
          <w:szCs w:val="22"/>
          <w:highlight w:val="none"/>
          <w:lang w:val="en-US" w:eastAsia="zh-CN"/>
        </w:rPr>
        <w:t>2</w:t>
      </w:r>
      <w:r>
        <w:rPr>
          <w:rFonts w:hint="eastAsia" w:ascii="Times New Roman" w:hAnsi="宋体" w:cs="Times New Roman"/>
          <w:b/>
          <w:bCs/>
          <w:color w:val="auto"/>
          <w:sz w:val="22"/>
          <w:szCs w:val="22"/>
          <w:highlight w:val="none"/>
        </w:rPr>
        <w:t>）</w:t>
      </w:r>
      <w:r>
        <w:rPr>
          <w:rFonts w:hint="eastAsia" w:ascii="宋体" w:hAnsi="宋体"/>
          <w:b/>
          <w:color w:val="auto"/>
          <w:sz w:val="22"/>
          <w:szCs w:val="22"/>
          <w:highlight w:val="none"/>
        </w:rPr>
        <w:t>中小企业声明函</w:t>
      </w:r>
    </w:p>
    <w:p w14:paraId="09E7ADDA">
      <w:pPr>
        <w:widowControl/>
        <w:adjustRightInd w:val="0"/>
        <w:snapToGrid w:val="0"/>
        <w:spacing w:line="324" w:lineRule="auto"/>
        <w:jc w:val="center"/>
        <w:rPr>
          <w:rFonts w:ascii="宋体" w:hAnsi="宋体" w:cs="宋体"/>
          <w:b/>
          <w:color w:val="auto"/>
          <w:kern w:val="0"/>
          <w:sz w:val="22"/>
          <w:szCs w:val="22"/>
          <w:highlight w:val="none"/>
        </w:rPr>
      </w:pPr>
    </w:p>
    <w:p w14:paraId="6E151CDB">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中小企业声明函（工程、服务）</w:t>
      </w:r>
    </w:p>
    <w:p w14:paraId="1909B56F">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265E5E2E">
      <w:pPr>
        <w:spacing w:before="240" w:beforeLines="100" w:line="44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85CD743">
      <w:pPr>
        <w:spacing w:before="240" w:beforeLines="100" w:line="44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r>
        <w:rPr>
          <w:rFonts w:hint="eastAsia" w:ascii="宋体" w:hAnsi="宋体" w:cs="宋体"/>
          <w:color w:val="auto"/>
          <w:kern w:val="0"/>
          <w:sz w:val="22"/>
          <w:szCs w:val="22"/>
          <w:highlight w:val="none"/>
          <w:u w:val="single"/>
          <w:lang w:val="zh-CN"/>
        </w:rPr>
        <w:t>（标的名称）</w:t>
      </w:r>
      <w:r>
        <w:rPr>
          <w:rFonts w:hint="eastAsia" w:ascii="宋体" w:hAnsi="宋体" w:cs="宋体"/>
          <w:color w:val="auto"/>
          <w:kern w:val="0"/>
          <w:sz w:val="22"/>
          <w:szCs w:val="22"/>
          <w:highlight w:val="none"/>
          <w:lang w:val="zh-CN"/>
        </w:rPr>
        <w:t>，属于</w:t>
      </w:r>
      <w:r>
        <w:rPr>
          <w:rFonts w:hint="eastAsia" w:ascii="宋体" w:hAnsi="宋体" w:cs="宋体"/>
          <w:color w:val="auto"/>
          <w:kern w:val="0"/>
          <w:sz w:val="22"/>
          <w:szCs w:val="22"/>
          <w:highlight w:val="none"/>
          <w:u w:val="single"/>
          <w:lang w:val="zh-CN"/>
        </w:rPr>
        <w:t xml:space="preserve">（招标文件中明确的所属行业） </w:t>
      </w:r>
      <w:r>
        <w:rPr>
          <w:rFonts w:hint="eastAsia" w:ascii="宋体" w:hAnsi="宋体" w:cs="宋体"/>
          <w:color w:val="auto"/>
          <w:kern w:val="0"/>
          <w:sz w:val="22"/>
          <w:szCs w:val="22"/>
          <w:highlight w:val="none"/>
          <w:lang w:val="zh-CN"/>
        </w:rPr>
        <w:t>；承建（承接）企业为</w:t>
      </w:r>
      <w:r>
        <w:rPr>
          <w:rFonts w:hint="eastAsia" w:ascii="宋体" w:hAnsi="宋体" w:cs="宋体"/>
          <w:color w:val="auto"/>
          <w:kern w:val="0"/>
          <w:sz w:val="22"/>
          <w:szCs w:val="22"/>
          <w:highlight w:val="none"/>
          <w:u w:val="single"/>
          <w:lang w:val="zh-CN"/>
        </w:rPr>
        <w:t xml:space="preserve"> （企业名称） </w:t>
      </w:r>
      <w:r>
        <w:rPr>
          <w:rFonts w:hint="eastAsia" w:ascii="宋体" w:hAnsi="宋体" w:cs="宋体"/>
          <w:color w:val="auto"/>
          <w:kern w:val="0"/>
          <w:sz w:val="22"/>
          <w:szCs w:val="22"/>
          <w:highlight w:val="none"/>
          <w:lang w:val="zh-CN"/>
        </w:rPr>
        <w:t>，从业人员人，营业收入为万元，资产总额为万元属于</w:t>
      </w:r>
      <w:r>
        <w:rPr>
          <w:rFonts w:hint="eastAsia" w:ascii="宋体" w:hAnsi="宋体" w:cs="宋体"/>
          <w:color w:val="auto"/>
          <w:kern w:val="0"/>
          <w:sz w:val="22"/>
          <w:szCs w:val="22"/>
          <w:highlight w:val="none"/>
          <w:u w:val="single"/>
          <w:lang w:val="zh-CN"/>
        </w:rPr>
        <w:t xml:space="preserve"> （中型企业、小型企业、微型企业） </w:t>
      </w:r>
      <w:r>
        <w:rPr>
          <w:rFonts w:hint="eastAsia" w:ascii="宋体" w:hAnsi="宋体" w:cs="宋体"/>
          <w:color w:val="auto"/>
          <w:kern w:val="0"/>
          <w:sz w:val="22"/>
          <w:szCs w:val="22"/>
          <w:highlight w:val="none"/>
          <w:lang w:val="zh-CN"/>
        </w:rPr>
        <w:t>；</w:t>
      </w:r>
    </w:p>
    <w:p w14:paraId="03AD4082">
      <w:pPr>
        <w:spacing w:before="240" w:beforeLines="100" w:line="44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w:t>
      </w:r>
    </w:p>
    <w:p w14:paraId="47DE4881">
      <w:pPr>
        <w:spacing w:before="240" w:beforeLines="100" w:line="44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以上企业，不属于大企业的分支机构，不存在控股股东为大企业的情形，也不存在与大企业的负责人为同一人的情形。</w:t>
      </w:r>
    </w:p>
    <w:p w14:paraId="4D91D4FE">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本企业对上述声明内容的真实性负责。如有虚假，将依法承担相应责任。</w:t>
      </w:r>
    </w:p>
    <w:p w14:paraId="2F121E24">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15DC7C04">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47C83323">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49946EA2">
      <w:pPr>
        <w:pStyle w:val="24"/>
        <w:rPr>
          <w:rFonts w:ascii="宋体" w:hAnsi="宋体" w:cs="宋体"/>
          <w:color w:val="auto"/>
          <w:sz w:val="22"/>
          <w:szCs w:val="22"/>
          <w:highlight w:val="none"/>
        </w:rPr>
      </w:pPr>
    </w:p>
    <w:p w14:paraId="17B27CA6">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0E0F6A4B">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5B5FEF9">
      <w:pPr>
        <w:spacing w:line="440" w:lineRule="atLeast"/>
        <w:jc w:val="center"/>
        <w:rPr>
          <w:rFonts w:ascii="宋体" w:hAnsi="宋体" w:cs="宋体"/>
          <w:color w:val="auto"/>
          <w:kern w:val="0"/>
          <w:sz w:val="22"/>
          <w:szCs w:val="22"/>
          <w:highlight w:val="none"/>
        </w:rPr>
      </w:pPr>
    </w:p>
    <w:p w14:paraId="1FA5423C">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6AA2C67B">
      <w:pPr>
        <w:numPr>
          <w:ilvl w:val="0"/>
          <w:numId w:val="4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rPr>
        <w:t>。</w:t>
      </w:r>
    </w:p>
    <w:p w14:paraId="4FCF8884">
      <w:pPr>
        <w:numPr>
          <w:ilvl w:val="0"/>
          <w:numId w:val="4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1328D602">
      <w:pPr>
        <w:pStyle w:val="76"/>
        <w:spacing w:before="60" w:after="60"/>
        <w:rPr>
          <w:rFonts w:ascii="宋体" w:hAnsi="宋体" w:cs="宋体"/>
          <w:color w:val="auto"/>
          <w:sz w:val="22"/>
          <w:szCs w:val="22"/>
          <w:highlight w:val="none"/>
        </w:rPr>
        <w:sectPr>
          <w:pgSz w:w="11906" w:h="16838"/>
          <w:pgMar w:top="1134" w:right="1134" w:bottom="1134" w:left="1134" w:header="851" w:footer="850" w:gutter="0"/>
          <w:pgNumType w:fmt="decimal"/>
          <w:cols w:space="720" w:num="1"/>
          <w:titlePg/>
          <w:docGrid w:linePitch="312" w:charSpace="0"/>
        </w:sectPr>
      </w:pPr>
    </w:p>
    <w:p w14:paraId="553318E8">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5820C6B9">
      <w:pPr>
        <w:spacing w:line="440" w:lineRule="atLeast"/>
        <w:rPr>
          <w:rFonts w:ascii="宋体"/>
          <w:color w:val="auto"/>
          <w:sz w:val="22"/>
          <w:szCs w:val="22"/>
          <w:highlight w:val="none"/>
        </w:rPr>
      </w:pPr>
    </w:p>
    <w:p w14:paraId="03648862">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w:t>
      </w:r>
      <w:r>
        <w:rPr>
          <w:rFonts w:hint="eastAsia" w:ascii="宋体" w:hAnsi="宋体"/>
          <w:b/>
          <w:color w:val="auto"/>
          <w:spacing w:val="6"/>
          <w:sz w:val="22"/>
          <w:szCs w:val="22"/>
          <w:highlight w:val="none"/>
        </w:rPr>
        <w:t>残疾人福利性单位声明函</w:t>
      </w:r>
    </w:p>
    <w:p w14:paraId="2B39A0FD">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33362190">
      <w:pPr>
        <w:snapToGrid w:val="0"/>
        <w:spacing w:line="300" w:lineRule="auto"/>
        <w:jc w:val="center"/>
        <w:rPr>
          <w:rFonts w:ascii="宋体" w:cs="Arial"/>
          <w:b/>
          <w:bCs/>
          <w:color w:val="auto"/>
          <w:sz w:val="22"/>
          <w:szCs w:val="22"/>
          <w:highlight w:val="none"/>
        </w:rPr>
      </w:pPr>
    </w:p>
    <w:p w14:paraId="5E97EACB">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450D4D66">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7EBE6916">
      <w:pPr>
        <w:snapToGrid w:val="0"/>
        <w:spacing w:line="300" w:lineRule="auto"/>
        <w:ind w:firstLine="464" w:firstLineChars="200"/>
        <w:rPr>
          <w:rFonts w:ascii="宋体" w:cs="Arial"/>
          <w:color w:val="auto"/>
          <w:spacing w:val="6"/>
          <w:sz w:val="22"/>
          <w:szCs w:val="22"/>
          <w:highlight w:val="none"/>
        </w:rPr>
      </w:pPr>
    </w:p>
    <w:p w14:paraId="2F9A9915">
      <w:pPr>
        <w:snapToGrid w:val="0"/>
        <w:spacing w:line="300" w:lineRule="auto"/>
        <w:ind w:firstLine="464" w:firstLineChars="200"/>
        <w:rPr>
          <w:rFonts w:ascii="宋体" w:cs="Arial"/>
          <w:color w:val="auto"/>
          <w:spacing w:val="6"/>
          <w:sz w:val="22"/>
          <w:szCs w:val="22"/>
          <w:highlight w:val="none"/>
        </w:rPr>
      </w:pPr>
    </w:p>
    <w:p w14:paraId="7DD97F4D">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015C05B6">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D5740EA">
      <w:pPr>
        <w:adjustRightInd w:val="0"/>
        <w:snapToGrid w:val="0"/>
        <w:spacing w:line="300" w:lineRule="auto"/>
        <w:ind w:firstLine="440" w:firstLineChars="200"/>
        <w:rPr>
          <w:rFonts w:ascii="宋体" w:cs="Arial"/>
          <w:color w:val="auto"/>
          <w:kern w:val="0"/>
          <w:sz w:val="22"/>
          <w:szCs w:val="22"/>
          <w:highlight w:val="none"/>
        </w:rPr>
      </w:pPr>
    </w:p>
    <w:p w14:paraId="54165ABB">
      <w:pPr>
        <w:pStyle w:val="41"/>
        <w:rPr>
          <w:color w:val="auto"/>
          <w:highlight w:val="none"/>
        </w:rPr>
      </w:pPr>
    </w:p>
    <w:p w14:paraId="1EC82201">
      <w:pPr>
        <w:adjustRightInd w:val="0"/>
        <w:snapToGrid w:val="0"/>
        <w:spacing w:line="300" w:lineRule="auto"/>
        <w:ind w:firstLine="440" w:firstLineChars="200"/>
        <w:rPr>
          <w:rFonts w:ascii="宋体" w:cs="Arial"/>
          <w:color w:val="auto"/>
          <w:kern w:val="0"/>
          <w:sz w:val="22"/>
          <w:szCs w:val="22"/>
          <w:highlight w:val="none"/>
        </w:rPr>
      </w:pPr>
    </w:p>
    <w:p w14:paraId="0AD56DD5">
      <w:pPr>
        <w:spacing w:line="440" w:lineRule="atLeast"/>
        <w:rPr>
          <w:rFonts w:ascii="宋体"/>
          <w:color w:val="auto"/>
          <w:sz w:val="22"/>
          <w:szCs w:val="22"/>
          <w:highlight w:val="none"/>
        </w:rPr>
      </w:pPr>
    </w:p>
    <w:p w14:paraId="00877CAB">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4</w:t>
      </w:r>
      <w:r>
        <w:rPr>
          <w:rFonts w:hint="eastAsia" w:ascii="宋体" w:hAnsi="宋体"/>
          <w:b/>
          <w:color w:val="auto"/>
          <w:sz w:val="22"/>
          <w:szCs w:val="22"/>
          <w:highlight w:val="none"/>
        </w:rPr>
        <w:t>）</w:t>
      </w:r>
      <w:r>
        <w:rPr>
          <w:rFonts w:hint="eastAsia" w:ascii="宋体" w:hAnsi="宋体"/>
          <w:b/>
          <w:color w:val="auto"/>
          <w:spacing w:val="6"/>
          <w:sz w:val="22"/>
          <w:szCs w:val="22"/>
          <w:highlight w:val="none"/>
        </w:rPr>
        <w:t>监狱企业声明函</w:t>
      </w:r>
    </w:p>
    <w:p w14:paraId="22E39C50">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6CAE2594">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2D1665F3">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047EDE3D">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14:paraId="0661ED07">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4A634863">
      <w:pPr>
        <w:tabs>
          <w:tab w:val="left" w:pos="4860"/>
        </w:tabs>
        <w:spacing w:line="588" w:lineRule="exact"/>
        <w:ind w:right="1560" w:firstLine="464" w:firstLineChars="200"/>
        <w:jc w:val="center"/>
        <w:rPr>
          <w:rFonts w:ascii="宋体"/>
          <w:color w:val="auto"/>
          <w:spacing w:val="6"/>
          <w:sz w:val="22"/>
          <w:szCs w:val="22"/>
          <w:highlight w:val="none"/>
        </w:rPr>
      </w:pPr>
    </w:p>
    <w:p w14:paraId="4A4B37B8">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5450A35B">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F54F479">
      <w:pPr>
        <w:spacing w:line="460" w:lineRule="exact"/>
        <w:rPr>
          <w:rFonts w:hint="eastAsia" w:ascii="宋体" w:hAnsi="宋体" w:eastAsia="宋体"/>
          <w:b/>
          <w:bCs/>
          <w:color w:val="auto"/>
          <w:sz w:val="22"/>
          <w:szCs w:val="22"/>
          <w:highlight w:val="none"/>
          <w:lang w:eastAsia="zh-CN"/>
        </w:rPr>
      </w:pPr>
      <w:r>
        <w:rPr>
          <w:rFonts w:ascii="宋体" w:hAnsi="宋体" w:cs="Arial"/>
          <w:b/>
          <w:bCs/>
          <w:color w:val="auto"/>
          <w:szCs w:val="21"/>
          <w:highlight w:val="none"/>
        </w:rPr>
        <w:br w:type="page"/>
      </w: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三</w:t>
      </w:r>
    </w:p>
    <w:p w14:paraId="73761BED">
      <w:pPr>
        <w:spacing w:line="460" w:lineRule="exact"/>
        <w:rPr>
          <w:rFonts w:ascii="宋体" w:hAnsi="宋体"/>
          <w:b/>
          <w:bCs/>
          <w:color w:val="auto"/>
          <w:highlight w:val="none"/>
        </w:rPr>
      </w:pPr>
    </w:p>
    <w:p w14:paraId="56EF838F">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190BBF27">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温州市鹿城区市政公用管理处</w:t>
      </w:r>
      <w:r>
        <w:rPr>
          <w:rFonts w:hint="eastAsia" w:ascii="宋体" w:hAnsi="宋体"/>
          <w:color w:val="auto"/>
          <w:sz w:val="22"/>
          <w:szCs w:val="22"/>
          <w:highlight w:val="none"/>
        </w:rPr>
        <w:t>：</w:t>
      </w:r>
    </w:p>
    <w:p w14:paraId="69FD52F3">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浙江建航工程咨询有限公司</w:t>
      </w:r>
      <w:r>
        <w:rPr>
          <w:rFonts w:hint="eastAsia" w:ascii="宋体" w:hAnsi="宋体"/>
          <w:color w:val="auto"/>
          <w:sz w:val="22"/>
          <w:szCs w:val="22"/>
          <w:highlight w:val="none"/>
        </w:rPr>
        <w:t>：</w:t>
      </w:r>
    </w:p>
    <w:p w14:paraId="15178E9C">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项目（招标编号：</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7DB897D2">
      <w:pPr>
        <w:pStyle w:val="15"/>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34FD409A">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w:t>
      </w:r>
      <w:r>
        <w:rPr>
          <w:rFonts w:hint="eastAsia" w:ascii="宋体" w:hAnsi="宋体" w:cs="新宋体"/>
          <w:color w:val="auto"/>
          <w:sz w:val="22"/>
          <w:highlight w:val="none"/>
          <w:lang w:eastAsia="zh-CN"/>
        </w:rPr>
        <w:t>资格响应文件</w:t>
      </w:r>
      <w:r>
        <w:rPr>
          <w:rFonts w:hint="eastAsia" w:ascii="宋体" w:hAnsi="宋体" w:cs="新宋体"/>
          <w:color w:val="auto"/>
          <w:sz w:val="22"/>
          <w:highlight w:val="none"/>
        </w:rPr>
        <w:t>；</w:t>
      </w:r>
    </w:p>
    <w:p w14:paraId="071F1BA4">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w:t>
      </w:r>
      <w:r>
        <w:rPr>
          <w:rFonts w:hint="eastAsia" w:ascii="宋体" w:hAnsi="宋体" w:cs="hakuyoxingshu7000"/>
          <w:color w:val="auto"/>
          <w:sz w:val="22"/>
          <w:highlight w:val="none"/>
          <w:lang w:eastAsia="zh-CN"/>
        </w:rPr>
        <w:t>商务技术响应文件</w:t>
      </w:r>
      <w:r>
        <w:rPr>
          <w:rFonts w:hint="eastAsia" w:ascii="宋体" w:hAnsi="宋体" w:cs="hakuyoxingshu7000"/>
          <w:color w:val="auto"/>
          <w:sz w:val="22"/>
          <w:highlight w:val="none"/>
        </w:rPr>
        <w:t>；</w:t>
      </w:r>
    </w:p>
    <w:p w14:paraId="1ECC5CC5">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w:t>
      </w:r>
      <w:r>
        <w:rPr>
          <w:rFonts w:hint="eastAsia" w:ascii="宋体" w:hAnsi="宋体" w:cs="hakuyoxingshu7000"/>
          <w:color w:val="auto"/>
          <w:sz w:val="22"/>
          <w:highlight w:val="none"/>
          <w:lang w:eastAsia="zh-CN"/>
        </w:rPr>
        <w:t>报价响应文件</w:t>
      </w:r>
      <w:r>
        <w:rPr>
          <w:rFonts w:hint="eastAsia" w:ascii="宋体" w:hAnsi="宋体" w:cs="hakuyoxingshu7000"/>
          <w:color w:val="auto"/>
          <w:sz w:val="22"/>
          <w:highlight w:val="none"/>
        </w:rPr>
        <w:t>；</w:t>
      </w:r>
    </w:p>
    <w:p w14:paraId="3D64EB2C">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14:paraId="4F4FCD43">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7B98804B">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2E6554AF">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14:paraId="19D4C7D4">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w:t>
      </w:r>
      <w:r>
        <w:rPr>
          <w:rFonts w:hint="eastAsia" w:ascii="宋体" w:hAnsi="宋体" w:cs="hakuyoxingshu7000"/>
          <w:color w:val="auto"/>
          <w:sz w:val="22"/>
          <w:highlight w:val="none"/>
          <w:lang w:eastAsia="zh-CN"/>
        </w:rPr>
        <w:t>三年</w:t>
      </w:r>
      <w:r>
        <w:rPr>
          <w:rFonts w:hint="eastAsia" w:ascii="宋体" w:hAnsi="宋体" w:cs="hakuyoxingshu7000"/>
          <w:color w:val="auto"/>
          <w:sz w:val="22"/>
          <w:highlight w:val="none"/>
        </w:rPr>
        <w:t>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14:paraId="0CADF3D3">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438377CF">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08FBA764">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6D2239D6">
      <w:pPr>
        <w:pStyle w:val="124"/>
        <w:numPr>
          <w:ilvl w:val="1"/>
          <w:numId w:val="47"/>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481DAB61">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330AA83B">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3FD11BE0">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5B07C933">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5306DCDB">
      <w:pPr>
        <w:spacing w:line="420" w:lineRule="exact"/>
        <w:ind w:firstLine="435"/>
        <w:rPr>
          <w:rFonts w:ascii="宋体" w:hAnsi="宋体"/>
          <w:color w:val="auto"/>
          <w:sz w:val="22"/>
          <w:szCs w:val="22"/>
          <w:highlight w:val="none"/>
        </w:rPr>
      </w:pPr>
    </w:p>
    <w:p w14:paraId="3671BAF8">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71F9514D">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法定代表人（负责人）或其授权代表</w:t>
      </w:r>
      <w:r>
        <w:rPr>
          <w:rFonts w:hint="eastAsia" w:ascii="宋体" w:hAnsi="宋体" w:cs="宋体"/>
          <w:color w:val="auto"/>
          <w:sz w:val="22"/>
          <w:szCs w:val="22"/>
          <w:highlight w:val="none"/>
        </w:rPr>
        <w:t>（签字或盖章）</w:t>
      </w:r>
    </w:p>
    <w:p w14:paraId="03D12514">
      <w:pPr>
        <w:spacing w:line="460" w:lineRule="exact"/>
        <w:ind w:firstLine="435"/>
        <w:rPr>
          <w:rFonts w:ascii="宋体" w:hAnsi="宋体"/>
          <w:color w:val="auto"/>
          <w:sz w:val="22"/>
          <w:szCs w:val="22"/>
          <w:highlight w:val="none"/>
          <w:u w:val="single"/>
        </w:rPr>
        <w:sectPr>
          <w:footerReference r:id="rId10" w:type="first"/>
          <w:headerReference r:id="rId7" w:type="default"/>
          <w:footerReference r:id="rId8" w:type="default"/>
          <w:footerReference r:id="rId9" w:type="even"/>
          <w:type w:val="nextColumn"/>
          <w:pgSz w:w="11906" w:h="16838"/>
          <w:pgMar w:top="1134" w:right="1134" w:bottom="1134" w:left="1134" w:header="851" w:footer="851" w:gutter="0"/>
          <w:pgNumType w:fmt="decimal"/>
          <w:cols w:space="720" w:num="1"/>
          <w:titlePg/>
          <w:docGrid w:linePitch="312" w:charSpace="0"/>
        </w:sectPr>
      </w:pPr>
      <w:r>
        <w:rPr>
          <w:rFonts w:hint="eastAsia" w:ascii="宋体" w:hAnsi="宋体"/>
          <w:color w:val="auto"/>
          <w:sz w:val="22"/>
          <w:szCs w:val="22"/>
          <w:highlight w:val="none"/>
        </w:rPr>
        <w:t xml:space="preserve">                                   日    期</w:t>
      </w:r>
    </w:p>
    <w:p w14:paraId="77D18D62">
      <w:pPr>
        <w:spacing w:line="460" w:lineRule="exact"/>
        <w:rPr>
          <w:rFonts w:hint="eastAsia" w:ascii="宋体" w:hAnsi="宋体" w:eastAsia="宋体"/>
          <w:color w:val="auto"/>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四</w:t>
      </w:r>
    </w:p>
    <w:p w14:paraId="4E01CB5E">
      <w:pPr>
        <w:spacing w:line="460" w:lineRule="exact"/>
        <w:rPr>
          <w:rFonts w:ascii="宋体" w:hAnsi="宋体"/>
          <w:b/>
          <w:color w:val="auto"/>
          <w:sz w:val="22"/>
          <w:szCs w:val="22"/>
          <w:highlight w:val="none"/>
        </w:rPr>
      </w:pPr>
    </w:p>
    <w:p w14:paraId="0F58675F">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279ACCD4">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398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646BB31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6FEA1004">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50FEA5D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招标文件</w:t>
            </w:r>
          </w:p>
          <w:p w14:paraId="230212C8">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1A24819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招标文件</w:t>
            </w:r>
          </w:p>
          <w:p w14:paraId="24E57E2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7B1F99B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投标文件</w:t>
            </w:r>
          </w:p>
          <w:p w14:paraId="7693D244">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2CDE9E2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说明</w:t>
            </w:r>
          </w:p>
        </w:tc>
      </w:tr>
      <w:tr w14:paraId="5A4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6770C33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技</w:t>
            </w:r>
          </w:p>
          <w:p w14:paraId="0FC88AF9">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术</w:t>
            </w:r>
          </w:p>
          <w:p w14:paraId="25701D70">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规</w:t>
            </w:r>
          </w:p>
          <w:p w14:paraId="11F7DA7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2481512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181E1B5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4FDEFBD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72B5791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2D948FE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5600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3E7F32D">
            <w:pPr>
              <w:keepNext w:val="0"/>
              <w:keepLines w:val="0"/>
              <w:suppressLineNumbers w:val="0"/>
              <w:spacing w:before="0" w:beforeAutospacing="0" w:after="0" w:afterAutospacing="0" w:line="380" w:lineRule="exact"/>
              <w:ind w:left="0" w:right="0" w:firstLine="220" w:firstLineChars="100"/>
              <w:rPr>
                <w:rFonts w:hint="default" w:ascii="宋体" w:hAnsi="宋体"/>
                <w:color w:val="auto"/>
                <w:sz w:val="22"/>
                <w:szCs w:val="22"/>
                <w:highlight w:val="none"/>
              </w:rPr>
            </w:pPr>
          </w:p>
        </w:tc>
        <w:tc>
          <w:tcPr>
            <w:tcW w:w="1364" w:type="dxa"/>
            <w:vAlign w:val="center"/>
          </w:tcPr>
          <w:p w14:paraId="5EE6F5B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4D8F346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41734039">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258386A0">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4EAFF78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0824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D348D2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2C32DDB5">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2504FCB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4EFEB52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3CE112C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6D78F9B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17FA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4B5416E">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156C0562">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5BB30B6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396E6EB2">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0F990CE3">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555054D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7B07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DBEFA8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41F3FF1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4DBD8870">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7B8CFD3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2A22D0A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02B474F5">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7EA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6ED54B0E">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商</w:t>
            </w:r>
          </w:p>
          <w:p w14:paraId="42641E5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务</w:t>
            </w:r>
          </w:p>
          <w:p w14:paraId="14122772">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条</w:t>
            </w:r>
          </w:p>
          <w:p w14:paraId="21CF1AC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048EDB9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7DFAB66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0858A20E">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217A40E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440BDDF2">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03F1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52FA0A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4D7FE6F4">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075655A4">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20F6E54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48A15DD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64CA4FD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075A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E63C1B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737D277E">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5A50F79B">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48575AE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1E40131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6959B0F2">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0415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2217F68">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260733A6">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047F0DD9">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0638D2D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6991C6E0">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6D97F25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r w14:paraId="0DD6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B50951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364" w:type="dxa"/>
            <w:vAlign w:val="center"/>
          </w:tcPr>
          <w:p w14:paraId="4DCE133C">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2097" w:type="dxa"/>
            <w:vAlign w:val="center"/>
          </w:tcPr>
          <w:p w14:paraId="77AB0F80">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992" w:type="dxa"/>
            <w:vAlign w:val="center"/>
          </w:tcPr>
          <w:p w14:paraId="2E9277F1">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866" w:type="dxa"/>
            <w:vAlign w:val="center"/>
          </w:tcPr>
          <w:p w14:paraId="42D7D4CF">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c>
          <w:tcPr>
            <w:tcW w:w="1592" w:type="dxa"/>
            <w:vAlign w:val="center"/>
          </w:tcPr>
          <w:p w14:paraId="5A8BBACD">
            <w:pPr>
              <w:keepNext w:val="0"/>
              <w:keepLines w:val="0"/>
              <w:suppressLineNumbers w:val="0"/>
              <w:spacing w:before="0" w:beforeAutospacing="0" w:after="0" w:afterAutospacing="0" w:line="380" w:lineRule="exact"/>
              <w:ind w:left="0" w:right="0"/>
              <w:jc w:val="center"/>
              <w:rPr>
                <w:rFonts w:hint="default" w:ascii="宋体" w:hAnsi="宋体"/>
                <w:color w:val="auto"/>
                <w:sz w:val="22"/>
                <w:szCs w:val="22"/>
                <w:highlight w:val="none"/>
              </w:rPr>
            </w:pPr>
          </w:p>
        </w:tc>
      </w:tr>
    </w:tbl>
    <w:p w14:paraId="52733C79">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5C147879">
      <w:pPr>
        <w:spacing w:line="380" w:lineRule="exact"/>
        <w:ind w:firstLine="4417" w:firstLineChars="2000"/>
        <w:rPr>
          <w:rFonts w:ascii="宋体" w:hAnsi="宋体"/>
          <w:b/>
          <w:color w:val="auto"/>
          <w:sz w:val="22"/>
          <w:szCs w:val="22"/>
          <w:highlight w:val="none"/>
        </w:rPr>
      </w:pPr>
    </w:p>
    <w:p w14:paraId="2811EBC3">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7C5293B0">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w:t>
      </w:r>
      <w:r>
        <w:rPr>
          <w:rFonts w:hint="eastAsia" w:ascii="宋体" w:hAnsi="宋体" w:cs="宋体"/>
          <w:color w:val="auto"/>
          <w:sz w:val="22"/>
          <w:szCs w:val="22"/>
          <w:highlight w:val="none"/>
        </w:rPr>
        <w:t>（签字或盖章）</w:t>
      </w:r>
      <w:r>
        <w:rPr>
          <w:rFonts w:hint="eastAsia" w:ascii="宋体" w:hAnsi="宋体"/>
          <w:color w:val="auto"/>
          <w:sz w:val="22"/>
          <w:szCs w:val="22"/>
          <w:highlight w:val="none"/>
        </w:rPr>
        <w:t>：</w:t>
      </w:r>
    </w:p>
    <w:p w14:paraId="2FA343A9">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55D62424">
      <w:pPr>
        <w:spacing w:line="400" w:lineRule="exact"/>
        <w:rPr>
          <w:rFonts w:ascii="宋体" w:hAnsi="宋体"/>
          <w:color w:val="auto"/>
          <w:sz w:val="22"/>
          <w:szCs w:val="22"/>
          <w:highlight w:val="none"/>
        </w:rPr>
      </w:pPr>
    </w:p>
    <w:p w14:paraId="7CF74C79">
      <w:pPr>
        <w:rPr>
          <w:rFonts w:hint="eastAsia" w:ascii="宋体" w:hAnsi="宋体"/>
          <w:color w:val="auto"/>
          <w:highlight w:val="none"/>
        </w:rPr>
      </w:pPr>
      <w:r>
        <w:rPr>
          <w:rFonts w:hint="eastAsia" w:ascii="宋体" w:hAnsi="宋体"/>
          <w:color w:val="auto"/>
          <w:highlight w:val="none"/>
        </w:rPr>
        <w:br w:type="page"/>
      </w:r>
    </w:p>
    <w:p w14:paraId="6B6E44D4">
      <w:pPr>
        <w:spacing w:line="460" w:lineRule="exact"/>
        <w:rPr>
          <w:rFonts w:hint="eastAsia" w:ascii="宋体" w:hAnsi="宋体"/>
          <w:color w:val="auto"/>
          <w:highlight w:val="none"/>
        </w:rPr>
        <w:sectPr>
          <w:type w:val="nextColumn"/>
          <w:pgSz w:w="11906" w:h="16838"/>
          <w:pgMar w:top="1531" w:right="779" w:bottom="1134" w:left="1134" w:header="851" w:footer="427" w:gutter="0"/>
          <w:pgNumType w:fmt="decimal"/>
          <w:cols w:space="720" w:num="1"/>
          <w:docGrid w:linePitch="312" w:charSpace="0"/>
        </w:sectPr>
      </w:pPr>
    </w:p>
    <w:p w14:paraId="5BFFC9E9">
      <w:pPr>
        <w:spacing w:line="380" w:lineRule="exact"/>
        <w:jc w:val="left"/>
        <w:outlineLvl w:val="3"/>
        <w:rPr>
          <w:rFonts w:hint="eastAsia" w:ascii="宋体" w:hAnsi="宋体"/>
          <w:b/>
          <w:color w:val="auto"/>
          <w:sz w:val="22"/>
          <w:szCs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五</w:t>
      </w:r>
    </w:p>
    <w:p w14:paraId="700B72D5">
      <w:pPr>
        <w:spacing w:line="460" w:lineRule="exact"/>
        <w:ind w:firstLine="437"/>
        <w:jc w:val="center"/>
        <w:outlineLvl w:val="9"/>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投标人情况表</w:t>
      </w:r>
    </w:p>
    <w:p w14:paraId="100FC4CB">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227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0BB9F4B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14:paraId="6F8EF842">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gridSpan w:val="2"/>
          </w:tcPr>
          <w:p w14:paraId="736E518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14:paraId="1F14545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8" w:type="dxa"/>
          </w:tcPr>
          <w:p w14:paraId="7492C0C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14:paraId="3A23C8D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8" w:type="dxa"/>
          </w:tcPr>
          <w:p w14:paraId="6EB58C10">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14:paraId="62B66FA2">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61" w:type="dxa"/>
            <w:gridSpan w:val="2"/>
          </w:tcPr>
          <w:p w14:paraId="40D672B6">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5567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65D3FA8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14:paraId="54A5724D">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gridSpan w:val="2"/>
          </w:tcPr>
          <w:p w14:paraId="0D7E429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14:paraId="274D7C29">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8" w:type="dxa"/>
          </w:tcPr>
          <w:p w14:paraId="36717EE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14:paraId="6F77C8A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8" w:type="dxa"/>
          </w:tcPr>
          <w:p w14:paraId="3B173AF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14:paraId="7AD53282">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61" w:type="dxa"/>
            <w:gridSpan w:val="2"/>
          </w:tcPr>
          <w:p w14:paraId="57EEF78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14:paraId="6F46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115BC1F4">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14:paraId="5D72276E">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14:paraId="078FA31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14:paraId="3A583346">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14:paraId="73EA460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14:paraId="09F9A05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r w14:paraId="019D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176F225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14:paraId="290F080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14:paraId="27BCE49E">
            <w:pPr>
              <w:keepNext w:val="0"/>
              <w:keepLines w:val="0"/>
              <w:suppressLineNumbers w:val="0"/>
              <w:spacing w:before="0" w:beforeAutospacing="0" w:after="0" w:afterAutospacing="0" w:line="480" w:lineRule="exact"/>
              <w:ind w:left="0" w:right="0" w:firstLine="1540" w:firstLineChars="700"/>
              <w:rPr>
                <w:rFonts w:hint="eastAsia" w:ascii="宋体" w:hAnsi="宋体" w:eastAsia="宋体" w:cs="宋体"/>
                <w:color w:val="auto"/>
                <w:sz w:val="22"/>
                <w:szCs w:val="22"/>
                <w:highlight w:val="none"/>
              </w:rPr>
            </w:pPr>
          </w:p>
        </w:tc>
        <w:tc>
          <w:tcPr>
            <w:tcW w:w="3703" w:type="dxa"/>
            <w:gridSpan w:val="4"/>
            <w:vMerge w:val="restart"/>
          </w:tcPr>
          <w:p w14:paraId="4B8E808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14:paraId="2C673717">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14:paraId="4FDB203B">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14:paraId="2556241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70" w:type="dxa"/>
            <w:gridSpan w:val="2"/>
            <w:vAlign w:val="center"/>
          </w:tcPr>
          <w:p w14:paraId="3E6484E2">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14:paraId="74022573">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08BE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28D7FFC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Pr>
          <w:p w14:paraId="20DB741B">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Pr>
          <w:p w14:paraId="00216690">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3703" w:type="dxa"/>
            <w:gridSpan w:val="4"/>
            <w:vMerge w:val="continue"/>
          </w:tcPr>
          <w:p w14:paraId="13E06C1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8" w:type="dxa"/>
            <w:vMerge w:val="continue"/>
          </w:tcPr>
          <w:p w14:paraId="4F5256E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48BB7391">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14:paraId="52586783">
            <w:pPr>
              <w:keepNext w:val="0"/>
              <w:keepLines w:val="0"/>
              <w:suppressLineNumbers w:val="0"/>
              <w:spacing w:before="0" w:beforeAutospacing="0" w:after="0" w:afterAutospacing="0" w:line="480" w:lineRule="exact"/>
              <w:ind w:left="0" w:right="0"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488B4AB0">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14:paraId="4E66040A">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7340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5D7647E4">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restart"/>
          </w:tcPr>
          <w:p w14:paraId="0A2F636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14:paraId="22C219C9">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2C68120">
            <w:pPr>
              <w:keepNext w:val="0"/>
              <w:keepLines w:val="0"/>
              <w:suppressLineNumbers w:val="0"/>
              <w:spacing w:before="0" w:beforeAutospacing="0" w:after="0" w:afterAutospacing="0" w:line="480" w:lineRule="exact"/>
              <w:ind w:left="0" w:right="0"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14:paraId="6B0DC994">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14:paraId="1811DBA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14:paraId="501482D5">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43E2090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14:paraId="4519F336">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14:paraId="7DFCFE24">
            <w:pPr>
              <w:keepNext w:val="0"/>
              <w:keepLines w:val="0"/>
              <w:suppressLineNumbers w:val="0"/>
              <w:spacing w:before="0" w:beforeAutospacing="0" w:after="0" w:afterAutospacing="0" w:line="480" w:lineRule="exact"/>
              <w:ind w:left="0" w:right="0"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14:paraId="2F78A777">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14:paraId="1111C55D">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14:paraId="46D9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67304258">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14:paraId="126A7CF5">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14:paraId="6910AE6E">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14:paraId="6556F94D">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7" w:type="dxa"/>
            <w:gridSpan w:val="2"/>
            <w:tcBorders>
              <w:bottom w:val="single" w:color="auto" w:sz="4" w:space="0"/>
            </w:tcBorders>
          </w:tcPr>
          <w:p w14:paraId="4D68F347">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14:paraId="29D9B812">
            <w:pPr>
              <w:keepNext w:val="0"/>
              <w:keepLines w:val="0"/>
              <w:suppressLineNumbers w:val="0"/>
              <w:spacing w:before="0" w:beforeAutospacing="0" w:after="0" w:afterAutospacing="0" w:line="480" w:lineRule="exact"/>
              <w:ind w:left="0" w:right="0" w:firstLine="220" w:firstLineChars="1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14:paraId="53B6E5C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14:paraId="4AC07166">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14:paraId="65929AEF">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14:paraId="03FC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3D72D9C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restart"/>
          </w:tcPr>
          <w:p w14:paraId="1557C8F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14:paraId="2F19DDF1">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14:paraId="34B03AA1">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14:paraId="48F7CB5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14:paraId="3C1A20E3">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14:paraId="14971D77">
            <w:pPr>
              <w:keepNext w:val="0"/>
              <w:keepLines w:val="0"/>
              <w:suppressLineNumbers w:val="0"/>
              <w:spacing w:before="0" w:beforeAutospacing="0" w:after="0" w:afterAutospacing="0" w:line="480" w:lineRule="exact"/>
              <w:ind w:left="220" w:right="0" w:hanging="220" w:hangingChars="1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196318A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Merge w:val="continue"/>
          </w:tcPr>
          <w:p w14:paraId="4EA25E8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4064" w:type="dxa"/>
            <w:gridSpan w:val="4"/>
            <w:vMerge w:val="continue"/>
          </w:tcPr>
          <w:p w14:paraId="5499157F">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r w14:paraId="3105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7051079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Pr>
          <w:p w14:paraId="5E20CA1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Pr>
          <w:p w14:paraId="387DD02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728" w:type="dxa"/>
            <w:vMerge w:val="continue"/>
          </w:tcPr>
          <w:p w14:paraId="1873978C">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7" w:type="dxa"/>
            <w:gridSpan w:val="2"/>
          </w:tcPr>
          <w:p w14:paraId="2985A591">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14:paraId="34870DF2">
            <w:pPr>
              <w:keepNext w:val="0"/>
              <w:keepLines w:val="0"/>
              <w:suppressLineNumbers w:val="0"/>
              <w:spacing w:before="0" w:beforeAutospacing="0" w:after="0" w:afterAutospacing="0" w:line="480" w:lineRule="exact"/>
              <w:ind w:left="220" w:right="0" w:hanging="220" w:hangingChars="1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14:paraId="5270ECCA">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Merge w:val="continue"/>
          </w:tcPr>
          <w:p w14:paraId="723E3F99">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4064" w:type="dxa"/>
            <w:gridSpan w:val="4"/>
            <w:vMerge w:val="continue"/>
          </w:tcPr>
          <w:p w14:paraId="34A108A4">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bl>
    <w:p w14:paraId="44542B27">
      <w:pPr>
        <w:rPr>
          <w:color w:val="auto"/>
          <w:highlight w:val="none"/>
        </w:rPr>
      </w:pPr>
    </w:p>
    <w:p w14:paraId="135C25C8">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2F6FD9C5">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w:t>
      </w:r>
      <w:r>
        <w:rPr>
          <w:rFonts w:hint="eastAsia" w:ascii="宋体" w:hAnsi="宋体" w:cs="宋体"/>
          <w:color w:val="auto"/>
          <w:sz w:val="22"/>
          <w:szCs w:val="22"/>
          <w:highlight w:val="none"/>
        </w:rPr>
        <w:t>（签字或盖章）</w:t>
      </w:r>
      <w:r>
        <w:rPr>
          <w:rFonts w:hint="eastAsia" w:ascii="宋体" w:hAnsi="宋体" w:cs="hakuyoxingshu7000"/>
          <w:color w:val="auto"/>
          <w:sz w:val="22"/>
          <w:szCs w:val="22"/>
          <w:highlight w:val="none"/>
        </w:rPr>
        <w:t>：</w:t>
      </w:r>
    </w:p>
    <w:p w14:paraId="69809725">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051D31C3">
      <w:pPr>
        <w:rPr>
          <w:color w:val="auto"/>
          <w:highlight w:val="none"/>
        </w:rPr>
      </w:pPr>
    </w:p>
    <w:p w14:paraId="290B31E9">
      <w:pPr>
        <w:pStyle w:val="6"/>
        <w:rPr>
          <w:color w:val="auto"/>
          <w:highlight w:val="none"/>
        </w:rPr>
        <w:sectPr>
          <w:pgSz w:w="16838" w:h="11906" w:orient="landscape"/>
          <w:pgMar w:top="1134" w:right="1531" w:bottom="779" w:left="1134" w:header="851" w:footer="427" w:gutter="0"/>
          <w:pgNumType w:fmt="decimal"/>
          <w:cols w:space="720" w:num="1"/>
          <w:docGrid w:linePitch="312" w:charSpace="0"/>
        </w:sectPr>
      </w:pPr>
    </w:p>
    <w:p w14:paraId="6C48D638">
      <w:pPr>
        <w:spacing w:line="380" w:lineRule="exact"/>
        <w:jc w:val="left"/>
        <w:rPr>
          <w:rFonts w:hint="eastAsia" w:ascii="宋体" w:hAnsi="宋体" w:cs="新宋体"/>
          <w:b/>
          <w:bCs/>
          <w:color w:val="auto"/>
          <w:sz w:val="28"/>
          <w:szCs w:val="28"/>
          <w:highlight w:val="none"/>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六</w:t>
      </w:r>
    </w:p>
    <w:p w14:paraId="17B40D0B">
      <w:pPr>
        <w:spacing w:line="380" w:lineRule="exact"/>
        <w:jc w:val="center"/>
        <w:rPr>
          <w:rFonts w:ascii="宋体" w:hAnsi="宋体" w:cs="新宋体"/>
          <w:b/>
          <w:bCs/>
          <w:color w:val="auto"/>
          <w:sz w:val="28"/>
          <w:szCs w:val="28"/>
          <w:highlight w:val="none"/>
        </w:rPr>
      </w:pPr>
      <w:r>
        <w:rPr>
          <w:rFonts w:hint="eastAsia" w:ascii="宋体" w:hAnsi="宋体" w:cs="新宋体"/>
          <w:b/>
          <w:bCs/>
          <w:color w:val="auto"/>
          <w:sz w:val="28"/>
          <w:szCs w:val="28"/>
          <w:highlight w:val="none"/>
        </w:rPr>
        <w:t>供应商为完成本项目组建的工作小组名单</w:t>
      </w:r>
    </w:p>
    <w:p w14:paraId="54B504C3">
      <w:pPr>
        <w:pStyle w:val="34"/>
        <w:spacing w:line="400" w:lineRule="atLeast"/>
        <w:ind w:left="17" w:hanging="17" w:hangingChars="6"/>
        <w:jc w:val="center"/>
        <w:rPr>
          <w:rFonts w:hAnsi="宋体" w:cs="新宋体"/>
          <w:b/>
          <w:color w:val="auto"/>
          <w:sz w:val="28"/>
          <w:highlight w:val="none"/>
        </w:rPr>
      </w:pPr>
      <w:r>
        <w:rPr>
          <w:rFonts w:hint="eastAsia" w:hAnsi="宋体" w:cs="新宋体"/>
          <w:b/>
          <w:color w:val="auto"/>
          <w:sz w:val="28"/>
          <w:highlight w:val="none"/>
        </w:rPr>
        <w:t>（1）项目负责人简历表</w:t>
      </w:r>
    </w:p>
    <w:p w14:paraId="4136515D">
      <w:pPr>
        <w:pStyle w:val="34"/>
        <w:spacing w:line="400" w:lineRule="atLeast"/>
        <w:ind w:left="663" w:hanging="663" w:hangingChars="300"/>
        <w:rPr>
          <w:rFonts w:hAnsi="宋体" w:cs="新宋体"/>
          <w:b/>
          <w:color w:val="auto"/>
          <w:sz w:val="22"/>
          <w:highlight w:val="none"/>
        </w:rPr>
      </w:pPr>
      <w:r>
        <w:rPr>
          <w:rFonts w:hint="eastAsia" w:hAnsi="宋体" w:cs="新宋体"/>
          <w:b/>
          <w:color w:val="auto"/>
          <w:sz w:val="22"/>
          <w:highlight w:val="none"/>
        </w:rPr>
        <w:t>项目名称：                                            项目编号：</w:t>
      </w:r>
    </w:p>
    <w:tbl>
      <w:tblPr>
        <w:tblStyle w:val="62"/>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291"/>
        <w:gridCol w:w="439"/>
        <w:gridCol w:w="1799"/>
        <w:gridCol w:w="1189"/>
        <w:gridCol w:w="378"/>
        <w:gridCol w:w="1062"/>
        <w:gridCol w:w="2074"/>
        <w:gridCol w:w="1568"/>
      </w:tblGrid>
      <w:tr w14:paraId="05BB0F3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800" w:type="dxa"/>
            <w:gridSpan w:val="8"/>
            <w:tcBorders>
              <w:bottom w:val="single" w:color="auto" w:sz="4" w:space="0"/>
            </w:tcBorders>
            <w:vAlign w:val="center"/>
          </w:tcPr>
          <w:p w14:paraId="1FACE107">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1、一般情况</w:t>
            </w:r>
          </w:p>
        </w:tc>
      </w:tr>
      <w:tr w14:paraId="4F0B9F7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730" w:type="dxa"/>
            <w:gridSpan w:val="2"/>
            <w:tcBorders>
              <w:top w:val="single" w:color="auto" w:sz="4" w:space="0"/>
              <w:bottom w:val="single" w:color="auto" w:sz="4" w:space="0"/>
            </w:tcBorders>
            <w:vAlign w:val="center"/>
          </w:tcPr>
          <w:p w14:paraId="624CB15F">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220F7A8B">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2EBF8F2">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31140A40">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c>
          <w:tcPr>
            <w:tcW w:w="2074" w:type="dxa"/>
            <w:tcBorders>
              <w:top w:val="single" w:color="auto" w:sz="4" w:space="0"/>
              <w:bottom w:val="single" w:color="auto" w:sz="4" w:space="0"/>
            </w:tcBorders>
            <w:vAlign w:val="center"/>
          </w:tcPr>
          <w:p w14:paraId="3CA71C75">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3DE4E17A">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r>
      <w:tr w14:paraId="1BE85B7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730" w:type="dxa"/>
            <w:gridSpan w:val="2"/>
            <w:tcBorders>
              <w:top w:val="single" w:color="auto" w:sz="4" w:space="0"/>
              <w:bottom w:val="single" w:color="auto" w:sz="4" w:space="0"/>
            </w:tcBorders>
            <w:vAlign w:val="center"/>
          </w:tcPr>
          <w:p w14:paraId="5F827F3F">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6F1D0CF0">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53464507">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0BB02C4F">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c>
          <w:tcPr>
            <w:tcW w:w="2074" w:type="dxa"/>
            <w:tcBorders>
              <w:top w:val="single" w:color="auto" w:sz="4" w:space="0"/>
              <w:bottom w:val="single" w:color="auto" w:sz="4" w:space="0"/>
            </w:tcBorders>
            <w:vAlign w:val="center"/>
          </w:tcPr>
          <w:p w14:paraId="09B468FD">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533D9086">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r>
      <w:tr w14:paraId="48BF771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730" w:type="dxa"/>
            <w:gridSpan w:val="2"/>
            <w:tcBorders>
              <w:top w:val="single" w:color="auto" w:sz="4" w:space="0"/>
              <w:bottom w:val="single" w:color="auto" w:sz="4" w:space="0"/>
            </w:tcBorders>
            <w:vAlign w:val="center"/>
          </w:tcPr>
          <w:p w14:paraId="1D5D3A63">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6EDBC055">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056F0914">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623E097C">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c>
          <w:tcPr>
            <w:tcW w:w="2074" w:type="dxa"/>
            <w:tcBorders>
              <w:top w:val="single" w:color="auto" w:sz="4" w:space="0"/>
              <w:bottom w:val="single" w:color="auto" w:sz="4" w:space="0"/>
            </w:tcBorders>
            <w:vAlign w:val="center"/>
          </w:tcPr>
          <w:p w14:paraId="233CDAAC">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参加工作</w:t>
            </w:r>
          </w:p>
          <w:p w14:paraId="39884670">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时间</w:t>
            </w:r>
          </w:p>
        </w:tc>
        <w:tc>
          <w:tcPr>
            <w:tcW w:w="1568" w:type="dxa"/>
            <w:tcBorders>
              <w:top w:val="single" w:color="auto" w:sz="4" w:space="0"/>
              <w:bottom w:val="single" w:color="auto" w:sz="4" w:space="0"/>
            </w:tcBorders>
            <w:vAlign w:val="center"/>
          </w:tcPr>
          <w:p w14:paraId="571FBA1E">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p>
        </w:tc>
      </w:tr>
      <w:tr w14:paraId="5F8CE55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800" w:type="dxa"/>
            <w:gridSpan w:val="8"/>
            <w:tcBorders>
              <w:top w:val="single" w:color="auto" w:sz="4" w:space="0"/>
              <w:bottom w:val="single" w:color="auto" w:sz="4" w:space="0"/>
            </w:tcBorders>
            <w:vAlign w:val="center"/>
          </w:tcPr>
          <w:p w14:paraId="5479C2E7">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2、个人简历</w:t>
            </w:r>
          </w:p>
        </w:tc>
      </w:tr>
      <w:tr w14:paraId="63D0BB2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730" w:type="dxa"/>
            <w:gridSpan w:val="2"/>
            <w:tcBorders>
              <w:top w:val="single" w:color="auto" w:sz="4" w:space="0"/>
              <w:bottom w:val="single" w:color="auto" w:sz="4" w:space="0"/>
            </w:tcBorders>
            <w:vAlign w:val="center"/>
          </w:tcPr>
          <w:p w14:paraId="02D68EEF">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19A2CAA3">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专业工作经历</w:t>
            </w:r>
          </w:p>
        </w:tc>
      </w:tr>
      <w:tr w14:paraId="3BEA092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730" w:type="dxa"/>
            <w:gridSpan w:val="2"/>
            <w:tcBorders>
              <w:top w:val="single" w:color="auto" w:sz="4" w:space="0"/>
              <w:bottom w:val="single" w:color="auto" w:sz="4" w:space="0"/>
            </w:tcBorders>
            <w:vAlign w:val="center"/>
          </w:tcPr>
          <w:p w14:paraId="487E3A39">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3F820A2B">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r w14:paraId="66AF023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730" w:type="dxa"/>
            <w:gridSpan w:val="2"/>
            <w:tcBorders>
              <w:top w:val="single" w:color="auto" w:sz="4" w:space="0"/>
              <w:bottom w:val="single" w:color="auto" w:sz="4" w:space="0"/>
            </w:tcBorders>
            <w:vAlign w:val="center"/>
          </w:tcPr>
          <w:p w14:paraId="64650EE1">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E313E78">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r w14:paraId="23E1C5D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800" w:type="dxa"/>
            <w:gridSpan w:val="8"/>
            <w:tcBorders>
              <w:top w:val="single" w:color="auto" w:sz="4" w:space="0"/>
              <w:bottom w:val="single" w:color="auto" w:sz="4" w:space="0"/>
            </w:tcBorders>
            <w:vAlign w:val="center"/>
          </w:tcPr>
          <w:p w14:paraId="0DB6751E">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3、项目负责人业绩</w:t>
            </w:r>
          </w:p>
        </w:tc>
      </w:tr>
      <w:tr w14:paraId="77AE7DE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291" w:type="dxa"/>
            <w:tcBorders>
              <w:top w:val="single" w:color="auto" w:sz="4" w:space="0"/>
              <w:bottom w:val="single" w:color="auto" w:sz="4" w:space="0"/>
            </w:tcBorders>
            <w:vAlign w:val="center"/>
          </w:tcPr>
          <w:p w14:paraId="0860C679">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92D050">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0ACA7FF">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48A3BB5D">
            <w:pPr>
              <w:keepNext w:val="0"/>
              <w:keepLines w:val="0"/>
              <w:suppressLineNumbers w:val="0"/>
              <w:spacing w:before="0" w:beforeAutospacing="0" w:after="0" w:afterAutospacing="0" w:line="360" w:lineRule="exact"/>
              <w:ind w:left="0" w:right="0"/>
              <w:jc w:val="center"/>
              <w:rPr>
                <w:rFonts w:hint="default" w:ascii="宋体" w:hAnsi="宋体" w:cs="新宋体"/>
                <w:color w:val="auto"/>
                <w:sz w:val="22"/>
                <w:szCs w:val="22"/>
                <w:highlight w:val="none"/>
              </w:rPr>
            </w:pPr>
            <w:r>
              <w:rPr>
                <w:rFonts w:hint="eastAsia" w:ascii="宋体" w:hAnsi="宋体" w:cs="新宋体"/>
                <w:color w:val="auto"/>
                <w:sz w:val="22"/>
                <w:szCs w:val="22"/>
                <w:highlight w:val="none"/>
              </w:rPr>
              <w:t>获奖情况</w:t>
            </w:r>
          </w:p>
        </w:tc>
      </w:tr>
      <w:tr w14:paraId="1B3FA5E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291" w:type="dxa"/>
            <w:tcBorders>
              <w:top w:val="single" w:color="auto" w:sz="4" w:space="0"/>
              <w:bottom w:val="single" w:color="auto" w:sz="4" w:space="0"/>
            </w:tcBorders>
            <w:vAlign w:val="center"/>
          </w:tcPr>
          <w:p w14:paraId="0B9D7FDC">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60AA5B9D">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1DEF8ECA">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4FBB9FCB">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r w14:paraId="28E3D05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291" w:type="dxa"/>
            <w:tcBorders>
              <w:top w:val="single" w:color="auto" w:sz="4" w:space="0"/>
              <w:bottom w:val="single" w:color="auto" w:sz="4" w:space="0"/>
            </w:tcBorders>
            <w:vAlign w:val="center"/>
          </w:tcPr>
          <w:p w14:paraId="4B4A9FC2">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157C549F">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14D8B86C">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4791FA37">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r w14:paraId="23A2969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291" w:type="dxa"/>
            <w:tcBorders>
              <w:top w:val="single" w:color="auto" w:sz="4" w:space="0"/>
              <w:bottom w:val="single" w:color="auto" w:sz="4" w:space="0"/>
            </w:tcBorders>
            <w:vAlign w:val="center"/>
          </w:tcPr>
          <w:p w14:paraId="0F00E05F">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1BB52480">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1B39AA54">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1FB30315">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r w14:paraId="4FF8B0D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291" w:type="dxa"/>
            <w:tcBorders>
              <w:top w:val="single" w:color="auto" w:sz="4" w:space="0"/>
              <w:bottom w:val="single" w:color="auto" w:sz="12" w:space="0"/>
            </w:tcBorders>
            <w:vAlign w:val="center"/>
          </w:tcPr>
          <w:p w14:paraId="1CFE4C73">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245DB132">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D3CD04A">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03C1861B">
            <w:pPr>
              <w:keepNext w:val="0"/>
              <w:keepLines w:val="0"/>
              <w:suppressLineNumbers w:val="0"/>
              <w:spacing w:before="0" w:beforeAutospacing="0" w:after="0" w:afterAutospacing="0" w:line="360" w:lineRule="exact"/>
              <w:ind w:left="0" w:right="0"/>
              <w:rPr>
                <w:rFonts w:hint="default" w:ascii="宋体" w:hAnsi="宋体" w:cs="新宋体"/>
                <w:color w:val="auto"/>
                <w:sz w:val="22"/>
                <w:szCs w:val="22"/>
                <w:highlight w:val="none"/>
              </w:rPr>
            </w:pPr>
          </w:p>
        </w:tc>
      </w:tr>
    </w:tbl>
    <w:p w14:paraId="12F565B1">
      <w:pPr>
        <w:pStyle w:val="34"/>
        <w:spacing w:line="340" w:lineRule="exact"/>
        <w:ind w:left="660" w:hanging="660" w:hangingChars="300"/>
        <w:rPr>
          <w:rFonts w:hAnsi="宋体" w:cs="新宋体"/>
          <w:color w:val="auto"/>
          <w:sz w:val="22"/>
          <w:highlight w:val="none"/>
        </w:rPr>
      </w:pPr>
    </w:p>
    <w:p w14:paraId="41ECB74F">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1748E560">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投标人代表（签字或盖章）：</w:t>
      </w:r>
    </w:p>
    <w:p w14:paraId="7C001BFC">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 xml:space="preserve">日期：  年   月  日  </w:t>
      </w:r>
    </w:p>
    <w:p w14:paraId="3762774B">
      <w:pPr>
        <w:jc w:val="center"/>
        <w:rPr>
          <w:rFonts w:ascii="宋体" w:hAnsi="宋体" w:cs="新宋体"/>
          <w:b/>
          <w:color w:val="auto"/>
          <w:sz w:val="28"/>
          <w:szCs w:val="21"/>
          <w:highlight w:val="none"/>
        </w:rPr>
      </w:pPr>
      <w:r>
        <w:rPr>
          <w:rFonts w:hint="eastAsia" w:ascii="宋体" w:hAnsi="宋体" w:cs="新宋体"/>
          <w:b/>
          <w:color w:val="auto"/>
          <w:sz w:val="28"/>
          <w:szCs w:val="21"/>
          <w:highlight w:val="none"/>
        </w:rPr>
        <w:br w:type="page"/>
      </w:r>
      <w:r>
        <w:rPr>
          <w:rFonts w:hint="eastAsia" w:ascii="宋体" w:hAnsi="宋体" w:cs="新宋体"/>
          <w:b/>
          <w:color w:val="auto"/>
          <w:sz w:val="28"/>
          <w:szCs w:val="21"/>
          <w:highlight w:val="none"/>
        </w:rPr>
        <w:t>（2）拟投入的项目实施人员名单</w:t>
      </w:r>
    </w:p>
    <w:p w14:paraId="5AB7EF10">
      <w:pPr>
        <w:rPr>
          <w:rFonts w:ascii="宋体" w:hAnsi="宋体" w:cs="新宋体"/>
          <w:color w:val="auto"/>
          <w:sz w:val="22"/>
          <w:szCs w:val="22"/>
          <w:highlight w:val="none"/>
        </w:rPr>
      </w:pPr>
      <w:r>
        <w:rPr>
          <w:rFonts w:hint="eastAsia" w:ascii="宋体" w:hAnsi="宋体" w:cs="新宋体"/>
          <w:b/>
          <w:color w:val="auto"/>
          <w:sz w:val="22"/>
          <w:szCs w:val="22"/>
          <w:highlight w:val="none"/>
        </w:rPr>
        <w:t>项目名称：                                         项目编号：</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2F01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2627DBF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序号</w:t>
            </w:r>
          </w:p>
        </w:tc>
        <w:tc>
          <w:tcPr>
            <w:tcW w:w="958" w:type="dxa"/>
            <w:vAlign w:val="center"/>
          </w:tcPr>
          <w:p w14:paraId="330159B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姓名</w:t>
            </w:r>
          </w:p>
        </w:tc>
        <w:tc>
          <w:tcPr>
            <w:tcW w:w="958" w:type="dxa"/>
            <w:vAlign w:val="center"/>
          </w:tcPr>
          <w:p w14:paraId="65A6334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性别</w:t>
            </w:r>
          </w:p>
        </w:tc>
        <w:tc>
          <w:tcPr>
            <w:tcW w:w="767" w:type="dxa"/>
            <w:vAlign w:val="center"/>
          </w:tcPr>
          <w:p w14:paraId="5C7656D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年龄</w:t>
            </w:r>
          </w:p>
        </w:tc>
        <w:tc>
          <w:tcPr>
            <w:tcW w:w="767" w:type="dxa"/>
            <w:vAlign w:val="center"/>
          </w:tcPr>
          <w:p w14:paraId="48A3633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学历</w:t>
            </w:r>
          </w:p>
        </w:tc>
        <w:tc>
          <w:tcPr>
            <w:tcW w:w="1340" w:type="dxa"/>
            <w:vAlign w:val="center"/>
          </w:tcPr>
          <w:p w14:paraId="674E6F7F">
            <w:pPr>
              <w:keepNext w:val="0"/>
              <w:keepLines w:val="0"/>
              <w:suppressLineNumbers w:val="0"/>
              <w:spacing w:before="0" w:beforeAutospacing="0" w:after="0" w:afterAutospacing="0" w:line="280" w:lineRule="exact"/>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职称/职务</w:t>
            </w:r>
          </w:p>
        </w:tc>
        <w:tc>
          <w:tcPr>
            <w:tcW w:w="1326" w:type="dxa"/>
            <w:vAlign w:val="center"/>
          </w:tcPr>
          <w:p w14:paraId="715F1674">
            <w:pPr>
              <w:keepNext w:val="0"/>
              <w:keepLines w:val="0"/>
              <w:suppressLineNumbers w:val="0"/>
              <w:spacing w:before="0" w:beforeAutospacing="0" w:after="0" w:afterAutospacing="0" w:line="280" w:lineRule="exact"/>
              <w:ind w:left="0" w:right="0"/>
              <w:jc w:val="center"/>
              <w:rPr>
                <w:rFonts w:hint="default" w:ascii="宋体" w:hAnsi="宋体" w:cs="新宋体"/>
                <w:color w:val="auto"/>
                <w:sz w:val="22"/>
                <w:highlight w:val="none"/>
              </w:rPr>
            </w:pPr>
            <w:r>
              <w:rPr>
                <w:rFonts w:hint="eastAsia" w:ascii="宋体" w:hAnsi="宋体" w:cs="新宋体"/>
                <w:color w:val="auto"/>
                <w:highlight w:val="none"/>
              </w:rPr>
              <w:t>本工程中的岗位</w:t>
            </w:r>
          </w:p>
        </w:tc>
        <w:tc>
          <w:tcPr>
            <w:tcW w:w="1825" w:type="dxa"/>
            <w:vAlign w:val="center"/>
          </w:tcPr>
          <w:p w14:paraId="73A4C33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从事专业年限</w:t>
            </w:r>
          </w:p>
        </w:tc>
        <w:tc>
          <w:tcPr>
            <w:tcW w:w="1147" w:type="dxa"/>
            <w:vAlign w:val="center"/>
          </w:tcPr>
          <w:p w14:paraId="7BA0FAE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r>
              <w:rPr>
                <w:rFonts w:hint="eastAsia" w:ascii="宋体" w:hAnsi="宋体" w:cs="新宋体"/>
                <w:color w:val="auto"/>
                <w:sz w:val="22"/>
                <w:highlight w:val="none"/>
              </w:rPr>
              <w:t>备注</w:t>
            </w:r>
          </w:p>
        </w:tc>
      </w:tr>
      <w:tr w14:paraId="23584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E511E6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0154B83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BB06E6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936182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0D0700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4468857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4B39D5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0057BF4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11EB9AB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7642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0932F5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488D5CC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50DB812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1C2E916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2B7543C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17CEADA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C9DF8F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211BF02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401B7F3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45A30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CB3066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5845839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439631A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5E5A365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E2DC4C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678612F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4BD2E43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14A7C4D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6A29CAA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514BA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6ACFF4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1B20B09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3A878EE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10975FC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58A493D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29DCA4B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1AFC114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6F289C9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6483A2C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256B0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3A5480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21CA0F7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1CD993D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8E332E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3DE986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7DDC50D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2C00F9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105EF48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55FF22B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1DE63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798A91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2C0B928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76D4DE0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1E0E2AE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183CF2D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4FEC253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5A56005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6ECB56E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3B045B2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2EFCC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0B0D15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3A7C6D2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2BC6661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280DCA8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6254C06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1009912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40985C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73AAD5C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3D5A221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34F8C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802FFA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5E662AF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54F5D2B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35EADC6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4624548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6248600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39A33EE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0582C6C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0513DD2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75F64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7DAED1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31430C9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41ABCEC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5253F08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321DAD0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2AE8DE7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12BC189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38FFEFC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4A0EA31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69F19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8BBAB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3E84CC9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7E5A145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9FF00F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FD4C41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5F4DEAD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0A16A4A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2CC58AF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5344343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40162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309A21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574FB62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0F08995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35295DC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3E55353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55EEFB6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45FD6B6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20F101E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6130849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4651B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5A7A15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09F2F27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488A519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7063589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2665E5F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6A2ADD8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77E173D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2E146ED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4183411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0DCDC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F4194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3D13871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B38BBE3">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B5DAF5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243EC7D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08E4F2C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0A69FD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30567EC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6C79991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358D8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C1522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412C9882">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F5981D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3825331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5023364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3F24CD1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4503C5E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4C4F9F2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2BD5B5D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77572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32057D4">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13D45E8">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D51533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834229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7C83D3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7651E190">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07642FD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0A7A15E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349F7525">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00DB8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9A1964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07B5675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6A8F916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D9322DB">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11749FE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606284FD">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550C2DD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63BFF0E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1F464F5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r w14:paraId="7952F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13FAB1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70A9B5E6">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958" w:type="dxa"/>
            <w:vAlign w:val="center"/>
          </w:tcPr>
          <w:p w14:paraId="753C5AE9">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F8A53B7">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767" w:type="dxa"/>
            <w:vAlign w:val="center"/>
          </w:tcPr>
          <w:p w14:paraId="00943D51">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40" w:type="dxa"/>
            <w:vAlign w:val="center"/>
          </w:tcPr>
          <w:p w14:paraId="7881414F">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326" w:type="dxa"/>
            <w:vAlign w:val="center"/>
          </w:tcPr>
          <w:p w14:paraId="2341A4DE">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825" w:type="dxa"/>
          </w:tcPr>
          <w:p w14:paraId="1353B87C">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c>
          <w:tcPr>
            <w:tcW w:w="1147" w:type="dxa"/>
            <w:vAlign w:val="center"/>
          </w:tcPr>
          <w:p w14:paraId="18D36C1A">
            <w:pPr>
              <w:keepNext w:val="0"/>
              <w:keepLines w:val="0"/>
              <w:suppressLineNumbers w:val="0"/>
              <w:spacing w:before="0" w:beforeAutospacing="0" w:after="0" w:afterAutospacing="0" w:line="360" w:lineRule="auto"/>
              <w:ind w:left="0" w:right="0"/>
              <w:jc w:val="center"/>
              <w:rPr>
                <w:rFonts w:hint="default" w:ascii="宋体" w:hAnsi="宋体" w:cs="新宋体"/>
                <w:color w:val="auto"/>
                <w:sz w:val="22"/>
                <w:highlight w:val="none"/>
              </w:rPr>
            </w:pPr>
          </w:p>
        </w:tc>
      </w:tr>
    </w:tbl>
    <w:p w14:paraId="4C39228B">
      <w:pPr>
        <w:pStyle w:val="34"/>
        <w:spacing w:line="400" w:lineRule="atLeast"/>
        <w:ind w:left="660" w:hanging="660" w:hangingChars="300"/>
        <w:rPr>
          <w:rFonts w:hAnsi="宋体" w:cs="新宋体"/>
          <w:color w:val="auto"/>
          <w:sz w:val="22"/>
          <w:highlight w:val="none"/>
        </w:rPr>
      </w:pPr>
      <w:r>
        <w:rPr>
          <w:rFonts w:hint="eastAsia" w:hAnsi="宋体" w:cs="新宋体"/>
          <w:color w:val="auto"/>
          <w:sz w:val="22"/>
          <w:highlight w:val="none"/>
        </w:rPr>
        <w:t>注：此表仅提供了表格形式，供应商可按此表格复制。</w:t>
      </w:r>
    </w:p>
    <w:p w14:paraId="75E76FDF">
      <w:pPr>
        <w:pStyle w:val="34"/>
        <w:spacing w:line="400" w:lineRule="atLeast"/>
        <w:ind w:left="660" w:hanging="660" w:hangingChars="300"/>
        <w:rPr>
          <w:rFonts w:hAnsi="宋体" w:cs="新宋体"/>
          <w:color w:val="auto"/>
          <w:sz w:val="22"/>
          <w:highlight w:val="none"/>
        </w:rPr>
      </w:pPr>
    </w:p>
    <w:p w14:paraId="321ACBEE">
      <w:pPr>
        <w:pStyle w:val="34"/>
        <w:spacing w:line="400" w:lineRule="atLeast"/>
        <w:ind w:left="660" w:hanging="660" w:hangingChars="300"/>
        <w:rPr>
          <w:rFonts w:hAnsi="宋体" w:cs="新宋体"/>
          <w:color w:val="auto"/>
          <w:sz w:val="22"/>
          <w:highlight w:val="none"/>
        </w:rPr>
      </w:pPr>
    </w:p>
    <w:p w14:paraId="1B485776">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7B16DB9F">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法定代表人（负责人）或其授权代表（签字或盖章）：</w:t>
      </w:r>
    </w:p>
    <w:p w14:paraId="0A90FAA2">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日期：  年   月  日</w:t>
      </w:r>
    </w:p>
    <w:p w14:paraId="44C499E2">
      <w:pPr>
        <w:spacing w:line="380" w:lineRule="exact"/>
        <w:jc w:val="center"/>
        <w:rPr>
          <w:rFonts w:ascii="宋体" w:hAnsi="宋体" w:cs="新宋体"/>
          <w:color w:val="auto"/>
          <w:sz w:val="22"/>
          <w:szCs w:val="22"/>
          <w:highlight w:val="none"/>
        </w:rPr>
      </w:pPr>
    </w:p>
    <w:p w14:paraId="380951B0">
      <w:pPr>
        <w:tabs>
          <w:tab w:val="left" w:pos="780"/>
        </w:tabs>
        <w:spacing w:line="400" w:lineRule="exact"/>
        <w:ind w:left="180"/>
        <w:rPr>
          <w:rFonts w:hint="eastAsia" w:ascii="宋体" w:hAnsi="宋体" w:eastAsia="宋体" w:cs="新宋体"/>
          <w:b/>
          <w:bCs/>
          <w:color w:val="auto"/>
          <w:sz w:val="22"/>
          <w:szCs w:val="22"/>
          <w:highlight w:val="none"/>
          <w:lang w:eastAsia="zh-CN"/>
        </w:rPr>
      </w:pPr>
      <w:r>
        <w:rPr>
          <w:rFonts w:hint="eastAsia" w:ascii="宋体" w:hAnsi="宋体" w:cs="新宋体"/>
          <w:b/>
          <w:bCs/>
          <w:color w:val="auto"/>
          <w:sz w:val="22"/>
          <w:szCs w:val="22"/>
          <w:highlight w:val="none"/>
        </w:rPr>
        <w:t>附件</w:t>
      </w:r>
      <w:r>
        <w:rPr>
          <w:rFonts w:hint="eastAsia" w:ascii="宋体" w:hAnsi="宋体" w:cs="新宋体"/>
          <w:b/>
          <w:bCs/>
          <w:color w:val="auto"/>
          <w:sz w:val="22"/>
          <w:szCs w:val="22"/>
          <w:highlight w:val="none"/>
          <w:lang w:eastAsia="zh-CN"/>
        </w:rPr>
        <w:t>七</w:t>
      </w:r>
    </w:p>
    <w:p w14:paraId="609608D7">
      <w:pPr>
        <w:spacing w:afterLines="50"/>
        <w:ind w:right="0"/>
        <w:jc w:val="center"/>
        <w:rPr>
          <w:rFonts w:ascii="宋体" w:hAnsi="宋体" w:cs="Arial"/>
          <w:b/>
          <w:bCs/>
          <w:color w:val="auto"/>
          <w:sz w:val="30"/>
          <w:highlight w:val="none"/>
        </w:rPr>
      </w:pPr>
      <w:r>
        <w:rPr>
          <w:rFonts w:hint="eastAsia" w:ascii="宋体" w:hAnsi="宋体" w:cs="Arial"/>
          <w:b/>
          <w:bCs/>
          <w:color w:val="auto"/>
          <w:sz w:val="28"/>
          <w:highlight w:val="none"/>
        </w:rPr>
        <w:t>拟投入本项目的设备一览表</w:t>
      </w:r>
    </w:p>
    <w:p w14:paraId="276ED0BD">
      <w:pPr>
        <w:spacing w:line="460" w:lineRule="exact"/>
        <w:rPr>
          <w:rFonts w:ascii="宋体" w:hAnsi="宋体"/>
          <w:color w:val="auto"/>
          <w:highlight w:val="none"/>
        </w:rPr>
      </w:pPr>
      <w:r>
        <w:rPr>
          <w:rFonts w:hint="eastAsia" w:ascii="宋体" w:hAnsi="宋体" w:cs="宋体"/>
          <w:color w:val="auto"/>
          <w:kern w:val="0"/>
          <w:sz w:val="22"/>
          <w:highlight w:val="none"/>
        </w:rPr>
        <w:t>项目名称：                                              项目编号：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05"/>
        <w:gridCol w:w="1983"/>
        <w:gridCol w:w="1642"/>
        <w:gridCol w:w="1643"/>
        <w:gridCol w:w="1643"/>
      </w:tblGrid>
      <w:tr w14:paraId="59F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8" w:type="dxa"/>
            <w:noWrap/>
            <w:vAlign w:val="center"/>
          </w:tcPr>
          <w:p w14:paraId="19DF397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序号</w:t>
            </w:r>
          </w:p>
        </w:tc>
        <w:tc>
          <w:tcPr>
            <w:tcW w:w="2205" w:type="dxa"/>
            <w:noWrap/>
            <w:vAlign w:val="center"/>
          </w:tcPr>
          <w:p w14:paraId="25CDA3B1">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货品名称</w:t>
            </w:r>
          </w:p>
        </w:tc>
        <w:tc>
          <w:tcPr>
            <w:tcW w:w="1983" w:type="dxa"/>
            <w:noWrap/>
            <w:vAlign w:val="center"/>
          </w:tcPr>
          <w:p w14:paraId="460B7EB3">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用途</w:t>
            </w:r>
          </w:p>
        </w:tc>
        <w:tc>
          <w:tcPr>
            <w:tcW w:w="1642" w:type="dxa"/>
            <w:noWrap/>
            <w:vAlign w:val="center"/>
          </w:tcPr>
          <w:p w14:paraId="34A29DA3">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数量</w:t>
            </w:r>
          </w:p>
        </w:tc>
        <w:tc>
          <w:tcPr>
            <w:tcW w:w="1643" w:type="dxa"/>
            <w:noWrap/>
            <w:vAlign w:val="center"/>
          </w:tcPr>
          <w:p w14:paraId="3F425A6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单价（元）</w:t>
            </w:r>
          </w:p>
        </w:tc>
        <w:tc>
          <w:tcPr>
            <w:tcW w:w="1643" w:type="dxa"/>
            <w:noWrap/>
            <w:vAlign w:val="center"/>
          </w:tcPr>
          <w:p w14:paraId="37E86B2F">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备注</w:t>
            </w:r>
          </w:p>
        </w:tc>
      </w:tr>
      <w:tr w14:paraId="7B3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2FBE40E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7925449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7F146CE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13B7F9A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4E69DF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2731FCB4">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546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56DEA49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795DFFA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06F2600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0A93666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B4C959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22C6B40F">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A7A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60E40B8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77F3200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16AB8CC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3D5706E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75743E5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7363B5BD">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A7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47E830E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2A44D6F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0AF0CFD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5F6EBCE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034687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48616DCE">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3C4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16D1C38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2C9551B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25C2746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7EEB2C5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00D6A87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4F0AB40">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2CC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23387C9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7C7921E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2FB9D05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27D328E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324AC93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4A72ECBD">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206E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6A66F3A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032A01A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6B04CF1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5227428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0B7F85E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762C131">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6B46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1683535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68067DC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6D40D7B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5B553107">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474858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528D8B72">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5398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8" w:type="dxa"/>
            <w:noWrap/>
            <w:vAlign w:val="center"/>
          </w:tcPr>
          <w:p w14:paraId="0AFD371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44F535F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5E76838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3D0D878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3B01E45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4D36E217">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B2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5622DD8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1E1D90E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5580E15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65E0102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4CA71E36">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455D9FE6">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69C8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20D3D5D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0DD0A1D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2A0C506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02C88C6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D4FDA2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11FCBBB9">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62AE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51E61D4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6A5D126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5FAC12D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68690D85">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1086A28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9C38F8B">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3B5B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6881A8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27948B6C">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6099C4E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34FC185E">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39CB8A5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2084FC4C">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0131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4036F23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637DAEA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575F83F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15EB1D1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7FABF569">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6C133E5F">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113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7F1C6A1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34583AF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983" w:type="dxa"/>
            <w:noWrap/>
          </w:tcPr>
          <w:p w14:paraId="3CC7778A">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6659CA28">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3BF77C0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2FCBBD79">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204D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765E0AF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205" w:type="dxa"/>
            <w:noWrap/>
            <w:vAlign w:val="center"/>
          </w:tcPr>
          <w:p w14:paraId="18B1CA7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Arial"/>
                <w:color w:val="auto"/>
                <w:szCs w:val="21"/>
                <w:highlight w:val="none"/>
              </w:rPr>
              <w:t>……</w:t>
            </w:r>
          </w:p>
        </w:tc>
        <w:tc>
          <w:tcPr>
            <w:tcW w:w="1983" w:type="dxa"/>
            <w:noWrap/>
          </w:tcPr>
          <w:p w14:paraId="2A00BCFB">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2" w:type="dxa"/>
            <w:noWrap/>
          </w:tcPr>
          <w:p w14:paraId="1AA06141">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74C6C933">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643" w:type="dxa"/>
            <w:noWrap/>
          </w:tcPr>
          <w:p w14:paraId="29C02AB3">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0111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8" w:type="dxa"/>
            <w:noWrap/>
            <w:vAlign w:val="center"/>
          </w:tcPr>
          <w:p w14:paraId="3838D09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205" w:type="dxa"/>
            <w:noWrap/>
          </w:tcPr>
          <w:p w14:paraId="23400DED">
            <w:pPr>
              <w:keepNext w:val="0"/>
              <w:keepLines w:val="0"/>
              <w:suppressLineNumbers w:val="0"/>
              <w:spacing w:before="0" w:beforeAutospacing="0" w:after="0" w:afterAutospacing="0"/>
              <w:ind w:left="0" w:right="0"/>
              <w:rPr>
                <w:rFonts w:hint="default" w:ascii="宋体" w:hAnsi="宋体"/>
                <w:color w:val="auto"/>
                <w:highlight w:val="none"/>
              </w:rPr>
            </w:pPr>
          </w:p>
        </w:tc>
        <w:tc>
          <w:tcPr>
            <w:tcW w:w="1983" w:type="dxa"/>
            <w:noWrap/>
          </w:tcPr>
          <w:p w14:paraId="2B2BC579">
            <w:pPr>
              <w:keepNext w:val="0"/>
              <w:keepLines w:val="0"/>
              <w:suppressLineNumbers w:val="0"/>
              <w:spacing w:before="0" w:beforeAutospacing="0" w:after="0" w:afterAutospacing="0"/>
              <w:ind w:left="0" w:right="0"/>
              <w:rPr>
                <w:rFonts w:hint="default" w:ascii="宋体" w:hAnsi="宋体"/>
                <w:color w:val="auto"/>
                <w:highlight w:val="none"/>
              </w:rPr>
            </w:pPr>
          </w:p>
        </w:tc>
        <w:tc>
          <w:tcPr>
            <w:tcW w:w="1642" w:type="dxa"/>
            <w:noWrap/>
          </w:tcPr>
          <w:p w14:paraId="043E101C">
            <w:pPr>
              <w:keepNext w:val="0"/>
              <w:keepLines w:val="0"/>
              <w:suppressLineNumbers w:val="0"/>
              <w:spacing w:before="0" w:beforeAutospacing="0" w:after="0" w:afterAutospacing="0"/>
              <w:ind w:left="0" w:right="0"/>
              <w:rPr>
                <w:rFonts w:hint="default" w:ascii="宋体" w:hAnsi="宋体"/>
                <w:color w:val="auto"/>
                <w:highlight w:val="none"/>
              </w:rPr>
            </w:pPr>
          </w:p>
        </w:tc>
        <w:tc>
          <w:tcPr>
            <w:tcW w:w="1643" w:type="dxa"/>
            <w:noWrap/>
          </w:tcPr>
          <w:p w14:paraId="19C82C80">
            <w:pPr>
              <w:keepNext w:val="0"/>
              <w:keepLines w:val="0"/>
              <w:suppressLineNumbers w:val="0"/>
              <w:spacing w:before="0" w:beforeAutospacing="0" w:after="0" w:afterAutospacing="0"/>
              <w:ind w:left="0" w:right="0"/>
              <w:rPr>
                <w:rFonts w:hint="default" w:ascii="宋体" w:hAnsi="宋体"/>
                <w:color w:val="auto"/>
                <w:highlight w:val="none"/>
              </w:rPr>
            </w:pPr>
          </w:p>
        </w:tc>
        <w:tc>
          <w:tcPr>
            <w:tcW w:w="1643" w:type="dxa"/>
            <w:noWrap/>
          </w:tcPr>
          <w:p w14:paraId="3406D0A4">
            <w:pPr>
              <w:keepNext w:val="0"/>
              <w:keepLines w:val="0"/>
              <w:suppressLineNumbers w:val="0"/>
              <w:spacing w:before="0" w:beforeAutospacing="0" w:after="0" w:afterAutospacing="0"/>
              <w:ind w:left="0" w:right="0"/>
              <w:rPr>
                <w:rFonts w:hint="default" w:ascii="宋体" w:hAnsi="宋体"/>
                <w:color w:val="auto"/>
                <w:highlight w:val="none"/>
              </w:rPr>
            </w:pPr>
          </w:p>
        </w:tc>
      </w:tr>
    </w:tbl>
    <w:p w14:paraId="611F8BCF">
      <w:pPr>
        <w:rPr>
          <w:rFonts w:ascii="宋体" w:hAnsi="宋体"/>
          <w:color w:val="auto"/>
          <w:highlight w:val="none"/>
        </w:rPr>
      </w:pPr>
    </w:p>
    <w:p w14:paraId="1003811B">
      <w:pPr>
        <w:pStyle w:val="15"/>
        <w:spacing w:line="460" w:lineRule="exact"/>
        <w:ind w:firstLine="0"/>
        <w:jc w:val="left"/>
        <w:rPr>
          <w:rFonts w:ascii="宋体" w:hAnsi="宋体"/>
          <w:color w:val="auto"/>
          <w:highlight w:val="none"/>
        </w:rPr>
      </w:pPr>
      <w:r>
        <w:rPr>
          <w:rFonts w:hint="eastAsia" w:ascii="宋体" w:hAnsi="宋体"/>
          <w:color w:val="auto"/>
          <w:highlight w:val="none"/>
        </w:rPr>
        <w:t xml:space="preserve">注： </w:t>
      </w:r>
    </w:p>
    <w:p w14:paraId="021FDCF4">
      <w:pPr>
        <w:pStyle w:val="15"/>
        <w:spacing w:line="460" w:lineRule="exact"/>
        <w:ind w:firstLine="0"/>
        <w:jc w:val="left"/>
        <w:rPr>
          <w:rFonts w:ascii="宋体" w:hAnsi="宋体" w:cs="Arial"/>
          <w:color w:val="auto"/>
          <w:sz w:val="22"/>
          <w:szCs w:val="22"/>
          <w:highlight w:val="none"/>
        </w:rPr>
      </w:pPr>
      <w:r>
        <w:rPr>
          <w:rFonts w:hint="eastAsia" w:ascii="宋体" w:hAnsi="宋体" w:cs="Arial"/>
          <w:color w:val="auto"/>
          <w:sz w:val="22"/>
          <w:szCs w:val="22"/>
          <w:highlight w:val="none"/>
        </w:rPr>
        <w:t>1. 本表所列为供应商拟投入的工具配备。</w:t>
      </w:r>
    </w:p>
    <w:p w14:paraId="0AB09903">
      <w:pPr>
        <w:spacing w:line="380" w:lineRule="exact"/>
        <w:rPr>
          <w:rFonts w:ascii="宋体" w:hAnsi="宋体" w:cs="新宋体"/>
          <w:color w:val="auto"/>
          <w:sz w:val="22"/>
          <w:szCs w:val="22"/>
          <w:highlight w:val="none"/>
        </w:rPr>
      </w:pPr>
      <w:r>
        <w:rPr>
          <w:rFonts w:hint="eastAsia" w:ascii="宋体" w:hAnsi="宋体" w:cs="Arial"/>
          <w:color w:val="auto"/>
          <w:sz w:val="22"/>
          <w:szCs w:val="22"/>
          <w:highlight w:val="none"/>
        </w:rPr>
        <w:t>2. 此表仅提供了表格形式，供应商应根据需要准备足够数量的表格来填写。</w:t>
      </w:r>
    </w:p>
    <w:p w14:paraId="439CE2A7">
      <w:pPr>
        <w:spacing w:line="380" w:lineRule="exact"/>
        <w:rPr>
          <w:rFonts w:ascii="宋体" w:hAnsi="宋体" w:cs="新宋体"/>
          <w:color w:val="auto"/>
          <w:sz w:val="22"/>
          <w:szCs w:val="22"/>
          <w:highlight w:val="none"/>
        </w:rPr>
      </w:pPr>
    </w:p>
    <w:p w14:paraId="2B49D46F">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27A63675">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法定代表人（负责人）或其授权代表（签字或盖章）：</w:t>
      </w:r>
    </w:p>
    <w:p w14:paraId="0E9590CC">
      <w:pPr>
        <w:spacing w:line="380" w:lineRule="exact"/>
        <w:ind w:firstLine="4400" w:firstLineChars="2000"/>
        <w:rPr>
          <w:rFonts w:ascii="宋体" w:hAnsi="宋体" w:cs="新宋体"/>
          <w:color w:val="auto"/>
          <w:sz w:val="22"/>
          <w:szCs w:val="22"/>
          <w:highlight w:val="none"/>
        </w:rPr>
      </w:pPr>
      <w:r>
        <w:rPr>
          <w:rFonts w:hint="eastAsia" w:ascii="宋体" w:hAnsi="宋体" w:cs="新宋体"/>
          <w:color w:val="auto"/>
          <w:sz w:val="22"/>
          <w:szCs w:val="22"/>
          <w:highlight w:val="none"/>
        </w:rPr>
        <w:t>日期：  年   月  日</w:t>
      </w:r>
    </w:p>
    <w:p w14:paraId="4BF4D002">
      <w:pPr>
        <w:rPr>
          <w:rFonts w:ascii="楷体" w:hAnsi="楷体" w:eastAsia="楷体" w:cs="楷体"/>
          <w:b/>
          <w:bCs/>
          <w:color w:val="auto"/>
          <w:szCs w:val="21"/>
          <w:highlight w:val="none"/>
        </w:rPr>
        <w:sectPr>
          <w:type w:val="nextColumn"/>
          <w:pgSz w:w="11906" w:h="16838"/>
          <w:pgMar w:top="1531" w:right="779" w:bottom="1134" w:left="1134" w:header="851" w:footer="427" w:gutter="0"/>
          <w:pgNumType w:fmt="decimal"/>
          <w:cols w:space="720" w:num="1"/>
          <w:docGrid w:linePitch="312" w:charSpace="0"/>
        </w:sectPr>
      </w:pPr>
    </w:p>
    <w:p w14:paraId="43CDC590">
      <w:pPr>
        <w:tabs>
          <w:tab w:val="left" w:pos="780"/>
        </w:tabs>
        <w:spacing w:line="400" w:lineRule="exact"/>
        <w:ind w:left="180"/>
        <w:rPr>
          <w:rFonts w:hint="eastAsia" w:ascii="宋体" w:hAnsi="宋体" w:eastAsia="宋体" w:cs="新宋体"/>
          <w:b/>
          <w:bCs/>
          <w:color w:val="auto"/>
          <w:sz w:val="22"/>
          <w:szCs w:val="22"/>
          <w:highlight w:val="none"/>
          <w:lang w:eastAsia="zh-CN"/>
        </w:rPr>
      </w:pPr>
      <w:r>
        <w:rPr>
          <w:rFonts w:hint="eastAsia" w:ascii="宋体" w:hAnsi="宋体" w:cs="新宋体"/>
          <w:b/>
          <w:bCs/>
          <w:color w:val="auto"/>
          <w:sz w:val="22"/>
          <w:szCs w:val="22"/>
          <w:highlight w:val="none"/>
        </w:rPr>
        <w:t>附件</w:t>
      </w:r>
      <w:r>
        <w:rPr>
          <w:rFonts w:hint="eastAsia" w:ascii="宋体" w:hAnsi="宋体" w:cs="新宋体"/>
          <w:b/>
          <w:bCs/>
          <w:color w:val="auto"/>
          <w:sz w:val="22"/>
          <w:szCs w:val="22"/>
          <w:highlight w:val="none"/>
          <w:lang w:eastAsia="zh-CN"/>
        </w:rPr>
        <w:t>八</w:t>
      </w:r>
    </w:p>
    <w:p w14:paraId="2A4585A8">
      <w:pPr>
        <w:adjustRightInd w:val="0"/>
        <w:snapToGrid w:val="0"/>
        <w:spacing w:line="360" w:lineRule="auto"/>
        <w:jc w:val="center"/>
        <w:rPr>
          <w:rFonts w:ascii="宋体" w:hAnsi="宋体" w:eastAsia="新宋体"/>
          <w:b/>
          <w:color w:val="auto"/>
          <w:sz w:val="30"/>
          <w:szCs w:val="30"/>
          <w:highlight w:val="none"/>
        </w:rPr>
      </w:pPr>
      <w:r>
        <w:rPr>
          <w:rFonts w:hint="eastAsia" w:ascii="新宋体" w:hAnsi="新宋体" w:eastAsia="新宋体"/>
          <w:color w:val="auto"/>
          <w:sz w:val="36"/>
          <w:szCs w:val="36"/>
          <w:highlight w:val="none"/>
          <w:lang w:val="zh-CN"/>
        </w:rPr>
        <w:t>供应商</w:t>
      </w:r>
      <w:r>
        <w:rPr>
          <w:rFonts w:hint="eastAsia" w:ascii="新宋体" w:hAnsi="新宋体" w:eastAsia="新宋体"/>
          <w:color w:val="auto"/>
          <w:sz w:val="36"/>
          <w:szCs w:val="36"/>
          <w:highlight w:val="none"/>
        </w:rPr>
        <w:t>根据评分标准需提供的项目</w:t>
      </w:r>
      <w:r>
        <w:rPr>
          <w:rFonts w:hint="eastAsia" w:ascii="新宋体" w:hAnsi="新宋体" w:eastAsia="新宋体"/>
          <w:color w:val="auto"/>
          <w:sz w:val="36"/>
          <w:szCs w:val="36"/>
          <w:highlight w:val="none"/>
          <w:lang w:val="zh-CN"/>
        </w:rPr>
        <w:t>业绩情况表</w:t>
      </w:r>
    </w:p>
    <w:p w14:paraId="0A857256">
      <w:pPr>
        <w:spacing w:line="460" w:lineRule="exact"/>
        <w:rPr>
          <w:color w:val="auto"/>
          <w:highlight w:val="none"/>
        </w:rPr>
      </w:pPr>
      <w:r>
        <w:rPr>
          <w:rFonts w:hint="eastAsia" w:ascii="宋体" w:hAnsi="宋体" w:cs="宋体"/>
          <w:color w:val="auto"/>
          <w:kern w:val="0"/>
          <w:sz w:val="22"/>
          <w:highlight w:val="none"/>
        </w:rPr>
        <w:t>项目名称：                                              项目编号：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2"/>
        <w:gridCol w:w="2685"/>
        <w:gridCol w:w="2520"/>
        <w:gridCol w:w="1185"/>
        <w:gridCol w:w="1245"/>
      </w:tblGrid>
      <w:tr w14:paraId="0418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5FCFF11B">
            <w:pPr>
              <w:keepNext w:val="0"/>
              <w:keepLines w:val="0"/>
              <w:suppressLineNumbers w:val="0"/>
              <w:spacing w:before="0" w:beforeAutospacing="0" w:after="0" w:afterAutospacing="0" w:line="38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序号</w:t>
            </w:r>
          </w:p>
        </w:tc>
        <w:tc>
          <w:tcPr>
            <w:tcW w:w="1522" w:type="dxa"/>
            <w:noWrap/>
            <w:vAlign w:val="center"/>
          </w:tcPr>
          <w:p w14:paraId="0AB9243F">
            <w:pPr>
              <w:keepNext w:val="0"/>
              <w:keepLines w:val="0"/>
              <w:suppressLineNumbers w:val="0"/>
              <w:spacing w:before="0" w:beforeAutospacing="0" w:after="0" w:afterAutospacing="0" w:line="38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用户名称</w:t>
            </w:r>
          </w:p>
        </w:tc>
        <w:tc>
          <w:tcPr>
            <w:tcW w:w="2685" w:type="dxa"/>
            <w:noWrap/>
            <w:vAlign w:val="center"/>
          </w:tcPr>
          <w:p w14:paraId="1B3DB2C7">
            <w:pPr>
              <w:keepNext w:val="0"/>
              <w:keepLines w:val="0"/>
              <w:suppressLineNumbers w:val="0"/>
              <w:spacing w:before="0" w:beforeAutospacing="0" w:after="0" w:afterAutospacing="0" w:line="380" w:lineRule="exact"/>
              <w:ind w:left="0" w:right="0"/>
              <w:jc w:val="center"/>
              <w:rPr>
                <w:rFonts w:hint="default" w:ascii="宋体" w:hAnsi="宋体"/>
                <w:bCs/>
                <w:color w:val="auto"/>
                <w:szCs w:val="21"/>
                <w:highlight w:val="none"/>
              </w:rPr>
            </w:pPr>
            <w:r>
              <w:rPr>
                <w:rFonts w:hint="eastAsia" w:ascii="宋体" w:hAnsi="宋体"/>
                <w:bCs/>
                <w:color w:val="auto"/>
                <w:szCs w:val="21"/>
                <w:highlight w:val="none"/>
                <w:lang w:val="zh-CN"/>
              </w:rPr>
              <w:t>地址、联系电话</w:t>
            </w:r>
          </w:p>
        </w:tc>
        <w:tc>
          <w:tcPr>
            <w:tcW w:w="2520" w:type="dxa"/>
            <w:noWrap/>
            <w:vAlign w:val="center"/>
          </w:tcPr>
          <w:p w14:paraId="11C157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bCs/>
                <w:color w:val="auto"/>
                <w:szCs w:val="21"/>
                <w:highlight w:val="none"/>
                <w:lang w:val="zh-CN"/>
              </w:rPr>
            </w:pPr>
            <w:r>
              <w:rPr>
                <w:rFonts w:hint="eastAsia" w:ascii="宋体" w:hAnsi="宋体"/>
                <w:bCs/>
                <w:color w:val="auto"/>
                <w:szCs w:val="21"/>
                <w:highlight w:val="none"/>
                <w:lang w:val="zh-CN"/>
              </w:rPr>
              <w:t>合同起止时间</w:t>
            </w:r>
          </w:p>
        </w:tc>
        <w:tc>
          <w:tcPr>
            <w:tcW w:w="1185" w:type="dxa"/>
            <w:noWrap/>
            <w:vAlign w:val="center"/>
          </w:tcPr>
          <w:p w14:paraId="33E979B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bCs/>
                <w:color w:val="auto"/>
                <w:spacing w:val="-6"/>
                <w:szCs w:val="21"/>
                <w:highlight w:val="none"/>
                <w:lang w:val="zh-CN"/>
              </w:rPr>
            </w:pPr>
            <w:r>
              <w:rPr>
                <w:rFonts w:hint="eastAsia" w:ascii="宋体" w:hAnsi="宋体"/>
                <w:bCs/>
                <w:color w:val="auto"/>
                <w:spacing w:val="-6"/>
                <w:szCs w:val="21"/>
                <w:highlight w:val="none"/>
                <w:lang w:val="zh-CN"/>
              </w:rPr>
              <w:t>合同金额</w:t>
            </w:r>
          </w:p>
          <w:p w14:paraId="176A2B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bCs/>
                <w:color w:val="auto"/>
                <w:szCs w:val="21"/>
                <w:highlight w:val="none"/>
                <w:lang w:val="zh-CN"/>
              </w:rPr>
            </w:pPr>
            <w:r>
              <w:rPr>
                <w:rFonts w:hint="eastAsia" w:ascii="宋体" w:hAnsi="宋体"/>
                <w:bCs/>
                <w:color w:val="auto"/>
                <w:szCs w:val="21"/>
                <w:highlight w:val="none"/>
                <w:lang w:val="zh-CN"/>
              </w:rPr>
              <w:t>（万元）</w:t>
            </w:r>
          </w:p>
        </w:tc>
        <w:tc>
          <w:tcPr>
            <w:tcW w:w="1245" w:type="dxa"/>
            <w:noWrap/>
            <w:vAlign w:val="center"/>
          </w:tcPr>
          <w:p w14:paraId="33A7932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bCs/>
                <w:color w:val="auto"/>
                <w:szCs w:val="21"/>
                <w:highlight w:val="none"/>
                <w:lang w:val="zh-CN"/>
              </w:rPr>
            </w:pPr>
            <w:r>
              <w:rPr>
                <w:rFonts w:hint="eastAsia" w:ascii="宋体" w:hAnsi="宋体"/>
                <w:bCs/>
                <w:color w:val="auto"/>
                <w:szCs w:val="21"/>
                <w:highlight w:val="none"/>
                <w:lang w:val="zh-CN"/>
              </w:rPr>
              <w:t>服务内容</w:t>
            </w:r>
          </w:p>
        </w:tc>
      </w:tr>
      <w:tr w14:paraId="7A10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136578D7">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4BCA6CD8">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129888E1">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19A05174">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6A66BA94">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1AE3EADF">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4A12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1741A186">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6EB46F92">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55225671">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79ABC08F">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5D67D7D2">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3E27C696">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16A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500A7475">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5A35DA4D">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776CF196">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78DCDBBA">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33388DF0">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2A261421">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3887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3431E172">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58355689">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534063DD">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1AC998B5">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664324D7">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415A332A">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5CD8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28BD53F9">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51D5A52D">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0E026D54">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1B144BCB">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575529EB">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667A50E2">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4E0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4C6E7A7D">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4B68E4AA">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177978FE">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6CB8F837">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3941B660">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0AD5B48D">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60DB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169C8883">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15C77D95">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30681D70">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2BAEFA30">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40360DB3">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7F934078">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r w14:paraId="405E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dxa"/>
            <w:noWrap/>
            <w:vAlign w:val="center"/>
          </w:tcPr>
          <w:p w14:paraId="10F3C2CA">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522" w:type="dxa"/>
            <w:noWrap/>
            <w:vAlign w:val="center"/>
          </w:tcPr>
          <w:p w14:paraId="6FA5630A">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685" w:type="dxa"/>
            <w:noWrap/>
            <w:vAlign w:val="center"/>
          </w:tcPr>
          <w:p w14:paraId="26B47423">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2520" w:type="dxa"/>
            <w:noWrap/>
            <w:vAlign w:val="center"/>
          </w:tcPr>
          <w:p w14:paraId="07442A63">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185" w:type="dxa"/>
            <w:noWrap/>
            <w:vAlign w:val="center"/>
          </w:tcPr>
          <w:p w14:paraId="7EE3D843">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c>
          <w:tcPr>
            <w:tcW w:w="1245" w:type="dxa"/>
            <w:noWrap/>
            <w:vAlign w:val="center"/>
          </w:tcPr>
          <w:p w14:paraId="4A6C0C1E">
            <w:pPr>
              <w:keepNext w:val="0"/>
              <w:keepLines w:val="0"/>
              <w:suppressLineNumbers w:val="0"/>
              <w:spacing w:before="0" w:beforeAutospacing="0" w:after="0" w:afterAutospacing="0" w:line="380" w:lineRule="exact"/>
              <w:ind w:left="0" w:right="0"/>
              <w:jc w:val="center"/>
              <w:rPr>
                <w:rFonts w:hint="default" w:ascii="宋体" w:hAnsi="宋体"/>
                <w:b/>
                <w:bCs/>
                <w:color w:val="auto"/>
                <w:sz w:val="22"/>
                <w:szCs w:val="22"/>
                <w:highlight w:val="none"/>
              </w:rPr>
            </w:pPr>
          </w:p>
        </w:tc>
      </w:tr>
    </w:tbl>
    <w:p w14:paraId="64F9793B">
      <w:pPr>
        <w:spacing w:line="460" w:lineRule="exact"/>
        <w:rPr>
          <w:rFonts w:ascii="宋体" w:hAnsi="宋体" w:cs="黑体"/>
          <w:color w:val="auto"/>
          <w:szCs w:val="21"/>
          <w:highlight w:val="none"/>
        </w:rPr>
      </w:pPr>
      <w:r>
        <w:rPr>
          <w:rFonts w:hint="eastAsia" w:ascii="宋体" w:hAnsi="宋体" w:cs="黑体"/>
          <w:color w:val="auto"/>
          <w:szCs w:val="21"/>
          <w:highlight w:val="none"/>
        </w:rPr>
        <w:t>注：</w:t>
      </w:r>
    </w:p>
    <w:p w14:paraId="0513EEC0">
      <w:pPr>
        <w:spacing w:line="5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 此表仅提供了表格形式，供应商应根据需要准备足够数量的表格来填写。</w:t>
      </w:r>
    </w:p>
    <w:p w14:paraId="54E379D2">
      <w:pPr>
        <w:spacing w:line="5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 此表所填业绩应为供应商相关项目业绩，每项业绩均需另提供证明材料，如合同</w:t>
      </w:r>
      <w:r>
        <w:rPr>
          <w:rFonts w:hint="eastAsia" w:ascii="宋体" w:hAnsi="宋体" w:cs="宋体"/>
          <w:b/>
          <w:bCs/>
          <w:color w:val="auto"/>
          <w:sz w:val="22"/>
          <w:szCs w:val="22"/>
          <w:highlight w:val="none"/>
          <w:lang w:val="en-US" w:eastAsia="zh-CN"/>
        </w:rPr>
        <w:t>复制件</w:t>
      </w:r>
      <w:r>
        <w:rPr>
          <w:rFonts w:hint="eastAsia" w:ascii="宋体" w:hAnsi="宋体" w:cs="宋体"/>
          <w:b/>
          <w:bCs/>
          <w:color w:val="auto"/>
          <w:sz w:val="22"/>
          <w:szCs w:val="22"/>
          <w:highlight w:val="none"/>
        </w:rPr>
        <w:t>、中标/成交通知书</w:t>
      </w:r>
      <w:r>
        <w:rPr>
          <w:rFonts w:hint="eastAsia" w:ascii="宋体" w:hAnsi="宋体" w:cs="宋体"/>
          <w:b/>
          <w:bCs/>
          <w:color w:val="auto"/>
          <w:sz w:val="22"/>
          <w:szCs w:val="22"/>
          <w:highlight w:val="none"/>
          <w:lang w:val="en-US" w:eastAsia="zh-CN"/>
        </w:rPr>
        <w:t>复制件</w:t>
      </w:r>
      <w:r>
        <w:rPr>
          <w:rFonts w:hint="eastAsia" w:ascii="宋体" w:hAnsi="宋体" w:cs="宋体"/>
          <w:b/>
          <w:bCs/>
          <w:color w:val="auto"/>
          <w:sz w:val="22"/>
          <w:szCs w:val="22"/>
          <w:highlight w:val="none"/>
        </w:rPr>
        <w:t>。</w:t>
      </w:r>
    </w:p>
    <w:p w14:paraId="5931F191">
      <w:pPr>
        <w:pStyle w:val="34"/>
        <w:spacing w:line="500" w:lineRule="exact"/>
        <w:rPr>
          <w:rFonts w:hAnsi="宋体" w:cs="宋体"/>
          <w:b/>
          <w:bCs/>
          <w:color w:val="auto"/>
          <w:sz w:val="22"/>
          <w:szCs w:val="22"/>
          <w:highlight w:val="none"/>
          <w:u w:val="thick"/>
        </w:rPr>
      </w:pPr>
      <w:r>
        <w:rPr>
          <w:rFonts w:hint="eastAsia" w:hAnsi="宋体" w:cs="宋体"/>
          <w:b/>
          <w:bCs/>
          <w:color w:val="auto"/>
          <w:sz w:val="22"/>
          <w:szCs w:val="22"/>
          <w:highlight w:val="none"/>
          <w:u w:val="thick"/>
        </w:rPr>
        <w:t>3. 供应商不按此要求填写此项内容或未提供有效业绩证明材料将视为无业绩。</w:t>
      </w:r>
    </w:p>
    <w:p w14:paraId="62E37DF6">
      <w:pPr>
        <w:spacing w:line="360" w:lineRule="auto"/>
        <w:ind w:right="-11" w:firstLine="210" w:firstLineChars="100"/>
        <w:rPr>
          <w:rFonts w:ascii="宋体" w:hAnsi="宋体" w:cs="宋体"/>
          <w:color w:val="auto"/>
          <w:szCs w:val="21"/>
          <w:highlight w:val="none"/>
        </w:rPr>
      </w:pPr>
    </w:p>
    <w:p w14:paraId="55A63990">
      <w:pPr>
        <w:spacing w:line="360" w:lineRule="auto"/>
        <w:ind w:right="-11" w:firstLine="420" w:firstLineChars="200"/>
        <w:rPr>
          <w:rFonts w:ascii="宋体" w:hAnsi="宋体" w:cs="宋体"/>
          <w:color w:val="auto"/>
          <w:szCs w:val="21"/>
          <w:highlight w:val="none"/>
        </w:rPr>
      </w:pPr>
      <w:r>
        <w:rPr>
          <w:rFonts w:hint="eastAsia" w:ascii="宋体" w:hAnsi="宋体" w:cs="宋体"/>
          <w:color w:val="auto"/>
          <w:szCs w:val="21"/>
          <w:highlight w:val="none"/>
        </w:rPr>
        <w:t>投标人全称（盖章）：</w:t>
      </w:r>
    </w:p>
    <w:p w14:paraId="2C04515F">
      <w:pPr>
        <w:spacing w:line="360" w:lineRule="auto"/>
        <w:ind w:right="-1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A741954">
      <w:pPr>
        <w:spacing w:line="360" w:lineRule="auto"/>
        <w:ind w:right="-11" w:firstLine="420" w:firstLineChars="200"/>
        <w:rPr>
          <w:rFonts w:ascii="宋体" w:hAnsi="宋体" w:cs="宋体"/>
          <w:bCs/>
          <w:color w:val="auto"/>
          <w:sz w:val="24"/>
          <w:highlight w:val="none"/>
        </w:rPr>
        <w:sectPr>
          <w:headerReference r:id="rId11" w:type="default"/>
          <w:footerReference r:id="rId12" w:type="default"/>
          <w:type w:val="nextColumn"/>
          <w:pgSz w:w="11906" w:h="16838"/>
          <w:pgMar w:top="1440" w:right="1304" w:bottom="1090" w:left="1531" w:header="851" w:footer="992" w:gutter="0"/>
          <w:pgNumType w:fmt="decimal"/>
          <w:cols w:space="720" w:num="1"/>
          <w:docGrid w:linePitch="312" w:charSpace="0"/>
        </w:sectPr>
      </w:pPr>
      <w:r>
        <w:rPr>
          <w:rFonts w:hint="eastAsia" w:ascii="宋体" w:hAnsi="宋体" w:cs="宋体"/>
          <w:color w:val="auto"/>
          <w:szCs w:val="21"/>
          <w:highlight w:val="none"/>
        </w:rPr>
        <w:t>日期：</w:t>
      </w:r>
    </w:p>
    <w:p w14:paraId="37A11E6D">
      <w:pPr>
        <w:tabs>
          <w:tab w:val="left" w:pos="795"/>
          <w:tab w:val="center" w:pos="4873"/>
        </w:tabs>
        <w:overflowPunct w:val="0"/>
        <w:spacing w:line="500" w:lineRule="exact"/>
        <w:ind w:firstLine="108" w:firstLineChars="49"/>
        <w:jc w:val="left"/>
        <w:rPr>
          <w:rFonts w:hint="eastAsia" w:ascii="宋体" w:hAnsi="宋体" w:eastAsia="宋体" w:cs="hakuyoxingshu7000"/>
          <w:color w:val="auto"/>
          <w:sz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九</w:t>
      </w:r>
    </w:p>
    <w:p w14:paraId="0832AD12">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6B227E6F">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6C3505E5">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温州市鹿城区市政公用管理处</w:t>
      </w:r>
      <w:r>
        <w:rPr>
          <w:rFonts w:hAnsi="宋体"/>
          <w:b/>
          <w:color w:val="auto"/>
          <w:spacing w:val="6"/>
          <w:sz w:val="22"/>
          <w:szCs w:val="22"/>
          <w:highlight w:val="none"/>
        </w:rPr>
        <w:t>：</w:t>
      </w:r>
    </w:p>
    <w:p w14:paraId="27972C88">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浙江建航工程咨询有限公司</w:t>
      </w:r>
      <w:r>
        <w:rPr>
          <w:rFonts w:hAnsi="宋体"/>
          <w:b/>
          <w:color w:val="auto"/>
          <w:kern w:val="0"/>
          <w:sz w:val="22"/>
          <w:szCs w:val="22"/>
          <w:highlight w:val="none"/>
        </w:rPr>
        <w:t>：</w:t>
      </w:r>
    </w:p>
    <w:p w14:paraId="78D54681">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2025年鹿城区城市道路巡查与维养项目（第二次）</w:t>
      </w:r>
      <w:r>
        <w:rPr>
          <w:rFonts w:hAnsi="宋体"/>
          <w:color w:val="auto"/>
          <w:spacing w:val="6"/>
          <w:sz w:val="22"/>
          <w:szCs w:val="22"/>
          <w:highlight w:val="none"/>
        </w:rPr>
        <w:t>（编号：</w:t>
      </w:r>
      <w:r>
        <w:rPr>
          <w:rFonts w:hint="eastAsia" w:hAnsi="宋体"/>
          <w:color w:val="auto"/>
          <w:spacing w:val="6"/>
          <w:sz w:val="22"/>
          <w:szCs w:val="22"/>
          <w:highlight w:val="none"/>
          <w:u w:val="single"/>
          <w:lang w:eastAsia="zh-CN"/>
        </w:rPr>
        <w:t>ZJJHCG20250425001-2</w:t>
      </w:r>
      <w:r>
        <w:rPr>
          <w:rFonts w:hAnsi="宋体"/>
          <w:color w:val="auto"/>
          <w:spacing w:val="6"/>
          <w:sz w:val="22"/>
          <w:szCs w:val="22"/>
          <w:highlight w:val="none"/>
        </w:rPr>
        <w:t xml:space="preserve">）政府采购活动，经与本单位法人代表（负责人）联系确认，现就有关公平竞争事项郑重声明如下： </w:t>
      </w:r>
    </w:p>
    <w:p w14:paraId="3BC1DC80">
      <w:pPr>
        <w:pStyle w:val="810"/>
        <w:widowControl/>
        <w:numPr>
          <w:ilvl w:val="0"/>
          <w:numId w:val="48"/>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6C67118A">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185C94A1">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0012F6CF">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14E06A38">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5CA08CB1">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3EAF3FC">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E11DC04">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141FEEBE">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20DAB2E0">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011CC10C">
      <w:pPr>
        <w:pStyle w:val="811"/>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w:t>
      </w:r>
      <w:bookmarkStart w:id="237" w:name="_Toc24334"/>
      <w:bookmarkStart w:id="238" w:name="_Toc22986"/>
      <w:bookmarkStart w:id="239" w:name="_Toc26171"/>
      <w:r>
        <w:rPr>
          <w:rFonts w:hAnsi="宋体"/>
          <w:color w:val="auto"/>
          <w:kern w:val="0"/>
          <w:sz w:val="22"/>
          <w:szCs w:val="22"/>
          <w:highlight w:val="none"/>
        </w:rPr>
        <w:t>G.存在共同直接或间接投资设立子公司、联营企业和合营企业情况</w:t>
      </w:r>
      <w:bookmarkEnd w:id="237"/>
      <w:bookmarkEnd w:id="238"/>
      <w:bookmarkEnd w:id="239"/>
    </w:p>
    <w:p w14:paraId="5E9CF2B1">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23A8BDD7">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63A11E2E">
      <w:pPr>
        <w:pStyle w:val="810"/>
        <w:widowControl/>
        <w:numPr>
          <w:ilvl w:val="0"/>
          <w:numId w:val="49"/>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6C4D204A">
      <w:pPr>
        <w:pStyle w:val="810"/>
        <w:widowControl/>
        <w:numPr>
          <w:ilvl w:val="0"/>
          <w:numId w:val="49"/>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我发现投标人之间存在或可能存在上述第二条第项利害关系。</w:t>
      </w:r>
    </w:p>
    <w:p w14:paraId="4B10D1E4">
      <w:pPr>
        <w:pStyle w:val="811"/>
        <w:widowControl w:val="0"/>
        <w:snapToGrid w:val="0"/>
        <w:spacing w:line="440" w:lineRule="exact"/>
        <w:ind w:firstLine="440" w:firstLineChars="200"/>
        <w:jc w:val="both"/>
        <w:rPr>
          <w:rFonts w:hint="default" w:hAnsi="宋体"/>
          <w:color w:val="auto"/>
          <w:sz w:val="22"/>
          <w:szCs w:val="22"/>
          <w:highlight w:val="none"/>
        </w:rPr>
      </w:pPr>
    </w:p>
    <w:p w14:paraId="0DD482F3">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3E19E0D9">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51E4EEBF">
      <w:pPr>
        <w:spacing w:line="400" w:lineRule="exact"/>
        <w:ind w:left="439" w:leftChars="209"/>
        <w:rPr>
          <w:rFonts w:ascii="宋体" w:hAnsi="宋体" w:cs="Arial"/>
          <w:color w:val="auto"/>
          <w:sz w:val="22"/>
          <w:szCs w:val="22"/>
          <w:highlight w:val="none"/>
        </w:rPr>
      </w:pPr>
    </w:p>
    <w:sectPr>
      <w:footerReference r:id="rId15" w:type="first"/>
      <w:headerReference r:id="rId13" w:type="default"/>
      <w:footerReference r:id="rId14" w:type="default"/>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A4BD">
    <w:pPr>
      <w:pStyle w:val="41"/>
      <w:tabs>
        <w:tab w:val="center" w:pos="4819"/>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75D9">
    <w:pPr>
      <w:pStyle w:val="41"/>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A12E5">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4A12E5">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4FA3">
    <w:pPr>
      <w:pStyle w:val="41"/>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BF8F">
    <w:pPr>
      <w:pStyle w:val="41"/>
      <w:tabs>
        <w:tab w:val="center" w:pos="48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5E8EC">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55E8EC">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3140">
    <w:pPr>
      <w:pStyle w:val="41"/>
      <w:tabs>
        <w:tab w:val="center" w:pos="4819"/>
        <w:tab w:val="clear" w:pos="4153"/>
        <w:tab w:val="clear"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9551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19551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8F02">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9C32B">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C9C32B">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4ED0">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1F1ABA6F">
    <w:pPr>
      <w:pStyle w:val="41"/>
      <w:pBdr>
        <w:bottom w:val="single" w:color="auto" w:sz="6" w:space="3"/>
      </w:pBd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96CB">
    <w:pPr>
      <w:pStyle w:val="41"/>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BD5E5">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BD5E5">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838C">
    <w:pPr>
      <w:pStyle w:val="41"/>
      <w:ind w:right="360" w:firstLine="4410" w:firstLineChars="245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EF7B">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0DEF7B">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7460">
    <w:pPr>
      <w:jc w:val="cente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ADAEF">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7ADAEF">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1304">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79EC">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44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9A0DEE1"/>
    <w:multiLevelType w:val="singleLevel"/>
    <w:tmpl w:val="89A0DEE1"/>
    <w:lvl w:ilvl="0" w:tentative="0">
      <w:start w:val="1"/>
      <w:numFmt w:val="decimal"/>
      <w:lvlText w:val="(%1)"/>
      <w:lvlJc w:val="left"/>
      <w:pPr>
        <w:ind w:left="425" w:hanging="425"/>
      </w:pPr>
      <w:rPr>
        <w:rFonts w:hint="default"/>
      </w:rPr>
    </w:lvl>
  </w:abstractNum>
  <w:abstractNum w:abstractNumId="4">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9">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11">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06E6DEB8"/>
    <w:multiLevelType w:val="singleLevel"/>
    <w:tmpl w:val="06E6DEB8"/>
    <w:lvl w:ilvl="0" w:tentative="0">
      <w:start w:val="1"/>
      <w:numFmt w:val="decimal"/>
      <w:lvlText w:val="%1)"/>
      <w:lvlJc w:val="left"/>
      <w:pPr>
        <w:ind w:left="425" w:hanging="425"/>
      </w:pPr>
      <w:rPr>
        <w:rFonts w:hint="default"/>
      </w:rPr>
    </w:lvl>
  </w:abstractNum>
  <w:abstractNum w:abstractNumId="21">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3">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8">
    <w:nsid w:val="1F26E939"/>
    <w:multiLevelType w:val="singleLevel"/>
    <w:tmpl w:val="1F26E939"/>
    <w:lvl w:ilvl="0" w:tentative="0">
      <w:start w:val="1"/>
      <w:numFmt w:val="decimal"/>
      <w:suff w:val="nothing"/>
      <w:lvlText w:val="（%1）"/>
      <w:lvlJc w:val="left"/>
    </w:lvl>
  </w:abstractNum>
  <w:abstractNum w:abstractNumId="29">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5">
    <w:nsid w:val="2C98C600"/>
    <w:multiLevelType w:val="singleLevel"/>
    <w:tmpl w:val="2C98C600"/>
    <w:lvl w:ilvl="0" w:tentative="0">
      <w:start w:val="1"/>
      <w:numFmt w:val="decimal"/>
      <w:lvlText w:val="%1."/>
      <w:lvlJc w:val="left"/>
      <w:pPr>
        <w:ind w:left="425" w:hanging="425"/>
      </w:pPr>
      <w:rPr>
        <w:rFonts w:hint="default"/>
      </w:rPr>
    </w:lvl>
  </w:abstractNum>
  <w:abstractNum w:abstractNumId="36">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7">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9">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44B1CC42"/>
    <w:multiLevelType w:val="singleLevel"/>
    <w:tmpl w:val="44B1CC42"/>
    <w:lvl w:ilvl="0" w:tentative="0">
      <w:start w:val="6"/>
      <w:numFmt w:val="decimal"/>
      <w:suff w:val="nothing"/>
      <w:lvlText w:val="%1）"/>
      <w:lvlJc w:val="left"/>
    </w:lvl>
  </w:abstractNum>
  <w:abstractNum w:abstractNumId="41">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2">
    <w:nsid w:val="494FE397"/>
    <w:multiLevelType w:val="singleLevel"/>
    <w:tmpl w:val="494FE397"/>
    <w:lvl w:ilvl="0" w:tentative="0">
      <w:start w:val="1"/>
      <w:numFmt w:val="decimal"/>
      <w:suff w:val="nothing"/>
      <w:lvlText w:val="（%1）"/>
      <w:lvlJc w:val="left"/>
    </w:lvl>
  </w:abstractNum>
  <w:abstractNum w:abstractNumId="43">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54F403B5"/>
    <w:multiLevelType w:val="singleLevel"/>
    <w:tmpl w:val="54F403B5"/>
    <w:lvl w:ilvl="0" w:tentative="0">
      <w:start w:val="1"/>
      <w:numFmt w:val="chineseCounting"/>
      <w:suff w:val="nothing"/>
      <w:lvlText w:val="%1、"/>
      <w:lvlJc w:val="left"/>
      <w:pPr>
        <w:ind w:left="0" w:firstLine="0"/>
      </w:pPr>
    </w:lvl>
  </w:abstractNum>
  <w:abstractNum w:abstractNumId="46">
    <w:nsid w:val="557FD3DA"/>
    <w:multiLevelType w:val="singleLevel"/>
    <w:tmpl w:val="557FD3DA"/>
    <w:lvl w:ilvl="0" w:tentative="0">
      <w:start w:val="3"/>
      <w:numFmt w:val="chineseCounting"/>
      <w:suff w:val="nothing"/>
      <w:lvlText w:val="%1、"/>
      <w:lvlJc w:val="left"/>
      <w:pPr>
        <w:ind w:left="0" w:firstLine="0"/>
      </w:pPr>
    </w:lvl>
  </w:abstractNum>
  <w:abstractNum w:abstractNumId="47">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num w:numId="1">
    <w:abstractNumId w:val="3"/>
  </w:num>
  <w:num w:numId="2">
    <w:abstractNumId w:val="10"/>
  </w:num>
  <w:num w:numId="3">
    <w:abstractNumId w:val="30"/>
  </w:num>
  <w:num w:numId="4">
    <w:abstractNumId w:val="25"/>
  </w:num>
  <w:num w:numId="5">
    <w:abstractNumId w:val="27"/>
  </w:num>
  <w:num w:numId="6">
    <w:abstractNumId w:val="29"/>
  </w:num>
  <w:num w:numId="7">
    <w:abstractNumId w:val="1"/>
  </w:num>
  <w:num w:numId="8">
    <w:abstractNumId w:val="22"/>
  </w:num>
  <w:num w:numId="9">
    <w:abstractNumId w:val="8"/>
  </w:num>
  <w:num w:numId="10">
    <w:abstractNumId w:val="37"/>
  </w:num>
  <w:num w:numId="11">
    <w:abstractNumId w:val="18"/>
  </w:num>
  <w:num w:numId="12">
    <w:abstractNumId w:val="4"/>
  </w:num>
  <w:num w:numId="13">
    <w:abstractNumId w:val="14"/>
  </w:num>
  <w:num w:numId="14">
    <w:abstractNumId w:val="12"/>
  </w:num>
  <w:num w:numId="15">
    <w:abstractNumId w:val="17"/>
  </w:num>
  <w:num w:numId="16">
    <w:abstractNumId w:val="47"/>
  </w:num>
  <w:num w:numId="17">
    <w:abstractNumId w:val="38"/>
  </w:num>
  <w:num w:numId="18">
    <w:abstractNumId w:val="23"/>
  </w:num>
  <w:num w:numId="19">
    <w:abstractNumId w:val="39"/>
  </w:num>
  <w:num w:numId="20">
    <w:abstractNumId w:val="13"/>
  </w:num>
  <w:num w:numId="21">
    <w:abstractNumId w:val="26"/>
  </w:num>
  <w:num w:numId="22">
    <w:abstractNumId w:val="7"/>
  </w:num>
  <w:num w:numId="23">
    <w:abstractNumId w:val="11"/>
  </w:num>
  <w:num w:numId="24">
    <w:abstractNumId w:val="32"/>
  </w:num>
  <w:num w:numId="25">
    <w:abstractNumId w:val="48"/>
  </w:num>
  <w:num w:numId="26">
    <w:abstractNumId w:val="36"/>
  </w:num>
  <w:num w:numId="27">
    <w:abstractNumId w:val="44"/>
  </w:num>
  <w:num w:numId="28">
    <w:abstractNumId w:val="31"/>
  </w:num>
  <w:num w:numId="29">
    <w:abstractNumId w:val="24"/>
  </w:num>
  <w:num w:numId="30">
    <w:abstractNumId w:val="16"/>
  </w:num>
  <w:num w:numId="31">
    <w:abstractNumId w:val="34"/>
  </w:num>
  <w:num w:numId="32">
    <w:abstractNumId w:val="9"/>
  </w:num>
  <w:num w:numId="33">
    <w:abstractNumId w:val="33"/>
  </w:num>
  <w:num w:numId="34">
    <w:abstractNumId w:val="2"/>
  </w:num>
  <w:num w:numId="35">
    <w:abstractNumId w:val="0"/>
  </w:num>
  <w:num w:numId="36">
    <w:abstractNumId w:val="21"/>
  </w:num>
  <w:num w:numId="37">
    <w:abstractNumId w:val="15"/>
  </w:num>
  <w:num w:numId="38">
    <w:abstractNumId w:val="5"/>
  </w:num>
  <w:num w:numId="39">
    <w:abstractNumId w:val="6"/>
  </w:num>
  <w:num w:numId="40">
    <w:abstractNumId w:val="19"/>
  </w:num>
  <w:num w:numId="41">
    <w:abstractNumId w:val="42"/>
  </w:num>
  <w:num w:numId="42">
    <w:abstractNumId w:val="28"/>
  </w:num>
  <w:num w:numId="43">
    <w:abstractNumId w:val="20"/>
  </w:num>
  <w:num w:numId="44">
    <w:abstractNumId w:val="40"/>
  </w:num>
  <w:num w:numId="45">
    <w:abstractNumId w:val="41"/>
  </w:num>
  <w:num w:numId="46">
    <w:abstractNumId w:val="35"/>
  </w:num>
  <w:num w:numId="47">
    <w:abstractNumId w:val="43"/>
  </w:num>
  <w:num w:numId="48">
    <w:abstractNumId w:val="4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hMWI1N2Y0NWU1YWRlYjhkNjU5NDlmNjI3YTI4ZGM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611"/>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5DC6"/>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527AD7"/>
    <w:rsid w:val="017E6F26"/>
    <w:rsid w:val="0190022E"/>
    <w:rsid w:val="01992A24"/>
    <w:rsid w:val="02B03C1A"/>
    <w:rsid w:val="02B20C36"/>
    <w:rsid w:val="02D23086"/>
    <w:rsid w:val="03631D1E"/>
    <w:rsid w:val="03971A2A"/>
    <w:rsid w:val="03E04A09"/>
    <w:rsid w:val="04012AED"/>
    <w:rsid w:val="042943E8"/>
    <w:rsid w:val="04710602"/>
    <w:rsid w:val="04A96638"/>
    <w:rsid w:val="04C81AE6"/>
    <w:rsid w:val="04F550AA"/>
    <w:rsid w:val="05277873"/>
    <w:rsid w:val="05310009"/>
    <w:rsid w:val="05687D89"/>
    <w:rsid w:val="056D4419"/>
    <w:rsid w:val="057E129D"/>
    <w:rsid w:val="05A539E8"/>
    <w:rsid w:val="05A83926"/>
    <w:rsid w:val="05CF5FA2"/>
    <w:rsid w:val="06706D0B"/>
    <w:rsid w:val="06A9333C"/>
    <w:rsid w:val="06FE6C64"/>
    <w:rsid w:val="07122A8A"/>
    <w:rsid w:val="07167178"/>
    <w:rsid w:val="07294231"/>
    <w:rsid w:val="07DA3171"/>
    <w:rsid w:val="0887649C"/>
    <w:rsid w:val="08980AF6"/>
    <w:rsid w:val="08A22000"/>
    <w:rsid w:val="08BE0B98"/>
    <w:rsid w:val="08E476B3"/>
    <w:rsid w:val="091B377D"/>
    <w:rsid w:val="097B0FDD"/>
    <w:rsid w:val="09C64410"/>
    <w:rsid w:val="09D444DF"/>
    <w:rsid w:val="0A063254"/>
    <w:rsid w:val="0A344230"/>
    <w:rsid w:val="0AD27F9C"/>
    <w:rsid w:val="0B197E39"/>
    <w:rsid w:val="0B225F47"/>
    <w:rsid w:val="0B886F7D"/>
    <w:rsid w:val="0BA36C6F"/>
    <w:rsid w:val="0BCA27B3"/>
    <w:rsid w:val="0BD14BE2"/>
    <w:rsid w:val="0BE01F6F"/>
    <w:rsid w:val="0CBB7750"/>
    <w:rsid w:val="0D316E18"/>
    <w:rsid w:val="0D343016"/>
    <w:rsid w:val="0D5A1106"/>
    <w:rsid w:val="0D757868"/>
    <w:rsid w:val="0D9C1E1C"/>
    <w:rsid w:val="0DE43DE1"/>
    <w:rsid w:val="0E8E1971"/>
    <w:rsid w:val="0FD3410C"/>
    <w:rsid w:val="0FDB12F4"/>
    <w:rsid w:val="0FEA3A6E"/>
    <w:rsid w:val="0FFF0E1B"/>
    <w:rsid w:val="102E61EB"/>
    <w:rsid w:val="115B2928"/>
    <w:rsid w:val="11723F79"/>
    <w:rsid w:val="11DE1CDD"/>
    <w:rsid w:val="12210792"/>
    <w:rsid w:val="122A25C8"/>
    <w:rsid w:val="12343851"/>
    <w:rsid w:val="12C42B13"/>
    <w:rsid w:val="12FA4903"/>
    <w:rsid w:val="13515442"/>
    <w:rsid w:val="13904FC3"/>
    <w:rsid w:val="13D0157D"/>
    <w:rsid w:val="13E82506"/>
    <w:rsid w:val="142573E4"/>
    <w:rsid w:val="142E02A8"/>
    <w:rsid w:val="1441502F"/>
    <w:rsid w:val="14447B5C"/>
    <w:rsid w:val="148C19C8"/>
    <w:rsid w:val="14986395"/>
    <w:rsid w:val="14C72A25"/>
    <w:rsid w:val="1502390C"/>
    <w:rsid w:val="154F098B"/>
    <w:rsid w:val="15731798"/>
    <w:rsid w:val="15DD4B15"/>
    <w:rsid w:val="16307361"/>
    <w:rsid w:val="167417E7"/>
    <w:rsid w:val="169F5708"/>
    <w:rsid w:val="16D334C7"/>
    <w:rsid w:val="16E62715"/>
    <w:rsid w:val="16F65D36"/>
    <w:rsid w:val="17352190"/>
    <w:rsid w:val="177B641D"/>
    <w:rsid w:val="178E79AB"/>
    <w:rsid w:val="17F14DDF"/>
    <w:rsid w:val="18070DF2"/>
    <w:rsid w:val="18312669"/>
    <w:rsid w:val="1831773D"/>
    <w:rsid w:val="1858672E"/>
    <w:rsid w:val="186A5F52"/>
    <w:rsid w:val="1890085C"/>
    <w:rsid w:val="18AC2AD5"/>
    <w:rsid w:val="18E14D6C"/>
    <w:rsid w:val="19002660"/>
    <w:rsid w:val="1927589A"/>
    <w:rsid w:val="192F4A36"/>
    <w:rsid w:val="1934019F"/>
    <w:rsid w:val="19516A63"/>
    <w:rsid w:val="19694418"/>
    <w:rsid w:val="1A7673F8"/>
    <w:rsid w:val="1AF516EC"/>
    <w:rsid w:val="1B254F07"/>
    <w:rsid w:val="1B433EDC"/>
    <w:rsid w:val="1B995818"/>
    <w:rsid w:val="1BBB6955"/>
    <w:rsid w:val="1CB41002"/>
    <w:rsid w:val="1CBD00D9"/>
    <w:rsid w:val="1CF3514C"/>
    <w:rsid w:val="1D4A110E"/>
    <w:rsid w:val="1E297B6C"/>
    <w:rsid w:val="1E4B3C40"/>
    <w:rsid w:val="1E5174ED"/>
    <w:rsid w:val="1E832C08"/>
    <w:rsid w:val="1ECF36EA"/>
    <w:rsid w:val="1ED866A8"/>
    <w:rsid w:val="1FA80616"/>
    <w:rsid w:val="1FBF409D"/>
    <w:rsid w:val="1FEF58D6"/>
    <w:rsid w:val="20605D1D"/>
    <w:rsid w:val="20D77E8A"/>
    <w:rsid w:val="20F00744"/>
    <w:rsid w:val="21220D00"/>
    <w:rsid w:val="214A0663"/>
    <w:rsid w:val="21CC3D6A"/>
    <w:rsid w:val="21EE590C"/>
    <w:rsid w:val="221200F3"/>
    <w:rsid w:val="221E2698"/>
    <w:rsid w:val="22352338"/>
    <w:rsid w:val="22C72A44"/>
    <w:rsid w:val="22CE3412"/>
    <w:rsid w:val="22D641AE"/>
    <w:rsid w:val="233A4603"/>
    <w:rsid w:val="235356C5"/>
    <w:rsid w:val="23846AEF"/>
    <w:rsid w:val="23B911AC"/>
    <w:rsid w:val="23E37BBB"/>
    <w:rsid w:val="23E65DA1"/>
    <w:rsid w:val="2493436C"/>
    <w:rsid w:val="24B31941"/>
    <w:rsid w:val="25021151"/>
    <w:rsid w:val="2549001C"/>
    <w:rsid w:val="2561216E"/>
    <w:rsid w:val="25692B4E"/>
    <w:rsid w:val="267473A3"/>
    <w:rsid w:val="26A37D78"/>
    <w:rsid w:val="26A61EB9"/>
    <w:rsid w:val="26E079BC"/>
    <w:rsid w:val="274676FC"/>
    <w:rsid w:val="27493578"/>
    <w:rsid w:val="278E2F9A"/>
    <w:rsid w:val="278E34D5"/>
    <w:rsid w:val="27B87C20"/>
    <w:rsid w:val="28482FE5"/>
    <w:rsid w:val="29426AE6"/>
    <w:rsid w:val="2956041F"/>
    <w:rsid w:val="295B69A1"/>
    <w:rsid w:val="297053DF"/>
    <w:rsid w:val="29C404B3"/>
    <w:rsid w:val="29C94933"/>
    <w:rsid w:val="2A06146B"/>
    <w:rsid w:val="2A1B0190"/>
    <w:rsid w:val="2A7E1BC8"/>
    <w:rsid w:val="2AA05EA1"/>
    <w:rsid w:val="2AF5733A"/>
    <w:rsid w:val="2B1755B8"/>
    <w:rsid w:val="2BA55EB9"/>
    <w:rsid w:val="2BC563F1"/>
    <w:rsid w:val="2BD82C0B"/>
    <w:rsid w:val="2BFC4F9F"/>
    <w:rsid w:val="2C2F2E5B"/>
    <w:rsid w:val="2C4F0202"/>
    <w:rsid w:val="2C624BCB"/>
    <w:rsid w:val="2CDC1794"/>
    <w:rsid w:val="2CF55097"/>
    <w:rsid w:val="2D1E0ABB"/>
    <w:rsid w:val="2DC2617B"/>
    <w:rsid w:val="2E1C3845"/>
    <w:rsid w:val="2E23315A"/>
    <w:rsid w:val="2E3B3926"/>
    <w:rsid w:val="2E55601D"/>
    <w:rsid w:val="30125D28"/>
    <w:rsid w:val="30D83F02"/>
    <w:rsid w:val="31167377"/>
    <w:rsid w:val="31985E67"/>
    <w:rsid w:val="31F848CF"/>
    <w:rsid w:val="3229683B"/>
    <w:rsid w:val="326F27B0"/>
    <w:rsid w:val="329E028F"/>
    <w:rsid w:val="32C30AF4"/>
    <w:rsid w:val="32CF66CF"/>
    <w:rsid w:val="330F7C45"/>
    <w:rsid w:val="3328034E"/>
    <w:rsid w:val="338102BC"/>
    <w:rsid w:val="34163D38"/>
    <w:rsid w:val="34674F14"/>
    <w:rsid w:val="349A17CA"/>
    <w:rsid w:val="34BE73F7"/>
    <w:rsid w:val="34C76929"/>
    <w:rsid w:val="352E5BD1"/>
    <w:rsid w:val="35777939"/>
    <w:rsid w:val="35813205"/>
    <w:rsid w:val="35A62AF0"/>
    <w:rsid w:val="35CD57AB"/>
    <w:rsid w:val="35E11274"/>
    <w:rsid w:val="36010FB1"/>
    <w:rsid w:val="361E5856"/>
    <w:rsid w:val="36422592"/>
    <w:rsid w:val="368D390B"/>
    <w:rsid w:val="36B3674F"/>
    <w:rsid w:val="36BD312A"/>
    <w:rsid w:val="36D06E3F"/>
    <w:rsid w:val="37E7414B"/>
    <w:rsid w:val="380B1D2C"/>
    <w:rsid w:val="388419CD"/>
    <w:rsid w:val="38E648C4"/>
    <w:rsid w:val="39221B61"/>
    <w:rsid w:val="396625EB"/>
    <w:rsid w:val="39842625"/>
    <w:rsid w:val="3A7F17ED"/>
    <w:rsid w:val="3A9F3CF0"/>
    <w:rsid w:val="3C853F56"/>
    <w:rsid w:val="3CAC748F"/>
    <w:rsid w:val="3CD31AD7"/>
    <w:rsid w:val="3CD67440"/>
    <w:rsid w:val="3D4F5C21"/>
    <w:rsid w:val="3D9A41CA"/>
    <w:rsid w:val="3DD279E8"/>
    <w:rsid w:val="3E353EED"/>
    <w:rsid w:val="3E684CB2"/>
    <w:rsid w:val="3E6E11AD"/>
    <w:rsid w:val="3EB42FA6"/>
    <w:rsid w:val="3F1167B7"/>
    <w:rsid w:val="3F51591E"/>
    <w:rsid w:val="3FAF14E4"/>
    <w:rsid w:val="40FC0CF2"/>
    <w:rsid w:val="412B24C8"/>
    <w:rsid w:val="41545A8A"/>
    <w:rsid w:val="41700164"/>
    <w:rsid w:val="421373D0"/>
    <w:rsid w:val="424413EB"/>
    <w:rsid w:val="427F57B3"/>
    <w:rsid w:val="43731F9A"/>
    <w:rsid w:val="43770B04"/>
    <w:rsid w:val="43AD2CD4"/>
    <w:rsid w:val="43B655A2"/>
    <w:rsid w:val="44152F8C"/>
    <w:rsid w:val="441628B7"/>
    <w:rsid w:val="44907C3B"/>
    <w:rsid w:val="44A1408B"/>
    <w:rsid w:val="44B77EA1"/>
    <w:rsid w:val="44FE2785"/>
    <w:rsid w:val="45241161"/>
    <w:rsid w:val="454315E6"/>
    <w:rsid w:val="459C7DF3"/>
    <w:rsid w:val="45C967F5"/>
    <w:rsid w:val="460F7D00"/>
    <w:rsid w:val="466C3DED"/>
    <w:rsid w:val="46717DE0"/>
    <w:rsid w:val="47A63DAC"/>
    <w:rsid w:val="47BB0620"/>
    <w:rsid w:val="47DC0D5C"/>
    <w:rsid w:val="4836578A"/>
    <w:rsid w:val="49783A06"/>
    <w:rsid w:val="4989458D"/>
    <w:rsid w:val="49AE2DA6"/>
    <w:rsid w:val="4A8061AA"/>
    <w:rsid w:val="4AB71B62"/>
    <w:rsid w:val="4B2332A6"/>
    <w:rsid w:val="4B4638F5"/>
    <w:rsid w:val="4B7F4E5D"/>
    <w:rsid w:val="4BA76BC0"/>
    <w:rsid w:val="4BBC5164"/>
    <w:rsid w:val="4BFA4C5C"/>
    <w:rsid w:val="4C1A5610"/>
    <w:rsid w:val="4C2A5EF6"/>
    <w:rsid w:val="4C7153F5"/>
    <w:rsid w:val="4C81727E"/>
    <w:rsid w:val="4D026B14"/>
    <w:rsid w:val="4D233AB3"/>
    <w:rsid w:val="4DAA76F7"/>
    <w:rsid w:val="4E32460A"/>
    <w:rsid w:val="4F0E73E9"/>
    <w:rsid w:val="4F41672E"/>
    <w:rsid w:val="4F8E146B"/>
    <w:rsid w:val="4FBA7BDF"/>
    <w:rsid w:val="4FF4763C"/>
    <w:rsid w:val="50410F95"/>
    <w:rsid w:val="50426E6B"/>
    <w:rsid w:val="509E7570"/>
    <w:rsid w:val="50B23806"/>
    <w:rsid w:val="50B25872"/>
    <w:rsid w:val="511F4FD0"/>
    <w:rsid w:val="515626A1"/>
    <w:rsid w:val="51980B99"/>
    <w:rsid w:val="51E653F1"/>
    <w:rsid w:val="52FF0E65"/>
    <w:rsid w:val="52FF21E6"/>
    <w:rsid w:val="535D36F4"/>
    <w:rsid w:val="558A372E"/>
    <w:rsid w:val="559F5374"/>
    <w:rsid w:val="560162DD"/>
    <w:rsid w:val="56DA167E"/>
    <w:rsid w:val="571A7E3F"/>
    <w:rsid w:val="576135B0"/>
    <w:rsid w:val="576E0986"/>
    <w:rsid w:val="5783584A"/>
    <w:rsid w:val="578C2807"/>
    <w:rsid w:val="57A10B57"/>
    <w:rsid w:val="57EB6F88"/>
    <w:rsid w:val="57F73D37"/>
    <w:rsid w:val="58580AAD"/>
    <w:rsid w:val="58661294"/>
    <w:rsid w:val="58A028C1"/>
    <w:rsid w:val="58C074BE"/>
    <w:rsid w:val="58C24068"/>
    <w:rsid w:val="58C36E78"/>
    <w:rsid w:val="58D64DCB"/>
    <w:rsid w:val="59443607"/>
    <w:rsid w:val="594919CB"/>
    <w:rsid w:val="59797679"/>
    <w:rsid w:val="59CB51D7"/>
    <w:rsid w:val="5A0D70D6"/>
    <w:rsid w:val="5A432510"/>
    <w:rsid w:val="5A507DB2"/>
    <w:rsid w:val="5A517CF1"/>
    <w:rsid w:val="5A623658"/>
    <w:rsid w:val="5A930A90"/>
    <w:rsid w:val="5AFB00D1"/>
    <w:rsid w:val="5B1417D7"/>
    <w:rsid w:val="5B385587"/>
    <w:rsid w:val="5B3D66FB"/>
    <w:rsid w:val="5B4A5024"/>
    <w:rsid w:val="5B533D47"/>
    <w:rsid w:val="5BA157E8"/>
    <w:rsid w:val="5BF972E0"/>
    <w:rsid w:val="5C516C2C"/>
    <w:rsid w:val="5C614C08"/>
    <w:rsid w:val="5CB07109"/>
    <w:rsid w:val="5CB450AA"/>
    <w:rsid w:val="5CD301DE"/>
    <w:rsid w:val="5CFF69ED"/>
    <w:rsid w:val="5D206234"/>
    <w:rsid w:val="5D3120A8"/>
    <w:rsid w:val="5D9B7B77"/>
    <w:rsid w:val="5DB46785"/>
    <w:rsid w:val="5E371E48"/>
    <w:rsid w:val="5F611EAA"/>
    <w:rsid w:val="5F8B5C0B"/>
    <w:rsid w:val="5FAB6B76"/>
    <w:rsid w:val="5FE52C52"/>
    <w:rsid w:val="607E7999"/>
    <w:rsid w:val="61326DEB"/>
    <w:rsid w:val="614510A0"/>
    <w:rsid w:val="61585C2F"/>
    <w:rsid w:val="616B4F5B"/>
    <w:rsid w:val="616F0CDF"/>
    <w:rsid w:val="6175266C"/>
    <w:rsid w:val="61C735C7"/>
    <w:rsid w:val="621512AD"/>
    <w:rsid w:val="62354DE3"/>
    <w:rsid w:val="628B2ECC"/>
    <w:rsid w:val="62C14F04"/>
    <w:rsid w:val="63360153"/>
    <w:rsid w:val="638A7BED"/>
    <w:rsid w:val="63A131C2"/>
    <w:rsid w:val="63D34A07"/>
    <w:rsid w:val="640B73D3"/>
    <w:rsid w:val="647755E0"/>
    <w:rsid w:val="647937F6"/>
    <w:rsid w:val="64AA6B34"/>
    <w:rsid w:val="64F65FB0"/>
    <w:rsid w:val="650F7917"/>
    <w:rsid w:val="65552521"/>
    <w:rsid w:val="658B2201"/>
    <w:rsid w:val="65A7591F"/>
    <w:rsid w:val="65EB0872"/>
    <w:rsid w:val="66245C94"/>
    <w:rsid w:val="664F0FBC"/>
    <w:rsid w:val="66DF78CE"/>
    <w:rsid w:val="67165838"/>
    <w:rsid w:val="67191A6E"/>
    <w:rsid w:val="67302657"/>
    <w:rsid w:val="67AB1D56"/>
    <w:rsid w:val="67AF422A"/>
    <w:rsid w:val="67C116AC"/>
    <w:rsid w:val="67EA4463"/>
    <w:rsid w:val="68046884"/>
    <w:rsid w:val="681F2A7B"/>
    <w:rsid w:val="68350AE0"/>
    <w:rsid w:val="68476448"/>
    <w:rsid w:val="685226D3"/>
    <w:rsid w:val="685F7C35"/>
    <w:rsid w:val="695A0B28"/>
    <w:rsid w:val="6961142C"/>
    <w:rsid w:val="69C24894"/>
    <w:rsid w:val="69F36503"/>
    <w:rsid w:val="6A031098"/>
    <w:rsid w:val="6A3E6297"/>
    <w:rsid w:val="6ABE152B"/>
    <w:rsid w:val="6ACE082C"/>
    <w:rsid w:val="6B004917"/>
    <w:rsid w:val="6B2A3A6D"/>
    <w:rsid w:val="6B322921"/>
    <w:rsid w:val="6B4A3901"/>
    <w:rsid w:val="6B6517CB"/>
    <w:rsid w:val="6BCB07E7"/>
    <w:rsid w:val="6C4C4BAA"/>
    <w:rsid w:val="6C644E74"/>
    <w:rsid w:val="6C9806CD"/>
    <w:rsid w:val="6CCE4B92"/>
    <w:rsid w:val="6CF21B60"/>
    <w:rsid w:val="6D076146"/>
    <w:rsid w:val="6D170ADE"/>
    <w:rsid w:val="6D3A6307"/>
    <w:rsid w:val="6D967C55"/>
    <w:rsid w:val="6DBC7D51"/>
    <w:rsid w:val="6E374FFD"/>
    <w:rsid w:val="6E771F66"/>
    <w:rsid w:val="6EA31679"/>
    <w:rsid w:val="6EBB194C"/>
    <w:rsid w:val="6F0B1BB4"/>
    <w:rsid w:val="6F264CF5"/>
    <w:rsid w:val="6FFE228A"/>
    <w:rsid w:val="701D28B0"/>
    <w:rsid w:val="70230C37"/>
    <w:rsid w:val="705F6A24"/>
    <w:rsid w:val="709E6CED"/>
    <w:rsid w:val="70B00E11"/>
    <w:rsid w:val="717A77A9"/>
    <w:rsid w:val="718A74DC"/>
    <w:rsid w:val="71A051E5"/>
    <w:rsid w:val="71D502A2"/>
    <w:rsid w:val="71F92EA9"/>
    <w:rsid w:val="72007D93"/>
    <w:rsid w:val="72135D18"/>
    <w:rsid w:val="727D5888"/>
    <w:rsid w:val="72A74FF1"/>
    <w:rsid w:val="73267C07"/>
    <w:rsid w:val="735B1DEA"/>
    <w:rsid w:val="736F5E81"/>
    <w:rsid w:val="73846F32"/>
    <w:rsid w:val="73971B26"/>
    <w:rsid w:val="73DA4AB8"/>
    <w:rsid w:val="74621FF0"/>
    <w:rsid w:val="74784BA3"/>
    <w:rsid w:val="74860675"/>
    <w:rsid w:val="74A91B81"/>
    <w:rsid w:val="750033AF"/>
    <w:rsid w:val="758D0E68"/>
    <w:rsid w:val="75C44184"/>
    <w:rsid w:val="75F73DF3"/>
    <w:rsid w:val="764E6D27"/>
    <w:rsid w:val="76CA086F"/>
    <w:rsid w:val="76F26786"/>
    <w:rsid w:val="77936E67"/>
    <w:rsid w:val="77A80CB1"/>
    <w:rsid w:val="781E0018"/>
    <w:rsid w:val="78332F27"/>
    <w:rsid w:val="783456B9"/>
    <w:rsid w:val="79364DCC"/>
    <w:rsid w:val="795B5E20"/>
    <w:rsid w:val="797A042B"/>
    <w:rsid w:val="798017B9"/>
    <w:rsid w:val="79C835E8"/>
    <w:rsid w:val="79FE0FCA"/>
    <w:rsid w:val="7A147F78"/>
    <w:rsid w:val="7A495A5E"/>
    <w:rsid w:val="7A8A00FA"/>
    <w:rsid w:val="7ADB6F81"/>
    <w:rsid w:val="7AF7379A"/>
    <w:rsid w:val="7B166C80"/>
    <w:rsid w:val="7B6F3A41"/>
    <w:rsid w:val="7BA8CDF8"/>
    <w:rsid w:val="7C6575D1"/>
    <w:rsid w:val="7C731CE5"/>
    <w:rsid w:val="7CD32A90"/>
    <w:rsid w:val="7CE34C72"/>
    <w:rsid w:val="7D040A2A"/>
    <w:rsid w:val="7D0A66C6"/>
    <w:rsid w:val="7D254B52"/>
    <w:rsid w:val="7D4A5387"/>
    <w:rsid w:val="7DA90CCD"/>
    <w:rsid w:val="7DC4191F"/>
    <w:rsid w:val="7DEF60A9"/>
    <w:rsid w:val="7E571949"/>
    <w:rsid w:val="7E7B38FA"/>
    <w:rsid w:val="7ECF4278"/>
    <w:rsid w:val="7EEB147F"/>
    <w:rsid w:val="7F71201A"/>
    <w:rsid w:val="7FA866C0"/>
    <w:rsid w:val="7FEDD6F1"/>
    <w:rsid w:val="7FF858B6"/>
    <w:rsid w:val="7FFF000E"/>
    <w:rsid w:val="BAEF291C"/>
    <w:rsid w:val="DCFF2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autoRedefine/>
    <w:qFormat/>
    <w:uiPriority w:val="9"/>
    <w:pPr>
      <w:keepNext/>
      <w:jc w:val="center"/>
      <w:outlineLvl w:val="0"/>
    </w:pPr>
    <w:rPr>
      <w:rFonts w:ascii="楷体_GB2312" w:eastAsia="楷体_GB2312"/>
      <w:b/>
      <w:bCs/>
    </w:rPr>
  </w:style>
  <w:style w:type="paragraph" w:styleId="4">
    <w:name w:val="heading 2"/>
    <w:basedOn w:val="1"/>
    <w:next w:val="1"/>
    <w:link w:val="818"/>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81"/>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82"/>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3"/>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84"/>
    <w:autoRedefine/>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168"/>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0">
    <w:name w:val="heading 8"/>
    <w:basedOn w:val="1"/>
    <w:next w:val="1"/>
    <w:link w:val="169"/>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170"/>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42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3">
    <w:name w:val="Note Heading"/>
    <w:basedOn w:val="1"/>
    <w:next w:val="1"/>
    <w:link w:val="420"/>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4">
    <w:name w:val="List Number"/>
    <w:basedOn w:val="1"/>
    <w:autoRedefine/>
    <w:qFormat/>
    <w:uiPriority w:val="0"/>
    <w:pPr>
      <w:tabs>
        <w:tab w:val="left" w:pos="360"/>
      </w:tabs>
      <w:ind w:left="360" w:hanging="360" w:hangingChars="200"/>
    </w:pPr>
    <w:rPr>
      <w:rFonts w:ascii="等线" w:hAnsi="等线" w:eastAsia="等线" w:cs="等线"/>
    </w:rPr>
  </w:style>
  <w:style w:type="paragraph" w:styleId="15">
    <w:name w:val="Normal Indent"/>
    <w:basedOn w:val="1"/>
    <w:next w:val="1"/>
    <w:link w:val="103"/>
    <w:autoRedefine/>
    <w:qFormat/>
    <w:uiPriority w:val="0"/>
    <w:pPr>
      <w:adjustRightInd w:val="0"/>
      <w:spacing w:line="312" w:lineRule="atLeast"/>
      <w:ind w:firstLine="420"/>
      <w:textAlignment w:val="baseline"/>
    </w:pPr>
    <w:rPr>
      <w:kern w:val="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8">
    <w:name w:val="Document Map"/>
    <w:basedOn w:val="1"/>
    <w:link w:val="207"/>
    <w:autoRedefine/>
    <w:qFormat/>
    <w:uiPriority w:val="0"/>
    <w:pPr>
      <w:shd w:val="clear" w:color="auto" w:fill="000080"/>
    </w:pPr>
  </w:style>
  <w:style w:type="paragraph" w:styleId="19">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0">
    <w:name w:val="annotation text"/>
    <w:basedOn w:val="1"/>
    <w:link w:val="114"/>
    <w:autoRedefine/>
    <w:qFormat/>
    <w:uiPriority w:val="1"/>
    <w:pPr>
      <w:jc w:val="left"/>
    </w:pPr>
  </w:style>
  <w:style w:type="paragraph" w:styleId="21">
    <w:name w:val="Salutation"/>
    <w:basedOn w:val="1"/>
    <w:next w:val="1"/>
    <w:link w:val="408"/>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2">
    <w:name w:val="Body Text 3"/>
    <w:basedOn w:val="1"/>
    <w:link w:val="423"/>
    <w:autoRedefine/>
    <w:qFormat/>
    <w:uiPriority w:val="0"/>
    <w:pPr>
      <w:autoSpaceDE w:val="0"/>
      <w:autoSpaceDN w:val="0"/>
      <w:adjustRightInd w:val="0"/>
      <w:jc w:val="center"/>
    </w:pPr>
    <w:rPr>
      <w:rFonts w:ascii="等线" w:hAnsi="等线" w:eastAsia="等线" w:cs="等线"/>
      <w:kern w:val="0"/>
      <w:sz w:val="20"/>
      <w:szCs w:val="20"/>
    </w:rPr>
  </w:style>
  <w:style w:type="paragraph" w:styleId="23">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4">
    <w:name w:val="Body Text"/>
    <w:basedOn w:val="1"/>
    <w:next w:val="25"/>
    <w:link w:val="90"/>
    <w:autoRedefine/>
    <w:qFormat/>
    <w:uiPriority w:val="99"/>
    <w:pPr>
      <w:spacing w:after="120"/>
    </w:pPr>
  </w:style>
  <w:style w:type="paragraph" w:styleId="25">
    <w:name w:val="Body Text First Indent"/>
    <w:basedOn w:val="24"/>
    <w:next w:val="26"/>
    <w:link w:val="102"/>
    <w:autoRedefine/>
    <w:qFormat/>
    <w:uiPriority w:val="0"/>
    <w:pPr>
      <w:ind w:firstLine="420" w:firstLineChars="100"/>
    </w:pPr>
  </w:style>
  <w:style w:type="paragraph" w:styleId="26">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7">
    <w:name w:val="Body Text Indent"/>
    <w:basedOn w:val="1"/>
    <w:next w:val="1"/>
    <w:link w:val="91"/>
    <w:autoRedefine/>
    <w:qFormat/>
    <w:uiPriority w:val="0"/>
    <w:pPr>
      <w:ind w:left="480" w:hanging="480" w:hangingChars="200"/>
    </w:pPr>
    <w:rPr>
      <w:sz w:val="24"/>
    </w:r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next w:val="1"/>
    <w:link w:val="92"/>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5"/>
    <w:autoRedefine/>
    <w:qFormat/>
    <w:uiPriority w:val="0"/>
    <w:pPr>
      <w:ind w:left="100" w:leftChars="2500"/>
    </w:pPr>
  </w:style>
  <w:style w:type="paragraph" w:styleId="38">
    <w:name w:val="Body Text Indent 2"/>
    <w:basedOn w:val="1"/>
    <w:link w:val="305"/>
    <w:autoRedefine/>
    <w:qFormat/>
    <w:uiPriority w:val="0"/>
    <w:pPr>
      <w:spacing w:line="500" w:lineRule="exact"/>
      <w:ind w:firstLine="511" w:firstLineChars="213"/>
    </w:pPr>
    <w:rPr>
      <w:sz w:val="24"/>
    </w:rPr>
  </w:style>
  <w:style w:type="paragraph" w:styleId="39">
    <w:name w:val="endnote text"/>
    <w:basedOn w:val="1"/>
    <w:link w:val="757"/>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8"/>
    <w:autoRedefine/>
    <w:qFormat/>
    <w:uiPriority w:val="0"/>
    <w:rPr>
      <w:sz w:val="18"/>
      <w:szCs w:val="18"/>
    </w:rPr>
  </w:style>
  <w:style w:type="paragraph" w:styleId="41">
    <w:name w:val="footer"/>
    <w:basedOn w:val="1"/>
    <w:link w:val="89"/>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40"/>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6"/>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5"/>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Body Text Indent 3"/>
    <w:basedOn w:val="1"/>
    <w:link w:val="204"/>
    <w:autoRedefine/>
    <w:qFormat/>
    <w:uiPriority w:val="0"/>
    <w:pPr>
      <w:spacing w:line="500" w:lineRule="exact"/>
      <w:ind w:left="511" w:hanging="511" w:hangingChars="213"/>
    </w:pPr>
    <w:rPr>
      <w:sz w:val="24"/>
    </w:rPr>
  </w:style>
  <w:style w:type="paragraph" w:styleId="51">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4"/>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7"/>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7"/>
    <w:autoRedefine/>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link w:val="158"/>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0"/>
    <w:next w:val="20"/>
    <w:link w:val="171"/>
    <w:autoRedefine/>
    <w:qFormat/>
    <w:uiPriority w:val="1"/>
    <w:rPr>
      <w:b/>
      <w:bCs/>
    </w:rPr>
  </w:style>
  <w:style w:type="paragraph" w:styleId="61">
    <w:name w:val="Body Text First Indent 2"/>
    <w:basedOn w:val="27"/>
    <w:link w:val="438"/>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basedOn w:val="65"/>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character" w:customStyle="1" w:styleId="75">
    <w:name w:val="标题 1 字符"/>
    <w:autoRedefine/>
    <w:qFormat/>
    <w:uiPriority w:val="0"/>
    <w:rPr>
      <w:rFonts w:eastAsia="黑体"/>
      <w:snapToGrid/>
      <w:sz w:val="44"/>
    </w:rPr>
  </w:style>
  <w:style w:type="paragraph" w:customStyle="1" w:styleId="76">
    <w:name w:val="表格文字"/>
    <w:basedOn w:val="34"/>
    <w:next w:val="24"/>
    <w:link w:val="748"/>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paragraph" w:customStyle="1" w:styleId="77">
    <w:name w:val="表格"/>
    <w:basedOn w:val="1"/>
    <w:link w:val="265"/>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7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9">
    <w:name w:val="标题 1 字符1"/>
    <w:link w:val="3"/>
    <w:autoRedefine/>
    <w:qFormat/>
    <w:uiPriority w:val="9"/>
    <w:rPr>
      <w:rFonts w:ascii="楷体_GB2312" w:eastAsia="楷体_GB2312"/>
      <w:b/>
      <w:bCs/>
      <w:kern w:val="2"/>
      <w:sz w:val="21"/>
      <w:szCs w:val="24"/>
    </w:rPr>
  </w:style>
  <w:style w:type="character" w:customStyle="1" w:styleId="80">
    <w:name w:val="标题 2 字符"/>
    <w:link w:val="4"/>
    <w:autoRedefine/>
    <w:qFormat/>
    <w:uiPriority w:val="9"/>
    <w:rPr>
      <w:rFonts w:ascii="Cambria" w:hAnsi="Cambria" w:eastAsia="宋体" w:cs="Times New Roman"/>
      <w:b/>
      <w:bCs/>
      <w:kern w:val="2"/>
      <w:sz w:val="32"/>
      <w:szCs w:val="32"/>
    </w:rPr>
  </w:style>
  <w:style w:type="character" w:customStyle="1" w:styleId="81">
    <w:name w:val="标题 3 字符1"/>
    <w:link w:val="5"/>
    <w:autoRedefine/>
    <w:qFormat/>
    <w:uiPriority w:val="9"/>
    <w:rPr>
      <w:b/>
      <w:bCs/>
      <w:kern w:val="2"/>
      <w:sz w:val="32"/>
      <w:szCs w:val="32"/>
      <w:lang w:bidi="ar-SA"/>
    </w:rPr>
  </w:style>
  <w:style w:type="character" w:customStyle="1" w:styleId="82">
    <w:name w:val="标题 4 字符1"/>
    <w:link w:val="6"/>
    <w:autoRedefine/>
    <w:qFormat/>
    <w:uiPriority w:val="0"/>
    <w:rPr>
      <w:rFonts w:ascii="Cambria" w:hAnsi="Cambria" w:eastAsia="宋体"/>
      <w:b/>
      <w:bCs/>
      <w:kern w:val="2"/>
      <w:sz w:val="28"/>
      <w:szCs w:val="28"/>
      <w:lang w:bidi="ar-SA"/>
    </w:rPr>
  </w:style>
  <w:style w:type="character" w:customStyle="1" w:styleId="83">
    <w:name w:val="标题 5 字符1"/>
    <w:link w:val="7"/>
    <w:autoRedefine/>
    <w:qFormat/>
    <w:uiPriority w:val="9"/>
    <w:rPr>
      <w:b/>
      <w:bCs/>
      <w:kern w:val="2"/>
      <w:sz w:val="28"/>
      <w:szCs w:val="28"/>
    </w:rPr>
  </w:style>
  <w:style w:type="character" w:customStyle="1" w:styleId="84">
    <w:name w:val="标题 6 字符1"/>
    <w:link w:val="8"/>
    <w:autoRedefine/>
    <w:qFormat/>
    <w:uiPriority w:val="9"/>
    <w:rPr>
      <w:rFonts w:ascii="Cambria" w:hAnsi="Cambria" w:eastAsia="宋体" w:cs="Times New Roman"/>
      <w:b/>
      <w:bCs/>
      <w:kern w:val="2"/>
      <w:sz w:val="24"/>
      <w:szCs w:val="24"/>
    </w:rPr>
  </w:style>
  <w:style w:type="character" w:customStyle="1" w:styleId="85">
    <w:name w:val="日期 字符"/>
    <w:link w:val="37"/>
    <w:autoRedefine/>
    <w:qFormat/>
    <w:uiPriority w:val="0"/>
    <w:rPr>
      <w:kern w:val="2"/>
      <w:sz w:val="21"/>
      <w:szCs w:val="24"/>
    </w:rPr>
  </w:style>
  <w:style w:type="character" w:customStyle="1" w:styleId="86">
    <w:name w:val="样式6 列表并列 Char"/>
    <w:link w:val="87"/>
    <w:autoRedefine/>
    <w:qFormat/>
    <w:locked/>
    <w:uiPriority w:val="0"/>
    <w:rPr>
      <w:rFonts w:ascii="Arial" w:hAnsi="Arial" w:cs="Arial"/>
      <w:kern w:val="21"/>
      <w:sz w:val="21"/>
      <w:szCs w:val="24"/>
    </w:rPr>
  </w:style>
  <w:style w:type="paragraph" w:customStyle="1" w:styleId="87">
    <w:name w:val="样式6 列表并列"/>
    <w:link w:val="86"/>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8">
    <w:name w:val="Texte Char Char"/>
    <w:autoRedefine/>
    <w:qFormat/>
    <w:uiPriority w:val="0"/>
    <w:rPr>
      <w:rFonts w:ascii="宋体" w:hAnsi="Courier New" w:eastAsia="宋体"/>
      <w:sz w:val="21"/>
      <w:szCs w:val="21"/>
      <w:lang w:val="en-US" w:eastAsia="zh-CN" w:bidi="ar-SA"/>
    </w:rPr>
  </w:style>
  <w:style w:type="character" w:customStyle="1" w:styleId="89">
    <w:name w:val="页脚 字符"/>
    <w:link w:val="41"/>
    <w:autoRedefine/>
    <w:qFormat/>
    <w:uiPriority w:val="99"/>
    <w:rPr>
      <w:kern w:val="2"/>
      <w:sz w:val="18"/>
      <w:szCs w:val="18"/>
    </w:rPr>
  </w:style>
  <w:style w:type="character" w:customStyle="1" w:styleId="90">
    <w:name w:val="正文文本 字符1"/>
    <w:link w:val="24"/>
    <w:autoRedefine/>
    <w:qFormat/>
    <w:uiPriority w:val="99"/>
    <w:rPr>
      <w:kern w:val="2"/>
      <w:sz w:val="21"/>
      <w:szCs w:val="24"/>
    </w:rPr>
  </w:style>
  <w:style w:type="character" w:customStyle="1" w:styleId="91">
    <w:name w:val="正文文本缩进 字符1"/>
    <w:link w:val="27"/>
    <w:autoRedefine/>
    <w:qFormat/>
    <w:uiPriority w:val="0"/>
    <w:rPr>
      <w:kern w:val="2"/>
      <w:sz w:val="24"/>
      <w:szCs w:val="24"/>
    </w:rPr>
  </w:style>
  <w:style w:type="character" w:customStyle="1" w:styleId="92">
    <w:name w:val="纯文本 字符1"/>
    <w:link w:val="34"/>
    <w:autoRedefine/>
    <w:qFormat/>
    <w:uiPriority w:val="0"/>
    <w:rPr>
      <w:rFonts w:ascii="宋体" w:hAnsi="Courier New" w:eastAsia="宋体"/>
      <w:sz w:val="21"/>
      <w:szCs w:val="21"/>
      <w:lang w:val="en-US" w:eastAsia="zh-CN" w:bidi="ar-SA"/>
    </w:rPr>
  </w:style>
  <w:style w:type="character" w:customStyle="1" w:styleId="93">
    <w:name w:val="font31"/>
    <w:autoRedefine/>
    <w:qFormat/>
    <w:uiPriority w:val="0"/>
    <w:rPr>
      <w:rFonts w:hint="eastAsia" w:ascii="新宋体" w:hAnsi="新宋体" w:eastAsia="新宋体" w:cs="新宋体"/>
      <w:color w:val="000000"/>
      <w:sz w:val="22"/>
      <w:szCs w:val="22"/>
      <w:u w:val="none"/>
    </w:rPr>
  </w:style>
  <w:style w:type="character" w:customStyle="1" w:styleId="94">
    <w:name w:val="style21"/>
    <w:autoRedefine/>
    <w:qFormat/>
    <w:uiPriority w:val="0"/>
    <w:rPr>
      <w:sz w:val="15"/>
      <w:szCs w:val="15"/>
    </w:rPr>
  </w:style>
  <w:style w:type="character" w:customStyle="1" w:styleId="95">
    <w:name w:val="BZ_正文 Char"/>
    <w:link w:val="96"/>
    <w:autoRedefine/>
    <w:qFormat/>
    <w:uiPriority w:val="0"/>
    <w:rPr>
      <w:rFonts w:ascii="宋体" w:hAnsi="宋体" w:eastAsia="宋体"/>
      <w:kern w:val="2"/>
      <w:sz w:val="24"/>
      <w:szCs w:val="24"/>
    </w:rPr>
  </w:style>
  <w:style w:type="paragraph" w:customStyle="1" w:styleId="96">
    <w:name w:val="BZ_正文"/>
    <w:basedOn w:val="1"/>
    <w:link w:val="95"/>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7">
    <w:name w:val="Char Char Char"/>
    <w:autoRedefine/>
    <w:qFormat/>
    <w:uiPriority w:val="0"/>
    <w:rPr>
      <w:rFonts w:ascii="宋体" w:hAnsi="Courier New" w:eastAsia="宋体"/>
      <w:sz w:val="21"/>
      <w:szCs w:val="21"/>
      <w:lang w:val="en-US" w:eastAsia="zh-CN" w:bidi="ar-SA"/>
    </w:rPr>
  </w:style>
  <w:style w:type="character" w:customStyle="1" w:styleId="98">
    <w:name w:val="font21"/>
    <w:basedOn w:val="65"/>
    <w:autoRedefine/>
    <w:qFormat/>
    <w:uiPriority w:val="0"/>
    <w:rPr>
      <w:rFonts w:hint="eastAsia" w:ascii="宋体" w:hAnsi="宋体" w:eastAsia="宋体" w:cs="宋体"/>
      <w:b/>
      <w:color w:val="000000"/>
      <w:sz w:val="21"/>
      <w:szCs w:val="21"/>
      <w:u w:val="none"/>
    </w:rPr>
  </w:style>
  <w:style w:type="character" w:customStyle="1" w:styleId="99">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100">
    <w:name w:val="正文1 Char"/>
    <w:link w:val="101"/>
    <w:autoRedefine/>
    <w:qFormat/>
    <w:uiPriority w:val="0"/>
    <w:rPr>
      <w:sz w:val="24"/>
      <w:lang w:val="en-US" w:eastAsia="zh-CN" w:bidi="ar-SA"/>
    </w:rPr>
  </w:style>
  <w:style w:type="paragraph" w:customStyle="1" w:styleId="101">
    <w:name w:val="正文1"/>
    <w:link w:val="100"/>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2">
    <w:name w:val="正文文本首行缩进 字符"/>
    <w:basedOn w:val="90"/>
    <w:link w:val="25"/>
    <w:autoRedefine/>
    <w:qFormat/>
    <w:uiPriority w:val="0"/>
    <w:rPr>
      <w:kern w:val="2"/>
      <w:sz w:val="21"/>
      <w:szCs w:val="24"/>
    </w:rPr>
  </w:style>
  <w:style w:type="character" w:customStyle="1" w:styleId="103">
    <w:name w:val="正文缩进 字符1"/>
    <w:link w:val="15"/>
    <w:autoRedefine/>
    <w:qFormat/>
    <w:uiPriority w:val="0"/>
    <w:rPr>
      <w:rFonts w:eastAsia="宋体"/>
      <w:sz w:val="21"/>
      <w:lang w:val="en-US" w:eastAsia="zh-CN" w:bidi="ar-SA"/>
    </w:rPr>
  </w:style>
  <w:style w:type="character" w:customStyle="1" w:styleId="104">
    <w:name w:val="BZ_题注_图 Char"/>
    <w:link w:val="105"/>
    <w:autoRedefine/>
    <w:qFormat/>
    <w:uiPriority w:val="0"/>
    <w:rPr>
      <w:rFonts w:eastAsia="黑体"/>
      <w:kern w:val="2"/>
      <w:sz w:val="21"/>
      <w:szCs w:val="21"/>
    </w:rPr>
  </w:style>
  <w:style w:type="paragraph" w:customStyle="1" w:styleId="105">
    <w:name w:val="BZ_题注_图"/>
    <w:basedOn w:val="16"/>
    <w:next w:val="1"/>
    <w:link w:val="104"/>
    <w:autoRedefine/>
    <w:qFormat/>
    <w:uiPriority w:val="0"/>
    <w:pPr>
      <w:widowControl/>
      <w:spacing w:beforeLines="50" w:afterLines="50"/>
      <w:jc w:val="center"/>
    </w:pPr>
    <w:rPr>
      <w:rFonts w:ascii="Times New Roman" w:hAnsi="Times New Roman"/>
      <w:sz w:val="21"/>
      <w:szCs w:val="21"/>
    </w:rPr>
  </w:style>
  <w:style w:type="character" w:customStyle="1" w:styleId="106">
    <w:name w:val="文档正文 Char"/>
    <w:link w:val="107"/>
    <w:autoRedefine/>
    <w:qFormat/>
    <w:uiPriority w:val="0"/>
    <w:rPr>
      <w:rFonts w:ascii="Tahoma" w:hAnsi="Tahoma" w:eastAsia="仿宋_GB2312"/>
      <w:sz w:val="28"/>
      <w:lang w:val="en-US" w:eastAsia="zh-CN" w:bidi="ar-SA"/>
    </w:rPr>
  </w:style>
  <w:style w:type="paragraph" w:customStyle="1" w:styleId="107">
    <w:name w:val="文档正文"/>
    <w:basedOn w:val="1"/>
    <w:link w:val="106"/>
    <w:autoRedefine/>
    <w:qFormat/>
    <w:uiPriority w:val="0"/>
    <w:pPr>
      <w:spacing w:line="360" w:lineRule="auto"/>
      <w:ind w:firstLine="480" w:firstLineChars="200"/>
    </w:pPr>
    <w:rPr>
      <w:rFonts w:ascii="Tahoma" w:hAnsi="Tahoma" w:eastAsia="仿宋_GB2312"/>
      <w:kern w:val="0"/>
      <w:sz w:val="28"/>
      <w:szCs w:val="20"/>
    </w:rPr>
  </w:style>
  <w:style w:type="character" w:customStyle="1" w:styleId="108">
    <w:name w:val="unnamed51"/>
    <w:autoRedefine/>
    <w:qFormat/>
    <w:uiPriority w:val="0"/>
    <w:rPr>
      <w:sz w:val="22"/>
      <w:szCs w:val="22"/>
    </w:rPr>
  </w:style>
  <w:style w:type="character" w:customStyle="1" w:styleId="109">
    <w:name w:val="Char Char2"/>
    <w:autoRedefine/>
    <w:qFormat/>
    <w:uiPriority w:val="0"/>
    <w:rPr>
      <w:rFonts w:ascii="宋体" w:hAnsi="Courier New" w:eastAsia="宋体"/>
      <w:kern w:val="2"/>
      <w:sz w:val="21"/>
      <w:lang w:val="en-US" w:eastAsia="zh-CN"/>
    </w:rPr>
  </w:style>
  <w:style w:type="character" w:customStyle="1" w:styleId="110">
    <w:name w:val="BZ_三级标题 Char"/>
    <w:link w:val="111"/>
    <w:autoRedefine/>
    <w:qFormat/>
    <w:uiPriority w:val="0"/>
    <w:rPr>
      <w:rFonts w:eastAsia="黑体"/>
      <w:b/>
      <w:bCs/>
      <w:kern w:val="2"/>
      <w:sz w:val="28"/>
      <w:szCs w:val="28"/>
    </w:rPr>
  </w:style>
  <w:style w:type="paragraph" w:customStyle="1" w:styleId="111">
    <w:name w:val="BZ_三级标题"/>
    <w:basedOn w:val="5"/>
    <w:next w:val="96"/>
    <w:link w:val="110"/>
    <w:autoRedefine/>
    <w:qFormat/>
    <w:uiPriority w:val="0"/>
    <w:pPr>
      <w:spacing w:line="240" w:lineRule="auto"/>
      <w:ind w:left="720" w:hanging="720"/>
    </w:pPr>
    <w:rPr>
      <w:rFonts w:eastAsia="黑体"/>
      <w:sz w:val="28"/>
      <w:szCs w:val="28"/>
    </w:rPr>
  </w:style>
  <w:style w:type="character" w:customStyle="1" w:styleId="112">
    <w:name w:val="哈哈正文 Char"/>
    <w:link w:val="113"/>
    <w:autoRedefine/>
    <w:qFormat/>
    <w:uiPriority w:val="0"/>
    <w:rPr>
      <w:rFonts w:ascii="宋体" w:hAnsi="宋体" w:eastAsia="宋体" w:cs="宋体"/>
      <w:kern w:val="2"/>
      <w:sz w:val="24"/>
      <w:lang w:val="en-US" w:eastAsia="zh-CN" w:bidi="ar-SA"/>
    </w:rPr>
  </w:style>
  <w:style w:type="paragraph" w:customStyle="1" w:styleId="113">
    <w:name w:val="哈哈正文"/>
    <w:basedOn w:val="1"/>
    <w:link w:val="112"/>
    <w:autoRedefine/>
    <w:qFormat/>
    <w:uiPriority w:val="0"/>
    <w:pPr>
      <w:spacing w:line="360" w:lineRule="auto"/>
      <w:ind w:firstLine="200" w:firstLineChars="200"/>
    </w:pPr>
    <w:rPr>
      <w:rFonts w:ascii="宋体" w:hAnsi="宋体" w:cs="宋体"/>
      <w:sz w:val="24"/>
      <w:szCs w:val="20"/>
    </w:rPr>
  </w:style>
  <w:style w:type="character" w:customStyle="1" w:styleId="114">
    <w:name w:val="批注文字 字符"/>
    <w:link w:val="20"/>
    <w:autoRedefine/>
    <w:qFormat/>
    <w:uiPriority w:val="1"/>
    <w:rPr>
      <w:kern w:val="2"/>
      <w:sz w:val="21"/>
      <w:szCs w:val="24"/>
    </w:rPr>
  </w:style>
  <w:style w:type="character" w:customStyle="1" w:styleId="115">
    <w:name w:val="fontstyle01"/>
    <w:autoRedefine/>
    <w:qFormat/>
    <w:uiPriority w:val="0"/>
    <w:rPr>
      <w:rFonts w:hint="eastAsia" w:ascii="楷体" w:hAnsi="楷体" w:eastAsia="楷体"/>
      <w:color w:val="000000"/>
      <w:sz w:val="24"/>
      <w:szCs w:val="24"/>
    </w:rPr>
  </w:style>
  <w:style w:type="character" w:customStyle="1" w:styleId="116">
    <w:name w:val="List Paragraph Char"/>
    <w:link w:val="117"/>
    <w:autoRedefine/>
    <w:qFormat/>
    <w:uiPriority w:val="0"/>
    <w:rPr>
      <w:rFonts w:ascii="Calibri" w:hAnsi="Calibri" w:eastAsia="宋体"/>
      <w:kern w:val="2"/>
      <w:sz w:val="21"/>
      <w:szCs w:val="22"/>
      <w:lang w:val="en-US" w:eastAsia="zh-CN" w:bidi="ar-SA"/>
    </w:rPr>
  </w:style>
  <w:style w:type="paragraph" w:customStyle="1" w:styleId="117">
    <w:name w:val="列出段落1"/>
    <w:basedOn w:val="1"/>
    <w:link w:val="116"/>
    <w:autoRedefine/>
    <w:qFormat/>
    <w:uiPriority w:val="0"/>
    <w:pPr>
      <w:ind w:firstLine="420" w:firstLineChars="200"/>
    </w:pPr>
    <w:rPr>
      <w:rFonts w:ascii="Calibri" w:hAnsi="Calibri"/>
      <w:szCs w:val="22"/>
    </w:rPr>
  </w:style>
  <w:style w:type="paragraph" w:customStyle="1" w:styleId="118">
    <w:name w:val="正文2"/>
    <w:basedOn w:val="1"/>
    <w:autoRedefine/>
    <w:qFormat/>
    <w:uiPriority w:val="0"/>
    <w:pPr>
      <w:spacing w:before="156" w:line="360" w:lineRule="auto"/>
      <w:ind w:firstLine="510" w:firstLineChars="200"/>
    </w:pPr>
    <w:rPr>
      <w:sz w:val="24"/>
      <w:szCs w:val="20"/>
    </w:rPr>
  </w:style>
  <w:style w:type="paragraph" w:customStyle="1" w:styleId="119">
    <w:name w:val="Char Char Char Char"/>
    <w:basedOn w:val="18"/>
    <w:autoRedefine/>
    <w:qFormat/>
    <w:uiPriority w:val="0"/>
    <w:rPr>
      <w:rFonts w:ascii="Tahoma" w:hAnsi="Tahoma"/>
      <w:sz w:val="24"/>
    </w:rPr>
  </w:style>
  <w:style w:type="paragraph" w:customStyle="1" w:styleId="120">
    <w:name w:val="Char1 Char Char Char"/>
    <w:basedOn w:val="1"/>
    <w:autoRedefine/>
    <w:qFormat/>
    <w:uiPriority w:val="0"/>
    <w:rPr>
      <w:rFonts w:ascii="Tahoma" w:hAnsi="Tahoma"/>
      <w:sz w:val="24"/>
      <w:szCs w:val="20"/>
    </w:rPr>
  </w:style>
  <w:style w:type="paragraph" w:customStyle="1" w:styleId="121">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3">
    <w:name w:val="Char Char Char Char Char Char Char Char Char Char Char Char Char1"/>
    <w:basedOn w:val="1"/>
    <w:autoRedefine/>
    <w:qFormat/>
    <w:uiPriority w:val="0"/>
    <w:rPr>
      <w:rFonts w:ascii="Tahoma" w:hAnsi="Tahoma"/>
      <w:sz w:val="24"/>
      <w:szCs w:val="20"/>
    </w:rPr>
  </w:style>
  <w:style w:type="paragraph" w:styleId="124">
    <w:name w:val="List Paragraph"/>
    <w:basedOn w:val="1"/>
    <w:autoRedefine/>
    <w:qFormat/>
    <w:uiPriority w:val="0"/>
    <w:pPr>
      <w:ind w:firstLine="420" w:firstLineChars="200"/>
    </w:pPr>
  </w:style>
  <w:style w:type="paragraph" w:customStyle="1" w:styleId="125">
    <w:name w:val="BZ_六级标题"/>
    <w:basedOn w:val="8"/>
    <w:next w:val="96"/>
    <w:autoRedefine/>
    <w:qFormat/>
    <w:uiPriority w:val="0"/>
    <w:pPr>
      <w:widowControl/>
      <w:tabs>
        <w:tab w:val="left" w:pos="360"/>
      </w:tabs>
      <w:spacing w:beforeLines="50" w:afterLines="50" w:line="240" w:lineRule="auto"/>
    </w:pPr>
    <w:rPr>
      <w:rFonts w:eastAsia="黑体"/>
    </w:rPr>
  </w:style>
  <w:style w:type="paragraph" w:customStyle="1" w:styleId="126">
    <w:name w:val="正文－恩普"/>
    <w:basedOn w:val="15"/>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7">
    <w:name w:val="Char Char Char Char2"/>
    <w:basedOn w:val="18"/>
    <w:autoRedefine/>
    <w:qFormat/>
    <w:uiPriority w:val="0"/>
  </w:style>
  <w:style w:type="paragraph" w:customStyle="1" w:styleId="128">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9">
    <w:name w:val="Char Char Char Char Char Char Char1"/>
    <w:basedOn w:val="1"/>
    <w:autoRedefine/>
    <w:qFormat/>
    <w:uiPriority w:val="0"/>
    <w:rPr>
      <w:rFonts w:ascii="仿宋_GB2312" w:eastAsia="仿宋_GB2312"/>
      <w:b/>
      <w:sz w:val="32"/>
      <w:szCs w:val="32"/>
    </w:rPr>
  </w:style>
  <w:style w:type="paragraph" w:customStyle="1" w:styleId="130">
    <w:name w:val="简单回函地址"/>
    <w:basedOn w:val="1"/>
    <w:autoRedefine/>
    <w:qFormat/>
    <w:uiPriority w:val="0"/>
  </w:style>
  <w:style w:type="paragraph" w:customStyle="1" w:styleId="131">
    <w:name w:val="Char Char7 Char"/>
    <w:basedOn w:val="1"/>
    <w:autoRedefine/>
    <w:qFormat/>
    <w:uiPriority w:val="0"/>
    <w:pPr>
      <w:tabs>
        <w:tab w:val="left" w:pos="425"/>
      </w:tabs>
      <w:ind w:left="420" w:leftChars="200" w:firstLine="270" w:firstLineChars="150"/>
    </w:pPr>
  </w:style>
  <w:style w:type="paragraph" w:customStyle="1" w:styleId="132">
    <w:name w:val="BZ_一级标题"/>
    <w:basedOn w:val="3"/>
    <w:next w:val="96"/>
    <w:link w:val="177"/>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3">
    <w:name w:val="保留正文"/>
    <w:basedOn w:val="24"/>
    <w:autoRedefine/>
    <w:qFormat/>
    <w:uiPriority w:val="0"/>
    <w:pPr>
      <w:keepNext/>
      <w:spacing w:after="160"/>
    </w:pPr>
  </w:style>
  <w:style w:type="paragraph" w:customStyle="1" w:styleId="134">
    <w:name w:val="Char Char Char Char Char Char Char"/>
    <w:basedOn w:val="1"/>
    <w:autoRedefine/>
    <w:qFormat/>
    <w:uiPriority w:val="0"/>
    <w:rPr>
      <w:rFonts w:ascii="仿宋_GB2312" w:eastAsia="仿宋_GB2312"/>
      <w:b/>
      <w:sz w:val="32"/>
      <w:szCs w:val="32"/>
    </w:rPr>
  </w:style>
  <w:style w:type="paragraph" w:customStyle="1" w:styleId="135">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6">
    <w:name w:val="Char Char"/>
    <w:basedOn w:val="1"/>
    <w:autoRedefine/>
    <w:qFormat/>
    <w:uiPriority w:val="0"/>
    <w:rPr>
      <w:rFonts w:ascii="仿宋_GB2312" w:eastAsia="仿宋_GB2312"/>
      <w:b/>
      <w:sz w:val="32"/>
      <w:szCs w:val="32"/>
    </w:rPr>
  </w:style>
  <w:style w:type="paragraph" w:customStyle="1" w:styleId="137">
    <w:name w:val="CM106"/>
    <w:basedOn w:val="138"/>
    <w:next w:val="138"/>
    <w:autoRedefine/>
    <w:qFormat/>
    <w:uiPriority w:val="0"/>
    <w:rPr>
      <w:rFonts w:ascii="宋体" w:cs="Times New Roman"/>
      <w:color w:val="auto"/>
    </w:rPr>
  </w:style>
  <w:style w:type="paragraph" w:customStyle="1" w:styleId="138">
    <w:name w:val="Default"/>
    <w:next w:val="41"/>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40">
    <w:name w:val="Char Char Char Char1"/>
    <w:basedOn w:val="1"/>
    <w:autoRedefine/>
    <w:qFormat/>
    <w:uiPriority w:val="0"/>
    <w:rPr>
      <w:rFonts w:ascii="Tahoma" w:hAnsi="Tahoma"/>
      <w:sz w:val="24"/>
      <w:szCs w:val="20"/>
    </w:rPr>
  </w:style>
  <w:style w:type="paragraph" w:customStyle="1" w:styleId="141">
    <w:name w:val="Char Char Char Char Char Char Char Char Char Char Char Char Char"/>
    <w:basedOn w:val="1"/>
    <w:autoRedefine/>
    <w:qFormat/>
    <w:uiPriority w:val="0"/>
    <w:rPr>
      <w:rFonts w:ascii="Tahoma" w:hAnsi="Tahoma"/>
      <w:sz w:val="24"/>
      <w:szCs w:val="20"/>
    </w:rPr>
  </w:style>
  <w:style w:type="paragraph" w:customStyle="1" w:styleId="142">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3">
    <w:name w:val="BZ_五级标题"/>
    <w:basedOn w:val="7"/>
    <w:next w:val="96"/>
    <w:autoRedefine/>
    <w:qFormat/>
    <w:uiPriority w:val="0"/>
    <w:pPr>
      <w:widowControl/>
      <w:spacing w:beforeLines="50" w:afterLines="50" w:line="240" w:lineRule="auto"/>
    </w:pPr>
    <w:rPr>
      <w:rFonts w:eastAsia="黑体"/>
      <w:b w:val="0"/>
      <w:sz w:val="24"/>
      <w:szCs w:val="24"/>
    </w:rPr>
  </w:style>
  <w:style w:type="paragraph" w:customStyle="1" w:styleId="144">
    <w:name w:val="Char Char Char Char Char Char Char Char Char Char Char Char Char2"/>
    <w:basedOn w:val="1"/>
    <w:autoRedefine/>
    <w:qFormat/>
    <w:uiPriority w:val="0"/>
    <w:rPr>
      <w:rFonts w:ascii="Tahoma" w:hAnsi="Tahoma"/>
      <w:sz w:val="24"/>
      <w:szCs w:val="20"/>
    </w:rPr>
  </w:style>
  <w:style w:type="paragraph" w:customStyle="1" w:styleId="145">
    <w:name w:val="Char Char Char Char Char Char Char2"/>
    <w:basedOn w:val="1"/>
    <w:autoRedefine/>
    <w:qFormat/>
    <w:uiPriority w:val="0"/>
    <w:rPr>
      <w:rFonts w:ascii="仿宋_GB2312" w:eastAsia="仿宋_GB2312"/>
      <w:b/>
      <w:sz w:val="32"/>
      <w:szCs w:val="32"/>
    </w:rPr>
  </w:style>
  <w:style w:type="paragraph" w:customStyle="1" w:styleId="146">
    <w:name w:val="1"/>
    <w:basedOn w:val="15"/>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7">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9">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0">
    <w:name w:val="BZ_二级标题"/>
    <w:basedOn w:val="4"/>
    <w:next w:val="134"/>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51">
    <w:name w:val="Char1 Char Char Char1"/>
    <w:basedOn w:val="1"/>
    <w:autoRedefine/>
    <w:qFormat/>
    <w:uiPriority w:val="0"/>
    <w:rPr>
      <w:rFonts w:ascii="仿宋_GB2312" w:eastAsia="仿宋_GB2312"/>
      <w:b/>
      <w:sz w:val="32"/>
      <w:szCs w:val="32"/>
    </w:rPr>
  </w:style>
  <w:style w:type="character" w:customStyle="1" w:styleId="152">
    <w:name w:val="纯文本 Char1"/>
    <w:autoRedefine/>
    <w:qFormat/>
    <w:uiPriority w:val="0"/>
    <w:rPr>
      <w:rFonts w:ascii="宋体" w:hAnsi="Courier New"/>
      <w:kern w:val="2"/>
      <w:sz w:val="21"/>
      <w:szCs w:val="24"/>
    </w:rPr>
  </w:style>
  <w:style w:type="paragraph" w:customStyle="1" w:styleId="153">
    <w:name w:val="样式6"/>
    <w:basedOn w:val="1"/>
    <w:autoRedefine/>
    <w:qFormat/>
    <w:uiPriority w:val="0"/>
    <w:pPr>
      <w:spacing w:line="360" w:lineRule="auto"/>
      <w:ind w:firstLine="200" w:firstLineChars="200"/>
      <w:jc w:val="left"/>
    </w:pPr>
    <w:rPr>
      <w:sz w:val="24"/>
    </w:rPr>
  </w:style>
  <w:style w:type="paragraph" w:customStyle="1" w:styleId="154">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5">
    <w:name w:val="正文首行缩进2字符 Char"/>
    <w:link w:val="156"/>
    <w:autoRedefine/>
    <w:qFormat/>
    <w:uiPriority w:val="0"/>
    <w:rPr>
      <w:rFonts w:eastAsia="仿宋"/>
      <w:sz w:val="28"/>
    </w:rPr>
  </w:style>
  <w:style w:type="paragraph" w:customStyle="1" w:styleId="156">
    <w:name w:val="正文首行缩进2字符"/>
    <w:basedOn w:val="1"/>
    <w:link w:val="155"/>
    <w:autoRedefine/>
    <w:qFormat/>
    <w:locked/>
    <w:uiPriority w:val="0"/>
    <w:pPr>
      <w:spacing w:line="360" w:lineRule="auto"/>
      <w:ind w:firstLine="200" w:firstLineChars="200"/>
    </w:pPr>
    <w:rPr>
      <w:rFonts w:eastAsia="仿宋"/>
      <w:kern w:val="0"/>
      <w:sz w:val="28"/>
      <w:szCs w:val="20"/>
    </w:rPr>
  </w:style>
  <w:style w:type="character" w:customStyle="1" w:styleId="157">
    <w:name w:val="generalinfo-address-text"/>
    <w:basedOn w:val="65"/>
    <w:autoRedefine/>
    <w:qFormat/>
    <w:uiPriority w:val="0"/>
  </w:style>
  <w:style w:type="character" w:customStyle="1" w:styleId="158">
    <w:name w:val="标题 字符"/>
    <w:link w:val="59"/>
    <w:autoRedefine/>
    <w:qFormat/>
    <w:uiPriority w:val="0"/>
    <w:rPr>
      <w:rFonts w:ascii="Verdana" w:hAnsi="Verdana" w:eastAsia="仿宋_GB2312"/>
      <w:b/>
      <w:bCs/>
      <w:sz w:val="32"/>
      <w:szCs w:val="32"/>
    </w:rPr>
  </w:style>
  <w:style w:type="paragraph" w:customStyle="1" w:styleId="159">
    <w:name w:val="方案正文"/>
    <w:basedOn w:val="1"/>
    <w:link w:val="160"/>
    <w:autoRedefine/>
    <w:qFormat/>
    <w:uiPriority w:val="0"/>
    <w:pPr>
      <w:spacing w:line="360" w:lineRule="auto"/>
      <w:ind w:firstLine="200" w:firstLineChars="200"/>
    </w:pPr>
    <w:rPr>
      <w:rFonts w:ascii="Century Gothic" w:hAnsi="Century Gothic"/>
      <w:szCs w:val="28"/>
    </w:rPr>
  </w:style>
  <w:style w:type="character" w:customStyle="1" w:styleId="160">
    <w:name w:val="方案正文 字符"/>
    <w:link w:val="159"/>
    <w:autoRedefine/>
    <w:qFormat/>
    <w:uiPriority w:val="0"/>
    <w:rPr>
      <w:rFonts w:ascii="Century Gothic" w:hAnsi="Century Gothic" w:cs="Times New Roman"/>
      <w:kern w:val="2"/>
      <w:sz w:val="21"/>
      <w:szCs w:val="28"/>
    </w:rPr>
  </w:style>
  <w:style w:type="paragraph" w:customStyle="1" w:styleId="161">
    <w:name w:val="正文缩进1"/>
    <w:basedOn w:val="1"/>
    <w:autoRedefine/>
    <w:qFormat/>
    <w:uiPriority w:val="0"/>
    <w:pPr>
      <w:spacing w:line="360" w:lineRule="auto"/>
      <w:ind w:firstLine="454"/>
      <w:jc w:val="left"/>
    </w:pPr>
    <w:rPr>
      <w:sz w:val="24"/>
    </w:rPr>
  </w:style>
  <w:style w:type="character" w:customStyle="1" w:styleId="162">
    <w:name w:val="ant-form-item-children"/>
    <w:basedOn w:val="65"/>
    <w:autoRedefine/>
    <w:qFormat/>
    <w:uiPriority w:val="0"/>
  </w:style>
  <w:style w:type="paragraph" w:customStyle="1" w:styleId="163">
    <w:name w:val="BZ_四级标题"/>
    <w:basedOn w:val="6"/>
    <w:next w:val="1"/>
    <w:link w:val="309"/>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4">
    <w:name w:val="_Style 10"/>
    <w:basedOn w:val="1"/>
    <w:autoRedefine/>
    <w:qFormat/>
    <w:uiPriority w:val="0"/>
    <w:pPr>
      <w:spacing w:beforeLines="50" w:afterLines="50"/>
    </w:pPr>
    <w:rPr>
      <w:rFonts w:ascii="Calibri" w:hAnsi="Calibri"/>
      <w:szCs w:val="20"/>
    </w:rPr>
  </w:style>
  <w:style w:type="paragraph" w:customStyle="1" w:styleId="165">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普通(网站) 字符"/>
    <w:link w:val="57"/>
    <w:autoRedefine/>
    <w:qFormat/>
    <w:uiPriority w:val="0"/>
    <w:rPr>
      <w:rFonts w:ascii="宋体" w:hAnsi="宋体" w:cs="宋体"/>
      <w:sz w:val="24"/>
      <w:szCs w:val="24"/>
    </w:rPr>
  </w:style>
  <w:style w:type="character" w:customStyle="1" w:styleId="168">
    <w:name w:val="标题 7 字符1"/>
    <w:basedOn w:val="65"/>
    <w:link w:val="9"/>
    <w:autoRedefine/>
    <w:qFormat/>
    <w:uiPriority w:val="9"/>
    <w:rPr>
      <w:rFonts w:eastAsia="等线"/>
      <w:b/>
      <w:kern w:val="2"/>
      <w:sz w:val="24"/>
      <w:szCs w:val="24"/>
    </w:rPr>
  </w:style>
  <w:style w:type="character" w:customStyle="1" w:styleId="169">
    <w:name w:val="标题 8 字符1"/>
    <w:basedOn w:val="65"/>
    <w:link w:val="10"/>
    <w:autoRedefine/>
    <w:qFormat/>
    <w:uiPriority w:val="9"/>
    <w:rPr>
      <w:rFonts w:ascii="Arial" w:hAnsi="Arial" w:eastAsia="黑体"/>
      <w:kern w:val="2"/>
      <w:sz w:val="24"/>
      <w:szCs w:val="24"/>
    </w:rPr>
  </w:style>
  <w:style w:type="character" w:customStyle="1" w:styleId="170">
    <w:name w:val="标题 9 字符1"/>
    <w:basedOn w:val="65"/>
    <w:link w:val="11"/>
    <w:autoRedefine/>
    <w:qFormat/>
    <w:uiPriority w:val="9"/>
    <w:rPr>
      <w:rFonts w:ascii="Arial" w:hAnsi="Arial" w:eastAsia="黑体"/>
      <w:kern w:val="2"/>
      <w:sz w:val="24"/>
      <w:szCs w:val="24"/>
    </w:rPr>
  </w:style>
  <w:style w:type="character" w:customStyle="1" w:styleId="171">
    <w:name w:val="批注主题 字符"/>
    <w:link w:val="60"/>
    <w:autoRedefine/>
    <w:qFormat/>
    <w:uiPriority w:val="1"/>
    <w:rPr>
      <w:b/>
      <w:bCs/>
      <w:kern w:val="2"/>
      <w:sz w:val="21"/>
      <w:szCs w:val="24"/>
    </w:rPr>
  </w:style>
  <w:style w:type="character" w:customStyle="1" w:styleId="172">
    <w:name w:val="Char Char112"/>
    <w:autoRedefine/>
    <w:qFormat/>
    <w:uiPriority w:val="0"/>
    <w:rPr>
      <w:rFonts w:eastAsia="仿宋_GB2312"/>
      <w:kern w:val="2"/>
      <w:sz w:val="21"/>
      <w:szCs w:val="24"/>
      <w:lang w:val="en-US" w:eastAsia="zh-CN" w:bidi="ar-SA"/>
    </w:rPr>
  </w:style>
  <w:style w:type="character" w:customStyle="1" w:styleId="173">
    <w:name w:val="No Spacing Char"/>
    <w:link w:val="174"/>
    <w:autoRedefine/>
    <w:qFormat/>
    <w:locked/>
    <w:uiPriority w:val="0"/>
    <w:rPr>
      <w:rFonts w:ascii="Calibri" w:hAnsi="Calibri" w:eastAsia="仿宋_GB2312"/>
      <w:sz w:val="28"/>
      <w:szCs w:val="22"/>
    </w:rPr>
  </w:style>
  <w:style w:type="paragraph" w:customStyle="1" w:styleId="174">
    <w:name w:val="无间隔1"/>
    <w:link w:val="173"/>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5">
    <w:name w:val="Char Char14"/>
    <w:autoRedefine/>
    <w:qFormat/>
    <w:uiPriority w:val="0"/>
    <w:rPr>
      <w:rFonts w:eastAsia="仿宋_GB2312"/>
      <w:kern w:val="2"/>
      <w:sz w:val="21"/>
      <w:szCs w:val="24"/>
      <w:lang w:val="en-US" w:eastAsia="zh-CN" w:bidi="ar-SA"/>
    </w:rPr>
  </w:style>
  <w:style w:type="character" w:customStyle="1" w:styleId="176">
    <w:name w:val="明显强调1"/>
    <w:autoRedefine/>
    <w:qFormat/>
    <w:uiPriority w:val="0"/>
    <w:rPr>
      <w:rFonts w:eastAsia="宋体"/>
      <w:b/>
      <w:bCs/>
      <w:iCs/>
      <w:color w:val="auto"/>
      <w:sz w:val="24"/>
    </w:rPr>
  </w:style>
  <w:style w:type="character" w:customStyle="1" w:styleId="177">
    <w:name w:val="BZ_一级标题 Char"/>
    <w:link w:val="132"/>
    <w:autoRedefine/>
    <w:qFormat/>
    <w:uiPriority w:val="0"/>
    <w:rPr>
      <w:rFonts w:eastAsia="华文中宋"/>
      <w:b/>
      <w:bCs/>
      <w:kern w:val="44"/>
      <w:sz w:val="36"/>
      <w:szCs w:val="36"/>
    </w:rPr>
  </w:style>
  <w:style w:type="character" w:customStyle="1" w:styleId="178">
    <w:name w:val="样式 宋体 小四 行距: 1.5 倍行距 Char"/>
    <w:link w:val="179"/>
    <w:autoRedefine/>
    <w:qFormat/>
    <w:uiPriority w:val="0"/>
    <w:rPr>
      <w:rFonts w:ascii="宋体" w:hAnsi="宋体" w:cs="宋体"/>
      <w:kern w:val="2"/>
      <w:sz w:val="24"/>
    </w:rPr>
  </w:style>
  <w:style w:type="paragraph" w:customStyle="1" w:styleId="179">
    <w:name w:val="样式 宋体 小四 行距: 1.5 倍行距"/>
    <w:basedOn w:val="1"/>
    <w:link w:val="178"/>
    <w:autoRedefine/>
    <w:qFormat/>
    <w:uiPriority w:val="0"/>
    <w:pPr>
      <w:spacing w:line="360" w:lineRule="auto"/>
      <w:ind w:firstLine="540" w:firstLineChars="225"/>
    </w:pPr>
    <w:rPr>
      <w:rFonts w:ascii="宋体" w:hAnsi="宋体" w:cs="宋体"/>
      <w:sz w:val="24"/>
      <w:szCs w:val="20"/>
    </w:rPr>
  </w:style>
  <w:style w:type="character" w:customStyle="1" w:styleId="180">
    <w:name w:val="正文1 Char Char"/>
    <w:autoRedefine/>
    <w:qFormat/>
    <w:uiPriority w:val="0"/>
    <w:rPr>
      <w:rFonts w:ascii="仿宋_GB2312" w:hAnsi="仿宋_GB2312" w:eastAsia="仿宋_GB2312" w:cs="仿宋_GB2312"/>
      <w:sz w:val="21"/>
      <w:lang w:val="en-US" w:eastAsia="zh-CN" w:bidi="ar-SA"/>
    </w:rPr>
  </w:style>
  <w:style w:type="character" w:customStyle="1" w:styleId="181">
    <w:name w:val="编号正文缩进 Char Char"/>
    <w:link w:val="182"/>
    <w:autoRedefine/>
    <w:qFormat/>
    <w:uiPriority w:val="0"/>
    <w:rPr>
      <w:kern w:val="2"/>
      <w:sz w:val="24"/>
      <w:szCs w:val="24"/>
    </w:rPr>
  </w:style>
  <w:style w:type="paragraph" w:customStyle="1" w:styleId="182">
    <w:name w:val="编号正文缩进"/>
    <w:basedOn w:val="15"/>
    <w:link w:val="181"/>
    <w:autoRedefine/>
    <w:qFormat/>
    <w:uiPriority w:val="0"/>
    <w:pPr>
      <w:tabs>
        <w:tab w:val="left" w:pos="1497"/>
      </w:tabs>
      <w:spacing w:line="400" w:lineRule="atLeast"/>
      <w:ind w:left="567" w:firstLine="510"/>
    </w:pPr>
    <w:rPr>
      <w:kern w:val="2"/>
      <w:sz w:val="24"/>
      <w:szCs w:val="24"/>
    </w:rPr>
  </w:style>
  <w:style w:type="character" w:customStyle="1" w:styleId="183">
    <w:name w:val="Char Char18"/>
    <w:autoRedefine/>
    <w:qFormat/>
    <w:uiPriority w:val="0"/>
    <w:rPr>
      <w:b/>
      <w:bCs/>
      <w:kern w:val="2"/>
      <w:sz w:val="32"/>
      <w:szCs w:val="32"/>
    </w:rPr>
  </w:style>
  <w:style w:type="character" w:customStyle="1" w:styleId="184">
    <w:name w:val="样式1 Char"/>
    <w:link w:val="185"/>
    <w:autoRedefine/>
    <w:qFormat/>
    <w:uiPriority w:val="0"/>
    <w:rPr>
      <w:rFonts w:ascii="楷体_GB2312" w:hAnsi="Calibri" w:eastAsia="楷体_GB2312"/>
      <w:kern w:val="2"/>
      <w:sz w:val="24"/>
      <w:szCs w:val="24"/>
    </w:rPr>
  </w:style>
  <w:style w:type="paragraph" w:customStyle="1" w:styleId="185">
    <w:name w:val="样式1"/>
    <w:basedOn w:val="186"/>
    <w:link w:val="184"/>
    <w:autoRedefine/>
    <w:qFormat/>
    <w:uiPriority w:val="0"/>
    <w:pPr>
      <w:spacing w:line="360" w:lineRule="auto"/>
      <w:ind w:firstLine="480"/>
    </w:pPr>
    <w:rPr>
      <w:rFonts w:ascii="楷体_GB2312" w:eastAsia="楷体_GB2312" w:cs="Times New Roman"/>
      <w:sz w:val="24"/>
      <w:szCs w:val="24"/>
    </w:rPr>
  </w:style>
  <w:style w:type="paragraph" w:customStyle="1" w:styleId="186">
    <w:name w:val="列出段落11"/>
    <w:basedOn w:val="1"/>
    <w:autoRedefine/>
    <w:qFormat/>
    <w:uiPriority w:val="34"/>
    <w:pPr>
      <w:ind w:firstLine="420" w:firstLineChars="200"/>
    </w:pPr>
    <w:rPr>
      <w:rFonts w:ascii="Calibri" w:hAnsi="Calibri" w:eastAsia="等线" w:cs="黑体"/>
      <w:szCs w:val="22"/>
    </w:rPr>
  </w:style>
  <w:style w:type="character" w:customStyle="1" w:styleId="187">
    <w:name w:val="Style3"/>
    <w:autoRedefine/>
    <w:qFormat/>
    <w:uiPriority w:val="0"/>
    <w:rPr>
      <w:rFonts w:ascii="Century Gothic" w:hAnsi="仿宋_GB2312" w:eastAsia="仿宋_GB2312" w:cs="新宋体"/>
      <w:szCs w:val="22"/>
      <w:lang w:eastAsia="zh-CN"/>
    </w:rPr>
  </w:style>
  <w:style w:type="character" w:customStyle="1" w:styleId="188">
    <w:name w:val="副标题 Char1"/>
    <w:autoRedefine/>
    <w:qFormat/>
    <w:uiPriority w:val="11"/>
    <w:rPr>
      <w:rFonts w:ascii="Cambria" w:hAnsi="Cambria" w:cs="Times New Roman"/>
      <w:b/>
      <w:bCs/>
      <w:kern w:val="28"/>
      <w:sz w:val="32"/>
      <w:szCs w:val="32"/>
    </w:rPr>
  </w:style>
  <w:style w:type="character" w:customStyle="1" w:styleId="189">
    <w:name w:val="Style4"/>
    <w:autoRedefine/>
    <w:qFormat/>
    <w:uiPriority w:val="0"/>
    <w:rPr>
      <w:rFonts w:ascii="Century Gothic" w:hAnsi="仿宋_GB2312" w:eastAsia="仿宋_GB2312" w:cs="新宋体"/>
      <w:szCs w:val="22"/>
      <w:lang w:eastAsia="zh-CN"/>
    </w:rPr>
  </w:style>
  <w:style w:type="character" w:customStyle="1" w:styleId="190">
    <w:name w:val="页眉注释 Char Char"/>
    <w:link w:val="191"/>
    <w:autoRedefine/>
    <w:qFormat/>
    <w:uiPriority w:val="0"/>
    <w:rPr>
      <w:rFonts w:ascii="华文细黑" w:hAnsi="华文细黑" w:eastAsia="华文细黑"/>
      <w:b/>
      <w:color w:val="FFFFFF"/>
      <w:kern w:val="2"/>
      <w:sz w:val="18"/>
      <w:szCs w:val="18"/>
    </w:rPr>
  </w:style>
  <w:style w:type="paragraph" w:customStyle="1" w:styleId="191">
    <w:name w:val="页眉注释"/>
    <w:basedOn w:val="1"/>
    <w:link w:val="190"/>
    <w:autoRedefine/>
    <w:qFormat/>
    <w:uiPriority w:val="0"/>
    <w:pPr>
      <w:spacing w:line="0" w:lineRule="atLeast"/>
      <w:jc w:val="center"/>
    </w:pPr>
    <w:rPr>
      <w:rFonts w:ascii="华文细黑" w:hAnsi="华文细黑" w:eastAsia="华文细黑"/>
      <w:b/>
      <w:color w:val="FFFFFF"/>
      <w:sz w:val="18"/>
      <w:szCs w:val="18"/>
    </w:rPr>
  </w:style>
  <w:style w:type="character" w:customStyle="1" w:styleId="192">
    <w:name w:val="heading 2 Char1"/>
    <w:autoRedefine/>
    <w:qFormat/>
    <w:uiPriority w:val="0"/>
    <w:rPr>
      <w:rFonts w:ascii="Verdana" w:hAnsi="Verdana" w:eastAsia="仿宋_GB2312"/>
      <w:b/>
      <w:bCs/>
      <w:kern w:val="2"/>
      <w:sz w:val="32"/>
      <w:szCs w:val="32"/>
      <w:lang w:val="en-US" w:eastAsia="zh-CN" w:bidi="ar-SA"/>
    </w:rPr>
  </w:style>
  <w:style w:type="character" w:customStyle="1" w:styleId="193">
    <w:name w:val="heading 4 Char"/>
    <w:autoRedefine/>
    <w:qFormat/>
    <w:uiPriority w:val="0"/>
    <w:rPr>
      <w:rFonts w:ascii="Tahoma" w:hAnsi="Tahoma" w:eastAsia="Helvetica" w:cs="新宋体"/>
      <w:sz w:val="21"/>
      <w:szCs w:val="21"/>
    </w:rPr>
  </w:style>
  <w:style w:type="character" w:customStyle="1" w:styleId="194">
    <w:name w:val="Char Char16"/>
    <w:autoRedefine/>
    <w:qFormat/>
    <w:uiPriority w:val="0"/>
    <w:rPr>
      <w:b/>
      <w:bCs/>
      <w:kern w:val="2"/>
      <w:sz w:val="28"/>
      <w:szCs w:val="28"/>
    </w:rPr>
  </w:style>
  <w:style w:type="character" w:customStyle="1" w:styleId="195">
    <w:name w:val="Char Char23"/>
    <w:autoRedefine/>
    <w:qFormat/>
    <w:uiPriority w:val="0"/>
    <w:rPr>
      <w:rFonts w:eastAsia="仿宋_GB2312"/>
      <w:b/>
      <w:bCs/>
      <w:kern w:val="2"/>
      <w:sz w:val="32"/>
      <w:szCs w:val="32"/>
      <w:lang w:val="en-US" w:eastAsia="zh-CN" w:bidi="ar-SA"/>
    </w:rPr>
  </w:style>
  <w:style w:type="character" w:customStyle="1" w:styleId="196">
    <w:name w:val="apple-converted-space"/>
    <w:autoRedefine/>
    <w:qFormat/>
    <w:uiPriority w:val="0"/>
  </w:style>
  <w:style w:type="character" w:customStyle="1" w:styleId="197">
    <w:name w:val="Char Char25"/>
    <w:autoRedefine/>
    <w:qFormat/>
    <w:uiPriority w:val="0"/>
    <w:rPr>
      <w:rFonts w:ascii="Arial Unicode MS" w:eastAsia="Arial Unicode MS"/>
      <w:b/>
      <w:bCs/>
      <w:kern w:val="2"/>
      <w:sz w:val="21"/>
      <w:szCs w:val="24"/>
      <w:lang w:val="en-US" w:eastAsia="zh-CN" w:bidi="ar-SA"/>
    </w:rPr>
  </w:style>
  <w:style w:type="character" w:customStyle="1" w:styleId="198">
    <w:name w:val="heading 3 Char1"/>
    <w:autoRedefine/>
    <w:qFormat/>
    <w:uiPriority w:val="0"/>
    <w:rPr>
      <w:rFonts w:eastAsia="仿宋_GB2312"/>
      <w:b/>
      <w:bCs/>
      <w:kern w:val="2"/>
      <w:sz w:val="32"/>
      <w:szCs w:val="32"/>
      <w:lang w:val="en-US" w:eastAsia="zh-CN" w:bidi="ar-SA"/>
    </w:rPr>
  </w:style>
  <w:style w:type="character" w:customStyle="1" w:styleId="199">
    <w:name w:val="不明显强调1"/>
    <w:autoRedefine/>
    <w:qFormat/>
    <w:uiPriority w:val="0"/>
    <w:rPr>
      <w:i/>
      <w:iCs/>
      <w:color w:val="808080"/>
    </w:rPr>
  </w:style>
  <w:style w:type="character" w:customStyle="1" w:styleId="200">
    <w:name w:val="pt141"/>
    <w:autoRedefine/>
    <w:qFormat/>
    <w:uiPriority w:val="0"/>
    <w:rPr>
      <w:color w:val="330066"/>
      <w:spacing w:val="450"/>
      <w:sz w:val="22"/>
      <w:szCs w:val="22"/>
    </w:rPr>
  </w:style>
  <w:style w:type="character" w:customStyle="1" w:styleId="201">
    <w:name w:val="无间隔 字符"/>
    <w:link w:val="202"/>
    <w:autoRedefine/>
    <w:qFormat/>
    <w:uiPriority w:val="1"/>
    <w:rPr>
      <w:rFonts w:ascii="Century Gothic" w:hAnsi="Century Gothic" w:eastAsia="Times New Roman"/>
      <w:sz w:val="22"/>
      <w:szCs w:val="22"/>
    </w:rPr>
  </w:style>
  <w:style w:type="paragraph" w:styleId="202">
    <w:name w:val="No Spacing"/>
    <w:link w:val="201"/>
    <w:autoRedefine/>
    <w:qFormat/>
    <w:uiPriority w:val="1"/>
    <w:rPr>
      <w:rFonts w:ascii="Century Gothic" w:hAnsi="Century Gothic" w:eastAsia="Times New Roman" w:cs="Times New Roman"/>
      <w:sz w:val="22"/>
      <w:szCs w:val="22"/>
      <w:lang w:val="en-US" w:eastAsia="zh-CN" w:bidi="ar-SA"/>
    </w:rPr>
  </w:style>
  <w:style w:type="character" w:customStyle="1" w:styleId="203">
    <w:name w:val="明显参考1"/>
    <w:autoRedefine/>
    <w:qFormat/>
    <w:uiPriority w:val="0"/>
    <w:rPr>
      <w:b/>
      <w:bCs/>
      <w:smallCaps/>
      <w:color w:val="C0504D"/>
      <w:spacing w:val="5"/>
      <w:u w:val="single"/>
    </w:rPr>
  </w:style>
  <w:style w:type="character" w:customStyle="1" w:styleId="204">
    <w:name w:val="正文文本缩进 3 字符1"/>
    <w:link w:val="50"/>
    <w:autoRedefine/>
    <w:qFormat/>
    <w:uiPriority w:val="0"/>
    <w:rPr>
      <w:kern w:val="2"/>
      <w:sz w:val="24"/>
      <w:szCs w:val="24"/>
    </w:rPr>
  </w:style>
  <w:style w:type="character" w:customStyle="1" w:styleId="205">
    <w:name w:val="样式2 Char"/>
    <w:link w:val="206"/>
    <w:autoRedefine/>
    <w:qFormat/>
    <w:uiPriority w:val="0"/>
    <w:rPr>
      <w:rFonts w:ascii="仿宋_GB2312" w:hAnsi="仿宋_GB2312" w:eastAsia="仿宋_GB2312"/>
      <w:bCs/>
      <w:kern w:val="2"/>
      <w:sz w:val="28"/>
      <w:szCs w:val="28"/>
    </w:rPr>
  </w:style>
  <w:style w:type="paragraph" w:customStyle="1" w:styleId="206">
    <w:name w:val="样式2"/>
    <w:basedOn w:val="4"/>
    <w:link w:val="205"/>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7">
    <w:name w:val="文档结构图 字符1"/>
    <w:link w:val="18"/>
    <w:autoRedefine/>
    <w:qFormat/>
    <w:uiPriority w:val="0"/>
    <w:rPr>
      <w:kern w:val="2"/>
      <w:sz w:val="21"/>
      <w:szCs w:val="24"/>
      <w:shd w:val="clear" w:color="auto" w:fill="000080"/>
    </w:rPr>
  </w:style>
  <w:style w:type="character" w:customStyle="1" w:styleId="208">
    <w:name w:val="1233 Char"/>
    <w:link w:val="209"/>
    <w:autoRedefine/>
    <w:qFormat/>
    <w:uiPriority w:val="0"/>
    <w:rPr>
      <w:rFonts w:ascii="仿宋" w:hAnsi="仿宋" w:eastAsia="仿宋"/>
      <w:b/>
      <w:bCs/>
      <w:kern w:val="44"/>
      <w:sz w:val="24"/>
      <w:szCs w:val="24"/>
    </w:rPr>
  </w:style>
  <w:style w:type="paragraph" w:customStyle="1" w:styleId="209">
    <w:name w:val="1233"/>
    <w:basedOn w:val="3"/>
    <w:link w:val="208"/>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10">
    <w:name w:val="heading 2 Char"/>
    <w:autoRedefine/>
    <w:qFormat/>
    <w:uiPriority w:val="0"/>
    <w:rPr>
      <w:rFonts w:ascii="Tahoma" w:hAnsi="Tahoma" w:eastAsia="Helvetica" w:cs="新宋体"/>
      <w:sz w:val="30"/>
      <w:szCs w:val="24"/>
    </w:rPr>
  </w:style>
  <w:style w:type="character" w:customStyle="1" w:styleId="211">
    <w:name w:val="Intense Emphasis1"/>
    <w:autoRedefine/>
    <w:qFormat/>
    <w:uiPriority w:val="0"/>
    <w:rPr>
      <w:b/>
      <w:bCs/>
      <w:i/>
      <w:iCs/>
      <w:color w:val="4F81BD"/>
    </w:rPr>
  </w:style>
  <w:style w:type="character" w:customStyle="1" w:styleId="212">
    <w:name w:val="emailstyle16"/>
    <w:autoRedefine/>
    <w:qFormat/>
    <w:uiPriority w:val="0"/>
    <w:rPr>
      <w:rFonts w:ascii="Arial" w:hAnsi="Arial" w:eastAsia="宋体" w:cs="Arial"/>
      <w:color w:val="auto"/>
      <w:kern w:val="2"/>
      <w:sz w:val="20"/>
      <w:szCs w:val="24"/>
      <w:lang w:val="en-US" w:eastAsia="zh-CN" w:bidi="ar-SA"/>
    </w:rPr>
  </w:style>
  <w:style w:type="character" w:customStyle="1" w:styleId="213">
    <w:name w:val="正文靠右 Char Char"/>
    <w:link w:val="214"/>
    <w:autoRedefine/>
    <w:qFormat/>
    <w:uiPriority w:val="0"/>
    <w:rPr>
      <w:kern w:val="2"/>
      <w:sz w:val="21"/>
      <w:szCs w:val="24"/>
    </w:rPr>
  </w:style>
  <w:style w:type="paragraph" w:customStyle="1" w:styleId="214">
    <w:name w:val="正文靠右"/>
    <w:basedOn w:val="1"/>
    <w:link w:val="213"/>
    <w:autoRedefine/>
    <w:qFormat/>
    <w:uiPriority w:val="0"/>
    <w:pPr>
      <w:jc w:val="right"/>
    </w:pPr>
  </w:style>
  <w:style w:type="character" w:customStyle="1" w:styleId="215">
    <w:name w:val="Char Char111"/>
    <w:autoRedefine/>
    <w:qFormat/>
    <w:uiPriority w:val="0"/>
    <w:rPr>
      <w:rFonts w:ascii="新宋体" w:hAnsi="新宋体" w:eastAsia="仿宋_GB2312" w:cs="新宋体"/>
      <w:sz w:val="18"/>
      <w:szCs w:val="18"/>
    </w:rPr>
  </w:style>
  <w:style w:type="character" w:customStyle="1" w:styleId="216">
    <w:name w:val="HTML 预设格式 Char1"/>
    <w:autoRedefine/>
    <w:qFormat/>
    <w:uiPriority w:val="0"/>
    <w:rPr>
      <w:rFonts w:ascii="宋体" w:hAnsi="宋体" w:cs="宋体"/>
      <w:sz w:val="24"/>
      <w:szCs w:val="24"/>
    </w:rPr>
  </w:style>
  <w:style w:type="character" w:customStyle="1" w:styleId="217">
    <w:name w:val="正文缩进 字符"/>
    <w:autoRedefine/>
    <w:qFormat/>
    <w:uiPriority w:val="0"/>
    <w:rPr>
      <w:sz w:val="28"/>
    </w:rPr>
  </w:style>
  <w:style w:type="character" w:customStyle="1" w:styleId="218">
    <w:name w:val="Style1"/>
    <w:autoRedefine/>
    <w:qFormat/>
    <w:uiPriority w:val="0"/>
    <w:rPr>
      <w:rFonts w:ascii="Century Gothic" w:hAnsi="仿宋_GB2312" w:eastAsia="仿宋_GB2312" w:cs="新宋体"/>
      <w:sz w:val="22"/>
      <w:szCs w:val="22"/>
      <w:lang w:eastAsia="zh-CN"/>
    </w:rPr>
  </w:style>
  <w:style w:type="character" w:customStyle="1" w:styleId="219">
    <w:name w:val="BZ_封面_名称 Char"/>
    <w:link w:val="220"/>
    <w:autoRedefine/>
    <w:qFormat/>
    <w:uiPriority w:val="0"/>
    <w:rPr>
      <w:rFonts w:eastAsia="黑体"/>
      <w:kern w:val="2"/>
      <w:sz w:val="44"/>
      <w:szCs w:val="44"/>
    </w:rPr>
  </w:style>
  <w:style w:type="paragraph" w:customStyle="1" w:styleId="220">
    <w:name w:val="BZ_封面_名称"/>
    <w:basedOn w:val="1"/>
    <w:link w:val="219"/>
    <w:autoRedefine/>
    <w:qFormat/>
    <w:uiPriority w:val="0"/>
    <w:pPr>
      <w:widowControl/>
      <w:jc w:val="center"/>
    </w:pPr>
    <w:rPr>
      <w:rFonts w:eastAsia="黑体"/>
      <w:sz w:val="44"/>
      <w:szCs w:val="44"/>
    </w:rPr>
  </w:style>
  <w:style w:type="character" w:customStyle="1" w:styleId="221">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22">
    <w:name w:val="kpk:3级 Char"/>
    <w:link w:val="223"/>
    <w:autoRedefine/>
    <w:qFormat/>
    <w:uiPriority w:val="0"/>
    <w:rPr>
      <w:rFonts w:ascii="黑体" w:eastAsia="黑体"/>
      <w:b/>
      <w:bCs/>
      <w:kern w:val="2"/>
      <w:sz w:val="24"/>
      <w:szCs w:val="24"/>
    </w:rPr>
  </w:style>
  <w:style w:type="paragraph" w:customStyle="1" w:styleId="223">
    <w:name w:val="kpk:3级"/>
    <w:basedOn w:val="5"/>
    <w:link w:val="222"/>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4">
    <w:name w:val="Char Char19"/>
    <w:autoRedefine/>
    <w:qFormat/>
    <w:uiPriority w:val="0"/>
    <w:rPr>
      <w:rFonts w:ascii="Tahoma" w:hAnsi="Tahoma" w:eastAsia="Helvetica"/>
      <w:sz w:val="21"/>
      <w:szCs w:val="21"/>
      <w:lang w:val="en-US" w:eastAsia="zh-CN" w:bidi="ar-SA"/>
    </w:rPr>
  </w:style>
  <w:style w:type="character" w:customStyle="1" w:styleId="225">
    <w:name w:val="Table Text Char Char"/>
    <w:autoRedefine/>
    <w:qFormat/>
    <w:uiPriority w:val="0"/>
    <w:rPr>
      <w:rFonts w:eastAsia="仿宋_GB2312"/>
      <w:sz w:val="24"/>
      <w:lang w:bidi="ar-SA"/>
    </w:rPr>
  </w:style>
  <w:style w:type="character" w:customStyle="1" w:styleId="226">
    <w:name w:val="heading 4 Char1"/>
    <w:autoRedefine/>
    <w:qFormat/>
    <w:uiPriority w:val="0"/>
    <w:rPr>
      <w:rFonts w:ascii="Verdana" w:hAnsi="Verdana" w:eastAsia="仿宋_GB2312"/>
      <w:b/>
      <w:bCs/>
      <w:kern w:val="2"/>
      <w:sz w:val="28"/>
      <w:szCs w:val="28"/>
      <w:lang w:val="en-US" w:eastAsia="zh-CN" w:bidi="ar-SA"/>
    </w:rPr>
  </w:style>
  <w:style w:type="character" w:customStyle="1" w:styleId="227">
    <w:name w:val="a61"/>
    <w:autoRedefine/>
    <w:qFormat/>
    <w:uiPriority w:val="0"/>
    <w:rPr>
      <w:rFonts w:hint="eastAsia" w:ascii="宋体" w:hAnsi="宋体" w:eastAsia="宋体"/>
      <w:kern w:val="2"/>
      <w:sz w:val="23"/>
      <w:szCs w:val="23"/>
      <w:lang w:val="en-US" w:eastAsia="zh-CN" w:bidi="ar-SA"/>
    </w:rPr>
  </w:style>
  <w:style w:type="character" w:customStyle="1" w:styleId="228">
    <w:name w:val="kpk:4级 Char1"/>
    <w:link w:val="229"/>
    <w:autoRedefine/>
    <w:qFormat/>
    <w:locked/>
    <w:uiPriority w:val="0"/>
    <w:rPr>
      <w:rFonts w:ascii="Arial" w:hAnsi="Arial" w:eastAsia="黑体"/>
      <w:bCs/>
      <w:sz w:val="24"/>
      <w:szCs w:val="28"/>
    </w:rPr>
  </w:style>
  <w:style w:type="paragraph" w:customStyle="1" w:styleId="229">
    <w:name w:val="kpk:4级"/>
    <w:basedOn w:val="6"/>
    <w:link w:val="228"/>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30">
    <w:name w:val="heading 3 Char"/>
    <w:autoRedefine/>
    <w:qFormat/>
    <w:uiPriority w:val="0"/>
    <w:rPr>
      <w:rFonts w:ascii="Tahoma" w:hAnsi="Tahoma" w:eastAsia="Helvetica"/>
      <w:sz w:val="28"/>
      <w:szCs w:val="24"/>
    </w:rPr>
  </w:style>
  <w:style w:type="character" w:customStyle="1" w:styleId="231">
    <w:name w:val="heading 4 Char2"/>
    <w:autoRedefine/>
    <w:qFormat/>
    <w:uiPriority w:val="0"/>
    <w:rPr>
      <w:rFonts w:ascii="Verdana" w:hAnsi="Verdana"/>
      <w:b/>
      <w:bCs/>
      <w:kern w:val="2"/>
      <w:sz w:val="28"/>
      <w:szCs w:val="28"/>
    </w:rPr>
  </w:style>
  <w:style w:type="character" w:customStyle="1" w:styleId="232">
    <w:name w:val="样式 标题 3 + 黑体 小四 Char Char"/>
    <w:autoRedefine/>
    <w:qFormat/>
    <w:uiPriority w:val="0"/>
    <w:rPr>
      <w:rFonts w:ascii="Helvetica" w:hAnsi="Tahoma" w:eastAsia="Helvetica"/>
      <w:bCs/>
      <w:sz w:val="24"/>
      <w:szCs w:val="24"/>
      <w:lang w:bidi="ar-SA"/>
    </w:rPr>
  </w:style>
  <w:style w:type="character" w:customStyle="1" w:styleId="233">
    <w:name w:val="四级标题 Char"/>
    <w:link w:val="234"/>
    <w:autoRedefine/>
    <w:qFormat/>
    <w:uiPriority w:val="0"/>
    <w:rPr>
      <w:rFonts w:eastAsia="黑体"/>
      <w:b/>
      <w:kern w:val="2"/>
      <w:sz w:val="28"/>
      <w:szCs w:val="22"/>
    </w:rPr>
  </w:style>
  <w:style w:type="paragraph" w:customStyle="1" w:styleId="234">
    <w:name w:val="四级标题"/>
    <w:basedOn w:val="1"/>
    <w:link w:val="233"/>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5">
    <w:name w:val="标题 4 字符"/>
    <w:autoRedefine/>
    <w:qFormat/>
    <w:uiPriority w:val="0"/>
    <w:rPr>
      <w:rFonts w:eastAsia="楷体_GB2312"/>
      <w:b/>
      <w:snapToGrid/>
      <w:sz w:val="28"/>
    </w:rPr>
  </w:style>
  <w:style w:type="character" w:customStyle="1" w:styleId="236">
    <w:name w:val="heading 5 Char2"/>
    <w:autoRedefine/>
    <w:qFormat/>
    <w:uiPriority w:val="0"/>
    <w:rPr>
      <w:b/>
      <w:bCs/>
      <w:kern w:val="2"/>
      <w:sz w:val="28"/>
      <w:szCs w:val="28"/>
    </w:rPr>
  </w:style>
  <w:style w:type="character" w:customStyle="1" w:styleId="237">
    <w:name w:val="书籍标题1"/>
    <w:autoRedefine/>
    <w:qFormat/>
    <w:uiPriority w:val="0"/>
    <w:rPr>
      <w:b/>
      <w:bCs/>
      <w:smallCaps/>
      <w:spacing w:val="5"/>
    </w:rPr>
  </w:style>
  <w:style w:type="character" w:customStyle="1" w:styleId="238">
    <w:name w:val="Ò³Ã¼ Char Char2"/>
    <w:autoRedefine/>
    <w:qFormat/>
    <w:uiPriority w:val="0"/>
    <w:rPr>
      <w:kern w:val="2"/>
      <w:sz w:val="18"/>
      <w:szCs w:val="18"/>
    </w:rPr>
  </w:style>
  <w:style w:type="character" w:customStyle="1" w:styleId="239">
    <w:name w:val="不明显参考1"/>
    <w:autoRedefine/>
    <w:qFormat/>
    <w:uiPriority w:val="0"/>
    <w:rPr>
      <w:smallCaps/>
      <w:color w:val="C0504D"/>
      <w:u w:val="single"/>
    </w:rPr>
  </w:style>
  <w:style w:type="character" w:customStyle="1" w:styleId="240">
    <w:name w:val="标题 6 字符"/>
    <w:autoRedefine/>
    <w:qFormat/>
    <w:uiPriority w:val="0"/>
    <w:rPr>
      <w:rFonts w:ascii="Arial" w:hAnsi="Arial" w:eastAsia="黑体"/>
      <w:spacing w:val="20"/>
      <w:kern w:val="2"/>
      <w:sz w:val="28"/>
    </w:rPr>
  </w:style>
  <w:style w:type="character" w:customStyle="1" w:styleId="241">
    <w:name w:val="A3 Char Char"/>
    <w:autoRedefine/>
    <w:qFormat/>
    <w:uiPriority w:val="0"/>
    <w:rPr>
      <w:rFonts w:eastAsia="宋体"/>
      <w:b/>
      <w:bCs/>
      <w:sz w:val="32"/>
      <w:szCs w:val="32"/>
      <w:lang w:bidi="ar-SA"/>
    </w:rPr>
  </w:style>
  <w:style w:type="character" w:customStyle="1" w:styleId="242">
    <w:name w:val="Footer-Even Char"/>
    <w:autoRedefine/>
    <w:qFormat/>
    <w:uiPriority w:val="0"/>
    <w:rPr>
      <w:sz w:val="18"/>
      <w:szCs w:val="18"/>
    </w:rPr>
  </w:style>
  <w:style w:type="character" w:customStyle="1" w:styleId="243">
    <w:name w:val="标题 8 字符"/>
    <w:autoRedefine/>
    <w:qFormat/>
    <w:uiPriority w:val="0"/>
    <w:rPr>
      <w:rFonts w:ascii="Arial" w:hAnsi="Arial" w:eastAsia="黑体"/>
      <w:kern w:val="2"/>
      <w:sz w:val="24"/>
      <w:vertAlign w:val="superscript"/>
    </w:rPr>
  </w:style>
  <w:style w:type="character" w:customStyle="1" w:styleId="244">
    <w:name w:val="content_title1"/>
    <w:autoRedefine/>
    <w:qFormat/>
    <w:uiPriority w:val="0"/>
    <w:rPr>
      <w:rFonts w:eastAsia="宋体"/>
      <w:color w:val="9A1601"/>
      <w:kern w:val="2"/>
      <w:sz w:val="21"/>
      <w:szCs w:val="21"/>
      <w:lang w:val="en-US" w:eastAsia="zh-CN" w:bidi="ar-SA"/>
    </w:rPr>
  </w:style>
  <w:style w:type="character" w:customStyle="1" w:styleId="245">
    <w:name w:val="正文文本 2 Char"/>
    <w:autoRedefine/>
    <w:qFormat/>
    <w:uiPriority w:val="0"/>
    <w:rPr>
      <w:rFonts w:ascii="等线" w:hAnsi="等线" w:eastAsia="等线" w:cs="等线"/>
    </w:rPr>
  </w:style>
  <w:style w:type="character" w:customStyle="1" w:styleId="246">
    <w:name w:val="标题 7 字符"/>
    <w:autoRedefine/>
    <w:qFormat/>
    <w:uiPriority w:val="0"/>
    <w:rPr>
      <w:b/>
      <w:kern w:val="2"/>
      <w:sz w:val="24"/>
      <w:vertAlign w:val="superscript"/>
    </w:rPr>
  </w:style>
  <w:style w:type="character" w:customStyle="1" w:styleId="247">
    <w:name w:val="Char Char6"/>
    <w:autoRedefine/>
    <w:qFormat/>
    <w:uiPriority w:val="0"/>
    <w:rPr>
      <w:rFonts w:ascii="新宋体" w:hAnsi="新宋体" w:eastAsia="仿宋_GB2312" w:cs="新宋体"/>
      <w:szCs w:val="24"/>
    </w:rPr>
  </w:style>
  <w:style w:type="character" w:customStyle="1" w:styleId="248">
    <w:name w:val="标题 5 字符"/>
    <w:autoRedefine/>
    <w:qFormat/>
    <w:uiPriority w:val="0"/>
    <w:rPr>
      <w:kern w:val="2"/>
      <w:sz w:val="28"/>
    </w:rPr>
  </w:style>
  <w:style w:type="character" w:customStyle="1" w:styleId="249">
    <w:name w:val="smalltxt1"/>
    <w:autoRedefine/>
    <w:qFormat/>
    <w:uiPriority w:val="0"/>
    <w:rPr>
      <w:rFonts w:hint="default" w:ascii="宋体,Verdana,Arial" w:hAnsi="宋体,Verdana,Arial"/>
      <w:sz w:val="24"/>
      <w:szCs w:val="24"/>
    </w:rPr>
  </w:style>
  <w:style w:type="character" w:customStyle="1" w:styleId="250">
    <w:name w:val="正文居中 Char Char"/>
    <w:link w:val="251"/>
    <w:autoRedefine/>
    <w:qFormat/>
    <w:uiPriority w:val="0"/>
    <w:rPr>
      <w:kern w:val="2"/>
      <w:sz w:val="21"/>
      <w:szCs w:val="24"/>
    </w:rPr>
  </w:style>
  <w:style w:type="paragraph" w:customStyle="1" w:styleId="251">
    <w:name w:val="正文居中"/>
    <w:basedOn w:val="1"/>
    <w:link w:val="250"/>
    <w:autoRedefine/>
    <w:qFormat/>
    <w:uiPriority w:val="0"/>
    <w:pPr>
      <w:jc w:val="center"/>
    </w:pPr>
  </w:style>
  <w:style w:type="character" w:customStyle="1" w:styleId="252">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3">
    <w:name w:val="heading 6 Char1"/>
    <w:autoRedefine/>
    <w:qFormat/>
    <w:uiPriority w:val="0"/>
    <w:rPr>
      <w:rFonts w:ascii="Tahoma" w:hAnsi="Tahoma" w:eastAsia="Helvetica"/>
      <w:kern w:val="2"/>
      <w:sz w:val="24"/>
      <w:szCs w:val="24"/>
      <w:lang w:val="en-US" w:eastAsia="zh-CN" w:bidi="ar-SA"/>
    </w:rPr>
  </w:style>
  <w:style w:type="character" w:customStyle="1" w:styleId="254">
    <w:name w:val="正文文本缩进 2 字符"/>
    <w:autoRedefine/>
    <w:qFormat/>
    <w:uiPriority w:val="0"/>
    <w:rPr>
      <w:sz w:val="28"/>
    </w:rPr>
  </w:style>
  <w:style w:type="character" w:customStyle="1" w:styleId="255">
    <w:name w:val="正文文本缩进 字符"/>
    <w:autoRedefine/>
    <w:qFormat/>
    <w:uiPriority w:val="0"/>
    <w:rPr>
      <w:sz w:val="28"/>
    </w:rPr>
  </w:style>
  <w:style w:type="character" w:customStyle="1" w:styleId="256">
    <w:name w:val="t11"/>
    <w:autoRedefine/>
    <w:qFormat/>
    <w:uiPriority w:val="0"/>
    <w:rPr>
      <w:rFonts w:eastAsia="宋体"/>
      <w:color w:val="333333"/>
      <w:kern w:val="2"/>
      <w:sz w:val="18"/>
      <w:szCs w:val="18"/>
      <w:lang w:val="en-US" w:eastAsia="zh-CN" w:bidi="ar-SA"/>
    </w:rPr>
  </w:style>
  <w:style w:type="character" w:customStyle="1" w:styleId="257">
    <w:name w:val="正文文本 Char Char"/>
    <w:autoRedefine/>
    <w:qFormat/>
    <w:uiPriority w:val="0"/>
    <w:rPr>
      <w:rFonts w:ascii="Times New Roman" w:hAnsi="Times New Roman"/>
      <w:kern w:val="2"/>
      <w:sz w:val="21"/>
      <w:szCs w:val="24"/>
    </w:rPr>
  </w:style>
  <w:style w:type="character" w:customStyle="1" w:styleId="258">
    <w:name w:val="引用 Char"/>
    <w:autoRedefine/>
    <w:qFormat/>
    <w:uiPriority w:val="0"/>
    <w:rPr>
      <w:rFonts w:ascii="Century Gothic" w:hAnsi="Century Gothic" w:eastAsia="仿宋_GB2312"/>
      <w:i/>
      <w:iCs/>
      <w:color w:val="000000"/>
    </w:rPr>
  </w:style>
  <w:style w:type="paragraph" w:styleId="259">
    <w:name w:val="Quote"/>
    <w:basedOn w:val="1"/>
    <w:next w:val="1"/>
    <w:link w:val="459"/>
    <w:autoRedefine/>
    <w:qFormat/>
    <w:uiPriority w:val="0"/>
    <w:rPr>
      <w:rFonts w:ascii="Century Gothic" w:hAnsi="Century Gothic" w:eastAsia="仿宋_GB2312"/>
      <w:i/>
      <w:iCs/>
      <w:color w:val="000000"/>
      <w:kern w:val="0"/>
      <w:sz w:val="20"/>
      <w:szCs w:val="20"/>
    </w:rPr>
  </w:style>
  <w:style w:type="character" w:customStyle="1" w:styleId="260">
    <w:name w:val="Plain Text Char"/>
    <w:autoRedefine/>
    <w:qFormat/>
    <w:uiPriority w:val="0"/>
    <w:rPr>
      <w:rFonts w:ascii="仿宋_GB2312" w:hAnsi="Wingdings" w:eastAsia="仿宋_GB2312" w:cs="新宋体"/>
      <w:sz w:val="21"/>
      <w:szCs w:val="21"/>
    </w:rPr>
  </w:style>
  <w:style w:type="character" w:customStyle="1" w:styleId="261">
    <w:name w:val="A4 Char Char"/>
    <w:autoRedefine/>
    <w:qFormat/>
    <w:uiPriority w:val="0"/>
    <w:rPr>
      <w:rFonts w:ascii="Cambria" w:hAnsi="Cambria" w:eastAsia="宋体"/>
      <w:b/>
      <w:bCs/>
      <w:sz w:val="28"/>
      <w:szCs w:val="28"/>
    </w:rPr>
  </w:style>
  <w:style w:type="character" w:customStyle="1" w:styleId="262">
    <w:name w:val="正文4 Char"/>
    <w:autoRedefine/>
    <w:qFormat/>
    <w:uiPriority w:val="0"/>
    <w:rPr>
      <w:rFonts w:ascii="新宋体" w:hAnsi="新宋体" w:eastAsia="宋体" w:cs="新宋体"/>
      <w:kern w:val="2"/>
      <w:sz w:val="24"/>
      <w:szCs w:val="24"/>
      <w:lang w:val="en-US" w:eastAsia="zh-CN" w:bidi="ar-SA"/>
    </w:rPr>
  </w:style>
  <w:style w:type="character" w:customStyle="1" w:styleId="263">
    <w:name w:val="heading 5 Char1"/>
    <w:autoRedefine/>
    <w:qFormat/>
    <w:uiPriority w:val="0"/>
    <w:rPr>
      <w:rFonts w:eastAsia="仿宋_GB2312"/>
      <w:b/>
      <w:bCs/>
      <w:kern w:val="2"/>
      <w:sz w:val="28"/>
      <w:szCs w:val="28"/>
      <w:lang w:val="en-US" w:eastAsia="zh-CN" w:bidi="ar-SA"/>
    </w:rPr>
  </w:style>
  <w:style w:type="character" w:customStyle="1" w:styleId="264">
    <w:name w:val="Char Char22"/>
    <w:autoRedefine/>
    <w:qFormat/>
    <w:uiPriority w:val="0"/>
    <w:rPr>
      <w:rFonts w:ascii="Tahoma" w:hAnsi="Tahoma" w:eastAsia="Helvetica"/>
      <w:b/>
      <w:bCs/>
      <w:kern w:val="44"/>
      <w:sz w:val="30"/>
      <w:szCs w:val="44"/>
      <w:lang w:val="en-US" w:eastAsia="zh-CN" w:bidi="ar-SA"/>
    </w:rPr>
  </w:style>
  <w:style w:type="character" w:customStyle="1" w:styleId="265">
    <w:name w:val="表格 Char Char"/>
    <w:link w:val="77"/>
    <w:autoRedefine/>
    <w:qFormat/>
    <w:uiPriority w:val="0"/>
    <w:rPr>
      <w:rFonts w:ascii="仿宋_GB2312" w:hAnsi="仿宋_GB2312" w:eastAsia="仿宋_GB2312"/>
    </w:rPr>
  </w:style>
  <w:style w:type="character" w:customStyle="1" w:styleId="266">
    <w:name w:val="一级标题 Char"/>
    <w:link w:val="267"/>
    <w:autoRedefine/>
    <w:qFormat/>
    <w:uiPriority w:val="0"/>
    <w:rPr>
      <w:rFonts w:ascii="黑体" w:eastAsia="华文中宋"/>
      <w:b/>
      <w:kern w:val="44"/>
      <w:sz w:val="36"/>
      <w:szCs w:val="44"/>
    </w:rPr>
  </w:style>
  <w:style w:type="paragraph" w:customStyle="1" w:styleId="267">
    <w:name w:val="一级标题"/>
    <w:basedOn w:val="3"/>
    <w:link w:val="266"/>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字符1"/>
    <w:link w:val="40"/>
    <w:autoRedefine/>
    <w:qFormat/>
    <w:uiPriority w:val="0"/>
    <w:rPr>
      <w:kern w:val="2"/>
      <w:sz w:val="18"/>
      <w:szCs w:val="18"/>
    </w:rPr>
  </w:style>
  <w:style w:type="character" w:customStyle="1" w:styleId="269">
    <w:name w:val="正文（小四+1.25倍行距） Char"/>
    <w:link w:val="270"/>
    <w:autoRedefine/>
    <w:qFormat/>
    <w:uiPriority w:val="0"/>
    <w:rPr>
      <w:sz w:val="24"/>
      <w:szCs w:val="24"/>
    </w:rPr>
  </w:style>
  <w:style w:type="paragraph" w:customStyle="1" w:styleId="270">
    <w:name w:val="正文（小四+1.25倍行距）"/>
    <w:basedOn w:val="1"/>
    <w:link w:val="269"/>
    <w:autoRedefine/>
    <w:qFormat/>
    <w:uiPriority w:val="0"/>
    <w:pPr>
      <w:spacing w:afterLines="50" w:line="300" w:lineRule="auto"/>
      <w:ind w:firstLine="420"/>
    </w:pPr>
    <w:rPr>
      <w:kern w:val="0"/>
      <w:sz w:val="24"/>
    </w:rPr>
  </w:style>
  <w:style w:type="character" w:customStyle="1" w:styleId="271">
    <w:name w:val="Ò³Ã¼ Char Char1"/>
    <w:autoRedefine/>
    <w:qFormat/>
    <w:uiPriority w:val="0"/>
    <w:rPr>
      <w:rFonts w:eastAsia="仿宋_GB2312"/>
      <w:kern w:val="2"/>
      <w:sz w:val="18"/>
      <w:szCs w:val="18"/>
      <w:lang w:val="en-US" w:eastAsia="zh-CN" w:bidi="ar-SA"/>
    </w:rPr>
  </w:style>
  <w:style w:type="character" w:customStyle="1" w:styleId="272">
    <w:name w:val="正文首行缩进 字符"/>
    <w:basedOn w:val="273"/>
    <w:autoRedefine/>
    <w:qFormat/>
    <w:uiPriority w:val="0"/>
    <w:rPr>
      <w:rFonts w:ascii="宋体"/>
      <w:sz w:val="21"/>
    </w:rPr>
  </w:style>
  <w:style w:type="character" w:customStyle="1" w:styleId="273">
    <w:name w:val="正文文本 字符"/>
    <w:autoRedefine/>
    <w:qFormat/>
    <w:uiPriority w:val="0"/>
    <w:rPr>
      <w:rFonts w:ascii="宋体"/>
      <w:sz w:val="21"/>
    </w:rPr>
  </w:style>
  <w:style w:type="character" w:customStyle="1" w:styleId="274">
    <w:name w:val="信息标题 Char"/>
    <w:autoRedefine/>
    <w:qFormat/>
    <w:uiPriority w:val="0"/>
    <w:rPr>
      <w:rFonts w:eastAsia="仿宋_GB2312"/>
      <w:kern w:val="2"/>
      <w:sz w:val="21"/>
      <w:szCs w:val="24"/>
      <w:shd w:val="pct20" w:color="auto" w:fill="auto"/>
    </w:rPr>
  </w:style>
  <w:style w:type="character" w:customStyle="1" w:styleId="275">
    <w:name w:val="A4 Char"/>
    <w:link w:val="276"/>
    <w:autoRedefine/>
    <w:qFormat/>
    <w:uiPriority w:val="0"/>
    <w:rPr>
      <w:rFonts w:ascii="Cambria" w:hAnsi="Cambria" w:cs="新宋体"/>
      <w:b/>
      <w:bCs/>
      <w:sz w:val="28"/>
      <w:szCs w:val="28"/>
    </w:rPr>
  </w:style>
  <w:style w:type="paragraph" w:customStyle="1" w:styleId="276">
    <w:name w:val="A4"/>
    <w:basedOn w:val="6"/>
    <w:link w:val="275"/>
    <w:autoRedefine/>
    <w:qFormat/>
    <w:uiPriority w:val="0"/>
    <w:pPr>
      <w:spacing w:line="377" w:lineRule="auto"/>
      <w:jc w:val="left"/>
    </w:pPr>
    <w:rPr>
      <w:rFonts w:cs="新宋体"/>
      <w:kern w:val="0"/>
    </w:rPr>
  </w:style>
  <w:style w:type="character" w:customStyle="1" w:styleId="277">
    <w:name w:val="Char Char61"/>
    <w:autoRedefine/>
    <w:qFormat/>
    <w:uiPriority w:val="0"/>
    <w:rPr>
      <w:rFonts w:ascii="新宋体" w:hAnsi="新宋体" w:eastAsia="仿宋_GB2312" w:cs="新宋体"/>
      <w:szCs w:val="24"/>
    </w:rPr>
  </w:style>
  <w:style w:type="character" w:customStyle="1" w:styleId="278">
    <w:name w:val="符号正文缩进 Char Char"/>
    <w:link w:val="279"/>
    <w:autoRedefine/>
    <w:qFormat/>
    <w:uiPriority w:val="0"/>
    <w:rPr>
      <w:kern w:val="2"/>
      <w:sz w:val="24"/>
      <w:szCs w:val="24"/>
    </w:rPr>
  </w:style>
  <w:style w:type="paragraph" w:customStyle="1" w:styleId="279">
    <w:name w:val="符号正文缩进"/>
    <w:basedOn w:val="15"/>
    <w:link w:val="278"/>
    <w:autoRedefine/>
    <w:qFormat/>
    <w:uiPriority w:val="0"/>
    <w:pPr>
      <w:tabs>
        <w:tab w:val="left" w:pos="1497"/>
      </w:tabs>
      <w:spacing w:line="400" w:lineRule="atLeast"/>
      <w:ind w:left="567" w:firstLine="510"/>
    </w:pPr>
    <w:rPr>
      <w:kern w:val="2"/>
      <w:sz w:val="24"/>
      <w:szCs w:val="24"/>
    </w:rPr>
  </w:style>
  <w:style w:type="character" w:customStyle="1" w:styleId="280">
    <w:name w:val="Char Char11"/>
    <w:autoRedefine/>
    <w:qFormat/>
    <w:uiPriority w:val="0"/>
    <w:rPr>
      <w:rFonts w:ascii="新宋体" w:hAnsi="新宋体" w:eastAsia="仿宋_GB2312" w:cs="新宋体"/>
      <w:sz w:val="18"/>
      <w:szCs w:val="18"/>
    </w:rPr>
  </w:style>
  <w:style w:type="character" w:customStyle="1" w:styleId="281">
    <w:name w:val="heading 1 Char2"/>
    <w:autoRedefine/>
    <w:qFormat/>
    <w:uiPriority w:val="0"/>
    <w:rPr>
      <w:b/>
      <w:bCs/>
      <w:kern w:val="44"/>
      <w:sz w:val="44"/>
      <w:szCs w:val="44"/>
    </w:rPr>
  </w:style>
  <w:style w:type="character" w:customStyle="1" w:styleId="282">
    <w:name w:val="Char Char13"/>
    <w:basedOn w:val="65"/>
    <w:autoRedefine/>
    <w:qFormat/>
    <w:uiPriority w:val="0"/>
    <w:rPr>
      <w:rFonts w:ascii="Times New Roman" w:hAnsi="Times New Roman" w:eastAsia="宋体" w:cs="Times New Roman"/>
      <w:b/>
      <w:bCs/>
      <w:color w:val="auto"/>
      <w:kern w:val="2"/>
      <w:szCs w:val="20"/>
    </w:rPr>
  </w:style>
  <w:style w:type="character" w:customStyle="1" w:styleId="283">
    <w:name w:val="heading 7 Char1"/>
    <w:autoRedefine/>
    <w:qFormat/>
    <w:uiPriority w:val="0"/>
    <w:rPr>
      <w:rFonts w:ascii="Tahoma" w:hAnsi="Tahoma" w:eastAsia="Helvetica"/>
      <w:sz w:val="21"/>
      <w:szCs w:val="21"/>
      <w:lang w:val="en-US" w:eastAsia="zh-CN" w:bidi="ar-SA"/>
    </w:rPr>
  </w:style>
  <w:style w:type="character" w:customStyle="1" w:styleId="284">
    <w:name w:val="Style2"/>
    <w:autoRedefine/>
    <w:qFormat/>
    <w:uiPriority w:val="0"/>
    <w:rPr>
      <w:rFonts w:ascii="Century Gothic" w:hAnsi="仿宋_GB2312" w:eastAsia="仿宋_GB2312" w:cs="新宋体"/>
      <w:sz w:val="22"/>
      <w:szCs w:val="22"/>
      <w:lang w:eastAsia="zh-CN"/>
    </w:rPr>
  </w:style>
  <w:style w:type="character" w:customStyle="1" w:styleId="285">
    <w:name w:val="blue1"/>
    <w:basedOn w:val="65"/>
    <w:autoRedefine/>
    <w:qFormat/>
    <w:uiPriority w:val="0"/>
  </w:style>
  <w:style w:type="character" w:customStyle="1" w:styleId="286">
    <w:name w:val="style111"/>
    <w:autoRedefine/>
    <w:qFormat/>
    <w:uiPriority w:val="0"/>
    <w:rPr>
      <w:sz w:val="27"/>
      <w:szCs w:val="27"/>
    </w:rPr>
  </w:style>
  <w:style w:type="character" w:customStyle="1" w:styleId="287">
    <w:name w:val="emailstyle15"/>
    <w:autoRedefine/>
    <w:qFormat/>
    <w:uiPriority w:val="0"/>
    <w:rPr>
      <w:rFonts w:ascii="Arial" w:hAnsi="Arial" w:eastAsia="宋体" w:cs="Arial"/>
      <w:color w:val="auto"/>
      <w:kern w:val="2"/>
      <w:sz w:val="20"/>
      <w:szCs w:val="24"/>
      <w:lang w:val="en-US" w:eastAsia="zh-CN" w:bidi="ar-SA"/>
    </w:rPr>
  </w:style>
  <w:style w:type="character" w:customStyle="1" w:styleId="288">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9">
    <w:name w:val="font01"/>
    <w:basedOn w:val="65"/>
    <w:autoRedefine/>
    <w:qFormat/>
    <w:uiPriority w:val="0"/>
    <w:rPr>
      <w:rFonts w:hint="eastAsia" w:ascii="宋体" w:hAnsi="宋体" w:eastAsia="宋体" w:cs="宋体"/>
      <w:color w:val="000000"/>
      <w:sz w:val="18"/>
      <w:szCs w:val="18"/>
      <w:u w:val="none"/>
      <w:vertAlign w:val="superscript"/>
    </w:rPr>
  </w:style>
  <w:style w:type="character" w:customStyle="1" w:styleId="290">
    <w:name w:val="Char Char21"/>
    <w:autoRedefine/>
    <w:qFormat/>
    <w:uiPriority w:val="0"/>
    <w:rPr>
      <w:rFonts w:ascii="新宋体" w:hAnsi="新宋体" w:eastAsia="仿宋_GB2312" w:cs="新宋体"/>
      <w:b/>
      <w:bCs/>
      <w:kern w:val="44"/>
      <w:sz w:val="44"/>
      <w:szCs w:val="44"/>
    </w:rPr>
  </w:style>
  <w:style w:type="character" w:customStyle="1" w:styleId="291">
    <w:name w:val="Char Char24"/>
    <w:autoRedefine/>
    <w:qFormat/>
    <w:uiPriority w:val="0"/>
    <w:rPr>
      <w:rFonts w:ascii="Verdana" w:hAnsi="Verdana" w:eastAsia="仿宋_GB2312"/>
      <w:b/>
      <w:bCs/>
      <w:kern w:val="2"/>
      <w:sz w:val="32"/>
      <w:szCs w:val="32"/>
      <w:lang w:val="en-US" w:eastAsia="zh-CN" w:bidi="ar-SA"/>
    </w:rPr>
  </w:style>
  <w:style w:type="character" w:customStyle="1" w:styleId="292">
    <w:name w:val="Char Char181"/>
    <w:autoRedefine/>
    <w:qFormat/>
    <w:uiPriority w:val="0"/>
    <w:rPr>
      <w:rFonts w:ascii="Tahoma" w:hAnsi="Tahoma" w:eastAsia="Helvetica"/>
      <w:sz w:val="24"/>
      <w:lang w:val="en-US" w:eastAsia="zh-CN" w:bidi="ar-SA"/>
    </w:rPr>
  </w:style>
  <w:style w:type="character" w:customStyle="1" w:styleId="293">
    <w:name w:val="heading 5 Char"/>
    <w:autoRedefine/>
    <w:qFormat/>
    <w:uiPriority w:val="0"/>
    <w:rPr>
      <w:rFonts w:ascii="Tahoma" w:hAnsi="Tahoma" w:eastAsia="Helvetica"/>
      <w:sz w:val="21"/>
      <w:szCs w:val="21"/>
    </w:rPr>
  </w:style>
  <w:style w:type="character" w:customStyle="1" w:styleId="294">
    <w:name w:val="heading 3 Char2"/>
    <w:autoRedefine/>
    <w:qFormat/>
    <w:uiPriority w:val="0"/>
    <w:rPr>
      <w:b/>
      <w:bCs/>
      <w:kern w:val="2"/>
      <w:sz w:val="32"/>
      <w:szCs w:val="32"/>
    </w:rPr>
  </w:style>
  <w:style w:type="character" w:customStyle="1" w:styleId="295">
    <w:name w:val="列出段落 Char1"/>
    <w:autoRedefine/>
    <w:qFormat/>
    <w:uiPriority w:val="0"/>
    <w:rPr>
      <w:kern w:val="2"/>
      <w:sz w:val="21"/>
      <w:szCs w:val="24"/>
    </w:rPr>
  </w:style>
  <w:style w:type="character" w:customStyle="1" w:styleId="296">
    <w:name w:val="Footer-Even Char2"/>
    <w:autoRedefine/>
    <w:qFormat/>
    <w:uiPriority w:val="0"/>
    <w:rPr>
      <w:kern w:val="2"/>
      <w:sz w:val="18"/>
      <w:szCs w:val="18"/>
    </w:rPr>
  </w:style>
  <w:style w:type="character" w:customStyle="1" w:styleId="297">
    <w:name w:val="heading 1 Char1"/>
    <w:autoRedefine/>
    <w:qFormat/>
    <w:uiPriority w:val="0"/>
    <w:rPr>
      <w:rFonts w:eastAsia="仿宋_GB2312"/>
      <w:b/>
      <w:bCs/>
      <w:kern w:val="44"/>
      <w:sz w:val="44"/>
      <w:szCs w:val="44"/>
      <w:lang w:val="en-US" w:eastAsia="zh-CN" w:bidi="ar-SA"/>
    </w:rPr>
  </w:style>
  <w:style w:type="character" w:customStyle="1" w:styleId="298">
    <w:name w:val="kpk:正文 Char"/>
    <w:link w:val="299"/>
    <w:autoRedefine/>
    <w:qFormat/>
    <w:uiPriority w:val="0"/>
    <w:rPr>
      <w:rFonts w:ascii="宋体" w:hAnsi="宋体"/>
      <w:kern w:val="2"/>
      <w:sz w:val="24"/>
      <w:szCs w:val="24"/>
      <w:lang w:val="en-GB"/>
    </w:rPr>
  </w:style>
  <w:style w:type="paragraph" w:customStyle="1" w:styleId="299">
    <w:name w:val="kpk:正文"/>
    <w:basedOn w:val="1"/>
    <w:link w:val="298"/>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autoRedefine/>
    <w:qFormat/>
    <w:uiPriority w:val="0"/>
    <w:rPr>
      <w:kern w:val="2"/>
      <w:sz w:val="21"/>
      <w:szCs w:val="22"/>
    </w:rPr>
  </w:style>
  <w:style w:type="paragraph" w:customStyle="1" w:styleId="301">
    <w:name w:val="彩色列表 - 强调文字颜色 11"/>
    <w:basedOn w:val="1"/>
    <w:link w:val="300"/>
    <w:autoRedefine/>
    <w:qFormat/>
    <w:uiPriority w:val="0"/>
    <w:pPr>
      <w:ind w:firstLine="420" w:firstLineChars="200"/>
    </w:pPr>
    <w:rPr>
      <w:szCs w:val="22"/>
    </w:rPr>
  </w:style>
  <w:style w:type="character" w:customStyle="1" w:styleId="302">
    <w:name w:val="A3 Char"/>
    <w:link w:val="303"/>
    <w:autoRedefine/>
    <w:qFormat/>
    <w:uiPriority w:val="0"/>
    <w:rPr>
      <w:b/>
      <w:bCs/>
      <w:sz w:val="32"/>
      <w:szCs w:val="32"/>
    </w:rPr>
  </w:style>
  <w:style w:type="paragraph" w:customStyle="1" w:styleId="303">
    <w:name w:val="A3"/>
    <w:basedOn w:val="5"/>
    <w:link w:val="302"/>
    <w:autoRedefine/>
    <w:qFormat/>
    <w:uiPriority w:val="0"/>
    <w:pPr>
      <w:spacing w:before="0" w:after="0" w:line="415" w:lineRule="auto"/>
      <w:ind w:left="720" w:hanging="720"/>
      <w:jc w:val="left"/>
    </w:pPr>
    <w:rPr>
      <w:kern w:val="0"/>
    </w:rPr>
  </w:style>
  <w:style w:type="character" w:customStyle="1" w:styleId="304">
    <w:name w:val="批注框文本 字符"/>
    <w:autoRedefine/>
    <w:semiHidden/>
    <w:qFormat/>
    <w:uiPriority w:val="0"/>
    <w:rPr>
      <w:sz w:val="18"/>
      <w:szCs w:val="18"/>
    </w:rPr>
  </w:style>
  <w:style w:type="character" w:customStyle="1" w:styleId="305">
    <w:name w:val="正文文本缩进 2 字符1"/>
    <w:link w:val="38"/>
    <w:autoRedefine/>
    <w:qFormat/>
    <w:uiPriority w:val="0"/>
    <w:rPr>
      <w:kern w:val="2"/>
      <w:sz w:val="24"/>
      <w:szCs w:val="24"/>
    </w:rPr>
  </w:style>
  <w:style w:type="character" w:customStyle="1" w:styleId="306">
    <w:name w:val="Table Text Char"/>
    <w:link w:val="307"/>
    <w:autoRedefine/>
    <w:qFormat/>
    <w:uiPriority w:val="0"/>
    <w:rPr>
      <w:rFonts w:eastAsia="仿宋_GB2312"/>
      <w:sz w:val="24"/>
    </w:rPr>
  </w:style>
  <w:style w:type="paragraph" w:customStyle="1" w:styleId="307">
    <w:name w:val="Table Text"/>
    <w:basedOn w:val="1"/>
    <w:link w:val="306"/>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autoRedefine/>
    <w:qFormat/>
    <w:uiPriority w:val="0"/>
    <w:rPr>
      <w:rFonts w:ascii="Arial" w:hAnsi="Arial"/>
      <w:kern w:val="2"/>
      <w:sz w:val="24"/>
      <w:szCs w:val="21"/>
      <w:lang w:bidi="ar-SA"/>
    </w:rPr>
  </w:style>
  <w:style w:type="character" w:customStyle="1" w:styleId="309">
    <w:name w:val="BZ_四级标题 Char"/>
    <w:link w:val="163"/>
    <w:autoRedefine/>
    <w:qFormat/>
    <w:uiPriority w:val="0"/>
    <w:rPr>
      <w:rFonts w:eastAsia="黑体"/>
      <w:bCs/>
      <w:kern w:val="2"/>
      <w:sz w:val="24"/>
      <w:szCs w:val="28"/>
    </w:rPr>
  </w:style>
  <w:style w:type="character" w:customStyle="1" w:styleId="310">
    <w:name w:val="Char Char17"/>
    <w:autoRedefine/>
    <w:qFormat/>
    <w:uiPriority w:val="0"/>
    <w:rPr>
      <w:rFonts w:ascii="Tahoma" w:hAnsi="Tahoma" w:eastAsia="Helvetica"/>
      <w:sz w:val="21"/>
      <w:lang w:val="en-US" w:eastAsia="zh-CN" w:bidi="ar-SA"/>
    </w:rPr>
  </w:style>
  <w:style w:type="character" w:customStyle="1" w:styleId="311">
    <w:name w:val="heading 2 Char2"/>
    <w:autoRedefine/>
    <w:qFormat/>
    <w:uiPriority w:val="0"/>
    <w:rPr>
      <w:rFonts w:ascii="Verdana" w:hAnsi="Verdana"/>
      <w:b/>
      <w:bCs/>
      <w:kern w:val="2"/>
      <w:sz w:val="32"/>
      <w:szCs w:val="32"/>
    </w:rPr>
  </w:style>
  <w:style w:type="character" w:customStyle="1" w:styleId="312">
    <w:name w:val="正文缩进字符"/>
    <w:link w:val="313"/>
    <w:autoRedefine/>
    <w:qFormat/>
    <w:uiPriority w:val="0"/>
    <w:rPr>
      <w:rFonts w:ascii="宋体"/>
      <w:sz w:val="24"/>
    </w:rPr>
  </w:style>
  <w:style w:type="paragraph" w:customStyle="1" w:styleId="313">
    <w:name w:val="正文缩进2"/>
    <w:basedOn w:val="1"/>
    <w:link w:val="312"/>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autoRedefine/>
    <w:qFormat/>
    <w:uiPriority w:val="0"/>
    <w:rPr>
      <w:rFonts w:ascii="Calibri" w:hAnsi="Calibri"/>
      <w:sz w:val="24"/>
      <w:szCs w:val="24"/>
    </w:rPr>
  </w:style>
  <w:style w:type="paragraph" w:customStyle="1" w:styleId="315">
    <w:name w:val="1Text"/>
    <w:basedOn w:val="1"/>
    <w:link w:val="314"/>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autoRedefine/>
    <w:semiHidden/>
    <w:qFormat/>
    <w:uiPriority w:val="99"/>
    <w:rPr>
      <w:rFonts w:ascii="宋体"/>
      <w:sz w:val="18"/>
      <w:szCs w:val="18"/>
    </w:rPr>
  </w:style>
  <w:style w:type="character" w:customStyle="1" w:styleId="317">
    <w:name w:val="heading 8 Char1"/>
    <w:autoRedefine/>
    <w:qFormat/>
    <w:uiPriority w:val="0"/>
    <w:rPr>
      <w:rFonts w:ascii="Tahoma" w:hAnsi="Tahoma" w:eastAsia="Helvetica"/>
      <w:sz w:val="24"/>
      <w:lang w:val="en-US" w:eastAsia="zh-CN" w:bidi="ar-SA"/>
    </w:rPr>
  </w:style>
  <w:style w:type="character" w:customStyle="1" w:styleId="318">
    <w:name w:val="Char Char171"/>
    <w:autoRedefine/>
    <w:qFormat/>
    <w:uiPriority w:val="0"/>
    <w:rPr>
      <w:rFonts w:ascii="Verdana" w:hAnsi="Verdana"/>
      <w:b/>
      <w:bCs/>
      <w:kern w:val="2"/>
      <w:sz w:val="28"/>
      <w:szCs w:val="28"/>
    </w:rPr>
  </w:style>
  <w:style w:type="character" w:customStyle="1" w:styleId="319">
    <w:name w:val="副标题 Char"/>
    <w:autoRedefine/>
    <w:qFormat/>
    <w:uiPriority w:val="0"/>
    <w:rPr>
      <w:rFonts w:ascii="Verdana" w:hAnsi="Verdana" w:eastAsia="仿宋_GB2312"/>
      <w:b/>
      <w:bCs/>
      <w:kern w:val="28"/>
      <w:sz w:val="32"/>
      <w:szCs w:val="32"/>
    </w:rPr>
  </w:style>
  <w:style w:type="character" w:customStyle="1" w:styleId="320">
    <w:name w:val="内容文本 Char"/>
    <w:link w:val="321"/>
    <w:autoRedefine/>
    <w:qFormat/>
    <w:uiPriority w:val="0"/>
    <w:rPr>
      <w:rFonts w:ascii="宋体" w:hAnsi="宋体"/>
      <w:sz w:val="24"/>
      <w:szCs w:val="24"/>
      <w:lang w:eastAsia="en-US" w:bidi="en-US"/>
    </w:rPr>
  </w:style>
  <w:style w:type="paragraph" w:customStyle="1" w:styleId="321">
    <w:name w:val="内容文本"/>
    <w:basedOn w:val="301"/>
    <w:link w:val="320"/>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autoRedefine/>
    <w:qFormat/>
    <w:uiPriority w:val="0"/>
    <w:rPr>
      <w:rFonts w:ascii="Century Gothic" w:hAnsi="Century Gothic" w:eastAsia="仿宋_GB2312"/>
      <w:b/>
      <w:bCs/>
      <w:i/>
      <w:iCs/>
      <w:color w:val="4F81BD"/>
    </w:rPr>
  </w:style>
  <w:style w:type="paragraph" w:styleId="323">
    <w:name w:val="Intense Quote"/>
    <w:basedOn w:val="1"/>
    <w:next w:val="1"/>
    <w:link w:val="594"/>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autoRedefine/>
    <w:qFormat/>
    <w:uiPriority w:val="0"/>
    <w:rPr>
      <w:rFonts w:ascii="Century Gothic" w:hAnsi="仿宋_GB2312" w:eastAsia="仿宋_GB2312" w:cs="新宋体"/>
      <w:sz w:val="22"/>
      <w:szCs w:val="22"/>
      <w:lang w:eastAsia="zh-CN"/>
    </w:rPr>
  </w:style>
  <w:style w:type="character" w:customStyle="1" w:styleId="325">
    <w:name w:val="HTML 预设格式 Char"/>
    <w:autoRedefine/>
    <w:qFormat/>
    <w:uiPriority w:val="0"/>
    <w:rPr>
      <w:rFonts w:ascii="黑体" w:hAnsi="Courier New" w:eastAsia="黑体"/>
    </w:rPr>
  </w:style>
  <w:style w:type="character" w:customStyle="1" w:styleId="326">
    <w:name w:val="BZ_图 Char"/>
    <w:link w:val="327"/>
    <w:autoRedefine/>
    <w:qFormat/>
    <w:uiPriority w:val="0"/>
    <w:rPr>
      <w:kern w:val="2"/>
      <w:sz w:val="21"/>
      <w:szCs w:val="24"/>
    </w:rPr>
  </w:style>
  <w:style w:type="paragraph" w:customStyle="1" w:styleId="327">
    <w:name w:val="BZ_图"/>
    <w:basedOn w:val="1"/>
    <w:next w:val="1"/>
    <w:link w:val="326"/>
    <w:autoRedefine/>
    <w:qFormat/>
    <w:uiPriority w:val="0"/>
    <w:pPr>
      <w:keepNext/>
      <w:widowControl/>
      <w:spacing w:beforeLines="50" w:afterLines="50"/>
      <w:jc w:val="center"/>
    </w:pPr>
  </w:style>
  <w:style w:type="character" w:customStyle="1" w:styleId="328">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9">
    <w:name w:val="标题 3 字符"/>
    <w:autoRedefine/>
    <w:qFormat/>
    <w:uiPriority w:val="0"/>
    <w:rPr>
      <w:rFonts w:eastAsia="黑体"/>
      <w:b/>
      <w:sz w:val="28"/>
    </w:rPr>
  </w:style>
  <w:style w:type="character" w:customStyle="1" w:styleId="330">
    <w:name w:val="dandyren_title1"/>
    <w:autoRedefine/>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autoRedefine/>
    <w:qFormat/>
    <w:uiPriority w:val="0"/>
    <w:rPr>
      <w:rFonts w:cs="宋体"/>
      <w:szCs w:val="28"/>
    </w:rPr>
  </w:style>
  <w:style w:type="paragraph" w:customStyle="1" w:styleId="332">
    <w:name w:val="样式 正文缩进首行缩进两字正文（首行缩进两字） Char正文（首行缩进两字） Char Char Char正文（首行缩进..."/>
    <w:basedOn w:val="15"/>
    <w:link w:val="331"/>
    <w:autoRedefine/>
    <w:qFormat/>
    <w:uiPriority w:val="0"/>
    <w:pPr>
      <w:autoSpaceDE w:val="0"/>
      <w:autoSpaceDN w:val="0"/>
      <w:spacing w:line="240" w:lineRule="auto"/>
      <w:ind w:firstLine="567"/>
    </w:pPr>
    <w:rPr>
      <w:rFonts w:cs="宋体"/>
      <w:sz w:val="20"/>
      <w:szCs w:val="28"/>
    </w:rPr>
  </w:style>
  <w:style w:type="character" w:customStyle="1" w:styleId="333">
    <w:name w:val="1Text Char Char"/>
    <w:autoRedefine/>
    <w:qFormat/>
    <w:uiPriority w:val="0"/>
    <w:rPr>
      <w:rFonts w:ascii="Calibri" w:hAnsi="Calibri" w:eastAsia="宋体"/>
      <w:sz w:val="24"/>
      <w:szCs w:val="24"/>
      <w:lang w:bidi="ar-SA"/>
    </w:rPr>
  </w:style>
  <w:style w:type="character" w:customStyle="1" w:styleId="334">
    <w:name w:val="Char Char211"/>
    <w:autoRedefine/>
    <w:qFormat/>
    <w:uiPriority w:val="0"/>
    <w:rPr>
      <w:rFonts w:ascii="新宋体" w:hAnsi="新宋体" w:eastAsia="仿宋_GB2312" w:cs="新宋体"/>
      <w:b/>
      <w:bCs/>
      <w:kern w:val="44"/>
      <w:sz w:val="44"/>
      <w:szCs w:val="44"/>
    </w:rPr>
  </w:style>
  <w:style w:type="character" w:customStyle="1" w:styleId="335">
    <w:name w:val="强调划线"/>
    <w:autoRedefine/>
    <w:qFormat/>
    <w:uiPriority w:val="0"/>
    <w:rPr>
      <w:u w:val="single"/>
    </w:rPr>
  </w:style>
  <w:style w:type="character" w:customStyle="1" w:styleId="336">
    <w:name w:val="backtitle1"/>
    <w:autoRedefine/>
    <w:qFormat/>
    <w:uiPriority w:val="0"/>
    <w:rPr>
      <w:rFonts w:eastAsia="宋体"/>
      <w:b/>
      <w:bCs/>
      <w:color w:val="000000"/>
      <w:kern w:val="2"/>
      <w:sz w:val="18"/>
      <w:szCs w:val="18"/>
      <w:lang w:val="en-US" w:eastAsia="zh-CN" w:bidi="ar-SA"/>
    </w:rPr>
  </w:style>
  <w:style w:type="character" w:customStyle="1" w:styleId="337">
    <w:name w:val="哈哈正文 Char Char"/>
    <w:autoRedefine/>
    <w:qFormat/>
    <w:uiPriority w:val="0"/>
    <w:rPr>
      <w:rFonts w:ascii="宋体" w:hAnsi="宋体"/>
      <w:kern w:val="2"/>
      <w:sz w:val="24"/>
      <w:lang w:bidi="ar-SA"/>
    </w:rPr>
  </w:style>
  <w:style w:type="character" w:customStyle="1" w:styleId="338">
    <w:name w:val="正文首行缩进 2 Char"/>
    <w:autoRedefine/>
    <w:qFormat/>
    <w:uiPriority w:val="0"/>
    <w:rPr>
      <w:kern w:val="2"/>
      <w:sz w:val="21"/>
      <w:szCs w:val="24"/>
    </w:rPr>
  </w:style>
  <w:style w:type="character" w:customStyle="1" w:styleId="339">
    <w:name w:val="注释题目"/>
    <w:autoRedefine/>
    <w:qFormat/>
    <w:uiPriority w:val="0"/>
    <w:rPr>
      <w:rFonts w:eastAsia="黑体"/>
      <w:sz w:val="28"/>
      <w:u w:val="none"/>
    </w:rPr>
  </w:style>
  <w:style w:type="character" w:customStyle="1" w:styleId="340">
    <w:name w:val="三级标题 Char"/>
    <w:link w:val="341"/>
    <w:autoRedefine/>
    <w:qFormat/>
    <w:uiPriority w:val="0"/>
    <w:rPr>
      <w:rFonts w:eastAsia="黑体"/>
      <w:b/>
      <w:kern w:val="2"/>
      <w:sz w:val="28"/>
      <w:szCs w:val="22"/>
    </w:rPr>
  </w:style>
  <w:style w:type="paragraph" w:customStyle="1" w:styleId="341">
    <w:name w:val="三级标题"/>
    <w:basedOn w:val="1"/>
    <w:link w:val="340"/>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autoRedefine/>
    <w:qFormat/>
    <w:uiPriority w:val="0"/>
    <w:rPr>
      <w:rFonts w:ascii="仿宋_GB2312" w:hAnsi="仿宋_GB2312" w:eastAsia="仿宋_GB2312"/>
      <w:sz w:val="24"/>
      <w:szCs w:val="24"/>
    </w:rPr>
  </w:style>
  <w:style w:type="character" w:customStyle="1" w:styleId="343">
    <w:name w:val="heading 1 Char"/>
    <w:autoRedefine/>
    <w:qFormat/>
    <w:uiPriority w:val="0"/>
    <w:rPr>
      <w:rFonts w:ascii="Tahoma" w:hAnsi="Tahoma" w:eastAsia="Helvetica"/>
      <w:b/>
      <w:sz w:val="36"/>
      <w:szCs w:val="36"/>
    </w:rPr>
  </w:style>
  <w:style w:type="character" w:customStyle="1" w:styleId="344">
    <w:name w:val="栏目标题 Char Char"/>
    <w:link w:val="345"/>
    <w:autoRedefine/>
    <w:qFormat/>
    <w:uiPriority w:val="0"/>
    <w:rPr>
      <w:rFonts w:ascii="黑体" w:hAnsi="黑体" w:eastAsia="黑体"/>
      <w:b/>
      <w:kern w:val="2"/>
      <w:sz w:val="21"/>
      <w:szCs w:val="24"/>
    </w:rPr>
  </w:style>
  <w:style w:type="paragraph" w:customStyle="1" w:styleId="345">
    <w:name w:val="栏目标题"/>
    <w:basedOn w:val="1"/>
    <w:link w:val="344"/>
    <w:autoRedefine/>
    <w:qFormat/>
    <w:uiPriority w:val="0"/>
    <w:pPr>
      <w:jc w:val="center"/>
    </w:pPr>
    <w:rPr>
      <w:rFonts w:ascii="黑体" w:hAnsi="黑体" w:eastAsia="黑体"/>
      <w:b/>
    </w:rPr>
  </w:style>
  <w:style w:type="character" w:customStyle="1" w:styleId="346">
    <w:name w:val="纯文本 字符"/>
    <w:autoRedefine/>
    <w:qFormat/>
    <w:uiPriority w:val="0"/>
    <w:rPr>
      <w:rFonts w:ascii="宋体" w:hAnsi="Courier New"/>
      <w:kern w:val="2"/>
      <w:sz w:val="21"/>
    </w:rPr>
  </w:style>
  <w:style w:type="character" w:customStyle="1" w:styleId="347">
    <w:name w:val="!我的正文 Ctr+Q Char"/>
    <w:link w:val="348"/>
    <w:autoRedefine/>
    <w:qFormat/>
    <w:uiPriority w:val="0"/>
    <w:rPr>
      <w:rFonts w:ascii="Arial" w:hAnsi="Arial"/>
      <w:kern w:val="2"/>
      <w:sz w:val="24"/>
      <w:szCs w:val="21"/>
    </w:rPr>
  </w:style>
  <w:style w:type="paragraph" w:customStyle="1" w:styleId="348">
    <w:name w:val="!我的正文 Ctr+Q"/>
    <w:basedOn w:val="1"/>
    <w:link w:val="347"/>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autoRedefine/>
    <w:qFormat/>
    <w:uiPriority w:val="0"/>
    <w:rPr>
      <w:rFonts w:ascii="Arial" w:hAnsi="Arial" w:eastAsia="黑体"/>
      <w:kern w:val="2"/>
      <w:sz w:val="21"/>
      <w:vertAlign w:val="superscript"/>
    </w:rPr>
  </w:style>
  <w:style w:type="character" w:customStyle="1" w:styleId="350">
    <w:name w:val="Char Char12"/>
    <w:autoRedefine/>
    <w:qFormat/>
    <w:uiPriority w:val="0"/>
    <w:rPr>
      <w:rFonts w:ascii="仿宋_GB2312" w:hAnsi="Wingdings" w:eastAsia="仿宋_GB2312"/>
      <w:sz w:val="21"/>
      <w:szCs w:val="21"/>
      <w:lang w:val="en-US" w:eastAsia="zh-CN" w:bidi="ar-SA"/>
    </w:rPr>
  </w:style>
  <w:style w:type="character" w:customStyle="1" w:styleId="351">
    <w:name w:val="Char Char221"/>
    <w:autoRedefine/>
    <w:qFormat/>
    <w:uiPriority w:val="0"/>
    <w:rPr>
      <w:rFonts w:ascii="Verdana" w:hAnsi="Verdana" w:eastAsia="仿宋_GB2312"/>
      <w:b/>
      <w:bCs/>
      <w:kern w:val="2"/>
      <w:sz w:val="28"/>
      <w:szCs w:val="28"/>
      <w:lang w:val="en-US" w:eastAsia="zh-CN" w:bidi="ar-SA"/>
    </w:rPr>
  </w:style>
  <w:style w:type="character" w:customStyle="1" w:styleId="352">
    <w:name w:val="Footer-Even Char1"/>
    <w:autoRedefine/>
    <w:qFormat/>
    <w:uiPriority w:val="0"/>
    <w:rPr>
      <w:rFonts w:eastAsia="仿宋_GB2312"/>
      <w:kern w:val="2"/>
      <w:sz w:val="18"/>
      <w:szCs w:val="18"/>
      <w:lang w:val="en-US" w:eastAsia="zh-CN" w:bidi="ar-SA"/>
    </w:rPr>
  </w:style>
  <w:style w:type="character" w:customStyle="1" w:styleId="353">
    <w:name w:val="xl77 Char"/>
    <w:link w:val="354"/>
    <w:autoRedefine/>
    <w:qFormat/>
    <w:uiPriority w:val="0"/>
    <w:rPr>
      <w:b/>
      <w:bCs/>
      <w:sz w:val="28"/>
      <w:szCs w:val="28"/>
    </w:rPr>
  </w:style>
  <w:style w:type="paragraph" w:customStyle="1" w:styleId="354">
    <w:name w:val="xl77"/>
    <w:basedOn w:val="1"/>
    <w:link w:val="353"/>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autoRedefine/>
    <w:qFormat/>
    <w:uiPriority w:val="0"/>
    <w:rPr>
      <w:kern w:val="2"/>
      <w:sz w:val="16"/>
      <w:szCs w:val="16"/>
    </w:rPr>
  </w:style>
  <w:style w:type="character" w:customStyle="1" w:styleId="356">
    <w:name w:val="Subtle Emphasis1"/>
    <w:autoRedefine/>
    <w:qFormat/>
    <w:uiPriority w:val="0"/>
    <w:rPr>
      <w:i/>
      <w:iCs/>
      <w:color w:val="808080"/>
    </w:rPr>
  </w:style>
  <w:style w:type="character" w:customStyle="1" w:styleId="357">
    <w:name w:val="Book Title1"/>
    <w:autoRedefine/>
    <w:qFormat/>
    <w:uiPriority w:val="0"/>
    <w:rPr>
      <w:b/>
      <w:bCs/>
      <w:smallCaps/>
      <w:spacing w:val="5"/>
    </w:rPr>
  </w:style>
  <w:style w:type="character" w:customStyle="1" w:styleId="358">
    <w:name w:val="目录标题 Char Char"/>
    <w:link w:val="359"/>
    <w:autoRedefine/>
    <w:qFormat/>
    <w:uiPriority w:val="0"/>
    <w:rPr>
      <w:rFonts w:eastAsia="黑体"/>
      <w:b/>
      <w:bCs/>
      <w:kern w:val="2"/>
      <w:sz w:val="44"/>
      <w:szCs w:val="44"/>
    </w:rPr>
  </w:style>
  <w:style w:type="paragraph" w:customStyle="1" w:styleId="359">
    <w:name w:val="目录标题"/>
    <w:basedOn w:val="1"/>
    <w:link w:val="358"/>
    <w:autoRedefine/>
    <w:qFormat/>
    <w:uiPriority w:val="0"/>
    <w:pPr>
      <w:jc w:val="center"/>
    </w:pPr>
    <w:rPr>
      <w:rFonts w:eastAsia="黑体"/>
      <w:b/>
      <w:bCs/>
      <w:sz w:val="44"/>
      <w:szCs w:val="44"/>
    </w:rPr>
  </w:style>
  <w:style w:type="character" w:customStyle="1" w:styleId="360">
    <w:name w:val="4 Char"/>
    <w:link w:val="361"/>
    <w:autoRedefine/>
    <w:qFormat/>
    <w:uiPriority w:val="0"/>
    <w:rPr>
      <w:rFonts w:ascii="仿宋" w:hAnsi="仿宋" w:eastAsia="仿宋"/>
      <w:b/>
      <w:bCs/>
      <w:kern w:val="2"/>
      <w:sz w:val="24"/>
      <w:szCs w:val="24"/>
    </w:rPr>
  </w:style>
  <w:style w:type="paragraph" w:customStyle="1" w:styleId="361">
    <w:name w:val="4"/>
    <w:basedOn w:val="6"/>
    <w:link w:val="360"/>
    <w:autoRedefine/>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autoRedefine/>
    <w:qFormat/>
    <w:uiPriority w:val="0"/>
    <w:rPr>
      <w:rFonts w:ascii="Calibri" w:hAnsi="Calibri" w:eastAsia="仿宋"/>
      <w:kern w:val="2"/>
      <w:sz w:val="24"/>
      <w:szCs w:val="22"/>
    </w:rPr>
  </w:style>
  <w:style w:type="paragraph" w:customStyle="1" w:styleId="363">
    <w:name w:val="文本正文"/>
    <w:basedOn w:val="1"/>
    <w:link w:val="362"/>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autoRedefine/>
    <w:qFormat/>
    <w:uiPriority w:val="0"/>
    <w:rPr>
      <w:rFonts w:eastAsia="宋体"/>
      <w:kern w:val="2"/>
      <w:sz w:val="21"/>
      <w:szCs w:val="24"/>
      <w:lang w:val="en-US" w:eastAsia="zh-CN" w:bidi="ar-SA"/>
    </w:rPr>
  </w:style>
  <w:style w:type="character" w:customStyle="1" w:styleId="365">
    <w:name w:val="五级标题 Char"/>
    <w:link w:val="366"/>
    <w:autoRedefine/>
    <w:qFormat/>
    <w:uiPriority w:val="0"/>
    <w:rPr>
      <w:rFonts w:eastAsia="黑体"/>
      <w:b/>
      <w:kern w:val="2"/>
      <w:sz w:val="28"/>
      <w:szCs w:val="22"/>
    </w:rPr>
  </w:style>
  <w:style w:type="paragraph" w:customStyle="1" w:styleId="366">
    <w:name w:val="五级标题"/>
    <w:basedOn w:val="1"/>
    <w:link w:val="365"/>
    <w:autoRedefine/>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autoRedefine/>
    <w:qFormat/>
    <w:uiPriority w:val="0"/>
    <w:rPr>
      <w:rFonts w:eastAsia="仿宋_GB2312"/>
      <w:lang w:val="en-US" w:eastAsia="zh-CN" w:bidi="ar-SA"/>
    </w:rPr>
  </w:style>
  <w:style w:type="character" w:customStyle="1" w:styleId="368">
    <w:name w:val="Char Char212"/>
    <w:autoRedefine/>
    <w:qFormat/>
    <w:uiPriority w:val="0"/>
    <w:rPr>
      <w:rFonts w:eastAsia="仿宋_GB2312"/>
      <w:b/>
      <w:bCs/>
      <w:kern w:val="2"/>
      <w:sz w:val="28"/>
      <w:szCs w:val="28"/>
      <w:lang w:val="en-US" w:eastAsia="zh-CN" w:bidi="ar-SA"/>
    </w:rPr>
  </w:style>
  <w:style w:type="character" w:customStyle="1" w:styleId="369">
    <w:name w:val="PI Char"/>
    <w:autoRedefine/>
    <w:qFormat/>
    <w:uiPriority w:val="0"/>
    <w:rPr>
      <w:rFonts w:ascii="仿宋_GB2312" w:hAnsi="仿宋_GB2312"/>
      <w:sz w:val="24"/>
    </w:rPr>
  </w:style>
  <w:style w:type="character" w:customStyle="1" w:styleId="370">
    <w:name w:val="表正文 Char2"/>
    <w:autoRedefine/>
    <w:qFormat/>
    <w:uiPriority w:val="0"/>
    <w:rPr>
      <w:rFonts w:ascii="新宋体" w:hAnsi="新宋体" w:eastAsia="仿宋_GB2312" w:cs="新宋体"/>
      <w:szCs w:val="24"/>
    </w:rPr>
  </w:style>
  <w:style w:type="character" w:customStyle="1" w:styleId="371">
    <w:name w:val="页眉 字符"/>
    <w:link w:val="43"/>
    <w:autoRedefine/>
    <w:qFormat/>
    <w:uiPriority w:val="99"/>
    <w:rPr>
      <w:kern w:val="2"/>
      <w:sz w:val="18"/>
      <w:szCs w:val="18"/>
    </w:rPr>
  </w:style>
  <w:style w:type="character" w:customStyle="1" w:styleId="372">
    <w:name w:val="大标题 Char"/>
    <w:autoRedefine/>
    <w:qFormat/>
    <w:uiPriority w:val="0"/>
    <w:rPr>
      <w:rFonts w:ascii="黑体" w:hAnsi="黑体" w:eastAsia="黑体"/>
      <w:b/>
      <w:bCs/>
      <w:kern w:val="2"/>
      <w:sz w:val="72"/>
      <w:szCs w:val="72"/>
    </w:rPr>
  </w:style>
  <w:style w:type="character" w:customStyle="1" w:styleId="373">
    <w:name w:val="Char Char Char1"/>
    <w:autoRedefine/>
    <w:qFormat/>
    <w:uiPriority w:val="0"/>
    <w:rPr>
      <w:rFonts w:ascii="仿宋_GB2312" w:hAnsi="Wingdings"/>
      <w:sz w:val="21"/>
      <w:szCs w:val="21"/>
    </w:rPr>
  </w:style>
  <w:style w:type="character" w:customStyle="1" w:styleId="374">
    <w:name w:val="Char Char15"/>
    <w:autoRedefine/>
    <w:qFormat/>
    <w:uiPriority w:val="0"/>
    <w:rPr>
      <w:rFonts w:ascii="Tahoma" w:hAnsi="Tahoma" w:eastAsia="Helvetica"/>
      <w:sz w:val="24"/>
      <w:szCs w:val="24"/>
    </w:rPr>
  </w:style>
  <w:style w:type="character" w:customStyle="1" w:styleId="375">
    <w:name w:val="表格标题 Char Char"/>
    <w:link w:val="376"/>
    <w:autoRedefine/>
    <w:qFormat/>
    <w:uiPriority w:val="0"/>
    <w:rPr>
      <w:rFonts w:ascii="黑体" w:hAnsi="黑体" w:eastAsia="黑体"/>
      <w:b/>
      <w:color w:val="FFFFFF"/>
      <w:kern w:val="2"/>
      <w:sz w:val="21"/>
      <w:szCs w:val="24"/>
    </w:rPr>
  </w:style>
  <w:style w:type="paragraph" w:customStyle="1" w:styleId="376">
    <w:name w:val="表格标题"/>
    <w:basedOn w:val="1"/>
    <w:link w:val="375"/>
    <w:autoRedefine/>
    <w:qFormat/>
    <w:uiPriority w:val="0"/>
    <w:rPr>
      <w:rFonts w:ascii="黑体" w:hAnsi="黑体" w:eastAsia="黑体"/>
      <w:b/>
      <w:color w:val="FFFFFF"/>
    </w:rPr>
  </w:style>
  <w:style w:type="character" w:customStyle="1" w:styleId="377">
    <w:name w:val="Intense Reference1"/>
    <w:autoRedefine/>
    <w:qFormat/>
    <w:uiPriority w:val="32"/>
    <w:rPr>
      <w:b/>
      <w:bCs/>
      <w:smallCaps/>
      <w:color w:val="C0504D"/>
      <w:spacing w:val="5"/>
      <w:u w:val="single"/>
    </w:rPr>
  </w:style>
  <w:style w:type="character" w:customStyle="1" w:styleId="378">
    <w:name w:val="gray6"/>
    <w:basedOn w:val="65"/>
    <w:autoRedefine/>
    <w:qFormat/>
    <w:uiPriority w:val="0"/>
  </w:style>
  <w:style w:type="character" w:customStyle="1" w:styleId="379">
    <w:name w:val="Char Char202"/>
    <w:autoRedefine/>
    <w:qFormat/>
    <w:uiPriority w:val="0"/>
    <w:rPr>
      <w:b/>
      <w:bCs/>
      <w:kern w:val="44"/>
      <w:sz w:val="44"/>
      <w:szCs w:val="44"/>
    </w:rPr>
  </w:style>
  <w:style w:type="character" w:customStyle="1" w:styleId="380">
    <w:name w:val="ändrad Char"/>
    <w:autoRedefine/>
    <w:qFormat/>
    <w:uiPriority w:val="0"/>
    <w:rPr>
      <w:rFonts w:eastAsia="仿宋_GB2312"/>
      <w:kern w:val="2"/>
      <w:sz w:val="21"/>
      <w:szCs w:val="24"/>
      <w:lang w:val="en-US" w:eastAsia="zh-CN" w:bidi="ar-SA"/>
    </w:rPr>
  </w:style>
  <w:style w:type="character" w:customStyle="1" w:styleId="381">
    <w:name w:val="大标题 Char Char"/>
    <w:link w:val="382"/>
    <w:autoRedefine/>
    <w:qFormat/>
    <w:uiPriority w:val="0"/>
    <w:rPr>
      <w:rFonts w:ascii="黑体" w:hAnsi="黑体" w:eastAsia="黑体"/>
      <w:b/>
      <w:bCs/>
      <w:kern w:val="2"/>
      <w:sz w:val="72"/>
      <w:szCs w:val="72"/>
    </w:rPr>
  </w:style>
  <w:style w:type="paragraph" w:customStyle="1" w:styleId="382">
    <w:name w:val="大标题"/>
    <w:basedOn w:val="1"/>
    <w:link w:val="381"/>
    <w:autoRedefine/>
    <w:qFormat/>
    <w:uiPriority w:val="0"/>
    <w:pPr>
      <w:spacing w:line="40" w:lineRule="atLeast"/>
    </w:pPr>
    <w:rPr>
      <w:rFonts w:ascii="黑体" w:hAnsi="黑体" w:eastAsia="黑体"/>
      <w:b/>
      <w:bCs/>
      <w:sz w:val="72"/>
      <w:szCs w:val="72"/>
    </w:rPr>
  </w:style>
  <w:style w:type="character" w:customStyle="1" w:styleId="383">
    <w:name w:val="Ò³Ã¼ Char Char"/>
    <w:autoRedefine/>
    <w:qFormat/>
    <w:uiPriority w:val="0"/>
    <w:rPr>
      <w:sz w:val="18"/>
      <w:szCs w:val="18"/>
    </w:rPr>
  </w:style>
  <w:style w:type="character" w:customStyle="1" w:styleId="384">
    <w:name w:val="Char Char161"/>
    <w:autoRedefine/>
    <w:qFormat/>
    <w:uiPriority w:val="0"/>
    <w:rPr>
      <w:rFonts w:eastAsia="仿宋_GB2312"/>
      <w:sz w:val="21"/>
      <w:lang w:val="en-US" w:eastAsia="zh-CN" w:bidi="ar-SA"/>
    </w:rPr>
  </w:style>
  <w:style w:type="character" w:customStyle="1" w:styleId="385">
    <w:name w:val="style41"/>
    <w:autoRedefine/>
    <w:qFormat/>
    <w:uiPriority w:val="0"/>
    <w:rPr>
      <w:color w:val="auto"/>
    </w:rPr>
  </w:style>
  <w:style w:type="character" w:customStyle="1" w:styleId="386">
    <w:name w:val="正文4 Char Char"/>
    <w:link w:val="387"/>
    <w:autoRedefine/>
    <w:qFormat/>
    <w:uiPriority w:val="0"/>
    <w:rPr>
      <w:kern w:val="2"/>
      <w:sz w:val="24"/>
      <w:szCs w:val="24"/>
    </w:rPr>
  </w:style>
  <w:style w:type="paragraph" w:customStyle="1" w:styleId="387">
    <w:name w:val="正文4"/>
    <w:basedOn w:val="1"/>
    <w:link w:val="386"/>
    <w:autoRedefine/>
    <w:qFormat/>
    <w:uiPriority w:val="0"/>
    <w:pPr>
      <w:tabs>
        <w:tab w:val="left" w:pos="520"/>
      </w:tabs>
      <w:spacing w:before="60" w:after="60" w:line="360" w:lineRule="auto"/>
    </w:pPr>
    <w:rPr>
      <w:sz w:val="24"/>
    </w:rPr>
  </w:style>
  <w:style w:type="character" w:customStyle="1" w:styleId="388">
    <w:name w:val="Char Char201"/>
    <w:autoRedefine/>
    <w:qFormat/>
    <w:uiPriority w:val="0"/>
    <w:rPr>
      <w:rFonts w:ascii="Verdana" w:hAnsi="Verdana" w:eastAsia="仿宋_GB2312" w:cs="新宋体"/>
      <w:b/>
      <w:bCs/>
      <w:sz w:val="32"/>
      <w:szCs w:val="32"/>
    </w:rPr>
  </w:style>
  <w:style w:type="character" w:customStyle="1" w:styleId="389">
    <w:name w:val="Char Char20"/>
    <w:autoRedefine/>
    <w:qFormat/>
    <w:uiPriority w:val="0"/>
    <w:rPr>
      <w:rFonts w:ascii="Tahoma" w:hAnsi="Tahoma" w:eastAsia="Helvetica"/>
      <w:sz w:val="21"/>
      <w:szCs w:val="21"/>
      <w:lang w:val="en-US" w:eastAsia="zh-CN" w:bidi="ar-SA"/>
    </w:rPr>
  </w:style>
  <w:style w:type="character" w:customStyle="1" w:styleId="390">
    <w:name w:val="Char Char10"/>
    <w:autoRedefine/>
    <w:qFormat/>
    <w:uiPriority w:val="0"/>
    <w:rPr>
      <w:rFonts w:eastAsia="仿宋_GB2312"/>
      <w:b/>
      <w:bCs/>
      <w:kern w:val="2"/>
      <w:sz w:val="21"/>
      <w:szCs w:val="24"/>
      <w:lang w:val="en-US" w:eastAsia="zh-CN" w:bidi="ar-SA"/>
    </w:rPr>
  </w:style>
  <w:style w:type="character" w:customStyle="1" w:styleId="391">
    <w:name w:val="heading 9 Char1"/>
    <w:autoRedefine/>
    <w:qFormat/>
    <w:uiPriority w:val="0"/>
    <w:rPr>
      <w:rFonts w:ascii="Tahoma" w:hAnsi="Tahoma" w:eastAsia="Helvetica"/>
      <w:sz w:val="21"/>
      <w:lang w:val="en-US" w:eastAsia="zh-CN" w:bidi="ar-SA"/>
    </w:rPr>
  </w:style>
  <w:style w:type="character" w:customStyle="1" w:styleId="392">
    <w:name w:val="PI Char1"/>
    <w:autoRedefine/>
    <w:qFormat/>
    <w:uiPriority w:val="0"/>
    <w:rPr>
      <w:rFonts w:eastAsia="仿宋_GB2312"/>
      <w:kern w:val="2"/>
      <w:sz w:val="24"/>
      <w:szCs w:val="24"/>
      <w:lang w:val="en-US" w:eastAsia="zh-CN" w:bidi="ar-SA"/>
    </w:rPr>
  </w:style>
  <w:style w:type="character" w:customStyle="1" w:styleId="393">
    <w:name w:val="注释正文"/>
    <w:autoRedefine/>
    <w:qFormat/>
    <w:uiPriority w:val="0"/>
    <w:rPr>
      <w:rFonts w:eastAsia="宋体"/>
      <w:sz w:val="28"/>
      <w:u w:val="single"/>
    </w:rPr>
  </w:style>
  <w:style w:type="character" w:customStyle="1" w:styleId="394">
    <w:name w:val="金保标题2 Char"/>
    <w:link w:val="395"/>
    <w:autoRedefine/>
    <w:qFormat/>
    <w:locked/>
    <w:uiPriority w:val="0"/>
    <w:rPr>
      <w:rFonts w:ascii="新宋体" w:hAnsi="新宋体" w:eastAsia="新宋体"/>
      <w:b/>
      <w:bCs/>
      <w:color w:val="000000"/>
      <w:kern w:val="2"/>
      <w:sz w:val="22"/>
      <w:szCs w:val="22"/>
      <w:lang w:val="zh-CN"/>
    </w:rPr>
  </w:style>
  <w:style w:type="paragraph" w:customStyle="1" w:styleId="395">
    <w:name w:val="金保标题2"/>
    <w:basedOn w:val="4"/>
    <w:next w:val="1"/>
    <w:link w:val="394"/>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autoRedefine/>
    <w:qFormat/>
    <w:uiPriority w:val="0"/>
    <w:rPr>
      <w:rFonts w:ascii="Helvetica" w:hAnsi="Tahoma" w:eastAsia="Helvetica"/>
      <w:bCs/>
      <w:sz w:val="24"/>
      <w:szCs w:val="24"/>
    </w:rPr>
  </w:style>
  <w:style w:type="paragraph" w:customStyle="1" w:styleId="397">
    <w:name w:val="样式 标题 3 + 黑体 小四"/>
    <w:basedOn w:val="5"/>
    <w:link w:val="396"/>
    <w:autoRedefine/>
    <w:qFormat/>
    <w:uiPriority w:val="0"/>
    <w:pPr>
      <w:spacing w:before="0" w:after="0" w:line="415" w:lineRule="auto"/>
    </w:pPr>
    <w:rPr>
      <w:rFonts w:ascii="Helvetica" w:hAnsi="Tahoma" w:eastAsia="Helvetica"/>
      <w:b w:val="0"/>
      <w:kern w:val="0"/>
      <w:sz w:val="24"/>
      <w:szCs w:val="24"/>
    </w:rPr>
  </w:style>
  <w:style w:type="character" w:customStyle="1" w:styleId="398">
    <w:name w:val="宏文本 Char"/>
    <w:autoRedefine/>
    <w:qFormat/>
    <w:uiPriority w:val="0"/>
    <w:rPr>
      <w:rFonts w:ascii="Wingdings" w:hAnsi="Wingdings" w:eastAsia="Times New Roman"/>
      <w:kern w:val="2"/>
      <w:sz w:val="24"/>
      <w:szCs w:val="24"/>
    </w:rPr>
  </w:style>
  <w:style w:type="character" w:customStyle="1" w:styleId="399">
    <w:name w:val="Subtle Reference1"/>
    <w:autoRedefine/>
    <w:qFormat/>
    <w:uiPriority w:val="0"/>
    <w:rPr>
      <w:smallCaps/>
      <w:color w:val="C0504D"/>
      <w:u w:val="single"/>
    </w:rPr>
  </w:style>
  <w:style w:type="character" w:customStyle="1" w:styleId="400">
    <w:name w:val="Char Char191"/>
    <w:autoRedefine/>
    <w:qFormat/>
    <w:uiPriority w:val="0"/>
    <w:rPr>
      <w:rFonts w:ascii="Verdana" w:hAnsi="Verdana"/>
      <w:b/>
      <w:bCs/>
      <w:kern w:val="2"/>
      <w:sz w:val="32"/>
      <w:szCs w:val="32"/>
    </w:rPr>
  </w:style>
  <w:style w:type="character" w:customStyle="1" w:styleId="401">
    <w:name w:val="Char Char Char2"/>
    <w:autoRedefine/>
    <w:qFormat/>
    <w:uiPriority w:val="0"/>
    <w:rPr>
      <w:rFonts w:ascii="仿宋_GB2312" w:hAnsi="Wingdings" w:eastAsia="仿宋_GB2312"/>
      <w:sz w:val="21"/>
      <w:szCs w:val="21"/>
      <w:lang w:val="en-US" w:eastAsia="zh-CN" w:bidi="ar-SA"/>
    </w:rPr>
  </w:style>
  <w:style w:type="character" w:customStyle="1" w:styleId="402">
    <w:name w:val="PI Char2"/>
    <w:autoRedefine/>
    <w:qFormat/>
    <w:uiPriority w:val="0"/>
    <w:rPr>
      <w:kern w:val="2"/>
      <w:sz w:val="24"/>
      <w:szCs w:val="24"/>
    </w:rPr>
  </w:style>
  <w:style w:type="character" w:customStyle="1" w:styleId="403">
    <w:name w:val="小标题 Char Char"/>
    <w:link w:val="404"/>
    <w:autoRedefine/>
    <w:qFormat/>
    <w:uiPriority w:val="0"/>
    <w:rPr>
      <w:rFonts w:ascii="黑体" w:hAnsi="黑体" w:eastAsia="黑体"/>
      <w:b/>
      <w:bCs/>
      <w:kern w:val="2"/>
      <w:sz w:val="48"/>
      <w:szCs w:val="48"/>
    </w:rPr>
  </w:style>
  <w:style w:type="paragraph" w:customStyle="1" w:styleId="404">
    <w:name w:val="小标题"/>
    <w:basedOn w:val="1"/>
    <w:link w:val="403"/>
    <w:autoRedefine/>
    <w:qFormat/>
    <w:uiPriority w:val="0"/>
    <w:pPr>
      <w:spacing w:line="40" w:lineRule="atLeast"/>
    </w:pPr>
    <w:rPr>
      <w:rFonts w:ascii="黑体" w:hAnsi="黑体" w:eastAsia="黑体"/>
      <w:b/>
      <w:bCs/>
      <w:sz w:val="48"/>
      <w:szCs w:val="48"/>
    </w:rPr>
  </w:style>
  <w:style w:type="paragraph" w:customStyle="1" w:styleId="405">
    <w:name w:val="標題10.3-1"/>
    <w:basedOn w:val="406"/>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字符"/>
    <w:basedOn w:val="65"/>
    <w:link w:val="21"/>
    <w:autoRedefine/>
    <w:qFormat/>
    <w:uiPriority w:val="0"/>
    <w:rPr>
      <w:rFonts w:ascii="等线" w:hAnsi="等线" w:eastAsia="等线" w:cs="等线"/>
      <w:sz w:val="24"/>
    </w:rPr>
  </w:style>
  <w:style w:type="paragraph" w:customStyle="1" w:styleId="409">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3"/>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字符"/>
    <w:basedOn w:val="65"/>
    <w:link w:val="13"/>
    <w:autoRedefine/>
    <w:qFormat/>
    <w:uiPriority w:val="0"/>
    <w:rPr>
      <w:rFonts w:ascii="DFKai-SB" w:hAnsi="DFKai-SB" w:eastAsia="DFKai-SB" w:cs="等线"/>
      <w:kern w:val="2"/>
      <w:lang w:eastAsia="zh-TW"/>
    </w:rPr>
  </w:style>
  <w:style w:type="paragraph" w:customStyle="1" w:styleId="42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4"/>
    <w:autoRedefine/>
    <w:qFormat/>
    <w:uiPriority w:val="0"/>
    <w:pPr>
      <w:ind w:left="576" w:hanging="576"/>
    </w:pPr>
    <w:rPr>
      <w:rFonts w:ascii="华文中宋" w:eastAsia="华文中宋"/>
      <w:kern w:val="0"/>
    </w:rPr>
  </w:style>
  <w:style w:type="character" w:customStyle="1" w:styleId="423">
    <w:name w:val="正文文本 3 字符"/>
    <w:basedOn w:val="65"/>
    <w:link w:val="22"/>
    <w:autoRedefine/>
    <w:qFormat/>
    <w:uiPriority w:val="0"/>
    <w:rPr>
      <w:rFonts w:ascii="等线" w:hAnsi="等线" w:eastAsia="等线" w:cs="等线"/>
    </w:rPr>
  </w:style>
  <w:style w:type="paragraph" w:customStyle="1" w:styleId="424">
    <w:name w:val="数字级连标题2"/>
    <w:basedOn w:val="4"/>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autoRedefine/>
    <w:qFormat/>
    <w:uiPriority w:val="0"/>
    <w:pPr>
      <w:outlineLvl w:val="5"/>
    </w:pPr>
  </w:style>
  <w:style w:type="paragraph" w:customStyle="1" w:styleId="426">
    <w:name w:val="三级条标题"/>
    <w:basedOn w:val="427"/>
    <w:next w:val="1"/>
    <w:autoRedefine/>
    <w:qFormat/>
    <w:uiPriority w:val="0"/>
    <w:pPr>
      <w:outlineLvl w:val="4"/>
    </w:pPr>
  </w:style>
  <w:style w:type="paragraph" w:customStyle="1" w:styleId="427">
    <w:name w:val="二级条标题"/>
    <w:basedOn w:val="428"/>
    <w:next w:val="1"/>
    <w:autoRedefine/>
    <w:qFormat/>
    <w:uiPriority w:val="0"/>
    <w:pPr>
      <w:outlineLvl w:val="3"/>
    </w:pPr>
  </w:style>
  <w:style w:type="paragraph" w:customStyle="1" w:styleId="428">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9">
    <w:name w:val="宏文本 字符"/>
    <w:basedOn w:val="65"/>
    <w:link w:val="2"/>
    <w:autoRedefine/>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1">
    <w:name w:val="正文首行缩进1"/>
    <w:basedOn w:val="24"/>
    <w:autoRedefine/>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字符"/>
    <w:basedOn w:val="65"/>
    <w:link w:val="54"/>
    <w:autoRedefine/>
    <w:qFormat/>
    <w:uiPriority w:val="0"/>
    <w:rPr>
      <w:kern w:val="2"/>
      <w:sz w:val="21"/>
      <w:szCs w:val="24"/>
    </w:rPr>
  </w:style>
  <w:style w:type="character" w:customStyle="1" w:styleId="435">
    <w:name w:val="脚注文本 字符"/>
    <w:basedOn w:val="65"/>
    <w:link w:val="49"/>
    <w:autoRedefine/>
    <w:qFormat/>
    <w:uiPriority w:val="0"/>
    <w:rPr>
      <w:rFonts w:ascii="等线" w:hAnsi="等线" w:eastAsia="等线" w:cs="等线"/>
      <w:kern w:val="2"/>
      <w:sz w:val="18"/>
      <w:szCs w:val="18"/>
    </w:rPr>
  </w:style>
  <w:style w:type="character" w:customStyle="1" w:styleId="436">
    <w:name w:val="副标题 字符"/>
    <w:basedOn w:val="65"/>
    <w:link w:val="47"/>
    <w:autoRedefine/>
    <w:qFormat/>
    <w:uiPriority w:val="0"/>
    <w:rPr>
      <w:rFonts w:asciiTheme="majorHAnsi" w:hAnsiTheme="majorHAnsi" w:cstheme="majorBidi"/>
      <w:b/>
      <w:bCs/>
      <w:kern w:val="28"/>
      <w:sz w:val="32"/>
      <w:szCs w:val="32"/>
    </w:rPr>
  </w:style>
  <w:style w:type="character" w:customStyle="1" w:styleId="437">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8">
    <w:name w:val="正文文本首行缩进 2 字符"/>
    <w:basedOn w:val="91"/>
    <w:link w:val="61"/>
    <w:autoRedefine/>
    <w:qFormat/>
    <w:uiPriority w:val="0"/>
    <w:rPr>
      <w:kern w:val="2"/>
      <w:sz w:val="21"/>
      <w:szCs w:val="24"/>
    </w:rPr>
  </w:style>
  <w:style w:type="character" w:customStyle="1" w:styleId="439">
    <w:name w:val="HTML 预设格式 字符"/>
    <w:basedOn w:val="65"/>
    <w:link w:val="56"/>
    <w:autoRedefine/>
    <w:qFormat/>
    <w:uiPriority w:val="0"/>
    <w:rPr>
      <w:rFonts w:ascii="Courier New" w:hAnsi="Courier New" w:cs="Courier New"/>
      <w:kern w:val="2"/>
    </w:rPr>
  </w:style>
  <w:style w:type="character" w:customStyle="1" w:styleId="440">
    <w:name w:val="签名 字符"/>
    <w:basedOn w:val="65"/>
    <w:link w:val="44"/>
    <w:autoRedefine/>
    <w:qFormat/>
    <w:uiPriority w:val="0"/>
    <w:rPr>
      <w:rFonts w:ascii="等线" w:hAnsi="等线" w:eastAsia="黑体" w:cs="等线"/>
      <w:sz w:val="24"/>
    </w:rPr>
  </w:style>
  <w:style w:type="paragraph" w:customStyle="1" w:styleId="441">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5"/>
    <w:autoRedefine/>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18"/>
    <w:autoRedefine/>
    <w:qFormat/>
    <w:uiPriority w:val="0"/>
    <w:rPr>
      <w:rFonts w:ascii="Tahoma" w:hAnsi="Tahoma" w:eastAsia="等线" w:cs="Tahoma"/>
      <w:kern w:val="0"/>
      <w:sz w:val="18"/>
    </w:rPr>
  </w:style>
  <w:style w:type="paragraph" w:customStyle="1" w:styleId="444">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5"/>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autoRedefine/>
    <w:qFormat/>
    <w:uiPriority w:val="0"/>
    <w:pPr>
      <w:spacing w:before="120"/>
    </w:pPr>
    <w:rPr>
      <w:rFonts w:ascii="等线" w:hAnsi="等线" w:eastAsia="等线" w:cs="等线"/>
      <w:sz w:val="18"/>
      <w:lang w:val="en-US" w:eastAsia="zh-CN" w:bidi="ar-SA"/>
    </w:rPr>
  </w:style>
  <w:style w:type="character" w:customStyle="1" w:styleId="459">
    <w:name w:val="引用 字符"/>
    <w:basedOn w:val="65"/>
    <w:link w:val="259"/>
    <w:autoRedefine/>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4"/>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6"/>
    <w:autoRedefine/>
    <w:qFormat/>
    <w:uiPriority w:val="0"/>
  </w:style>
  <w:style w:type="paragraph" w:customStyle="1" w:styleId="483">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4">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5"/>
    <w:autoRedefine/>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4"/>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6"/>
    <w:next w:val="16"/>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3"/>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autoRedefine/>
    <w:qFormat/>
    <w:uiPriority w:val="0"/>
    <w:pPr>
      <w:outlineLvl w:val="6"/>
    </w:pPr>
  </w:style>
  <w:style w:type="paragraph" w:customStyle="1" w:styleId="509">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3"/>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autoRedefine/>
    <w:qFormat/>
    <w:uiPriority w:val="0"/>
    <w:pPr>
      <w:ind w:left="1146"/>
    </w:pPr>
  </w:style>
  <w:style w:type="paragraph" w:customStyle="1" w:styleId="51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4"/>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9">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9"/>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3"/>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autoRedefine/>
    <w:qFormat/>
    <w:uiPriority w:val="0"/>
    <w:rPr>
      <w:b/>
    </w:rPr>
  </w:style>
  <w:style w:type="paragraph" w:customStyle="1" w:styleId="535">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autoRedefine/>
    <w:qFormat/>
    <w:uiPriority w:val="99"/>
    <w:rPr>
      <w:rFonts w:ascii="等线" w:hAnsi="等线" w:eastAsia="等线" w:cs="等线"/>
      <w:kern w:val="2"/>
      <w:sz w:val="21"/>
      <w:szCs w:val="24"/>
      <w:lang w:val="en-US" w:eastAsia="zh-CN" w:bidi="ar-SA"/>
    </w:rPr>
  </w:style>
  <w:style w:type="paragraph" w:customStyle="1" w:styleId="541">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4"/>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4"/>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5"/>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8"/>
    <w:autoRedefine/>
    <w:qFormat/>
    <w:uiPriority w:val="0"/>
    <w:pPr>
      <w:ind w:left="1134" w:hanging="1134"/>
    </w:pPr>
    <w:rPr>
      <w:rFonts w:ascii="黑体" w:hAnsi="黑体" w:eastAsia="黑体"/>
      <w:kern w:val="0"/>
    </w:rPr>
  </w:style>
  <w:style w:type="paragraph" w:customStyle="1" w:styleId="564">
    <w:name w:val="Normal0"/>
    <w:autoRedefine/>
    <w:qFormat/>
    <w:uiPriority w:val="0"/>
    <w:rPr>
      <w:rFonts w:ascii="等线" w:hAnsi="等线" w:eastAsia="等线" w:cs="等线"/>
      <w:lang w:val="en-US" w:eastAsia="en-US" w:bidi="ar-SA"/>
    </w:rPr>
  </w:style>
  <w:style w:type="paragraph" w:customStyle="1" w:styleId="565">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3"/>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5"/>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autoRedefine/>
    <w:qFormat/>
    <w:uiPriority w:val="0"/>
    <w:rPr>
      <w:rFonts w:ascii="等线" w:hAnsi="等线" w:eastAsia="黑体" w:cs="等线"/>
      <w:sz w:val="28"/>
    </w:rPr>
  </w:style>
  <w:style w:type="paragraph" w:customStyle="1" w:styleId="58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3"/>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字符"/>
    <w:basedOn w:val="65"/>
    <w:link w:val="323"/>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18"/>
    <w:autoRedefine/>
    <w:qFormat/>
    <w:uiPriority w:val="0"/>
    <w:pPr>
      <w:spacing w:line="360" w:lineRule="auto"/>
      <w:ind w:firstLine="200" w:firstLineChars="200"/>
    </w:pPr>
    <w:rPr>
      <w:rFonts w:ascii="Tahoma" w:hAnsi="Tahoma" w:eastAsia="等线"/>
      <w:sz w:val="24"/>
      <w:szCs w:val="20"/>
    </w:rPr>
  </w:style>
  <w:style w:type="paragraph" w:customStyle="1" w:styleId="59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autoRedefine/>
    <w:qFormat/>
    <w:uiPriority w:val="0"/>
    <w:rPr>
      <w:rFonts w:ascii="等线" w:hAnsi="等线" w:eastAsia="等线" w:cs="等线"/>
    </w:rPr>
  </w:style>
  <w:style w:type="paragraph" w:customStyle="1" w:styleId="601">
    <w:name w:val="标3"/>
    <w:basedOn w:val="5"/>
    <w:next w:val="6"/>
    <w:autoRedefine/>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autoRedefine/>
    <w:qFormat/>
    <w:uiPriority w:val="0"/>
    <w:rPr>
      <w:rFonts w:ascii="等线" w:hAnsi="等线" w:eastAsia="等线" w:cs="等线"/>
      <w:sz w:val="22"/>
      <w:szCs w:val="22"/>
      <w:lang w:val="en-US" w:eastAsia="zh-CN" w:bidi="ar-SA"/>
    </w:rPr>
  </w:style>
  <w:style w:type="paragraph" w:customStyle="1" w:styleId="609">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5"/>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autoRedefine/>
    <w:qFormat/>
    <w:uiPriority w:val="0"/>
    <w:rPr>
      <w:rFonts w:ascii="等线" w:hAnsi="等线" w:eastAsia="等线" w:cs="等线"/>
    </w:rPr>
  </w:style>
  <w:style w:type="paragraph" w:customStyle="1" w:styleId="616">
    <w:name w:val="其他标准标志"/>
    <w:basedOn w:val="496"/>
    <w:autoRedefine/>
    <w:qFormat/>
    <w:uiPriority w:val="0"/>
    <w:pPr>
      <w:framePr w:w="6101" w:vAnchor="page" w:hAnchor="page" w:x="4673" w:y="942"/>
    </w:pPr>
    <w:rPr>
      <w:w w:val="130"/>
    </w:rPr>
  </w:style>
  <w:style w:type="paragraph" w:customStyle="1" w:styleId="61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4"/>
    <w:next w:val="61"/>
    <w:autoRedefine/>
    <w:qFormat/>
    <w:uiPriority w:val="0"/>
    <w:pPr>
      <w:spacing w:line="415" w:lineRule="auto"/>
      <w:ind w:left="420"/>
    </w:pPr>
    <w:rPr>
      <w:rFonts w:eastAsia="黑体"/>
      <w:kern w:val="0"/>
      <w:sz w:val="30"/>
    </w:rPr>
  </w:style>
  <w:style w:type="paragraph" w:customStyle="1" w:styleId="619">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autoRedefine/>
    <w:qFormat/>
    <w:uiPriority w:val="0"/>
    <w:rPr>
      <w:rFonts w:ascii="等线" w:hAnsi="等线" w:eastAsia="等线" w:cs="等线"/>
    </w:rPr>
  </w:style>
  <w:style w:type="paragraph" w:customStyle="1" w:styleId="6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6"/>
    <w:autoRedefine/>
    <w:qFormat/>
    <w:uiPriority w:val="0"/>
    <w:pPr>
      <w:jc w:val="left"/>
    </w:pPr>
    <w:rPr>
      <w:rFonts w:ascii="等线" w:hAnsi="等线" w:eastAsia="等线"/>
      <w:shd w:val="clear" w:color="auto" w:fill="auto"/>
    </w:rPr>
  </w:style>
  <w:style w:type="paragraph" w:customStyle="1" w:styleId="62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5"/>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3"/>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4"/>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7">
    <w:name w:val="_Style 3"/>
    <w:autoRedefine/>
    <w:qFormat/>
    <w:uiPriority w:val="0"/>
    <w:rPr>
      <w:rFonts w:ascii="Calibri" w:hAnsi="Calibri" w:eastAsia="等线" w:cs="等线"/>
      <w:sz w:val="22"/>
      <w:szCs w:val="22"/>
      <w:lang w:val="en-US" w:eastAsia="zh-CN" w:bidi="ar-SA"/>
    </w:rPr>
  </w:style>
  <w:style w:type="paragraph" w:customStyle="1" w:styleId="648">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7"/>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autoRedefine/>
    <w:qFormat/>
    <w:uiPriority w:val="0"/>
    <w:pPr>
      <w:ind w:firstLine="420" w:firstLineChars="200"/>
    </w:pPr>
    <w:rPr>
      <w:rFonts w:ascii="Calibri" w:hAnsi="Calibri" w:eastAsia="等线" w:cs="等线"/>
      <w:szCs w:val="22"/>
    </w:rPr>
  </w:style>
  <w:style w:type="paragraph" w:customStyle="1" w:styleId="657">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3"/>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3">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autoRedefine/>
    <w:qFormat/>
    <w:uiPriority w:val="0"/>
    <w:rPr>
      <w:rFonts w:ascii="等线" w:hAnsi="等线" w:eastAsia="等线" w:cs="等线"/>
    </w:rPr>
  </w:style>
  <w:style w:type="paragraph" w:customStyle="1" w:styleId="6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autoRedefine/>
    <w:qFormat/>
    <w:uiPriority w:val="0"/>
    <w:pPr>
      <w:ind w:left="1418" w:hanging="284"/>
    </w:pPr>
  </w:style>
  <w:style w:type="paragraph" w:customStyle="1" w:styleId="679">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18"/>
    <w:autoRedefine/>
    <w:qFormat/>
    <w:uiPriority w:val="0"/>
    <w:rPr>
      <w:rFonts w:eastAsia="等线"/>
    </w:rPr>
  </w:style>
  <w:style w:type="paragraph" w:customStyle="1" w:styleId="681">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4"/>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autoRedefine/>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autoRedefine/>
    <w:qFormat/>
    <w:uiPriority w:val="0"/>
    <w:rPr>
      <w:rFonts w:ascii="Tahoma" w:hAnsi="Tahoma" w:eastAsia="等线" w:cs="等线"/>
      <w:sz w:val="24"/>
      <w:szCs w:val="20"/>
    </w:rPr>
  </w:style>
  <w:style w:type="paragraph" w:customStyle="1" w:styleId="700">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3"/>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1">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autoRedefine/>
    <w:qFormat/>
    <w:uiPriority w:val="0"/>
    <w:pPr>
      <w:jc w:val="center"/>
    </w:pPr>
    <w:rPr>
      <w:rFonts w:ascii="宋体" w:hAnsi="宋体" w:eastAsia="等线" w:cs="等线"/>
      <w:color w:val="000000"/>
      <w:szCs w:val="21"/>
    </w:rPr>
  </w:style>
  <w:style w:type="paragraph" w:customStyle="1" w:styleId="719">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autoRedefine/>
    <w:qFormat/>
    <w:uiPriority w:val="0"/>
    <w:pPr>
      <w:tabs>
        <w:tab w:val="left" w:pos="360"/>
      </w:tabs>
    </w:pPr>
    <w:rPr>
      <w:rFonts w:ascii="等线" w:hAnsi="等线" w:eastAsia="等线" w:cs="等线"/>
      <w:szCs w:val="20"/>
    </w:rPr>
  </w:style>
  <w:style w:type="paragraph" w:customStyle="1" w:styleId="7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4">
    <w:name w:val="text1"/>
    <w:autoRedefine/>
    <w:qFormat/>
    <w:uiPriority w:val="0"/>
    <w:rPr>
      <w:rFonts w:ascii="等线" w:hAnsi="等线" w:eastAsia="DFKai-SB" w:cs="等线"/>
      <w:sz w:val="28"/>
      <w:lang w:val="en-US" w:eastAsia="zh-TW" w:bidi="ar-SA"/>
    </w:rPr>
  </w:style>
  <w:style w:type="table" w:customStyle="1" w:styleId="735">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2"/>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8">
    <w:name w:val="网格表 1 浅色 - 着色 31"/>
    <w:basedOn w:val="62"/>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autoRedefine/>
    <w:qFormat/>
    <w:uiPriority w:val="99"/>
    <w:rPr>
      <w:kern w:val="2"/>
      <w:sz w:val="24"/>
    </w:rPr>
  </w:style>
  <w:style w:type="character" w:customStyle="1" w:styleId="740">
    <w:name w:val="font51"/>
    <w:autoRedefine/>
    <w:qFormat/>
    <w:uiPriority w:val="0"/>
    <w:rPr>
      <w:rFonts w:hint="eastAsia" w:ascii="宋体" w:hAnsi="宋体" w:eastAsia="宋体" w:cs="宋体"/>
      <w:color w:val="000000"/>
      <w:sz w:val="24"/>
      <w:szCs w:val="24"/>
      <w:u w:val="none"/>
    </w:rPr>
  </w:style>
  <w:style w:type="character" w:customStyle="1" w:styleId="741">
    <w:name w:val="fontstyle31"/>
    <w:autoRedefine/>
    <w:qFormat/>
    <w:uiPriority w:val="0"/>
    <w:rPr>
      <w:rFonts w:ascii="TimesNewRomanPSMT" w:hAnsi="TimesNewRomanPSMT" w:eastAsia="TimesNewRomanPSMT" w:cs="TimesNewRomanPSMT"/>
      <w:color w:val="000000"/>
      <w:sz w:val="22"/>
      <w:szCs w:val="22"/>
    </w:rPr>
  </w:style>
  <w:style w:type="character" w:customStyle="1" w:styleId="742">
    <w:name w:val="尾注文本 Char"/>
    <w:autoRedefine/>
    <w:qFormat/>
    <w:uiPriority w:val="1"/>
    <w:rPr>
      <w:kern w:val="2"/>
      <w:sz w:val="28"/>
      <w:szCs w:val="24"/>
    </w:rPr>
  </w:style>
  <w:style w:type="character" w:customStyle="1" w:styleId="743">
    <w:name w:val="font81"/>
    <w:autoRedefine/>
    <w:qFormat/>
    <w:uiPriority w:val="0"/>
    <w:rPr>
      <w:rFonts w:hint="eastAsia" w:ascii="宋体" w:hAnsi="宋体" w:eastAsia="宋体" w:cs="宋体"/>
      <w:color w:val="000000"/>
      <w:sz w:val="20"/>
      <w:szCs w:val="20"/>
      <w:u w:val="none"/>
    </w:rPr>
  </w:style>
  <w:style w:type="character" w:customStyle="1" w:styleId="744">
    <w:name w:val="font101"/>
    <w:autoRedefine/>
    <w:qFormat/>
    <w:uiPriority w:val="0"/>
    <w:rPr>
      <w:rFonts w:hint="eastAsia" w:ascii="宋体" w:hAnsi="宋体" w:eastAsia="宋体" w:cs="宋体"/>
      <w:b/>
      <w:color w:val="000000"/>
      <w:sz w:val="24"/>
      <w:szCs w:val="24"/>
      <w:u w:val="none"/>
    </w:rPr>
  </w:style>
  <w:style w:type="character" w:customStyle="1" w:styleId="745">
    <w:name w:val="表头编号 Char"/>
    <w:link w:val="746"/>
    <w:autoRedefine/>
    <w:qFormat/>
    <w:uiPriority w:val="0"/>
    <w:rPr>
      <w:rFonts w:eastAsia="黑体"/>
      <w:sz w:val="24"/>
      <w:szCs w:val="24"/>
    </w:rPr>
  </w:style>
  <w:style w:type="paragraph" w:customStyle="1" w:styleId="746">
    <w:name w:val="表头编号"/>
    <w:basedOn w:val="1"/>
    <w:next w:val="747"/>
    <w:link w:val="745"/>
    <w:autoRedefine/>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8">
    <w:name w:val="表格文字 Char"/>
    <w:link w:val="76"/>
    <w:autoRedefine/>
    <w:qFormat/>
    <w:uiPriority w:val="0"/>
    <w:rPr>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字符"/>
    <w:basedOn w:val="65"/>
    <w:link w:val="39"/>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6"/>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eastAsia="宋体" w:asciiTheme="majorHAnsi" w:hAnsiTheme="majorHAnsi" w:cstheme="majorBidi"/>
      <w:b/>
      <w:bCs/>
      <w:sz w:val="32"/>
      <w:szCs w:val="32"/>
    </w:rPr>
  </w:style>
  <w:style w:type="paragraph" w:customStyle="1" w:styleId="783">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3"/>
    <w:next w:val="3"/>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4"/>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5"/>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7"/>
    <w:autoRedefine/>
    <w:qFormat/>
    <w:uiPriority w:val="0"/>
    <w:rPr>
      <w:color w:val="000000"/>
      <w:sz w:val="24"/>
      <w:szCs w:val="21"/>
    </w:rPr>
  </w:style>
  <w:style w:type="character" w:customStyle="1" w:styleId="809">
    <w:name w:val="批注主题 Char1"/>
    <w:basedOn w:val="114"/>
    <w:autoRedefine/>
    <w:semiHidden/>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7"/>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semiHidden/>
    <w:unhideWhenUsed/>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字符1"/>
    <w:link w:val="4"/>
    <w:autoRedefine/>
    <w:qFormat/>
    <w:uiPriority w:val="0"/>
    <w:rPr>
      <w:rFonts w:ascii="仿宋_GB2312" w:hAnsi="仿宋" w:eastAsia="仿宋_GB2312"/>
      <w:b/>
      <w:bCs/>
      <w:sz w:val="32"/>
      <w:szCs w:val="32"/>
      <w:lang w:val="zh-CN"/>
    </w:rPr>
  </w:style>
  <w:style w:type="paragraph" w:customStyle="1" w:styleId="819">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20">
    <w:name w:val="font151"/>
    <w:basedOn w:val="65"/>
    <w:autoRedefine/>
    <w:qFormat/>
    <w:uiPriority w:val="0"/>
    <w:rPr>
      <w:rFonts w:hint="eastAsia" w:ascii="宋体" w:hAnsi="宋体" w:eastAsia="宋体" w:cs="宋体"/>
      <w:color w:val="FF0000"/>
      <w:sz w:val="22"/>
      <w:szCs w:val="22"/>
      <w:u w:val="none"/>
    </w:rPr>
  </w:style>
  <w:style w:type="character" w:customStyle="1" w:styleId="821">
    <w:name w:val="font91"/>
    <w:basedOn w:val="65"/>
    <w:autoRedefine/>
    <w:qFormat/>
    <w:uiPriority w:val="0"/>
    <w:rPr>
      <w:rFonts w:hint="eastAsia" w:ascii="宋体" w:hAnsi="宋体" w:eastAsia="宋体" w:cs="宋体"/>
      <w:color w:val="000000"/>
      <w:sz w:val="22"/>
      <w:szCs w:val="22"/>
      <w:u w:val="none"/>
    </w:rPr>
  </w:style>
  <w:style w:type="character" w:customStyle="1" w:styleId="822">
    <w:name w:val="font141"/>
    <w:basedOn w:val="65"/>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5671</Words>
  <Characters>6375</Characters>
  <Lines>1</Lines>
  <Paragraphs>1</Paragraphs>
  <TotalTime>163</TotalTime>
  <ScaleCrop>false</ScaleCrop>
  <LinksUpToDate>false</LinksUpToDate>
  <CharactersWithSpaces>6474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2022-01-05T07:18:00Z</dcterms:created>
  <dc:creator>LCMZX</dc:creator>
  <cp:lastModifiedBy>名进</cp:lastModifiedBy>
  <cp:lastPrinted>2025-06-12T03:05:00Z</cp:lastPrinted>
  <dcterms:modified xsi:type="dcterms:W3CDTF">2025-07-08T01:21:37Z</dcterms:modified>
  <dc:title>温州市政府采购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025166E9A5EE46B19AD718C8CA266688_13</vt:lpwstr>
  </property>
  <property fmtid="{D5CDD505-2E9C-101B-9397-08002B2CF9AE}" pid="4" name="commondata">
    <vt:lpwstr>eyJoZGlkIjoiZDRhNzcwYWMxNDc0YjRjN2UxZDk1NTg4ZWEwNTIzZDUifQ==</vt:lpwstr>
  </property>
  <property fmtid="{D5CDD505-2E9C-101B-9397-08002B2CF9AE}" pid="5" name="KSOTemplateDocerSaveRecord">
    <vt:lpwstr>eyJoZGlkIjoiYzM0Yzg5OWM4MzVlNDU2YTcyMmRkZmI1MDU2ZjM3ZTQiLCJ1c2VySWQiOiIxNjY5ODg1ODUxIn0=</vt:lpwstr>
  </property>
</Properties>
</file>