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54DB18">
      <w:pPr>
        <w:spacing w:line="960" w:lineRule="auto"/>
        <w:rPr>
          <w:rFonts w:ascii="宋体" w:hAnsi="宋体" w:cs="宋体"/>
          <w:color w:val="auto"/>
          <w:highlight w:val="none"/>
        </w:rPr>
      </w:pPr>
    </w:p>
    <w:p w14:paraId="771BF61B">
      <w:pPr>
        <w:jc w:val="center"/>
        <w:rPr>
          <w:rFonts w:ascii="宋体" w:hAnsi="宋体" w:cs="宋体"/>
          <w:b/>
          <w:color w:val="auto"/>
          <w:sz w:val="44"/>
          <w:szCs w:val="44"/>
          <w:highlight w:val="none"/>
        </w:rPr>
      </w:pPr>
      <w:bookmarkStart w:id="0" w:name="_Toc493956011"/>
      <w:bookmarkStart w:id="1" w:name="_Toc493928401"/>
      <w:r>
        <w:rPr>
          <w:rFonts w:hint="eastAsia" w:ascii="宋体" w:hAnsi="宋体" w:cs="宋体"/>
          <w:color w:val="auto"/>
          <w:sz w:val="72"/>
          <w:szCs w:val="72"/>
          <w:highlight w:val="none"/>
        </w:rPr>
        <w:t>公开招标文件</w:t>
      </w:r>
      <w:bookmarkEnd w:id="0"/>
      <w:bookmarkEnd w:id="1"/>
      <w:r>
        <w:rPr>
          <w:rFonts w:hint="eastAsia" w:ascii="宋体" w:hAnsi="宋体" w:cs="宋体"/>
          <w:b/>
          <w:color w:val="auto"/>
          <w:sz w:val="44"/>
          <w:szCs w:val="44"/>
          <w:highlight w:val="none"/>
        </w:rPr>
        <w:t xml:space="preserve"> </w:t>
      </w:r>
    </w:p>
    <w:p w14:paraId="44C3CDB2">
      <w:pPr>
        <w:jc w:val="center"/>
        <w:rPr>
          <w:rFonts w:ascii="宋体" w:hAnsi="宋体" w:cs="宋体"/>
          <w:color w:val="auto"/>
          <w:sz w:val="72"/>
          <w:szCs w:val="72"/>
          <w:highlight w:val="none"/>
        </w:rPr>
      </w:pPr>
      <w:r>
        <w:rPr>
          <w:rFonts w:hint="eastAsia" w:ascii="宋体" w:hAnsi="宋体" w:cs="宋体"/>
          <w:b/>
          <w:color w:val="auto"/>
          <w:sz w:val="44"/>
          <w:szCs w:val="44"/>
          <w:highlight w:val="none"/>
        </w:rPr>
        <w:t>（电子招投标）</w:t>
      </w:r>
    </w:p>
    <w:p w14:paraId="6F944537">
      <w:pPr>
        <w:jc w:val="center"/>
        <w:rPr>
          <w:rFonts w:ascii="宋体" w:hAnsi="宋体" w:cs="宋体"/>
          <w:color w:val="auto"/>
          <w:sz w:val="36"/>
          <w:szCs w:val="36"/>
          <w:highlight w:val="none"/>
        </w:rPr>
      </w:pPr>
    </w:p>
    <w:p w14:paraId="38701F1F">
      <w:pPr>
        <w:spacing w:line="480" w:lineRule="auto"/>
        <w:rPr>
          <w:rFonts w:ascii="宋体" w:hAnsi="宋体" w:cs="宋体"/>
          <w:color w:val="auto"/>
          <w:highlight w:val="none"/>
        </w:rPr>
      </w:pPr>
    </w:p>
    <w:p w14:paraId="6CCD5B03">
      <w:pPr>
        <w:spacing w:line="480" w:lineRule="auto"/>
        <w:rPr>
          <w:rFonts w:ascii="宋体" w:hAnsi="宋体" w:cs="宋体"/>
          <w:color w:val="auto"/>
          <w:highlight w:val="none"/>
        </w:rPr>
      </w:pPr>
    </w:p>
    <w:p w14:paraId="000552FD">
      <w:pPr>
        <w:spacing w:line="480" w:lineRule="auto"/>
        <w:rPr>
          <w:rFonts w:ascii="宋体" w:hAnsi="宋体" w:cs="宋体"/>
          <w:color w:val="auto"/>
          <w:highlight w:val="none"/>
        </w:rPr>
      </w:pPr>
    </w:p>
    <w:p w14:paraId="22ABFC4B">
      <w:pPr>
        <w:spacing w:line="480" w:lineRule="auto"/>
        <w:rPr>
          <w:rFonts w:ascii="宋体" w:hAnsi="宋体" w:cs="宋体"/>
          <w:color w:val="auto"/>
          <w:highlight w:val="none"/>
        </w:rPr>
      </w:pPr>
    </w:p>
    <w:tbl>
      <w:tblPr>
        <w:tblStyle w:val="24"/>
        <w:tblW w:w="7453" w:type="dxa"/>
        <w:jc w:val="center"/>
        <w:tblLayout w:type="fixed"/>
        <w:tblCellMar>
          <w:top w:w="0" w:type="dxa"/>
          <w:left w:w="108" w:type="dxa"/>
          <w:bottom w:w="0" w:type="dxa"/>
          <w:right w:w="108" w:type="dxa"/>
        </w:tblCellMar>
      </w:tblPr>
      <w:tblGrid>
        <w:gridCol w:w="2311"/>
        <w:gridCol w:w="5142"/>
      </w:tblGrid>
      <w:tr w14:paraId="50C15D65">
        <w:tblPrEx>
          <w:tblCellMar>
            <w:top w:w="0" w:type="dxa"/>
            <w:left w:w="108" w:type="dxa"/>
            <w:bottom w:w="0" w:type="dxa"/>
            <w:right w:w="108" w:type="dxa"/>
          </w:tblCellMar>
        </w:tblPrEx>
        <w:trPr>
          <w:trHeight w:val="737" w:hRule="atLeast"/>
          <w:jc w:val="center"/>
        </w:trPr>
        <w:tc>
          <w:tcPr>
            <w:tcW w:w="2311" w:type="dxa"/>
            <w:vAlign w:val="center"/>
          </w:tcPr>
          <w:p w14:paraId="1E11C139">
            <w:pPr>
              <w:ind w:right="-109" w:rightChars="-52"/>
              <w:jc w:val="distribute"/>
              <w:rPr>
                <w:rFonts w:ascii="宋体" w:hAnsi="宋体" w:cs="宋体"/>
                <w:color w:val="auto"/>
                <w:sz w:val="32"/>
                <w:szCs w:val="32"/>
                <w:highlight w:val="none"/>
              </w:rPr>
            </w:pPr>
            <w:bookmarkStart w:id="2" w:name="_Toc493928402"/>
            <w:bookmarkStart w:id="3" w:name="_Toc493956012"/>
            <w:r>
              <w:rPr>
                <w:rFonts w:hint="eastAsia" w:ascii="宋体" w:hAnsi="宋体" w:cs="宋体"/>
                <w:color w:val="auto"/>
                <w:sz w:val="32"/>
                <w:szCs w:val="32"/>
                <w:highlight w:val="none"/>
              </w:rPr>
              <w:t>项目编号：</w:t>
            </w:r>
            <w:bookmarkEnd w:id="2"/>
            <w:bookmarkEnd w:id="3"/>
          </w:p>
        </w:tc>
        <w:tc>
          <w:tcPr>
            <w:tcW w:w="5142" w:type="dxa"/>
            <w:vAlign w:val="center"/>
          </w:tcPr>
          <w:p w14:paraId="65D06D99">
            <w:pPr>
              <w:ind w:left="-103" w:leftChars="-49"/>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浙鼎峰招[2025]149号</w:t>
            </w:r>
          </w:p>
        </w:tc>
      </w:tr>
      <w:tr w14:paraId="2EC4E90E">
        <w:tblPrEx>
          <w:tblCellMar>
            <w:top w:w="0" w:type="dxa"/>
            <w:left w:w="108" w:type="dxa"/>
            <w:bottom w:w="0" w:type="dxa"/>
            <w:right w:w="108" w:type="dxa"/>
          </w:tblCellMar>
        </w:tblPrEx>
        <w:trPr>
          <w:trHeight w:val="737" w:hRule="atLeast"/>
          <w:jc w:val="center"/>
        </w:trPr>
        <w:tc>
          <w:tcPr>
            <w:tcW w:w="2311" w:type="dxa"/>
            <w:vAlign w:val="center"/>
          </w:tcPr>
          <w:p w14:paraId="58055953">
            <w:pPr>
              <w:ind w:right="-109" w:rightChars="-52"/>
              <w:jc w:val="distribute"/>
              <w:rPr>
                <w:rFonts w:ascii="宋体" w:hAnsi="宋体" w:cs="宋体"/>
                <w:color w:val="auto"/>
                <w:sz w:val="32"/>
                <w:szCs w:val="32"/>
                <w:highlight w:val="none"/>
              </w:rPr>
            </w:pPr>
            <w:bookmarkStart w:id="4" w:name="_Toc493928404"/>
            <w:bookmarkStart w:id="5" w:name="_Toc493956014"/>
            <w:r>
              <w:rPr>
                <w:rFonts w:hint="eastAsia" w:ascii="宋体" w:hAnsi="宋体" w:cs="宋体"/>
                <w:color w:val="auto"/>
                <w:sz w:val="32"/>
                <w:szCs w:val="32"/>
                <w:highlight w:val="none"/>
              </w:rPr>
              <w:t>项目名称：</w:t>
            </w:r>
            <w:bookmarkEnd w:id="4"/>
            <w:bookmarkEnd w:id="5"/>
          </w:p>
        </w:tc>
        <w:tc>
          <w:tcPr>
            <w:tcW w:w="5142" w:type="dxa"/>
            <w:vAlign w:val="center"/>
          </w:tcPr>
          <w:p w14:paraId="415A6B94">
            <w:pPr>
              <w:ind w:left="-103" w:leftChars="-49"/>
              <w:jc w:val="left"/>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丽水学院基础设施维修工程（一期）设备采购 </w:t>
            </w:r>
          </w:p>
        </w:tc>
      </w:tr>
      <w:tr w14:paraId="58B685CB">
        <w:tblPrEx>
          <w:tblCellMar>
            <w:top w:w="0" w:type="dxa"/>
            <w:left w:w="108" w:type="dxa"/>
            <w:bottom w:w="0" w:type="dxa"/>
            <w:right w:w="108" w:type="dxa"/>
          </w:tblCellMar>
        </w:tblPrEx>
        <w:trPr>
          <w:trHeight w:val="737" w:hRule="atLeast"/>
          <w:jc w:val="center"/>
        </w:trPr>
        <w:tc>
          <w:tcPr>
            <w:tcW w:w="2311" w:type="dxa"/>
            <w:vAlign w:val="center"/>
          </w:tcPr>
          <w:p w14:paraId="7C18CD44">
            <w:pPr>
              <w:ind w:right="-109" w:rightChars="-52"/>
              <w:jc w:val="distribute"/>
              <w:rPr>
                <w:rFonts w:ascii="宋体" w:hAnsi="宋体" w:cs="宋体"/>
                <w:color w:val="auto"/>
                <w:sz w:val="32"/>
                <w:szCs w:val="32"/>
                <w:highlight w:val="none"/>
              </w:rPr>
            </w:pPr>
            <w:bookmarkStart w:id="6" w:name="_Toc493928406"/>
            <w:bookmarkStart w:id="7" w:name="_Toc493956016"/>
            <w:r>
              <w:rPr>
                <w:rFonts w:hint="eastAsia" w:ascii="宋体" w:hAnsi="宋体" w:cs="宋体"/>
                <w:color w:val="auto"/>
                <w:sz w:val="32"/>
                <w:szCs w:val="32"/>
                <w:highlight w:val="none"/>
              </w:rPr>
              <w:t>采 购 人：</w:t>
            </w:r>
            <w:bookmarkEnd w:id="6"/>
            <w:bookmarkEnd w:id="7"/>
          </w:p>
        </w:tc>
        <w:tc>
          <w:tcPr>
            <w:tcW w:w="5142" w:type="dxa"/>
            <w:vAlign w:val="center"/>
          </w:tcPr>
          <w:p w14:paraId="7BDB3104">
            <w:pPr>
              <w:ind w:left="-103" w:leftChars="-49"/>
              <w:jc w:val="left"/>
              <w:rPr>
                <w:rFonts w:ascii="宋体" w:hAnsi="宋体" w:cs="宋体"/>
                <w:color w:val="auto"/>
                <w:sz w:val="32"/>
                <w:szCs w:val="32"/>
                <w:highlight w:val="none"/>
              </w:rPr>
            </w:pPr>
            <w:r>
              <w:rPr>
                <w:rFonts w:hint="eastAsia" w:ascii="宋体" w:hAnsi="宋体" w:cs="宋体"/>
                <w:color w:val="auto"/>
                <w:sz w:val="32"/>
                <w:szCs w:val="32"/>
                <w:highlight w:val="none"/>
              </w:rPr>
              <w:t>丽水学院</w:t>
            </w:r>
          </w:p>
        </w:tc>
      </w:tr>
      <w:tr w14:paraId="3182366E">
        <w:tblPrEx>
          <w:tblCellMar>
            <w:top w:w="0" w:type="dxa"/>
            <w:left w:w="108" w:type="dxa"/>
            <w:bottom w:w="0" w:type="dxa"/>
            <w:right w:w="108" w:type="dxa"/>
          </w:tblCellMar>
        </w:tblPrEx>
        <w:trPr>
          <w:trHeight w:val="737" w:hRule="atLeast"/>
          <w:jc w:val="center"/>
        </w:trPr>
        <w:tc>
          <w:tcPr>
            <w:tcW w:w="2311" w:type="dxa"/>
            <w:vAlign w:val="center"/>
          </w:tcPr>
          <w:p w14:paraId="366B46E2">
            <w:pPr>
              <w:ind w:right="-109" w:rightChars="-52"/>
              <w:jc w:val="distribute"/>
              <w:rPr>
                <w:rFonts w:ascii="宋体" w:hAnsi="宋体" w:cs="宋体"/>
                <w:color w:val="auto"/>
                <w:sz w:val="32"/>
                <w:szCs w:val="32"/>
                <w:highlight w:val="none"/>
              </w:rPr>
            </w:pPr>
          </w:p>
        </w:tc>
        <w:tc>
          <w:tcPr>
            <w:tcW w:w="5142" w:type="dxa"/>
            <w:vAlign w:val="center"/>
          </w:tcPr>
          <w:p w14:paraId="741BB1CE">
            <w:pPr>
              <w:ind w:left="-103" w:leftChars="-49"/>
              <w:jc w:val="left"/>
              <w:rPr>
                <w:rFonts w:ascii="宋体" w:hAnsi="宋体" w:cs="宋体"/>
                <w:color w:val="auto"/>
                <w:sz w:val="32"/>
                <w:szCs w:val="32"/>
                <w:highlight w:val="none"/>
              </w:rPr>
            </w:pPr>
          </w:p>
        </w:tc>
      </w:tr>
      <w:tr w14:paraId="4CEEC79C">
        <w:tblPrEx>
          <w:tblCellMar>
            <w:top w:w="0" w:type="dxa"/>
            <w:left w:w="108" w:type="dxa"/>
            <w:bottom w:w="0" w:type="dxa"/>
            <w:right w:w="108" w:type="dxa"/>
          </w:tblCellMar>
        </w:tblPrEx>
        <w:trPr>
          <w:trHeight w:val="737" w:hRule="atLeast"/>
          <w:jc w:val="center"/>
        </w:trPr>
        <w:tc>
          <w:tcPr>
            <w:tcW w:w="2311" w:type="dxa"/>
            <w:vAlign w:val="center"/>
          </w:tcPr>
          <w:p w14:paraId="38D92C75">
            <w:pPr>
              <w:ind w:right="-109" w:rightChars="-52"/>
              <w:jc w:val="distribute"/>
              <w:rPr>
                <w:rFonts w:ascii="宋体" w:hAnsi="宋体" w:cs="宋体"/>
                <w:color w:val="auto"/>
                <w:sz w:val="32"/>
                <w:szCs w:val="32"/>
                <w:highlight w:val="none"/>
              </w:rPr>
            </w:pPr>
          </w:p>
        </w:tc>
        <w:tc>
          <w:tcPr>
            <w:tcW w:w="5142" w:type="dxa"/>
            <w:vAlign w:val="center"/>
          </w:tcPr>
          <w:p w14:paraId="3F291E6F">
            <w:pPr>
              <w:tabs>
                <w:tab w:val="left" w:pos="963"/>
              </w:tabs>
              <w:ind w:left="-103" w:leftChars="-49"/>
              <w:jc w:val="left"/>
              <w:rPr>
                <w:rFonts w:hint="eastAsia" w:ascii="宋体" w:hAnsi="宋体" w:eastAsia="宋体" w:cs="宋体"/>
                <w:color w:val="auto"/>
                <w:sz w:val="32"/>
                <w:szCs w:val="32"/>
                <w:highlight w:val="none"/>
                <w:lang w:eastAsia="zh-CN"/>
              </w:rPr>
            </w:pPr>
          </w:p>
        </w:tc>
      </w:tr>
      <w:tr w14:paraId="3F65AD5C">
        <w:tblPrEx>
          <w:tblCellMar>
            <w:top w:w="0" w:type="dxa"/>
            <w:left w:w="108" w:type="dxa"/>
            <w:bottom w:w="0" w:type="dxa"/>
            <w:right w:w="108" w:type="dxa"/>
          </w:tblCellMar>
        </w:tblPrEx>
        <w:trPr>
          <w:trHeight w:val="737" w:hRule="atLeast"/>
          <w:jc w:val="center"/>
        </w:trPr>
        <w:tc>
          <w:tcPr>
            <w:tcW w:w="2311" w:type="dxa"/>
            <w:vAlign w:val="center"/>
          </w:tcPr>
          <w:p w14:paraId="3DED3983">
            <w:pPr>
              <w:ind w:right="-109" w:rightChars="-52"/>
              <w:jc w:val="distribute"/>
              <w:rPr>
                <w:rFonts w:ascii="宋体" w:hAnsi="宋体" w:cs="宋体"/>
                <w:color w:val="auto"/>
                <w:sz w:val="32"/>
                <w:szCs w:val="32"/>
                <w:highlight w:val="none"/>
              </w:rPr>
            </w:pPr>
            <w:r>
              <w:rPr>
                <w:rFonts w:hint="eastAsia" w:ascii="宋体" w:hAnsi="宋体" w:cs="宋体"/>
                <w:color w:val="auto"/>
                <w:sz w:val="32"/>
                <w:szCs w:val="32"/>
                <w:highlight w:val="none"/>
              </w:rPr>
              <w:t>采购代理机构：</w:t>
            </w:r>
          </w:p>
        </w:tc>
        <w:tc>
          <w:tcPr>
            <w:tcW w:w="5142" w:type="dxa"/>
            <w:vAlign w:val="center"/>
          </w:tcPr>
          <w:p w14:paraId="3B2A4471">
            <w:pPr>
              <w:ind w:left="-103" w:leftChars="-49"/>
              <w:jc w:val="left"/>
              <w:rPr>
                <w:rFonts w:ascii="宋体" w:hAnsi="宋体" w:cs="宋体"/>
                <w:color w:val="auto"/>
                <w:sz w:val="32"/>
                <w:szCs w:val="32"/>
                <w:highlight w:val="none"/>
              </w:rPr>
            </w:pPr>
            <w:r>
              <w:rPr>
                <w:rFonts w:hint="eastAsia" w:ascii="宋体" w:hAnsi="宋体" w:cs="宋体"/>
                <w:color w:val="auto"/>
                <w:sz w:val="32"/>
                <w:szCs w:val="32"/>
                <w:highlight w:val="none"/>
              </w:rPr>
              <w:t>浙江鼎峰工程咨询有限公司</w:t>
            </w:r>
          </w:p>
        </w:tc>
      </w:tr>
      <w:tr w14:paraId="7AA6E6B6">
        <w:tblPrEx>
          <w:tblCellMar>
            <w:top w:w="0" w:type="dxa"/>
            <w:left w:w="108" w:type="dxa"/>
            <w:bottom w:w="0" w:type="dxa"/>
            <w:right w:w="108" w:type="dxa"/>
          </w:tblCellMar>
        </w:tblPrEx>
        <w:trPr>
          <w:trHeight w:val="737" w:hRule="atLeast"/>
          <w:jc w:val="center"/>
        </w:trPr>
        <w:tc>
          <w:tcPr>
            <w:tcW w:w="2311" w:type="dxa"/>
            <w:vAlign w:val="center"/>
          </w:tcPr>
          <w:p w14:paraId="3352EF68">
            <w:pPr>
              <w:ind w:right="-109" w:rightChars="-52"/>
              <w:jc w:val="distribute"/>
              <w:rPr>
                <w:rFonts w:ascii="宋体" w:hAnsi="宋体" w:cs="宋体"/>
                <w:color w:val="auto"/>
                <w:sz w:val="32"/>
                <w:szCs w:val="32"/>
                <w:highlight w:val="none"/>
              </w:rPr>
            </w:pPr>
            <w:r>
              <w:rPr>
                <w:rFonts w:hint="eastAsia" w:ascii="宋体" w:hAnsi="宋体" w:cs="宋体"/>
                <w:color w:val="auto"/>
                <w:sz w:val="32"/>
                <w:szCs w:val="32"/>
                <w:highlight w:val="none"/>
              </w:rPr>
              <w:t>地        址：</w:t>
            </w:r>
          </w:p>
        </w:tc>
        <w:tc>
          <w:tcPr>
            <w:tcW w:w="5142" w:type="dxa"/>
            <w:vAlign w:val="center"/>
          </w:tcPr>
          <w:p w14:paraId="54C2D17C">
            <w:pPr>
              <w:ind w:left="-103" w:leftChars="-49"/>
              <w:jc w:val="left"/>
              <w:rPr>
                <w:rFonts w:ascii="宋体" w:hAnsi="宋体" w:cs="宋体"/>
                <w:color w:val="auto"/>
                <w:sz w:val="32"/>
                <w:szCs w:val="32"/>
                <w:highlight w:val="none"/>
              </w:rPr>
            </w:pPr>
            <w:r>
              <w:rPr>
                <w:rFonts w:hint="eastAsia" w:ascii="宋体" w:hAnsi="宋体" w:cs="宋体"/>
                <w:color w:val="auto"/>
                <w:sz w:val="32"/>
                <w:szCs w:val="32"/>
                <w:highlight w:val="none"/>
              </w:rPr>
              <w:t>丽水市莲都区庆春街979号1楼</w:t>
            </w:r>
          </w:p>
        </w:tc>
      </w:tr>
      <w:tr w14:paraId="57A0DED5">
        <w:tblPrEx>
          <w:tblCellMar>
            <w:top w:w="0" w:type="dxa"/>
            <w:left w:w="108" w:type="dxa"/>
            <w:bottom w:w="0" w:type="dxa"/>
            <w:right w:w="108" w:type="dxa"/>
          </w:tblCellMar>
        </w:tblPrEx>
        <w:trPr>
          <w:trHeight w:val="737" w:hRule="atLeast"/>
          <w:jc w:val="center"/>
        </w:trPr>
        <w:tc>
          <w:tcPr>
            <w:tcW w:w="2311" w:type="dxa"/>
            <w:vAlign w:val="center"/>
          </w:tcPr>
          <w:p w14:paraId="0DA62F38">
            <w:pPr>
              <w:ind w:right="-84" w:rightChars="-40"/>
              <w:rPr>
                <w:rFonts w:ascii="宋体" w:hAnsi="宋体" w:cs="宋体"/>
                <w:color w:val="auto"/>
                <w:sz w:val="32"/>
                <w:szCs w:val="32"/>
                <w:highlight w:val="none"/>
              </w:rPr>
            </w:pPr>
          </w:p>
        </w:tc>
        <w:tc>
          <w:tcPr>
            <w:tcW w:w="5142" w:type="dxa"/>
            <w:vAlign w:val="center"/>
          </w:tcPr>
          <w:p w14:paraId="42707C4A">
            <w:pPr>
              <w:ind w:left="-103" w:leftChars="-49"/>
              <w:rPr>
                <w:rFonts w:ascii="宋体" w:hAnsi="宋体" w:cs="宋体"/>
                <w:color w:val="auto"/>
                <w:sz w:val="32"/>
                <w:szCs w:val="32"/>
                <w:highlight w:val="none"/>
              </w:rPr>
            </w:pPr>
          </w:p>
        </w:tc>
      </w:tr>
      <w:tr w14:paraId="3098AC99">
        <w:tblPrEx>
          <w:tblCellMar>
            <w:top w:w="0" w:type="dxa"/>
            <w:left w:w="108" w:type="dxa"/>
            <w:bottom w:w="0" w:type="dxa"/>
            <w:right w:w="108" w:type="dxa"/>
          </w:tblCellMar>
        </w:tblPrEx>
        <w:trPr>
          <w:trHeight w:val="737" w:hRule="atLeast"/>
          <w:jc w:val="center"/>
        </w:trPr>
        <w:tc>
          <w:tcPr>
            <w:tcW w:w="7453" w:type="dxa"/>
            <w:gridSpan w:val="2"/>
            <w:vAlign w:val="center"/>
          </w:tcPr>
          <w:p w14:paraId="7ECFB800">
            <w:pPr>
              <w:jc w:val="center"/>
              <w:rPr>
                <w:rFonts w:ascii="宋体" w:hAnsi="宋体" w:cs="宋体"/>
                <w:color w:val="auto"/>
                <w:sz w:val="32"/>
                <w:szCs w:val="32"/>
                <w:highlight w:val="none"/>
              </w:rPr>
            </w:pPr>
            <w:r>
              <w:rPr>
                <w:rFonts w:hint="eastAsia" w:ascii="宋体" w:hAnsi="宋体" w:cs="宋体"/>
                <w:color w:val="auto"/>
                <w:sz w:val="32"/>
                <w:szCs w:val="32"/>
                <w:highlight w:val="none"/>
                <w:lang w:eastAsia="zh-CN"/>
              </w:rPr>
              <w:t>2025</w:t>
            </w:r>
            <w:r>
              <w:rPr>
                <w:rFonts w:hint="eastAsia" w:ascii="宋体" w:hAnsi="宋体" w:cs="宋体"/>
                <w:color w:val="auto"/>
                <w:sz w:val="32"/>
                <w:szCs w:val="32"/>
                <w:highlight w:val="none"/>
              </w:rPr>
              <w:t>年</w:t>
            </w:r>
            <w:r>
              <w:rPr>
                <w:rFonts w:hint="eastAsia" w:ascii="宋体" w:hAnsi="宋体" w:cs="宋体"/>
                <w:color w:val="auto"/>
                <w:sz w:val="32"/>
                <w:szCs w:val="32"/>
                <w:highlight w:val="none"/>
                <w:lang w:val="en-US" w:eastAsia="zh-CN"/>
              </w:rPr>
              <w:t>6</w:t>
            </w:r>
            <w:r>
              <w:rPr>
                <w:rFonts w:hint="eastAsia" w:ascii="宋体" w:hAnsi="宋体" w:cs="宋体"/>
                <w:color w:val="auto"/>
                <w:sz w:val="32"/>
                <w:szCs w:val="32"/>
                <w:highlight w:val="none"/>
              </w:rPr>
              <w:t>月</w:t>
            </w:r>
          </w:p>
        </w:tc>
      </w:tr>
    </w:tbl>
    <w:p w14:paraId="7A2DD376">
      <w:pPr>
        <w:spacing w:line="480" w:lineRule="auto"/>
        <w:rPr>
          <w:rFonts w:ascii="宋体" w:hAnsi="宋体" w:cs="宋体"/>
          <w:color w:val="auto"/>
          <w:highlight w:val="none"/>
        </w:rPr>
        <w:sectPr>
          <w:headerReference r:id="rId4" w:type="first"/>
          <w:footerReference r:id="rId6" w:type="first"/>
          <w:headerReference r:id="rId3" w:type="default"/>
          <w:footerReference r:id="rId5"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titlePg/>
          <w:docGrid w:linePitch="312" w:charSpace="0"/>
        </w:sectPr>
      </w:pPr>
    </w:p>
    <w:p w14:paraId="18961F6E">
      <w:pPr>
        <w:pStyle w:val="23"/>
        <w:spacing w:after="240"/>
        <w:rPr>
          <w:rFonts w:hint="eastAsia" w:ascii="宋体" w:hAnsi="宋体" w:cs="宋体"/>
          <w:color w:val="auto"/>
          <w:highlight w:val="none"/>
        </w:rPr>
      </w:pPr>
      <w:bookmarkStart w:id="8" w:name="_Toc25687"/>
      <w:bookmarkStart w:id="9" w:name="_Toc1245"/>
      <w:bookmarkStart w:id="10" w:name="_Toc97212953"/>
      <w:bookmarkStart w:id="11" w:name="_Toc531358958"/>
      <w:bookmarkStart w:id="12" w:name="_Toc530551803"/>
      <w:bookmarkStart w:id="13" w:name="_Toc25846"/>
      <w:bookmarkStart w:id="14" w:name="_Toc535"/>
      <w:bookmarkStart w:id="15" w:name="_Toc19361"/>
    </w:p>
    <w:p w14:paraId="0ECABE66">
      <w:pPr>
        <w:pStyle w:val="23"/>
        <w:spacing w:after="240"/>
        <w:rPr>
          <w:rFonts w:hint="eastAsia" w:ascii="宋体" w:hAnsi="宋体" w:cs="宋体"/>
          <w:color w:val="auto"/>
          <w:highlight w:val="none"/>
        </w:rPr>
      </w:pPr>
    </w:p>
    <w:p w14:paraId="330D39FD">
      <w:pPr>
        <w:pStyle w:val="23"/>
        <w:spacing w:after="240"/>
        <w:rPr>
          <w:rFonts w:hint="eastAsia" w:ascii="宋体" w:hAnsi="宋体" w:cs="宋体"/>
          <w:color w:val="auto"/>
          <w:highlight w:val="none"/>
        </w:rPr>
      </w:pPr>
    </w:p>
    <w:p w14:paraId="28137B4A">
      <w:pPr>
        <w:pStyle w:val="23"/>
        <w:spacing w:after="240"/>
        <w:rPr>
          <w:rFonts w:hint="eastAsia" w:ascii="宋体" w:hAnsi="宋体" w:cs="宋体"/>
          <w:color w:val="auto"/>
          <w:highlight w:val="none"/>
        </w:rPr>
      </w:pPr>
    </w:p>
    <w:p w14:paraId="73F308FE">
      <w:pPr>
        <w:pStyle w:val="23"/>
        <w:spacing w:after="240"/>
        <w:rPr>
          <w:rFonts w:hint="eastAsia" w:ascii="宋体" w:hAnsi="宋体" w:cs="宋体"/>
          <w:color w:val="auto"/>
          <w:highlight w:val="none"/>
        </w:rPr>
      </w:pPr>
    </w:p>
    <w:p w14:paraId="3B75025F">
      <w:pPr>
        <w:pStyle w:val="23"/>
        <w:spacing w:after="240"/>
        <w:rPr>
          <w:rFonts w:hint="eastAsia" w:ascii="宋体" w:hAnsi="宋体" w:cs="宋体"/>
          <w:color w:val="auto"/>
          <w:highlight w:val="none"/>
        </w:rPr>
      </w:pPr>
    </w:p>
    <w:p w14:paraId="1406A879">
      <w:pPr>
        <w:pStyle w:val="23"/>
        <w:spacing w:after="240"/>
        <w:rPr>
          <w:rFonts w:hint="eastAsia" w:ascii="宋体" w:hAnsi="宋体" w:cs="宋体"/>
          <w:color w:val="auto"/>
          <w:highlight w:val="none"/>
        </w:rPr>
      </w:pPr>
    </w:p>
    <w:p w14:paraId="7C3339B8">
      <w:pPr>
        <w:pStyle w:val="23"/>
        <w:spacing w:after="240"/>
        <w:rPr>
          <w:rFonts w:hint="eastAsia" w:ascii="宋体" w:hAnsi="宋体" w:cs="宋体"/>
          <w:color w:val="auto"/>
          <w:highlight w:val="none"/>
        </w:rPr>
      </w:pPr>
    </w:p>
    <w:p w14:paraId="2C8298D8">
      <w:pPr>
        <w:pStyle w:val="23"/>
        <w:spacing w:after="240"/>
        <w:rPr>
          <w:rFonts w:hint="eastAsia" w:ascii="宋体" w:hAnsi="宋体" w:cs="宋体"/>
          <w:color w:val="auto"/>
          <w:highlight w:val="none"/>
        </w:rPr>
      </w:pPr>
    </w:p>
    <w:p w14:paraId="541AFF78">
      <w:pPr>
        <w:pStyle w:val="23"/>
        <w:spacing w:after="240"/>
        <w:rPr>
          <w:rFonts w:hint="eastAsia" w:ascii="宋体" w:hAnsi="宋体" w:cs="宋体"/>
          <w:color w:val="auto"/>
          <w:highlight w:val="none"/>
        </w:rPr>
      </w:pPr>
    </w:p>
    <w:p w14:paraId="1B6AA17D">
      <w:pPr>
        <w:pStyle w:val="23"/>
        <w:spacing w:after="240"/>
        <w:rPr>
          <w:rFonts w:hint="eastAsia" w:ascii="宋体" w:hAnsi="宋体" w:cs="宋体"/>
          <w:color w:val="auto"/>
          <w:highlight w:val="none"/>
        </w:rPr>
      </w:pPr>
    </w:p>
    <w:p w14:paraId="201AF97C">
      <w:pPr>
        <w:pStyle w:val="23"/>
        <w:spacing w:after="240"/>
        <w:rPr>
          <w:rFonts w:hint="eastAsia" w:ascii="宋体" w:hAnsi="宋体" w:cs="宋体"/>
          <w:color w:val="auto"/>
          <w:highlight w:val="none"/>
        </w:rPr>
      </w:pPr>
    </w:p>
    <w:p w14:paraId="51E9ECC0">
      <w:pPr>
        <w:pStyle w:val="23"/>
        <w:spacing w:after="240"/>
        <w:rPr>
          <w:rFonts w:hint="eastAsia" w:ascii="宋体" w:hAnsi="宋体" w:cs="宋体"/>
          <w:color w:val="auto"/>
          <w:highlight w:val="none"/>
        </w:rPr>
      </w:pPr>
    </w:p>
    <w:p w14:paraId="57C2E0A7">
      <w:pPr>
        <w:pStyle w:val="23"/>
        <w:spacing w:after="240"/>
        <w:rPr>
          <w:rFonts w:hint="eastAsia" w:ascii="宋体" w:hAnsi="宋体" w:cs="宋体"/>
          <w:color w:val="auto"/>
          <w:highlight w:val="none"/>
        </w:rPr>
      </w:pPr>
    </w:p>
    <w:p w14:paraId="7D369AF5">
      <w:pPr>
        <w:pStyle w:val="23"/>
        <w:spacing w:after="240"/>
        <w:rPr>
          <w:rFonts w:hint="eastAsia" w:ascii="宋体" w:hAnsi="宋体" w:cs="宋体"/>
          <w:color w:val="auto"/>
          <w:highlight w:val="none"/>
        </w:rPr>
      </w:pPr>
    </w:p>
    <w:p w14:paraId="1A08B35A">
      <w:pPr>
        <w:pStyle w:val="23"/>
        <w:spacing w:after="240"/>
        <w:rPr>
          <w:rFonts w:hint="eastAsia" w:ascii="宋体" w:hAnsi="宋体" w:cs="宋体"/>
          <w:color w:val="auto"/>
          <w:highlight w:val="none"/>
        </w:rPr>
      </w:pPr>
    </w:p>
    <w:p w14:paraId="5B550DF1">
      <w:pPr>
        <w:pStyle w:val="23"/>
        <w:spacing w:after="240"/>
        <w:rPr>
          <w:rFonts w:hint="eastAsia" w:ascii="宋体" w:hAnsi="宋体" w:cs="宋体"/>
          <w:color w:val="auto"/>
          <w:highlight w:val="none"/>
        </w:rPr>
      </w:pPr>
    </w:p>
    <w:p w14:paraId="3905D7E8">
      <w:pPr>
        <w:pStyle w:val="23"/>
        <w:spacing w:after="240"/>
        <w:rPr>
          <w:rFonts w:hint="eastAsia" w:ascii="宋体" w:hAnsi="宋体" w:cs="宋体"/>
          <w:color w:val="auto"/>
          <w:highlight w:val="none"/>
        </w:rPr>
      </w:pPr>
    </w:p>
    <w:p w14:paraId="02B775A8">
      <w:pPr>
        <w:pStyle w:val="23"/>
        <w:spacing w:after="240"/>
        <w:rPr>
          <w:rFonts w:hint="eastAsia" w:ascii="宋体" w:hAnsi="宋体" w:cs="宋体"/>
          <w:color w:val="auto"/>
          <w:highlight w:val="none"/>
        </w:rPr>
      </w:pPr>
    </w:p>
    <w:p w14:paraId="6D7D194B">
      <w:pPr>
        <w:pStyle w:val="23"/>
        <w:spacing w:after="240"/>
        <w:rPr>
          <w:rFonts w:hint="eastAsia" w:ascii="宋体" w:hAnsi="宋体" w:cs="宋体"/>
          <w:color w:val="auto"/>
          <w:highlight w:val="none"/>
        </w:rPr>
      </w:pPr>
    </w:p>
    <w:p w14:paraId="445233E4">
      <w:pPr>
        <w:pStyle w:val="23"/>
        <w:spacing w:after="240"/>
        <w:rPr>
          <w:rFonts w:hint="eastAsia" w:ascii="宋体" w:hAnsi="宋体" w:cs="宋体"/>
          <w:color w:val="auto"/>
          <w:highlight w:val="none"/>
        </w:rPr>
      </w:pPr>
    </w:p>
    <w:p w14:paraId="506A99EE">
      <w:pPr>
        <w:pStyle w:val="23"/>
        <w:spacing w:after="240"/>
        <w:rPr>
          <w:rFonts w:hint="eastAsia" w:ascii="宋体" w:hAnsi="宋体" w:cs="宋体"/>
          <w:color w:val="auto"/>
          <w:highlight w:val="none"/>
        </w:rPr>
        <w:sectPr>
          <w:headerReference r:id="rId7" w:type="default"/>
          <w:footerReference r:id="rId8" w:type="default"/>
          <w:pgSz w:w="11906" w:h="16838"/>
          <w:pgMar w:top="1418" w:right="1418" w:bottom="1418" w:left="1418"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64C7C5F5">
      <w:pPr>
        <w:pStyle w:val="23"/>
        <w:spacing w:after="240"/>
        <w:rPr>
          <w:rFonts w:ascii="宋体" w:hAnsi="宋体" w:cs="宋体"/>
          <w:color w:val="auto"/>
          <w:highlight w:val="none"/>
        </w:rPr>
      </w:pPr>
      <w:r>
        <w:rPr>
          <w:rFonts w:hint="eastAsia" w:ascii="宋体" w:hAnsi="宋体" w:cs="宋体"/>
          <w:color w:val="auto"/>
          <w:highlight w:val="none"/>
        </w:rPr>
        <w:t>目  录</w:t>
      </w:r>
      <w:bookmarkEnd w:id="8"/>
      <w:bookmarkEnd w:id="9"/>
      <w:bookmarkEnd w:id="10"/>
      <w:bookmarkEnd w:id="11"/>
      <w:bookmarkEnd w:id="12"/>
      <w:bookmarkEnd w:id="13"/>
      <w:bookmarkEnd w:id="14"/>
      <w:bookmarkEnd w:id="15"/>
      <w:bookmarkStart w:id="16" w:name="_Toc69635410"/>
    </w:p>
    <w:p w14:paraId="2460205A">
      <w:pPr>
        <w:pStyle w:val="20"/>
        <w:tabs>
          <w:tab w:val="right" w:leader="dot" w:pos="9070"/>
          <w:tab w:val="clear" w:pos="9060"/>
        </w:tabs>
        <w:rPr>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"1-3" \h \z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_Toc19361 </w:instrText>
      </w:r>
      <w:r>
        <w:rPr>
          <w:rFonts w:hint="eastAsia" w:ascii="宋体" w:hAnsi="宋体" w:eastAsia="宋体" w:cs="宋体"/>
          <w:color w:val="auto"/>
          <w:szCs w:val="24"/>
          <w:highlight w:val="none"/>
        </w:rPr>
        <w:fldChar w:fldCharType="separate"/>
      </w:r>
      <w:r>
        <w:rPr>
          <w:rFonts w:hint="eastAsia" w:ascii="宋体" w:hAnsi="宋体" w:cs="宋体"/>
          <w:color w:val="auto"/>
          <w:highlight w:val="none"/>
        </w:rPr>
        <w:t>目  录</w:t>
      </w:r>
      <w:r>
        <w:rPr>
          <w:color w:val="auto"/>
          <w:highlight w:val="none"/>
        </w:rPr>
        <w:tab/>
      </w:r>
      <w:r>
        <w:rPr>
          <w:color w:val="auto"/>
          <w:highlight w:val="none"/>
        </w:rPr>
        <w:fldChar w:fldCharType="begin"/>
      </w:r>
      <w:r>
        <w:rPr>
          <w:color w:val="auto"/>
          <w:highlight w:val="none"/>
        </w:rPr>
        <w:instrText xml:space="preserve"> PAGEREF _Toc19361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color w:val="auto"/>
          <w:szCs w:val="24"/>
          <w:highlight w:val="none"/>
        </w:rPr>
        <w:fldChar w:fldCharType="end"/>
      </w:r>
    </w:p>
    <w:p w14:paraId="002B3AD7">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_Toc31724 </w:instrText>
      </w:r>
      <w:r>
        <w:rPr>
          <w:rFonts w:hint="eastAsia" w:ascii="宋体" w:hAnsi="宋体" w:cs="宋体"/>
          <w:color w:val="auto"/>
          <w:szCs w:val="24"/>
          <w:highlight w:val="none"/>
        </w:rPr>
        <w:fldChar w:fldCharType="separate"/>
      </w:r>
      <w:r>
        <w:rPr>
          <w:rFonts w:hint="eastAsia" w:ascii="宋体" w:hAnsi="宋体" w:cs="宋体"/>
          <w:color w:val="auto"/>
          <w:szCs w:val="36"/>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_Toc31724 \h </w:instrText>
      </w:r>
      <w:r>
        <w:rPr>
          <w:color w:val="auto"/>
          <w:highlight w:val="none"/>
        </w:rPr>
        <w:fldChar w:fldCharType="separate"/>
      </w:r>
      <w:r>
        <w:rPr>
          <w:color w:val="auto"/>
          <w:highlight w:val="none"/>
        </w:rPr>
        <w:t>4</w:t>
      </w:r>
      <w:r>
        <w:rPr>
          <w:color w:val="auto"/>
          <w:highlight w:val="none"/>
        </w:rPr>
        <w:fldChar w:fldCharType="end"/>
      </w:r>
      <w:r>
        <w:rPr>
          <w:rFonts w:hint="eastAsia" w:ascii="宋体" w:hAnsi="宋体" w:cs="宋体"/>
          <w:color w:val="auto"/>
          <w:szCs w:val="24"/>
          <w:highlight w:val="none"/>
        </w:rPr>
        <w:fldChar w:fldCharType="end"/>
      </w:r>
    </w:p>
    <w:p w14:paraId="0B0F1E8C">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_Toc5351 </w:instrText>
      </w:r>
      <w:r>
        <w:rPr>
          <w:rFonts w:hint="eastAsia" w:ascii="宋体" w:hAnsi="宋体" w:cs="宋体"/>
          <w:color w:val="auto"/>
          <w:szCs w:val="24"/>
          <w:highlight w:val="none"/>
        </w:rPr>
        <w:fldChar w:fldCharType="separate"/>
      </w:r>
      <w:r>
        <w:rPr>
          <w:rFonts w:hint="eastAsia" w:ascii="宋体" w:hAnsi="宋体" w:cs="宋体"/>
          <w:color w:val="auto"/>
          <w:szCs w:val="36"/>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_Toc5351 \h </w:instrText>
      </w:r>
      <w:r>
        <w:rPr>
          <w:color w:val="auto"/>
          <w:highlight w:val="none"/>
        </w:rPr>
        <w:fldChar w:fldCharType="separate"/>
      </w:r>
      <w:r>
        <w:rPr>
          <w:color w:val="auto"/>
          <w:highlight w:val="none"/>
        </w:rPr>
        <w:t>8</w:t>
      </w:r>
      <w:r>
        <w:rPr>
          <w:color w:val="auto"/>
          <w:highlight w:val="none"/>
        </w:rPr>
        <w:fldChar w:fldCharType="end"/>
      </w:r>
      <w:r>
        <w:rPr>
          <w:rFonts w:hint="eastAsia" w:ascii="宋体" w:hAnsi="宋体" w:cs="宋体"/>
          <w:color w:val="auto"/>
          <w:szCs w:val="24"/>
          <w:highlight w:val="none"/>
        </w:rPr>
        <w:fldChar w:fldCharType="end"/>
      </w:r>
    </w:p>
    <w:p w14:paraId="176F380A">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_Toc29470 </w:instrText>
      </w:r>
      <w:r>
        <w:rPr>
          <w:rFonts w:hint="eastAsia" w:ascii="宋体" w:hAnsi="宋体" w:cs="宋体"/>
          <w:color w:val="auto"/>
          <w:szCs w:val="24"/>
          <w:highlight w:val="none"/>
        </w:rPr>
        <w:fldChar w:fldCharType="separate"/>
      </w:r>
      <w:r>
        <w:rPr>
          <w:rFonts w:hint="eastAsia" w:ascii="宋体" w:hAnsi="宋体" w:cs="宋体"/>
          <w:color w:val="auto"/>
          <w:szCs w:val="36"/>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_Toc29470 \h </w:instrText>
      </w:r>
      <w:r>
        <w:rPr>
          <w:color w:val="auto"/>
          <w:highlight w:val="none"/>
        </w:rPr>
        <w:fldChar w:fldCharType="separate"/>
      </w:r>
      <w:r>
        <w:rPr>
          <w:color w:val="auto"/>
          <w:highlight w:val="none"/>
        </w:rPr>
        <w:t>8</w:t>
      </w:r>
      <w:r>
        <w:rPr>
          <w:color w:val="auto"/>
          <w:highlight w:val="none"/>
        </w:rPr>
        <w:fldChar w:fldCharType="end"/>
      </w:r>
      <w:r>
        <w:rPr>
          <w:rFonts w:hint="eastAsia" w:ascii="宋体" w:hAnsi="宋体" w:cs="宋体"/>
          <w:color w:val="auto"/>
          <w:szCs w:val="24"/>
          <w:highlight w:val="none"/>
        </w:rPr>
        <w:fldChar w:fldCharType="end"/>
      </w:r>
    </w:p>
    <w:p w14:paraId="10D4E5C7">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_Toc7689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投标人须知前附表（一）</w:t>
      </w:r>
      <w:r>
        <w:rPr>
          <w:color w:val="auto"/>
          <w:highlight w:val="none"/>
        </w:rPr>
        <w:tab/>
      </w:r>
      <w:r>
        <w:rPr>
          <w:color w:val="auto"/>
          <w:highlight w:val="none"/>
        </w:rPr>
        <w:fldChar w:fldCharType="begin"/>
      </w:r>
      <w:r>
        <w:rPr>
          <w:color w:val="auto"/>
          <w:highlight w:val="none"/>
        </w:rPr>
        <w:instrText xml:space="preserve"> PAGEREF _Toc7689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cs="宋体"/>
          <w:color w:val="auto"/>
          <w:szCs w:val="24"/>
          <w:highlight w:val="none"/>
        </w:rPr>
        <w:fldChar w:fldCharType="end"/>
      </w:r>
    </w:p>
    <w:p w14:paraId="1B710AA5">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_Toc31572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投标人须知前附表（二）</w:t>
      </w:r>
      <w:r>
        <w:rPr>
          <w:color w:val="auto"/>
          <w:highlight w:val="none"/>
        </w:rPr>
        <w:tab/>
      </w:r>
      <w:r>
        <w:rPr>
          <w:color w:val="auto"/>
          <w:highlight w:val="none"/>
        </w:rPr>
        <w:fldChar w:fldCharType="begin"/>
      </w:r>
      <w:r>
        <w:rPr>
          <w:color w:val="auto"/>
          <w:highlight w:val="none"/>
        </w:rPr>
        <w:instrText xml:space="preserve"> PAGEREF _Toc31572 \h </w:instrText>
      </w:r>
      <w:r>
        <w:rPr>
          <w:color w:val="auto"/>
          <w:highlight w:val="none"/>
        </w:rPr>
        <w:fldChar w:fldCharType="separate"/>
      </w:r>
      <w:r>
        <w:rPr>
          <w:color w:val="auto"/>
          <w:highlight w:val="none"/>
        </w:rPr>
        <w:t>45</w:t>
      </w:r>
      <w:r>
        <w:rPr>
          <w:color w:val="auto"/>
          <w:highlight w:val="none"/>
        </w:rPr>
        <w:fldChar w:fldCharType="end"/>
      </w:r>
      <w:r>
        <w:rPr>
          <w:rFonts w:hint="eastAsia" w:ascii="宋体" w:hAnsi="宋体" w:cs="宋体"/>
          <w:color w:val="auto"/>
          <w:szCs w:val="24"/>
          <w:highlight w:val="none"/>
        </w:rPr>
        <w:fldChar w:fldCharType="end"/>
      </w:r>
    </w:p>
    <w:p w14:paraId="256F6410">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_Toc315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一    总则</w:t>
      </w:r>
      <w:r>
        <w:rPr>
          <w:color w:val="auto"/>
          <w:highlight w:val="none"/>
        </w:rPr>
        <w:tab/>
      </w:r>
      <w:r>
        <w:rPr>
          <w:color w:val="auto"/>
          <w:highlight w:val="none"/>
        </w:rPr>
        <w:fldChar w:fldCharType="begin"/>
      </w:r>
      <w:r>
        <w:rPr>
          <w:color w:val="auto"/>
          <w:highlight w:val="none"/>
        </w:rPr>
        <w:instrText xml:space="preserve"> PAGEREF _Toc315 \h </w:instrText>
      </w:r>
      <w:r>
        <w:rPr>
          <w:color w:val="auto"/>
          <w:highlight w:val="none"/>
        </w:rPr>
        <w:fldChar w:fldCharType="separate"/>
      </w:r>
      <w:r>
        <w:rPr>
          <w:color w:val="auto"/>
          <w:highlight w:val="none"/>
        </w:rPr>
        <w:t>46</w:t>
      </w:r>
      <w:r>
        <w:rPr>
          <w:color w:val="auto"/>
          <w:highlight w:val="none"/>
        </w:rPr>
        <w:fldChar w:fldCharType="end"/>
      </w:r>
      <w:r>
        <w:rPr>
          <w:rFonts w:hint="eastAsia" w:ascii="宋体" w:hAnsi="宋体" w:cs="宋体"/>
          <w:color w:val="auto"/>
          <w:szCs w:val="24"/>
          <w:highlight w:val="none"/>
        </w:rPr>
        <w:fldChar w:fldCharType="end"/>
      </w:r>
    </w:p>
    <w:p w14:paraId="3A29855F">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_Toc11871 </w:instrText>
      </w:r>
      <w:r>
        <w:rPr>
          <w:rFonts w:hint="eastAsia" w:ascii="宋体" w:hAnsi="宋体" w:cs="宋体"/>
          <w:color w:val="auto"/>
          <w:szCs w:val="24"/>
          <w:highlight w:val="none"/>
        </w:rPr>
        <w:fldChar w:fldCharType="separate"/>
      </w:r>
      <w:r>
        <w:rPr>
          <w:rFonts w:hint="eastAsia" w:ascii="宋体" w:eastAsia="宋体"/>
          <w:color w:val="auto"/>
          <w:highlight w:val="none"/>
        </w:rPr>
        <w:t>1.1     适用范围</w:t>
      </w:r>
      <w:r>
        <w:rPr>
          <w:color w:val="auto"/>
          <w:highlight w:val="none"/>
        </w:rPr>
        <w:tab/>
      </w:r>
      <w:r>
        <w:rPr>
          <w:color w:val="auto"/>
          <w:highlight w:val="none"/>
        </w:rPr>
        <w:fldChar w:fldCharType="begin"/>
      </w:r>
      <w:r>
        <w:rPr>
          <w:color w:val="auto"/>
          <w:highlight w:val="none"/>
        </w:rPr>
        <w:instrText xml:space="preserve"> PAGEREF _Toc11871 \h </w:instrText>
      </w:r>
      <w:r>
        <w:rPr>
          <w:color w:val="auto"/>
          <w:highlight w:val="none"/>
        </w:rPr>
        <w:fldChar w:fldCharType="separate"/>
      </w:r>
      <w:r>
        <w:rPr>
          <w:color w:val="auto"/>
          <w:highlight w:val="none"/>
        </w:rPr>
        <w:t>46</w:t>
      </w:r>
      <w:r>
        <w:rPr>
          <w:color w:val="auto"/>
          <w:highlight w:val="none"/>
        </w:rPr>
        <w:fldChar w:fldCharType="end"/>
      </w:r>
      <w:r>
        <w:rPr>
          <w:rFonts w:hint="eastAsia" w:ascii="宋体" w:hAnsi="宋体" w:cs="宋体"/>
          <w:color w:val="auto"/>
          <w:szCs w:val="24"/>
          <w:highlight w:val="none"/>
        </w:rPr>
        <w:fldChar w:fldCharType="end"/>
      </w:r>
    </w:p>
    <w:p w14:paraId="661BA52A">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_Toc25052 </w:instrText>
      </w:r>
      <w:r>
        <w:rPr>
          <w:rFonts w:hint="eastAsia" w:ascii="宋体" w:hAnsi="宋体" w:cs="宋体"/>
          <w:color w:val="auto"/>
          <w:szCs w:val="24"/>
          <w:highlight w:val="none"/>
        </w:rPr>
        <w:fldChar w:fldCharType="separate"/>
      </w:r>
      <w:r>
        <w:rPr>
          <w:rFonts w:hint="eastAsia" w:ascii="宋体" w:eastAsia="宋体"/>
          <w:color w:val="auto"/>
          <w:highlight w:val="none"/>
        </w:rPr>
        <w:t>1.2     定义</w:t>
      </w:r>
      <w:r>
        <w:rPr>
          <w:color w:val="auto"/>
          <w:highlight w:val="none"/>
        </w:rPr>
        <w:tab/>
      </w:r>
      <w:r>
        <w:rPr>
          <w:color w:val="auto"/>
          <w:highlight w:val="none"/>
        </w:rPr>
        <w:fldChar w:fldCharType="begin"/>
      </w:r>
      <w:r>
        <w:rPr>
          <w:color w:val="auto"/>
          <w:highlight w:val="none"/>
        </w:rPr>
        <w:instrText xml:space="preserve"> PAGEREF _Toc25052 \h </w:instrText>
      </w:r>
      <w:r>
        <w:rPr>
          <w:color w:val="auto"/>
          <w:highlight w:val="none"/>
        </w:rPr>
        <w:fldChar w:fldCharType="separate"/>
      </w:r>
      <w:r>
        <w:rPr>
          <w:color w:val="auto"/>
          <w:highlight w:val="none"/>
        </w:rPr>
        <w:t>46</w:t>
      </w:r>
      <w:r>
        <w:rPr>
          <w:color w:val="auto"/>
          <w:highlight w:val="none"/>
        </w:rPr>
        <w:fldChar w:fldCharType="end"/>
      </w:r>
      <w:r>
        <w:rPr>
          <w:rFonts w:hint="eastAsia" w:ascii="宋体" w:hAnsi="宋体" w:cs="宋体"/>
          <w:color w:val="auto"/>
          <w:szCs w:val="24"/>
          <w:highlight w:val="none"/>
        </w:rPr>
        <w:fldChar w:fldCharType="end"/>
      </w:r>
    </w:p>
    <w:p w14:paraId="27467D88">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_Toc28757 </w:instrText>
      </w:r>
      <w:r>
        <w:rPr>
          <w:rFonts w:hint="eastAsia" w:ascii="宋体" w:hAnsi="宋体" w:cs="宋体"/>
          <w:color w:val="auto"/>
          <w:szCs w:val="24"/>
          <w:highlight w:val="none"/>
        </w:rPr>
        <w:fldChar w:fldCharType="separate"/>
      </w:r>
      <w:r>
        <w:rPr>
          <w:rFonts w:hint="eastAsia" w:ascii="宋体" w:eastAsia="宋体"/>
          <w:color w:val="auto"/>
          <w:highlight w:val="none"/>
        </w:rPr>
        <w:t>1.3     投标人应具备资格条件</w:t>
      </w:r>
      <w:r>
        <w:rPr>
          <w:color w:val="auto"/>
          <w:highlight w:val="none"/>
        </w:rPr>
        <w:tab/>
      </w:r>
      <w:r>
        <w:rPr>
          <w:color w:val="auto"/>
          <w:highlight w:val="none"/>
        </w:rPr>
        <w:fldChar w:fldCharType="begin"/>
      </w:r>
      <w:r>
        <w:rPr>
          <w:color w:val="auto"/>
          <w:highlight w:val="none"/>
        </w:rPr>
        <w:instrText xml:space="preserve"> PAGEREF _Toc28757 \h </w:instrText>
      </w:r>
      <w:r>
        <w:rPr>
          <w:color w:val="auto"/>
          <w:highlight w:val="none"/>
        </w:rPr>
        <w:fldChar w:fldCharType="separate"/>
      </w:r>
      <w:r>
        <w:rPr>
          <w:color w:val="auto"/>
          <w:highlight w:val="none"/>
        </w:rPr>
        <w:t>46</w:t>
      </w:r>
      <w:r>
        <w:rPr>
          <w:color w:val="auto"/>
          <w:highlight w:val="none"/>
        </w:rPr>
        <w:fldChar w:fldCharType="end"/>
      </w:r>
      <w:r>
        <w:rPr>
          <w:rFonts w:hint="eastAsia" w:ascii="宋体" w:hAnsi="宋体" w:cs="宋体"/>
          <w:color w:val="auto"/>
          <w:szCs w:val="24"/>
          <w:highlight w:val="none"/>
        </w:rPr>
        <w:fldChar w:fldCharType="end"/>
      </w:r>
    </w:p>
    <w:p w14:paraId="49DAE9C9">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_Toc32011 </w:instrText>
      </w:r>
      <w:r>
        <w:rPr>
          <w:rFonts w:hint="eastAsia" w:ascii="宋体" w:hAnsi="宋体" w:cs="宋体"/>
          <w:color w:val="auto"/>
          <w:szCs w:val="24"/>
          <w:highlight w:val="none"/>
        </w:rPr>
        <w:fldChar w:fldCharType="separate"/>
      </w:r>
      <w:r>
        <w:rPr>
          <w:rFonts w:hint="eastAsia" w:ascii="宋体" w:eastAsia="宋体"/>
          <w:color w:val="auto"/>
          <w:highlight w:val="none"/>
        </w:rPr>
        <w:t>1.4     联合体投标</w:t>
      </w:r>
      <w:r>
        <w:rPr>
          <w:color w:val="auto"/>
          <w:highlight w:val="none"/>
        </w:rPr>
        <w:tab/>
      </w:r>
      <w:r>
        <w:rPr>
          <w:color w:val="auto"/>
          <w:highlight w:val="none"/>
        </w:rPr>
        <w:fldChar w:fldCharType="begin"/>
      </w:r>
      <w:r>
        <w:rPr>
          <w:color w:val="auto"/>
          <w:highlight w:val="none"/>
        </w:rPr>
        <w:instrText xml:space="preserve"> PAGEREF _Toc32011 \h </w:instrText>
      </w:r>
      <w:r>
        <w:rPr>
          <w:color w:val="auto"/>
          <w:highlight w:val="none"/>
        </w:rPr>
        <w:fldChar w:fldCharType="separate"/>
      </w:r>
      <w:r>
        <w:rPr>
          <w:color w:val="auto"/>
          <w:highlight w:val="none"/>
        </w:rPr>
        <w:t>46</w:t>
      </w:r>
      <w:r>
        <w:rPr>
          <w:color w:val="auto"/>
          <w:highlight w:val="none"/>
        </w:rPr>
        <w:fldChar w:fldCharType="end"/>
      </w:r>
      <w:r>
        <w:rPr>
          <w:rFonts w:hint="eastAsia" w:ascii="宋体" w:hAnsi="宋体" w:cs="宋体"/>
          <w:color w:val="auto"/>
          <w:szCs w:val="24"/>
          <w:highlight w:val="none"/>
        </w:rPr>
        <w:fldChar w:fldCharType="end"/>
      </w:r>
    </w:p>
    <w:p w14:paraId="17C75752">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_Toc21944 </w:instrText>
      </w:r>
      <w:r>
        <w:rPr>
          <w:rFonts w:hint="eastAsia" w:ascii="宋体" w:hAnsi="宋体" w:cs="宋体"/>
          <w:color w:val="auto"/>
          <w:szCs w:val="24"/>
          <w:highlight w:val="none"/>
        </w:rPr>
        <w:fldChar w:fldCharType="separate"/>
      </w:r>
      <w:r>
        <w:rPr>
          <w:rFonts w:hint="eastAsia" w:ascii="宋体" w:eastAsia="宋体"/>
          <w:color w:val="auto"/>
          <w:highlight w:val="none"/>
        </w:rPr>
        <w:t>1.5     投标文件的语言及计量</w:t>
      </w:r>
      <w:r>
        <w:rPr>
          <w:color w:val="auto"/>
          <w:highlight w:val="none"/>
        </w:rPr>
        <w:tab/>
      </w:r>
      <w:r>
        <w:rPr>
          <w:color w:val="auto"/>
          <w:highlight w:val="none"/>
        </w:rPr>
        <w:fldChar w:fldCharType="begin"/>
      </w:r>
      <w:r>
        <w:rPr>
          <w:color w:val="auto"/>
          <w:highlight w:val="none"/>
        </w:rPr>
        <w:instrText xml:space="preserve"> PAGEREF _Toc21944 \h </w:instrText>
      </w:r>
      <w:r>
        <w:rPr>
          <w:color w:val="auto"/>
          <w:highlight w:val="none"/>
        </w:rPr>
        <w:fldChar w:fldCharType="separate"/>
      </w:r>
      <w:r>
        <w:rPr>
          <w:color w:val="auto"/>
          <w:highlight w:val="none"/>
        </w:rPr>
        <w:t>46</w:t>
      </w:r>
      <w:r>
        <w:rPr>
          <w:color w:val="auto"/>
          <w:highlight w:val="none"/>
        </w:rPr>
        <w:fldChar w:fldCharType="end"/>
      </w:r>
      <w:r>
        <w:rPr>
          <w:rFonts w:hint="eastAsia" w:ascii="宋体" w:hAnsi="宋体" w:cs="宋体"/>
          <w:color w:val="auto"/>
          <w:szCs w:val="24"/>
          <w:highlight w:val="none"/>
        </w:rPr>
        <w:fldChar w:fldCharType="end"/>
      </w:r>
    </w:p>
    <w:p w14:paraId="589EEAFD">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_Toc17523 </w:instrText>
      </w:r>
      <w:r>
        <w:rPr>
          <w:rFonts w:hint="eastAsia" w:ascii="宋体" w:hAnsi="宋体" w:cs="宋体"/>
          <w:color w:val="auto"/>
          <w:szCs w:val="24"/>
          <w:highlight w:val="none"/>
        </w:rPr>
        <w:fldChar w:fldCharType="separate"/>
      </w:r>
      <w:r>
        <w:rPr>
          <w:rFonts w:hint="eastAsia" w:ascii="宋体" w:eastAsia="宋体"/>
          <w:color w:val="auto"/>
          <w:highlight w:val="none"/>
        </w:rPr>
        <w:t>1.6     投标费用</w:t>
      </w:r>
      <w:r>
        <w:rPr>
          <w:color w:val="auto"/>
          <w:highlight w:val="none"/>
        </w:rPr>
        <w:tab/>
      </w:r>
      <w:r>
        <w:rPr>
          <w:color w:val="auto"/>
          <w:highlight w:val="none"/>
        </w:rPr>
        <w:fldChar w:fldCharType="begin"/>
      </w:r>
      <w:r>
        <w:rPr>
          <w:color w:val="auto"/>
          <w:highlight w:val="none"/>
        </w:rPr>
        <w:instrText xml:space="preserve"> PAGEREF _Toc17523 \h </w:instrText>
      </w:r>
      <w:r>
        <w:rPr>
          <w:color w:val="auto"/>
          <w:highlight w:val="none"/>
        </w:rPr>
        <w:fldChar w:fldCharType="separate"/>
      </w:r>
      <w:r>
        <w:rPr>
          <w:color w:val="auto"/>
          <w:highlight w:val="none"/>
        </w:rPr>
        <w:t>47</w:t>
      </w:r>
      <w:r>
        <w:rPr>
          <w:color w:val="auto"/>
          <w:highlight w:val="none"/>
        </w:rPr>
        <w:fldChar w:fldCharType="end"/>
      </w:r>
      <w:r>
        <w:rPr>
          <w:rFonts w:hint="eastAsia" w:ascii="宋体" w:hAnsi="宋体" w:cs="宋体"/>
          <w:color w:val="auto"/>
          <w:szCs w:val="24"/>
          <w:highlight w:val="none"/>
        </w:rPr>
        <w:fldChar w:fldCharType="end"/>
      </w:r>
    </w:p>
    <w:p w14:paraId="44948ED9">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_Toc32276 </w:instrText>
      </w:r>
      <w:r>
        <w:rPr>
          <w:rFonts w:hint="eastAsia" w:ascii="宋体" w:hAnsi="宋体" w:cs="宋体"/>
          <w:color w:val="auto"/>
          <w:szCs w:val="24"/>
          <w:highlight w:val="none"/>
        </w:rPr>
        <w:fldChar w:fldCharType="separate"/>
      </w:r>
      <w:r>
        <w:rPr>
          <w:rFonts w:hint="eastAsia" w:ascii="宋体" w:eastAsia="宋体"/>
          <w:color w:val="auto"/>
          <w:highlight w:val="none"/>
        </w:rPr>
        <w:t>1.7     现场踏勘</w:t>
      </w:r>
      <w:r>
        <w:rPr>
          <w:color w:val="auto"/>
          <w:highlight w:val="none"/>
        </w:rPr>
        <w:tab/>
      </w:r>
      <w:r>
        <w:rPr>
          <w:color w:val="auto"/>
          <w:highlight w:val="none"/>
        </w:rPr>
        <w:fldChar w:fldCharType="begin"/>
      </w:r>
      <w:r>
        <w:rPr>
          <w:color w:val="auto"/>
          <w:highlight w:val="none"/>
        </w:rPr>
        <w:instrText xml:space="preserve"> PAGEREF _Toc32276 \h </w:instrText>
      </w:r>
      <w:r>
        <w:rPr>
          <w:color w:val="auto"/>
          <w:highlight w:val="none"/>
        </w:rPr>
        <w:fldChar w:fldCharType="separate"/>
      </w:r>
      <w:r>
        <w:rPr>
          <w:color w:val="auto"/>
          <w:highlight w:val="none"/>
        </w:rPr>
        <w:t>47</w:t>
      </w:r>
      <w:r>
        <w:rPr>
          <w:color w:val="auto"/>
          <w:highlight w:val="none"/>
        </w:rPr>
        <w:fldChar w:fldCharType="end"/>
      </w:r>
      <w:r>
        <w:rPr>
          <w:rFonts w:hint="eastAsia" w:ascii="宋体" w:hAnsi="宋体" w:cs="宋体"/>
          <w:color w:val="auto"/>
          <w:szCs w:val="24"/>
          <w:highlight w:val="none"/>
        </w:rPr>
        <w:fldChar w:fldCharType="end"/>
      </w:r>
    </w:p>
    <w:p w14:paraId="17E0D45A">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_Toc2484 </w:instrText>
      </w:r>
      <w:r>
        <w:rPr>
          <w:rFonts w:hint="eastAsia" w:ascii="宋体" w:hAnsi="宋体" w:cs="宋体"/>
          <w:color w:val="auto"/>
          <w:szCs w:val="24"/>
          <w:highlight w:val="none"/>
        </w:rPr>
        <w:fldChar w:fldCharType="separate"/>
      </w:r>
      <w:r>
        <w:rPr>
          <w:rFonts w:hint="eastAsia" w:ascii="宋体" w:eastAsia="宋体"/>
          <w:color w:val="auto"/>
          <w:highlight w:val="none"/>
        </w:rPr>
        <w:t>1.8     答疑会</w:t>
      </w:r>
      <w:r>
        <w:rPr>
          <w:color w:val="auto"/>
          <w:highlight w:val="none"/>
        </w:rPr>
        <w:tab/>
      </w:r>
      <w:r>
        <w:rPr>
          <w:color w:val="auto"/>
          <w:highlight w:val="none"/>
        </w:rPr>
        <w:fldChar w:fldCharType="begin"/>
      </w:r>
      <w:r>
        <w:rPr>
          <w:color w:val="auto"/>
          <w:highlight w:val="none"/>
        </w:rPr>
        <w:instrText xml:space="preserve"> PAGEREF _Toc2484 \h </w:instrText>
      </w:r>
      <w:r>
        <w:rPr>
          <w:color w:val="auto"/>
          <w:highlight w:val="none"/>
        </w:rPr>
        <w:fldChar w:fldCharType="separate"/>
      </w:r>
      <w:r>
        <w:rPr>
          <w:color w:val="auto"/>
          <w:highlight w:val="none"/>
        </w:rPr>
        <w:t>47</w:t>
      </w:r>
      <w:r>
        <w:rPr>
          <w:color w:val="auto"/>
          <w:highlight w:val="none"/>
        </w:rPr>
        <w:fldChar w:fldCharType="end"/>
      </w:r>
      <w:r>
        <w:rPr>
          <w:rFonts w:hint="eastAsia" w:ascii="宋体" w:hAnsi="宋体" w:cs="宋体"/>
          <w:color w:val="auto"/>
          <w:szCs w:val="24"/>
          <w:highlight w:val="none"/>
        </w:rPr>
        <w:fldChar w:fldCharType="end"/>
      </w:r>
    </w:p>
    <w:p w14:paraId="2711CFC4">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_Toc19128 </w:instrText>
      </w:r>
      <w:r>
        <w:rPr>
          <w:rFonts w:hint="eastAsia" w:ascii="宋体" w:hAnsi="宋体" w:cs="宋体"/>
          <w:color w:val="auto"/>
          <w:szCs w:val="24"/>
          <w:highlight w:val="none"/>
        </w:rPr>
        <w:fldChar w:fldCharType="separate"/>
      </w:r>
      <w:r>
        <w:rPr>
          <w:rFonts w:hint="eastAsia" w:ascii="宋体" w:eastAsia="宋体"/>
          <w:color w:val="auto"/>
          <w:highlight w:val="none"/>
        </w:rPr>
        <w:t>1.9     分包</w:t>
      </w:r>
      <w:r>
        <w:rPr>
          <w:color w:val="auto"/>
          <w:highlight w:val="none"/>
        </w:rPr>
        <w:tab/>
      </w:r>
      <w:r>
        <w:rPr>
          <w:color w:val="auto"/>
          <w:highlight w:val="none"/>
        </w:rPr>
        <w:fldChar w:fldCharType="begin"/>
      </w:r>
      <w:r>
        <w:rPr>
          <w:color w:val="auto"/>
          <w:highlight w:val="none"/>
        </w:rPr>
        <w:instrText xml:space="preserve"> PAGEREF _Toc19128 \h </w:instrText>
      </w:r>
      <w:r>
        <w:rPr>
          <w:color w:val="auto"/>
          <w:highlight w:val="none"/>
        </w:rPr>
        <w:fldChar w:fldCharType="separate"/>
      </w:r>
      <w:r>
        <w:rPr>
          <w:color w:val="auto"/>
          <w:highlight w:val="none"/>
        </w:rPr>
        <w:t>47</w:t>
      </w:r>
      <w:r>
        <w:rPr>
          <w:color w:val="auto"/>
          <w:highlight w:val="none"/>
        </w:rPr>
        <w:fldChar w:fldCharType="end"/>
      </w:r>
      <w:r>
        <w:rPr>
          <w:rFonts w:hint="eastAsia" w:ascii="宋体" w:hAnsi="宋体" w:cs="宋体"/>
          <w:color w:val="auto"/>
          <w:szCs w:val="24"/>
          <w:highlight w:val="none"/>
        </w:rPr>
        <w:fldChar w:fldCharType="end"/>
      </w:r>
    </w:p>
    <w:p w14:paraId="752FC704">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_Toc29621 </w:instrText>
      </w:r>
      <w:r>
        <w:rPr>
          <w:rFonts w:hint="eastAsia" w:ascii="宋体" w:hAnsi="宋体" w:cs="宋体"/>
          <w:color w:val="auto"/>
          <w:szCs w:val="24"/>
          <w:highlight w:val="none"/>
        </w:rPr>
        <w:fldChar w:fldCharType="separate"/>
      </w:r>
      <w:r>
        <w:rPr>
          <w:rFonts w:hint="eastAsia" w:ascii="宋体" w:eastAsia="宋体"/>
          <w:color w:val="auto"/>
          <w:highlight w:val="none"/>
        </w:rPr>
        <w:t>1.10    保密</w:t>
      </w:r>
      <w:r>
        <w:rPr>
          <w:color w:val="auto"/>
          <w:highlight w:val="none"/>
        </w:rPr>
        <w:tab/>
      </w:r>
      <w:r>
        <w:rPr>
          <w:color w:val="auto"/>
          <w:highlight w:val="none"/>
        </w:rPr>
        <w:fldChar w:fldCharType="begin"/>
      </w:r>
      <w:r>
        <w:rPr>
          <w:color w:val="auto"/>
          <w:highlight w:val="none"/>
        </w:rPr>
        <w:instrText xml:space="preserve"> PAGEREF _Toc29621 \h </w:instrText>
      </w:r>
      <w:r>
        <w:rPr>
          <w:color w:val="auto"/>
          <w:highlight w:val="none"/>
        </w:rPr>
        <w:fldChar w:fldCharType="separate"/>
      </w:r>
      <w:r>
        <w:rPr>
          <w:color w:val="auto"/>
          <w:highlight w:val="none"/>
        </w:rPr>
        <w:t>47</w:t>
      </w:r>
      <w:r>
        <w:rPr>
          <w:color w:val="auto"/>
          <w:highlight w:val="none"/>
        </w:rPr>
        <w:fldChar w:fldCharType="end"/>
      </w:r>
      <w:r>
        <w:rPr>
          <w:rFonts w:hint="eastAsia" w:ascii="宋体" w:hAnsi="宋体" w:cs="宋体"/>
          <w:color w:val="auto"/>
          <w:szCs w:val="24"/>
          <w:highlight w:val="none"/>
        </w:rPr>
        <w:fldChar w:fldCharType="end"/>
      </w:r>
    </w:p>
    <w:p w14:paraId="13C2AC17">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_Toc11665 </w:instrText>
      </w:r>
      <w:r>
        <w:rPr>
          <w:rFonts w:hint="eastAsia" w:ascii="宋体" w:hAnsi="宋体" w:cs="宋体"/>
          <w:color w:val="auto"/>
          <w:szCs w:val="24"/>
          <w:highlight w:val="none"/>
        </w:rPr>
        <w:fldChar w:fldCharType="separate"/>
      </w:r>
      <w:r>
        <w:rPr>
          <w:rFonts w:hint="eastAsia" w:ascii="宋体" w:eastAsia="宋体"/>
          <w:color w:val="auto"/>
          <w:highlight w:val="none"/>
        </w:rPr>
        <w:t>1.11    政府采购政策</w:t>
      </w:r>
      <w:r>
        <w:rPr>
          <w:color w:val="auto"/>
          <w:highlight w:val="none"/>
        </w:rPr>
        <w:tab/>
      </w:r>
      <w:r>
        <w:rPr>
          <w:color w:val="auto"/>
          <w:highlight w:val="none"/>
        </w:rPr>
        <w:fldChar w:fldCharType="begin"/>
      </w:r>
      <w:r>
        <w:rPr>
          <w:color w:val="auto"/>
          <w:highlight w:val="none"/>
        </w:rPr>
        <w:instrText xml:space="preserve"> PAGEREF _Toc11665 \h </w:instrText>
      </w:r>
      <w:r>
        <w:rPr>
          <w:color w:val="auto"/>
          <w:highlight w:val="none"/>
        </w:rPr>
        <w:fldChar w:fldCharType="separate"/>
      </w:r>
      <w:r>
        <w:rPr>
          <w:color w:val="auto"/>
          <w:highlight w:val="none"/>
        </w:rPr>
        <w:t>47</w:t>
      </w:r>
      <w:r>
        <w:rPr>
          <w:color w:val="auto"/>
          <w:highlight w:val="none"/>
        </w:rPr>
        <w:fldChar w:fldCharType="end"/>
      </w:r>
      <w:r>
        <w:rPr>
          <w:rFonts w:hint="eastAsia" w:ascii="宋体" w:hAnsi="宋体" w:cs="宋体"/>
          <w:color w:val="auto"/>
          <w:szCs w:val="24"/>
          <w:highlight w:val="none"/>
        </w:rPr>
        <w:fldChar w:fldCharType="end"/>
      </w:r>
    </w:p>
    <w:p w14:paraId="0C59E24A">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_Toc14002 </w:instrText>
      </w:r>
      <w:r>
        <w:rPr>
          <w:rFonts w:hint="eastAsia" w:ascii="宋体" w:hAnsi="宋体" w:cs="宋体"/>
          <w:color w:val="auto"/>
          <w:szCs w:val="24"/>
          <w:highlight w:val="none"/>
        </w:rPr>
        <w:fldChar w:fldCharType="separate"/>
      </w:r>
      <w:r>
        <w:rPr>
          <w:rFonts w:hint="eastAsia" w:ascii="宋体" w:eastAsia="宋体"/>
          <w:color w:val="auto"/>
          <w:highlight w:val="none"/>
        </w:rPr>
        <w:t>1.12    相同品牌产品</w:t>
      </w:r>
      <w:r>
        <w:rPr>
          <w:color w:val="auto"/>
          <w:highlight w:val="none"/>
        </w:rPr>
        <w:tab/>
      </w:r>
      <w:r>
        <w:rPr>
          <w:color w:val="auto"/>
          <w:highlight w:val="none"/>
        </w:rPr>
        <w:fldChar w:fldCharType="begin"/>
      </w:r>
      <w:r>
        <w:rPr>
          <w:color w:val="auto"/>
          <w:highlight w:val="none"/>
        </w:rPr>
        <w:instrText xml:space="preserve"> PAGEREF _Toc14002 \h </w:instrText>
      </w:r>
      <w:r>
        <w:rPr>
          <w:color w:val="auto"/>
          <w:highlight w:val="none"/>
        </w:rPr>
        <w:fldChar w:fldCharType="separate"/>
      </w:r>
      <w:r>
        <w:rPr>
          <w:color w:val="auto"/>
          <w:highlight w:val="none"/>
        </w:rPr>
        <w:t>49</w:t>
      </w:r>
      <w:r>
        <w:rPr>
          <w:color w:val="auto"/>
          <w:highlight w:val="none"/>
        </w:rPr>
        <w:fldChar w:fldCharType="end"/>
      </w:r>
      <w:r>
        <w:rPr>
          <w:rFonts w:hint="eastAsia" w:ascii="宋体" w:hAnsi="宋体" w:cs="宋体"/>
          <w:color w:val="auto"/>
          <w:szCs w:val="24"/>
          <w:highlight w:val="none"/>
        </w:rPr>
        <w:fldChar w:fldCharType="end"/>
      </w:r>
    </w:p>
    <w:p w14:paraId="1079BFE8">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_Toc14239 </w:instrText>
      </w:r>
      <w:r>
        <w:rPr>
          <w:rFonts w:hint="eastAsia" w:ascii="宋体" w:hAnsi="宋体" w:cs="宋体"/>
          <w:color w:val="auto"/>
          <w:szCs w:val="24"/>
          <w:highlight w:val="none"/>
        </w:rPr>
        <w:fldChar w:fldCharType="separate"/>
      </w:r>
      <w:r>
        <w:rPr>
          <w:rFonts w:hint="eastAsia" w:ascii="宋体" w:eastAsia="宋体"/>
          <w:color w:val="auto"/>
          <w:highlight w:val="none"/>
        </w:rPr>
        <w:t>1.13    信用信息记录查询</w:t>
      </w:r>
      <w:r>
        <w:rPr>
          <w:color w:val="auto"/>
          <w:highlight w:val="none"/>
        </w:rPr>
        <w:tab/>
      </w:r>
      <w:r>
        <w:rPr>
          <w:color w:val="auto"/>
          <w:highlight w:val="none"/>
        </w:rPr>
        <w:fldChar w:fldCharType="begin"/>
      </w:r>
      <w:r>
        <w:rPr>
          <w:color w:val="auto"/>
          <w:highlight w:val="none"/>
        </w:rPr>
        <w:instrText xml:space="preserve"> PAGEREF _Toc14239 \h </w:instrText>
      </w:r>
      <w:r>
        <w:rPr>
          <w:color w:val="auto"/>
          <w:highlight w:val="none"/>
        </w:rPr>
        <w:fldChar w:fldCharType="separate"/>
      </w:r>
      <w:r>
        <w:rPr>
          <w:color w:val="auto"/>
          <w:highlight w:val="none"/>
        </w:rPr>
        <w:t>49</w:t>
      </w:r>
      <w:r>
        <w:rPr>
          <w:color w:val="auto"/>
          <w:highlight w:val="none"/>
        </w:rPr>
        <w:fldChar w:fldCharType="end"/>
      </w:r>
      <w:r>
        <w:rPr>
          <w:rFonts w:hint="eastAsia" w:ascii="宋体" w:hAnsi="宋体" w:cs="宋体"/>
          <w:color w:val="auto"/>
          <w:szCs w:val="24"/>
          <w:highlight w:val="none"/>
        </w:rPr>
        <w:fldChar w:fldCharType="end"/>
      </w:r>
    </w:p>
    <w:p w14:paraId="2B41FA71">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_Toc24217 </w:instrText>
      </w:r>
      <w:r>
        <w:rPr>
          <w:rFonts w:hint="eastAsia" w:ascii="宋体" w:hAnsi="宋体" w:cs="宋体"/>
          <w:color w:val="auto"/>
          <w:szCs w:val="24"/>
          <w:highlight w:val="none"/>
        </w:rPr>
        <w:fldChar w:fldCharType="separate"/>
      </w:r>
      <w:r>
        <w:rPr>
          <w:rFonts w:hint="eastAsia" w:ascii="宋体" w:eastAsia="宋体"/>
          <w:color w:val="auto"/>
          <w:highlight w:val="none"/>
        </w:rPr>
        <w:t>1.14    询问、质疑和投诉</w:t>
      </w:r>
      <w:r>
        <w:rPr>
          <w:color w:val="auto"/>
          <w:highlight w:val="none"/>
        </w:rPr>
        <w:tab/>
      </w:r>
      <w:r>
        <w:rPr>
          <w:color w:val="auto"/>
          <w:highlight w:val="none"/>
        </w:rPr>
        <w:fldChar w:fldCharType="begin"/>
      </w:r>
      <w:r>
        <w:rPr>
          <w:color w:val="auto"/>
          <w:highlight w:val="none"/>
        </w:rPr>
        <w:instrText xml:space="preserve"> PAGEREF _Toc24217 \h </w:instrText>
      </w:r>
      <w:r>
        <w:rPr>
          <w:color w:val="auto"/>
          <w:highlight w:val="none"/>
        </w:rPr>
        <w:fldChar w:fldCharType="separate"/>
      </w:r>
      <w:r>
        <w:rPr>
          <w:color w:val="auto"/>
          <w:highlight w:val="none"/>
        </w:rPr>
        <w:t>49</w:t>
      </w:r>
      <w:r>
        <w:rPr>
          <w:color w:val="auto"/>
          <w:highlight w:val="none"/>
        </w:rPr>
        <w:fldChar w:fldCharType="end"/>
      </w:r>
      <w:r>
        <w:rPr>
          <w:rFonts w:hint="eastAsia" w:ascii="宋体" w:hAnsi="宋体" w:cs="宋体"/>
          <w:color w:val="auto"/>
          <w:szCs w:val="24"/>
          <w:highlight w:val="none"/>
        </w:rPr>
        <w:fldChar w:fldCharType="end"/>
      </w:r>
    </w:p>
    <w:p w14:paraId="25184C24">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_Toc23355 </w:instrText>
      </w:r>
      <w:r>
        <w:rPr>
          <w:rFonts w:hint="eastAsia" w:ascii="宋体" w:hAnsi="宋体" w:cs="宋体"/>
          <w:color w:val="auto"/>
          <w:szCs w:val="24"/>
          <w:highlight w:val="none"/>
        </w:rPr>
        <w:fldChar w:fldCharType="separate"/>
      </w:r>
      <w:r>
        <w:rPr>
          <w:rFonts w:hint="eastAsia" w:ascii="宋体" w:eastAsia="宋体"/>
          <w:color w:val="auto"/>
          <w:highlight w:val="none"/>
        </w:rPr>
        <w:t>1.15    特别声明</w:t>
      </w:r>
      <w:r>
        <w:rPr>
          <w:color w:val="auto"/>
          <w:highlight w:val="none"/>
        </w:rPr>
        <w:tab/>
      </w:r>
      <w:r>
        <w:rPr>
          <w:color w:val="auto"/>
          <w:highlight w:val="none"/>
        </w:rPr>
        <w:fldChar w:fldCharType="begin"/>
      </w:r>
      <w:r>
        <w:rPr>
          <w:color w:val="auto"/>
          <w:highlight w:val="none"/>
        </w:rPr>
        <w:instrText xml:space="preserve"> PAGEREF _Toc23355 \h </w:instrText>
      </w:r>
      <w:r>
        <w:rPr>
          <w:color w:val="auto"/>
          <w:highlight w:val="none"/>
        </w:rPr>
        <w:fldChar w:fldCharType="separate"/>
      </w:r>
      <w:r>
        <w:rPr>
          <w:color w:val="auto"/>
          <w:highlight w:val="none"/>
        </w:rPr>
        <w:t>51</w:t>
      </w:r>
      <w:r>
        <w:rPr>
          <w:color w:val="auto"/>
          <w:highlight w:val="none"/>
        </w:rPr>
        <w:fldChar w:fldCharType="end"/>
      </w:r>
      <w:r>
        <w:rPr>
          <w:rFonts w:hint="eastAsia" w:ascii="宋体" w:hAnsi="宋体" w:cs="宋体"/>
          <w:color w:val="auto"/>
          <w:szCs w:val="24"/>
          <w:highlight w:val="none"/>
        </w:rPr>
        <w:fldChar w:fldCharType="end"/>
      </w:r>
    </w:p>
    <w:p w14:paraId="08674198">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_Toc23967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二    招标文件</w:t>
      </w:r>
      <w:r>
        <w:rPr>
          <w:color w:val="auto"/>
          <w:highlight w:val="none"/>
        </w:rPr>
        <w:tab/>
      </w:r>
      <w:r>
        <w:rPr>
          <w:color w:val="auto"/>
          <w:highlight w:val="none"/>
        </w:rPr>
        <w:fldChar w:fldCharType="begin"/>
      </w:r>
      <w:r>
        <w:rPr>
          <w:color w:val="auto"/>
          <w:highlight w:val="none"/>
        </w:rPr>
        <w:instrText xml:space="preserve"> PAGEREF _Toc23967 \h </w:instrText>
      </w:r>
      <w:r>
        <w:rPr>
          <w:color w:val="auto"/>
          <w:highlight w:val="none"/>
        </w:rPr>
        <w:fldChar w:fldCharType="separate"/>
      </w:r>
      <w:r>
        <w:rPr>
          <w:color w:val="auto"/>
          <w:highlight w:val="none"/>
        </w:rPr>
        <w:t>51</w:t>
      </w:r>
      <w:r>
        <w:rPr>
          <w:color w:val="auto"/>
          <w:highlight w:val="none"/>
        </w:rPr>
        <w:fldChar w:fldCharType="end"/>
      </w:r>
      <w:r>
        <w:rPr>
          <w:rFonts w:hint="eastAsia" w:ascii="宋体" w:hAnsi="宋体" w:cs="宋体"/>
          <w:color w:val="auto"/>
          <w:szCs w:val="24"/>
          <w:highlight w:val="none"/>
        </w:rPr>
        <w:fldChar w:fldCharType="end"/>
      </w:r>
    </w:p>
    <w:p w14:paraId="074D284E">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_Toc25351 </w:instrText>
      </w:r>
      <w:r>
        <w:rPr>
          <w:rFonts w:hint="eastAsia" w:ascii="宋体" w:hAnsi="宋体" w:cs="宋体"/>
          <w:color w:val="auto"/>
          <w:szCs w:val="24"/>
          <w:highlight w:val="none"/>
        </w:rPr>
        <w:fldChar w:fldCharType="separate"/>
      </w:r>
      <w:r>
        <w:rPr>
          <w:rFonts w:hint="eastAsia" w:ascii="宋体" w:eastAsia="宋体"/>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_Toc25351 \h </w:instrText>
      </w:r>
      <w:r>
        <w:rPr>
          <w:color w:val="auto"/>
          <w:highlight w:val="none"/>
        </w:rPr>
        <w:fldChar w:fldCharType="separate"/>
      </w:r>
      <w:r>
        <w:rPr>
          <w:color w:val="auto"/>
          <w:highlight w:val="none"/>
        </w:rPr>
        <w:t>51</w:t>
      </w:r>
      <w:r>
        <w:rPr>
          <w:color w:val="auto"/>
          <w:highlight w:val="none"/>
        </w:rPr>
        <w:fldChar w:fldCharType="end"/>
      </w:r>
      <w:r>
        <w:rPr>
          <w:rFonts w:hint="eastAsia" w:ascii="宋体" w:hAnsi="宋体" w:cs="宋体"/>
          <w:color w:val="auto"/>
          <w:szCs w:val="24"/>
          <w:highlight w:val="none"/>
        </w:rPr>
        <w:fldChar w:fldCharType="end"/>
      </w:r>
    </w:p>
    <w:p w14:paraId="69F3E009">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_Toc11270 </w:instrText>
      </w:r>
      <w:r>
        <w:rPr>
          <w:rFonts w:hint="eastAsia" w:ascii="宋体" w:hAnsi="宋体" w:cs="宋体"/>
          <w:color w:val="auto"/>
          <w:szCs w:val="24"/>
          <w:highlight w:val="none"/>
        </w:rPr>
        <w:fldChar w:fldCharType="separate"/>
      </w:r>
      <w:r>
        <w:rPr>
          <w:rFonts w:hint="eastAsia" w:ascii="宋体" w:eastAsia="宋体"/>
          <w:color w:val="auto"/>
          <w:highlight w:val="none"/>
        </w:rPr>
        <w:t>2.2     招标文件的澄清、修改</w:t>
      </w:r>
      <w:r>
        <w:rPr>
          <w:color w:val="auto"/>
          <w:highlight w:val="none"/>
        </w:rPr>
        <w:tab/>
      </w:r>
      <w:r>
        <w:rPr>
          <w:color w:val="auto"/>
          <w:highlight w:val="none"/>
        </w:rPr>
        <w:fldChar w:fldCharType="begin"/>
      </w:r>
      <w:r>
        <w:rPr>
          <w:color w:val="auto"/>
          <w:highlight w:val="none"/>
        </w:rPr>
        <w:instrText xml:space="preserve"> PAGEREF _Toc11270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cs="宋体"/>
          <w:color w:val="auto"/>
          <w:szCs w:val="24"/>
          <w:highlight w:val="none"/>
        </w:rPr>
        <w:fldChar w:fldCharType="end"/>
      </w:r>
    </w:p>
    <w:p w14:paraId="234759A8">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_Toc2195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三    投标文件组成</w:t>
      </w:r>
      <w:r>
        <w:rPr>
          <w:color w:val="auto"/>
          <w:highlight w:val="none"/>
        </w:rPr>
        <w:tab/>
      </w:r>
      <w:r>
        <w:rPr>
          <w:color w:val="auto"/>
          <w:highlight w:val="none"/>
        </w:rPr>
        <w:fldChar w:fldCharType="begin"/>
      </w:r>
      <w:r>
        <w:rPr>
          <w:color w:val="auto"/>
          <w:highlight w:val="none"/>
        </w:rPr>
        <w:instrText xml:space="preserve"> PAGEREF _Toc2195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cs="宋体"/>
          <w:color w:val="auto"/>
          <w:szCs w:val="24"/>
          <w:highlight w:val="none"/>
        </w:rPr>
        <w:fldChar w:fldCharType="end"/>
      </w:r>
    </w:p>
    <w:p w14:paraId="0CF7F635">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_Toc17084 </w:instrText>
      </w:r>
      <w:r>
        <w:rPr>
          <w:rFonts w:hint="eastAsia" w:ascii="宋体" w:hAnsi="宋体" w:cs="宋体"/>
          <w:color w:val="auto"/>
          <w:szCs w:val="24"/>
          <w:highlight w:val="none"/>
        </w:rPr>
        <w:fldChar w:fldCharType="separate"/>
      </w:r>
      <w:r>
        <w:rPr>
          <w:rFonts w:hint="eastAsia" w:ascii="宋体" w:eastAsia="宋体"/>
          <w:color w:val="auto"/>
          <w:highlight w:val="none"/>
        </w:rPr>
        <w:t>3.1    投标文件组成</w:t>
      </w:r>
      <w:r>
        <w:rPr>
          <w:color w:val="auto"/>
          <w:highlight w:val="none"/>
        </w:rPr>
        <w:tab/>
      </w:r>
      <w:r>
        <w:rPr>
          <w:color w:val="auto"/>
          <w:highlight w:val="none"/>
        </w:rPr>
        <w:fldChar w:fldCharType="begin"/>
      </w:r>
      <w:r>
        <w:rPr>
          <w:color w:val="auto"/>
          <w:highlight w:val="none"/>
        </w:rPr>
        <w:instrText xml:space="preserve"> PAGEREF _Toc17084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cs="宋体"/>
          <w:color w:val="auto"/>
          <w:szCs w:val="24"/>
          <w:highlight w:val="none"/>
        </w:rPr>
        <w:fldChar w:fldCharType="end"/>
      </w:r>
    </w:p>
    <w:p w14:paraId="2014A7D2">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_Toc388 </w:instrText>
      </w:r>
      <w:r>
        <w:rPr>
          <w:rFonts w:hint="eastAsia" w:ascii="宋体" w:hAnsi="宋体" w:cs="宋体"/>
          <w:color w:val="auto"/>
          <w:szCs w:val="24"/>
          <w:highlight w:val="none"/>
        </w:rPr>
        <w:fldChar w:fldCharType="separate"/>
      </w:r>
      <w:r>
        <w:rPr>
          <w:rFonts w:hint="eastAsia" w:ascii="宋体" w:eastAsia="宋体"/>
          <w:color w:val="auto"/>
          <w:highlight w:val="none"/>
        </w:rPr>
        <w:t>3.2    资格文件：详见</w:t>
      </w:r>
      <w:r>
        <w:rPr>
          <w:rFonts w:hint="eastAsia" w:ascii="宋体" w:eastAsia="宋体"/>
          <w:color w:val="auto"/>
          <w:szCs w:val="36"/>
          <w:highlight w:val="none"/>
        </w:rPr>
        <w:t>第五章投标文件格式；</w:t>
      </w:r>
      <w:r>
        <w:rPr>
          <w:color w:val="auto"/>
          <w:highlight w:val="none"/>
        </w:rPr>
        <w:tab/>
      </w:r>
      <w:r>
        <w:rPr>
          <w:color w:val="auto"/>
          <w:highlight w:val="none"/>
        </w:rPr>
        <w:fldChar w:fldCharType="begin"/>
      </w:r>
      <w:r>
        <w:rPr>
          <w:color w:val="auto"/>
          <w:highlight w:val="none"/>
        </w:rPr>
        <w:instrText xml:space="preserve"> PAGEREF _Toc388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cs="宋体"/>
          <w:color w:val="auto"/>
          <w:szCs w:val="24"/>
          <w:highlight w:val="none"/>
        </w:rPr>
        <w:fldChar w:fldCharType="end"/>
      </w:r>
    </w:p>
    <w:p w14:paraId="1E645DE8">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_Toc10070 </w:instrText>
      </w:r>
      <w:r>
        <w:rPr>
          <w:rFonts w:hint="eastAsia" w:ascii="宋体" w:hAnsi="宋体" w:cs="宋体"/>
          <w:color w:val="auto"/>
          <w:szCs w:val="24"/>
          <w:highlight w:val="none"/>
        </w:rPr>
        <w:fldChar w:fldCharType="separate"/>
      </w:r>
      <w:r>
        <w:rPr>
          <w:rFonts w:hint="eastAsia" w:ascii="宋体" w:eastAsia="宋体"/>
          <w:color w:val="auto"/>
          <w:highlight w:val="none"/>
        </w:rPr>
        <w:t>3.3</w:t>
      </w:r>
      <w:r>
        <w:rPr>
          <w:rFonts w:hint="eastAsia" w:ascii="宋体" w:eastAsia="宋体"/>
          <w:color w:val="auto"/>
          <w:highlight w:val="none"/>
          <w:lang w:val="zh-CN"/>
        </w:rPr>
        <w:t xml:space="preserve">  </w:t>
      </w:r>
      <w:r>
        <w:rPr>
          <w:rFonts w:hint="eastAsia" w:ascii="宋体" w:eastAsia="宋体"/>
          <w:color w:val="auto"/>
          <w:highlight w:val="none"/>
        </w:rPr>
        <w:t xml:space="preserve">  商务技术</w:t>
      </w:r>
      <w:r>
        <w:rPr>
          <w:rFonts w:hint="eastAsia" w:ascii="宋体" w:eastAsia="宋体"/>
          <w:color w:val="auto"/>
          <w:highlight w:val="none"/>
          <w:lang w:val="zh-CN"/>
        </w:rPr>
        <w:t>文件</w:t>
      </w:r>
      <w:r>
        <w:rPr>
          <w:rFonts w:hint="eastAsia" w:ascii="宋体" w:eastAsia="宋体"/>
          <w:color w:val="auto"/>
          <w:highlight w:val="none"/>
        </w:rPr>
        <w:t>：详见</w:t>
      </w:r>
      <w:r>
        <w:rPr>
          <w:rFonts w:hint="eastAsia" w:ascii="宋体" w:eastAsia="宋体"/>
          <w:color w:val="auto"/>
          <w:szCs w:val="36"/>
          <w:highlight w:val="none"/>
        </w:rPr>
        <w:t>第五章投标文件格式；</w:t>
      </w:r>
      <w:r>
        <w:rPr>
          <w:color w:val="auto"/>
          <w:highlight w:val="none"/>
        </w:rPr>
        <w:tab/>
      </w:r>
      <w:r>
        <w:rPr>
          <w:color w:val="auto"/>
          <w:highlight w:val="none"/>
        </w:rPr>
        <w:fldChar w:fldCharType="begin"/>
      </w:r>
      <w:r>
        <w:rPr>
          <w:color w:val="auto"/>
          <w:highlight w:val="none"/>
        </w:rPr>
        <w:instrText xml:space="preserve"> PAGEREF _Toc10070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cs="宋体"/>
          <w:color w:val="auto"/>
          <w:szCs w:val="24"/>
          <w:highlight w:val="none"/>
        </w:rPr>
        <w:fldChar w:fldCharType="end"/>
      </w:r>
    </w:p>
    <w:p w14:paraId="397CDC08">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_Toc20878 </w:instrText>
      </w:r>
      <w:r>
        <w:rPr>
          <w:rFonts w:hint="eastAsia" w:ascii="宋体" w:hAnsi="宋体" w:cs="宋体"/>
          <w:color w:val="auto"/>
          <w:szCs w:val="24"/>
          <w:highlight w:val="none"/>
        </w:rPr>
        <w:fldChar w:fldCharType="separate"/>
      </w:r>
      <w:r>
        <w:rPr>
          <w:rFonts w:hint="eastAsia" w:ascii="宋体" w:eastAsia="宋体"/>
          <w:color w:val="auto"/>
          <w:highlight w:val="none"/>
        </w:rPr>
        <w:t>3.4    报价文件：详见</w:t>
      </w:r>
      <w:r>
        <w:rPr>
          <w:rFonts w:hint="eastAsia" w:ascii="宋体" w:eastAsia="宋体"/>
          <w:color w:val="auto"/>
          <w:szCs w:val="36"/>
          <w:highlight w:val="none"/>
        </w:rPr>
        <w:t>第五章投标文件格式；</w:t>
      </w:r>
      <w:r>
        <w:rPr>
          <w:color w:val="auto"/>
          <w:highlight w:val="none"/>
        </w:rPr>
        <w:tab/>
      </w:r>
      <w:r>
        <w:rPr>
          <w:color w:val="auto"/>
          <w:highlight w:val="none"/>
        </w:rPr>
        <w:fldChar w:fldCharType="begin"/>
      </w:r>
      <w:r>
        <w:rPr>
          <w:color w:val="auto"/>
          <w:highlight w:val="none"/>
        </w:rPr>
        <w:instrText xml:space="preserve"> PAGEREF _Toc20878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cs="宋体"/>
          <w:color w:val="auto"/>
          <w:szCs w:val="24"/>
          <w:highlight w:val="none"/>
        </w:rPr>
        <w:fldChar w:fldCharType="end"/>
      </w:r>
    </w:p>
    <w:p w14:paraId="62277D6A">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_Toc31048 </w:instrText>
      </w:r>
      <w:r>
        <w:rPr>
          <w:rFonts w:hint="eastAsia" w:ascii="宋体" w:hAnsi="宋体" w:cs="宋体"/>
          <w:color w:val="auto"/>
          <w:szCs w:val="24"/>
          <w:highlight w:val="none"/>
        </w:rPr>
        <w:fldChar w:fldCharType="separate"/>
      </w:r>
      <w:r>
        <w:rPr>
          <w:rFonts w:hint="eastAsia" w:ascii="宋体" w:eastAsia="宋体"/>
          <w:color w:val="auto"/>
          <w:highlight w:val="none"/>
        </w:rPr>
        <w:t>3.5     投标文件形式</w:t>
      </w:r>
      <w:r>
        <w:rPr>
          <w:color w:val="auto"/>
          <w:highlight w:val="none"/>
        </w:rPr>
        <w:tab/>
      </w:r>
      <w:r>
        <w:rPr>
          <w:color w:val="auto"/>
          <w:highlight w:val="none"/>
        </w:rPr>
        <w:fldChar w:fldCharType="begin"/>
      </w:r>
      <w:r>
        <w:rPr>
          <w:color w:val="auto"/>
          <w:highlight w:val="none"/>
        </w:rPr>
        <w:instrText xml:space="preserve"> PAGEREF _Toc31048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cs="宋体"/>
          <w:color w:val="auto"/>
          <w:szCs w:val="24"/>
          <w:highlight w:val="none"/>
        </w:rPr>
        <w:fldChar w:fldCharType="end"/>
      </w:r>
    </w:p>
    <w:p w14:paraId="678D1061">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_Toc25256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四    投标文件编制</w:t>
      </w:r>
      <w:r>
        <w:rPr>
          <w:color w:val="auto"/>
          <w:highlight w:val="none"/>
        </w:rPr>
        <w:tab/>
      </w:r>
      <w:r>
        <w:rPr>
          <w:color w:val="auto"/>
          <w:highlight w:val="none"/>
        </w:rPr>
        <w:fldChar w:fldCharType="begin"/>
      </w:r>
      <w:r>
        <w:rPr>
          <w:color w:val="auto"/>
          <w:highlight w:val="none"/>
        </w:rPr>
        <w:instrText xml:space="preserve"> PAGEREF _Toc25256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cs="宋体"/>
          <w:color w:val="auto"/>
          <w:szCs w:val="24"/>
          <w:highlight w:val="none"/>
        </w:rPr>
        <w:fldChar w:fldCharType="end"/>
      </w:r>
    </w:p>
    <w:p w14:paraId="2F90D277">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_Toc18898 </w:instrText>
      </w:r>
      <w:r>
        <w:rPr>
          <w:rFonts w:hint="eastAsia" w:ascii="宋体" w:hAnsi="宋体" w:cs="宋体"/>
          <w:color w:val="auto"/>
          <w:szCs w:val="24"/>
          <w:highlight w:val="none"/>
        </w:rPr>
        <w:fldChar w:fldCharType="separate"/>
      </w:r>
      <w:r>
        <w:rPr>
          <w:rFonts w:hint="eastAsia" w:ascii="宋体" w:eastAsia="宋体"/>
          <w:color w:val="auto"/>
          <w:highlight w:val="none"/>
        </w:rPr>
        <w:t>4.1     投标文件编制</w:t>
      </w:r>
      <w:r>
        <w:rPr>
          <w:color w:val="auto"/>
          <w:highlight w:val="none"/>
        </w:rPr>
        <w:tab/>
      </w:r>
      <w:r>
        <w:rPr>
          <w:color w:val="auto"/>
          <w:highlight w:val="none"/>
        </w:rPr>
        <w:fldChar w:fldCharType="begin"/>
      </w:r>
      <w:r>
        <w:rPr>
          <w:color w:val="auto"/>
          <w:highlight w:val="none"/>
        </w:rPr>
        <w:instrText xml:space="preserve"> PAGEREF _Toc18898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cs="宋体"/>
          <w:color w:val="auto"/>
          <w:szCs w:val="24"/>
          <w:highlight w:val="none"/>
        </w:rPr>
        <w:fldChar w:fldCharType="end"/>
      </w:r>
    </w:p>
    <w:p w14:paraId="67378DB2">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_Toc7077 </w:instrText>
      </w:r>
      <w:r>
        <w:rPr>
          <w:rFonts w:hint="eastAsia" w:ascii="宋体" w:hAnsi="宋体" w:cs="宋体"/>
          <w:color w:val="auto"/>
          <w:szCs w:val="24"/>
          <w:highlight w:val="none"/>
        </w:rPr>
        <w:fldChar w:fldCharType="separate"/>
      </w:r>
      <w:r>
        <w:rPr>
          <w:rFonts w:hint="eastAsia" w:ascii="宋体" w:eastAsia="宋体"/>
          <w:color w:val="auto"/>
          <w:highlight w:val="none"/>
        </w:rPr>
        <w:t>4.2     投标报价要求</w:t>
      </w:r>
      <w:r>
        <w:rPr>
          <w:color w:val="auto"/>
          <w:highlight w:val="none"/>
        </w:rPr>
        <w:tab/>
      </w:r>
      <w:r>
        <w:rPr>
          <w:color w:val="auto"/>
          <w:highlight w:val="none"/>
        </w:rPr>
        <w:fldChar w:fldCharType="begin"/>
      </w:r>
      <w:r>
        <w:rPr>
          <w:color w:val="auto"/>
          <w:highlight w:val="none"/>
        </w:rPr>
        <w:instrText xml:space="preserve"> PAGEREF _Toc7077 \h </w:instrText>
      </w:r>
      <w:r>
        <w:rPr>
          <w:color w:val="auto"/>
          <w:highlight w:val="none"/>
        </w:rPr>
        <w:fldChar w:fldCharType="separate"/>
      </w:r>
      <w:r>
        <w:rPr>
          <w:color w:val="auto"/>
          <w:highlight w:val="none"/>
        </w:rPr>
        <w:t>53</w:t>
      </w:r>
      <w:r>
        <w:rPr>
          <w:color w:val="auto"/>
          <w:highlight w:val="none"/>
        </w:rPr>
        <w:fldChar w:fldCharType="end"/>
      </w:r>
      <w:r>
        <w:rPr>
          <w:rFonts w:hint="eastAsia" w:ascii="宋体" w:hAnsi="宋体" w:cs="宋体"/>
          <w:color w:val="auto"/>
          <w:szCs w:val="24"/>
          <w:highlight w:val="none"/>
        </w:rPr>
        <w:fldChar w:fldCharType="end"/>
      </w:r>
    </w:p>
    <w:p w14:paraId="68C0AC65">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_Toc31913 </w:instrText>
      </w:r>
      <w:r>
        <w:rPr>
          <w:rFonts w:hint="eastAsia" w:ascii="宋体" w:hAnsi="宋体" w:cs="宋体"/>
          <w:color w:val="auto"/>
          <w:szCs w:val="24"/>
          <w:highlight w:val="none"/>
        </w:rPr>
        <w:fldChar w:fldCharType="separate"/>
      </w:r>
      <w:r>
        <w:rPr>
          <w:rFonts w:hint="eastAsia" w:ascii="宋体" w:eastAsia="宋体"/>
          <w:color w:val="auto"/>
          <w:highlight w:val="none"/>
        </w:rPr>
        <w:t>4.3     投标有效期</w:t>
      </w:r>
      <w:r>
        <w:rPr>
          <w:color w:val="auto"/>
          <w:highlight w:val="none"/>
        </w:rPr>
        <w:tab/>
      </w:r>
      <w:r>
        <w:rPr>
          <w:color w:val="auto"/>
          <w:highlight w:val="none"/>
        </w:rPr>
        <w:fldChar w:fldCharType="begin"/>
      </w:r>
      <w:r>
        <w:rPr>
          <w:color w:val="auto"/>
          <w:highlight w:val="none"/>
        </w:rPr>
        <w:instrText xml:space="preserve"> PAGEREF _Toc31913 \h </w:instrText>
      </w:r>
      <w:r>
        <w:rPr>
          <w:color w:val="auto"/>
          <w:highlight w:val="none"/>
        </w:rPr>
        <w:fldChar w:fldCharType="separate"/>
      </w:r>
      <w:r>
        <w:rPr>
          <w:color w:val="auto"/>
          <w:highlight w:val="none"/>
        </w:rPr>
        <w:t>53</w:t>
      </w:r>
      <w:r>
        <w:rPr>
          <w:color w:val="auto"/>
          <w:highlight w:val="none"/>
        </w:rPr>
        <w:fldChar w:fldCharType="end"/>
      </w:r>
      <w:r>
        <w:rPr>
          <w:rFonts w:hint="eastAsia" w:ascii="宋体" w:hAnsi="宋体" w:cs="宋体"/>
          <w:color w:val="auto"/>
          <w:szCs w:val="24"/>
          <w:highlight w:val="none"/>
        </w:rPr>
        <w:fldChar w:fldCharType="end"/>
      </w:r>
    </w:p>
    <w:p w14:paraId="6EF5F966">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_Toc20690 </w:instrText>
      </w:r>
      <w:r>
        <w:rPr>
          <w:rFonts w:hint="eastAsia" w:ascii="宋体" w:hAnsi="宋体" w:cs="宋体"/>
          <w:color w:val="auto"/>
          <w:szCs w:val="24"/>
          <w:highlight w:val="none"/>
        </w:rPr>
        <w:fldChar w:fldCharType="separate"/>
      </w:r>
      <w:r>
        <w:rPr>
          <w:rFonts w:hint="eastAsia" w:ascii="宋体" w:eastAsia="宋体"/>
          <w:color w:val="auto"/>
          <w:highlight w:val="none"/>
        </w:rPr>
        <w:t>4.4     投标文件格式</w:t>
      </w:r>
      <w:r>
        <w:rPr>
          <w:color w:val="auto"/>
          <w:highlight w:val="none"/>
        </w:rPr>
        <w:tab/>
      </w:r>
      <w:r>
        <w:rPr>
          <w:color w:val="auto"/>
          <w:highlight w:val="none"/>
        </w:rPr>
        <w:fldChar w:fldCharType="begin"/>
      </w:r>
      <w:r>
        <w:rPr>
          <w:color w:val="auto"/>
          <w:highlight w:val="none"/>
        </w:rPr>
        <w:instrText xml:space="preserve"> PAGEREF _Toc20690 \h </w:instrText>
      </w:r>
      <w:r>
        <w:rPr>
          <w:color w:val="auto"/>
          <w:highlight w:val="none"/>
        </w:rPr>
        <w:fldChar w:fldCharType="separate"/>
      </w:r>
      <w:r>
        <w:rPr>
          <w:color w:val="auto"/>
          <w:highlight w:val="none"/>
        </w:rPr>
        <w:t>53</w:t>
      </w:r>
      <w:r>
        <w:rPr>
          <w:color w:val="auto"/>
          <w:highlight w:val="none"/>
        </w:rPr>
        <w:fldChar w:fldCharType="end"/>
      </w:r>
      <w:r>
        <w:rPr>
          <w:rFonts w:hint="eastAsia" w:ascii="宋体" w:hAnsi="宋体" w:cs="宋体"/>
          <w:color w:val="auto"/>
          <w:szCs w:val="24"/>
          <w:highlight w:val="none"/>
        </w:rPr>
        <w:fldChar w:fldCharType="end"/>
      </w:r>
    </w:p>
    <w:p w14:paraId="42183CD6">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_Toc16045 </w:instrText>
      </w:r>
      <w:r>
        <w:rPr>
          <w:rFonts w:hint="eastAsia" w:ascii="宋体" w:hAnsi="宋体" w:cs="宋体"/>
          <w:color w:val="auto"/>
          <w:szCs w:val="24"/>
          <w:highlight w:val="none"/>
        </w:rPr>
        <w:fldChar w:fldCharType="separate"/>
      </w:r>
      <w:r>
        <w:rPr>
          <w:rFonts w:hint="eastAsia" w:ascii="宋体" w:eastAsia="宋体"/>
          <w:color w:val="auto"/>
          <w:highlight w:val="none"/>
        </w:rPr>
        <w:t>4.5     投标文件份数及签署</w:t>
      </w:r>
      <w:r>
        <w:rPr>
          <w:color w:val="auto"/>
          <w:highlight w:val="none"/>
        </w:rPr>
        <w:tab/>
      </w:r>
      <w:r>
        <w:rPr>
          <w:color w:val="auto"/>
          <w:highlight w:val="none"/>
        </w:rPr>
        <w:fldChar w:fldCharType="begin"/>
      </w:r>
      <w:r>
        <w:rPr>
          <w:color w:val="auto"/>
          <w:highlight w:val="none"/>
        </w:rPr>
        <w:instrText xml:space="preserve"> PAGEREF _Toc16045 \h </w:instrText>
      </w:r>
      <w:r>
        <w:rPr>
          <w:color w:val="auto"/>
          <w:highlight w:val="none"/>
        </w:rPr>
        <w:fldChar w:fldCharType="separate"/>
      </w:r>
      <w:r>
        <w:rPr>
          <w:color w:val="auto"/>
          <w:highlight w:val="none"/>
        </w:rPr>
        <w:t>53</w:t>
      </w:r>
      <w:r>
        <w:rPr>
          <w:color w:val="auto"/>
          <w:highlight w:val="none"/>
        </w:rPr>
        <w:fldChar w:fldCharType="end"/>
      </w:r>
      <w:r>
        <w:rPr>
          <w:rFonts w:hint="eastAsia" w:ascii="宋体" w:hAnsi="宋体" w:cs="宋体"/>
          <w:color w:val="auto"/>
          <w:szCs w:val="24"/>
          <w:highlight w:val="none"/>
        </w:rPr>
        <w:fldChar w:fldCharType="end"/>
      </w:r>
    </w:p>
    <w:p w14:paraId="3335A35B">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_Toc1609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五    投标文件提交</w:t>
      </w:r>
      <w:r>
        <w:rPr>
          <w:color w:val="auto"/>
          <w:highlight w:val="none"/>
        </w:rPr>
        <w:tab/>
      </w:r>
      <w:r>
        <w:rPr>
          <w:color w:val="auto"/>
          <w:highlight w:val="none"/>
        </w:rPr>
        <w:fldChar w:fldCharType="begin"/>
      </w:r>
      <w:r>
        <w:rPr>
          <w:color w:val="auto"/>
          <w:highlight w:val="none"/>
        </w:rPr>
        <w:instrText xml:space="preserve"> PAGEREF _Toc1609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cs="宋体"/>
          <w:color w:val="auto"/>
          <w:szCs w:val="24"/>
          <w:highlight w:val="none"/>
        </w:rPr>
        <w:fldChar w:fldCharType="end"/>
      </w:r>
    </w:p>
    <w:p w14:paraId="36B77D34">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_Toc19292 </w:instrText>
      </w:r>
      <w:r>
        <w:rPr>
          <w:rFonts w:hint="eastAsia" w:ascii="宋体" w:hAnsi="宋体" w:cs="宋体"/>
          <w:color w:val="auto"/>
          <w:szCs w:val="24"/>
          <w:highlight w:val="none"/>
        </w:rPr>
        <w:fldChar w:fldCharType="separate"/>
      </w:r>
      <w:r>
        <w:rPr>
          <w:rFonts w:hint="eastAsia" w:ascii="宋体" w:eastAsia="宋体"/>
          <w:color w:val="auto"/>
          <w:highlight w:val="none"/>
        </w:rPr>
        <w:t>5.1     投标文件导入和加密</w:t>
      </w:r>
      <w:r>
        <w:rPr>
          <w:color w:val="auto"/>
          <w:highlight w:val="none"/>
        </w:rPr>
        <w:tab/>
      </w:r>
      <w:r>
        <w:rPr>
          <w:color w:val="auto"/>
          <w:highlight w:val="none"/>
        </w:rPr>
        <w:fldChar w:fldCharType="begin"/>
      </w:r>
      <w:r>
        <w:rPr>
          <w:color w:val="auto"/>
          <w:highlight w:val="none"/>
        </w:rPr>
        <w:instrText xml:space="preserve"> PAGEREF _Toc19292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cs="宋体"/>
          <w:color w:val="auto"/>
          <w:szCs w:val="24"/>
          <w:highlight w:val="none"/>
        </w:rPr>
        <w:fldChar w:fldCharType="end"/>
      </w:r>
    </w:p>
    <w:p w14:paraId="3C1DF863">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_Toc31258 </w:instrText>
      </w:r>
      <w:r>
        <w:rPr>
          <w:rFonts w:hint="eastAsia" w:ascii="宋体" w:hAnsi="宋体" w:cs="宋体"/>
          <w:color w:val="auto"/>
          <w:szCs w:val="24"/>
          <w:highlight w:val="none"/>
        </w:rPr>
        <w:fldChar w:fldCharType="separate"/>
      </w:r>
      <w:r>
        <w:rPr>
          <w:rFonts w:hint="eastAsia" w:ascii="宋体" w:eastAsia="宋体"/>
          <w:color w:val="auto"/>
          <w:highlight w:val="none"/>
        </w:rPr>
        <w:t>5.2     投标文件提交</w:t>
      </w:r>
      <w:r>
        <w:rPr>
          <w:color w:val="auto"/>
          <w:highlight w:val="none"/>
        </w:rPr>
        <w:tab/>
      </w:r>
      <w:r>
        <w:rPr>
          <w:color w:val="auto"/>
          <w:highlight w:val="none"/>
        </w:rPr>
        <w:fldChar w:fldCharType="begin"/>
      </w:r>
      <w:r>
        <w:rPr>
          <w:color w:val="auto"/>
          <w:highlight w:val="none"/>
        </w:rPr>
        <w:instrText xml:space="preserve"> PAGEREF _Toc31258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cs="宋体"/>
          <w:color w:val="auto"/>
          <w:szCs w:val="24"/>
          <w:highlight w:val="none"/>
        </w:rPr>
        <w:fldChar w:fldCharType="end"/>
      </w:r>
    </w:p>
    <w:p w14:paraId="1C968C6D">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_Toc16110 </w:instrText>
      </w:r>
      <w:r>
        <w:rPr>
          <w:rFonts w:hint="eastAsia" w:ascii="宋体" w:hAnsi="宋体" w:cs="宋体"/>
          <w:color w:val="auto"/>
          <w:szCs w:val="24"/>
          <w:highlight w:val="none"/>
        </w:rPr>
        <w:fldChar w:fldCharType="separate"/>
      </w:r>
      <w:r>
        <w:rPr>
          <w:rFonts w:hint="eastAsia" w:ascii="宋体" w:eastAsia="宋体"/>
          <w:color w:val="auto"/>
          <w:highlight w:val="none"/>
        </w:rPr>
        <w:t>5.3     投标文件修改和撤回</w:t>
      </w:r>
      <w:r>
        <w:rPr>
          <w:color w:val="auto"/>
          <w:highlight w:val="none"/>
        </w:rPr>
        <w:tab/>
      </w:r>
      <w:r>
        <w:rPr>
          <w:color w:val="auto"/>
          <w:highlight w:val="none"/>
        </w:rPr>
        <w:fldChar w:fldCharType="begin"/>
      </w:r>
      <w:r>
        <w:rPr>
          <w:color w:val="auto"/>
          <w:highlight w:val="none"/>
        </w:rPr>
        <w:instrText xml:space="preserve"> PAGEREF _Toc16110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cs="宋体"/>
          <w:color w:val="auto"/>
          <w:szCs w:val="24"/>
          <w:highlight w:val="none"/>
        </w:rPr>
        <w:fldChar w:fldCharType="end"/>
      </w:r>
    </w:p>
    <w:p w14:paraId="51290AD9">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_Toc23672 </w:instrText>
      </w:r>
      <w:r>
        <w:rPr>
          <w:rFonts w:hint="eastAsia" w:ascii="宋体" w:hAnsi="宋体" w:cs="宋体"/>
          <w:color w:val="auto"/>
          <w:szCs w:val="24"/>
          <w:highlight w:val="none"/>
        </w:rPr>
        <w:fldChar w:fldCharType="separate"/>
      </w:r>
      <w:r>
        <w:rPr>
          <w:rFonts w:hint="eastAsia" w:ascii="宋体" w:eastAsia="宋体"/>
          <w:color w:val="auto"/>
          <w:highlight w:val="none"/>
        </w:rPr>
        <w:t>5.4     备份投标文件的提交</w:t>
      </w:r>
      <w:r>
        <w:rPr>
          <w:color w:val="auto"/>
          <w:highlight w:val="none"/>
        </w:rPr>
        <w:tab/>
      </w:r>
      <w:r>
        <w:rPr>
          <w:color w:val="auto"/>
          <w:highlight w:val="none"/>
        </w:rPr>
        <w:fldChar w:fldCharType="begin"/>
      </w:r>
      <w:r>
        <w:rPr>
          <w:color w:val="auto"/>
          <w:highlight w:val="none"/>
        </w:rPr>
        <w:instrText xml:space="preserve"> PAGEREF _Toc23672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cs="宋体"/>
          <w:color w:val="auto"/>
          <w:szCs w:val="24"/>
          <w:highlight w:val="none"/>
        </w:rPr>
        <w:fldChar w:fldCharType="end"/>
      </w:r>
    </w:p>
    <w:p w14:paraId="273A655D">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_Toc25146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六    开标、资格审查、评标</w:t>
      </w:r>
      <w:r>
        <w:rPr>
          <w:color w:val="auto"/>
          <w:highlight w:val="none"/>
        </w:rPr>
        <w:tab/>
      </w:r>
      <w:r>
        <w:rPr>
          <w:color w:val="auto"/>
          <w:highlight w:val="none"/>
        </w:rPr>
        <w:fldChar w:fldCharType="begin"/>
      </w:r>
      <w:r>
        <w:rPr>
          <w:color w:val="auto"/>
          <w:highlight w:val="none"/>
        </w:rPr>
        <w:instrText xml:space="preserve"> PAGEREF _Toc25146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cs="宋体"/>
          <w:color w:val="auto"/>
          <w:szCs w:val="24"/>
          <w:highlight w:val="none"/>
        </w:rPr>
        <w:fldChar w:fldCharType="end"/>
      </w:r>
    </w:p>
    <w:p w14:paraId="5D63CDC3">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_Toc3719 </w:instrText>
      </w:r>
      <w:r>
        <w:rPr>
          <w:rFonts w:hint="eastAsia" w:ascii="宋体" w:hAnsi="宋体" w:cs="宋体"/>
          <w:color w:val="auto"/>
          <w:szCs w:val="24"/>
          <w:highlight w:val="none"/>
        </w:rPr>
        <w:fldChar w:fldCharType="separate"/>
      </w:r>
      <w:r>
        <w:rPr>
          <w:rFonts w:hint="eastAsia" w:ascii="宋体" w:eastAsia="宋体"/>
          <w:color w:val="auto"/>
          <w:highlight w:val="none"/>
        </w:rPr>
        <w:t>6.1     开标</w:t>
      </w:r>
      <w:r>
        <w:rPr>
          <w:color w:val="auto"/>
          <w:highlight w:val="none"/>
        </w:rPr>
        <w:tab/>
      </w:r>
      <w:r>
        <w:rPr>
          <w:color w:val="auto"/>
          <w:highlight w:val="none"/>
        </w:rPr>
        <w:fldChar w:fldCharType="begin"/>
      </w:r>
      <w:r>
        <w:rPr>
          <w:color w:val="auto"/>
          <w:highlight w:val="none"/>
        </w:rPr>
        <w:instrText xml:space="preserve"> PAGEREF _Toc3719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cs="宋体"/>
          <w:color w:val="auto"/>
          <w:szCs w:val="24"/>
          <w:highlight w:val="none"/>
        </w:rPr>
        <w:fldChar w:fldCharType="end"/>
      </w:r>
    </w:p>
    <w:p w14:paraId="566A7A22">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_Toc1746 </w:instrText>
      </w:r>
      <w:r>
        <w:rPr>
          <w:rFonts w:hint="eastAsia" w:ascii="宋体" w:hAnsi="宋体" w:cs="宋体"/>
          <w:color w:val="auto"/>
          <w:szCs w:val="24"/>
          <w:highlight w:val="none"/>
        </w:rPr>
        <w:fldChar w:fldCharType="separate"/>
      </w:r>
      <w:r>
        <w:rPr>
          <w:rFonts w:hint="eastAsia" w:ascii="宋体" w:eastAsia="宋体"/>
          <w:color w:val="auto"/>
          <w:highlight w:val="none"/>
        </w:rPr>
        <w:t>6.2     资格审查</w:t>
      </w:r>
      <w:r>
        <w:rPr>
          <w:color w:val="auto"/>
          <w:highlight w:val="none"/>
        </w:rPr>
        <w:tab/>
      </w:r>
      <w:r>
        <w:rPr>
          <w:color w:val="auto"/>
          <w:highlight w:val="none"/>
        </w:rPr>
        <w:fldChar w:fldCharType="begin"/>
      </w:r>
      <w:r>
        <w:rPr>
          <w:color w:val="auto"/>
          <w:highlight w:val="none"/>
        </w:rPr>
        <w:instrText xml:space="preserve"> PAGEREF _Toc1746 \h </w:instrText>
      </w:r>
      <w:r>
        <w:rPr>
          <w:color w:val="auto"/>
          <w:highlight w:val="none"/>
        </w:rPr>
        <w:fldChar w:fldCharType="separate"/>
      </w:r>
      <w:r>
        <w:rPr>
          <w:color w:val="auto"/>
          <w:highlight w:val="none"/>
        </w:rPr>
        <w:t>55</w:t>
      </w:r>
      <w:r>
        <w:rPr>
          <w:color w:val="auto"/>
          <w:highlight w:val="none"/>
        </w:rPr>
        <w:fldChar w:fldCharType="end"/>
      </w:r>
      <w:r>
        <w:rPr>
          <w:rFonts w:hint="eastAsia" w:ascii="宋体" w:hAnsi="宋体" w:cs="宋体"/>
          <w:color w:val="auto"/>
          <w:szCs w:val="24"/>
          <w:highlight w:val="none"/>
        </w:rPr>
        <w:fldChar w:fldCharType="end"/>
      </w:r>
    </w:p>
    <w:p w14:paraId="6BBA863D">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_Toc17549 </w:instrText>
      </w:r>
      <w:r>
        <w:rPr>
          <w:rFonts w:hint="eastAsia" w:ascii="宋体" w:hAnsi="宋体" w:cs="宋体"/>
          <w:color w:val="auto"/>
          <w:szCs w:val="24"/>
          <w:highlight w:val="none"/>
        </w:rPr>
        <w:fldChar w:fldCharType="separate"/>
      </w:r>
      <w:r>
        <w:rPr>
          <w:rFonts w:hint="eastAsia" w:ascii="宋体" w:eastAsia="宋体"/>
          <w:color w:val="auto"/>
          <w:highlight w:val="none"/>
        </w:rPr>
        <w:t>6.3     评标</w:t>
      </w:r>
      <w:r>
        <w:rPr>
          <w:color w:val="auto"/>
          <w:highlight w:val="none"/>
        </w:rPr>
        <w:tab/>
      </w:r>
      <w:r>
        <w:rPr>
          <w:color w:val="auto"/>
          <w:highlight w:val="none"/>
        </w:rPr>
        <w:fldChar w:fldCharType="begin"/>
      </w:r>
      <w:r>
        <w:rPr>
          <w:color w:val="auto"/>
          <w:highlight w:val="none"/>
        </w:rPr>
        <w:instrText xml:space="preserve"> PAGEREF _Toc17549 \h </w:instrText>
      </w:r>
      <w:r>
        <w:rPr>
          <w:color w:val="auto"/>
          <w:highlight w:val="none"/>
        </w:rPr>
        <w:fldChar w:fldCharType="separate"/>
      </w:r>
      <w:r>
        <w:rPr>
          <w:color w:val="auto"/>
          <w:highlight w:val="none"/>
        </w:rPr>
        <w:t>55</w:t>
      </w:r>
      <w:r>
        <w:rPr>
          <w:color w:val="auto"/>
          <w:highlight w:val="none"/>
        </w:rPr>
        <w:fldChar w:fldCharType="end"/>
      </w:r>
      <w:r>
        <w:rPr>
          <w:rFonts w:hint="eastAsia" w:ascii="宋体" w:hAnsi="宋体" w:cs="宋体"/>
          <w:color w:val="auto"/>
          <w:szCs w:val="24"/>
          <w:highlight w:val="none"/>
        </w:rPr>
        <w:fldChar w:fldCharType="end"/>
      </w:r>
    </w:p>
    <w:p w14:paraId="6B21BBBB">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_Toc31994 </w:instrText>
      </w:r>
      <w:r>
        <w:rPr>
          <w:rFonts w:hint="eastAsia" w:ascii="宋体" w:hAnsi="宋体" w:cs="宋体"/>
          <w:color w:val="auto"/>
          <w:szCs w:val="24"/>
          <w:highlight w:val="none"/>
        </w:rPr>
        <w:fldChar w:fldCharType="separate"/>
      </w:r>
      <w:r>
        <w:rPr>
          <w:rFonts w:hint="eastAsia" w:ascii="宋体" w:eastAsia="宋体"/>
          <w:color w:val="auto"/>
          <w:highlight w:val="none"/>
        </w:rPr>
        <w:t>6.4     投标文件的澄清、说明或补正</w:t>
      </w:r>
      <w:r>
        <w:rPr>
          <w:color w:val="auto"/>
          <w:highlight w:val="none"/>
        </w:rPr>
        <w:tab/>
      </w:r>
      <w:r>
        <w:rPr>
          <w:color w:val="auto"/>
          <w:highlight w:val="none"/>
        </w:rPr>
        <w:fldChar w:fldCharType="begin"/>
      </w:r>
      <w:r>
        <w:rPr>
          <w:color w:val="auto"/>
          <w:highlight w:val="none"/>
        </w:rPr>
        <w:instrText xml:space="preserve"> PAGEREF _Toc31994 \h </w:instrText>
      </w:r>
      <w:r>
        <w:rPr>
          <w:color w:val="auto"/>
          <w:highlight w:val="none"/>
        </w:rPr>
        <w:fldChar w:fldCharType="separate"/>
      </w:r>
      <w:r>
        <w:rPr>
          <w:color w:val="auto"/>
          <w:highlight w:val="none"/>
        </w:rPr>
        <w:t>56</w:t>
      </w:r>
      <w:r>
        <w:rPr>
          <w:color w:val="auto"/>
          <w:highlight w:val="none"/>
        </w:rPr>
        <w:fldChar w:fldCharType="end"/>
      </w:r>
      <w:r>
        <w:rPr>
          <w:rFonts w:hint="eastAsia" w:ascii="宋体" w:hAnsi="宋体" w:cs="宋体"/>
          <w:color w:val="auto"/>
          <w:szCs w:val="24"/>
          <w:highlight w:val="none"/>
        </w:rPr>
        <w:fldChar w:fldCharType="end"/>
      </w:r>
    </w:p>
    <w:p w14:paraId="104BC3A3">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_Toc3715 </w:instrText>
      </w:r>
      <w:r>
        <w:rPr>
          <w:rFonts w:hint="eastAsia" w:ascii="宋体" w:hAnsi="宋体" w:cs="宋体"/>
          <w:color w:val="auto"/>
          <w:szCs w:val="24"/>
          <w:highlight w:val="none"/>
        </w:rPr>
        <w:fldChar w:fldCharType="separate"/>
      </w:r>
      <w:r>
        <w:rPr>
          <w:rFonts w:hint="eastAsia" w:ascii="宋体" w:eastAsia="宋体"/>
          <w:color w:val="auto"/>
          <w:highlight w:val="none"/>
        </w:rPr>
        <w:t>6.5     报价错误修正</w:t>
      </w:r>
      <w:r>
        <w:rPr>
          <w:color w:val="auto"/>
          <w:highlight w:val="none"/>
        </w:rPr>
        <w:tab/>
      </w:r>
      <w:r>
        <w:rPr>
          <w:color w:val="auto"/>
          <w:highlight w:val="none"/>
        </w:rPr>
        <w:fldChar w:fldCharType="begin"/>
      </w:r>
      <w:r>
        <w:rPr>
          <w:color w:val="auto"/>
          <w:highlight w:val="none"/>
        </w:rPr>
        <w:instrText xml:space="preserve"> PAGEREF _Toc3715 \h </w:instrText>
      </w:r>
      <w:r>
        <w:rPr>
          <w:color w:val="auto"/>
          <w:highlight w:val="none"/>
        </w:rPr>
        <w:fldChar w:fldCharType="separate"/>
      </w:r>
      <w:r>
        <w:rPr>
          <w:color w:val="auto"/>
          <w:highlight w:val="none"/>
        </w:rPr>
        <w:t>57</w:t>
      </w:r>
      <w:r>
        <w:rPr>
          <w:color w:val="auto"/>
          <w:highlight w:val="none"/>
        </w:rPr>
        <w:fldChar w:fldCharType="end"/>
      </w:r>
      <w:r>
        <w:rPr>
          <w:rFonts w:hint="eastAsia" w:ascii="宋体" w:hAnsi="宋体" w:cs="宋体"/>
          <w:color w:val="auto"/>
          <w:szCs w:val="24"/>
          <w:highlight w:val="none"/>
        </w:rPr>
        <w:fldChar w:fldCharType="end"/>
      </w:r>
    </w:p>
    <w:p w14:paraId="54AC5FA7">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_Toc14955 </w:instrText>
      </w:r>
      <w:r>
        <w:rPr>
          <w:rFonts w:hint="eastAsia" w:ascii="宋体" w:hAnsi="宋体" w:cs="宋体"/>
          <w:color w:val="auto"/>
          <w:szCs w:val="24"/>
          <w:highlight w:val="none"/>
        </w:rPr>
        <w:fldChar w:fldCharType="separate"/>
      </w:r>
      <w:r>
        <w:rPr>
          <w:rFonts w:hint="eastAsia" w:ascii="宋体" w:eastAsia="宋体"/>
          <w:color w:val="auto"/>
          <w:highlight w:val="none"/>
        </w:rPr>
        <w:t>6.6     评标报告</w:t>
      </w:r>
      <w:r>
        <w:rPr>
          <w:color w:val="auto"/>
          <w:highlight w:val="none"/>
        </w:rPr>
        <w:tab/>
      </w:r>
      <w:r>
        <w:rPr>
          <w:color w:val="auto"/>
          <w:highlight w:val="none"/>
        </w:rPr>
        <w:fldChar w:fldCharType="begin"/>
      </w:r>
      <w:r>
        <w:rPr>
          <w:color w:val="auto"/>
          <w:highlight w:val="none"/>
        </w:rPr>
        <w:instrText xml:space="preserve"> PAGEREF _Toc14955 \h </w:instrText>
      </w:r>
      <w:r>
        <w:rPr>
          <w:color w:val="auto"/>
          <w:highlight w:val="none"/>
        </w:rPr>
        <w:fldChar w:fldCharType="separate"/>
      </w:r>
      <w:r>
        <w:rPr>
          <w:color w:val="auto"/>
          <w:highlight w:val="none"/>
        </w:rPr>
        <w:t>57</w:t>
      </w:r>
      <w:r>
        <w:rPr>
          <w:color w:val="auto"/>
          <w:highlight w:val="none"/>
        </w:rPr>
        <w:fldChar w:fldCharType="end"/>
      </w:r>
      <w:r>
        <w:rPr>
          <w:rFonts w:hint="eastAsia" w:ascii="宋体" w:hAnsi="宋体" w:cs="宋体"/>
          <w:color w:val="auto"/>
          <w:szCs w:val="24"/>
          <w:highlight w:val="none"/>
        </w:rPr>
        <w:fldChar w:fldCharType="end"/>
      </w:r>
    </w:p>
    <w:p w14:paraId="28550BA0">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_Toc8796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 xml:space="preserve">七    </w:t>
      </w:r>
      <w:r>
        <w:rPr>
          <w:rFonts w:hint="eastAsia" w:ascii="宋体" w:hAnsi="宋体" w:cs="宋体"/>
          <w:color w:val="auto"/>
          <w:szCs w:val="24"/>
          <w:highlight w:val="none"/>
        </w:rPr>
        <w:t>▲</w:t>
      </w:r>
      <w:r>
        <w:rPr>
          <w:rFonts w:hint="eastAsia" w:ascii="宋体" w:hAnsi="宋体" w:cs="宋体"/>
          <w:color w:val="auto"/>
          <w:szCs w:val="30"/>
          <w:highlight w:val="none"/>
        </w:rPr>
        <w:t>投标无效的情形</w:t>
      </w:r>
      <w:r>
        <w:rPr>
          <w:color w:val="auto"/>
          <w:highlight w:val="none"/>
        </w:rPr>
        <w:tab/>
      </w:r>
      <w:r>
        <w:rPr>
          <w:color w:val="auto"/>
          <w:highlight w:val="none"/>
        </w:rPr>
        <w:fldChar w:fldCharType="begin"/>
      </w:r>
      <w:r>
        <w:rPr>
          <w:color w:val="auto"/>
          <w:highlight w:val="none"/>
        </w:rPr>
        <w:instrText xml:space="preserve"> PAGEREF _Toc8796 \h </w:instrText>
      </w:r>
      <w:r>
        <w:rPr>
          <w:color w:val="auto"/>
          <w:highlight w:val="none"/>
        </w:rPr>
        <w:fldChar w:fldCharType="separate"/>
      </w:r>
      <w:r>
        <w:rPr>
          <w:color w:val="auto"/>
          <w:highlight w:val="none"/>
        </w:rPr>
        <w:t>57</w:t>
      </w:r>
      <w:r>
        <w:rPr>
          <w:color w:val="auto"/>
          <w:highlight w:val="none"/>
        </w:rPr>
        <w:fldChar w:fldCharType="end"/>
      </w:r>
      <w:r>
        <w:rPr>
          <w:rFonts w:hint="eastAsia" w:ascii="宋体" w:hAnsi="宋体" w:cs="宋体"/>
          <w:color w:val="auto"/>
          <w:szCs w:val="24"/>
          <w:highlight w:val="none"/>
        </w:rPr>
        <w:fldChar w:fldCharType="end"/>
      </w:r>
    </w:p>
    <w:p w14:paraId="6ADDD121">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_Toc16376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八    中标和合同</w:t>
      </w:r>
      <w:r>
        <w:rPr>
          <w:color w:val="auto"/>
          <w:highlight w:val="none"/>
        </w:rPr>
        <w:tab/>
      </w:r>
      <w:r>
        <w:rPr>
          <w:color w:val="auto"/>
          <w:highlight w:val="none"/>
        </w:rPr>
        <w:fldChar w:fldCharType="begin"/>
      </w:r>
      <w:r>
        <w:rPr>
          <w:color w:val="auto"/>
          <w:highlight w:val="none"/>
        </w:rPr>
        <w:instrText xml:space="preserve"> PAGEREF _Toc16376 \h </w:instrText>
      </w:r>
      <w:r>
        <w:rPr>
          <w:color w:val="auto"/>
          <w:highlight w:val="none"/>
        </w:rPr>
        <w:fldChar w:fldCharType="separate"/>
      </w:r>
      <w:r>
        <w:rPr>
          <w:color w:val="auto"/>
          <w:highlight w:val="none"/>
        </w:rPr>
        <w:t>58</w:t>
      </w:r>
      <w:r>
        <w:rPr>
          <w:color w:val="auto"/>
          <w:highlight w:val="none"/>
        </w:rPr>
        <w:fldChar w:fldCharType="end"/>
      </w:r>
      <w:r>
        <w:rPr>
          <w:rFonts w:hint="eastAsia" w:ascii="宋体" w:hAnsi="宋体" w:cs="宋体"/>
          <w:color w:val="auto"/>
          <w:szCs w:val="24"/>
          <w:highlight w:val="none"/>
        </w:rPr>
        <w:fldChar w:fldCharType="end"/>
      </w:r>
    </w:p>
    <w:p w14:paraId="3E4D504B">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_Toc23947 </w:instrText>
      </w:r>
      <w:r>
        <w:rPr>
          <w:rFonts w:hint="eastAsia" w:ascii="宋体" w:hAnsi="宋体" w:cs="宋体"/>
          <w:color w:val="auto"/>
          <w:szCs w:val="24"/>
          <w:highlight w:val="none"/>
        </w:rPr>
        <w:fldChar w:fldCharType="separate"/>
      </w:r>
      <w:r>
        <w:rPr>
          <w:rFonts w:hint="eastAsia" w:ascii="宋体" w:eastAsia="宋体"/>
          <w:color w:val="auto"/>
          <w:highlight w:val="none"/>
        </w:rPr>
        <w:t>8.1     中标</w:t>
      </w:r>
      <w:r>
        <w:rPr>
          <w:color w:val="auto"/>
          <w:highlight w:val="none"/>
        </w:rPr>
        <w:tab/>
      </w:r>
      <w:r>
        <w:rPr>
          <w:color w:val="auto"/>
          <w:highlight w:val="none"/>
        </w:rPr>
        <w:fldChar w:fldCharType="begin"/>
      </w:r>
      <w:r>
        <w:rPr>
          <w:color w:val="auto"/>
          <w:highlight w:val="none"/>
        </w:rPr>
        <w:instrText xml:space="preserve"> PAGEREF _Toc23947 \h </w:instrText>
      </w:r>
      <w:r>
        <w:rPr>
          <w:color w:val="auto"/>
          <w:highlight w:val="none"/>
        </w:rPr>
        <w:fldChar w:fldCharType="separate"/>
      </w:r>
      <w:r>
        <w:rPr>
          <w:color w:val="auto"/>
          <w:highlight w:val="none"/>
        </w:rPr>
        <w:t>58</w:t>
      </w:r>
      <w:r>
        <w:rPr>
          <w:color w:val="auto"/>
          <w:highlight w:val="none"/>
        </w:rPr>
        <w:fldChar w:fldCharType="end"/>
      </w:r>
      <w:r>
        <w:rPr>
          <w:rFonts w:hint="eastAsia" w:ascii="宋体" w:hAnsi="宋体" w:cs="宋体"/>
          <w:color w:val="auto"/>
          <w:szCs w:val="24"/>
          <w:highlight w:val="none"/>
        </w:rPr>
        <w:fldChar w:fldCharType="end"/>
      </w:r>
    </w:p>
    <w:p w14:paraId="64F67941">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_Toc32142 </w:instrText>
      </w:r>
      <w:r>
        <w:rPr>
          <w:rFonts w:hint="eastAsia" w:ascii="宋体" w:hAnsi="宋体" w:cs="宋体"/>
          <w:color w:val="auto"/>
          <w:szCs w:val="24"/>
          <w:highlight w:val="none"/>
        </w:rPr>
        <w:fldChar w:fldCharType="separate"/>
      </w:r>
      <w:r>
        <w:rPr>
          <w:rFonts w:hint="eastAsia" w:ascii="宋体" w:eastAsia="宋体"/>
          <w:color w:val="auto"/>
          <w:highlight w:val="none"/>
        </w:rPr>
        <w:t>8.2     中标公告和中标通知书</w:t>
      </w:r>
      <w:r>
        <w:rPr>
          <w:color w:val="auto"/>
          <w:highlight w:val="none"/>
        </w:rPr>
        <w:tab/>
      </w:r>
      <w:r>
        <w:rPr>
          <w:color w:val="auto"/>
          <w:highlight w:val="none"/>
        </w:rPr>
        <w:fldChar w:fldCharType="begin"/>
      </w:r>
      <w:r>
        <w:rPr>
          <w:color w:val="auto"/>
          <w:highlight w:val="none"/>
        </w:rPr>
        <w:instrText xml:space="preserve"> PAGEREF _Toc32142 \h </w:instrText>
      </w:r>
      <w:r>
        <w:rPr>
          <w:color w:val="auto"/>
          <w:highlight w:val="none"/>
        </w:rPr>
        <w:fldChar w:fldCharType="separate"/>
      </w:r>
      <w:r>
        <w:rPr>
          <w:color w:val="auto"/>
          <w:highlight w:val="none"/>
        </w:rPr>
        <w:t>59</w:t>
      </w:r>
      <w:r>
        <w:rPr>
          <w:color w:val="auto"/>
          <w:highlight w:val="none"/>
        </w:rPr>
        <w:fldChar w:fldCharType="end"/>
      </w:r>
      <w:r>
        <w:rPr>
          <w:rFonts w:hint="eastAsia" w:ascii="宋体" w:hAnsi="宋体" w:cs="宋体"/>
          <w:color w:val="auto"/>
          <w:szCs w:val="24"/>
          <w:highlight w:val="none"/>
        </w:rPr>
        <w:fldChar w:fldCharType="end"/>
      </w:r>
    </w:p>
    <w:p w14:paraId="1DB61E4B">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_Toc24446 </w:instrText>
      </w:r>
      <w:r>
        <w:rPr>
          <w:rFonts w:hint="eastAsia" w:ascii="宋体" w:hAnsi="宋体" w:cs="宋体"/>
          <w:color w:val="auto"/>
          <w:szCs w:val="24"/>
          <w:highlight w:val="none"/>
        </w:rPr>
        <w:fldChar w:fldCharType="separate"/>
      </w:r>
      <w:r>
        <w:rPr>
          <w:rFonts w:hint="eastAsia" w:ascii="宋体" w:eastAsia="宋体"/>
          <w:color w:val="auto"/>
          <w:highlight w:val="none"/>
        </w:rPr>
        <w:t>8.3     履约保证金</w:t>
      </w:r>
      <w:r>
        <w:rPr>
          <w:color w:val="auto"/>
          <w:highlight w:val="none"/>
        </w:rPr>
        <w:tab/>
      </w:r>
      <w:r>
        <w:rPr>
          <w:color w:val="auto"/>
          <w:highlight w:val="none"/>
        </w:rPr>
        <w:fldChar w:fldCharType="begin"/>
      </w:r>
      <w:r>
        <w:rPr>
          <w:color w:val="auto"/>
          <w:highlight w:val="none"/>
        </w:rPr>
        <w:instrText xml:space="preserve"> PAGEREF _Toc24446 \h </w:instrText>
      </w:r>
      <w:r>
        <w:rPr>
          <w:color w:val="auto"/>
          <w:highlight w:val="none"/>
        </w:rPr>
        <w:fldChar w:fldCharType="separate"/>
      </w:r>
      <w:r>
        <w:rPr>
          <w:color w:val="auto"/>
          <w:highlight w:val="none"/>
        </w:rPr>
        <w:t>59</w:t>
      </w:r>
      <w:r>
        <w:rPr>
          <w:color w:val="auto"/>
          <w:highlight w:val="none"/>
        </w:rPr>
        <w:fldChar w:fldCharType="end"/>
      </w:r>
      <w:r>
        <w:rPr>
          <w:rFonts w:hint="eastAsia" w:ascii="宋体" w:hAnsi="宋体" w:cs="宋体"/>
          <w:color w:val="auto"/>
          <w:szCs w:val="24"/>
          <w:highlight w:val="none"/>
        </w:rPr>
        <w:fldChar w:fldCharType="end"/>
      </w:r>
    </w:p>
    <w:p w14:paraId="27945398">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_Toc12084 </w:instrText>
      </w:r>
      <w:r>
        <w:rPr>
          <w:rFonts w:hint="eastAsia" w:ascii="宋体" w:hAnsi="宋体" w:cs="宋体"/>
          <w:color w:val="auto"/>
          <w:szCs w:val="24"/>
          <w:highlight w:val="none"/>
        </w:rPr>
        <w:fldChar w:fldCharType="separate"/>
      </w:r>
      <w:r>
        <w:rPr>
          <w:rFonts w:hint="eastAsia" w:ascii="宋体" w:eastAsia="宋体"/>
          <w:color w:val="auto"/>
          <w:highlight w:val="none"/>
        </w:rPr>
        <w:t>8.4     合同</w:t>
      </w:r>
      <w:r>
        <w:rPr>
          <w:color w:val="auto"/>
          <w:highlight w:val="none"/>
        </w:rPr>
        <w:tab/>
      </w:r>
      <w:r>
        <w:rPr>
          <w:color w:val="auto"/>
          <w:highlight w:val="none"/>
        </w:rPr>
        <w:fldChar w:fldCharType="begin"/>
      </w:r>
      <w:r>
        <w:rPr>
          <w:color w:val="auto"/>
          <w:highlight w:val="none"/>
        </w:rPr>
        <w:instrText xml:space="preserve"> PAGEREF _Toc12084 \h </w:instrText>
      </w:r>
      <w:r>
        <w:rPr>
          <w:color w:val="auto"/>
          <w:highlight w:val="none"/>
        </w:rPr>
        <w:fldChar w:fldCharType="separate"/>
      </w:r>
      <w:r>
        <w:rPr>
          <w:color w:val="auto"/>
          <w:highlight w:val="none"/>
        </w:rPr>
        <w:t>59</w:t>
      </w:r>
      <w:r>
        <w:rPr>
          <w:color w:val="auto"/>
          <w:highlight w:val="none"/>
        </w:rPr>
        <w:fldChar w:fldCharType="end"/>
      </w:r>
      <w:r>
        <w:rPr>
          <w:rFonts w:hint="eastAsia" w:ascii="宋体" w:hAnsi="宋体" w:cs="宋体"/>
          <w:color w:val="auto"/>
          <w:szCs w:val="24"/>
          <w:highlight w:val="none"/>
        </w:rPr>
        <w:fldChar w:fldCharType="end"/>
      </w:r>
    </w:p>
    <w:p w14:paraId="5609B075">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_Toc27947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九    其他事项</w:t>
      </w:r>
      <w:r>
        <w:rPr>
          <w:color w:val="auto"/>
          <w:highlight w:val="none"/>
        </w:rPr>
        <w:tab/>
      </w:r>
      <w:r>
        <w:rPr>
          <w:color w:val="auto"/>
          <w:highlight w:val="none"/>
        </w:rPr>
        <w:fldChar w:fldCharType="begin"/>
      </w:r>
      <w:r>
        <w:rPr>
          <w:color w:val="auto"/>
          <w:highlight w:val="none"/>
        </w:rPr>
        <w:instrText xml:space="preserve"> PAGEREF _Toc27947 \h </w:instrText>
      </w:r>
      <w:r>
        <w:rPr>
          <w:color w:val="auto"/>
          <w:highlight w:val="none"/>
        </w:rPr>
        <w:fldChar w:fldCharType="separate"/>
      </w:r>
      <w:r>
        <w:rPr>
          <w:color w:val="auto"/>
          <w:highlight w:val="none"/>
        </w:rPr>
        <w:t>59</w:t>
      </w:r>
      <w:r>
        <w:rPr>
          <w:color w:val="auto"/>
          <w:highlight w:val="none"/>
        </w:rPr>
        <w:fldChar w:fldCharType="end"/>
      </w:r>
      <w:r>
        <w:rPr>
          <w:rFonts w:hint="eastAsia" w:ascii="宋体" w:hAnsi="宋体" w:cs="宋体"/>
          <w:color w:val="auto"/>
          <w:szCs w:val="24"/>
          <w:highlight w:val="none"/>
        </w:rPr>
        <w:fldChar w:fldCharType="end"/>
      </w:r>
    </w:p>
    <w:p w14:paraId="3DFC80B5">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_Toc17132 </w:instrText>
      </w:r>
      <w:r>
        <w:rPr>
          <w:rFonts w:hint="eastAsia" w:ascii="宋体" w:hAnsi="宋体" w:cs="宋体"/>
          <w:color w:val="auto"/>
          <w:szCs w:val="24"/>
          <w:highlight w:val="none"/>
        </w:rPr>
        <w:fldChar w:fldCharType="separate"/>
      </w:r>
      <w:r>
        <w:rPr>
          <w:rFonts w:hint="eastAsia" w:ascii="宋体" w:hAnsi="宋体" w:cs="宋体"/>
          <w:color w:val="auto"/>
          <w:szCs w:val="20"/>
          <w:highlight w:val="none"/>
        </w:rPr>
        <w:t>9.1    废标</w:t>
      </w:r>
      <w:r>
        <w:rPr>
          <w:color w:val="auto"/>
          <w:highlight w:val="none"/>
        </w:rPr>
        <w:tab/>
      </w:r>
      <w:r>
        <w:rPr>
          <w:color w:val="auto"/>
          <w:highlight w:val="none"/>
        </w:rPr>
        <w:fldChar w:fldCharType="begin"/>
      </w:r>
      <w:r>
        <w:rPr>
          <w:color w:val="auto"/>
          <w:highlight w:val="none"/>
        </w:rPr>
        <w:instrText xml:space="preserve"> PAGEREF _Toc17132 \h </w:instrText>
      </w:r>
      <w:r>
        <w:rPr>
          <w:color w:val="auto"/>
          <w:highlight w:val="none"/>
        </w:rPr>
        <w:fldChar w:fldCharType="separate"/>
      </w:r>
      <w:r>
        <w:rPr>
          <w:color w:val="auto"/>
          <w:highlight w:val="none"/>
        </w:rPr>
        <w:t>59</w:t>
      </w:r>
      <w:r>
        <w:rPr>
          <w:color w:val="auto"/>
          <w:highlight w:val="none"/>
        </w:rPr>
        <w:fldChar w:fldCharType="end"/>
      </w:r>
      <w:r>
        <w:rPr>
          <w:rFonts w:hint="eastAsia" w:ascii="宋体" w:hAnsi="宋体" w:cs="宋体"/>
          <w:color w:val="auto"/>
          <w:szCs w:val="24"/>
          <w:highlight w:val="none"/>
        </w:rPr>
        <w:fldChar w:fldCharType="end"/>
      </w:r>
    </w:p>
    <w:p w14:paraId="10E8A699">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_Toc3562 </w:instrText>
      </w:r>
      <w:r>
        <w:rPr>
          <w:rFonts w:hint="eastAsia" w:ascii="宋体" w:hAnsi="宋体" w:cs="宋体"/>
          <w:color w:val="auto"/>
          <w:szCs w:val="24"/>
          <w:highlight w:val="none"/>
        </w:rPr>
        <w:fldChar w:fldCharType="separate"/>
      </w:r>
      <w:r>
        <w:rPr>
          <w:rFonts w:hint="eastAsia" w:ascii="宋体" w:hAnsi="宋体" w:cs="宋体"/>
          <w:color w:val="auto"/>
          <w:szCs w:val="20"/>
          <w:highlight w:val="none"/>
        </w:rPr>
        <w:t>9.2    修改招标文件，重新组织采购活动</w:t>
      </w:r>
      <w:r>
        <w:rPr>
          <w:color w:val="auto"/>
          <w:highlight w:val="none"/>
        </w:rPr>
        <w:tab/>
      </w:r>
      <w:r>
        <w:rPr>
          <w:color w:val="auto"/>
          <w:highlight w:val="none"/>
        </w:rPr>
        <w:fldChar w:fldCharType="begin"/>
      </w:r>
      <w:r>
        <w:rPr>
          <w:color w:val="auto"/>
          <w:highlight w:val="none"/>
        </w:rPr>
        <w:instrText xml:space="preserve"> PAGEREF _Toc3562 \h </w:instrText>
      </w:r>
      <w:r>
        <w:rPr>
          <w:color w:val="auto"/>
          <w:highlight w:val="none"/>
        </w:rPr>
        <w:fldChar w:fldCharType="separate"/>
      </w:r>
      <w:r>
        <w:rPr>
          <w:color w:val="auto"/>
          <w:highlight w:val="none"/>
        </w:rPr>
        <w:t>60</w:t>
      </w:r>
      <w:r>
        <w:rPr>
          <w:color w:val="auto"/>
          <w:highlight w:val="none"/>
        </w:rPr>
        <w:fldChar w:fldCharType="end"/>
      </w:r>
      <w:r>
        <w:rPr>
          <w:rFonts w:hint="eastAsia" w:ascii="宋体" w:hAnsi="宋体" w:cs="宋体"/>
          <w:color w:val="auto"/>
          <w:szCs w:val="24"/>
          <w:highlight w:val="none"/>
        </w:rPr>
        <w:fldChar w:fldCharType="end"/>
      </w:r>
    </w:p>
    <w:p w14:paraId="47AB67C6">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_Toc5790 </w:instrText>
      </w:r>
      <w:r>
        <w:rPr>
          <w:rFonts w:hint="eastAsia" w:ascii="宋体" w:hAnsi="宋体" w:cs="宋体"/>
          <w:color w:val="auto"/>
          <w:szCs w:val="24"/>
          <w:highlight w:val="none"/>
        </w:rPr>
        <w:fldChar w:fldCharType="separate"/>
      </w:r>
      <w:r>
        <w:rPr>
          <w:rFonts w:hint="eastAsia" w:ascii="宋体" w:hAnsi="宋体" w:cs="宋体"/>
          <w:color w:val="auto"/>
          <w:szCs w:val="20"/>
          <w:highlight w:val="none"/>
        </w:rPr>
        <w:t>9.3    重新开展采购</w:t>
      </w:r>
      <w:r>
        <w:rPr>
          <w:color w:val="auto"/>
          <w:highlight w:val="none"/>
        </w:rPr>
        <w:tab/>
      </w:r>
      <w:r>
        <w:rPr>
          <w:color w:val="auto"/>
          <w:highlight w:val="none"/>
        </w:rPr>
        <w:fldChar w:fldCharType="begin"/>
      </w:r>
      <w:r>
        <w:rPr>
          <w:color w:val="auto"/>
          <w:highlight w:val="none"/>
        </w:rPr>
        <w:instrText xml:space="preserve"> PAGEREF _Toc5790 \h </w:instrText>
      </w:r>
      <w:r>
        <w:rPr>
          <w:color w:val="auto"/>
          <w:highlight w:val="none"/>
        </w:rPr>
        <w:fldChar w:fldCharType="separate"/>
      </w:r>
      <w:r>
        <w:rPr>
          <w:color w:val="auto"/>
          <w:highlight w:val="none"/>
        </w:rPr>
        <w:t>60</w:t>
      </w:r>
      <w:r>
        <w:rPr>
          <w:color w:val="auto"/>
          <w:highlight w:val="none"/>
        </w:rPr>
        <w:fldChar w:fldCharType="end"/>
      </w:r>
      <w:r>
        <w:rPr>
          <w:rFonts w:hint="eastAsia" w:ascii="宋体" w:hAnsi="宋体" w:cs="宋体"/>
          <w:color w:val="auto"/>
          <w:szCs w:val="24"/>
          <w:highlight w:val="none"/>
        </w:rPr>
        <w:fldChar w:fldCharType="end"/>
      </w:r>
    </w:p>
    <w:p w14:paraId="5F09E62D">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_Toc5162 </w:instrText>
      </w:r>
      <w:r>
        <w:rPr>
          <w:rFonts w:hint="eastAsia" w:ascii="宋体" w:hAnsi="宋体" w:cs="宋体"/>
          <w:color w:val="auto"/>
          <w:szCs w:val="24"/>
          <w:highlight w:val="none"/>
        </w:rPr>
        <w:fldChar w:fldCharType="separate"/>
      </w:r>
      <w:r>
        <w:rPr>
          <w:rFonts w:hint="eastAsia" w:ascii="宋体" w:hAnsi="宋体" w:cs="宋体"/>
          <w:color w:val="auto"/>
          <w:szCs w:val="20"/>
          <w:highlight w:val="none"/>
        </w:rPr>
        <w:t>9.4    电子交易活动的中止</w:t>
      </w:r>
      <w:r>
        <w:rPr>
          <w:color w:val="auto"/>
          <w:highlight w:val="none"/>
        </w:rPr>
        <w:tab/>
      </w:r>
      <w:r>
        <w:rPr>
          <w:color w:val="auto"/>
          <w:highlight w:val="none"/>
        </w:rPr>
        <w:fldChar w:fldCharType="begin"/>
      </w:r>
      <w:r>
        <w:rPr>
          <w:color w:val="auto"/>
          <w:highlight w:val="none"/>
        </w:rPr>
        <w:instrText xml:space="preserve"> PAGEREF _Toc5162 \h </w:instrText>
      </w:r>
      <w:r>
        <w:rPr>
          <w:color w:val="auto"/>
          <w:highlight w:val="none"/>
        </w:rPr>
        <w:fldChar w:fldCharType="separate"/>
      </w:r>
      <w:r>
        <w:rPr>
          <w:color w:val="auto"/>
          <w:highlight w:val="none"/>
        </w:rPr>
        <w:t>60</w:t>
      </w:r>
      <w:r>
        <w:rPr>
          <w:color w:val="auto"/>
          <w:highlight w:val="none"/>
        </w:rPr>
        <w:fldChar w:fldCharType="end"/>
      </w:r>
      <w:r>
        <w:rPr>
          <w:rFonts w:hint="eastAsia" w:ascii="宋体" w:hAnsi="宋体" w:cs="宋体"/>
          <w:color w:val="auto"/>
          <w:szCs w:val="24"/>
          <w:highlight w:val="none"/>
        </w:rPr>
        <w:fldChar w:fldCharType="end"/>
      </w:r>
    </w:p>
    <w:p w14:paraId="74F64836">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_Toc5759 </w:instrText>
      </w:r>
      <w:r>
        <w:rPr>
          <w:rFonts w:hint="eastAsia" w:ascii="宋体" w:hAnsi="宋体" w:cs="宋体"/>
          <w:color w:val="auto"/>
          <w:szCs w:val="24"/>
          <w:highlight w:val="none"/>
        </w:rPr>
        <w:fldChar w:fldCharType="separate"/>
      </w:r>
      <w:r>
        <w:rPr>
          <w:rFonts w:hint="eastAsia" w:ascii="宋体" w:hAnsi="宋体" w:cs="宋体"/>
          <w:color w:val="auto"/>
          <w:szCs w:val="20"/>
          <w:highlight w:val="none"/>
        </w:rPr>
        <w:t>9.5    解释权</w:t>
      </w:r>
      <w:r>
        <w:rPr>
          <w:color w:val="auto"/>
          <w:highlight w:val="none"/>
        </w:rPr>
        <w:tab/>
      </w:r>
      <w:r>
        <w:rPr>
          <w:color w:val="auto"/>
          <w:highlight w:val="none"/>
        </w:rPr>
        <w:fldChar w:fldCharType="begin"/>
      </w:r>
      <w:r>
        <w:rPr>
          <w:color w:val="auto"/>
          <w:highlight w:val="none"/>
        </w:rPr>
        <w:instrText xml:space="preserve"> PAGEREF _Toc5759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cs="宋体"/>
          <w:color w:val="auto"/>
          <w:szCs w:val="24"/>
          <w:highlight w:val="none"/>
        </w:rPr>
        <w:fldChar w:fldCharType="end"/>
      </w:r>
    </w:p>
    <w:p w14:paraId="7E5396B2">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_Toc6341 </w:instrText>
      </w:r>
      <w:r>
        <w:rPr>
          <w:rFonts w:hint="eastAsia" w:ascii="宋体" w:hAnsi="宋体" w:cs="宋体"/>
          <w:color w:val="auto"/>
          <w:szCs w:val="24"/>
          <w:highlight w:val="none"/>
        </w:rPr>
        <w:fldChar w:fldCharType="separate"/>
      </w:r>
      <w:r>
        <w:rPr>
          <w:rFonts w:hint="eastAsia" w:ascii="宋体" w:hAnsi="宋体" w:cs="宋体"/>
          <w:color w:val="auto"/>
          <w:szCs w:val="36"/>
          <w:highlight w:val="none"/>
        </w:rPr>
        <w:t>第四章  拟签订的合同文本</w:t>
      </w:r>
      <w:r>
        <w:rPr>
          <w:color w:val="auto"/>
          <w:highlight w:val="none"/>
        </w:rPr>
        <w:tab/>
      </w:r>
      <w:r>
        <w:rPr>
          <w:color w:val="auto"/>
          <w:highlight w:val="none"/>
        </w:rPr>
        <w:fldChar w:fldCharType="begin"/>
      </w:r>
      <w:r>
        <w:rPr>
          <w:color w:val="auto"/>
          <w:highlight w:val="none"/>
        </w:rPr>
        <w:instrText xml:space="preserve"> PAGEREF _Toc6341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cs="宋体"/>
          <w:color w:val="auto"/>
          <w:szCs w:val="24"/>
          <w:highlight w:val="none"/>
        </w:rPr>
        <w:fldChar w:fldCharType="end"/>
      </w:r>
    </w:p>
    <w:p w14:paraId="74EF3997">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_Toc18321 </w:instrText>
      </w:r>
      <w:r>
        <w:rPr>
          <w:rFonts w:hint="eastAsia" w:ascii="宋体" w:hAnsi="宋体" w:cs="宋体"/>
          <w:color w:val="auto"/>
          <w:szCs w:val="24"/>
          <w:highlight w:val="none"/>
        </w:rPr>
        <w:fldChar w:fldCharType="separate"/>
      </w:r>
      <w:r>
        <w:rPr>
          <w:rFonts w:hint="eastAsia" w:ascii="宋体" w:hAnsi="宋体" w:cs="宋体"/>
          <w:color w:val="auto"/>
          <w:szCs w:val="36"/>
          <w:highlight w:val="none"/>
        </w:rPr>
        <w:t>第五章  投标文件格式</w:t>
      </w:r>
      <w:r>
        <w:rPr>
          <w:color w:val="auto"/>
          <w:highlight w:val="none"/>
        </w:rPr>
        <w:tab/>
      </w:r>
      <w:r>
        <w:rPr>
          <w:color w:val="auto"/>
          <w:highlight w:val="none"/>
        </w:rPr>
        <w:fldChar w:fldCharType="begin"/>
      </w:r>
      <w:r>
        <w:rPr>
          <w:color w:val="auto"/>
          <w:highlight w:val="none"/>
        </w:rPr>
        <w:instrText xml:space="preserve"> PAGEREF _Toc18321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cs="宋体"/>
          <w:color w:val="auto"/>
          <w:szCs w:val="24"/>
          <w:highlight w:val="none"/>
        </w:rPr>
        <w:fldChar w:fldCharType="end"/>
      </w:r>
    </w:p>
    <w:p w14:paraId="77FA0109">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_Toc26114 </w:instrText>
      </w:r>
      <w:r>
        <w:rPr>
          <w:rFonts w:hint="eastAsia" w:ascii="宋体" w:hAnsi="宋体" w:cs="宋体"/>
          <w:color w:val="auto"/>
          <w:szCs w:val="24"/>
          <w:highlight w:val="none"/>
        </w:rPr>
        <w:fldChar w:fldCharType="separate"/>
      </w:r>
      <w:r>
        <w:rPr>
          <w:rFonts w:hint="eastAsia" w:ascii="宋体" w:hAnsi="宋体" w:cs="宋体"/>
          <w:color w:val="auto"/>
          <w:szCs w:val="44"/>
          <w:highlight w:val="none"/>
        </w:rPr>
        <w:t>一  资格文件格式</w:t>
      </w:r>
      <w:r>
        <w:rPr>
          <w:color w:val="auto"/>
          <w:highlight w:val="none"/>
        </w:rPr>
        <w:tab/>
      </w:r>
      <w:r>
        <w:rPr>
          <w:color w:val="auto"/>
          <w:highlight w:val="none"/>
        </w:rPr>
        <w:fldChar w:fldCharType="begin"/>
      </w:r>
      <w:r>
        <w:rPr>
          <w:color w:val="auto"/>
          <w:highlight w:val="none"/>
        </w:rPr>
        <w:instrText xml:space="preserve"> PAGEREF _Toc26114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cs="宋体"/>
          <w:color w:val="auto"/>
          <w:szCs w:val="24"/>
          <w:highlight w:val="none"/>
        </w:rPr>
        <w:fldChar w:fldCharType="end"/>
      </w:r>
    </w:p>
    <w:p w14:paraId="57EC6423">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_Toc26408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1.1    资格文件封面格式</w:t>
      </w:r>
      <w:r>
        <w:rPr>
          <w:color w:val="auto"/>
          <w:highlight w:val="none"/>
        </w:rPr>
        <w:tab/>
      </w:r>
      <w:r>
        <w:rPr>
          <w:color w:val="auto"/>
          <w:highlight w:val="none"/>
        </w:rPr>
        <w:fldChar w:fldCharType="begin"/>
      </w:r>
      <w:r>
        <w:rPr>
          <w:color w:val="auto"/>
          <w:highlight w:val="none"/>
        </w:rPr>
        <w:instrText xml:space="preserve"> PAGEREF _Toc26408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cs="宋体"/>
          <w:color w:val="auto"/>
          <w:szCs w:val="24"/>
          <w:highlight w:val="none"/>
        </w:rPr>
        <w:fldChar w:fldCharType="end"/>
      </w:r>
    </w:p>
    <w:p w14:paraId="4203509F">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_Toc30588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1.2    资格文件目录</w:t>
      </w:r>
      <w:r>
        <w:rPr>
          <w:color w:val="auto"/>
          <w:highlight w:val="none"/>
        </w:rPr>
        <w:tab/>
      </w:r>
      <w:r>
        <w:rPr>
          <w:color w:val="auto"/>
          <w:highlight w:val="none"/>
        </w:rPr>
        <w:fldChar w:fldCharType="begin"/>
      </w:r>
      <w:r>
        <w:rPr>
          <w:color w:val="auto"/>
          <w:highlight w:val="none"/>
        </w:rPr>
        <w:instrText xml:space="preserve"> PAGEREF _Toc30588 \h </w:instrText>
      </w:r>
      <w:r>
        <w:rPr>
          <w:color w:val="auto"/>
          <w:highlight w:val="none"/>
        </w:rPr>
        <w:fldChar w:fldCharType="separate"/>
      </w:r>
      <w:r>
        <w:rPr>
          <w:color w:val="auto"/>
          <w:highlight w:val="none"/>
        </w:rPr>
        <w:t>71</w:t>
      </w:r>
      <w:r>
        <w:rPr>
          <w:color w:val="auto"/>
          <w:highlight w:val="none"/>
        </w:rPr>
        <w:fldChar w:fldCharType="end"/>
      </w:r>
      <w:r>
        <w:rPr>
          <w:rFonts w:hint="eastAsia" w:ascii="宋体" w:hAnsi="宋体" w:cs="宋体"/>
          <w:color w:val="auto"/>
          <w:szCs w:val="24"/>
          <w:highlight w:val="none"/>
        </w:rPr>
        <w:fldChar w:fldCharType="end"/>
      </w:r>
    </w:p>
    <w:p w14:paraId="4AB6A4BC">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_Toc20381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1.3    有效营业执照电子文档</w:t>
      </w:r>
      <w:r>
        <w:rPr>
          <w:color w:val="auto"/>
          <w:highlight w:val="none"/>
        </w:rPr>
        <w:tab/>
      </w:r>
      <w:r>
        <w:rPr>
          <w:color w:val="auto"/>
          <w:highlight w:val="none"/>
        </w:rPr>
        <w:fldChar w:fldCharType="begin"/>
      </w:r>
      <w:r>
        <w:rPr>
          <w:color w:val="auto"/>
          <w:highlight w:val="none"/>
        </w:rPr>
        <w:instrText xml:space="preserve"> PAGEREF _Toc20381 \h </w:instrText>
      </w:r>
      <w:r>
        <w:rPr>
          <w:color w:val="auto"/>
          <w:highlight w:val="none"/>
        </w:rPr>
        <w:fldChar w:fldCharType="separate"/>
      </w:r>
      <w:r>
        <w:rPr>
          <w:color w:val="auto"/>
          <w:highlight w:val="none"/>
        </w:rPr>
        <w:t>71</w:t>
      </w:r>
      <w:r>
        <w:rPr>
          <w:color w:val="auto"/>
          <w:highlight w:val="none"/>
        </w:rPr>
        <w:fldChar w:fldCharType="end"/>
      </w:r>
      <w:r>
        <w:rPr>
          <w:rFonts w:hint="eastAsia" w:ascii="宋体" w:hAnsi="宋体" w:cs="宋体"/>
          <w:color w:val="auto"/>
          <w:szCs w:val="24"/>
          <w:highlight w:val="none"/>
        </w:rPr>
        <w:fldChar w:fldCharType="end"/>
      </w:r>
    </w:p>
    <w:p w14:paraId="5D7C0143">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_Toc7826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1.4    法定代表人身份证电子文档</w:t>
      </w:r>
      <w:r>
        <w:rPr>
          <w:color w:val="auto"/>
          <w:highlight w:val="none"/>
        </w:rPr>
        <w:tab/>
      </w:r>
      <w:r>
        <w:rPr>
          <w:color w:val="auto"/>
          <w:highlight w:val="none"/>
        </w:rPr>
        <w:fldChar w:fldCharType="begin"/>
      </w:r>
      <w:r>
        <w:rPr>
          <w:color w:val="auto"/>
          <w:highlight w:val="none"/>
        </w:rPr>
        <w:instrText xml:space="preserve"> PAGEREF _Toc7826 \h </w:instrText>
      </w:r>
      <w:r>
        <w:rPr>
          <w:color w:val="auto"/>
          <w:highlight w:val="none"/>
        </w:rPr>
        <w:fldChar w:fldCharType="separate"/>
      </w:r>
      <w:r>
        <w:rPr>
          <w:color w:val="auto"/>
          <w:highlight w:val="none"/>
        </w:rPr>
        <w:t>71</w:t>
      </w:r>
      <w:r>
        <w:rPr>
          <w:color w:val="auto"/>
          <w:highlight w:val="none"/>
        </w:rPr>
        <w:fldChar w:fldCharType="end"/>
      </w:r>
      <w:r>
        <w:rPr>
          <w:rFonts w:hint="eastAsia" w:ascii="宋体" w:hAnsi="宋体" w:cs="宋体"/>
          <w:color w:val="auto"/>
          <w:szCs w:val="24"/>
          <w:highlight w:val="none"/>
        </w:rPr>
        <w:fldChar w:fldCharType="end"/>
      </w:r>
    </w:p>
    <w:p w14:paraId="31253009">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_Toc5014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1.5    授权委托书格式</w:t>
      </w:r>
      <w:r>
        <w:rPr>
          <w:color w:val="auto"/>
          <w:highlight w:val="none"/>
        </w:rPr>
        <w:tab/>
      </w:r>
      <w:r>
        <w:rPr>
          <w:color w:val="auto"/>
          <w:highlight w:val="none"/>
        </w:rPr>
        <w:fldChar w:fldCharType="begin"/>
      </w:r>
      <w:r>
        <w:rPr>
          <w:color w:val="auto"/>
          <w:highlight w:val="none"/>
        </w:rPr>
        <w:instrText xml:space="preserve"> PAGEREF _Toc5014 \h </w:instrText>
      </w:r>
      <w:r>
        <w:rPr>
          <w:color w:val="auto"/>
          <w:highlight w:val="none"/>
        </w:rPr>
        <w:fldChar w:fldCharType="separate"/>
      </w:r>
      <w:r>
        <w:rPr>
          <w:color w:val="auto"/>
          <w:highlight w:val="none"/>
        </w:rPr>
        <w:t>72</w:t>
      </w:r>
      <w:r>
        <w:rPr>
          <w:color w:val="auto"/>
          <w:highlight w:val="none"/>
        </w:rPr>
        <w:fldChar w:fldCharType="end"/>
      </w:r>
      <w:r>
        <w:rPr>
          <w:rFonts w:hint="eastAsia" w:ascii="宋体" w:hAnsi="宋体" w:cs="宋体"/>
          <w:color w:val="auto"/>
          <w:szCs w:val="24"/>
          <w:highlight w:val="none"/>
        </w:rPr>
        <w:fldChar w:fldCharType="end"/>
      </w:r>
    </w:p>
    <w:p w14:paraId="2C27C9C1">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_Toc5903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1.6    符合参加政府采购活动应当具备的一般条件的承诺函格式</w:t>
      </w:r>
      <w:r>
        <w:rPr>
          <w:color w:val="auto"/>
          <w:highlight w:val="none"/>
        </w:rPr>
        <w:tab/>
      </w:r>
      <w:r>
        <w:rPr>
          <w:color w:val="auto"/>
          <w:highlight w:val="none"/>
        </w:rPr>
        <w:fldChar w:fldCharType="begin"/>
      </w:r>
      <w:r>
        <w:rPr>
          <w:color w:val="auto"/>
          <w:highlight w:val="none"/>
        </w:rPr>
        <w:instrText xml:space="preserve"> PAGEREF _Toc5903 \h </w:instrText>
      </w:r>
      <w:r>
        <w:rPr>
          <w:color w:val="auto"/>
          <w:highlight w:val="none"/>
        </w:rPr>
        <w:fldChar w:fldCharType="separate"/>
      </w:r>
      <w:r>
        <w:rPr>
          <w:color w:val="auto"/>
          <w:highlight w:val="none"/>
        </w:rPr>
        <w:t>73</w:t>
      </w:r>
      <w:r>
        <w:rPr>
          <w:color w:val="auto"/>
          <w:highlight w:val="none"/>
        </w:rPr>
        <w:fldChar w:fldCharType="end"/>
      </w:r>
      <w:r>
        <w:rPr>
          <w:rFonts w:hint="eastAsia" w:ascii="宋体" w:hAnsi="宋体" w:cs="宋体"/>
          <w:color w:val="auto"/>
          <w:szCs w:val="24"/>
          <w:highlight w:val="none"/>
        </w:rPr>
        <w:fldChar w:fldCharType="end"/>
      </w:r>
    </w:p>
    <w:p w14:paraId="04868297">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_Toc3209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1.7    落实政府采购政策需满足的资格要求相关声明函格式</w:t>
      </w:r>
      <w:r>
        <w:rPr>
          <w:color w:val="auto"/>
          <w:highlight w:val="none"/>
        </w:rPr>
        <w:tab/>
      </w:r>
      <w:r>
        <w:rPr>
          <w:color w:val="auto"/>
          <w:highlight w:val="none"/>
        </w:rPr>
        <w:fldChar w:fldCharType="begin"/>
      </w:r>
      <w:r>
        <w:rPr>
          <w:color w:val="auto"/>
          <w:highlight w:val="none"/>
        </w:rPr>
        <w:instrText xml:space="preserve"> PAGEREF _Toc3209 \h </w:instrText>
      </w:r>
      <w:r>
        <w:rPr>
          <w:color w:val="auto"/>
          <w:highlight w:val="none"/>
        </w:rPr>
        <w:fldChar w:fldCharType="separate"/>
      </w:r>
      <w:r>
        <w:rPr>
          <w:color w:val="auto"/>
          <w:highlight w:val="none"/>
        </w:rPr>
        <w:t>74</w:t>
      </w:r>
      <w:r>
        <w:rPr>
          <w:color w:val="auto"/>
          <w:highlight w:val="none"/>
        </w:rPr>
        <w:fldChar w:fldCharType="end"/>
      </w:r>
      <w:r>
        <w:rPr>
          <w:rFonts w:hint="eastAsia" w:ascii="宋体" w:hAnsi="宋体" w:cs="宋体"/>
          <w:color w:val="auto"/>
          <w:szCs w:val="24"/>
          <w:highlight w:val="none"/>
        </w:rPr>
        <w:fldChar w:fldCharType="end"/>
      </w:r>
    </w:p>
    <w:p w14:paraId="696A988A">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_Toc15977 </w:instrText>
      </w:r>
      <w:r>
        <w:rPr>
          <w:rFonts w:hint="eastAsia" w:ascii="宋体" w:hAnsi="宋体" w:cs="宋体"/>
          <w:color w:val="auto"/>
          <w:szCs w:val="24"/>
          <w:highlight w:val="none"/>
        </w:rPr>
        <w:fldChar w:fldCharType="separate"/>
      </w:r>
      <w:r>
        <w:rPr>
          <w:rFonts w:hint="eastAsia" w:ascii="宋体" w:hAnsi="宋体" w:cs="宋体"/>
          <w:color w:val="auto"/>
          <w:szCs w:val="44"/>
          <w:highlight w:val="none"/>
        </w:rPr>
        <w:t>二  商务技术文件格式</w:t>
      </w:r>
      <w:r>
        <w:rPr>
          <w:color w:val="auto"/>
          <w:highlight w:val="none"/>
        </w:rPr>
        <w:tab/>
      </w:r>
      <w:r>
        <w:rPr>
          <w:color w:val="auto"/>
          <w:highlight w:val="none"/>
        </w:rPr>
        <w:fldChar w:fldCharType="begin"/>
      </w:r>
      <w:r>
        <w:rPr>
          <w:color w:val="auto"/>
          <w:highlight w:val="none"/>
        </w:rPr>
        <w:instrText xml:space="preserve"> PAGEREF _Toc15977 \h </w:instrText>
      </w:r>
      <w:r>
        <w:rPr>
          <w:color w:val="auto"/>
          <w:highlight w:val="none"/>
        </w:rPr>
        <w:fldChar w:fldCharType="separate"/>
      </w:r>
      <w:r>
        <w:rPr>
          <w:color w:val="auto"/>
          <w:highlight w:val="none"/>
        </w:rPr>
        <w:t>81</w:t>
      </w:r>
      <w:r>
        <w:rPr>
          <w:color w:val="auto"/>
          <w:highlight w:val="none"/>
        </w:rPr>
        <w:fldChar w:fldCharType="end"/>
      </w:r>
      <w:r>
        <w:rPr>
          <w:rFonts w:hint="eastAsia" w:ascii="宋体" w:hAnsi="宋体" w:cs="宋体"/>
          <w:color w:val="auto"/>
          <w:szCs w:val="24"/>
          <w:highlight w:val="none"/>
        </w:rPr>
        <w:fldChar w:fldCharType="end"/>
      </w:r>
    </w:p>
    <w:p w14:paraId="5B069C49">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_Toc28080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2.1    资信及商务文件封面格式</w:t>
      </w:r>
      <w:r>
        <w:rPr>
          <w:color w:val="auto"/>
          <w:highlight w:val="none"/>
        </w:rPr>
        <w:tab/>
      </w:r>
      <w:r>
        <w:rPr>
          <w:color w:val="auto"/>
          <w:highlight w:val="none"/>
        </w:rPr>
        <w:fldChar w:fldCharType="begin"/>
      </w:r>
      <w:r>
        <w:rPr>
          <w:color w:val="auto"/>
          <w:highlight w:val="none"/>
        </w:rPr>
        <w:instrText xml:space="preserve"> PAGEREF _Toc28080 \h </w:instrText>
      </w:r>
      <w:r>
        <w:rPr>
          <w:color w:val="auto"/>
          <w:highlight w:val="none"/>
        </w:rPr>
        <w:fldChar w:fldCharType="separate"/>
      </w:r>
      <w:r>
        <w:rPr>
          <w:color w:val="auto"/>
          <w:highlight w:val="none"/>
        </w:rPr>
        <w:t>81</w:t>
      </w:r>
      <w:r>
        <w:rPr>
          <w:color w:val="auto"/>
          <w:highlight w:val="none"/>
        </w:rPr>
        <w:fldChar w:fldCharType="end"/>
      </w:r>
      <w:r>
        <w:rPr>
          <w:rFonts w:hint="eastAsia" w:ascii="宋体" w:hAnsi="宋体" w:cs="宋体"/>
          <w:color w:val="auto"/>
          <w:szCs w:val="24"/>
          <w:highlight w:val="none"/>
        </w:rPr>
        <w:fldChar w:fldCharType="end"/>
      </w:r>
    </w:p>
    <w:p w14:paraId="712D6A6A">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_Toc16792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2.2    商务技术文件目录</w:t>
      </w:r>
      <w:r>
        <w:rPr>
          <w:color w:val="auto"/>
          <w:highlight w:val="none"/>
        </w:rPr>
        <w:tab/>
      </w:r>
      <w:r>
        <w:rPr>
          <w:color w:val="auto"/>
          <w:highlight w:val="none"/>
        </w:rPr>
        <w:fldChar w:fldCharType="begin"/>
      </w:r>
      <w:r>
        <w:rPr>
          <w:color w:val="auto"/>
          <w:highlight w:val="none"/>
        </w:rPr>
        <w:instrText xml:space="preserve"> PAGEREF _Toc16792 \h </w:instrText>
      </w:r>
      <w:r>
        <w:rPr>
          <w:color w:val="auto"/>
          <w:highlight w:val="none"/>
        </w:rPr>
        <w:fldChar w:fldCharType="separate"/>
      </w:r>
      <w:r>
        <w:rPr>
          <w:color w:val="auto"/>
          <w:highlight w:val="none"/>
        </w:rPr>
        <w:t>81</w:t>
      </w:r>
      <w:r>
        <w:rPr>
          <w:color w:val="auto"/>
          <w:highlight w:val="none"/>
        </w:rPr>
        <w:fldChar w:fldCharType="end"/>
      </w:r>
      <w:r>
        <w:rPr>
          <w:rFonts w:hint="eastAsia" w:ascii="宋体" w:hAnsi="宋体" w:cs="宋体"/>
          <w:color w:val="auto"/>
          <w:szCs w:val="24"/>
          <w:highlight w:val="none"/>
        </w:rPr>
        <w:fldChar w:fldCharType="end"/>
      </w:r>
    </w:p>
    <w:p w14:paraId="21EA1045">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_Toc29017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2.3    投标函格式</w:t>
      </w:r>
      <w:r>
        <w:rPr>
          <w:color w:val="auto"/>
          <w:highlight w:val="none"/>
        </w:rPr>
        <w:tab/>
      </w:r>
      <w:r>
        <w:rPr>
          <w:color w:val="auto"/>
          <w:highlight w:val="none"/>
        </w:rPr>
        <w:fldChar w:fldCharType="begin"/>
      </w:r>
      <w:r>
        <w:rPr>
          <w:color w:val="auto"/>
          <w:highlight w:val="none"/>
        </w:rPr>
        <w:instrText xml:space="preserve"> PAGEREF _Toc29017 \h </w:instrText>
      </w:r>
      <w:r>
        <w:rPr>
          <w:color w:val="auto"/>
          <w:highlight w:val="none"/>
        </w:rPr>
        <w:fldChar w:fldCharType="separate"/>
      </w:r>
      <w:r>
        <w:rPr>
          <w:color w:val="auto"/>
          <w:highlight w:val="none"/>
        </w:rPr>
        <w:t>82</w:t>
      </w:r>
      <w:r>
        <w:rPr>
          <w:color w:val="auto"/>
          <w:highlight w:val="none"/>
        </w:rPr>
        <w:fldChar w:fldCharType="end"/>
      </w:r>
      <w:r>
        <w:rPr>
          <w:rFonts w:hint="eastAsia" w:ascii="宋体" w:hAnsi="宋体" w:cs="宋体"/>
          <w:color w:val="auto"/>
          <w:szCs w:val="24"/>
          <w:highlight w:val="none"/>
        </w:rPr>
        <w:fldChar w:fldCharType="end"/>
      </w:r>
    </w:p>
    <w:p w14:paraId="5AD6247D">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_Toc11671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2.4    廉洁自律承诺书格式</w:t>
      </w:r>
      <w:r>
        <w:rPr>
          <w:color w:val="auto"/>
          <w:highlight w:val="none"/>
        </w:rPr>
        <w:tab/>
      </w:r>
      <w:r>
        <w:rPr>
          <w:color w:val="auto"/>
          <w:highlight w:val="none"/>
        </w:rPr>
        <w:fldChar w:fldCharType="begin"/>
      </w:r>
      <w:r>
        <w:rPr>
          <w:color w:val="auto"/>
          <w:highlight w:val="none"/>
        </w:rPr>
        <w:instrText xml:space="preserve"> PAGEREF _Toc11671 \h </w:instrText>
      </w:r>
      <w:r>
        <w:rPr>
          <w:color w:val="auto"/>
          <w:highlight w:val="none"/>
        </w:rPr>
        <w:fldChar w:fldCharType="separate"/>
      </w:r>
      <w:r>
        <w:rPr>
          <w:color w:val="auto"/>
          <w:highlight w:val="none"/>
        </w:rPr>
        <w:t>84</w:t>
      </w:r>
      <w:r>
        <w:rPr>
          <w:color w:val="auto"/>
          <w:highlight w:val="none"/>
        </w:rPr>
        <w:fldChar w:fldCharType="end"/>
      </w:r>
      <w:r>
        <w:rPr>
          <w:rFonts w:hint="eastAsia" w:ascii="宋体" w:hAnsi="宋体" w:cs="宋体"/>
          <w:color w:val="auto"/>
          <w:szCs w:val="24"/>
          <w:highlight w:val="none"/>
        </w:rPr>
        <w:fldChar w:fldCharType="end"/>
      </w:r>
    </w:p>
    <w:p w14:paraId="795852A0">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_Toc27788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2.5    符合性审查资料</w:t>
      </w:r>
      <w:r>
        <w:rPr>
          <w:color w:val="auto"/>
          <w:highlight w:val="none"/>
        </w:rPr>
        <w:tab/>
      </w:r>
      <w:r>
        <w:rPr>
          <w:color w:val="auto"/>
          <w:highlight w:val="none"/>
        </w:rPr>
        <w:fldChar w:fldCharType="begin"/>
      </w:r>
      <w:r>
        <w:rPr>
          <w:color w:val="auto"/>
          <w:highlight w:val="none"/>
        </w:rPr>
        <w:instrText xml:space="preserve"> PAGEREF _Toc27788 \h </w:instrText>
      </w:r>
      <w:r>
        <w:rPr>
          <w:color w:val="auto"/>
          <w:highlight w:val="none"/>
        </w:rPr>
        <w:fldChar w:fldCharType="separate"/>
      </w:r>
      <w:r>
        <w:rPr>
          <w:color w:val="auto"/>
          <w:highlight w:val="none"/>
        </w:rPr>
        <w:t>86</w:t>
      </w:r>
      <w:r>
        <w:rPr>
          <w:color w:val="auto"/>
          <w:highlight w:val="none"/>
        </w:rPr>
        <w:fldChar w:fldCharType="end"/>
      </w:r>
      <w:r>
        <w:rPr>
          <w:rFonts w:hint="eastAsia" w:ascii="宋体" w:hAnsi="宋体" w:cs="宋体"/>
          <w:color w:val="auto"/>
          <w:szCs w:val="24"/>
          <w:highlight w:val="none"/>
        </w:rPr>
        <w:fldChar w:fldCharType="end"/>
      </w:r>
    </w:p>
    <w:p w14:paraId="68DF363A">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_Toc546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2.</w:t>
      </w:r>
      <w:r>
        <w:rPr>
          <w:rFonts w:hint="eastAsia" w:ascii="宋体" w:hAnsi="宋体" w:eastAsia="宋体" w:cs="宋体"/>
          <w:color w:val="auto"/>
          <w:szCs w:val="24"/>
          <w:highlight w:val="none"/>
          <w:lang w:val="en-US" w:eastAsia="zh-CN"/>
        </w:rPr>
        <w:t>6</w:t>
      </w:r>
      <w:r>
        <w:rPr>
          <w:rFonts w:hint="eastAsia" w:ascii="宋体" w:hAnsi="宋体" w:eastAsia="宋体" w:cs="宋体"/>
          <w:color w:val="auto"/>
          <w:szCs w:val="24"/>
          <w:highlight w:val="none"/>
        </w:rPr>
        <w:t xml:space="preserve">    </w:t>
      </w:r>
      <w:r>
        <w:rPr>
          <w:rFonts w:hint="eastAsia" w:ascii="宋体" w:hAnsi="宋体" w:eastAsia="宋体" w:cs="宋体"/>
          <w:color w:val="auto"/>
          <w:szCs w:val="24"/>
          <w:highlight w:val="none"/>
          <w:lang w:val="en-US" w:eastAsia="zh-CN"/>
        </w:rPr>
        <w:t>商务</w:t>
      </w:r>
      <w:r>
        <w:rPr>
          <w:rFonts w:hint="eastAsia" w:ascii="宋体" w:hAnsi="宋体" w:eastAsia="宋体" w:cs="宋体"/>
          <w:color w:val="auto"/>
          <w:szCs w:val="24"/>
          <w:highlight w:val="none"/>
        </w:rPr>
        <w:t>技术偏离表格式</w:t>
      </w:r>
      <w:r>
        <w:rPr>
          <w:color w:val="auto"/>
          <w:highlight w:val="none"/>
        </w:rPr>
        <w:tab/>
      </w:r>
      <w:r>
        <w:rPr>
          <w:color w:val="auto"/>
          <w:highlight w:val="none"/>
        </w:rPr>
        <w:fldChar w:fldCharType="begin"/>
      </w:r>
      <w:r>
        <w:rPr>
          <w:color w:val="auto"/>
          <w:highlight w:val="none"/>
        </w:rPr>
        <w:instrText xml:space="preserve"> PAGEREF _Toc546 \h </w:instrText>
      </w:r>
      <w:r>
        <w:rPr>
          <w:color w:val="auto"/>
          <w:highlight w:val="none"/>
        </w:rPr>
        <w:fldChar w:fldCharType="separate"/>
      </w:r>
      <w:r>
        <w:rPr>
          <w:color w:val="auto"/>
          <w:highlight w:val="none"/>
        </w:rPr>
        <w:t>88</w:t>
      </w:r>
      <w:r>
        <w:rPr>
          <w:color w:val="auto"/>
          <w:highlight w:val="none"/>
        </w:rPr>
        <w:fldChar w:fldCharType="end"/>
      </w:r>
      <w:r>
        <w:rPr>
          <w:rFonts w:hint="eastAsia" w:ascii="宋体" w:hAnsi="宋体" w:cs="宋体"/>
          <w:color w:val="auto"/>
          <w:szCs w:val="24"/>
          <w:highlight w:val="none"/>
        </w:rPr>
        <w:fldChar w:fldCharType="end"/>
      </w:r>
    </w:p>
    <w:p w14:paraId="7A38D0FE">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_Toc14607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2.</w:t>
      </w:r>
      <w:r>
        <w:rPr>
          <w:rFonts w:hint="eastAsia" w:ascii="宋体" w:hAnsi="宋体" w:eastAsia="宋体" w:cs="宋体"/>
          <w:color w:val="auto"/>
          <w:szCs w:val="24"/>
          <w:highlight w:val="none"/>
          <w:lang w:val="en-US" w:eastAsia="zh-CN"/>
        </w:rPr>
        <w:t>7</w:t>
      </w:r>
      <w:r>
        <w:rPr>
          <w:rFonts w:hint="eastAsia" w:ascii="宋体" w:hAnsi="宋体" w:eastAsia="宋体" w:cs="宋体"/>
          <w:color w:val="auto"/>
          <w:szCs w:val="24"/>
          <w:highlight w:val="none"/>
        </w:rPr>
        <w:t xml:space="preserve">    评标标准相应的商务技术资料</w:t>
      </w:r>
      <w:r>
        <w:rPr>
          <w:color w:val="auto"/>
          <w:highlight w:val="none"/>
        </w:rPr>
        <w:tab/>
      </w:r>
      <w:r>
        <w:rPr>
          <w:color w:val="auto"/>
          <w:highlight w:val="none"/>
        </w:rPr>
        <w:fldChar w:fldCharType="begin"/>
      </w:r>
      <w:r>
        <w:rPr>
          <w:color w:val="auto"/>
          <w:highlight w:val="none"/>
        </w:rPr>
        <w:instrText xml:space="preserve"> PAGEREF _Toc14607 \h </w:instrText>
      </w:r>
      <w:r>
        <w:rPr>
          <w:color w:val="auto"/>
          <w:highlight w:val="none"/>
        </w:rPr>
        <w:fldChar w:fldCharType="separate"/>
      </w:r>
      <w:r>
        <w:rPr>
          <w:color w:val="auto"/>
          <w:highlight w:val="none"/>
        </w:rPr>
        <w:t>89</w:t>
      </w:r>
      <w:r>
        <w:rPr>
          <w:color w:val="auto"/>
          <w:highlight w:val="none"/>
        </w:rPr>
        <w:fldChar w:fldCharType="end"/>
      </w:r>
      <w:r>
        <w:rPr>
          <w:rFonts w:hint="eastAsia" w:ascii="宋体" w:hAnsi="宋体" w:cs="宋体"/>
          <w:color w:val="auto"/>
          <w:szCs w:val="24"/>
          <w:highlight w:val="none"/>
        </w:rPr>
        <w:fldChar w:fldCharType="end"/>
      </w:r>
    </w:p>
    <w:p w14:paraId="0F8402D5">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_Toc17385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2.</w:t>
      </w:r>
      <w:r>
        <w:rPr>
          <w:rFonts w:hint="eastAsia" w:ascii="宋体" w:hAnsi="宋体" w:eastAsia="宋体" w:cs="宋体"/>
          <w:color w:val="auto"/>
          <w:szCs w:val="24"/>
          <w:highlight w:val="none"/>
          <w:lang w:val="en-US" w:eastAsia="zh-CN"/>
        </w:rPr>
        <w:t>7</w:t>
      </w:r>
      <w:r>
        <w:rPr>
          <w:rFonts w:hint="eastAsia" w:ascii="宋体" w:hAnsi="宋体" w:eastAsia="宋体" w:cs="宋体"/>
          <w:color w:val="auto"/>
          <w:szCs w:val="24"/>
          <w:highlight w:val="none"/>
        </w:rPr>
        <w:t>.1   成功案例及业绩格式</w:t>
      </w:r>
      <w:r>
        <w:rPr>
          <w:color w:val="auto"/>
          <w:highlight w:val="none"/>
        </w:rPr>
        <w:tab/>
      </w:r>
      <w:r>
        <w:rPr>
          <w:color w:val="auto"/>
          <w:highlight w:val="none"/>
        </w:rPr>
        <w:fldChar w:fldCharType="begin"/>
      </w:r>
      <w:r>
        <w:rPr>
          <w:color w:val="auto"/>
          <w:highlight w:val="none"/>
        </w:rPr>
        <w:instrText xml:space="preserve"> PAGEREF _Toc17385 \h </w:instrText>
      </w:r>
      <w:r>
        <w:rPr>
          <w:color w:val="auto"/>
          <w:highlight w:val="none"/>
        </w:rPr>
        <w:fldChar w:fldCharType="separate"/>
      </w:r>
      <w:r>
        <w:rPr>
          <w:color w:val="auto"/>
          <w:highlight w:val="none"/>
        </w:rPr>
        <w:t>89</w:t>
      </w:r>
      <w:r>
        <w:rPr>
          <w:color w:val="auto"/>
          <w:highlight w:val="none"/>
        </w:rPr>
        <w:fldChar w:fldCharType="end"/>
      </w:r>
      <w:r>
        <w:rPr>
          <w:rFonts w:hint="eastAsia" w:ascii="宋体" w:hAnsi="宋体" w:cs="宋体"/>
          <w:color w:val="auto"/>
          <w:szCs w:val="24"/>
          <w:highlight w:val="none"/>
        </w:rPr>
        <w:fldChar w:fldCharType="end"/>
      </w:r>
    </w:p>
    <w:p w14:paraId="61AA8BA1">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_Toc1257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2.</w:t>
      </w:r>
      <w:r>
        <w:rPr>
          <w:rFonts w:hint="eastAsia" w:ascii="宋体" w:hAnsi="宋体" w:eastAsia="宋体" w:cs="宋体"/>
          <w:color w:val="auto"/>
          <w:szCs w:val="24"/>
          <w:highlight w:val="none"/>
          <w:lang w:val="en-US" w:eastAsia="zh-CN"/>
        </w:rPr>
        <w:t>7</w:t>
      </w:r>
      <w:r>
        <w:rPr>
          <w:rFonts w:hint="eastAsia" w:ascii="宋体" w:hAnsi="宋体" w:eastAsia="宋体" w:cs="宋体"/>
          <w:color w:val="auto"/>
          <w:szCs w:val="24"/>
          <w:highlight w:val="none"/>
        </w:rPr>
        <w:t>.2   拟投入的项目班子格式</w:t>
      </w:r>
      <w:r>
        <w:rPr>
          <w:color w:val="auto"/>
          <w:highlight w:val="none"/>
        </w:rPr>
        <w:tab/>
      </w:r>
      <w:r>
        <w:rPr>
          <w:color w:val="auto"/>
          <w:highlight w:val="none"/>
        </w:rPr>
        <w:fldChar w:fldCharType="begin"/>
      </w:r>
      <w:r>
        <w:rPr>
          <w:color w:val="auto"/>
          <w:highlight w:val="none"/>
        </w:rPr>
        <w:instrText xml:space="preserve"> PAGEREF _Toc1257 \h </w:instrText>
      </w:r>
      <w:r>
        <w:rPr>
          <w:color w:val="auto"/>
          <w:highlight w:val="none"/>
        </w:rPr>
        <w:fldChar w:fldCharType="separate"/>
      </w:r>
      <w:r>
        <w:rPr>
          <w:color w:val="auto"/>
          <w:highlight w:val="none"/>
        </w:rPr>
        <w:t>89</w:t>
      </w:r>
      <w:r>
        <w:rPr>
          <w:color w:val="auto"/>
          <w:highlight w:val="none"/>
        </w:rPr>
        <w:fldChar w:fldCharType="end"/>
      </w:r>
      <w:r>
        <w:rPr>
          <w:rFonts w:hint="eastAsia" w:ascii="宋体" w:hAnsi="宋体" w:cs="宋体"/>
          <w:color w:val="auto"/>
          <w:szCs w:val="24"/>
          <w:highlight w:val="none"/>
        </w:rPr>
        <w:fldChar w:fldCharType="end"/>
      </w:r>
    </w:p>
    <w:p w14:paraId="2A98830B">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_Toc3060 </w:instrText>
      </w:r>
      <w:r>
        <w:rPr>
          <w:rFonts w:hint="eastAsia" w:ascii="宋体" w:hAnsi="宋体" w:cs="宋体"/>
          <w:color w:val="auto"/>
          <w:szCs w:val="24"/>
          <w:highlight w:val="none"/>
        </w:rPr>
        <w:fldChar w:fldCharType="separate"/>
      </w:r>
      <w:r>
        <w:rPr>
          <w:rFonts w:hint="eastAsia" w:asciiTheme="minorEastAsia" w:hAnsiTheme="minorEastAsia" w:eastAsiaTheme="minorEastAsia" w:cstheme="minorEastAsia"/>
          <w:color w:val="auto"/>
          <w:szCs w:val="24"/>
          <w:highlight w:val="none"/>
        </w:rPr>
        <w:t>2.</w:t>
      </w:r>
      <w:r>
        <w:rPr>
          <w:rFonts w:hint="eastAsia" w:asciiTheme="minorEastAsia" w:hAnsiTheme="minorEastAsia" w:eastAsiaTheme="minorEastAsia" w:cstheme="minorEastAsia"/>
          <w:color w:val="auto"/>
          <w:szCs w:val="24"/>
          <w:highlight w:val="none"/>
          <w:lang w:val="en-US" w:eastAsia="zh-CN"/>
        </w:rPr>
        <w:t>8</w:t>
      </w:r>
      <w:r>
        <w:rPr>
          <w:rFonts w:hint="eastAsia" w:asciiTheme="minorEastAsia" w:hAnsiTheme="minorEastAsia" w:eastAsiaTheme="minorEastAsia" w:cstheme="minorEastAsia"/>
          <w:color w:val="auto"/>
          <w:szCs w:val="24"/>
          <w:highlight w:val="none"/>
        </w:rPr>
        <w:t xml:space="preserve">     投标人需要说明的其他文件和说明</w:t>
      </w:r>
      <w:r>
        <w:rPr>
          <w:color w:val="auto"/>
          <w:highlight w:val="none"/>
        </w:rPr>
        <w:tab/>
      </w:r>
      <w:r>
        <w:rPr>
          <w:color w:val="auto"/>
          <w:highlight w:val="none"/>
        </w:rPr>
        <w:fldChar w:fldCharType="begin"/>
      </w:r>
      <w:r>
        <w:rPr>
          <w:color w:val="auto"/>
          <w:highlight w:val="none"/>
        </w:rPr>
        <w:instrText xml:space="preserve"> PAGEREF _Toc3060 \h </w:instrText>
      </w:r>
      <w:r>
        <w:rPr>
          <w:color w:val="auto"/>
          <w:highlight w:val="none"/>
        </w:rPr>
        <w:fldChar w:fldCharType="separate"/>
      </w:r>
      <w:r>
        <w:rPr>
          <w:color w:val="auto"/>
          <w:highlight w:val="none"/>
        </w:rPr>
        <w:t>90</w:t>
      </w:r>
      <w:r>
        <w:rPr>
          <w:color w:val="auto"/>
          <w:highlight w:val="none"/>
        </w:rPr>
        <w:fldChar w:fldCharType="end"/>
      </w:r>
      <w:r>
        <w:rPr>
          <w:rFonts w:hint="eastAsia" w:ascii="宋体" w:hAnsi="宋体" w:cs="宋体"/>
          <w:color w:val="auto"/>
          <w:szCs w:val="24"/>
          <w:highlight w:val="none"/>
        </w:rPr>
        <w:fldChar w:fldCharType="end"/>
      </w:r>
    </w:p>
    <w:p w14:paraId="47B22208">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_Toc3229 </w:instrText>
      </w:r>
      <w:r>
        <w:rPr>
          <w:rFonts w:hint="eastAsia" w:ascii="宋体" w:hAnsi="宋体" w:cs="宋体"/>
          <w:color w:val="auto"/>
          <w:szCs w:val="24"/>
          <w:highlight w:val="none"/>
        </w:rPr>
        <w:fldChar w:fldCharType="separate"/>
      </w:r>
      <w:r>
        <w:rPr>
          <w:rFonts w:hint="eastAsia" w:ascii="宋体" w:hAnsi="宋体" w:cs="宋体"/>
          <w:color w:val="auto"/>
          <w:szCs w:val="44"/>
          <w:highlight w:val="none"/>
        </w:rPr>
        <w:t>三  报价文件格式</w:t>
      </w:r>
      <w:r>
        <w:rPr>
          <w:color w:val="auto"/>
          <w:highlight w:val="none"/>
        </w:rPr>
        <w:tab/>
      </w:r>
      <w:r>
        <w:rPr>
          <w:color w:val="auto"/>
          <w:highlight w:val="none"/>
        </w:rPr>
        <w:fldChar w:fldCharType="begin"/>
      </w:r>
      <w:r>
        <w:rPr>
          <w:color w:val="auto"/>
          <w:highlight w:val="none"/>
        </w:rPr>
        <w:instrText xml:space="preserve"> PAGEREF _Toc3229 \h </w:instrText>
      </w:r>
      <w:r>
        <w:rPr>
          <w:color w:val="auto"/>
          <w:highlight w:val="none"/>
        </w:rPr>
        <w:fldChar w:fldCharType="separate"/>
      </w:r>
      <w:r>
        <w:rPr>
          <w:color w:val="auto"/>
          <w:highlight w:val="none"/>
        </w:rPr>
        <w:t>91</w:t>
      </w:r>
      <w:r>
        <w:rPr>
          <w:color w:val="auto"/>
          <w:highlight w:val="none"/>
        </w:rPr>
        <w:fldChar w:fldCharType="end"/>
      </w:r>
      <w:r>
        <w:rPr>
          <w:rFonts w:hint="eastAsia" w:ascii="宋体" w:hAnsi="宋体" w:cs="宋体"/>
          <w:color w:val="auto"/>
          <w:szCs w:val="24"/>
          <w:highlight w:val="none"/>
        </w:rPr>
        <w:fldChar w:fldCharType="end"/>
      </w:r>
    </w:p>
    <w:p w14:paraId="6044C9E5">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_Toc11633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3.1     报价文件文件封面格式</w:t>
      </w:r>
      <w:r>
        <w:rPr>
          <w:color w:val="auto"/>
          <w:highlight w:val="none"/>
        </w:rPr>
        <w:tab/>
      </w:r>
      <w:r>
        <w:rPr>
          <w:color w:val="auto"/>
          <w:highlight w:val="none"/>
        </w:rPr>
        <w:fldChar w:fldCharType="begin"/>
      </w:r>
      <w:r>
        <w:rPr>
          <w:color w:val="auto"/>
          <w:highlight w:val="none"/>
        </w:rPr>
        <w:instrText xml:space="preserve"> PAGEREF _Toc11633 \h </w:instrText>
      </w:r>
      <w:r>
        <w:rPr>
          <w:color w:val="auto"/>
          <w:highlight w:val="none"/>
        </w:rPr>
        <w:fldChar w:fldCharType="separate"/>
      </w:r>
      <w:r>
        <w:rPr>
          <w:color w:val="auto"/>
          <w:highlight w:val="none"/>
        </w:rPr>
        <w:t>91</w:t>
      </w:r>
      <w:r>
        <w:rPr>
          <w:color w:val="auto"/>
          <w:highlight w:val="none"/>
        </w:rPr>
        <w:fldChar w:fldCharType="end"/>
      </w:r>
      <w:r>
        <w:rPr>
          <w:rFonts w:hint="eastAsia" w:ascii="宋体" w:hAnsi="宋体" w:cs="宋体"/>
          <w:color w:val="auto"/>
          <w:szCs w:val="24"/>
          <w:highlight w:val="none"/>
        </w:rPr>
        <w:fldChar w:fldCharType="end"/>
      </w:r>
    </w:p>
    <w:p w14:paraId="2F79A464">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_Toc30203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3.2     报价文件文件目录</w:t>
      </w:r>
      <w:r>
        <w:rPr>
          <w:color w:val="auto"/>
          <w:highlight w:val="none"/>
        </w:rPr>
        <w:tab/>
      </w:r>
      <w:r>
        <w:rPr>
          <w:color w:val="auto"/>
          <w:highlight w:val="none"/>
        </w:rPr>
        <w:fldChar w:fldCharType="begin"/>
      </w:r>
      <w:r>
        <w:rPr>
          <w:color w:val="auto"/>
          <w:highlight w:val="none"/>
        </w:rPr>
        <w:instrText xml:space="preserve"> PAGEREF _Toc30203 \h </w:instrText>
      </w:r>
      <w:r>
        <w:rPr>
          <w:color w:val="auto"/>
          <w:highlight w:val="none"/>
        </w:rPr>
        <w:fldChar w:fldCharType="separate"/>
      </w:r>
      <w:r>
        <w:rPr>
          <w:color w:val="auto"/>
          <w:highlight w:val="none"/>
        </w:rPr>
        <w:t>91</w:t>
      </w:r>
      <w:r>
        <w:rPr>
          <w:color w:val="auto"/>
          <w:highlight w:val="none"/>
        </w:rPr>
        <w:fldChar w:fldCharType="end"/>
      </w:r>
      <w:r>
        <w:rPr>
          <w:rFonts w:hint="eastAsia" w:ascii="宋体" w:hAnsi="宋体" w:cs="宋体"/>
          <w:color w:val="auto"/>
          <w:szCs w:val="24"/>
          <w:highlight w:val="none"/>
        </w:rPr>
        <w:fldChar w:fldCharType="end"/>
      </w:r>
    </w:p>
    <w:p w14:paraId="5EF59569">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_Toc8443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3.3     开标一览表格式</w:t>
      </w:r>
      <w:r>
        <w:rPr>
          <w:color w:val="auto"/>
          <w:highlight w:val="none"/>
        </w:rPr>
        <w:tab/>
      </w:r>
      <w:r>
        <w:rPr>
          <w:color w:val="auto"/>
          <w:highlight w:val="none"/>
        </w:rPr>
        <w:fldChar w:fldCharType="begin"/>
      </w:r>
      <w:r>
        <w:rPr>
          <w:color w:val="auto"/>
          <w:highlight w:val="none"/>
        </w:rPr>
        <w:instrText xml:space="preserve"> PAGEREF _Toc8443 \h </w:instrText>
      </w:r>
      <w:r>
        <w:rPr>
          <w:color w:val="auto"/>
          <w:highlight w:val="none"/>
        </w:rPr>
        <w:fldChar w:fldCharType="separate"/>
      </w:r>
      <w:r>
        <w:rPr>
          <w:color w:val="auto"/>
          <w:highlight w:val="none"/>
        </w:rPr>
        <w:t>92</w:t>
      </w:r>
      <w:r>
        <w:rPr>
          <w:color w:val="auto"/>
          <w:highlight w:val="none"/>
        </w:rPr>
        <w:fldChar w:fldCharType="end"/>
      </w:r>
      <w:r>
        <w:rPr>
          <w:rFonts w:hint="eastAsia" w:ascii="宋体" w:hAnsi="宋体" w:cs="宋体"/>
          <w:color w:val="auto"/>
          <w:szCs w:val="24"/>
          <w:highlight w:val="none"/>
        </w:rPr>
        <w:fldChar w:fldCharType="end"/>
      </w:r>
    </w:p>
    <w:p w14:paraId="759ED463">
      <w:pPr>
        <w:pStyle w:val="13"/>
        <w:tabs>
          <w:tab w:val="right" w:leader="dot" w:pos="907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_Toc16654 </w:instrText>
      </w:r>
      <w:r>
        <w:rPr>
          <w:rFonts w:hint="eastAsia" w:ascii="宋体" w:hAnsi="宋体" w:cs="宋体"/>
          <w:color w:val="auto"/>
          <w:szCs w:val="24"/>
          <w:highlight w:val="none"/>
        </w:rPr>
        <w:fldChar w:fldCharType="separate"/>
      </w:r>
      <w:r>
        <w:rPr>
          <w:rFonts w:hint="eastAsia" w:ascii="宋体" w:hAnsi="宋体" w:eastAsia="宋体" w:cs="宋体"/>
          <w:color w:val="auto"/>
          <w:szCs w:val="24"/>
          <w:highlight w:val="none"/>
        </w:rPr>
        <w:t>3.4     报价明细表格式</w:t>
      </w:r>
      <w:r>
        <w:rPr>
          <w:color w:val="auto"/>
          <w:highlight w:val="none"/>
        </w:rPr>
        <w:tab/>
      </w:r>
      <w:r>
        <w:rPr>
          <w:color w:val="auto"/>
          <w:highlight w:val="none"/>
        </w:rPr>
        <w:fldChar w:fldCharType="begin"/>
      </w:r>
      <w:r>
        <w:rPr>
          <w:color w:val="auto"/>
          <w:highlight w:val="none"/>
        </w:rPr>
        <w:instrText xml:space="preserve"> PAGEREF _Toc16654 \h </w:instrText>
      </w:r>
      <w:r>
        <w:rPr>
          <w:color w:val="auto"/>
          <w:highlight w:val="none"/>
        </w:rPr>
        <w:fldChar w:fldCharType="separate"/>
      </w:r>
      <w:r>
        <w:rPr>
          <w:color w:val="auto"/>
          <w:highlight w:val="none"/>
        </w:rPr>
        <w:t>93</w:t>
      </w:r>
      <w:r>
        <w:rPr>
          <w:color w:val="auto"/>
          <w:highlight w:val="none"/>
        </w:rPr>
        <w:fldChar w:fldCharType="end"/>
      </w:r>
      <w:r>
        <w:rPr>
          <w:rFonts w:hint="eastAsia" w:ascii="宋体" w:hAnsi="宋体" w:cs="宋体"/>
          <w:color w:val="auto"/>
          <w:szCs w:val="24"/>
          <w:highlight w:val="none"/>
        </w:rPr>
        <w:fldChar w:fldCharType="end"/>
      </w:r>
    </w:p>
    <w:p w14:paraId="3EAC1D97">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_Toc12493 </w:instrText>
      </w:r>
      <w:r>
        <w:rPr>
          <w:rFonts w:hint="eastAsia" w:ascii="宋体" w:hAnsi="宋体" w:cs="宋体"/>
          <w:color w:val="auto"/>
          <w:szCs w:val="24"/>
          <w:highlight w:val="none"/>
        </w:rPr>
        <w:fldChar w:fldCharType="separate"/>
      </w:r>
      <w:r>
        <w:rPr>
          <w:rFonts w:hint="eastAsia" w:ascii="宋体" w:hAnsi="宋体" w:cs="宋体"/>
          <w:color w:val="auto"/>
          <w:szCs w:val="36"/>
          <w:highlight w:val="none"/>
        </w:rPr>
        <w:t>第六章  评标办法和评标标准</w:t>
      </w:r>
      <w:r>
        <w:rPr>
          <w:color w:val="auto"/>
          <w:highlight w:val="none"/>
        </w:rPr>
        <w:tab/>
      </w:r>
      <w:r>
        <w:rPr>
          <w:color w:val="auto"/>
          <w:highlight w:val="none"/>
        </w:rPr>
        <w:fldChar w:fldCharType="begin"/>
      </w:r>
      <w:r>
        <w:rPr>
          <w:color w:val="auto"/>
          <w:highlight w:val="none"/>
        </w:rPr>
        <w:instrText xml:space="preserve"> PAGEREF _Toc12493 \h </w:instrText>
      </w:r>
      <w:r>
        <w:rPr>
          <w:color w:val="auto"/>
          <w:highlight w:val="none"/>
        </w:rPr>
        <w:fldChar w:fldCharType="separate"/>
      </w:r>
      <w:r>
        <w:rPr>
          <w:color w:val="auto"/>
          <w:highlight w:val="none"/>
        </w:rPr>
        <w:t>94</w:t>
      </w:r>
      <w:r>
        <w:rPr>
          <w:color w:val="auto"/>
          <w:highlight w:val="none"/>
        </w:rPr>
        <w:fldChar w:fldCharType="end"/>
      </w:r>
      <w:r>
        <w:rPr>
          <w:rFonts w:hint="eastAsia" w:ascii="宋体" w:hAnsi="宋体" w:cs="宋体"/>
          <w:color w:val="auto"/>
          <w:szCs w:val="24"/>
          <w:highlight w:val="none"/>
        </w:rPr>
        <w:fldChar w:fldCharType="end"/>
      </w:r>
    </w:p>
    <w:p w14:paraId="6C6DC957">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_Toc6170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一    总则</w:t>
      </w:r>
      <w:r>
        <w:rPr>
          <w:color w:val="auto"/>
          <w:highlight w:val="none"/>
        </w:rPr>
        <w:tab/>
      </w:r>
      <w:r>
        <w:rPr>
          <w:color w:val="auto"/>
          <w:highlight w:val="none"/>
        </w:rPr>
        <w:fldChar w:fldCharType="begin"/>
      </w:r>
      <w:r>
        <w:rPr>
          <w:color w:val="auto"/>
          <w:highlight w:val="none"/>
        </w:rPr>
        <w:instrText xml:space="preserve"> PAGEREF _Toc6170 \h </w:instrText>
      </w:r>
      <w:r>
        <w:rPr>
          <w:color w:val="auto"/>
          <w:highlight w:val="none"/>
        </w:rPr>
        <w:fldChar w:fldCharType="separate"/>
      </w:r>
      <w:r>
        <w:rPr>
          <w:color w:val="auto"/>
          <w:highlight w:val="none"/>
        </w:rPr>
        <w:t>94</w:t>
      </w:r>
      <w:r>
        <w:rPr>
          <w:color w:val="auto"/>
          <w:highlight w:val="none"/>
        </w:rPr>
        <w:fldChar w:fldCharType="end"/>
      </w:r>
      <w:r>
        <w:rPr>
          <w:rFonts w:hint="eastAsia" w:ascii="宋体" w:hAnsi="宋体" w:cs="宋体"/>
          <w:color w:val="auto"/>
          <w:szCs w:val="24"/>
          <w:highlight w:val="none"/>
        </w:rPr>
        <w:fldChar w:fldCharType="end"/>
      </w:r>
    </w:p>
    <w:p w14:paraId="5C2FE40B">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_Toc2881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二    评标一般规定</w:t>
      </w:r>
      <w:r>
        <w:rPr>
          <w:color w:val="auto"/>
          <w:highlight w:val="none"/>
        </w:rPr>
        <w:tab/>
      </w:r>
      <w:r>
        <w:rPr>
          <w:color w:val="auto"/>
          <w:highlight w:val="none"/>
        </w:rPr>
        <w:fldChar w:fldCharType="begin"/>
      </w:r>
      <w:r>
        <w:rPr>
          <w:color w:val="auto"/>
          <w:highlight w:val="none"/>
        </w:rPr>
        <w:instrText xml:space="preserve"> PAGEREF _Toc2881 \h </w:instrText>
      </w:r>
      <w:r>
        <w:rPr>
          <w:color w:val="auto"/>
          <w:highlight w:val="none"/>
        </w:rPr>
        <w:fldChar w:fldCharType="separate"/>
      </w:r>
      <w:r>
        <w:rPr>
          <w:color w:val="auto"/>
          <w:highlight w:val="none"/>
        </w:rPr>
        <w:t>94</w:t>
      </w:r>
      <w:r>
        <w:rPr>
          <w:color w:val="auto"/>
          <w:highlight w:val="none"/>
        </w:rPr>
        <w:fldChar w:fldCharType="end"/>
      </w:r>
      <w:r>
        <w:rPr>
          <w:rFonts w:hint="eastAsia" w:ascii="宋体" w:hAnsi="宋体" w:cs="宋体"/>
          <w:color w:val="auto"/>
          <w:szCs w:val="24"/>
          <w:highlight w:val="none"/>
        </w:rPr>
        <w:fldChar w:fldCharType="end"/>
      </w:r>
    </w:p>
    <w:p w14:paraId="70AFC68A">
      <w:pPr>
        <w:pStyle w:val="20"/>
        <w:tabs>
          <w:tab w:val="right" w:leader="dot" w:pos="9070"/>
          <w:tab w:val="clear" w:pos="9060"/>
        </w:tabs>
        <w:rPr>
          <w:color w:val="auto"/>
          <w:highlight w:val="none"/>
        </w:rPr>
      </w:pP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_Toc4244 </w:instrText>
      </w:r>
      <w:r>
        <w:rPr>
          <w:rFonts w:hint="eastAsia" w:ascii="宋体" w:hAnsi="宋体" w:cs="宋体"/>
          <w:color w:val="auto"/>
          <w:szCs w:val="24"/>
          <w:highlight w:val="none"/>
        </w:rPr>
        <w:fldChar w:fldCharType="separate"/>
      </w:r>
      <w:r>
        <w:rPr>
          <w:rFonts w:hint="eastAsia" w:ascii="宋体" w:hAnsi="宋体" w:cs="宋体"/>
          <w:color w:val="auto"/>
          <w:szCs w:val="30"/>
          <w:highlight w:val="none"/>
        </w:rPr>
        <w:t>三    评标内容及标准</w:t>
      </w:r>
      <w:r>
        <w:rPr>
          <w:color w:val="auto"/>
          <w:highlight w:val="none"/>
        </w:rPr>
        <w:tab/>
      </w:r>
      <w:r>
        <w:rPr>
          <w:color w:val="auto"/>
          <w:highlight w:val="none"/>
        </w:rPr>
        <w:fldChar w:fldCharType="begin"/>
      </w:r>
      <w:r>
        <w:rPr>
          <w:color w:val="auto"/>
          <w:highlight w:val="none"/>
        </w:rPr>
        <w:instrText xml:space="preserve"> PAGEREF _Toc4244 \h </w:instrText>
      </w:r>
      <w:r>
        <w:rPr>
          <w:color w:val="auto"/>
          <w:highlight w:val="none"/>
        </w:rPr>
        <w:fldChar w:fldCharType="separate"/>
      </w:r>
      <w:r>
        <w:rPr>
          <w:color w:val="auto"/>
          <w:highlight w:val="none"/>
        </w:rPr>
        <w:t>95</w:t>
      </w:r>
      <w:r>
        <w:rPr>
          <w:color w:val="auto"/>
          <w:highlight w:val="none"/>
        </w:rPr>
        <w:fldChar w:fldCharType="end"/>
      </w:r>
      <w:r>
        <w:rPr>
          <w:rFonts w:hint="eastAsia" w:ascii="宋体" w:hAnsi="宋体" w:cs="宋体"/>
          <w:color w:val="auto"/>
          <w:szCs w:val="24"/>
          <w:highlight w:val="none"/>
        </w:rPr>
        <w:fldChar w:fldCharType="end"/>
      </w:r>
    </w:p>
    <w:p w14:paraId="37DE6203">
      <w:pPr>
        <w:spacing w:line="300" w:lineRule="exact"/>
        <w:rPr>
          <w:rFonts w:ascii="宋体" w:hAnsi="宋体" w:cs="宋体"/>
          <w:color w:val="auto"/>
          <w:highlight w:val="none"/>
        </w:rPr>
      </w:pPr>
      <w:r>
        <w:rPr>
          <w:rFonts w:hint="eastAsia" w:ascii="宋体" w:hAnsi="宋体" w:cs="宋体"/>
          <w:color w:val="auto"/>
          <w:szCs w:val="24"/>
          <w:highlight w:val="none"/>
        </w:rPr>
        <w:fldChar w:fldCharType="end"/>
      </w:r>
    </w:p>
    <w:bookmarkEnd w:id="16"/>
    <w:p w14:paraId="7F2FDC1B">
      <w:pPr>
        <w:pStyle w:val="6"/>
        <w:spacing w:before="0" w:after="0" w:line="400" w:lineRule="exact"/>
        <w:rPr>
          <w:rFonts w:ascii="宋体" w:hAnsi="宋体" w:eastAsia="宋体" w:cs="宋体"/>
          <w:color w:val="auto"/>
          <w:highlight w:val="none"/>
        </w:rPr>
        <w:sectPr>
          <w:headerReference r:id="rId9" w:type="default"/>
          <w:footerReference r:id="rId10" w:type="default"/>
          <w:pgSz w:w="11906" w:h="16838"/>
          <w:pgMar w:top="1418" w:right="1418" w:bottom="1418" w:left="1418"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379C05C7">
      <w:pPr>
        <w:pStyle w:val="23"/>
        <w:spacing w:before="0" w:after="0" w:line="360" w:lineRule="auto"/>
        <w:rPr>
          <w:rFonts w:ascii="宋体" w:hAnsi="宋体" w:cs="宋体"/>
          <w:color w:val="auto"/>
          <w:sz w:val="36"/>
          <w:szCs w:val="36"/>
          <w:highlight w:val="none"/>
        </w:rPr>
      </w:pPr>
      <w:bookmarkStart w:id="17" w:name="_Toc493956018"/>
      <w:bookmarkStart w:id="18" w:name="_Toc21809"/>
      <w:bookmarkStart w:id="19" w:name="_Toc531358959"/>
      <w:bookmarkStart w:id="20" w:name="_Toc8694"/>
      <w:bookmarkStart w:id="21" w:name="_Toc15688"/>
      <w:bookmarkStart w:id="22" w:name="_Toc31724"/>
      <w:bookmarkStart w:id="23" w:name="_Toc530551804"/>
      <w:bookmarkStart w:id="24" w:name="_Toc97212954"/>
      <w:bookmarkStart w:id="25" w:name="_Toc1527"/>
      <w:r>
        <w:rPr>
          <w:rFonts w:hint="eastAsia" w:ascii="宋体" w:hAnsi="宋体" w:cs="宋体"/>
          <w:color w:val="auto"/>
          <w:sz w:val="36"/>
          <w:szCs w:val="36"/>
          <w:highlight w:val="none"/>
        </w:rPr>
        <w:t xml:space="preserve">第一章  </w:t>
      </w:r>
      <w:bookmarkEnd w:id="17"/>
      <w:r>
        <w:rPr>
          <w:rFonts w:hint="eastAsia" w:ascii="宋体" w:hAnsi="宋体" w:cs="宋体"/>
          <w:color w:val="auto"/>
          <w:sz w:val="36"/>
          <w:szCs w:val="36"/>
          <w:highlight w:val="none"/>
        </w:rPr>
        <w:t>招标公告</w:t>
      </w:r>
      <w:bookmarkEnd w:id="18"/>
      <w:bookmarkEnd w:id="19"/>
      <w:bookmarkEnd w:id="20"/>
      <w:bookmarkEnd w:id="21"/>
      <w:bookmarkEnd w:id="22"/>
      <w:bookmarkEnd w:id="23"/>
      <w:bookmarkEnd w:id="24"/>
      <w:bookmarkEnd w:id="25"/>
    </w:p>
    <w:p w14:paraId="016B163D">
      <w:pPr>
        <w:pBdr>
          <w:top w:val="single" w:color="auto" w:sz="4" w:space="1"/>
          <w:left w:val="single" w:color="auto" w:sz="4" w:space="4"/>
          <w:bottom w:val="single" w:color="auto" w:sz="4" w:space="1"/>
          <w:right w:val="single" w:color="auto" w:sz="4" w:space="2"/>
        </w:pBdr>
        <w:wordWrap w:val="0"/>
        <w:spacing w:line="440" w:lineRule="exact"/>
        <w:rPr>
          <w:rFonts w:ascii="宋体" w:hAnsi="宋体" w:cs="宋体"/>
          <w:color w:val="auto"/>
          <w:sz w:val="24"/>
          <w:szCs w:val="24"/>
          <w:highlight w:val="none"/>
        </w:rPr>
      </w:pPr>
      <w:bookmarkStart w:id="26" w:name="_Toc35393621"/>
      <w:bookmarkStart w:id="27" w:name="_Toc28359002"/>
      <w:bookmarkStart w:id="28" w:name="_Toc35393790"/>
      <w:bookmarkStart w:id="29" w:name="_Toc28359079"/>
      <w:bookmarkStart w:id="30" w:name="_Hlk24379207"/>
      <w:bookmarkStart w:id="31" w:name="EBf1e27c6183244f4a8f3fc355defd653e"/>
      <w:r>
        <w:rPr>
          <w:rFonts w:hint="eastAsia" w:ascii="宋体" w:hAnsi="宋体" w:cs="宋体"/>
          <w:color w:val="auto"/>
          <w:sz w:val="24"/>
          <w:szCs w:val="24"/>
          <w:highlight w:val="none"/>
        </w:rPr>
        <w:t>项目概况：</w:t>
      </w:r>
    </w:p>
    <w:p w14:paraId="0A1F7DD5">
      <w:pPr>
        <w:pBdr>
          <w:top w:val="single" w:color="auto" w:sz="4" w:space="1"/>
          <w:left w:val="single" w:color="auto" w:sz="4" w:space="4"/>
          <w:bottom w:val="single" w:color="auto" w:sz="4" w:space="1"/>
          <w:right w:val="single" w:color="auto" w:sz="4" w:space="2"/>
        </w:pBdr>
        <w:wordWrap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u w:val="single"/>
          <w:lang w:eastAsia="zh-CN"/>
        </w:rPr>
        <w:t>丽水学院基础设施维修工程（一期）设备采购 </w:t>
      </w:r>
      <w:r>
        <w:rPr>
          <w:rFonts w:hint="eastAsia" w:ascii="宋体" w:hAnsi="宋体" w:cs="宋体"/>
          <w:color w:val="auto"/>
          <w:sz w:val="24"/>
          <w:szCs w:val="24"/>
          <w:highlight w:val="none"/>
        </w:rPr>
        <w:t xml:space="preserve"> 的潜在</w:t>
      </w:r>
      <w:r>
        <w:rPr>
          <w:rFonts w:hint="eastAsia" w:ascii="宋体" w:hAnsi="宋体" w:cs="宋体"/>
          <w:color w:val="auto"/>
          <w:sz w:val="24"/>
          <w:szCs w:val="24"/>
          <w:highlight w:val="none"/>
          <w:lang w:eastAsia="zh-CN"/>
        </w:rPr>
        <w:t>投标人</w:t>
      </w:r>
      <w:r>
        <w:rPr>
          <w:rFonts w:hint="eastAsia" w:ascii="宋体" w:hAnsi="宋体" w:cs="宋体"/>
          <w:color w:val="auto"/>
          <w:sz w:val="24"/>
          <w:szCs w:val="24"/>
          <w:highlight w:val="none"/>
        </w:rPr>
        <w:t>应在浙江政府采购网（</w:t>
      </w:r>
      <w:r>
        <w:rPr>
          <w:rStyle w:val="29"/>
          <w:rFonts w:hint="eastAsia" w:ascii="宋体" w:hAnsi="宋体" w:cs="宋体"/>
          <w:b/>
          <w:color w:val="auto"/>
          <w:sz w:val="24"/>
          <w:szCs w:val="24"/>
          <w:highlight w:val="none"/>
        </w:rPr>
        <w:t>zfcg.czt.zj.gov.cn</w:t>
      </w:r>
      <w:r>
        <w:rPr>
          <w:rFonts w:hint="eastAsia" w:ascii="宋体" w:hAnsi="宋体" w:cs="宋体"/>
          <w:color w:val="auto"/>
          <w:sz w:val="24"/>
          <w:szCs w:val="24"/>
          <w:highlight w:val="none"/>
        </w:rPr>
        <w:t>），丽水市公共资源交易网（</w:t>
      </w:r>
      <w:r>
        <w:rPr>
          <w:rStyle w:val="29"/>
          <w:rFonts w:hint="eastAsia" w:ascii="宋体" w:hAnsi="宋体" w:cs="宋体"/>
          <w:b/>
          <w:color w:val="auto"/>
          <w:sz w:val="24"/>
          <w:szCs w:val="24"/>
          <w:highlight w:val="none"/>
        </w:rPr>
        <w:t>lssggzy.lishui.gov.cn</w:t>
      </w:r>
      <w:r>
        <w:rPr>
          <w:rFonts w:hint="eastAsia" w:ascii="宋体" w:hAnsi="宋体" w:cs="宋体"/>
          <w:color w:val="auto"/>
          <w:sz w:val="24"/>
          <w:szCs w:val="24"/>
          <w:highlight w:val="none"/>
        </w:rPr>
        <w:t>）采购公告附件中自行获取采购文件，并于</w:t>
      </w:r>
      <w:r>
        <w:rPr>
          <w:rFonts w:hint="eastAsia" w:ascii="宋体" w:hAnsi="宋体" w:cs="宋体"/>
          <w:bCs/>
          <w:snapToGrid w:val="0"/>
          <w:color w:val="auto"/>
          <w:sz w:val="24"/>
          <w:szCs w:val="24"/>
          <w:highlight w:val="none"/>
          <w:u w:val="single"/>
          <w:lang w:eastAsia="zh-CN"/>
        </w:rPr>
        <w:t>2025</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u w:val="single"/>
          <w:lang w:val="en-US" w:eastAsia="zh-CN"/>
        </w:rPr>
        <w:t>07</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u w:val="single"/>
          <w:lang w:val="en-US" w:eastAsia="zh-CN"/>
        </w:rPr>
        <w:t>14</w:t>
      </w:r>
      <w:r>
        <w:rPr>
          <w:rFonts w:hint="eastAsia" w:ascii="宋体" w:hAnsi="宋体" w:cs="宋体"/>
          <w:bCs/>
          <w:color w:val="auto"/>
          <w:sz w:val="24"/>
          <w:szCs w:val="24"/>
          <w:highlight w:val="none"/>
        </w:rPr>
        <w:t>日</w:t>
      </w:r>
      <w:r>
        <w:rPr>
          <w:rFonts w:hint="eastAsia" w:ascii="宋体" w:hAnsi="宋体" w:cs="宋体"/>
          <w:bCs/>
          <w:color w:val="auto"/>
          <w:sz w:val="24"/>
          <w:szCs w:val="24"/>
          <w:highlight w:val="none"/>
          <w:u w:val="single"/>
          <w:lang w:val="en-US" w:eastAsia="zh-CN"/>
        </w:rPr>
        <w:t>09</w:t>
      </w:r>
      <w:r>
        <w:rPr>
          <w:rFonts w:hint="eastAsia" w:ascii="宋体" w:hAnsi="宋体" w:cs="宋体"/>
          <w:bCs/>
          <w:snapToGrid w:val="0"/>
          <w:color w:val="auto"/>
          <w:sz w:val="24"/>
          <w:szCs w:val="24"/>
          <w:highlight w:val="none"/>
          <w:u w:val="single"/>
        </w:rPr>
        <w:t>:</w:t>
      </w:r>
      <w:r>
        <w:rPr>
          <w:rFonts w:hint="eastAsia" w:ascii="宋体" w:hAnsi="宋体" w:cs="宋体"/>
          <w:bCs/>
          <w:snapToGrid w:val="0"/>
          <w:color w:val="auto"/>
          <w:sz w:val="24"/>
          <w:szCs w:val="24"/>
          <w:highlight w:val="none"/>
          <w:u w:val="single"/>
          <w:lang w:val="en-US" w:eastAsia="zh-CN"/>
        </w:rPr>
        <w:t>00</w:t>
      </w:r>
      <w:r>
        <w:rPr>
          <w:rFonts w:hint="eastAsia" w:ascii="宋体" w:hAnsi="宋体" w:cs="宋体"/>
          <w:bCs/>
          <w:color w:val="auto"/>
          <w:sz w:val="24"/>
          <w:szCs w:val="24"/>
          <w:highlight w:val="none"/>
        </w:rPr>
        <w:t>（北京时间）前提交（上传）响应文件。</w:t>
      </w:r>
    </w:p>
    <w:p w14:paraId="402A5D76">
      <w:pPr>
        <w:wordWrap w:val="0"/>
        <w:spacing w:line="440" w:lineRule="exact"/>
        <w:jc w:val="left"/>
        <w:rPr>
          <w:rFonts w:ascii="宋体" w:hAnsi="宋体" w:cs="宋体"/>
          <w:b/>
          <w:color w:val="auto"/>
          <w:sz w:val="24"/>
          <w:szCs w:val="24"/>
          <w:highlight w:val="none"/>
        </w:rPr>
      </w:pPr>
      <w:r>
        <w:rPr>
          <w:rFonts w:hint="eastAsia" w:ascii="宋体" w:hAnsi="宋体" w:cs="宋体"/>
          <w:b/>
          <w:color w:val="auto"/>
          <w:sz w:val="24"/>
          <w:szCs w:val="24"/>
          <w:highlight w:val="none"/>
        </w:rPr>
        <w:t>一、项目基本情况</w:t>
      </w:r>
      <w:bookmarkEnd w:id="26"/>
      <w:bookmarkEnd w:id="27"/>
      <w:bookmarkEnd w:id="28"/>
      <w:bookmarkEnd w:id="29"/>
    </w:p>
    <w:bookmarkEnd w:id="30"/>
    <w:p w14:paraId="1B8E0A42">
      <w:pPr>
        <w:wordWrap w:val="0"/>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项目编号：</w:t>
      </w:r>
      <w:r>
        <w:rPr>
          <w:rFonts w:hint="eastAsia" w:ascii="宋体" w:hAnsi="宋体" w:cs="宋体"/>
          <w:color w:val="auto"/>
          <w:sz w:val="24"/>
          <w:szCs w:val="24"/>
          <w:highlight w:val="none"/>
          <w:lang w:eastAsia="zh-CN"/>
        </w:rPr>
        <w:t>浙鼎峰招[2025]149号</w:t>
      </w:r>
    </w:p>
    <w:p w14:paraId="485D97B3">
      <w:pPr>
        <w:wordWrap w:val="0"/>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项目名称：</w:t>
      </w:r>
      <w:r>
        <w:rPr>
          <w:rFonts w:hint="eastAsia" w:ascii="宋体" w:hAnsi="宋体" w:cs="宋体"/>
          <w:color w:val="auto"/>
          <w:sz w:val="24"/>
          <w:szCs w:val="24"/>
          <w:highlight w:val="none"/>
          <w:lang w:eastAsia="zh-CN"/>
        </w:rPr>
        <w:t>丽水学院基础设施维修工程（一期）设备采购 </w:t>
      </w:r>
    </w:p>
    <w:p w14:paraId="5319081B">
      <w:pPr>
        <w:wordWrap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采购方式：公开招标</w:t>
      </w:r>
    </w:p>
    <w:p w14:paraId="6E5D1BC7">
      <w:pPr>
        <w:wordWrap w:val="0"/>
        <w:spacing w:line="440" w:lineRule="exact"/>
        <w:ind w:firstLine="482" w:firstLineChars="200"/>
        <w:rPr>
          <w:rFonts w:hint="default" w:ascii="宋体" w:hAnsi="宋体" w:cs="宋体"/>
          <w:color w:val="auto"/>
          <w:sz w:val="24"/>
          <w:szCs w:val="24"/>
          <w:highlight w:val="none"/>
          <w:lang w:val="en-US"/>
        </w:rPr>
      </w:pPr>
      <w:r>
        <w:rPr>
          <w:rFonts w:hint="eastAsia" w:ascii="宋体" w:hAnsi="宋体" w:cs="宋体"/>
          <w:b/>
          <w:color w:val="auto"/>
          <w:sz w:val="24"/>
          <w:szCs w:val="24"/>
          <w:highlight w:val="none"/>
        </w:rPr>
        <w:t>▲</w:t>
      </w:r>
      <w:r>
        <w:rPr>
          <w:rFonts w:hint="eastAsia" w:ascii="宋体" w:hAnsi="宋体" w:cs="宋体"/>
          <w:color w:val="auto"/>
          <w:sz w:val="24"/>
          <w:szCs w:val="24"/>
          <w:highlight w:val="none"/>
        </w:rPr>
        <w:t>预算金额（元）：</w:t>
      </w:r>
      <w:r>
        <w:rPr>
          <w:rFonts w:hint="eastAsia" w:ascii="宋体" w:hAnsi="宋体" w:cs="宋体"/>
          <w:color w:val="auto"/>
          <w:sz w:val="24"/>
          <w:szCs w:val="24"/>
          <w:highlight w:val="none"/>
          <w:lang w:val="en-US" w:eastAsia="zh-CN"/>
        </w:rPr>
        <w:t>1773700</w:t>
      </w:r>
      <w:r>
        <w:rPr>
          <w:rFonts w:hint="eastAsia" w:ascii="宋体" w:hAnsi="宋体" w:cs="宋体"/>
          <w:color w:val="auto"/>
          <w:sz w:val="24"/>
          <w:szCs w:val="24"/>
          <w:highlight w:val="none"/>
        </w:rPr>
        <w:t>元</w:t>
      </w:r>
    </w:p>
    <w:p w14:paraId="78D844E3">
      <w:pPr>
        <w:wordWrap w:val="0"/>
        <w:spacing w:line="440" w:lineRule="exact"/>
        <w:ind w:firstLine="482" w:firstLineChars="200"/>
        <w:rPr>
          <w:rFonts w:hint="default" w:ascii="宋体" w:hAnsi="宋体" w:cs="宋体"/>
          <w:color w:val="auto"/>
          <w:sz w:val="24"/>
          <w:szCs w:val="24"/>
          <w:highlight w:val="none"/>
          <w:lang w:val="en-US"/>
        </w:rPr>
      </w:pPr>
      <w:r>
        <w:rPr>
          <w:rFonts w:hint="eastAsia" w:ascii="宋体" w:hAnsi="宋体" w:cs="宋体"/>
          <w:b/>
          <w:color w:val="auto"/>
          <w:sz w:val="24"/>
          <w:szCs w:val="24"/>
          <w:highlight w:val="none"/>
        </w:rPr>
        <w:t>▲</w:t>
      </w:r>
      <w:r>
        <w:rPr>
          <w:rFonts w:hint="eastAsia" w:ascii="宋体" w:hAnsi="宋体" w:cs="宋体"/>
          <w:color w:val="auto"/>
          <w:sz w:val="24"/>
          <w:szCs w:val="24"/>
          <w:highlight w:val="none"/>
        </w:rPr>
        <w:t>最高限价（元）：</w:t>
      </w:r>
      <w:r>
        <w:rPr>
          <w:rFonts w:hint="eastAsia" w:ascii="宋体" w:hAnsi="宋体" w:cs="宋体"/>
          <w:color w:val="auto"/>
          <w:sz w:val="24"/>
          <w:szCs w:val="24"/>
          <w:highlight w:val="none"/>
          <w:lang w:val="en-US" w:eastAsia="zh-CN"/>
        </w:rPr>
        <w:t>1773700</w:t>
      </w:r>
      <w:r>
        <w:rPr>
          <w:rFonts w:hint="eastAsia" w:ascii="宋体" w:hAnsi="宋体" w:cs="宋体"/>
          <w:color w:val="auto"/>
          <w:sz w:val="24"/>
          <w:szCs w:val="24"/>
          <w:highlight w:val="none"/>
        </w:rPr>
        <w:t>元</w:t>
      </w:r>
    </w:p>
    <w:p w14:paraId="1E4BC656">
      <w:pPr>
        <w:wordWrap w:val="0"/>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采购需求：见招标文件第二章</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简要规格描述或项目基本概况介绍、用途：见招标文件第二章</w:t>
      </w:r>
    </w:p>
    <w:p w14:paraId="052CCFDA">
      <w:pPr>
        <w:wordWrap w:val="0"/>
        <w:spacing w:line="440" w:lineRule="exact"/>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备注：</w:t>
      </w:r>
      <w:r>
        <w:rPr>
          <w:rFonts w:hint="eastAsia" w:ascii="宋体" w:hAnsi="宋体" w:cs="宋体"/>
          <w:color w:val="auto"/>
          <w:sz w:val="24"/>
          <w:szCs w:val="24"/>
          <w:highlight w:val="none"/>
          <w:lang w:val="en-US" w:eastAsia="zh-CN"/>
        </w:rPr>
        <w:t>无</w:t>
      </w:r>
    </w:p>
    <w:p w14:paraId="706D2D9E">
      <w:pPr>
        <w:wordWrap w:val="0"/>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合同履行期限：见需求</w:t>
      </w:r>
    </w:p>
    <w:p w14:paraId="7F599938">
      <w:pPr>
        <w:wordWrap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w:t>
      </w:r>
      <w:r>
        <w:rPr>
          <w:rFonts w:hint="eastAsia" w:ascii="宋体" w:hAnsi="宋体" w:cs="宋体"/>
          <w:color w:val="auto"/>
          <w:sz w:val="24"/>
          <w:szCs w:val="24"/>
          <w:highlight w:val="none"/>
        </w:rPr>
        <w:sym w:font="Wingdings" w:char="00A8"/>
      </w:r>
      <w:r>
        <w:rPr>
          <w:rFonts w:hint="eastAsia" w:ascii="宋体" w:hAnsi="宋体" w:cs="宋体"/>
          <w:color w:val="auto"/>
          <w:sz w:val="24"/>
          <w:szCs w:val="24"/>
          <w:highlight w:val="none"/>
        </w:rPr>
        <w:t xml:space="preserve">是  </w:t>
      </w:r>
      <w:r>
        <w:rPr>
          <w:rFonts w:hint="eastAsia" w:ascii="宋体" w:hAnsi="宋体" w:cs="宋体"/>
          <w:color w:val="auto"/>
          <w:sz w:val="24"/>
          <w:szCs w:val="24"/>
          <w:highlight w:val="none"/>
        </w:rPr>
        <w:sym w:font="Wingdings" w:char="00FE"/>
      </w:r>
      <w:r>
        <w:rPr>
          <w:rFonts w:hint="eastAsia" w:ascii="宋体" w:hAnsi="宋体" w:cs="宋体"/>
          <w:color w:val="auto"/>
          <w:sz w:val="24"/>
          <w:szCs w:val="24"/>
          <w:highlight w:val="none"/>
        </w:rPr>
        <w:t>否 接受联合体投标。</w:t>
      </w:r>
    </w:p>
    <w:p w14:paraId="284B6F84">
      <w:pPr>
        <w:wordWrap w:val="0"/>
        <w:spacing w:line="360" w:lineRule="auto"/>
        <w:jc w:val="left"/>
        <w:rPr>
          <w:rFonts w:ascii="宋体" w:hAnsi="宋体" w:cs="宋体"/>
          <w:b/>
          <w:color w:val="auto"/>
          <w:sz w:val="24"/>
          <w:szCs w:val="24"/>
          <w:highlight w:val="none"/>
        </w:rPr>
      </w:pPr>
      <w:bookmarkStart w:id="32" w:name="_Toc35393622"/>
      <w:bookmarkStart w:id="33" w:name="_Toc28359080"/>
      <w:bookmarkStart w:id="34" w:name="_Toc35393791"/>
      <w:bookmarkStart w:id="35" w:name="_Toc28359003"/>
      <w:r>
        <w:rPr>
          <w:rFonts w:hint="eastAsia" w:ascii="宋体" w:hAnsi="宋体" w:cs="宋体"/>
          <w:b/>
          <w:color w:val="auto"/>
          <w:sz w:val="24"/>
          <w:szCs w:val="24"/>
          <w:highlight w:val="none"/>
        </w:rPr>
        <w:t>二、申请人的资格要求</w:t>
      </w:r>
      <w:bookmarkEnd w:id="32"/>
      <w:bookmarkEnd w:id="33"/>
      <w:bookmarkEnd w:id="34"/>
      <w:bookmarkEnd w:id="35"/>
    </w:p>
    <w:p w14:paraId="7DD85F51">
      <w:pPr>
        <w:wordWrap w:val="0"/>
        <w:spacing w:line="360" w:lineRule="auto"/>
        <w:ind w:firstLine="480" w:firstLineChars="200"/>
        <w:rPr>
          <w:rFonts w:ascii="宋体" w:hAnsi="宋体" w:cs="宋体"/>
          <w:color w:val="auto"/>
          <w:sz w:val="24"/>
          <w:szCs w:val="24"/>
          <w:highlight w:val="none"/>
        </w:rPr>
      </w:pPr>
      <w:bookmarkStart w:id="36" w:name="_Toc35393792"/>
      <w:bookmarkStart w:id="37" w:name="_Toc28359004"/>
      <w:bookmarkStart w:id="38" w:name="_Toc35393623"/>
      <w:bookmarkStart w:id="39" w:name="_Toc28359081"/>
      <w:r>
        <w:rPr>
          <w:rFonts w:hint="eastAsia" w:ascii="宋体" w:hAnsi="宋体" w:cs="宋体"/>
          <w:color w:val="auto"/>
          <w:sz w:val="24"/>
          <w:szCs w:val="24"/>
          <w:highlight w:val="none"/>
        </w:rPr>
        <w:t>1. 满足《中华人民共和国政府采购法》第二十二条规定；未被“信用中国”网站（</w:t>
      </w:r>
      <w:r>
        <w:rPr>
          <w:rFonts w:hint="eastAsia" w:ascii="宋体" w:hAnsi="宋体" w:cs="宋体"/>
          <w:b/>
          <w:color w:val="auto"/>
          <w:sz w:val="24"/>
          <w:szCs w:val="24"/>
          <w:highlight w:val="none"/>
          <w:u w:val="single"/>
        </w:rPr>
        <w:t>www.creditchina.gov.cn</w:t>
      </w:r>
      <w:r>
        <w:rPr>
          <w:rFonts w:hint="eastAsia" w:ascii="宋体" w:hAnsi="宋体" w:cs="宋体"/>
          <w:color w:val="auto"/>
          <w:sz w:val="24"/>
          <w:szCs w:val="24"/>
          <w:highlight w:val="none"/>
        </w:rPr>
        <w:t>）、中国政府采购网（</w:t>
      </w:r>
      <w:r>
        <w:rPr>
          <w:rFonts w:hint="eastAsia" w:ascii="宋体" w:hAnsi="宋体" w:cs="宋体"/>
          <w:b/>
          <w:color w:val="auto"/>
          <w:sz w:val="24"/>
          <w:szCs w:val="24"/>
          <w:highlight w:val="none"/>
          <w:u w:val="single"/>
        </w:rPr>
        <w:t>www.ccgp.gov.cn</w:t>
      </w:r>
      <w:r>
        <w:rPr>
          <w:rFonts w:hint="eastAsia" w:ascii="宋体" w:hAnsi="宋体" w:cs="宋体"/>
          <w:color w:val="auto"/>
          <w:sz w:val="24"/>
          <w:szCs w:val="24"/>
          <w:highlight w:val="none"/>
        </w:rPr>
        <w:t>）列入失信被执行人、重大税收违法当事人名单、政府采购严重违法失信行为记录名单；</w:t>
      </w:r>
    </w:p>
    <w:p w14:paraId="579A4C9D">
      <w:pPr>
        <w:tabs>
          <w:tab w:val="left" w:pos="208"/>
        </w:tabs>
        <w:wordWrap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 落实政府采购政策需满足的资格要求：</w:t>
      </w:r>
    </w:p>
    <w:p w14:paraId="65FF3F63">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sym w:font="Wingdings" w:char="00A8"/>
      </w:r>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42D0E14F">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sym w:font="Wingdings" w:char="00FE"/>
      </w:r>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111FAE11">
      <w:pPr>
        <w:numPr>
          <w:ilvl w:val="0"/>
          <w:numId w:val="1"/>
        </w:numPr>
        <w:wordWrap w:val="0"/>
        <w:spacing w:line="360" w:lineRule="auto"/>
        <w:ind w:firstLine="480" w:firstLineChars="200"/>
        <w:rPr>
          <w:rFonts w:ascii="宋体" w:hAnsi="宋体" w:cs="宋体"/>
          <w:bCs/>
          <w:snapToGrid w:val="0"/>
          <w:color w:val="auto"/>
          <w:sz w:val="24"/>
          <w:szCs w:val="24"/>
          <w:highlight w:val="none"/>
        </w:rPr>
      </w:pPr>
      <w:r>
        <w:rPr>
          <w:rFonts w:hint="eastAsia" w:ascii="宋体" w:hAnsi="宋体" w:cs="宋体"/>
          <w:color w:val="auto"/>
          <w:sz w:val="24"/>
          <w:szCs w:val="24"/>
          <w:highlight w:val="none"/>
        </w:rPr>
        <w:t>本项目的特定资格要求：</w:t>
      </w:r>
      <w:r>
        <w:rPr>
          <w:rFonts w:hint="eastAsia" w:ascii="宋体" w:hAnsi="宋体" w:cs="宋体"/>
          <w:bCs/>
          <w:snapToGrid w:val="0"/>
          <w:color w:val="auto"/>
          <w:sz w:val="24"/>
          <w:szCs w:val="24"/>
          <w:highlight w:val="none"/>
        </w:rPr>
        <w:t>无</w:t>
      </w:r>
    </w:p>
    <w:bookmarkEnd w:id="36"/>
    <w:bookmarkEnd w:id="37"/>
    <w:bookmarkEnd w:id="38"/>
    <w:bookmarkEnd w:id="39"/>
    <w:p w14:paraId="62EF304C">
      <w:pPr>
        <w:wordWrap w:val="0"/>
        <w:spacing w:line="440" w:lineRule="exact"/>
        <w:jc w:val="left"/>
        <w:rPr>
          <w:rFonts w:ascii="宋体" w:hAnsi="宋体" w:cs="宋体"/>
          <w:b/>
          <w:color w:val="auto"/>
          <w:sz w:val="24"/>
          <w:szCs w:val="24"/>
          <w:highlight w:val="none"/>
        </w:rPr>
      </w:pPr>
      <w:r>
        <w:rPr>
          <w:rFonts w:hint="eastAsia" w:ascii="宋体" w:hAnsi="宋体" w:cs="宋体"/>
          <w:b/>
          <w:color w:val="auto"/>
          <w:sz w:val="24"/>
          <w:szCs w:val="24"/>
          <w:highlight w:val="none"/>
        </w:rPr>
        <w:t>三、获取招标文件</w:t>
      </w:r>
    </w:p>
    <w:p w14:paraId="58504C5F">
      <w:pPr>
        <w:wordWrap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时间：/至</w:t>
      </w:r>
      <w:r>
        <w:rPr>
          <w:rFonts w:hint="eastAsia" w:ascii="宋体" w:hAnsi="宋体" w:cs="宋体"/>
          <w:bCs/>
          <w:snapToGrid w:val="0"/>
          <w:color w:val="auto"/>
          <w:sz w:val="24"/>
          <w:szCs w:val="24"/>
          <w:highlight w:val="none"/>
          <w:u w:val="single"/>
          <w:lang w:eastAsia="zh-CN"/>
        </w:rPr>
        <w:t>2025</w:t>
      </w:r>
      <w:r>
        <w:rPr>
          <w:rFonts w:hint="eastAsia" w:ascii="宋体" w:hAnsi="宋体" w:cs="宋体"/>
          <w:bCs/>
          <w:color w:val="auto"/>
          <w:sz w:val="24"/>
          <w:szCs w:val="24"/>
          <w:highlight w:val="none"/>
        </w:rPr>
        <w:t>年</w:t>
      </w:r>
      <w:r>
        <w:rPr>
          <w:rFonts w:hint="eastAsia" w:ascii="宋体" w:hAnsi="宋体" w:cs="宋体"/>
          <w:bCs/>
          <w:snapToGrid w:val="0"/>
          <w:color w:val="auto"/>
          <w:sz w:val="24"/>
          <w:szCs w:val="24"/>
          <w:highlight w:val="none"/>
          <w:u w:val="single"/>
          <w:lang w:val="en-US" w:eastAsia="zh-CN"/>
        </w:rPr>
        <w:t>07</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u w:val="single"/>
          <w:lang w:val="en-US" w:eastAsia="zh-CN"/>
        </w:rPr>
        <w:t>14</w:t>
      </w:r>
      <w:r>
        <w:rPr>
          <w:rFonts w:hint="eastAsia" w:ascii="宋体" w:hAnsi="宋体" w:cs="宋体"/>
          <w:bCs/>
          <w:color w:val="auto"/>
          <w:sz w:val="24"/>
          <w:szCs w:val="24"/>
          <w:highlight w:val="none"/>
        </w:rPr>
        <w:t>日</w:t>
      </w:r>
      <w:r>
        <w:rPr>
          <w:rFonts w:hint="eastAsia" w:ascii="宋体" w:hAnsi="宋体" w:cs="宋体"/>
          <w:bCs/>
          <w:color w:val="auto"/>
          <w:sz w:val="24"/>
          <w:szCs w:val="24"/>
          <w:highlight w:val="none"/>
          <w:lang w:val="en-US" w:eastAsia="zh-CN"/>
        </w:rPr>
        <w:t>投标截止时间止</w:t>
      </w:r>
      <w:r>
        <w:rPr>
          <w:rFonts w:hint="eastAsia" w:ascii="宋体" w:hAnsi="宋体" w:cs="宋体"/>
          <w:color w:val="auto"/>
          <w:sz w:val="24"/>
          <w:szCs w:val="24"/>
          <w:highlight w:val="none"/>
        </w:rPr>
        <w:t>，每天上午</w:t>
      </w:r>
      <w:r>
        <w:rPr>
          <w:rFonts w:hint="eastAsia" w:ascii="宋体" w:hAnsi="宋体" w:cs="宋体"/>
          <w:bCs/>
          <w:snapToGrid w:val="0"/>
          <w:color w:val="auto"/>
          <w:sz w:val="24"/>
          <w:szCs w:val="24"/>
          <w:highlight w:val="none"/>
        </w:rPr>
        <w:t>00:00至12:00</w:t>
      </w:r>
      <w:r>
        <w:rPr>
          <w:rFonts w:hint="eastAsia" w:ascii="宋体" w:hAnsi="宋体" w:cs="宋体"/>
          <w:color w:val="auto"/>
          <w:sz w:val="24"/>
          <w:szCs w:val="24"/>
          <w:highlight w:val="none"/>
        </w:rPr>
        <w:t>，下午</w:t>
      </w:r>
      <w:r>
        <w:rPr>
          <w:rFonts w:hint="eastAsia" w:ascii="宋体" w:hAnsi="宋体" w:cs="宋体"/>
          <w:bCs/>
          <w:snapToGrid w:val="0"/>
          <w:color w:val="auto"/>
          <w:sz w:val="24"/>
          <w:szCs w:val="24"/>
          <w:highlight w:val="none"/>
        </w:rPr>
        <w:t>12:00至23:59（</w:t>
      </w:r>
      <w:r>
        <w:rPr>
          <w:rFonts w:hint="eastAsia" w:ascii="宋体" w:hAnsi="宋体" w:cs="宋体"/>
          <w:color w:val="auto"/>
          <w:sz w:val="24"/>
          <w:szCs w:val="24"/>
          <w:highlight w:val="none"/>
        </w:rPr>
        <w:t>北京时间，线上获取法定节假日均可，线下获取文件法定节假日除外）</w:t>
      </w:r>
    </w:p>
    <w:p w14:paraId="43408D08">
      <w:pPr>
        <w:wordWrap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地点（网址）：浙江政府采购网（</w:t>
      </w:r>
      <w:r>
        <w:rPr>
          <w:rFonts w:hint="eastAsia" w:ascii="宋体" w:hAnsi="宋体" w:cs="宋体"/>
          <w:color w:val="auto"/>
          <w:sz w:val="24"/>
          <w:highlight w:val="none"/>
        </w:rPr>
        <w:t>zfcg.czt.zj.gov.cn</w:t>
      </w:r>
      <w:r>
        <w:rPr>
          <w:rFonts w:hint="eastAsia" w:ascii="宋体" w:hAnsi="宋体" w:cs="宋体"/>
          <w:color w:val="auto"/>
          <w:sz w:val="24"/>
          <w:szCs w:val="24"/>
          <w:highlight w:val="none"/>
        </w:rPr>
        <w:t>）公告附件</w:t>
      </w:r>
    </w:p>
    <w:p w14:paraId="1EF67393">
      <w:pPr>
        <w:wordWrap w:val="0"/>
        <w:spacing w:line="440" w:lineRule="exact"/>
        <w:ind w:firstLine="480" w:firstLineChars="200"/>
        <w:rPr>
          <w:rFonts w:ascii="宋体" w:hAnsi="宋体" w:cs="宋体"/>
          <w:bCs/>
          <w:strike/>
          <w:snapToGrid w:val="0"/>
          <w:color w:val="auto"/>
          <w:sz w:val="24"/>
          <w:szCs w:val="24"/>
          <w:highlight w:val="none"/>
        </w:rPr>
      </w:pPr>
      <w:r>
        <w:rPr>
          <w:rFonts w:hint="eastAsia" w:ascii="宋体" w:hAnsi="宋体" w:cs="宋体"/>
          <w:color w:val="auto"/>
          <w:sz w:val="24"/>
          <w:szCs w:val="24"/>
          <w:highlight w:val="none"/>
        </w:rPr>
        <w:t>方式：</w:t>
      </w:r>
      <w:r>
        <w:rPr>
          <w:rFonts w:hint="eastAsia" w:ascii="宋体" w:hAnsi="宋体" w:cs="宋体"/>
          <w:color w:val="auto"/>
          <w:sz w:val="24"/>
          <w:szCs w:val="24"/>
          <w:highlight w:val="none"/>
          <w:lang w:eastAsia="zh-CN"/>
        </w:rPr>
        <w:t>投标人</w:t>
      </w:r>
      <w:r>
        <w:rPr>
          <w:rFonts w:hint="eastAsia" w:ascii="宋体" w:hAnsi="宋体" w:cs="宋体"/>
          <w:color w:val="auto"/>
          <w:sz w:val="24"/>
          <w:szCs w:val="24"/>
          <w:highlight w:val="none"/>
        </w:rPr>
        <w:t>登录政采云平台https://www.zcygov.cn/在线申请获取采购文件（进入“项目采购”应用，在获取采购文件菜单中选择项目，申请获取采购文件）</w:t>
      </w:r>
    </w:p>
    <w:p w14:paraId="21589380">
      <w:pPr>
        <w:wordWrap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售价（元）：0元</w:t>
      </w:r>
    </w:p>
    <w:p w14:paraId="6CDB3677">
      <w:pPr>
        <w:wordWrap w:val="0"/>
        <w:spacing w:line="440" w:lineRule="exact"/>
        <w:rPr>
          <w:rFonts w:ascii="宋体" w:hAnsi="宋体" w:cs="宋体"/>
          <w:b/>
          <w:color w:val="auto"/>
          <w:sz w:val="24"/>
          <w:szCs w:val="24"/>
          <w:highlight w:val="none"/>
        </w:rPr>
      </w:pPr>
      <w:bookmarkStart w:id="40" w:name="_Toc28359007"/>
      <w:bookmarkStart w:id="41" w:name="_Toc35393625"/>
      <w:bookmarkStart w:id="42" w:name="_Toc35393794"/>
      <w:bookmarkStart w:id="43" w:name="_Toc28359084"/>
      <w:r>
        <w:rPr>
          <w:rFonts w:hint="eastAsia" w:ascii="宋体" w:hAnsi="宋体" w:cs="宋体"/>
          <w:b/>
          <w:color w:val="auto"/>
          <w:sz w:val="24"/>
          <w:szCs w:val="24"/>
          <w:highlight w:val="none"/>
        </w:rPr>
        <w:t>四、提交投标文件截止时间、开标时间和地点</w:t>
      </w:r>
    </w:p>
    <w:p w14:paraId="27FFCBCA">
      <w:pPr>
        <w:wordWrap w:val="0"/>
        <w:spacing w:line="440" w:lineRule="exact"/>
        <w:ind w:firstLine="480" w:firstLineChars="200"/>
        <w:rPr>
          <w:rFonts w:ascii="宋体" w:hAnsi="宋体" w:cs="宋体"/>
          <w:bCs/>
          <w:color w:val="auto"/>
          <w:sz w:val="24"/>
          <w:szCs w:val="24"/>
          <w:highlight w:val="none"/>
          <w:u w:val="single"/>
        </w:rPr>
      </w:pPr>
      <w:r>
        <w:rPr>
          <w:rFonts w:hint="eastAsia" w:ascii="宋体" w:hAnsi="宋体" w:cs="宋体"/>
          <w:bCs/>
          <w:color w:val="auto"/>
          <w:sz w:val="24"/>
          <w:szCs w:val="24"/>
          <w:highlight w:val="none"/>
        </w:rPr>
        <w:t>1.提交投标文件截止时间：</w:t>
      </w:r>
      <w:r>
        <w:rPr>
          <w:rFonts w:hint="eastAsia" w:ascii="宋体" w:hAnsi="宋体" w:cs="宋体"/>
          <w:b/>
          <w:bCs w:val="0"/>
          <w:snapToGrid w:val="0"/>
          <w:color w:val="auto"/>
          <w:sz w:val="24"/>
          <w:szCs w:val="24"/>
          <w:highlight w:val="none"/>
          <w:u w:val="single"/>
          <w:lang w:eastAsia="zh-CN"/>
        </w:rPr>
        <w:t>2025</w:t>
      </w:r>
      <w:r>
        <w:rPr>
          <w:rFonts w:hint="eastAsia" w:ascii="宋体" w:hAnsi="宋体" w:cs="宋体"/>
          <w:b/>
          <w:bCs w:val="0"/>
          <w:color w:val="auto"/>
          <w:sz w:val="24"/>
          <w:szCs w:val="24"/>
          <w:highlight w:val="none"/>
          <w:u w:val="single"/>
        </w:rPr>
        <w:t>年</w:t>
      </w:r>
      <w:r>
        <w:rPr>
          <w:rFonts w:hint="eastAsia" w:ascii="宋体" w:hAnsi="宋体" w:cs="宋体"/>
          <w:b/>
          <w:bCs w:val="0"/>
          <w:color w:val="auto"/>
          <w:sz w:val="24"/>
          <w:szCs w:val="24"/>
          <w:highlight w:val="none"/>
          <w:u w:val="single"/>
          <w:lang w:val="en-US" w:eastAsia="zh-CN"/>
        </w:rPr>
        <w:t>07</w:t>
      </w:r>
      <w:r>
        <w:rPr>
          <w:rFonts w:hint="eastAsia" w:ascii="宋体" w:hAnsi="宋体" w:cs="宋体"/>
          <w:b/>
          <w:bCs w:val="0"/>
          <w:color w:val="auto"/>
          <w:sz w:val="24"/>
          <w:szCs w:val="24"/>
          <w:highlight w:val="none"/>
          <w:u w:val="single"/>
        </w:rPr>
        <w:t>月</w:t>
      </w:r>
      <w:r>
        <w:rPr>
          <w:rFonts w:hint="eastAsia" w:ascii="宋体" w:hAnsi="宋体" w:cs="宋体"/>
          <w:b/>
          <w:bCs w:val="0"/>
          <w:color w:val="auto"/>
          <w:sz w:val="24"/>
          <w:szCs w:val="24"/>
          <w:highlight w:val="none"/>
          <w:u w:val="single"/>
          <w:lang w:val="en-US" w:eastAsia="zh-CN"/>
        </w:rPr>
        <w:t>14</w:t>
      </w:r>
      <w:r>
        <w:rPr>
          <w:rFonts w:hint="eastAsia" w:ascii="宋体" w:hAnsi="宋体" w:cs="宋体"/>
          <w:b/>
          <w:bCs w:val="0"/>
          <w:color w:val="auto"/>
          <w:sz w:val="24"/>
          <w:szCs w:val="24"/>
          <w:highlight w:val="none"/>
          <w:u w:val="single"/>
        </w:rPr>
        <w:t>日</w:t>
      </w:r>
      <w:r>
        <w:rPr>
          <w:rFonts w:hint="eastAsia" w:ascii="宋体" w:hAnsi="宋体" w:cs="宋体"/>
          <w:b/>
          <w:bCs w:val="0"/>
          <w:color w:val="auto"/>
          <w:sz w:val="24"/>
          <w:szCs w:val="24"/>
          <w:highlight w:val="none"/>
          <w:u w:val="single"/>
          <w:lang w:val="en-US" w:eastAsia="zh-CN"/>
        </w:rPr>
        <w:t>09</w:t>
      </w:r>
      <w:r>
        <w:rPr>
          <w:rFonts w:hint="eastAsia" w:ascii="宋体" w:hAnsi="宋体" w:cs="宋体"/>
          <w:b/>
          <w:bCs w:val="0"/>
          <w:color w:val="auto"/>
          <w:sz w:val="24"/>
          <w:szCs w:val="24"/>
          <w:highlight w:val="none"/>
          <w:u w:val="single"/>
        </w:rPr>
        <w:t>:</w:t>
      </w:r>
      <w:r>
        <w:rPr>
          <w:rFonts w:hint="eastAsia" w:ascii="宋体" w:hAnsi="宋体" w:cs="宋体"/>
          <w:b/>
          <w:bCs w:val="0"/>
          <w:color w:val="auto"/>
          <w:sz w:val="24"/>
          <w:szCs w:val="24"/>
          <w:highlight w:val="none"/>
          <w:u w:val="single"/>
          <w:lang w:val="en-US" w:eastAsia="zh-CN"/>
        </w:rPr>
        <w:t xml:space="preserve"> 00</w:t>
      </w:r>
      <w:r>
        <w:rPr>
          <w:rFonts w:hint="eastAsia" w:ascii="宋体" w:hAnsi="宋体" w:cs="宋体"/>
          <w:b/>
          <w:bCs w:val="0"/>
          <w:color w:val="auto"/>
          <w:sz w:val="24"/>
          <w:szCs w:val="24"/>
          <w:highlight w:val="none"/>
          <w:u w:val="single"/>
        </w:rPr>
        <w:t>（北京时间）</w:t>
      </w:r>
    </w:p>
    <w:p w14:paraId="484B568D">
      <w:pPr>
        <w:wordWrap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投标地点（网址）：</w:t>
      </w:r>
    </w:p>
    <w:p w14:paraId="10F327AC">
      <w:pPr>
        <w:wordWrap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1 \* GB2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⑴</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电子加密投标文件：在“政采云平台”上传提交，“电子加密投标文件”成功上传提交后，投标人自行打印投标文件接收回执；</w:t>
      </w:r>
    </w:p>
    <w:p w14:paraId="618C1D90">
      <w:pPr>
        <w:wordWrap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 2 \* GB2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⑵</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备份投标文件：</w:t>
      </w:r>
    </w:p>
    <w:p w14:paraId="6B0FFA43">
      <w:pPr>
        <w:wordWrap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2.投标人自行确定是否提交；备份投标文件采用数据电文形式，并在本项目提交投标文件截止时间前，通过电子邮箱形式发送至</w:t>
      </w:r>
      <w:r>
        <w:rPr>
          <w:rFonts w:hint="eastAsia" w:ascii="宋体" w:hAnsi="宋体" w:cs="宋体"/>
          <w:b/>
          <w:bCs/>
          <w:color w:val="auto"/>
          <w:sz w:val="24"/>
          <w:szCs w:val="24"/>
          <w:highlight w:val="none"/>
          <w:u w:val="single"/>
        </w:rPr>
        <w:t>1778</w:t>
      </w:r>
      <w:r>
        <w:rPr>
          <w:rFonts w:hint="eastAsia" w:ascii="宋体" w:hAnsi="宋体" w:cs="宋体"/>
          <w:b/>
          <w:bCs/>
          <w:color w:val="auto"/>
          <w:sz w:val="24"/>
          <w:szCs w:val="24"/>
          <w:highlight w:val="none"/>
          <w:u w:val="single"/>
          <w:lang w:val="en-US" w:eastAsia="zh-CN"/>
        </w:rPr>
        <w:t>3</w:t>
      </w:r>
      <w:r>
        <w:rPr>
          <w:rFonts w:hint="eastAsia" w:ascii="宋体" w:hAnsi="宋体" w:cs="宋体"/>
          <w:b/>
          <w:bCs/>
          <w:color w:val="auto"/>
          <w:sz w:val="24"/>
          <w:szCs w:val="24"/>
          <w:highlight w:val="none"/>
          <w:u w:val="single"/>
        </w:rPr>
        <w:t>29860@qq.com</w:t>
      </w:r>
      <w:r>
        <w:rPr>
          <w:rFonts w:hint="eastAsia" w:ascii="宋体" w:hAnsi="宋体" w:cs="宋体"/>
          <w:color w:val="auto"/>
          <w:sz w:val="24"/>
          <w:szCs w:val="24"/>
          <w:highlight w:val="none"/>
        </w:rPr>
        <w:t>备份投标文件在“电子加密投标文件”在线解密失败后启用，否则不予以启用。</w:t>
      </w:r>
    </w:p>
    <w:p w14:paraId="279BDCEC">
      <w:pPr>
        <w:wordWrap w:val="0"/>
        <w:spacing w:line="440" w:lineRule="exact"/>
        <w:ind w:firstLine="480" w:firstLineChars="200"/>
        <w:rPr>
          <w:rFonts w:ascii="宋体" w:hAnsi="宋体" w:cs="宋体"/>
          <w:bCs/>
          <w:color w:val="auto"/>
          <w:sz w:val="24"/>
          <w:szCs w:val="24"/>
          <w:highlight w:val="none"/>
        </w:rPr>
      </w:pPr>
      <w:r>
        <w:rPr>
          <w:rFonts w:hint="eastAsia" w:ascii="宋体" w:hAnsi="宋体" w:cs="宋体"/>
          <w:color w:val="auto"/>
          <w:sz w:val="24"/>
          <w:szCs w:val="24"/>
          <w:highlight w:val="none"/>
        </w:rPr>
        <w:t>3. 开标时间：</w:t>
      </w:r>
      <w:r>
        <w:rPr>
          <w:rFonts w:hint="eastAsia" w:ascii="宋体" w:hAnsi="宋体" w:cs="宋体"/>
          <w:b/>
          <w:bCs w:val="0"/>
          <w:snapToGrid w:val="0"/>
          <w:color w:val="auto"/>
          <w:sz w:val="24"/>
          <w:szCs w:val="24"/>
          <w:highlight w:val="none"/>
          <w:u w:val="single"/>
          <w:lang w:eastAsia="zh-CN"/>
        </w:rPr>
        <w:t>2025</w:t>
      </w:r>
      <w:r>
        <w:rPr>
          <w:rFonts w:hint="eastAsia" w:ascii="宋体" w:hAnsi="宋体" w:cs="宋体"/>
          <w:b/>
          <w:bCs w:val="0"/>
          <w:color w:val="auto"/>
          <w:sz w:val="24"/>
          <w:szCs w:val="24"/>
          <w:highlight w:val="none"/>
          <w:u w:val="single"/>
        </w:rPr>
        <w:t>年</w:t>
      </w:r>
      <w:r>
        <w:rPr>
          <w:rFonts w:hint="eastAsia" w:ascii="宋体" w:hAnsi="宋体" w:cs="宋体"/>
          <w:b/>
          <w:bCs w:val="0"/>
          <w:color w:val="auto"/>
          <w:sz w:val="24"/>
          <w:szCs w:val="24"/>
          <w:highlight w:val="none"/>
          <w:u w:val="single"/>
          <w:lang w:val="en-US" w:eastAsia="zh-CN"/>
        </w:rPr>
        <w:t>07</w:t>
      </w:r>
      <w:r>
        <w:rPr>
          <w:rFonts w:hint="eastAsia" w:ascii="宋体" w:hAnsi="宋体" w:cs="宋体"/>
          <w:b/>
          <w:bCs w:val="0"/>
          <w:color w:val="auto"/>
          <w:sz w:val="24"/>
          <w:szCs w:val="24"/>
          <w:highlight w:val="none"/>
          <w:u w:val="single"/>
        </w:rPr>
        <w:t>月</w:t>
      </w:r>
      <w:r>
        <w:rPr>
          <w:rFonts w:hint="eastAsia" w:ascii="宋体" w:hAnsi="宋体" w:cs="宋体"/>
          <w:b/>
          <w:bCs w:val="0"/>
          <w:color w:val="auto"/>
          <w:sz w:val="24"/>
          <w:szCs w:val="24"/>
          <w:highlight w:val="none"/>
          <w:u w:val="single"/>
          <w:lang w:val="en-US" w:eastAsia="zh-CN"/>
        </w:rPr>
        <w:t>14</w:t>
      </w:r>
      <w:r>
        <w:rPr>
          <w:rFonts w:hint="eastAsia" w:ascii="宋体" w:hAnsi="宋体" w:cs="宋体"/>
          <w:b/>
          <w:bCs w:val="0"/>
          <w:color w:val="auto"/>
          <w:sz w:val="24"/>
          <w:szCs w:val="24"/>
          <w:highlight w:val="none"/>
          <w:u w:val="single"/>
        </w:rPr>
        <w:t>日</w:t>
      </w:r>
      <w:r>
        <w:rPr>
          <w:rFonts w:hint="eastAsia" w:ascii="宋体" w:hAnsi="宋体" w:cs="宋体"/>
          <w:b/>
          <w:bCs w:val="0"/>
          <w:color w:val="auto"/>
          <w:sz w:val="24"/>
          <w:szCs w:val="24"/>
          <w:highlight w:val="none"/>
          <w:u w:val="single"/>
          <w:lang w:val="en-US" w:eastAsia="zh-CN"/>
        </w:rPr>
        <w:t>09</w:t>
      </w:r>
      <w:r>
        <w:rPr>
          <w:rFonts w:hint="eastAsia" w:ascii="宋体" w:hAnsi="宋体" w:cs="宋体"/>
          <w:b/>
          <w:bCs w:val="0"/>
          <w:color w:val="auto"/>
          <w:sz w:val="24"/>
          <w:szCs w:val="24"/>
          <w:highlight w:val="none"/>
          <w:u w:val="single"/>
        </w:rPr>
        <w:t>:</w:t>
      </w:r>
      <w:r>
        <w:rPr>
          <w:rFonts w:hint="eastAsia" w:ascii="宋体" w:hAnsi="宋体" w:cs="宋体"/>
          <w:b/>
          <w:bCs w:val="0"/>
          <w:color w:val="auto"/>
          <w:sz w:val="24"/>
          <w:szCs w:val="24"/>
          <w:highlight w:val="none"/>
          <w:u w:val="single"/>
          <w:lang w:val="en-US" w:eastAsia="zh-CN"/>
        </w:rPr>
        <w:t>00</w:t>
      </w:r>
      <w:r>
        <w:rPr>
          <w:rFonts w:hint="eastAsia" w:ascii="宋体" w:hAnsi="宋体" w:cs="宋体"/>
          <w:b/>
          <w:bCs w:val="0"/>
          <w:color w:val="auto"/>
          <w:sz w:val="24"/>
          <w:szCs w:val="24"/>
          <w:highlight w:val="none"/>
          <w:u w:val="single"/>
        </w:rPr>
        <w:t>（北京时间）</w:t>
      </w:r>
    </w:p>
    <w:p w14:paraId="00D25C2D">
      <w:pPr>
        <w:wordWrap w:val="0"/>
        <w:spacing w:line="440" w:lineRule="exact"/>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4. 开标地点（网址）：丽水市公共资源交易中心</w:t>
      </w:r>
      <w:r>
        <w:rPr>
          <w:rFonts w:hint="eastAsia" w:ascii="宋体" w:hAnsi="宋体" w:cs="宋体"/>
          <w:bCs/>
          <w:color w:val="auto"/>
          <w:sz w:val="24"/>
          <w:szCs w:val="24"/>
          <w:highlight w:val="none"/>
          <w:u w:val="single"/>
          <w:lang w:val="en-US" w:eastAsia="zh-CN"/>
        </w:rPr>
        <w:t>四</w:t>
      </w:r>
      <w:r>
        <w:rPr>
          <w:rFonts w:hint="eastAsia" w:ascii="宋体" w:hAnsi="宋体" w:cs="宋体"/>
          <w:bCs/>
          <w:color w:val="auto"/>
          <w:sz w:val="24"/>
          <w:szCs w:val="24"/>
          <w:highlight w:val="none"/>
        </w:rPr>
        <w:t>号开标厅；浙江政府采购网—用户入驻/登录—用户登录—项目采购—开标评标—进入开标大厅</w:t>
      </w:r>
    </w:p>
    <w:p w14:paraId="503CF543">
      <w:pPr>
        <w:wordWrap w:val="0"/>
        <w:spacing w:line="440" w:lineRule="exact"/>
        <w:jc w:val="left"/>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五、公告期限</w:t>
      </w:r>
      <w:bookmarkEnd w:id="40"/>
      <w:bookmarkEnd w:id="41"/>
      <w:bookmarkEnd w:id="42"/>
      <w:bookmarkEnd w:id="43"/>
      <w:r>
        <w:rPr>
          <w:rFonts w:hint="eastAsia" w:ascii="宋体" w:hAnsi="宋体" w:cs="宋体"/>
          <w:b/>
          <w:color w:val="auto"/>
          <w:sz w:val="24"/>
          <w:szCs w:val="24"/>
          <w:highlight w:val="none"/>
          <w:lang w:val="en-US" w:eastAsia="zh-CN"/>
        </w:rPr>
        <w:t xml:space="preserve">                             </w:t>
      </w:r>
    </w:p>
    <w:p w14:paraId="1BDFA1B0">
      <w:pPr>
        <w:wordWrap w:val="0"/>
        <w:spacing w:line="44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自本公告发布之日起</w:t>
      </w:r>
      <w:r>
        <w:rPr>
          <w:rFonts w:hint="eastAsia" w:ascii="宋体" w:hAnsi="宋体" w:cs="宋体"/>
          <w:bCs/>
          <w:snapToGrid w:val="0"/>
          <w:color w:val="auto"/>
          <w:sz w:val="24"/>
          <w:szCs w:val="24"/>
          <w:highlight w:val="none"/>
        </w:rPr>
        <w:t>5</w:t>
      </w:r>
      <w:r>
        <w:rPr>
          <w:rFonts w:hint="eastAsia" w:ascii="宋体" w:hAnsi="宋体" w:cs="宋体"/>
          <w:color w:val="auto"/>
          <w:kern w:val="0"/>
          <w:sz w:val="24"/>
          <w:szCs w:val="24"/>
          <w:highlight w:val="none"/>
        </w:rPr>
        <w:t>个工作日。</w:t>
      </w:r>
    </w:p>
    <w:p w14:paraId="6D4A9858">
      <w:pPr>
        <w:wordWrap w:val="0"/>
        <w:spacing w:line="440" w:lineRule="exact"/>
        <w:jc w:val="left"/>
        <w:rPr>
          <w:rFonts w:ascii="宋体" w:hAnsi="宋体" w:cs="宋体"/>
          <w:b/>
          <w:color w:val="auto"/>
          <w:sz w:val="24"/>
          <w:szCs w:val="24"/>
          <w:highlight w:val="none"/>
        </w:rPr>
      </w:pPr>
      <w:bookmarkStart w:id="44" w:name="_Toc35393795"/>
      <w:bookmarkStart w:id="45" w:name="_Toc35393626"/>
      <w:r>
        <w:rPr>
          <w:rFonts w:hint="eastAsia" w:ascii="宋体" w:hAnsi="宋体" w:cs="宋体"/>
          <w:b/>
          <w:color w:val="auto"/>
          <w:sz w:val="24"/>
          <w:szCs w:val="24"/>
          <w:highlight w:val="none"/>
        </w:rPr>
        <w:t>六、其他补充事宜</w:t>
      </w:r>
      <w:bookmarkEnd w:id="44"/>
      <w:bookmarkEnd w:id="45"/>
    </w:p>
    <w:p w14:paraId="370D1381">
      <w:pPr>
        <w:wordWrap w:val="0"/>
        <w:snapToGrid w:val="0"/>
        <w:spacing w:line="440" w:lineRule="exact"/>
        <w:ind w:firstLine="510"/>
        <w:rPr>
          <w:rFonts w:ascii="宋体" w:hAnsi="宋体" w:cs="宋体"/>
          <w:color w:val="auto"/>
          <w:sz w:val="24"/>
          <w:szCs w:val="24"/>
          <w:highlight w:val="none"/>
        </w:rPr>
      </w:pPr>
      <w:r>
        <w:rPr>
          <w:rFonts w:hint="eastAsia" w:ascii="宋体" w:hAnsi="宋体" w:cs="宋体"/>
          <w:color w:val="auto"/>
          <w:sz w:val="24"/>
          <w:szCs w:val="24"/>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28FE0D2C">
      <w:pPr>
        <w:wordWrap w:val="0"/>
        <w:snapToGrid w:val="0"/>
        <w:spacing w:line="440" w:lineRule="exact"/>
        <w:ind w:firstLine="510"/>
        <w:rPr>
          <w:rFonts w:ascii="宋体" w:hAnsi="宋体" w:cs="宋体"/>
          <w:color w:val="auto"/>
          <w:sz w:val="24"/>
          <w:szCs w:val="24"/>
          <w:highlight w:val="none"/>
        </w:rPr>
      </w:pPr>
      <w:r>
        <w:rPr>
          <w:rFonts w:hint="eastAsia" w:ascii="宋体" w:hAnsi="宋体" w:cs="宋体"/>
          <w:color w:val="auto"/>
          <w:sz w:val="24"/>
          <w:szCs w:val="24"/>
          <w:highlight w:val="none"/>
        </w:rPr>
        <w:t>2.根据《浙江省财政厅关于进一步促进政府采购公平竞争打造最优营商环境的通知》（浙财采监（2021）22号）文件关于“健全行政裁决机制”要求，鼓励</w:t>
      </w:r>
      <w:r>
        <w:rPr>
          <w:rFonts w:hint="eastAsia" w:ascii="宋体" w:hAnsi="宋体" w:cs="宋体"/>
          <w:color w:val="auto"/>
          <w:sz w:val="24"/>
          <w:szCs w:val="24"/>
          <w:highlight w:val="none"/>
          <w:lang w:eastAsia="zh-CN"/>
        </w:rPr>
        <w:t>投标人</w:t>
      </w:r>
      <w:r>
        <w:rPr>
          <w:rFonts w:hint="eastAsia" w:ascii="宋体" w:hAnsi="宋体" w:cs="宋体"/>
          <w:color w:val="auto"/>
          <w:sz w:val="24"/>
          <w:szCs w:val="24"/>
          <w:highlight w:val="none"/>
        </w:rPr>
        <w:t>在线提起询问，路径为：政采云-项目采购-询问质疑投诉-询问列表:鼓励</w:t>
      </w:r>
      <w:r>
        <w:rPr>
          <w:rFonts w:hint="eastAsia" w:ascii="宋体" w:hAnsi="宋体" w:cs="宋体"/>
          <w:color w:val="auto"/>
          <w:sz w:val="24"/>
          <w:szCs w:val="24"/>
          <w:highlight w:val="none"/>
          <w:lang w:eastAsia="zh-CN"/>
        </w:rPr>
        <w:t>投标人</w:t>
      </w:r>
      <w:r>
        <w:rPr>
          <w:rFonts w:hint="eastAsia" w:ascii="宋体" w:hAnsi="宋体" w:cs="宋体"/>
          <w:color w:val="auto"/>
          <w:sz w:val="24"/>
          <w:szCs w:val="24"/>
          <w:highlight w:val="none"/>
        </w:rPr>
        <w:t>在线提起质疑，路径为：政采云-项目采购-询问质疑投诉-质疑列表。质疑</w:t>
      </w:r>
      <w:r>
        <w:rPr>
          <w:rFonts w:hint="eastAsia" w:ascii="宋体" w:hAnsi="宋体" w:cs="宋体"/>
          <w:color w:val="auto"/>
          <w:sz w:val="24"/>
          <w:szCs w:val="24"/>
          <w:highlight w:val="none"/>
          <w:lang w:eastAsia="zh-CN"/>
        </w:rPr>
        <w:t>投标人</w:t>
      </w:r>
      <w:r>
        <w:rPr>
          <w:rFonts w:hint="eastAsia" w:ascii="宋体" w:hAnsi="宋体" w:cs="宋体"/>
          <w:color w:val="auto"/>
          <w:sz w:val="24"/>
          <w:szCs w:val="24"/>
          <w:highlight w:val="none"/>
        </w:rPr>
        <w:t>对在线质疑答复不满意的，可在线提起投诉，路径为：浙江政府服务网-政府采购投诉处理-在线办理。</w:t>
      </w:r>
    </w:p>
    <w:p w14:paraId="70A24164">
      <w:pPr>
        <w:wordWrap w:val="0"/>
        <w:snapToGrid w:val="0"/>
        <w:spacing w:line="440" w:lineRule="exact"/>
        <w:ind w:firstLine="510"/>
        <w:rPr>
          <w:rFonts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eastAsia="zh-CN"/>
        </w:rPr>
        <w:t>投标人</w:t>
      </w:r>
      <w:r>
        <w:rPr>
          <w:rFonts w:hint="eastAsia" w:ascii="宋体" w:hAnsi="宋体" w:cs="宋体"/>
          <w:color w:val="auto"/>
          <w:sz w:val="24"/>
          <w:szCs w:val="24"/>
          <w:highlight w:val="none"/>
        </w:rPr>
        <w:t>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w:t>
      </w:r>
      <w:r>
        <w:rPr>
          <w:rFonts w:hint="eastAsia" w:ascii="宋体" w:hAnsi="宋体" w:cs="宋体"/>
          <w:color w:val="auto"/>
          <w:sz w:val="24"/>
          <w:szCs w:val="24"/>
          <w:highlight w:val="none"/>
          <w:lang w:eastAsia="zh-CN"/>
        </w:rPr>
        <w:t>投标人</w:t>
      </w:r>
      <w:r>
        <w:rPr>
          <w:rFonts w:hint="eastAsia" w:ascii="宋体" w:hAnsi="宋体" w:cs="宋体"/>
          <w:color w:val="auto"/>
          <w:sz w:val="24"/>
          <w:szCs w:val="24"/>
          <w:highlight w:val="none"/>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94CED43">
      <w:pPr>
        <w:wordWrap w:val="0"/>
        <w:snapToGrid w:val="0"/>
        <w:spacing w:line="440" w:lineRule="exact"/>
        <w:ind w:firstLine="510"/>
        <w:rPr>
          <w:rFonts w:ascii="宋体" w:hAnsi="宋体" w:cs="宋体"/>
          <w:bCs/>
          <w:snapToGrid w:val="0"/>
          <w:color w:val="auto"/>
          <w:sz w:val="24"/>
          <w:szCs w:val="24"/>
          <w:highlight w:val="none"/>
        </w:rPr>
      </w:pPr>
      <w:r>
        <w:rPr>
          <w:rFonts w:hint="eastAsia" w:ascii="宋体" w:hAnsi="宋体" w:cs="宋体"/>
          <w:color w:val="auto"/>
          <w:sz w:val="24"/>
          <w:szCs w:val="24"/>
          <w:highlight w:val="none"/>
        </w:rPr>
        <w:t>4.其他事项：</w:t>
      </w:r>
      <w:r>
        <w:rPr>
          <w:rFonts w:hint="eastAsia" w:ascii="宋体" w:hAnsi="宋体" w:cs="宋体"/>
          <w:bCs/>
          <w:snapToGrid w:val="0"/>
          <w:color w:val="auto"/>
          <w:sz w:val="24"/>
          <w:szCs w:val="24"/>
          <w:highlight w:val="none"/>
        </w:rPr>
        <w:t>本项目采用“电子交易/不见面开评标”，投标人无须派人员到现场出席开标会议。具体操作指南：见政采云平台“服务中心-帮助文档-项目采购-操作流程-电子招投标-政府采购项目电子交易管理操作指南-</w:t>
      </w:r>
      <w:r>
        <w:rPr>
          <w:rFonts w:hint="eastAsia" w:ascii="宋体" w:hAnsi="宋体" w:cs="宋体"/>
          <w:bCs/>
          <w:snapToGrid w:val="0"/>
          <w:color w:val="auto"/>
          <w:sz w:val="24"/>
          <w:szCs w:val="24"/>
          <w:highlight w:val="none"/>
          <w:lang w:eastAsia="zh-CN"/>
        </w:rPr>
        <w:t>投标人</w:t>
      </w:r>
      <w:r>
        <w:rPr>
          <w:rFonts w:hint="eastAsia" w:ascii="宋体" w:hAnsi="宋体" w:cs="宋体"/>
          <w:bCs/>
          <w:snapToGrid w:val="0"/>
          <w:color w:val="auto"/>
          <w:sz w:val="24"/>
          <w:szCs w:val="24"/>
          <w:highlight w:val="none"/>
        </w:rPr>
        <w:t>”。</w:t>
      </w:r>
    </w:p>
    <w:p w14:paraId="7CC1DEDB">
      <w:pPr>
        <w:wordWrap w:val="0"/>
        <w:spacing w:line="440" w:lineRule="exact"/>
        <w:jc w:val="left"/>
        <w:rPr>
          <w:rFonts w:ascii="宋体" w:hAnsi="宋体" w:cs="宋体"/>
          <w:b/>
          <w:color w:val="auto"/>
          <w:sz w:val="24"/>
          <w:szCs w:val="24"/>
          <w:highlight w:val="none"/>
        </w:rPr>
      </w:pPr>
      <w:bookmarkStart w:id="46" w:name="_Toc28359085"/>
      <w:bookmarkStart w:id="47" w:name="_Toc28359008"/>
      <w:bookmarkStart w:id="48" w:name="_Toc35393627"/>
      <w:bookmarkStart w:id="49" w:name="_Toc35393796"/>
      <w:r>
        <w:rPr>
          <w:rFonts w:hint="eastAsia" w:ascii="宋体" w:hAnsi="宋体" w:cs="宋体"/>
          <w:b/>
          <w:color w:val="auto"/>
          <w:sz w:val="24"/>
          <w:szCs w:val="24"/>
          <w:highlight w:val="none"/>
        </w:rPr>
        <w:t>七、</w:t>
      </w:r>
      <w:bookmarkEnd w:id="46"/>
      <w:bookmarkEnd w:id="47"/>
      <w:bookmarkEnd w:id="48"/>
      <w:bookmarkEnd w:id="49"/>
      <w:r>
        <w:rPr>
          <w:rFonts w:hint="eastAsia" w:ascii="宋体" w:hAnsi="宋体" w:cs="宋体"/>
          <w:b/>
          <w:bCs/>
          <w:strike/>
          <w:color w:val="auto"/>
          <w:sz w:val="24"/>
          <w:szCs w:val="24"/>
          <w:highlight w:val="none"/>
        </w:rPr>
        <w:t>凡</w:t>
      </w:r>
      <w:r>
        <w:rPr>
          <w:rFonts w:hint="eastAsia" w:ascii="宋体" w:hAnsi="宋体" w:cs="宋体"/>
          <w:b/>
          <w:bCs/>
          <w:color w:val="auto"/>
          <w:sz w:val="24"/>
          <w:szCs w:val="24"/>
          <w:highlight w:val="none"/>
        </w:rPr>
        <w:t>对本次采购提出询问、质疑、投诉，请按以下方式联系</w:t>
      </w:r>
    </w:p>
    <w:p w14:paraId="3A75DA4C">
      <w:pPr>
        <w:wordWrap w:val="0"/>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 采购人信息</w:t>
      </w:r>
    </w:p>
    <w:p w14:paraId="4D7EBD03">
      <w:pPr>
        <w:wordWrap w:val="0"/>
        <w:snapToGrid w:val="0"/>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名  称：丽水学院</w:t>
      </w:r>
    </w:p>
    <w:p w14:paraId="1B376E83">
      <w:pPr>
        <w:wordWrap w:val="0"/>
        <w:snapToGrid w:val="0"/>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地  址：浙江省丽水市莲都区学院路1号丽水学院</w:t>
      </w:r>
    </w:p>
    <w:p w14:paraId="38C51BA0">
      <w:pPr>
        <w:wordWrap w:val="0"/>
        <w:snapToGrid w:val="0"/>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传  真：</w:t>
      </w:r>
      <w:r>
        <w:rPr>
          <w:rFonts w:hint="eastAsia" w:ascii="宋体" w:hAnsi="宋体" w:cs="宋体"/>
          <w:bCs/>
          <w:snapToGrid w:val="0"/>
          <w:color w:val="auto"/>
          <w:sz w:val="24"/>
          <w:szCs w:val="24"/>
          <w:highlight w:val="none"/>
        </w:rPr>
        <w:t>/</w:t>
      </w:r>
    </w:p>
    <w:p w14:paraId="757F7047">
      <w:pPr>
        <w:wordWrap w:val="0"/>
        <w:snapToGrid w:val="0"/>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项目联系人（询问）：</w:t>
      </w:r>
      <w:r>
        <w:rPr>
          <w:rFonts w:hint="eastAsia" w:ascii="宋体" w:hAnsi="宋体" w:cs="宋体"/>
          <w:color w:val="auto"/>
          <w:sz w:val="24"/>
          <w:szCs w:val="24"/>
          <w:highlight w:val="none"/>
          <w:lang w:eastAsia="zh-CN"/>
        </w:rPr>
        <w:t xml:space="preserve"> 麻高波</w:t>
      </w:r>
      <w:r>
        <w:rPr>
          <w:rFonts w:hint="eastAsia" w:ascii="宋体" w:hAnsi="宋体" w:cs="宋体"/>
          <w:color w:val="auto"/>
          <w:sz w:val="24"/>
          <w:szCs w:val="24"/>
          <w:highlight w:val="none"/>
        </w:rPr>
        <w:t xml:space="preserve">  </w:t>
      </w:r>
    </w:p>
    <w:p w14:paraId="466E3403">
      <w:pPr>
        <w:wordWrap w:val="0"/>
        <w:snapToGrid w:val="0"/>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项目联系方式（询问）：</w:t>
      </w:r>
      <w:r>
        <w:rPr>
          <w:rFonts w:hint="eastAsia" w:ascii="宋体" w:hAnsi="宋体" w:cs="宋体"/>
          <w:color w:val="auto"/>
          <w:sz w:val="24"/>
          <w:szCs w:val="24"/>
          <w:highlight w:val="none"/>
          <w:lang w:eastAsia="zh-CN"/>
        </w:rPr>
        <w:t>0578-2683700</w:t>
      </w:r>
    </w:p>
    <w:p w14:paraId="29CBA9DF">
      <w:pPr>
        <w:wordWrap w:val="0"/>
        <w:snapToGrid w:val="0"/>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质疑联系人：</w:t>
      </w:r>
      <w:r>
        <w:rPr>
          <w:rFonts w:hint="eastAsia" w:ascii="宋体" w:hAnsi="宋体" w:eastAsia="宋体" w:cs="宋体"/>
          <w:sz w:val="24"/>
          <w:szCs w:val="24"/>
          <w:highlight w:val="none"/>
          <w:u w:val="none"/>
        </w:rPr>
        <w:t>马精平</w:t>
      </w:r>
      <w:r>
        <w:rPr>
          <w:rFonts w:hint="eastAsia" w:ascii="宋体" w:hAnsi="宋体" w:cs="宋体"/>
          <w:color w:val="auto"/>
          <w:sz w:val="24"/>
          <w:szCs w:val="24"/>
          <w:highlight w:val="none"/>
        </w:rPr>
        <w:t xml:space="preserve">          </w:t>
      </w:r>
    </w:p>
    <w:p w14:paraId="59BC8666">
      <w:pPr>
        <w:wordWrap w:val="0"/>
        <w:snapToGrid w:val="0"/>
        <w:spacing w:line="440" w:lineRule="exact"/>
        <w:ind w:firstLine="720" w:firstLineChars="3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质疑联系方式：</w:t>
      </w:r>
      <w:r>
        <w:rPr>
          <w:rFonts w:hint="eastAsia" w:ascii="宋体" w:hAnsi="宋体" w:eastAsia="宋体" w:cs="宋体"/>
          <w:sz w:val="24"/>
          <w:szCs w:val="24"/>
          <w:highlight w:val="none"/>
          <w:u w:val="none"/>
        </w:rPr>
        <w:t>0578-2277072</w:t>
      </w:r>
    </w:p>
    <w:p w14:paraId="2CCEA33E">
      <w:pPr>
        <w:wordWrap w:val="0"/>
        <w:snapToGrid w:val="0"/>
        <w:spacing w:line="440" w:lineRule="exact"/>
        <w:ind w:firstLine="720" w:firstLineChars="300"/>
        <w:rPr>
          <w:rFonts w:ascii="宋体" w:hAnsi="宋体" w:cs="宋体"/>
          <w:bCs/>
          <w:snapToGrid w:val="0"/>
          <w:color w:val="auto"/>
          <w:sz w:val="24"/>
          <w:szCs w:val="24"/>
          <w:highlight w:val="none"/>
        </w:rPr>
      </w:pPr>
    </w:p>
    <w:p w14:paraId="73F12301">
      <w:pPr>
        <w:wordWrap w:val="0"/>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 采购代理机构信息</w:t>
      </w:r>
    </w:p>
    <w:p w14:paraId="3720F787">
      <w:pPr>
        <w:wordWrap w:val="0"/>
        <w:snapToGrid w:val="0"/>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名  称：</w:t>
      </w:r>
      <w:r>
        <w:rPr>
          <w:rFonts w:hint="eastAsia" w:ascii="宋体" w:hAnsi="宋体" w:cs="宋体"/>
          <w:bCs/>
          <w:snapToGrid w:val="0"/>
          <w:color w:val="auto"/>
          <w:sz w:val="24"/>
          <w:szCs w:val="24"/>
          <w:highlight w:val="none"/>
        </w:rPr>
        <w:t>浙江鼎峰工程咨询有限公司</w:t>
      </w:r>
    </w:p>
    <w:p w14:paraId="27518A38">
      <w:pPr>
        <w:wordWrap w:val="0"/>
        <w:snapToGrid w:val="0"/>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地  址：浙江省丽水市莲都区</w:t>
      </w:r>
      <w:r>
        <w:rPr>
          <w:rFonts w:hint="eastAsia" w:ascii="宋体" w:hAnsi="宋体" w:cs="宋体"/>
          <w:bCs/>
          <w:snapToGrid w:val="0"/>
          <w:color w:val="auto"/>
          <w:sz w:val="24"/>
          <w:szCs w:val="24"/>
          <w:highlight w:val="none"/>
        </w:rPr>
        <w:t>庆春街979号</w:t>
      </w:r>
    </w:p>
    <w:p w14:paraId="7B05538A">
      <w:pPr>
        <w:wordWrap w:val="0"/>
        <w:snapToGrid w:val="0"/>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传  真：</w:t>
      </w:r>
      <w:r>
        <w:rPr>
          <w:rFonts w:hint="eastAsia" w:ascii="宋体" w:hAnsi="宋体" w:cs="宋体"/>
          <w:bCs/>
          <w:snapToGrid w:val="0"/>
          <w:color w:val="auto"/>
          <w:sz w:val="24"/>
          <w:szCs w:val="24"/>
          <w:highlight w:val="none"/>
        </w:rPr>
        <w:t>0578-2531111</w:t>
      </w:r>
    </w:p>
    <w:p w14:paraId="00A11E1E">
      <w:pPr>
        <w:wordWrap w:val="0"/>
        <w:snapToGrid w:val="0"/>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项目负责人（询问）：</w:t>
      </w:r>
      <w:r>
        <w:rPr>
          <w:rFonts w:hint="eastAsia" w:ascii="宋体" w:hAnsi="宋体" w:cs="宋体"/>
          <w:bCs/>
          <w:snapToGrid w:val="0"/>
          <w:color w:val="auto"/>
          <w:sz w:val="24"/>
          <w:szCs w:val="24"/>
          <w:highlight w:val="none"/>
        </w:rPr>
        <w:t xml:space="preserve">朱润锋  </w:t>
      </w:r>
      <w:r>
        <w:rPr>
          <w:rFonts w:hint="eastAsia" w:ascii="宋体" w:hAnsi="宋体" w:cs="宋体"/>
          <w:color w:val="auto"/>
          <w:sz w:val="24"/>
          <w:szCs w:val="24"/>
          <w:highlight w:val="none"/>
        </w:rPr>
        <w:t xml:space="preserve">  </w:t>
      </w:r>
    </w:p>
    <w:p w14:paraId="0C6665B7">
      <w:pPr>
        <w:wordWrap w:val="0"/>
        <w:snapToGrid w:val="0"/>
        <w:spacing w:line="440" w:lineRule="exact"/>
        <w:ind w:firstLine="720" w:firstLineChars="300"/>
        <w:rPr>
          <w:rFonts w:ascii="宋体" w:hAnsi="宋体" w:cs="宋体"/>
          <w:bCs/>
          <w:snapToGrid w:val="0"/>
          <w:color w:val="auto"/>
          <w:sz w:val="24"/>
          <w:szCs w:val="24"/>
          <w:highlight w:val="none"/>
        </w:rPr>
      </w:pPr>
      <w:r>
        <w:rPr>
          <w:rFonts w:hint="eastAsia" w:ascii="宋体" w:hAnsi="宋体" w:cs="宋体"/>
          <w:color w:val="auto"/>
          <w:sz w:val="24"/>
          <w:szCs w:val="24"/>
          <w:highlight w:val="none"/>
        </w:rPr>
        <w:t>项目联系方式（询问）：</w:t>
      </w:r>
      <w:r>
        <w:rPr>
          <w:rFonts w:hint="eastAsia" w:ascii="宋体" w:hAnsi="宋体" w:cs="宋体"/>
          <w:bCs/>
          <w:snapToGrid w:val="0"/>
          <w:color w:val="auto"/>
          <w:sz w:val="24"/>
          <w:szCs w:val="24"/>
          <w:highlight w:val="none"/>
        </w:rPr>
        <w:t>0578-2510202/15990897258</w:t>
      </w:r>
    </w:p>
    <w:p w14:paraId="470B277B">
      <w:pPr>
        <w:wordWrap w:val="0"/>
        <w:snapToGrid w:val="0"/>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质疑人：</w:t>
      </w:r>
      <w:r>
        <w:rPr>
          <w:rFonts w:hint="eastAsia" w:ascii="宋体" w:hAnsi="宋体" w:cs="宋体"/>
          <w:bCs/>
          <w:snapToGrid w:val="0"/>
          <w:color w:val="auto"/>
          <w:sz w:val="24"/>
          <w:szCs w:val="24"/>
          <w:highlight w:val="none"/>
        </w:rPr>
        <w:t>林秋丽</w:t>
      </w:r>
      <w:r>
        <w:rPr>
          <w:rFonts w:hint="eastAsia" w:ascii="宋体" w:hAnsi="宋体" w:cs="宋体"/>
          <w:color w:val="auto"/>
          <w:sz w:val="24"/>
          <w:szCs w:val="24"/>
          <w:highlight w:val="none"/>
        </w:rPr>
        <w:t xml:space="preserve">        </w:t>
      </w:r>
    </w:p>
    <w:p w14:paraId="7397E87E">
      <w:pPr>
        <w:wordWrap w:val="0"/>
        <w:snapToGrid w:val="0"/>
        <w:spacing w:line="440" w:lineRule="exact"/>
        <w:ind w:firstLine="720" w:firstLineChars="300"/>
        <w:rPr>
          <w:rFonts w:ascii="宋体" w:hAnsi="宋体" w:cs="宋体"/>
          <w:bCs/>
          <w:snapToGrid w:val="0"/>
          <w:color w:val="auto"/>
          <w:sz w:val="24"/>
          <w:szCs w:val="24"/>
          <w:highlight w:val="none"/>
        </w:rPr>
      </w:pPr>
      <w:r>
        <w:rPr>
          <w:rFonts w:hint="eastAsia" w:ascii="宋体" w:hAnsi="宋体" w:cs="宋体"/>
          <w:color w:val="auto"/>
          <w:sz w:val="24"/>
          <w:szCs w:val="24"/>
          <w:highlight w:val="none"/>
        </w:rPr>
        <w:t>质疑联系方式</w:t>
      </w:r>
      <w:r>
        <w:rPr>
          <w:rFonts w:hint="eastAsia" w:ascii="宋体" w:hAnsi="宋体" w:cs="宋体"/>
          <w:bCs/>
          <w:snapToGrid w:val="0"/>
          <w:color w:val="auto"/>
          <w:sz w:val="24"/>
          <w:szCs w:val="24"/>
          <w:highlight w:val="none"/>
        </w:rPr>
        <w:t>：0578-2082121/13625887767</w:t>
      </w:r>
    </w:p>
    <w:p w14:paraId="66B55577">
      <w:pPr>
        <w:wordWrap w:val="0"/>
        <w:snapToGrid w:val="0"/>
        <w:spacing w:line="440" w:lineRule="exact"/>
        <w:ind w:firstLine="720" w:firstLineChars="300"/>
        <w:rPr>
          <w:rFonts w:ascii="宋体" w:hAnsi="宋体" w:cs="宋体"/>
          <w:bCs/>
          <w:snapToGrid w:val="0"/>
          <w:color w:val="auto"/>
          <w:sz w:val="24"/>
          <w:szCs w:val="24"/>
          <w:highlight w:val="none"/>
        </w:rPr>
      </w:pPr>
    </w:p>
    <w:p w14:paraId="1DEB2B3D">
      <w:pPr>
        <w:wordWrap w:val="0"/>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 同级政府采购监督管理部门</w:t>
      </w:r>
    </w:p>
    <w:p w14:paraId="061002E7">
      <w:pPr>
        <w:wordWrap w:val="0"/>
        <w:snapToGrid w:val="0"/>
        <w:spacing w:line="440" w:lineRule="exact"/>
        <w:ind w:firstLine="720" w:firstLineChars="300"/>
        <w:rPr>
          <w:rFonts w:ascii="宋体" w:hAnsi="宋体" w:cs="宋体"/>
          <w:bCs/>
          <w:snapToGrid w:val="0"/>
          <w:color w:val="auto"/>
          <w:sz w:val="24"/>
          <w:szCs w:val="24"/>
          <w:highlight w:val="none"/>
        </w:rPr>
      </w:pPr>
      <w:r>
        <w:rPr>
          <w:rFonts w:hint="eastAsia" w:ascii="宋体" w:hAnsi="宋体" w:cs="宋体"/>
          <w:bCs/>
          <w:snapToGrid w:val="0"/>
          <w:color w:val="auto"/>
          <w:sz w:val="24"/>
          <w:szCs w:val="24"/>
          <w:highlight w:val="none"/>
        </w:rPr>
        <w:t>名  称：丽水市财政局政府采购监管处</w:t>
      </w:r>
    </w:p>
    <w:p w14:paraId="298EADBC">
      <w:pPr>
        <w:wordWrap w:val="0"/>
        <w:snapToGrid w:val="0"/>
        <w:spacing w:line="440" w:lineRule="exact"/>
        <w:ind w:firstLine="720" w:firstLineChars="300"/>
        <w:rPr>
          <w:rFonts w:ascii="宋体" w:hAnsi="宋体" w:cs="宋体"/>
          <w:bCs/>
          <w:snapToGrid w:val="0"/>
          <w:color w:val="auto"/>
          <w:sz w:val="24"/>
          <w:szCs w:val="24"/>
          <w:highlight w:val="none"/>
        </w:rPr>
      </w:pPr>
      <w:r>
        <w:rPr>
          <w:rFonts w:hint="eastAsia" w:ascii="宋体" w:hAnsi="宋体" w:cs="宋体"/>
          <w:bCs/>
          <w:snapToGrid w:val="0"/>
          <w:color w:val="auto"/>
          <w:sz w:val="24"/>
          <w:szCs w:val="24"/>
          <w:highlight w:val="none"/>
        </w:rPr>
        <w:t>地  址：丽水市莲都区北苑路190号（丽水市财政局）</w:t>
      </w:r>
    </w:p>
    <w:p w14:paraId="39ADAB13">
      <w:pPr>
        <w:wordWrap w:val="0"/>
        <w:snapToGrid w:val="0"/>
        <w:spacing w:line="440" w:lineRule="exact"/>
        <w:ind w:firstLine="720" w:firstLineChars="300"/>
        <w:rPr>
          <w:rFonts w:ascii="宋体" w:hAnsi="宋体" w:cs="宋体"/>
          <w:bCs/>
          <w:snapToGrid w:val="0"/>
          <w:color w:val="auto"/>
          <w:sz w:val="24"/>
          <w:szCs w:val="24"/>
          <w:highlight w:val="none"/>
        </w:rPr>
      </w:pPr>
      <w:r>
        <w:rPr>
          <w:rFonts w:hint="eastAsia" w:ascii="宋体" w:hAnsi="宋体" w:cs="宋体"/>
          <w:bCs/>
          <w:snapToGrid w:val="0"/>
          <w:color w:val="auto"/>
          <w:sz w:val="24"/>
          <w:szCs w:val="24"/>
          <w:highlight w:val="none"/>
        </w:rPr>
        <w:t>传  真：0578-2669165</w:t>
      </w:r>
    </w:p>
    <w:p w14:paraId="04A8355F">
      <w:pPr>
        <w:wordWrap w:val="0"/>
        <w:snapToGrid w:val="0"/>
        <w:spacing w:line="440" w:lineRule="exact"/>
        <w:ind w:firstLine="720" w:firstLineChars="300"/>
        <w:rPr>
          <w:rFonts w:ascii="宋体" w:hAnsi="宋体" w:cs="宋体"/>
          <w:bCs/>
          <w:snapToGrid w:val="0"/>
          <w:color w:val="auto"/>
          <w:sz w:val="24"/>
          <w:szCs w:val="24"/>
          <w:highlight w:val="none"/>
        </w:rPr>
      </w:pPr>
      <w:r>
        <w:rPr>
          <w:rFonts w:hint="eastAsia" w:ascii="宋体" w:hAnsi="宋体" w:cs="宋体"/>
          <w:bCs/>
          <w:snapToGrid w:val="0"/>
          <w:color w:val="auto"/>
          <w:sz w:val="24"/>
          <w:szCs w:val="24"/>
          <w:highlight w:val="none"/>
        </w:rPr>
        <w:t xml:space="preserve">联系人：吴先生  叶先生  </w:t>
      </w:r>
    </w:p>
    <w:p w14:paraId="69771153">
      <w:pPr>
        <w:wordWrap w:val="0"/>
        <w:snapToGrid w:val="0"/>
        <w:spacing w:line="440" w:lineRule="exact"/>
        <w:ind w:firstLine="720" w:firstLineChars="300"/>
        <w:rPr>
          <w:rFonts w:ascii="宋体" w:hAnsi="宋体" w:cs="宋体"/>
          <w:color w:val="auto"/>
          <w:sz w:val="24"/>
          <w:szCs w:val="24"/>
          <w:highlight w:val="none"/>
        </w:rPr>
      </w:pPr>
      <w:r>
        <w:rPr>
          <w:rFonts w:hint="eastAsia" w:ascii="宋体" w:hAnsi="宋体" w:cs="宋体"/>
          <w:bCs/>
          <w:snapToGrid w:val="0"/>
          <w:color w:val="auto"/>
          <w:sz w:val="24"/>
          <w:szCs w:val="24"/>
          <w:highlight w:val="none"/>
        </w:rPr>
        <w:t>监督投诉电话：0578-2669165</w:t>
      </w:r>
    </w:p>
    <w:p w14:paraId="0D398336">
      <w:pPr>
        <w:wordWrap w:val="0"/>
        <w:snapToGrid w:val="0"/>
        <w:spacing w:line="440" w:lineRule="exact"/>
        <w:ind w:firstLine="510"/>
        <w:rPr>
          <w:rFonts w:ascii="宋体" w:hAnsi="宋体" w:cs="宋体"/>
          <w:color w:val="auto"/>
          <w:sz w:val="24"/>
          <w:szCs w:val="24"/>
          <w:highlight w:val="none"/>
        </w:rPr>
      </w:pPr>
    </w:p>
    <w:p w14:paraId="4C75E398">
      <w:pPr>
        <w:wordWrap w:val="0"/>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若对项目采购电子交易系统操作有疑问，可登录政采云（</w:t>
      </w:r>
      <w:r>
        <w:rPr>
          <w:rFonts w:hint="eastAsia" w:ascii="宋体" w:hAnsi="宋体" w:cs="宋体"/>
          <w:color w:val="auto"/>
          <w:sz w:val="24"/>
          <w:highlight w:val="none"/>
        </w:rPr>
        <w:t>zfcg.czt.zj.gov.cn</w:t>
      </w:r>
      <w:r>
        <w:rPr>
          <w:rFonts w:hint="eastAsia" w:ascii="宋体" w:hAnsi="宋体" w:cs="宋体"/>
          <w:color w:val="auto"/>
          <w:sz w:val="24"/>
          <w:szCs w:val="24"/>
          <w:highlight w:val="none"/>
        </w:rPr>
        <w:t>），点击右侧咨询小采，获取采小蜜智能服务管家帮助，或拨打政采云服务热线</w:t>
      </w:r>
      <w:r>
        <w:rPr>
          <w:rFonts w:hint="eastAsia" w:ascii="宋体" w:hAnsi="宋体" w:cs="宋体"/>
          <w:color w:val="auto"/>
          <w:sz w:val="24"/>
          <w:highlight w:val="none"/>
        </w:rPr>
        <w:t>95763</w:t>
      </w:r>
      <w:r>
        <w:rPr>
          <w:rFonts w:hint="eastAsia" w:ascii="宋体" w:hAnsi="宋体" w:cs="宋体"/>
          <w:color w:val="auto"/>
          <w:sz w:val="24"/>
          <w:szCs w:val="24"/>
          <w:highlight w:val="none"/>
        </w:rPr>
        <w:t>获取热线服务帮助。</w:t>
      </w:r>
    </w:p>
    <w:p w14:paraId="1E7649C3">
      <w:pPr>
        <w:wordWrap w:val="0"/>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CA问题联系电话（人工）：汇信CA 400-888-4636；天谷CA 400-087-8198。</w:t>
      </w:r>
    </w:p>
    <w:bookmarkEnd w:id="31"/>
    <w:p w14:paraId="278CF87E">
      <w:pPr>
        <w:pStyle w:val="23"/>
        <w:spacing w:before="0" w:after="0" w:line="440" w:lineRule="exact"/>
        <w:rPr>
          <w:rFonts w:ascii="宋体" w:hAnsi="宋体" w:cs="宋体"/>
          <w:strike/>
          <w:color w:val="auto"/>
          <w:sz w:val="21"/>
          <w:szCs w:val="21"/>
          <w:highlight w:val="none"/>
        </w:rPr>
        <w:sectPr>
          <w:footerReference r:id="rId11"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bookmarkStart w:id="50" w:name="_Toc493956019"/>
    </w:p>
    <w:p w14:paraId="3B3A12B3">
      <w:pPr>
        <w:pStyle w:val="23"/>
        <w:spacing w:before="0" w:after="0" w:line="400" w:lineRule="exact"/>
        <w:rPr>
          <w:rFonts w:ascii="宋体" w:hAnsi="宋体" w:cs="宋体"/>
          <w:color w:val="auto"/>
          <w:sz w:val="36"/>
          <w:szCs w:val="36"/>
          <w:highlight w:val="none"/>
        </w:rPr>
        <w:sectPr>
          <w:type w:val="continuous"/>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titlePg/>
          <w:docGrid w:linePitch="312" w:charSpace="0"/>
        </w:sectPr>
      </w:pPr>
      <w:bookmarkStart w:id="51" w:name="_Toc530551805"/>
      <w:bookmarkStart w:id="52" w:name="_Toc531358960"/>
    </w:p>
    <w:p w14:paraId="0C747148">
      <w:pPr>
        <w:pStyle w:val="23"/>
        <w:spacing w:before="0" w:after="0" w:line="360" w:lineRule="auto"/>
        <w:rPr>
          <w:rFonts w:ascii="宋体" w:hAnsi="宋体" w:cs="宋体"/>
          <w:color w:val="auto"/>
          <w:highlight w:val="none"/>
        </w:rPr>
      </w:pPr>
      <w:bookmarkStart w:id="53" w:name="_Toc29386"/>
      <w:bookmarkStart w:id="54" w:name="_Toc26228"/>
      <w:bookmarkStart w:id="55" w:name="_Toc4284"/>
      <w:bookmarkStart w:id="56" w:name="_Toc5351"/>
      <w:bookmarkStart w:id="57" w:name="_Toc22099"/>
      <w:bookmarkStart w:id="58" w:name="_Toc97212955"/>
      <w:r>
        <w:rPr>
          <w:rFonts w:hint="eastAsia" w:ascii="宋体" w:hAnsi="宋体" w:cs="宋体"/>
          <w:color w:val="auto"/>
          <w:sz w:val="36"/>
          <w:szCs w:val="36"/>
          <w:highlight w:val="none"/>
        </w:rPr>
        <w:t>第二章  采购需求</w:t>
      </w:r>
      <w:bookmarkEnd w:id="50"/>
      <w:bookmarkEnd w:id="51"/>
      <w:bookmarkEnd w:id="52"/>
      <w:bookmarkEnd w:id="53"/>
      <w:bookmarkEnd w:id="54"/>
      <w:bookmarkEnd w:id="55"/>
      <w:bookmarkEnd w:id="56"/>
      <w:bookmarkEnd w:id="57"/>
      <w:bookmarkEnd w:id="58"/>
    </w:p>
    <w:p w14:paraId="7A28529A">
      <w:pPr>
        <w:pStyle w:val="23"/>
        <w:spacing w:after="240"/>
        <w:ind w:left="0" w:leftChars="0" w:firstLine="0" w:firstLineChars="0"/>
        <w:jc w:val="left"/>
        <w:outlineLvl w:val="1"/>
        <w:rPr>
          <w:rFonts w:hint="default" w:ascii="宋体" w:hAnsi="宋体" w:eastAsia="宋体" w:cs="宋体"/>
          <w:sz w:val="24"/>
          <w:szCs w:val="24"/>
          <w:highlight w:val="none"/>
          <w:lang w:val="en-US" w:eastAsia="zh-CN"/>
        </w:rPr>
      </w:pPr>
      <w:bookmarkStart w:id="59" w:name="_Toc486423871"/>
      <w:bookmarkStart w:id="60" w:name="_Toc493956021"/>
      <w:bookmarkStart w:id="61" w:name="_Toc493957133"/>
      <w:bookmarkStart w:id="62" w:name="_Toc97212956"/>
      <w:bookmarkStart w:id="63" w:name="_Toc29470"/>
      <w:bookmarkStart w:id="64" w:name="_Toc530551819"/>
      <w:bookmarkStart w:id="65" w:name="_Toc531358974"/>
      <w:bookmarkStart w:id="66" w:name="_Toc409683143"/>
      <w:bookmarkStart w:id="67" w:name="_Toc23683"/>
      <w:bookmarkStart w:id="68" w:name="_Toc19470"/>
      <w:bookmarkStart w:id="69" w:name="_Toc22074"/>
      <w:bookmarkStart w:id="70" w:name="_Toc493956031"/>
      <w:bookmarkStart w:id="71" w:name="_Toc14186"/>
      <w:bookmarkStart w:id="72" w:name="_Toc23846"/>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lang w:eastAsia="zh-CN"/>
        </w:rPr>
        <w:t>、</w:t>
      </w:r>
      <w:bookmarkEnd w:id="59"/>
      <w:bookmarkEnd w:id="60"/>
      <w:bookmarkEnd w:id="61"/>
      <w:r>
        <w:rPr>
          <w:rFonts w:hint="eastAsia" w:ascii="宋体" w:hAnsi="宋体" w:cs="宋体"/>
          <w:sz w:val="24"/>
          <w:szCs w:val="24"/>
          <w:highlight w:val="none"/>
          <w:lang w:val="en-US" w:eastAsia="zh-CN"/>
        </w:rPr>
        <w:t>项目背景</w:t>
      </w:r>
    </w:p>
    <w:p w14:paraId="6F0A5BC8">
      <w:pPr>
        <w:keepNext w:val="0"/>
        <w:pageBreakBefore w:val="0"/>
        <w:widowControl w:val="0"/>
        <w:kinsoku/>
        <w:wordWrap/>
        <w:overflowPunct/>
        <w:topLinePunct w:val="0"/>
        <w:autoSpaceDE/>
        <w:autoSpaceDN/>
        <w:bidi w:val="0"/>
        <w:adjustRightInd w:val="0"/>
        <w:snapToGrid w:val="0"/>
        <w:spacing w:before="120" w:beforeLines="50" w:after="120" w:afterLines="50" w:line="360" w:lineRule="auto"/>
        <w:ind w:firstLine="480" w:firstLineChars="200"/>
        <w:textAlignment w:val="auto"/>
        <w:rPr>
          <w:rFonts w:hint="eastAsia" w:ascii="宋体" w:hAnsi="宋体" w:cs="宋体" w:eastAsiaTheme="minorEastAsia"/>
          <w:sz w:val="24"/>
          <w:szCs w:val="24"/>
          <w:highlight w:val="none"/>
          <w:lang w:val="en-US" w:eastAsia="zh-CN"/>
        </w:rPr>
      </w:pPr>
      <w:r>
        <w:rPr>
          <w:rFonts w:hint="eastAsia" w:asciiTheme="minorEastAsia" w:hAnsiTheme="minorEastAsia" w:eastAsiaTheme="minorEastAsia" w:cstheme="minorEastAsia"/>
          <w:b w:val="0"/>
          <w:bCs/>
          <w:i w:val="0"/>
          <w:iCs w:val="0"/>
          <w:caps w:val="0"/>
          <w:color w:val="404040"/>
          <w:spacing w:val="0"/>
          <w:sz w:val="24"/>
          <w:szCs w:val="24"/>
          <w:highlight w:val="none"/>
          <w:shd w:val="clear" w:fill="FFFFFF"/>
        </w:rPr>
        <w:t>为提升丽水学院金桥食府餐饮服务质量和食品安全管理水平，满足师生多样化需求，现需采购一批符合国家标准的厨房</w:t>
      </w:r>
      <w:r>
        <w:rPr>
          <w:rFonts w:hint="eastAsia" w:asciiTheme="minorEastAsia" w:hAnsiTheme="minorEastAsia" w:cstheme="minorEastAsia"/>
          <w:b w:val="0"/>
          <w:bCs/>
          <w:i w:val="0"/>
          <w:iCs w:val="0"/>
          <w:caps w:val="0"/>
          <w:color w:val="404040"/>
          <w:spacing w:val="0"/>
          <w:sz w:val="24"/>
          <w:szCs w:val="24"/>
          <w:highlight w:val="none"/>
          <w:shd w:val="clear" w:fill="FFFFFF"/>
          <w:lang w:eastAsia="zh-CN"/>
        </w:rPr>
        <w:t>产品</w:t>
      </w:r>
      <w:r>
        <w:rPr>
          <w:rFonts w:hint="eastAsia" w:asciiTheme="minorEastAsia" w:hAnsiTheme="minorEastAsia" w:eastAsiaTheme="minorEastAsia" w:cstheme="minorEastAsia"/>
          <w:b w:val="0"/>
          <w:bCs/>
          <w:i w:val="0"/>
          <w:iCs w:val="0"/>
          <w:caps w:val="0"/>
          <w:color w:val="404040"/>
          <w:spacing w:val="0"/>
          <w:sz w:val="24"/>
          <w:szCs w:val="24"/>
          <w:highlight w:val="none"/>
          <w:shd w:val="clear" w:fill="FFFFFF"/>
        </w:rPr>
        <w:t>，用于一楼、二楼餐厅及厨房的全面配置。本次采购需确保</w:t>
      </w:r>
      <w:r>
        <w:rPr>
          <w:rFonts w:hint="eastAsia" w:asciiTheme="minorEastAsia" w:hAnsiTheme="minorEastAsia" w:cstheme="minorEastAsia"/>
          <w:b w:val="0"/>
          <w:bCs/>
          <w:i w:val="0"/>
          <w:iCs w:val="0"/>
          <w:caps w:val="0"/>
          <w:color w:val="404040"/>
          <w:spacing w:val="0"/>
          <w:sz w:val="24"/>
          <w:szCs w:val="24"/>
          <w:highlight w:val="none"/>
          <w:shd w:val="clear" w:fill="FFFFFF"/>
          <w:lang w:eastAsia="zh-CN"/>
        </w:rPr>
        <w:t>产品</w:t>
      </w:r>
      <w:r>
        <w:rPr>
          <w:rFonts w:hint="eastAsia" w:asciiTheme="minorEastAsia" w:hAnsiTheme="minorEastAsia" w:eastAsiaTheme="minorEastAsia" w:cstheme="minorEastAsia"/>
          <w:b w:val="0"/>
          <w:bCs/>
          <w:i w:val="0"/>
          <w:iCs w:val="0"/>
          <w:caps w:val="0"/>
          <w:color w:val="404040"/>
          <w:spacing w:val="0"/>
          <w:sz w:val="24"/>
          <w:szCs w:val="24"/>
          <w:highlight w:val="none"/>
          <w:shd w:val="clear" w:fill="FFFFFF"/>
        </w:rPr>
        <w:t>安全、高效、节能、环保</w:t>
      </w:r>
      <w:r>
        <w:rPr>
          <w:rFonts w:hint="eastAsia" w:asciiTheme="minorEastAsia" w:hAnsiTheme="minorEastAsia" w:eastAsiaTheme="minorEastAsia" w:cstheme="minorEastAsia"/>
          <w:b w:val="0"/>
          <w:bCs/>
          <w:i w:val="0"/>
          <w:iCs w:val="0"/>
          <w:caps w:val="0"/>
          <w:color w:val="404040"/>
          <w:spacing w:val="0"/>
          <w:sz w:val="24"/>
          <w:szCs w:val="24"/>
          <w:highlight w:val="none"/>
          <w:shd w:val="clear" w:fill="FFFFFF"/>
          <w:lang w:eastAsia="zh-CN"/>
        </w:rPr>
        <w:t>。</w:t>
      </w:r>
    </w:p>
    <w:p w14:paraId="26AE8768">
      <w:pPr>
        <w:pStyle w:val="22"/>
        <w:keepNext w:val="0"/>
        <w:keepLines w:val="0"/>
        <w:widowControl/>
        <w:suppressLineNumbers w:val="0"/>
        <w:spacing w:before="0" w:beforeAutospacing="0" w:after="0" w:afterAutospacing="0" w:line="360" w:lineRule="auto"/>
        <w:ind w:right="0"/>
        <w:rPr>
          <w:rFonts w:hint="default" w:eastAsia="宋体" w:asciiTheme="minorEastAsia" w:hAnsiTheme="minorEastAsia" w:cstheme="minorEastAsia"/>
          <w:b/>
          <w:bCs w:val="0"/>
          <w:i w:val="0"/>
          <w:iCs w:val="0"/>
          <w:caps w:val="0"/>
          <w:color w:val="404040"/>
          <w:spacing w:val="0"/>
          <w:sz w:val="24"/>
          <w:szCs w:val="24"/>
          <w:highlight w:val="none"/>
          <w:shd w:val="clear" w:fill="FFFFFF"/>
          <w:lang w:val="en-US" w:eastAsia="zh-CN"/>
        </w:rPr>
      </w:pPr>
      <w:bookmarkStart w:id="73" w:name="_Toc493956022"/>
      <w:bookmarkStart w:id="74" w:name="_Toc486423872"/>
      <w:bookmarkStart w:id="75" w:name="_Toc493957134"/>
      <w:r>
        <w:rPr>
          <w:rFonts w:hint="eastAsia" w:asciiTheme="minorEastAsia" w:hAnsiTheme="minorEastAsia" w:cstheme="minorEastAsia"/>
          <w:b/>
          <w:bCs w:val="0"/>
          <w:i w:val="0"/>
          <w:iCs w:val="0"/>
          <w:caps w:val="0"/>
          <w:color w:val="404040"/>
          <w:spacing w:val="0"/>
          <w:sz w:val="24"/>
          <w:szCs w:val="24"/>
          <w:highlight w:val="none"/>
          <w:shd w:val="clear" w:fill="FFFFFF"/>
          <w:lang w:val="en-US" w:eastAsia="zh-CN"/>
        </w:rPr>
        <w:t>二、供货清单及技术要求</w:t>
      </w:r>
    </w:p>
    <w:tbl>
      <w:tblPr>
        <w:tblStyle w:val="24"/>
        <w:tblW w:w="10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1536"/>
        <w:gridCol w:w="4964"/>
        <w:gridCol w:w="558"/>
        <w:gridCol w:w="756"/>
        <w:gridCol w:w="1571"/>
      </w:tblGrid>
      <w:tr w14:paraId="7E1B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658" w:type="dxa"/>
            <w:shd w:val="clear" w:color="auto" w:fill="auto"/>
            <w:noWrap/>
            <w:vAlign w:val="center"/>
          </w:tcPr>
          <w:p w14:paraId="55517A4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编号</w:t>
            </w:r>
          </w:p>
        </w:tc>
        <w:tc>
          <w:tcPr>
            <w:tcW w:w="1536" w:type="dxa"/>
            <w:shd w:val="clear" w:color="auto" w:fill="auto"/>
            <w:noWrap/>
            <w:vAlign w:val="center"/>
          </w:tcPr>
          <w:p w14:paraId="7B5DAA7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设备名称</w:t>
            </w:r>
          </w:p>
        </w:tc>
        <w:tc>
          <w:tcPr>
            <w:tcW w:w="4964" w:type="dxa"/>
            <w:shd w:val="clear" w:color="auto" w:fill="auto"/>
            <w:noWrap/>
            <w:vAlign w:val="center"/>
          </w:tcPr>
          <w:p w14:paraId="3340304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技术说明参数规格</w:t>
            </w:r>
          </w:p>
        </w:tc>
        <w:tc>
          <w:tcPr>
            <w:tcW w:w="558" w:type="dxa"/>
            <w:shd w:val="clear" w:color="auto" w:fill="auto"/>
            <w:noWrap/>
            <w:vAlign w:val="center"/>
          </w:tcPr>
          <w:p w14:paraId="7C13D48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756" w:type="dxa"/>
            <w:shd w:val="clear" w:color="auto" w:fill="auto"/>
            <w:noWrap/>
            <w:vAlign w:val="center"/>
          </w:tcPr>
          <w:p w14:paraId="5BF99125">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71" w:type="dxa"/>
            <w:shd w:val="clear" w:color="auto" w:fill="auto"/>
            <w:noWrap/>
            <w:vAlign w:val="center"/>
          </w:tcPr>
          <w:p w14:paraId="5ACD82FA">
            <w:pPr>
              <w:keepNext w:val="0"/>
              <w:keepLines w:val="0"/>
              <w:widowControl/>
              <w:suppressLineNumbers w:val="0"/>
              <w:jc w:val="center"/>
              <w:textAlignment w:val="center"/>
              <w:rPr>
                <w:rFonts w:hint="eastAsia" w:ascii="宋体" w:hAnsi="宋体" w:eastAsia="宋体" w:cs="宋体"/>
                <w:b/>
                <w:bCs/>
                <w:i w:val="0"/>
                <w:iCs w:val="0"/>
                <w:color w:val="auto"/>
                <w:sz w:val="23"/>
                <w:szCs w:val="23"/>
                <w:highlight w:val="none"/>
                <w:u w:val="none"/>
              </w:rPr>
            </w:pPr>
            <w:r>
              <w:rPr>
                <w:rFonts w:hint="eastAsia" w:ascii="宋体" w:hAnsi="宋体" w:cs="宋体"/>
                <w:b/>
                <w:bCs/>
                <w:i w:val="0"/>
                <w:iCs w:val="0"/>
                <w:color w:val="auto"/>
                <w:kern w:val="0"/>
                <w:sz w:val="23"/>
                <w:szCs w:val="23"/>
                <w:highlight w:val="none"/>
                <w:u w:val="none"/>
                <w:lang w:val="en-US" w:eastAsia="zh-CN" w:bidi="ar"/>
              </w:rPr>
              <w:t>参考</w:t>
            </w:r>
            <w:r>
              <w:rPr>
                <w:rFonts w:hint="eastAsia" w:ascii="宋体" w:hAnsi="宋体" w:eastAsia="宋体" w:cs="宋体"/>
                <w:b/>
                <w:bCs/>
                <w:i w:val="0"/>
                <w:iCs w:val="0"/>
                <w:color w:val="auto"/>
                <w:kern w:val="0"/>
                <w:sz w:val="23"/>
                <w:szCs w:val="23"/>
                <w:highlight w:val="none"/>
                <w:u w:val="none"/>
                <w:lang w:val="en-US" w:eastAsia="zh-CN" w:bidi="ar"/>
              </w:rPr>
              <w:t>图片</w:t>
            </w:r>
          </w:p>
        </w:tc>
      </w:tr>
      <w:tr w14:paraId="06E1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2194" w:type="dxa"/>
            <w:gridSpan w:val="2"/>
            <w:shd w:val="clear" w:color="auto" w:fill="auto"/>
            <w:noWrap/>
            <w:vAlign w:val="center"/>
          </w:tcPr>
          <w:p w14:paraId="2BEAF83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明档区</w:t>
            </w:r>
          </w:p>
        </w:tc>
        <w:tc>
          <w:tcPr>
            <w:tcW w:w="4964" w:type="dxa"/>
            <w:shd w:val="clear" w:color="auto" w:fill="auto"/>
            <w:noWrap/>
            <w:vAlign w:val="center"/>
          </w:tcPr>
          <w:p w14:paraId="31FAD06A">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5437B3FD">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62B0631C">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3F672CB1">
            <w:pPr>
              <w:rPr>
                <w:rFonts w:hint="eastAsia" w:ascii="宋体" w:hAnsi="宋体" w:eastAsia="宋体" w:cs="宋体"/>
                <w:i w:val="0"/>
                <w:iCs w:val="0"/>
                <w:color w:val="auto"/>
                <w:sz w:val="22"/>
                <w:szCs w:val="22"/>
                <w:highlight w:val="none"/>
                <w:u w:val="none"/>
              </w:rPr>
            </w:pPr>
          </w:p>
        </w:tc>
      </w:tr>
      <w:tr w14:paraId="0CF4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0" w:hRule="atLeast"/>
          <w:jc w:val="center"/>
        </w:trPr>
        <w:tc>
          <w:tcPr>
            <w:tcW w:w="658" w:type="dxa"/>
            <w:shd w:val="clear" w:color="auto" w:fill="auto"/>
            <w:noWrap/>
            <w:vAlign w:val="center"/>
          </w:tcPr>
          <w:p w14:paraId="3DA1D4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1EEC39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单星盆水池</w:t>
            </w:r>
          </w:p>
        </w:tc>
        <w:tc>
          <w:tcPr>
            <w:tcW w:w="4964" w:type="dxa"/>
            <w:shd w:val="clear" w:color="auto" w:fill="auto"/>
            <w:vAlign w:val="center"/>
          </w:tcPr>
          <w:p w14:paraId="5ADD293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规格：650*760*800mm</w:t>
            </w:r>
          </w:p>
        </w:tc>
        <w:tc>
          <w:tcPr>
            <w:tcW w:w="558" w:type="dxa"/>
            <w:shd w:val="clear" w:color="auto" w:fill="auto"/>
            <w:vAlign w:val="center"/>
          </w:tcPr>
          <w:p w14:paraId="1075D0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5D6494A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63D843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285750</wp:posOffset>
                  </wp:positionH>
                  <wp:positionV relativeFrom="paragraph">
                    <wp:posOffset>219075</wp:posOffset>
                  </wp:positionV>
                  <wp:extent cx="598805" cy="737870"/>
                  <wp:effectExtent l="0" t="0" r="10795" b="5080"/>
                  <wp:wrapNone/>
                  <wp:docPr id="12" name="图片_1"/>
                  <wp:cNvGraphicFramePr/>
                  <a:graphic xmlns:a="http://schemas.openxmlformats.org/drawingml/2006/main">
                    <a:graphicData uri="http://schemas.openxmlformats.org/drawingml/2006/picture">
                      <pic:pic xmlns:pic="http://schemas.openxmlformats.org/drawingml/2006/picture">
                        <pic:nvPicPr>
                          <pic:cNvPr id="12" name="图片_1"/>
                          <pic:cNvPicPr/>
                        </pic:nvPicPr>
                        <pic:blipFill>
                          <a:blip r:embed="rId22"/>
                          <a:stretch>
                            <a:fillRect/>
                          </a:stretch>
                        </pic:blipFill>
                        <pic:spPr>
                          <a:xfrm>
                            <a:off x="0" y="0"/>
                            <a:ext cx="598805" cy="737870"/>
                          </a:xfrm>
                          <a:prstGeom prst="rect">
                            <a:avLst/>
                          </a:prstGeom>
                          <a:noFill/>
                          <a:ln>
                            <a:noFill/>
                          </a:ln>
                        </pic:spPr>
                      </pic:pic>
                    </a:graphicData>
                  </a:graphic>
                </wp:anchor>
              </w:drawing>
            </w:r>
          </w:p>
        </w:tc>
      </w:tr>
      <w:tr w14:paraId="424E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jc w:val="center"/>
        </w:trPr>
        <w:tc>
          <w:tcPr>
            <w:tcW w:w="658" w:type="dxa"/>
            <w:shd w:val="clear" w:color="auto" w:fill="auto"/>
            <w:noWrap/>
            <w:vAlign w:val="center"/>
          </w:tcPr>
          <w:p w14:paraId="66FFC6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4FD059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25BC41C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w:t>
            </w:r>
          </w:p>
          <w:p w14:paraId="10DBB8B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 xml:space="preserve">座台式单孔单温低铅铜铸造本体，表面抛光镀铬处理，增加表面硬度防止磕碰造成划痕的同时提升了外观光洁与美观度。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配1/4转陶瓷阀芯一字型手柄。                                                                                                                   3</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 xml:space="preserve">开孔尺寸25mm,进水接口为标准G1/2外螺纹。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 xml:space="preserve">通体材质为低铅铜，有益于饮用水健康，杜绝饮用水铅含量超标。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5E19FE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36ACFAE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noWrap/>
            <w:vAlign w:val="center"/>
          </w:tcPr>
          <w:p w14:paraId="2FDA6BC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342900</wp:posOffset>
                  </wp:positionH>
                  <wp:positionV relativeFrom="paragraph">
                    <wp:posOffset>57150</wp:posOffset>
                  </wp:positionV>
                  <wp:extent cx="467360" cy="664210"/>
                  <wp:effectExtent l="0" t="0" r="8890" b="2540"/>
                  <wp:wrapNone/>
                  <wp:docPr id="13" name="图片_2"/>
                  <wp:cNvGraphicFramePr/>
                  <a:graphic xmlns:a="http://schemas.openxmlformats.org/drawingml/2006/main">
                    <a:graphicData uri="http://schemas.openxmlformats.org/drawingml/2006/picture">
                      <pic:pic xmlns:pic="http://schemas.openxmlformats.org/drawingml/2006/picture">
                        <pic:nvPicPr>
                          <pic:cNvPr id="13" name="图片_2"/>
                          <pic:cNvPicPr/>
                        </pic:nvPicPr>
                        <pic:blipFill>
                          <a:blip r:embed="rId23"/>
                          <a:stretch>
                            <a:fillRect/>
                          </a:stretch>
                        </pic:blipFill>
                        <pic:spPr>
                          <a:xfrm>
                            <a:off x="0" y="0"/>
                            <a:ext cx="467360" cy="664210"/>
                          </a:xfrm>
                          <a:prstGeom prst="rect">
                            <a:avLst/>
                          </a:prstGeom>
                          <a:noFill/>
                          <a:ln>
                            <a:noFill/>
                          </a:ln>
                        </pic:spPr>
                      </pic:pic>
                    </a:graphicData>
                  </a:graphic>
                </wp:anchor>
              </w:drawing>
            </w:r>
          </w:p>
        </w:tc>
      </w:tr>
      <w:tr w14:paraId="29E5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jc w:val="center"/>
        </w:trPr>
        <w:tc>
          <w:tcPr>
            <w:tcW w:w="658" w:type="dxa"/>
            <w:shd w:val="clear" w:color="auto" w:fill="auto"/>
            <w:noWrap/>
            <w:vAlign w:val="center"/>
          </w:tcPr>
          <w:p w14:paraId="03568D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239053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单通移门荷柜</w:t>
            </w:r>
          </w:p>
        </w:tc>
        <w:tc>
          <w:tcPr>
            <w:tcW w:w="4964" w:type="dxa"/>
            <w:shd w:val="clear" w:color="auto" w:fill="auto"/>
            <w:vAlign w:val="center"/>
          </w:tcPr>
          <w:p w14:paraId="73D58BA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采用优质SUS304-2B不锈钢板制作；台面为δ≥1.2mm，实厚δ≥1.18mm；侧板δ≥1.0mm，实厚δ≥0.89mm；门板δ≥1.0mm，实厚δ≥0.89mm；底板、层板、背板δ≥1.0mm，实厚δ≥0.89mm；配不锈钢加强筋δ≥1.0mm，实厚δ≥0.89mm；配置Φ50*150*1.0mm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规格：1400*700*800mm</w:t>
            </w:r>
          </w:p>
          <w:p w14:paraId="437C74A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●提供所投产品符合单通移门荷柜GB/T38160-2019《不锈钢厨房设备 工作台》、GB4806.9-2023、GB/T 11170-2008《不锈钢多元素含量的测定 火花放电原子发射光谱法（常规法）》抛光及焊接外观检测结果单项为合格，立柱与横梁垂直度形位公差≤3mm，后对承载试验应能承受300kg载荷下变形量≤0.5mm，水平受力试验下框架变形量≤0.7mm，整体破坏载荷≥60kN,抗拉强度≥580，中性盐雾62h,保护检测结果判定为≥10级全部符合的检测报告作为佐证。</w:t>
            </w:r>
          </w:p>
        </w:tc>
        <w:tc>
          <w:tcPr>
            <w:tcW w:w="558" w:type="dxa"/>
            <w:shd w:val="clear" w:color="auto" w:fill="auto"/>
            <w:vAlign w:val="center"/>
          </w:tcPr>
          <w:p w14:paraId="5B6088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020CEB5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2FFE0ED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815340" cy="572135"/>
                  <wp:effectExtent l="0" t="0" r="3810" b="18415"/>
                  <wp:docPr id="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8"/>
                          <pic:cNvPicPr>
                            <a:picLocks noChangeAspect="1"/>
                          </pic:cNvPicPr>
                        </pic:nvPicPr>
                        <pic:blipFill>
                          <a:blip r:embed="rId24"/>
                          <a:srcRect/>
                          <a:stretch>
                            <a:fillRect/>
                          </a:stretch>
                        </pic:blipFill>
                        <pic:spPr>
                          <a:xfrm>
                            <a:off x="0" y="0"/>
                            <a:ext cx="815340" cy="572135"/>
                          </a:xfrm>
                          <a:prstGeom prst="rect">
                            <a:avLst/>
                          </a:prstGeom>
                        </pic:spPr>
                      </pic:pic>
                    </a:graphicData>
                  </a:graphic>
                </wp:inline>
              </w:drawing>
            </w:r>
          </w:p>
        </w:tc>
      </w:tr>
      <w:tr w14:paraId="7473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jc w:val="center"/>
        </w:trPr>
        <w:tc>
          <w:tcPr>
            <w:tcW w:w="658" w:type="dxa"/>
            <w:shd w:val="clear" w:color="auto" w:fill="auto"/>
            <w:noWrap/>
            <w:vAlign w:val="center"/>
          </w:tcPr>
          <w:p w14:paraId="5C03CE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2CBA50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豆浆机</w:t>
            </w:r>
          </w:p>
        </w:tc>
        <w:tc>
          <w:tcPr>
            <w:tcW w:w="4964" w:type="dxa"/>
            <w:shd w:val="clear" w:color="auto" w:fill="auto"/>
            <w:vAlign w:val="center"/>
          </w:tcPr>
          <w:p w14:paraId="16E3274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说明：桶身采用SUS304-2B 发纹贴塑不锈钢板制造，δ=1.2mm；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--三角架要求采用 201不锈钢，脚垫防滑 橡胶；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--要求有满水、防溢出、防干烧保护；</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--要求可干豆制浆，须有预约烧水功能； --机桶内要求圆滑无尖角；须可动过滤、 --要求多重加强防漏密封；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--要求有豆浆、营养米糊、果蔬糜粥、绿 豆沙、玉米糊、自动脱浆、预约烧水、复位等功能。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发热管功率：5250W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电面功率：1800W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规格：50KG</w:t>
            </w:r>
          </w:p>
        </w:tc>
        <w:tc>
          <w:tcPr>
            <w:tcW w:w="558" w:type="dxa"/>
            <w:shd w:val="clear" w:color="auto" w:fill="auto"/>
            <w:vAlign w:val="center"/>
          </w:tcPr>
          <w:p w14:paraId="57CC45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75559B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4782EAF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85725</wp:posOffset>
                  </wp:positionH>
                  <wp:positionV relativeFrom="paragraph">
                    <wp:posOffset>381000</wp:posOffset>
                  </wp:positionV>
                  <wp:extent cx="830580" cy="883920"/>
                  <wp:effectExtent l="0" t="0" r="7620" b="11430"/>
                  <wp:wrapNone/>
                  <wp:docPr id="15" name="图片_4"/>
                  <wp:cNvGraphicFramePr/>
                  <a:graphic xmlns:a="http://schemas.openxmlformats.org/drawingml/2006/main">
                    <a:graphicData uri="http://schemas.openxmlformats.org/drawingml/2006/picture">
                      <pic:pic xmlns:pic="http://schemas.openxmlformats.org/drawingml/2006/picture">
                        <pic:nvPicPr>
                          <pic:cNvPr id="15" name="图片_4"/>
                          <pic:cNvPicPr/>
                        </pic:nvPicPr>
                        <pic:blipFill>
                          <a:blip r:embed="rId25"/>
                          <a:stretch>
                            <a:fillRect/>
                          </a:stretch>
                        </pic:blipFill>
                        <pic:spPr>
                          <a:xfrm>
                            <a:off x="0" y="0"/>
                            <a:ext cx="830580" cy="883920"/>
                          </a:xfrm>
                          <a:prstGeom prst="rect">
                            <a:avLst/>
                          </a:prstGeom>
                          <a:noFill/>
                          <a:ln>
                            <a:noFill/>
                          </a:ln>
                        </pic:spPr>
                      </pic:pic>
                    </a:graphicData>
                  </a:graphic>
                </wp:anchor>
              </w:drawing>
            </w:r>
          </w:p>
        </w:tc>
      </w:tr>
      <w:tr w14:paraId="7321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0" w:hRule="atLeast"/>
          <w:jc w:val="center"/>
        </w:trPr>
        <w:tc>
          <w:tcPr>
            <w:tcW w:w="658" w:type="dxa"/>
            <w:shd w:val="clear" w:color="auto" w:fill="auto"/>
            <w:noWrap/>
            <w:vAlign w:val="center"/>
          </w:tcPr>
          <w:p w14:paraId="048DEB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vAlign w:val="center"/>
          </w:tcPr>
          <w:p w14:paraId="550BD3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电磁扒炉</w:t>
            </w:r>
          </w:p>
        </w:tc>
        <w:tc>
          <w:tcPr>
            <w:tcW w:w="4964" w:type="dxa"/>
            <w:shd w:val="clear" w:color="auto" w:fill="auto"/>
            <w:vAlign w:val="center"/>
          </w:tcPr>
          <w:p w14:paraId="7A50FB8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说明：1、采用SUS304-2B优质不锈钢板制造，灶面板采用一体成型面板，炉体采用优质全不锈钢骨架。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2、0至99档无级功率调节技术，机芯采用分层次散热结构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3、具有全中文显示故障代码功能，让操作更人性化，档位对应功率显示。让操作更加直观。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4、后背防水风机。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5、聚能线盘节能设计，线圈盘无盲区，比传统灶节能30%以上。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6、移相搭桥电路控制技术，性能卓越运行稳定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7、超宽工作电压设计，运行稳定更安全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8、电路防磁干扰EMC模块设计，保护电网及电器设备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功率：380V/12KW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规格：750mm×750mm×800mm</w:t>
            </w:r>
          </w:p>
        </w:tc>
        <w:tc>
          <w:tcPr>
            <w:tcW w:w="558" w:type="dxa"/>
            <w:shd w:val="clear" w:color="auto" w:fill="auto"/>
            <w:vAlign w:val="center"/>
          </w:tcPr>
          <w:p w14:paraId="059E6C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7D13C0E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6239CE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619125</wp:posOffset>
                  </wp:positionV>
                  <wp:extent cx="707390" cy="707390"/>
                  <wp:effectExtent l="0" t="0" r="16510" b="16510"/>
                  <wp:wrapNone/>
                  <wp:docPr id="16" name="图片_5"/>
                  <wp:cNvGraphicFramePr/>
                  <a:graphic xmlns:a="http://schemas.openxmlformats.org/drawingml/2006/main">
                    <a:graphicData uri="http://schemas.openxmlformats.org/drawingml/2006/picture">
                      <pic:pic xmlns:pic="http://schemas.openxmlformats.org/drawingml/2006/picture">
                        <pic:nvPicPr>
                          <pic:cNvPr id="16" name="图片_5"/>
                          <pic:cNvPicPr/>
                        </pic:nvPicPr>
                        <pic:blipFill>
                          <a:blip r:embed="rId26"/>
                          <a:stretch>
                            <a:fillRect/>
                          </a:stretch>
                        </pic:blipFill>
                        <pic:spPr>
                          <a:xfrm>
                            <a:off x="0" y="0"/>
                            <a:ext cx="707390" cy="707390"/>
                          </a:xfrm>
                          <a:prstGeom prst="rect">
                            <a:avLst/>
                          </a:prstGeom>
                          <a:noFill/>
                          <a:ln>
                            <a:noFill/>
                          </a:ln>
                        </pic:spPr>
                      </pic:pic>
                    </a:graphicData>
                  </a:graphic>
                </wp:anchor>
              </w:drawing>
            </w:r>
          </w:p>
        </w:tc>
      </w:tr>
      <w:tr w14:paraId="5188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 w:hRule="atLeast"/>
          <w:jc w:val="center"/>
        </w:trPr>
        <w:tc>
          <w:tcPr>
            <w:tcW w:w="658" w:type="dxa"/>
            <w:shd w:val="clear" w:color="auto" w:fill="auto"/>
            <w:noWrap/>
            <w:vAlign w:val="center"/>
          </w:tcPr>
          <w:p w14:paraId="53B9CA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36" w:type="dxa"/>
            <w:shd w:val="clear" w:color="auto" w:fill="auto"/>
            <w:vAlign w:val="center"/>
          </w:tcPr>
          <w:p w14:paraId="438B9F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电磁双头煮面炉</w:t>
            </w:r>
          </w:p>
        </w:tc>
        <w:tc>
          <w:tcPr>
            <w:tcW w:w="4964" w:type="dxa"/>
            <w:shd w:val="clear" w:color="auto" w:fill="auto"/>
            <w:vAlign w:val="center"/>
          </w:tcPr>
          <w:p w14:paraId="5D3A908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说明：1、采用SUS304-2B优质不锈钢板制造，灶面板采用一体成型面板，炉体采用优质全不锈钢骨架。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2、0至99档无级功率调节技术，机芯采用分层次散热结构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3、具有全中文显示故障代码功能，让操作更人性化，档位对应功率显示。让操作更加直观。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4、后背防水风机。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5、聚能线盘节能设计，线圈盘无盲区，比传统灶节能30%以上。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6、移相搭桥电路控制技术，性能卓越运行稳定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7、超宽工作电压设计，运行稳定更安全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8、电路防磁干扰EMC模块设计，保护电网及电器设备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功率：380V/2×8KW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规格：1500*800*800mm</w:t>
            </w:r>
          </w:p>
        </w:tc>
        <w:tc>
          <w:tcPr>
            <w:tcW w:w="558" w:type="dxa"/>
            <w:shd w:val="clear" w:color="auto" w:fill="auto"/>
            <w:vAlign w:val="center"/>
          </w:tcPr>
          <w:p w14:paraId="51270E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06E816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4619C28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95250</wp:posOffset>
                  </wp:positionH>
                  <wp:positionV relativeFrom="paragraph">
                    <wp:posOffset>533400</wp:posOffset>
                  </wp:positionV>
                  <wp:extent cx="810260" cy="706120"/>
                  <wp:effectExtent l="0" t="0" r="8890" b="17780"/>
                  <wp:wrapNone/>
                  <wp:docPr id="17" name="图片_6"/>
                  <wp:cNvGraphicFramePr/>
                  <a:graphic xmlns:a="http://schemas.openxmlformats.org/drawingml/2006/main">
                    <a:graphicData uri="http://schemas.openxmlformats.org/drawingml/2006/picture">
                      <pic:pic xmlns:pic="http://schemas.openxmlformats.org/drawingml/2006/picture">
                        <pic:nvPicPr>
                          <pic:cNvPr id="17" name="图片_6"/>
                          <pic:cNvPicPr/>
                        </pic:nvPicPr>
                        <pic:blipFill>
                          <a:blip r:embed="rId27"/>
                          <a:stretch>
                            <a:fillRect/>
                          </a:stretch>
                        </pic:blipFill>
                        <pic:spPr>
                          <a:xfrm>
                            <a:off x="0" y="0"/>
                            <a:ext cx="810260" cy="706120"/>
                          </a:xfrm>
                          <a:prstGeom prst="rect">
                            <a:avLst/>
                          </a:prstGeom>
                          <a:noFill/>
                          <a:ln>
                            <a:noFill/>
                          </a:ln>
                        </pic:spPr>
                      </pic:pic>
                    </a:graphicData>
                  </a:graphic>
                </wp:anchor>
              </w:drawing>
            </w:r>
          </w:p>
        </w:tc>
      </w:tr>
      <w:tr w14:paraId="4678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58" w:type="dxa"/>
            <w:shd w:val="clear" w:color="auto" w:fill="auto"/>
            <w:noWrap/>
            <w:vAlign w:val="center"/>
          </w:tcPr>
          <w:p w14:paraId="544C00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536" w:type="dxa"/>
            <w:shd w:val="clear" w:color="auto" w:fill="auto"/>
            <w:vAlign w:val="center"/>
          </w:tcPr>
          <w:p w14:paraId="15445C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电饼铛</w:t>
            </w:r>
          </w:p>
        </w:tc>
        <w:tc>
          <w:tcPr>
            <w:tcW w:w="4964" w:type="dxa"/>
            <w:shd w:val="clear" w:color="auto" w:fill="auto"/>
            <w:vAlign w:val="center"/>
          </w:tcPr>
          <w:p w14:paraId="47105AE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说明：发热盘均采用一次压铸成型、密度高强 度大，不变形，受热均匀；</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--上下盘同时加热，食物两面同时均匀受热，并有自动控温，调温装置，当内部温度达到设定值时，加温自动停止；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电压/功率：380V/7.5KW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规格：840*660*760mm</w:t>
            </w:r>
          </w:p>
        </w:tc>
        <w:tc>
          <w:tcPr>
            <w:tcW w:w="558" w:type="dxa"/>
            <w:shd w:val="clear" w:color="auto" w:fill="auto"/>
            <w:vAlign w:val="center"/>
          </w:tcPr>
          <w:p w14:paraId="06EBF3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7B8735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082676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228600</wp:posOffset>
                  </wp:positionH>
                  <wp:positionV relativeFrom="paragraph">
                    <wp:posOffset>104775</wp:posOffset>
                  </wp:positionV>
                  <wp:extent cx="498475" cy="258445"/>
                  <wp:effectExtent l="0" t="0" r="15875" b="8255"/>
                  <wp:wrapNone/>
                  <wp:docPr id="18" name="图片_7"/>
                  <wp:cNvGraphicFramePr/>
                  <a:graphic xmlns:a="http://schemas.openxmlformats.org/drawingml/2006/main">
                    <a:graphicData uri="http://schemas.openxmlformats.org/drawingml/2006/picture">
                      <pic:pic xmlns:pic="http://schemas.openxmlformats.org/drawingml/2006/picture">
                        <pic:nvPicPr>
                          <pic:cNvPr id="18" name="图片_7"/>
                          <pic:cNvPicPr/>
                        </pic:nvPicPr>
                        <pic:blipFill>
                          <a:blip r:embed="rId28"/>
                          <a:stretch>
                            <a:fillRect/>
                          </a:stretch>
                        </pic:blipFill>
                        <pic:spPr>
                          <a:xfrm>
                            <a:off x="0" y="0"/>
                            <a:ext cx="498475" cy="258445"/>
                          </a:xfrm>
                          <a:prstGeom prst="rect">
                            <a:avLst/>
                          </a:prstGeom>
                          <a:noFill/>
                          <a:ln>
                            <a:noFill/>
                          </a:ln>
                        </pic:spPr>
                      </pic:pic>
                    </a:graphicData>
                  </a:graphic>
                </wp:anchor>
              </w:drawing>
            </w:r>
          </w:p>
        </w:tc>
      </w:tr>
      <w:tr w14:paraId="636A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658" w:type="dxa"/>
            <w:shd w:val="clear" w:color="auto" w:fill="auto"/>
            <w:noWrap/>
            <w:vAlign w:val="center"/>
          </w:tcPr>
          <w:p w14:paraId="49FE54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536" w:type="dxa"/>
            <w:shd w:val="clear" w:color="auto" w:fill="auto"/>
            <w:vAlign w:val="center"/>
          </w:tcPr>
          <w:p w14:paraId="0B852A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调料台</w:t>
            </w:r>
          </w:p>
        </w:tc>
        <w:tc>
          <w:tcPr>
            <w:tcW w:w="4964" w:type="dxa"/>
            <w:shd w:val="clear" w:color="auto" w:fill="auto"/>
            <w:vAlign w:val="center"/>
          </w:tcPr>
          <w:p w14:paraId="3C79CA6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制作；台面δ≥1.2mm，实厚δ≥1.18mm，层板δ≥1.2mm，实厚δ≥1.18mm；脚采用φ38*38mm不锈钢加厚方管制作，实厚δ≥0.89mm；横通档采用25*38*1.0mm，实厚δ≥0.89mm；下衬12mm密度板减噪，配不锈钢加强筋、板δ=1.0mm，实厚δ≥0.89mm；外形与灶具同款设计，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规格：500*700*800mm</w:t>
            </w:r>
          </w:p>
        </w:tc>
        <w:tc>
          <w:tcPr>
            <w:tcW w:w="558" w:type="dxa"/>
            <w:shd w:val="clear" w:color="auto" w:fill="auto"/>
            <w:vAlign w:val="center"/>
          </w:tcPr>
          <w:p w14:paraId="6C4DFB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6789AF5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342793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219075</wp:posOffset>
                  </wp:positionH>
                  <wp:positionV relativeFrom="paragraph">
                    <wp:posOffset>161925</wp:posOffset>
                  </wp:positionV>
                  <wp:extent cx="563245" cy="617855"/>
                  <wp:effectExtent l="0" t="0" r="8255" b="10795"/>
                  <wp:wrapNone/>
                  <wp:docPr id="19" name="图片_8"/>
                  <wp:cNvGraphicFramePr/>
                  <a:graphic xmlns:a="http://schemas.openxmlformats.org/drawingml/2006/main">
                    <a:graphicData uri="http://schemas.openxmlformats.org/drawingml/2006/picture">
                      <pic:pic xmlns:pic="http://schemas.openxmlformats.org/drawingml/2006/picture">
                        <pic:nvPicPr>
                          <pic:cNvPr id="19" name="图片_8"/>
                          <pic:cNvPicPr/>
                        </pic:nvPicPr>
                        <pic:blipFill>
                          <a:blip r:embed="rId29"/>
                          <a:stretch>
                            <a:fillRect/>
                          </a:stretch>
                        </pic:blipFill>
                        <pic:spPr>
                          <a:xfrm>
                            <a:off x="0" y="0"/>
                            <a:ext cx="563245" cy="617855"/>
                          </a:xfrm>
                          <a:prstGeom prst="rect">
                            <a:avLst/>
                          </a:prstGeom>
                          <a:noFill/>
                          <a:ln>
                            <a:noFill/>
                          </a:ln>
                        </pic:spPr>
                      </pic:pic>
                    </a:graphicData>
                  </a:graphic>
                </wp:anchor>
              </w:drawing>
            </w:r>
          </w:p>
        </w:tc>
      </w:tr>
      <w:tr w14:paraId="6446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jc w:val="center"/>
        </w:trPr>
        <w:tc>
          <w:tcPr>
            <w:tcW w:w="658" w:type="dxa"/>
            <w:shd w:val="clear" w:color="auto" w:fill="auto"/>
            <w:noWrap/>
            <w:vAlign w:val="center"/>
          </w:tcPr>
          <w:p w14:paraId="09AFD6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536" w:type="dxa"/>
            <w:shd w:val="clear" w:color="auto" w:fill="auto"/>
            <w:vAlign w:val="center"/>
          </w:tcPr>
          <w:p w14:paraId="1E3884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四门冰箱</w:t>
            </w:r>
          </w:p>
        </w:tc>
        <w:tc>
          <w:tcPr>
            <w:tcW w:w="4964" w:type="dxa"/>
            <w:shd w:val="clear" w:color="auto" w:fill="auto"/>
            <w:vAlign w:val="center"/>
          </w:tcPr>
          <w:p w14:paraId="456DF64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1、制冷方式：风冷，温度：-5℃~-22℃，有效容量≥790L，额定电压及频率：220V~50HZ，额定功率≤660W；尺寸：1200*750*1970mm</w:t>
            </w:r>
          </w:p>
          <w:p w14:paraId="01819424">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2、箱体内外均采用食品级不锈钢，箱体整体发泡，中梁配加热丝，可拆卸门封条，自动回归门设计；纯铜蒸发器，纯铜冷凝器，在最高42℃的极端环境温度下也能正常制冷；</w:t>
            </w:r>
          </w:p>
          <w:p w14:paraId="260AEDA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3、配置离子食物保鲜系统，通过释放活氧抑制细菌生长，通过释放负离子延缓食物氧化，延长食物保鲜时间；</w:t>
            </w:r>
          </w:p>
        </w:tc>
        <w:tc>
          <w:tcPr>
            <w:tcW w:w="558" w:type="dxa"/>
            <w:shd w:val="clear" w:color="auto" w:fill="auto"/>
            <w:vAlign w:val="center"/>
          </w:tcPr>
          <w:p w14:paraId="066127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72A9F10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7A0C774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228600</wp:posOffset>
                  </wp:positionH>
                  <wp:positionV relativeFrom="paragraph">
                    <wp:posOffset>361950</wp:posOffset>
                  </wp:positionV>
                  <wp:extent cx="492125" cy="765175"/>
                  <wp:effectExtent l="0" t="0" r="3175" b="15875"/>
                  <wp:wrapNone/>
                  <wp:docPr id="20" name="图片_9"/>
                  <wp:cNvGraphicFramePr/>
                  <a:graphic xmlns:a="http://schemas.openxmlformats.org/drawingml/2006/main">
                    <a:graphicData uri="http://schemas.openxmlformats.org/drawingml/2006/picture">
                      <pic:pic xmlns:pic="http://schemas.openxmlformats.org/drawingml/2006/picture">
                        <pic:nvPicPr>
                          <pic:cNvPr id="20" name="图片_9"/>
                          <pic:cNvPicPr/>
                        </pic:nvPicPr>
                        <pic:blipFill>
                          <a:blip r:embed="rId30"/>
                          <a:stretch>
                            <a:fillRect/>
                          </a:stretch>
                        </pic:blipFill>
                        <pic:spPr>
                          <a:xfrm>
                            <a:off x="0" y="0"/>
                            <a:ext cx="492125" cy="765175"/>
                          </a:xfrm>
                          <a:prstGeom prst="rect">
                            <a:avLst/>
                          </a:prstGeom>
                          <a:noFill/>
                          <a:ln>
                            <a:noFill/>
                          </a:ln>
                        </pic:spPr>
                      </pic:pic>
                    </a:graphicData>
                  </a:graphic>
                </wp:anchor>
              </w:drawing>
            </w:r>
          </w:p>
        </w:tc>
      </w:tr>
      <w:tr w14:paraId="5932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658" w:type="dxa"/>
            <w:shd w:val="clear" w:color="auto" w:fill="auto"/>
            <w:noWrap/>
            <w:vAlign w:val="center"/>
          </w:tcPr>
          <w:p w14:paraId="629AE5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536" w:type="dxa"/>
            <w:shd w:val="clear" w:color="auto" w:fill="auto"/>
            <w:vAlign w:val="center"/>
          </w:tcPr>
          <w:p w14:paraId="0A5857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四门冰箱</w:t>
            </w:r>
          </w:p>
        </w:tc>
        <w:tc>
          <w:tcPr>
            <w:tcW w:w="4964" w:type="dxa"/>
            <w:shd w:val="clear" w:color="auto" w:fill="auto"/>
            <w:vAlign w:val="center"/>
          </w:tcPr>
          <w:p w14:paraId="79150EAB">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1、制冷方式：风冷，温度：-</w:t>
            </w: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w:t>
            </w:r>
            <w:r>
              <w:rPr>
                <w:rFonts w:hint="eastAsia" w:ascii="宋体" w:hAnsi="宋体" w:cs="宋体"/>
                <w:i w:val="0"/>
                <w:iCs w:val="0"/>
                <w:color w:val="auto"/>
                <w:kern w:val="0"/>
                <w:sz w:val="22"/>
                <w:szCs w:val="22"/>
                <w:highlight w:val="none"/>
                <w:u w:val="none"/>
                <w:lang w:val="en-US" w:eastAsia="zh-CN" w:bidi="ar"/>
              </w:rPr>
              <w:t>8</w:t>
            </w:r>
            <w:r>
              <w:rPr>
                <w:rFonts w:hint="eastAsia" w:ascii="宋体" w:hAnsi="宋体" w:eastAsia="宋体" w:cs="宋体"/>
                <w:i w:val="0"/>
                <w:iCs w:val="0"/>
                <w:color w:val="auto"/>
                <w:kern w:val="0"/>
                <w:sz w:val="22"/>
                <w:szCs w:val="22"/>
                <w:highlight w:val="none"/>
                <w:u w:val="none"/>
                <w:lang w:val="en-US" w:eastAsia="zh-CN" w:bidi="ar"/>
              </w:rPr>
              <w:t>℃，有效容量≥790L，额定电压及频率：220V~50HZ，额定功率≤660W；尺寸：1200*750*1970mm</w:t>
            </w:r>
          </w:p>
          <w:p w14:paraId="79E91DCD">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2、箱体内外均采用食品级不锈钢，箱体整体发泡，中梁配加热丝，可拆卸门封条，自动回归门设计；纯铜蒸发器，纯铜冷凝器，在最高42℃的极端环境温度下也能正常制冷；</w:t>
            </w:r>
          </w:p>
          <w:p w14:paraId="78C2B45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3、配置离子食物保鲜系统，通过释放活氧抑制细菌生长，通过释放负离子延缓食物氧化，延长食物保鲜时间；</w:t>
            </w:r>
          </w:p>
        </w:tc>
        <w:tc>
          <w:tcPr>
            <w:tcW w:w="558" w:type="dxa"/>
            <w:shd w:val="clear" w:color="auto" w:fill="auto"/>
            <w:vAlign w:val="center"/>
          </w:tcPr>
          <w:p w14:paraId="007A53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0EAE1E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784DF2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257175</wp:posOffset>
                  </wp:positionH>
                  <wp:positionV relativeFrom="paragraph">
                    <wp:posOffset>352425</wp:posOffset>
                  </wp:positionV>
                  <wp:extent cx="492125" cy="765175"/>
                  <wp:effectExtent l="0" t="0" r="3175" b="15875"/>
                  <wp:wrapNone/>
                  <wp:docPr id="21" name="图片_10"/>
                  <wp:cNvGraphicFramePr/>
                  <a:graphic xmlns:a="http://schemas.openxmlformats.org/drawingml/2006/main">
                    <a:graphicData uri="http://schemas.openxmlformats.org/drawingml/2006/picture">
                      <pic:pic xmlns:pic="http://schemas.openxmlformats.org/drawingml/2006/picture">
                        <pic:nvPicPr>
                          <pic:cNvPr id="21" name="图片_10"/>
                          <pic:cNvPicPr/>
                        </pic:nvPicPr>
                        <pic:blipFill>
                          <a:blip r:embed="rId30"/>
                          <a:stretch>
                            <a:fillRect/>
                          </a:stretch>
                        </pic:blipFill>
                        <pic:spPr>
                          <a:xfrm>
                            <a:off x="0" y="0"/>
                            <a:ext cx="492125" cy="765175"/>
                          </a:xfrm>
                          <a:prstGeom prst="rect">
                            <a:avLst/>
                          </a:prstGeom>
                          <a:noFill/>
                          <a:ln>
                            <a:noFill/>
                          </a:ln>
                        </pic:spPr>
                      </pic:pic>
                    </a:graphicData>
                  </a:graphic>
                </wp:anchor>
              </w:drawing>
            </w:r>
          </w:p>
        </w:tc>
      </w:tr>
      <w:tr w14:paraId="50C9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2194" w:type="dxa"/>
            <w:gridSpan w:val="2"/>
            <w:shd w:val="clear" w:color="auto" w:fill="auto"/>
            <w:noWrap/>
            <w:vAlign w:val="center"/>
          </w:tcPr>
          <w:p w14:paraId="4FA30D4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一次更衣室</w:t>
            </w:r>
          </w:p>
        </w:tc>
        <w:tc>
          <w:tcPr>
            <w:tcW w:w="4964" w:type="dxa"/>
            <w:shd w:val="clear" w:color="auto" w:fill="auto"/>
            <w:noWrap/>
            <w:vAlign w:val="center"/>
          </w:tcPr>
          <w:p w14:paraId="3E4B56F9">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3792000D">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1CF1D2DD">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117E91C8">
            <w:pPr>
              <w:rPr>
                <w:rFonts w:hint="eastAsia" w:ascii="宋体" w:hAnsi="宋体" w:eastAsia="宋体" w:cs="宋体"/>
                <w:i w:val="0"/>
                <w:iCs w:val="0"/>
                <w:color w:val="auto"/>
                <w:sz w:val="22"/>
                <w:szCs w:val="22"/>
                <w:highlight w:val="none"/>
                <w:u w:val="none"/>
              </w:rPr>
            </w:pPr>
          </w:p>
        </w:tc>
      </w:tr>
      <w:tr w14:paraId="173B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00" w:hRule="atLeast"/>
          <w:jc w:val="center"/>
        </w:trPr>
        <w:tc>
          <w:tcPr>
            <w:tcW w:w="658" w:type="dxa"/>
            <w:shd w:val="clear" w:color="auto" w:fill="auto"/>
            <w:vAlign w:val="center"/>
          </w:tcPr>
          <w:p w14:paraId="33D2D2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060A3B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60E6AD3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01BDDC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30DA08F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vAlign w:val="center"/>
          </w:tcPr>
          <w:p w14:paraId="0C1110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247650</wp:posOffset>
                  </wp:positionH>
                  <wp:positionV relativeFrom="paragraph">
                    <wp:posOffset>85725</wp:posOffset>
                  </wp:positionV>
                  <wp:extent cx="381000" cy="541020"/>
                  <wp:effectExtent l="0" t="0" r="0" b="11430"/>
                  <wp:wrapNone/>
                  <wp:docPr id="22" name="图片_11"/>
                  <wp:cNvGraphicFramePr/>
                  <a:graphic xmlns:a="http://schemas.openxmlformats.org/drawingml/2006/main">
                    <a:graphicData uri="http://schemas.openxmlformats.org/drawingml/2006/picture">
                      <pic:pic xmlns:pic="http://schemas.openxmlformats.org/drawingml/2006/picture">
                        <pic:nvPicPr>
                          <pic:cNvPr id="22" name="图片_11"/>
                          <pic:cNvPicPr/>
                        </pic:nvPicPr>
                        <pic:blipFill>
                          <a:blip r:embed="rId31"/>
                          <a:stretch>
                            <a:fillRect/>
                          </a:stretch>
                        </pic:blipFill>
                        <pic:spPr>
                          <a:xfrm>
                            <a:off x="0" y="0"/>
                            <a:ext cx="381000" cy="541020"/>
                          </a:xfrm>
                          <a:prstGeom prst="rect">
                            <a:avLst/>
                          </a:prstGeom>
                          <a:noFill/>
                          <a:ln>
                            <a:noFill/>
                          </a:ln>
                        </pic:spPr>
                      </pic:pic>
                    </a:graphicData>
                  </a:graphic>
                </wp:anchor>
              </w:drawing>
            </w:r>
          </w:p>
        </w:tc>
      </w:tr>
      <w:tr w14:paraId="377C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5" w:hRule="atLeast"/>
          <w:jc w:val="center"/>
        </w:trPr>
        <w:tc>
          <w:tcPr>
            <w:tcW w:w="658" w:type="dxa"/>
            <w:shd w:val="clear" w:color="auto" w:fill="auto"/>
            <w:vAlign w:val="center"/>
          </w:tcPr>
          <w:p w14:paraId="5A4672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343980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不锈钢储存柜</w:t>
            </w:r>
          </w:p>
        </w:tc>
        <w:tc>
          <w:tcPr>
            <w:tcW w:w="4964" w:type="dxa"/>
            <w:shd w:val="clear" w:color="auto" w:fill="auto"/>
            <w:vAlign w:val="center"/>
          </w:tcPr>
          <w:p w14:paraId="6F5F708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说明：采用优质发纹贴塑不锈钢板制做，底板、层板δ1.0mm；侧板、门面、后板δ0.8mm；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规格：900mm×400mm×1800mm</w:t>
            </w:r>
          </w:p>
        </w:tc>
        <w:tc>
          <w:tcPr>
            <w:tcW w:w="558" w:type="dxa"/>
            <w:shd w:val="clear" w:color="auto" w:fill="auto"/>
            <w:vAlign w:val="center"/>
          </w:tcPr>
          <w:p w14:paraId="78C8B0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56" w:type="dxa"/>
            <w:shd w:val="clear" w:color="auto" w:fill="auto"/>
            <w:vAlign w:val="center"/>
          </w:tcPr>
          <w:p w14:paraId="2616CD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4E165DD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285750</wp:posOffset>
                  </wp:positionH>
                  <wp:positionV relativeFrom="paragraph">
                    <wp:posOffset>50800</wp:posOffset>
                  </wp:positionV>
                  <wp:extent cx="445135" cy="755650"/>
                  <wp:effectExtent l="0" t="0" r="12065" b="6350"/>
                  <wp:wrapNone/>
                  <wp:docPr id="23" name="图片_214"/>
                  <wp:cNvGraphicFramePr/>
                  <a:graphic xmlns:a="http://schemas.openxmlformats.org/drawingml/2006/main">
                    <a:graphicData uri="http://schemas.openxmlformats.org/drawingml/2006/picture">
                      <pic:pic xmlns:pic="http://schemas.openxmlformats.org/drawingml/2006/picture">
                        <pic:nvPicPr>
                          <pic:cNvPr id="23" name="图片_214"/>
                          <pic:cNvPicPr/>
                        </pic:nvPicPr>
                        <pic:blipFill>
                          <a:blip r:embed="rId32"/>
                          <a:stretch>
                            <a:fillRect/>
                          </a:stretch>
                        </pic:blipFill>
                        <pic:spPr>
                          <a:xfrm>
                            <a:off x="0" y="0"/>
                            <a:ext cx="445135" cy="755650"/>
                          </a:xfrm>
                          <a:prstGeom prst="rect">
                            <a:avLst/>
                          </a:prstGeom>
                          <a:noFill/>
                          <a:ln>
                            <a:noFill/>
                          </a:ln>
                        </pic:spPr>
                      </pic:pic>
                    </a:graphicData>
                  </a:graphic>
                </wp:anchor>
              </w:drawing>
            </w:r>
          </w:p>
        </w:tc>
      </w:tr>
      <w:tr w14:paraId="36D6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0" w:hRule="atLeast"/>
          <w:jc w:val="center"/>
        </w:trPr>
        <w:tc>
          <w:tcPr>
            <w:tcW w:w="658" w:type="dxa"/>
            <w:shd w:val="clear" w:color="auto" w:fill="auto"/>
            <w:vAlign w:val="center"/>
          </w:tcPr>
          <w:p w14:paraId="746D80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3D721B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四层不锈钢储物柜</w:t>
            </w:r>
          </w:p>
        </w:tc>
        <w:tc>
          <w:tcPr>
            <w:tcW w:w="4964" w:type="dxa"/>
            <w:shd w:val="clear" w:color="auto" w:fill="auto"/>
            <w:vAlign w:val="center"/>
          </w:tcPr>
          <w:p w14:paraId="0A0B035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说明：采用SUS304-2B优质不锈钢板制造，δ=1.2mm。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规格：1200mm×400mm×1000mm</w:t>
            </w:r>
          </w:p>
        </w:tc>
        <w:tc>
          <w:tcPr>
            <w:tcW w:w="558" w:type="dxa"/>
            <w:shd w:val="clear" w:color="auto" w:fill="auto"/>
            <w:vAlign w:val="center"/>
          </w:tcPr>
          <w:p w14:paraId="13F645C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126AD5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B68C1AA">
            <w:pPr>
              <w:rPr>
                <w:rFonts w:hint="eastAsia" w:ascii="宋体" w:hAnsi="宋体" w:eastAsia="宋体" w:cs="宋体"/>
                <w:i w:val="0"/>
                <w:iCs w:val="0"/>
                <w:color w:val="auto"/>
                <w:sz w:val="22"/>
                <w:szCs w:val="22"/>
                <w:highlight w:val="none"/>
                <w:u w:val="none"/>
              </w:rPr>
            </w:pPr>
          </w:p>
        </w:tc>
      </w:tr>
      <w:tr w14:paraId="350C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194" w:type="dxa"/>
            <w:gridSpan w:val="2"/>
            <w:shd w:val="clear" w:color="auto" w:fill="auto"/>
            <w:vAlign w:val="center"/>
          </w:tcPr>
          <w:p w14:paraId="756159E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洁具间</w:t>
            </w:r>
          </w:p>
        </w:tc>
        <w:tc>
          <w:tcPr>
            <w:tcW w:w="4964" w:type="dxa"/>
            <w:shd w:val="clear" w:color="auto" w:fill="auto"/>
            <w:vAlign w:val="center"/>
          </w:tcPr>
          <w:p w14:paraId="2C0BDED8">
            <w:pPr>
              <w:jc w:val="left"/>
              <w:rPr>
                <w:rFonts w:hint="eastAsia" w:ascii="宋体" w:hAnsi="宋体" w:eastAsia="宋体" w:cs="宋体"/>
                <w:i w:val="0"/>
                <w:iCs w:val="0"/>
                <w:color w:val="auto"/>
                <w:sz w:val="22"/>
                <w:szCs w:val="22"/>
                <w:highlight w:val="none"/>
                <w:u w:val="none"/>
              </w:rPr>
            </w:pPr>
          </w:p>
        </w:tc>
        <w:tc>
          <w:tcPr>
            <w:tcW w:w="558" w:type="dxa"/>
            <w:shd w:val="clear" w:color="auto" w:fill="auto"/>
            <w:vAlign w:val="center"/>
          </w:tcPr>
          <w:p w14:paraId="10FC14B6">
            <w:pPr>
              <w:jc w:val="center"/>
              <w:rPr>
                <w:rFonts w:hint="eastAsia" w:ascii="宋体" w:hAnsi="宋体" w:eastAsia="宋体" w:cs="宋体"/>
                <w:i w:val="0"/>
                <w:iCs w:val="0"/>
                <w:color w:val="auto"/>
                <w:sz w:val="22"/>
                <w:szCs w:val="22"/>
                <w:highlight w:val="none"/>
                <w:u w:val="none"/>
              </w:rPr>
            </w:pPr>
          </w:p>
        </w:tc>
        <w:tc>
          <w:tcPr>
            <w:tcW w:w="756" w:type="dxa"/>
            <w:shd w:val="clear" w:color="auto" w:fill="auto"/>
            <w:vAlign w:val="center"/>
          </w:tcPr>
          <w:p w14:paraId="3A9E8F42">
            <w:pPr>
              <w:jc w:val="center"/>
              <w:rPr>
                <w:rFonts w:hint="eastAsia" w:ascii="宋体" w:hAnsi="宋体" w:eastAsia="宋体" w:cs="宋体"/>
                <w:i w:val="0"/>
                <w:iCs w:val="0"/>
                <w:color w:val="auto"/>
                <w:sz w:val="18"/>
                <w:szCs w:val="18"/>
                <w:highlight w:val="none"/>
                <w:u w:val="none"/>
              </w:rPr>
            </w:pPr>
          </w:p>
        </w:tc>
        <w:tc>
          <w:tcPr>
            <w:tcW w:w="1571" w:type="dxa"/>
            <w:shd w:val="clear" w:color="auto" w:fill="auto"/>
            <w:vAlign w:val="center"/>
          </w:tcPr>
          <w:p w14:paraId="12C54BD3">
            <w:pPr>
              <w:rPr>
                <w:rFonts w:hint="eastAsia" w:ascii="宋体" w:hAnsi="宋体" w:eastAsia="宋体" w:cs="宋体"/>
                <w:i w:val="0"/>
                <w:iCs w:val="0"/>
                <w:color w:val="auto"/>
                <w:sz w:val="22"/>
                <w:szCs w:val="22"/>
                <w:highlight w:val="none"/>
                <w:u w:val="none"/>
              </w:rPr>
            </w:pPr>
          </w:p>
        </w:tc>
      </w:tr>
      <w:tr w14:paraId="5EF7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658" w:type="dxa"/>
            <w:shd w:val="clear" w:color="auto" w:fill="auto"/>
            <w:vAlign w:val="center"/>
          </w:tcPr>
          <w:p w14:paraId="593B76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08C2DB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拖把池</w:t>
            </w:r>
          </w:p>
        </w:tc>
        <w:tc>
          <w:tcPr>
            <w:tcW w:w="4964" w:type="dxa"/>
            <w:shd w:val="clear" w:color="auto" w:fill="auto"/>
            <w:vAlign w:val="center"/>
          </w:tcPr>
          <w:p w14:paraId="2C400E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说明：采用SUS304-2B不锈钢板制造， 水槽厚度1.0mm,前面，侧面三面封板厚度1.0mm, 台脚管壁厚度1.2mm，配不锈钢落水器，拦渣斗，波纹下水管。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规格：1200*500*1800mm</w:t>
            </w:r>
          </w:p>
        </w:tc>
        <w:tc>
          <w:tcPr>
            <w:tcW w:w="558" w:type="dxa"/>
            <w:shd w:val="clear" w:color="auto" w:fill="auto"/>
            <w:vAlign w:val="center"/>
          </w:tcPr>
          <w:p w14:paraId="34A0F3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4501B44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77A18C4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152400</wp:posOffset>
                  </wp:positionH>
                  <wp:positionV relativeFrom="paragraph">
                    <wp:posOffset>88900</wp:posOffset>
                  </wp:positionV>
                  <wp:extent cx="706755" cy="713740"/>
                  <wp:effectExtent l="0" t="0" r="17145" b="10160"/>
                  <wp:wrapNone/>
                  <wp:docPr id="24" name="图片_13"/>
                  <wp:cNvGraphicFramePr/>
                  <a:graphic xmlns:a="http://schemas.openxmlformats.org/drawingml/2006/main">
                    <a:graphicData uri="http://schemas.openxmlformats.org/drawingml/2006/picture">
                      <pic:pic xmlns:pic="http://schemas.openxmlformats.org/drawingml/2006/picture">
                        <pic:nvPicPr>
                          <pic:cNvPr id="24" name="图片_13"/>
                          <pic:cNvPicPr/>
                        </pic:nvPicPr>
                        <pic:blipFill>
                          <a:blip r:embed="rId33"/>
                          <a:stretch>
                            <a:fillRect/>
                          </a:stretch>
                        </pic:blipFill>
                        <pic:spPr>
                          <a:xfrm>
                            <a:off x="0" y="0"/>
                            <a:ext cx="706755" cy="713740"/>
                          </a:xfrm>
                          <a:prstGeom prst="rect">
                            <a:avLst/>
                          </a:prstGeom>
                          <a:noFill/>
                          <a:ln>
                            <a:noFill/>
                          </a:ln>
                        </pic:spPr>
                      </pic:pic>
                    </a:graphicData>
                  </a:graphic>
                </wp:anchor>
              </w:drawing>
            </w:r>
          </w:p>
        </w:tc>
      </w:tr>
      <w:tr w14:paraId="5408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2194" w:type="dxa"/>
            <w:gridSpan w:val="2"/>
            <w:shd w:val="clear" w:color="auto" w:fill="auto"/>
            <w:noWrap/>
            <w:vAlign w:val="center"/>
          </w:tcPr>
          <w:p w14:paraId="5BC6E93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售菜区</w:t>
            </w:r>
          </w:p>
        </w:tc>
        <w:tc>
          <w:tcPr>
            <w:tcW w:w="4964" w:type="dxa"/>
            <w:shd w:val="clear" w:color="auto" w:fill="auto"/>
            <w:noWrap/>
            <w:vAlign w:val="center"/>
          </w:tcPr>
          <w:p w14:paraId="4A92F5EF">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6BDBF4B7">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1A9FE24B">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48451BB0">
            <w:pPr>
              <w:rPr>
                <w:rFonts w:hint="eastAsia" w:ascii="宋体" w:hAnsi="宋体" w:eastAsia="宋体" w:cs="宋体"/>
                <w:i w:val="0"/>
                <w:iCs w:val="0"/>
                <w:color w:val="auto"/>
                <w:sz w:val="22"/>
                <w:szCs w:val="22"/>
                <w:highlight w:val="none"/>
                <w:u w:val="none"/>
              </w:rPr>
            </w:pPr>
          </w:p>
        </w:tc>
      </w:tr>
      <w:tr w14:paraId="7022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658" w:type="dxa"/>
            <w:shd w:val="clear" w:color="auto" w:fill="auto"/>
            <w:vAlign w:val="center"/>
          </w:tcPr>
          <w:p w14:paraId="330D0F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082608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单通移门荷台柜</w:t>
            </w:r>
          </w:p>
        </w:tc>
        <w:tc>
          <w:tcPr>
            <w:tcW w:w="4964" w:type="dxa"/>
            <w:shd w:val="clear" w:color="auto" w:fill="auto"/>
            <w:vAlign w:val="center"/>
          </w:tcPr>
          <w:p w14:paraId="670C87C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优质SUS304-2B不锈钢板制作；台面为δ≥1.2mm，实厚δ≥1.18mm；侧板δ≥1.0mm，实厚δ≥0.89mm；门板δ≥1.0mm，实厚δ≥0.89mm；底板、层板、背板δ≥1.0mm，实厚δ≥0.89mm；内置一层可调层板，配不锈钢加强筋δ≥1.0mm，实厚δ≥0.89mm；配置Φ50*150*1.0mm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规格：1800*800*800mm</w:t>
            </w:r>
          </w:p>
        </w:tc>
        <w:tc>
          <w:tcPr>
            <w:tcW w:w="558" w:type="dxa"/>
            <w:shd w:val="clear" w:color="auto" w:fill="auto"/>
            <w:vAlign w:val="center"/>
          </w:tcPr>
          <w:p w14:paraId="6E8BE9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28D114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466B8A2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57150</wp:posOffset>
                  </wp:positionH>
                  <wp:positionV relativeFrom="paragraph">
                    <wp:posOffset>231775</wp:posOffset>
                  </wp:positionV>
                  <wp:extent cx="727075" cy="449580"/>
                  <wp:effectExtent l="0" t="0" r="15875" b="7620"/>
                  <wp:wrapNone/>
                  <wp:docPr id="25" name="图片_14"/>
                  <wp:cNvGraphicFramePr/>
                  <a:graphic xmlns:a="http://schemas.openxmlformats.org/drawingml/2006/main">
                    <a:graphicData uri="http://schemas.openxmlformats.org/drawingml/2006/picture">
                      <pic:pic xmlns:pic="http://schemas.openxmlformats.org/drawingml/2006/picture">
                        <pic:nvPicPr>
                          <pic:cNvPr id="25" name="图片_14"/>
                          <pic:cNvPicPr/>
                        </pic:nvPicPr>
                        <pic:blipFill>
                          <a:blip r:embed="rId34"/>
                          <a:stretch>
                            <a:fillRect/>
                          </a:stretch>
                        </pic:blipFill>
                        <pic:spPr>
                          <a:xfrm>
                            <a:off x="0" y="0"/>
                            <a:ext cx="727075" cy="449580"/>
                          </a:xfrm>
                          <a:prstGeom prst="rect">
                            <a:avLst/>
                          </a:prstGeom>
                          <a:noFill/>
                          <a:ln>
                            <a:noFill/>
                          </a:ln>
                        </pic:spPr>
                      </pic:pic>
                    </a:graphicData>
                  </a:graphic>
                </wp:anchor>
              </w:drawing>
            </w:r>
          </w:p>
        </w:tc>
      </w:tr>
      <w:tr w14:paraId="3BDD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31123F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01A989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单星盆水池</w:t>
            </w:r>
          </w:p>
        </w:tc>
        <w:tc>
          <w:tcPr>
            <w:tcW w:w="4964" w:type="dxa"/>
            <w:shd w:val="clear" w:color="auto" w:fill="auto"/>
            <w:vAlign w:val="center"/>
          </w:tcPr>
          <w:p w14:paraId="1BA3E6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规格：650*800*800mm</w:t>
            </w:r>
          </w:p>
        </w:tc>
        <w:tc>
          <w:tcPr>
            <w:tcW w:w="558" w:type="dxa"/>
            <w:shd w:val="clear" w:color="auto" w:fill="auto"/>
            <w:vAlign w:val="center"/>
          </w:tcPr>
          <w:p w14:paraId="65C429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2CADF72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62DAB7A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228600</wp:posOffset>
                  </wp:positionH>
                  <wp:positionV relativeFrom="paragraph">
                    <wp:posOffset>38100</wp:posOffset>
                  </wp:positionV>
                  <wp:extent cx="598805" cy="737870"/>
                  <wp:effectExtent l="0" t="0" r="10795" b="5080"/>
                  <wp:wrapNone/>
                  <wp:docPr id="27" name="图片_15"/>
                  <wp:cNvGraphicFramePr/>
                  <a:graphic xmlns:a="http://schemas.openxmlformats.org/drawingml/2006/main">
                    <a:graphicData uri="http://schemas.openxmlformats.org/drawingml/2006/picture">
                      <pic:pic xmlns:pic="http://schemas.openxmlformats.org/drawingml/2006/picture">
                        <pic:nvPicPr>
                          <pic:cNvPr id="27" name="图片_15"/>
                          <pic:cNvPicPr/>
                        </pic:nvPicPr>
                        <pic:blipFill>
                          <a:blip r:embed="rId22"/>
                          <a:stretch>
                            <a:fillRect/>
                          </a:stretch>
                        </pic:blipFill>
                        <pic:spPr>
                          <a:xfrm>
                            <a:off x="0" y="0"/>
                            <a:ext cx="598805" cy="737870"/>
                          </a:xfrm>
                          <a:prstGeom prst="rect">
                            <a:avLst/>
                          </a:prstGeom>
                          <a:noFill/>
                          <a:ln>
                            <a:noFill/>
                          </a:ln>
                        </pic:spPr>
                      </pic:pic>
                    </a:graphicData>
                  </a:graphic>
                </wp:anchor>
              </w:drawing>
            </w:r>
          </w:p>
        </w:tc>
      </w:tr>
      <w:tr w14:paraId="0CA4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658" w:type="dxa"/>
            <w:shd w:val="clear" w:color="auto" w:fill="auto"/>
            <w:vAlign w:val="center"/>
          </w:tcPr>
          <w:p w14:paraId="7FEFC2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7D85BC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277113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0B4DF0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032BCC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vAlign w:val="center"/>
          </w:tcPr>
          <w:p w14:paraId="7BDDB13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333375</wp:posOffset>
                  </wp:positionH>
                  <wp:positionV relativeFrom="paragraph">
                    <wp:posOffset>76200</wp:posOffset>
                  </wp:positionV>
                  <wp:extent cx="381000" cy="541020"/>
                  <wp:effectExtent l="0" t="0" r="0" b="11430"/>
                  <wp:wrapNone/>
                  <wp:docPr id="32" name="图片_16"/>
                  <wp:cNvGraphicFramePr/>
                  <a:graphic xmlns:a="http://schemas.openxmlformats.org/drawingml/2006/main">
                    <a:graphicData uri="http://schemas.openxmlformats.org/drawingml/2006/picture">
                      <pic:pic xmlns:pic="http://schemas.openxmlformats.org/drawingml/2006/picture">
                        <pic:nvPicPr>
                          <pic:cNvPr id="32" name="图片_16"/>
                          <pic:cNvPicPr/>
                        </pic:nvPicPr>
                        <pic:blipFill>
                          <a:blip r:embed="rId35"/>
                          <a:stretch>
                            <a:fillRect/>
                          </a:stretch>
                        </pic:blipFill>
                        <pic:spPr>
                          <a:xfrm>
                            <a:off x="0" y="0"/>
                            <a:ext cx="381000" cy="541020"/>
                          </a:xfrm>
                          <a:prstGeom prst="rect">
                            <a:avLst/>
                          </a:prstGeom>
                          <a:noFill/>
                          <a:ln>
                            <a:noFill/>
                          </a:ln>
                        </pic:spPr>
                      </pic:pic>
                    </a:graphicData>
                  </a:graphic>
                </wp:anchor>
              </w:drawing>
            </w:r>
          </w:p>
        </w:tc>
      </w:tr>
      <w:tr w14:paraId="7675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58" w:type="dxa"/>
            <w:shd w:val="clear" w:color="auto" w:fill="auto"/>
            <w:vAlign w:val="center"/>
          </w:tcPr>
          <w:p w14:paraId="1D2C5B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6E11BC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智能留样柜</w:t>
            </w:r>
          </w:p>
        </w:tc>
        <w:tc>
          <w:tcPr>
            <w:tcW w:w="4964" w:type="dxa"/>
            <w:shd w:val="clear" w:color="auto" w:fill="auto"/>
            <w:vAlign w:val="center"/>
          </w:tcPr>
          <w:p w14:paraId="26138F34">
            <w:pPr>
              <w:keepNext w:val="0"/>
              <w:keepLines w:val="0"/>
              <w:widowControl/>
              <w:numPr>
                <w:ilvl w:val="-1"/>
                <w:numId w:val="0"/>
              </w:numPr>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制冷方式：风冷，温度：2℃~8℃，门数：单门，有效留样空间：≥6层，额定电压及频率：220V~50HZ，额定功率≤400W；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2、箱体内外均采用食品级不锈钢，箱体整体发泡，中梁配加热丝，采用双层电加热防雾玻璃门，可拆卸门封条，自动回归门设计；品牌压缩机，纯铜蒸发器，在最高42℃的极端环境温度下也能正常制冷；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3、配置离子食物保鲜系统，通过释放活氧抑制细菌生长，通过释放负离子延缓食物氧化，延长食物保鲜时间；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采用智能微电脑触摸屏控制器，触摸显示屏最短边尺寸≥10cm；触摸显示屏可根据需求调节冷藏/冷冻间室温度，并显示箱体内实时温度；冰箱出现故障时触摸显示屏显示中文故障提示；可通过触摸显示屏开启节能功能，并在显示屏中显示累计节电数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产品具有物联网功能，可通过物联网平台远程查看冰箱实时状态及累计使用时长，并可远程开启除霜、节能、保鲜、抑菌等功能，同时可生成节电量曲线图；其中节累计能电量、累计耗电量、累计使用天数、累计减少碳排放需有数字化大屏管理显示界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产品具备远程故障报修系统，当产品出现故障时，在显示屏显示中文故障提示，并同步将故障信息通过物联网向授权用户管理员、经销商、制造商发送；其中产品具备行业分布显示界面、在线设备及总设备管理显示界面，售后管理平台远程故障报警及保修故障管理界面，设备运行报表管理界面及故障分析管理界面需数字化大屏显示；                                                          7、人脸识别系统→自动开锁→留样菜品抓拍→留样重量抓拍→留样数据上传云端→留样条码自动生成（无需打码）→ 留样数据永久可查、所有留样取样数据具备数字化大屏显示界面。</w:t>
            </w:r>
          </w:p>
          <w:p w14:paraId="499D6BAA">
            <w:pPr>
              <w:keepNext w:val="0"/>
              <w:keepLines w:val="0"/>
              <w:widowControl/>
              <w:numPr>
                <w:ilvl w:val="-1"/>
                <w:numId w:val="0"/>
              </w:numPr>
              <w:suppressLineNumbers w:val="0"/>
              <w:jc w:val="lef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8、所投产品提供智能留样柜3C证书，产品名称和产品型号必须一致；                                                     9、产品发泡板材依据GB/T 16172-2007检测，单位面积热释放速率峰值、平均燃烧时间、平均燃烧高度符合GB 8624-2012中B1级标准要求；                                                     </w:t>
            </w:r>
            <w:r>
              <w:rPr>
                <w:rFonts w:hint="eastAsia" w:ascii="宋体" w:hAnsi="宋体" w:eastAsia="宋体" w:cs="宋体"/>
                <w:b/>
                <w:bCs/>
                <w:i w:val="0"/>
                <w:iCs w:val="0"/>
                <w:color w:val="auto"/>
                <w:kern w:val="0"/>
                <w:sz w:val="22"/>
                <w:szCs w:val="22"/>
                <w:highlight w:val="none"/>
                <w:u w:val="none"/>
                <w:lang w:val="en-US" w:eastAsia="zh-CN" w:bidi="ar"/>
              </w:rPr>
              <w:t>●10、产品依据GB 31604.1-2023, GB 31604.49-2023, GB5009.156-2016检测，产品信息、感官要求、理化指标符合GB 4806.1-2016, GB 4806.9-2023要求。</w:t>
            </w:r>
          </w:p>
          <w:p w14:paraId="0360273E">
            <w:pPr>
              <w:keepNext w:val="0"/>
              <w:keepLines w:val="0"/>
              <w:widowControl/>
              <w:numPr>
                <w:ilvl w:val="-1"/>
                <w:numId w:val="0"/>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投标（响应）文件中提供证明材料：第4、5、7条参数须提供实物产品演示截图符合GB/T25000.51-2016要求的检测报告，报告中除功能文字描述外还要体现实物界面功能截图，报告复印件加盖供应商公章，第9、10条参数提供</w:t>
            </w:r>
            <w:r>
              <w:rPr>
                <w:rFonts w:hint="eastAsia" w:ascii="宋体" w:hAnsi="宋体" w:cs="宋体"/>
                <w:b/>
                <w:bCs/>
                <w:i w:val="0"/>
                <w:iCs w:val="0"/>
                <w:color w:val="auto"/>
                <w:kern w:val="0"/>
                <w:sz w:val="22"/>
                <w:szCs w:val="22"/>
                <w:highlight w:val="none"/>
                <w:u w:val="none"/>
                <w:lang w:val="en-US" w:eastAsia="zh-CN" w:bidi="ar"/>
              </w:rPr>
              <w:t>合格</w:t>
            </w:r>
            <w:r>
              <w:rPr>
                <w:rFonts w:hint="eastAsia" w:ascii="宋体" w:hAnsi="宋体" w:eastAsia="宋体" w:cs="宋体"/>
                <w:b/>
                <w:bCs/>
                <w:i w:val="0"/>
                <w:iCs w:val="0"/>
                <w:color w:val="auto"/>
                <w:kern w:val="0"/>
                <w:sz w:val="22"/>
                <w:szCs w:val="22"/>
                <w:highlight w:val="none"/>
                <w:u w:val="none"/>
                <w:lang w:val="en-US" w:eastAsia="zh-CN" w:bidi="ar"/>
              </w:rPr>
              <w:t>的检测报告作为佐证。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规格：600*850*1970(含</w:t>
            </w:r>
            <w:r>
              <w:rPr>
                <w:rFonts w:hint="eastAsia" w:ascii="宋体" w:hAnsi="宋体" w:cs="宋体"/>
                <w:i w:val="0"/>
                <w:iCs w:val="0"/>
                <w:color w:val="auto"/>
                <w:kern w:val="0"/>
                <w:sz w:val="22"/>
                <w:szCs w:val="22"/>
                <w:highlight w:val="none"/>
                <w:u w:val="none"/>
                <w:lang w:val="en-US" w:eastAsia="zh-CN" w:bidi="ar"/>
              </w:rPr>
              <w:t>留样</w:t>
            </w:r>
            <w:r>
              <w:rPr>
                <w:rFonts w:hint="eastAsia" w:ascii="宋体" w:hAnsi="宋体" w:eastAsia="宋体" w:cs="宋体"/>
                <w:i w:val="0"/>
                <w:iCs w:val="0"/>
                <w:color w:val="auto"/>
                <w:kern w:val="0"/>
                <w:sz w:val="22"/>
                <w:szCs w:val="22"/>
                <w:highlight w:val="none"/>
                <w:u w:val="none"/>
                <w:lang w:val="en-US" w:eastAsia="zh-CN" w:bidi="ar"/>
              </w:rPr>
              <w:t>盒）</w:t>
            </w:r>
          </w:p>
        </w:tc>
        <w:tc>
          <w:tcPr>
            <w:tcW w:w="558" w:type="dxa"/>
            <w:shd w:val="clear" w:color="auto" w:fill="auto"/>
            <w:vAlign w:val="center"/>
          </w:tcPr>
          <w:p w14:paraId="3B4377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58DFA5F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B6335F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107950</wp:posOffset>
                  </wp:positionH>
                  <wp:positionV relativeFrom="paragraph">
                    <wp:posOffset>304800</wp:posOffset>
                  </wp:positionV>
                  <wp:extent cx="676275" cy="832485"/>
                  <wp:effectExtent l="0" t="0" r="9525" b="5715"/>
                  <wp:wrapNone/>
                  <wp:docPr id="41" name="Picture_56"/>
                  <wp:cNvGraphicFramePr/>
                  <a:graphic xmlns:a="http://schemas.openxmlformats.org/drawingml/2006/main">
                    <a:graphicData uri="http://schemas.openxmlformats.org/drawingml/2006/picture">
                      <pic:pic xmlns:pic="http://schemas.openxmlformats.org/drawingml/2006/picture">
                        <pic:nvPicPr>
                          <pic:cNvPr id="41" name="Picture_56"/>
                          <pic:cNvPicPr/>
                        </pic:nvPicPr>
                        <pic:blipFill>
                          <a:blip r:embed="rId36"/>
                          <a:stretch>
                            <a:fillRect/>
                          </a:stretch>
                        </pic:blipFill>
                        <pic:spPr>
                          <a:xfrm>
                            <a:off x="0" y="0"/>
                            <a:ext cx="676275" cy="832485"/>
                          </a:xfrm>
                          <a:prstGeom prst="rect">
                            <a:avLst/>
                          </a:prstGeom>
                          <a:noFill/>
                          <a:ln>
                            <a:noFill/>
                          </a:ln>
                        </pic:spPr>
                      </pic:pic>
                    </a:graphicData>
                  </a:graphic>
                </wp:anchor>
              </w:drawing>
            </w:r>
          </w:p>
        </w:tc>
      </w:tr>
      <w:tr w14:paraId="321E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658" w:type="dxa"/>
            <w:shd w:val="clear" w:color="auto" w:fill="auto"/>
            <w:vAlign w:val="center"/>
          </w:tcPr>
          <w:p w14:paraId="40D06C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vAlign w:val="center"/>
          </w:tcPr>
          <w:p w14:paraId="1B9385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五格保温菜台</w:t>
            </w:r>
          </w:p>
        </w:tc>
        <w:tc>
          <w:tcPr>
            <w:tcW w:w="4964" w:type="dxa"/>
            <w:shd w:val="clear" w:color="auto" w:fill="auto"/>
            <w:vAlign w:val="center"/>
          </w:tcPr>
          <w:p w14:paraId="6E47D6B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说明：采用SUS304-2B不锈钢板制作，面板、水箱厚度1.2mm,边板、底板或格栅厚度1.0mm,直径50不锈钢调节脚，装220V\2kW电热管</w:t>
            </w:r>
            <w:r>
              <w:rPr>
                <w:rFonts w:hint="eastAsia" w:ascii="宋体" w:hAnsi="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2"/>
                <w:szCs w:val="22"/>
                <w:highlight w:val="none"/>
                <w:u w:val="none"/>
                <w:lang w:val="en-US" w:eastAsia="zh-CN" w:bidi="ar"/>
              </w:rPr>
              <w:t>组</w:t>
            </w:r>
            <w:r>
              <w:rPr>
                <w:rFonts w:hint="eastAsia" w:ascii="宋体" w:hAnsi="宋体" w:cs="宋体"/>
                <w:i w:val="0"/>
                <w:iCs w:val="0"/>
                <w:color w:val="auto"/>
                <w:kern w:val="0"/>
                <w:sz w:val="22"/>
                <w:szCs w:val="22"/>
                <w:highlight w:val="none"/>
                <w:u w:val="none"/>
                <w:lang w:val="en-US" w:eastAsia="zh-CN" w:bidi="ar"/>
              </w:rPr>
              <w:t>无水加热</w:t>
            </w:r>
            <w:r>
              <w:rPr>
                <w:rFonts w:hint="eastAsia" w:ascii="宋体" w:hAnsi="宋体" w:eastAsia="宋体" w:cs="宋体"/>
                <w:i w:val="0"/>
                <w:iCs w:val="0"/>
                <w:color w:val="auto"/>
                <w:kern w:val="0"/>
                <w:sz w:val="22"/>
                <w:szCs w:val="22"/>
                <w:highlight w:val="none"/>
                <w:u w:val="none"/>
                <w:lang w:val="en-US" w:eastAsia="zh-CN" w:bidi="ar"/>
              </w:rPr>
              <w:t>，自动控温，配食品级304不锈钢2\1×10带盖份数盘5只。</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电压\功率：220V\</w:t>
            </w: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规格：1800*700*800mm</w:t>
            </w:r>
          </w:p>
        </w:tc>
        <w:tc>
          <w:tcPr>
            <w:tcW w:w="558" w:type="dxa"/>
            <w:shd w:val="clear" w:color="auto" w:fill="auto"/>
            <w:vAlign w:val="center"/>
          </w:tcPr>
          <w:p w14:paraId="268371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756" w:type="dxa"/>
            <w:shd w:val="clear" w:color="auto" w:fill="auto"/>
            <w:vAlign w:val="center"/>
          </w:tcPr>
          <w:p w14:paraId="63C8E1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6723197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38100</wp:posOffset>
                  </wp:positionH>
                  <wp:positionV relativeFrom="paragraph">
                    <wp:posOffset>190500</wp:posOffset>
                  </wp:positionV>
                  <wp:extent cx="679450" cy="575310"/>
                  <wp:effectExtent l="0" t="0" r="6350" b="15240"/>
                  <wp:wrapNone/>
                  <wp:docPr id="190" name="图片_48"/>
                  <wp:cNvGraphicFramePr/>
                  <a:graphic xmlns:a="http://schemas.openxmlformats.org/drawingml/2006/main">
                    <a:graphicData uri="http://schemas.openxmlformats.org/drawingml/2006/picture">
                      <pic:pic xmlns:pic="http://schemas.openxmlformats.org/drawingml/2006/picture">
                        <pic:nvPicPr>
                          <pic:cNvPr id="190" name="图片_48"/>
                          <pic:cNvPicPr/>
                        </pic:nvPicPr>
                        <pic:blipFill>
                          <a:blip r:embed="rId37"/>
                          <a:stretch>
                            <a:fillRect/>
                          </a:stretch>
                        </pic:blipFill>
                        <pic:spPr>
                          <a:xfrm>
                            <a:off x="0" y="0"/>
                            <a:ext cx="679450" cy="575310"/>
                          </a:xfrm>
                          <a:prstGeom prst="rect">
                            <a:avLst/>
                          </a:prstGeom>
                          <a:noFill/>
                          <a:ln>
                            <a:noFill/>
                          </a:ln>
                        </pic:spPr>
                      </pic:pic>
                    </a:graphicData>
                  </a:graphic>
                </wp:anchor>
              </w:drawing>
            </w:r>
          </w:p>
        </w:tc>
      </w:tr>
      <w:tr w14:paraId="1C33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0" w:hRule="atLeast"/>
          <w:jc w:val="center"/>
        </w:trPr>
        <w:tc>
          <w:tcPr>
            <w:tcW w:w="658" w:type="dxa"/>
            <w:shd w:val="clear" w:color="auto" w:fill="FFFF00"/>
            <w:vAlign w:val="center"/>
          </w:tcPr>
          <w:p w14:paraId="251F6A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36" w:type="dxa"/>
            <w:shd w:val="clear" w:color="auto" w:fill="FFFF00"/>
            <w:vAlign w:val="center"/>
          </w:tcPr>
          <w:p w14:paraId="061AA3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平冷工作台</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cs="宋体"/>
                <w:b/>
                <w:bCs/>
                <w:i w:val="0"/>
                <w:iCs w:val="0"/>
                <w:color w:val="auto"/>
                <w:kern w:val="0"/>
                <w:sz w:val="22"/>
                <w:szCs w:val="22"/>
                <w:highlight w:val="none"/>
                <w:u w:val="none"/>
                <w:lang w:val="en-US" w:eastAsia="zh-CN" w:bidi="ar"/>
              </w:rPr>
              <w:t>（提供样品）</w:t>
            </w:r>
          </w:p>
        </w:tc>
        <w:tc>
          <w:tcPr>
            <w:tcW w:w="4964" w:type="dxa"/>
            <w:shd w:val="clear" w:color="auto" w:fill="FFFF00"/>
            <w:vAlign w:val="center"/>
          </w:tcPr>
          <w:p w14:paraId="3292399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说明：制冷方式：风冷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1、采用全铜管内藏式蒸发器，全封闭制冷系统，寿命长；</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2、采用高效节能环保压缩机，噪音低耗电省，低压起动；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3、箱体由高压聚氨脂整体发泡成型，保温效果好；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w:t>
            </w:r>
            <w:r>
              <w:rPr>
                <w:rFonts w:hint="eastAsia" w:ascii="宋体" w:hAnsi="宋体" w:cs="宋体"/>
                <w:i w:val="0"/>
                <w:iCs w:val="0"/>
                <w:color w:val="auto"/>
                <w:kern w:val="0"/>
                <w:sz w:val="22"/>
                <w:szCs w:val="22"/>
                <w:highlight w:val="none"/>
                <w:u w:val="none"/>
                <w:lang w:val="en-US" w:eastAsia="zh-CN" w:bidi="ar"/>
              </w:rPr>
              <w:t>优质</w:t>
            </w:r>
            <w:r>
              <w:rPr>
                <w:rFonts w:hint="eastAsia" w:ascii="宋体" w:hAnsi="宋体" w:eastAsia="宋体" w:cs="宋体"/>
                <w:i w:val="0"/>
                <w:iCs w:val="0"/>
                <w:color w:val="auto"/>
                <w:kern w:val="0"/>
                <w:sz w:val="22"/>
                <w:szCs w:val="22"/>
                <w:highlight w:val="none"/>
                <w:u w:val="none"/>
                <w:lang w:val="en-US" w:eastAsia="zh-CN" w:bidi="ar"/>
              </w:rPr>
              <w:t>保温材料，保温效果好，耗电省。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5、面板采用优质木案面制作，箱体内外全部采用优质不锈钢板制造，δ=1.0mm,双层内外不锈钢自动回归门，不变型，密封好。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温度范围：-5℃～5℃；</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电压\功率：220V/0.2KW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规格：1800mm×800mm×800mm</w:t>
            </w:r>
          </w:p>
        </w:tc>
        <w:tc>
          <w:tcPr>
            <w:tcW w:w="558" w:type="dxa"/>
            <w:shd w:val="clear" w:color="auto" w:fill="FFFF00"/>
            <w:vAlign w:val="center"/>
          </w:tcPr>
          <w:p w14:paraId="209805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FFFF00"/>
            <w:vAlign w:val="center"/>
          </w:tcPr>
          <w:p w14:paraId="4E76BB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01A30F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57150</wp:posOffset>
                  </wp:positionH>
                  <wp:positionV relativeFrom="paragraph">
                    <wp:posOffset>542925</wp:posOffset>
                  </wp:positionV>
                  <wp:extent cx="671830" cy="603885"/>
                  <wp:effectExtent l="0" t="0" r="13970" b="5715"/>
                  <wp:wrapNone/>
                  <wp:docPr id="191" name="图片_17"/>
                  <wp:cNvGraphicFramePr/>
                  <a:graphic xmlns:a="http://schemas.openxmlformats.org/drawingml/2006/main">
                    <a:graphicData uri="http://schemas.openxmlformats.org/drawingml/2006/picture">
                      <pic:pic xmlns:pic="http://schemas.openxmlformats.org/drawingml/2006/picture">
                        <pic:nvPicPr>
                          <pic:cNvPr id="191" name="图片_17"/>
                          <pic:cNvPicPr/>
                        </pic:nvPicPr>
                        <pic:blipFill>
                          <a:blip r:embed="rId38"/>
                          <a:stretch>
                            <a:fillRect/>
                          </a:stretch>
                        </pic:blipFill>
                        <pic:spPr>
                          <a:xfrm>
                            <a:off x="0" y="0"/>
                            <a:ext cx="671830" cy="603885"/>
                          </a:xfrm>
                          <a:prstGeom prst="rect">
                            <a:avLst/>
                          </a:prstGeom>
                          <a:noFill/>
                          <a:ln>
                            <a:noFill/>
                          </a:ln>
                        </pic:spPr>
                      </pic:pic>
                    </a:graphicData>
                  </a:graphic>
                </wp:anchor>
              </w:drawing>
            </w:r>
          </w:p>
        </w:tc>
      </w:tr>
      <w:tr w14:paraId="24E0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2194" w:type="dxa"/>
            <w:gridSpan w:val="2"/>
            <w:shd w:val="clear" w:color="auto" w:fill="auto"/>
            <w:noWrap/>
            <w:vAlign w:val="center"/>
          </w:tcPr>
          <w:p w14:paraId="2ECAEF7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洗消间</w:t>
            </w:r>
          </w:p>
        </w:tc>
        <w:tc>
          <w:tcPr>
            <w:tcW w:w="4964" w:type="dxa"/>
            <w:shd w:val="clear" w:color="auto" w:fill="auto"/>
            <w:noWrap/>
            <w:vAlign w:val="center"/>
          </w:tcPr>
          <w:p w14:paraId="07970FE0">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72156175">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3B6DF9AA">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57FC7649">
            <w:pPr>
              <w:rPr>
                <w:rFonts w:hint="eastAsia" w:ascii="宋体" w:hAnsi="宋体" w:eastAsia="宋体" w:cs="宋体"/>
                <w:i w:val="0"/>
                <w:iCs w:val="0"/>
                <w:color w:val="auto"/>
                <w:sz w:val="22"/>
                <w:szCs w:val="22"/>
                <w:highlight w:val="none"/>
                <w:u w:val="none"/>
              </w:rPr>
            </w:pPr>
          </w:p>
        </w:tc>
      </w:tr>
      <w:tr w14:paraId="02C0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486E2A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639451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收餐柜</w:t>
            </w:r>
          </w:p>
        </w:tc>
        <w:tc>
          <w:tcPr>
            <w:tcW w:w="4964" w:type="dxa"/>
            <w:shd w:val="clear" w:color="auto" w:fill="auto"/>
            <w:vAlign w:val="center"/>
          </w:tcPr>
          <w:p w14:paraId="0FE4F52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开300*300mm方孔。围板δ≥1.0mm，实厚δ≥0.89mm，主管采用38*38*1.0mm不锈钢方管结构管焊接，配承重型不锈钢科顺脚轮四个(两定向两万向)。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规格：1800*700*800mm</w:t>
            </w:r>
          </w:p>
        </w:tc>
        <w:tc>
          <w:tcPr>
            <w:tcW w:w="558" w:type="dxa"/>
            <w:shd w:val="clear" w:color="auto" w:fill="auto"/>
            <w:vAlign w:val="center"/>
          </w:tcPr>
          <w:p w14:paraId="22EBA0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77FD65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45021EC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142875</wp:posOffset>
                  </wp:positionH>
                  <wp:positionV relativeFrom="paragraph">
                    <wp:posOffset>123825</wp:posOffset>
                  </wp:positionV>
                  <wp:extent cx="765810" cy="558800"/>
                  <wp:effectExtent l="0" t="0" r="15240" b="12700"/>
                  <wp:wrapNone/>
                  <wp:docPr id="192" name="图片_18"/>
                  <wp:cNvGraphicFramePr/>
                  <a:graphic xmlns:a="http://schemas.openxmlformats.org/drawingml/2006/main">
                    <a:graphicData uri="http://schemas.openxmlformats.org/drawingml/2006/picture">
                      <pic:pic xmlns:pic="http://schemas.openxmlformats.org/drawingml/2006/picture">
                        <pic:nvPicPr>
                          <pic:cNvPr id="192" name="图片_18"/>
                          <pic:cNvPicPr/>
                        </pic:nvPicPr>
                        <pic:blipFill>
                          <a:blip r:embed="rId39"/>
                          <a:stretch>
                            <a:fillRect/>
                          </a:stretch>
                        </pic:blipFill>
                        <pic:spPr>
                          <a:xfrm>
                            <a:off x="0" y="0"/>
                            <a:ext cx="765810" cy="558800"/>
                          </a:xfrm>
                          <a:prstGeom prst="rect">
                            <a:avLst/>
                          </a:prstGeom>
                          <a:noFill/>
                          <a:ln>
                            <a:noFill/>
                          </a:ln>
                        </pic:spPr>
                      </pic:pic>
                    </a:graphicData>
                  </a:graphic>
                </wp:anchor>
              </w:drawing>
            </w:r>
          </w:p>
        </w:tc>
      </w:tr>
      <w:tr w14:paraId="44A5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jc w:val="center"/>
        </w:trPr>
        <w:tc>
          <w:tcPr>
            <w:tcW w:w="658" w:type="dxa"/>
            <w:shd w:val="clear" w:color="auto" w:fill="auto"/>
            <w:vAlign w:val="center"/>
          </w:tcPr>
          <w:p w14:paraId="79D489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6A60A8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0FE13E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规格：双温</w:t>
            </w:r>
          </w:p>
        </w:tc>
        <w:tc>
          <w:tcPr>
            <w:tcW w:w="558" w:type="dxa"/>
            <w:shd w:val="clear" w:color="auto" w:fill="auto"/>
            <w:vAlign w:val="center"/>
          </w:tcPr>
          <w:p w14:paraId="7DFC75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56" w:type="dxa"/>
            <w:shd w:val="clear" w:color="auto" w:fill="auto"/>
            <w:vAlign w:val="center"/>
          </w:tcPr>
          <w:p w14:paraId="1054A7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vAlign w:val="center"/>
          </w:tcPr>
          <w:p w14:paraId="0FCFD0B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323850</wp:posOffset>
                  </wp:positionH>
                  <wp:positionV relativeFrom="paragraph">
                    <wp:posOffset>257175</wp:posOffset>
                  </wp:positionV>
                  <wp:extent cx="377190" cy="381635"/>
                  <wp:effectExtent l="0" t="0" r="3810" b="18415"/>
                  <wp:wrapNone/>
                  <wp:docPr id="193" name="图片_19"/>
                  <wp:cNvGraphicFramePr/>
                  <a:graphic xmlns:a="http://schemas.openxmlformats.org/drawingml/2006/main">
                    <a:graphicData uri="http://schemas.openxmlformats.org/drawingml/2006/picture">
                      <pic:pic xmlns:pic="http://schemas.openxmlformats.org/drawingml/2006/picture">
                        <pic:nvPicPr>
                          <pic:cNvPr id="193" name="图片_19"/>
                          <pic:cNvPicPr/>
                        </pic:nvPicPr>
                        <pic:blipFill>
                          <a:blip r:embed="rId40"/>
                          <a:stretch>
                            <a:fillRect/>
                          </a:stretch>
                        </pic:blipFill>
                        <pic:spPr>
                          <a:xfrm>
                            <a:off x="0" y="0"/>
                            <a:ext cx="377190" cy="381635"/>
                          </a:xfrm>
                          <a:prstGeom prst="rect">
                            <a:avLst/>
                          </a:prstGeom>
                          <a:noFill/>
                          <a:ln>
                            <a:noFill/>
                          </a:ln>
                        </pic:spPr>
                      </pic:pic>
                    </a:graphicData>
                  </a:graphic>
                </wp:anchor>
              </w:drawing>
            </w:r>
          </w:p>
        </w:tc>
      </w:tr>
      <w:tr w14:paraId="208A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0" w:hRule="atLeast"/>
          <w:jc w:val="center"/>
        </w:trPr>
        <w:tc>
          <w:tcPr>
            <w:tcW w:w="658" w:type="dxa"/>
            <w:shd w:val="clear" w:color="auto" w:fill="auto"/>
            <w:vAlign w:val="center"/>
          </w:tcPr>
          <w:p w14:paraId="0C229B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7B8898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速热热水</w:t>
            </w:r>
            <w:r>
              <w:rPr>
                <w:rFonts w:hint="eastAsia" w:ascii="宋体" w:hAnsi="宋体" w:cs="宋体"/>
                <w:i w:val="0"/>
                <w:iCs w:val="0"/>
                <w:color w:val="auto"/>
                <w:kern w:val="0"/>
                <w:sz w:val="22"/>
                <w:szCs w:val="22"/>
                <w:highlight w:val="none"/>
                <w:u w:val="none"/>
                <w:lang w:val="en-US" w:eastAsia="zh-CN" w:bidi="ar"/>
              </w:rPr>
              <w:t>机</w:t>
            </w:r>
          </w:p>
        </w:tc>
        <w:tc>
          <w:tcPr>
            <w:tcW w:w="4964" w:type="dxa"/>
            <w:shd w:val="clear" w:color="auto" w:fill="auto"/>
            <w:vAlign w:val="center"/>
          </w:tcPr>
          <w:p w14:paraId="3752791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说明：4i技术智能控温，裸线加热即开即热，适合软硬各种水质，换热效率高达99%，远高于国家标准（80%），ECO节能省电，小巧体积灵活安装</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电压/功率:380V/18-28KW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规格：483*228*95mm</w:t>
            </w:r>
          </w:p>
        </w:tc>
        <w:tc>
          <w:tcPr>
            <w:tcW w:w="558" w:type="dxa"/>
            <w:shd w:val="clear" w:color="auto" w:fill="auto"/>
            <w:vAlign w:val="center"/>
          </w:tcPr>
          <w:p w14:paraId="45705F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7140B0E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4F0A21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85725</wp:posOffset>
                  </wp:positionH>
                  <wp:positionV relativeFrom="paragraph">
                    <wp:posOffset>47625</wp:posOffset>
                  </wp:positionV>
                  <wp:extent cx="532765" cy="819150"/>
                  <wp:effectExtent l="0" t="0" r="635" b="0"/>
                  <wp:wrapNone/>
                  <wp:docPr id="194" name="图片_20"/>
                  <wp:cNvGraphicFramePr/>
                  <a:graphic xmlns:a="http://schemas.openxmlformats.org/drawingml/2006/main">
                    <a:graphicData uri="http://schemas.openxmlformats.org/drawingml/2006/picture">
                      <pic:pic xmlns:pic="http://schemas.openxmlformats.org/drawingml/2006/picture">
                        <pic:nvPicPr>
                          <pic:cNvPr id="194" name="图片_20"/>
                          <pic:cNvPicPr/>
                        </pic:nvPicPr>
                        <pic:blipFill>
                          <a:blip r:embed="rId41"/>
                          <a:stretch>
                            <a:fillRect/>
                          </a:stretch>
                        </pic:blipFill>
                        <pic:spPr>
                          <a:xfrm>
                            <a:off x="0" y="0"/>
                            <a:ext cx="532765" cy="819150"/>
                          </a:xfrm>
                          <a:prstGeom prst="rect">
                            <a:avLst/>
                          </a:prstGeom>
                          <a:noFill/>
                          <a:ln>
                            <a:noFill/>
                          </a:ln>
                        </pic:spPr>
                      </pic:pic>
                    </a:graphicData>
                  </a:graphic>
                </wp:anchor>
              </w:drawing>
            </w:r>
          </w:p>
        </w:tc>
      </w:tr>
      <w:tr w14:paraId="3479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67419F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68B944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收餐柜</w:t>
            </w:r>
          </w:p>
        </w:tc>
        <w:tc>
          <w:tcPr>
            <w:tcW w:w="4964" w:type="dxa"/>
            <w:shd w:val="clear" w:color="auto" w:fill="auto"/>
            <w:vAlign w:val="center"/>
          </w:tcPr>
          <w:p w14:paraId="18F93EE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开300*300mm方孔。围板δ≥1.0mm，实厚δ≥0.89mm，主管采用38*38*1.0mm不锈钢方管结构管焊接，配承重型不锈钢科顺脚轮四个(两定向两万向)。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规格：800*800*800mm</w:t>
            </w:r>
          </w:p>
        </w:tc>
        <w:tc>
          <w:tcPr>
            <w:tcW w:w="558" w:type="dxa"/>
            <w:shd w:val="clear" w:color="auto" w:fill="auto"/>
            <w:vAlign w:val="center"/>
          </w:tcPr>
          <w:p w14:paraId="11928F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37D1AF2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175CAF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120650</wp:posOffset>
                  </wp:positionV>
                  <wp:extent cx="765810" cy="558800"/>
                  <wp:effectExtent l="0" t="0" r="15240" b="12700"/>
                  <wp:wrapNone/>
                  <wp:docPr id="195" name="图片_21"/>
                  <wp:cNvGraphicFramePr/>
                  <a:graphic xmlns:a="http://schemas.openxmlformats.org/drawingml/2006/main">
                    <a:graphicData uri="http://schemas.openxmlformats.org/drawingml/2006/picture">
                      <pic:pic xmlns:pic="http://schemas.openxmlformats.org/drawingml/2006/picture">
                        <pic:nvPicPr>
                          <pic:cNvPr id="195" name="图片_21"/>
                          <pic:cNvPicPr/>
                        </pic:nvPicPr>
                        <pic:blipFill>
                          <a:blip r:embed="rId39"/>
                          <a:stretch>
                            <a:fillRect/>
                          </a:stretch>
                        </pic:blipFill>
                        <pic:spPr>
                          <a:xfrm>
                            <a:off x="0" y="0"/>
                            <a:ext cx="765810" cy="558800"/>
                          </a:xfrm>
                          <a:prstGeom prst="rect">
                            <a:avLst/>
                          </a:prstGeom>
                          <a:noFill/>
                          <a:ln>
                            <a:noFill/>
                          </a:ln>
                        </pic:spPr>
                      </pic:pic>
                    </a:graphicData>
                  </a:graphic>
                </wp:anchor>
              </w:drawing>
            </w:r>
          </w:p>
        </w:tc>
      </w:tr>
      <w:tr w14:paraId="7825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658" w:type="dxa"/>
            <w:shd w:val="clear" w:color="auto" w:fill="auto"/>
            <w:vAlign w:val="center"/>
          </w:tcPr>
          <w:p w14:paraId="43F68A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vAlign w:val="center"/>
          </w:tcPr>
          <w:p w14:paraId="23AC92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5A14FC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规格：双温</w:t>
            </w:r>
          </w:p>
        </w:tc>
        <w:tc>
          <w:tcPr>
            <w:tcW w:w="558" w:type="dxa"/>
            <w:shd w:val="clear" w:color="auto" w:fill="auto"/>
            <w:vAlign w:val="center"/>
          </w:tcPr>
          <w:p w14:paraId="28973E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73F0E6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vAlign w:val="center"/>
          </w:tcPr>
          <w:p w14:paraId="15AC08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200025</wp:posOffset>
                  </wp:positionH>
                  <wp:positionV relativeFrom="paragraph">
                    <wp:posOffset>57150</wp:posOffset>
                  </wp:positionV>
                  <wp:extent cx="535940" cy="886460"/>
                  <wp:effectExtent l="0" t="0" r="16510" b="8890"/>
                  <wp:wrapNone/>
                  <wp:docPr id="196" name="图片_22"/>
                  <wp:cNvGraphicFramePr/>
                  <a:graphic xmlns:a="http://schemas.openxmlformats.org/drawingml/2006/main">
                    <a:graphicData uri="http://schemas.openxmlformats.org/drawingml/2006/picture">
                      <pic:pic xmlns:pic="http://schemas.openxmlformats.org/drawingml/2006/picture">
                        <pic:nvPicPr>
                          <pic:cNvPr id="196" name="图片_22"/>
                          <pic:cNvPicPr/>
                        </pic:nvPicPr>
                        <pic:blipFill>
                          <a:blip r:embed="rId42"/>
                          <a:stretch>
                            <a:fillRect/>
                          </a:stretch>
                        </pic:blipFill>
                        <pic:spPr>
                          <a:xfrm>
                            <a:off x="0" y="0"/>
                            <a:ext cx="535940" cy="886460"/>
                          </a:xfrm>
                          <a:prstGeom prst="rect">
                            <a:avLst/>
                          </a:prstGeom>
                          <a:noFill/>
                          <a:ln>
                            <a:noFill/>
                          </a:ln>
                        </pic:spPr>
                      </pic:pic>
                    </a:graphicData>
                  </a:graphic>
                </wp:anchor>
              </w:drawing>
            </w:r>
          </w:p>
        </w:tc>
      </w:tr>
      <w:tr w14:paraId="6217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658" w:type="dxa"/>
            <w:shd w:val="clear" w:color="auto" w:fill="auto"/>
            <w:vAlign w:val="center"/>
          </w:tcPr>
          <w:p w14:paraId="115339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36" w:type="dxa"/>
            <w:shd w:val="clear" w:color="auto" w:fill="auto"/>
            <w:vAlign w:val="center"/>
          </w:tcPr>
          <w:p w14:paraId="1CB78A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洗地龙头</w:t>
            </w:r>
          </w:p>
        </w:tc>
        <w:tc>
          <w:tcPr>
            <w:tcW w:w="4964" w:type="dxa"/>
            <w:shd w:val="clear" w:color="auto" w:fill="auto"/>
            <w:vAlign w:val="center"/>
          </w:tcPr>
          <w:p w14:paraId="536143F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说明：1、开放式洗地龙头、碳钢主体，表面环氧喷涂处理（黑色）                                         2、固定侧支架钢板厚度5mm，黄铜进水主体                                                        3、10.7米重工无痕三层液压钢丝管（黑色）、与主体接口为金属连接件不易损坏漏水，喉管耐温85度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4、黄铜铸造枪式喷头、前置扳机、配有橡胶保护套水压可调。（配置一把喷头）                                                                            5、进水接口为标准G1/2外螺纹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规格：管10米</w:t>
            </w:r>
          </w:p>
        </w:tc>
        <w:tc>
          <w:tcPr>
            <w:tcW w:w="558" w:type="dxa"/>
            <w:shd w:val="clear" w:color="auto" w:fill="auto"/>
            <w:vAlign w:val="center"/>
          </w:tcPr>
          <w:p w14:paraId="20DA6A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5DCE65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114D6C3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609600</wp:posOffset>
                  </wp:positionV>
                  <wp:extent cx="620395" cy="540385"/>
                  <wp:effectExtent l="0" t="0" r="8255" b="12065"/>
                  <wp:wrapNone/>
                  <wp:docPr id="197" name="图片_23"/>
                  <wp:cNvGraphicFramePr/>
                  <a:graphic xmlns:a="http://schemas.openxmlformats.org/drawingml/2006/main">
                    <a:graphicData uri="http://schemas.openxmlformats.org/drawingml/2006/picture">
                      <pic:pic xmlns:pic="http://schemas.openxmlformats.org/drawingml/2006/picture">
                        <pic:nvPicPr>
                          <pic:cNvPr id="197" name="图片_23"/>
                          <pic:cNvPicPr/>
                        </pic:nvPicPr>
                        <pic:blipFill>
                          <a:blip r:embed="rId43"/>
                          <a:stretch>
                            <a:fillRect/>
                          </a:stretch>
                        </pic:blipFill>
                        <pic:spPr>
                          <a:xfrm>
                            <a:off x="0" y="0"/>
                            <a:ext cx="620395" cy="540385"/>
                          </a:xfrm>
                          <a:prstGeom prst="rect">
                            <a:avLst/>
                          </a:prstGeom>
                          <a:noFill/>
                          <a:ln>
                            <a:noFill/>
                          </a:ln>
                        </pic:spPr>
                      </pic:pic>
                    </a:graphicData>
                  </a:graphic>
                </wp:anchor>
              </w:drawing>
            </w:r>
          </w:p>
        </w:tc>
      </w:tr>
      <w:tr w14:paraId="36B0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58" w:type="dxa"/>
            <w:shd w:val="clear" w:color="auto" w:fill="auto"/>
            <w:vAlign w:val="center"/>
          </w:tcPr>
          <w:p w14:paraId="08FAF5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536" w:type="dxa"/>
            <w:shd w:val="clear" w:color="auto" w:fill="auto"/>
            <w:vAlign w:val="center"/>
          </w:tcPr>
          <w:p w14:paraId="27DEE1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矮架</w:t>
            </w:r>
          </w:p>
        </w:tc>
        <w:tc>
          <w:tcPr>
            <w:tcW w:w="4964" w:type="dxa"/>
            <w:shd w:val="clear" w:color="auto" w:fill="auto"/>
            <w:vAlign w:val="center"/>
          </w:tcPr>
          <w:p w14:paraId="68C4DEC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说明：采用38*38优质不锈钢管制造，δ=1.0mm。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规格：1200*500*300mm</w:t>
            </w:r>
          </w:p>
        </w:tc>
        <w:tc>
          <w:tcPr>
            <w:tcW w:w="558" w:type="dxa"/>
            <w:shd w:val="clear" w:color="auto" w:fill="auto"/>
            <w:vAlign w:val="center"/>
          </w:tcPr>
          <w:p w14:paraId="003F66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756" w:type="dxa"/>
            <w:shd w:val="clear" w:color="auto" w:fill="auto"/>
            <w:vAlign w:val="center"/>
          </w:tcPr>
          <w:p w14:paraId="053F17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5DE4B4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161925</wp:posOffset>
                  </wp:positionH>
                  <wp:positionV relativeFrom="paragraph">
                    <wp:posOffset>8890</wp:posOffset>
                  </wp:positionV>
                  <wp:extent cx="630555" cy="688975"/>
                  <wp:effectExtent l="0" t="0" r="17145" b="15875"/>
                  <wp:wrapNone/>
                  <wp:docPr id="198" name="图片_24"/>
                  <wp:cNvGraphicFramePr/>
                  <a:graphic xmlns:a="http://schemas.openxmlformats.org/drawingml/2006/main">
                    <a:graphicData uri="http://schemas.openxmlformats.org/drawingml/2006/picture">
                      <pic:pic xmlns:pic="http://schemas.openxmlformats.org/drawingml/2006/picture">
                        <pic:nvPicPr>
                          <pic:cNvPr id="198" name="图片_24"/>
                          <pic:cNvPicPr/>
                        </pic:nvPicPr>
                        <pic:blipFill>
                          <a:blip r:embed="rId44"/>
                          <a:stretch>
                            <a:fillRect/>
                          </a:stretch>
                        </pic:blipFill>
                        <pic:spPr>
                          <a:xfrm>
                            <a:off x="0" y="0"/>
                            <a:ext cx="630555" cy="688975"/>
                          </a:xfrm>
                          <a:prstGeom prst="rect">
                            <a:avLst/>
                          </a:prstGeom>
                          <a:noFill/>
                          <a:ln>
                            <a:noFill/>
                          </a:ln>
                        </pic:spPr>
                      </pic:pic>
                    </a:graphicData>
                  </a:graphic>
                </wp:anchor>
              </w:drawing>
            </w:r>
          </w:p>
        </w:tc>
      </w:tr>
      <w:tr w14:paraId="3BD7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jc w:val="center"/>
        </w:trPr>
        <w:tc>
          <w:tcPr>
            <w:tcW w:w="658" w:type="dxa"/>
            <w:shd w:val="clear" w:color="auto" w:fill="auto"/>
            <w:vAlign w:val="center"/>
          </w:tcPr>
          <w:p w14:paraId="2AD9B0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536" w:type="dxa"/>
            <w:shd w:val="clear" w:color="auto" w:fill="auto"/>
            <w:vAlign w:val="center"/>
          </w:tcPr>
          <w:p w14:paraId="28C268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保洁柜</w:t>
            </w:r>
          </w:p>
        </w:tc>
        <w:tc>
          <w:tcPr>
            <w:tcW w:w="4964" w:type="dxa"/>
            <w:shd w:val="clear" w:color="auto" w:fill="auto"/>
            <w:vAlign w:val="center"/>
          </w:tcPr>
          <w:p w14:paraId="3026B0F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说明：采用SUS304-2B优质不锈钢板制造，侧板δ1.2mm；门面δ1.2mm；底板、层板δ1.0mm；后板δ1.2mm；重力脚Φ50*150不锈钢重力脚，上式不锈钢密封双层移门，移门内覆0.8mm不锈钢板。</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规格：1200*500*1800mm</w:t>
            </w:r>
          </w:p>
        </w:tc>
        <w:tc>
          <w:tcPr>
            <w:tcW w:w="558" w:type="dxa"/>
            <w:shd w:val="clear" w:color="auto" w:fill="auto"/>
            <w:vAlign w:val="center"/>
          </w:tcPr>
          <w:p w14:paraId="5EB7D8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795D43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64E8240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266700</wp:posOffset>
                  </wp:positionH>
                  <wp:positionV relativeFrom="paragraph">
                    <wp:posOffset>114300</wp:posOffset>
                  </wp:positionV>
                  <wp:extent cx="445135" cy="672465"/>
                  <wp:effectExtent l="0" t="0" r="12065" b="13335"/>
                  <wp:wrapNone/>
                  <wp:docPr id="199" name="图片_25"/>
                  <wp:cNvGraphicFramePr/>
                  <a:graphic xmlns:a="http://schemas.openxmlformats.org/drawingml/2006/main">
                    <a:graphicData uri="http://schemas.openxmlformats.org/drawingml/2006/picture">
                      <pic:pic xmlns:pic="http://schemas.openxmlformats.org/drawingml/2006/picture">
                        <pic:nvPicPr>
                          <pic:cNvPr id="199" name="图片_25"/>
                          <pic:cNvPicPr/>
                        </pic:nvPicPr>
                        <pic:blipFill>
                          <a:blip r:embed="rId45"/>
                          <a:stretch>
                            <a:fillRect/>
                          </a:stretch>
                        </pic:blipFill>
                        <pic:spPr>
                          <a:xfrm>
                            <a:off x="0" y="0"/>
                            <a:ext cx="445135" cy="672465"/>
                          </a:xfrm>
                          <a:prstGeom prst="rect">
                            <a:avLst/>
                          </a:prstGeom>
                          <a:noFill/>
                          <a:ln>
                            <a:noFill/>
                          </a:ln>
                        </pic:spPr>
                      </pic:pic>
                    </a:graphicData>
                  </a:graphic>
                </wp:anchor>
              </w:drawing>
            </w:r>
          </w:p>
        </w:tc>
      </w:tr>
      <w:tr w14:paraId="5464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10" w:hRule="atLeast"/>
          <w:jc w:val="center"/>
        </w:trPr>
        <w:tc>
          <w:tcPr>
            <w:tcW w:w="658" w:type="dxa"/>
            <w:shd w:val="clear" w:color="auto" w:fill="auto"/>
            <w:vAlign w:val="center"/>
          </w:tcPr>
          <w:p w14:paraId="64C9BB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536" w:type="dxa"/>
            <w:shd w:val="clear" w:color="auto" w:fill="auto"/>
            <w:noWrap/>
            <w:vAlign w:val="center"/>
          </w:tcPr>
          <w:p w14:paraId="5198F2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消毒房</w:t>
            </w:r>
          </w:p>
        </w:tc>
        <w:tc>
          <w:tcPr>
            <w:tcW w:w="4964" w:type="dxa"/>
            <w:shd w:val="clear" w:color="auto" w:fill="auto"/>
            <w:vAlign w:val="center"/>
          </w:tcPr>
          <w:p w14:paraId="557C9726">
            <w:pPr>
              <w:keepNext w:val="0"/>
              <w:keepLines w:val="0"/>
              <w:widowControl/>
              <w:suppressLineNumbers w:val="0"/>
              <w:jc w:val="left"/>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库体采用不锈钢75mm厚环戊烷发泡；内板采用优质不锈钢为0.6mm厚，外边采用优质喷塑材料为201厚0.6mm,库门为手动平开门，用双层0.7mm厚不锈钢304板制作，E型硅胶条密封，玻璃窗为双层40mm耐高温真空玻璃，内部送风管道1.5mm厚不锈钢304板制作。控制模式，智能电脑版，控温范围10一120度，可调节设置。控时范围5一90分钟，可调节设置，3秒自动记忆功能，超温保护设置功能，超温自动停机。附加，耐高温，库内灯LED顶灯四个，一健开关，可门控。快速散温控制，室内空间不能吸收，散发高温，需要对室外接通散温管道。人工一健操作；温度实时数码显示，数据安全操作。底台高80mm防滑铝板斜坡台，底部铺设防滑库板。                                     </w:t>
            </w:r>
            <w:r>
              <w:rPr>
                <w:rFonts w:hint="eastAsia" w:ascii="宋体" w:hAnsi="宋体" w:eastAsia="宋体" w:cs="宋体"/>
                <w:b/>
                <w:bCs/>
                <w:i w:val="0"/>
                <w:iCs w:val="0"/>
                <w:color w:val="auto"/>
                <w:kern w:val="0"/>
                <w:sz w:val="22"/>
                <w:szCs w:val="22"/>
                <w:highlight w:val="none"/>
                <w:u w:val="none"/>
                <w:lang w:val="en-US" w:eastAsia="zh-CN" w:bidi="ar"/>
              </w:rPr>
              <w:t>●提供所投消毒房具有符合国家卫生执行标准依据：GB17988-2008《食具消毒柜安全和卫生要求》二星级消毒柜要求，将第大肠杆菌菌液10μL滴染于玻璃片上自然阴干，满载碗、盘、碟、筷子，将温度调至150°C时间为60分钟进行3次消毒重复实验，消毒房3个不同位置内外对大肠杆菌灭杀对数值均≥4.20，阴性对照组无菌生长。消毒房脊髓灰质炎病毒灭活对数值≥4.5，灭菌率检验结果对大肠杆菌与脊髓灰质炎病毒灭活试验灭菌率≥99.8％，</w:t>
            </w:r>
            <w:r>
              <w:rPr>
                <w:rFonts w:hint="eastAsia" w:ascii="宋体" w:hAnsi="宋体" w:eastAsia="宋体" w:cs="宋体"/>
                <w:b/>
                <w:bCs/>
                <w:color w:val="auto"/>
                <w:kern w:val="0"/>
                <w:sz w:val="22"/>
                <w:szCs w:val="22"/>
                <w:highlight w:val="none"/>
                <w:u w:val="none"/>
                <w:lang w:val="en-US" w:eastAsia="zh-CN" w:bidi="ar"/>
              </w:rPr>
              <w:t>抗菌试验 (抑制细菌滋生的能力)对大肠杆菌、金黄色葡萄球菌进行抗菌效果试验，试验后</w:t>
            </w:r>
            <w:r>
              <w:rPr>
                <w:rFonts w:hint="eastAsia" w:ascii="宋体" w:hAnsi="宋体" w:eastAsia="宋体" w:cs="宋体"/>
                <w:b/>
                <w:bCs/>
                <w:i w:val="0"/>
                <w:iCs w:val="0"/>
                <w:color w:val="auto"/>
                <w:kern w:val="0"/>
                <w:sz w:val="22"/>
                <w:szCs w:val="22"/>
                <w:highlight w:val="none"/>
                <w:u w:val="none"/>
                <w:lang w:val="en-US" w:eastAsia="zh-CN" w:bidi="ar"/>
              </w:rPr>
              <w:t>抗菌率≥90％同时</w:t>
            </w:r>
            <w:r>
              <w:rPr>
                <w:rFonts w:hint="eastAsia" w:ascii="宋体" w:hAnsi="宋体" w:eastAsia="宋体" w:cs="宋体"/>
                <w:b/>
                <w:bCs/>
                <w:color w:val="auto"/>
                <w:kern w:val="0"/>
                <w:sz w:val="22"/>
                <w:szCs w:val="22"/>
                <w:highlight w:val="none"/>
                <w:u w:val="none"/>
                <w:lang w:val="en-US" w:eastAsia="zh-CN" w:bidi="ar"/>
              </w:rPr>
              <w:t>GB 4806.9-2023感官要求单项判定合格</w:t>
            </w:r>
            <w:r>
              <w:rPr>
                <w:rFonts w:hint="eastAsia" w:ascii="宋体" w:hAnsi="宋体" w:eastAsia="宋体" w:cs="宋体"/>
                <w:b/>
                <w:bCs/>
                <w:i w:val="0"/>
                <w:iCs w:val="0"/>
                <w:color w:val="auto"/>
                <w:kern w:val="0"/>
                <w:sz w:val="22"/>
                <w:szCs w:val="22"/>
                <w:highlight w:val="none"/>
                <w:u w:val="none"/>
                <w:lang w:val="en-US" w:eastAsia="zh-CN" w:bidi="ar"/>
              </w:rPr>
              <w:t xml:space="preserve">不会产生环境污染与卫生问题，全部符合的检验报告作为佐证。  </w:t>
            </w:r>
            <w:r>
              <w:rPr>
                <w:rFonts w:hint="eastAsia" w:ascii="宋体" w:hAnsi="宋体" w:eastAsia="宋体" w:cs="宋体"/>
                <w:i w:val="0"/>
                <w:iCs w:val="0"/>
                <w:color w:val="auto"/>
                <w:kern w:val="0"/>
                <w:sz w:val="22"/>
                <w:szCs w:val="22"/>
                <w:highlight w:val="none"/>
                <w:u w:val="none"/>
                <w:lang w:val="en-US" w:eastAsia="zh-CN" w:bidi="ar"/>
              </w:rPr>
              <w:t xml:space="preserve">                                     加热组机柜1200X1000x1000</w:t>
            </w:r>
          </w:p>
          <w:p w14:paraId="2D795BDA">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电压：380V 50HZ</w:t>
            </w:r>
          </w:p>
          <w:p w14:paraId="33A0AA8D">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功率：24KW循环机组：790Pa二组电压：380V 50HZ功率：750WX2</w:t>
            </w:r>
          </w:p>
          <w:p w14:paraId="0F97FF1A">
            <w:pPr>
              <w:keepNext w:val="0"/>
              <w:keepLines w:val="0"/>
              <w:widowControl/>
              <w:suppressLineNumbers w:val="0"/>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消毒库总功率：26K</w:t>
            </w:r>
            <w:r>
              <w:rPr>
                <w:rFonts w:hint="eastAsia" w:ascii="宋体" w:hAnsi="宋体" w:cs="宋体"/>
                <w:i w:val="0"/>
                <w:iCs w:val="0"/>
                <w:color w:val="auto"/>
                <w:kern w:val="0"/>
                <w:sz w:val="22"/>
                <w:szCs w:val="22"/>
                <w:highlight w:val="none"/>
                <w:u w:val="none"/>
                <w:lang w:val="en-US" w:eastAsia="zh-CN" w:bidi="ar"/>
              </w:rPr>
              <w:t>W</w:t>
            </w:r>
          </w:p>
        </w:tc>
        <w:tc>
          <w:tcPr>
            <w:tcW w:w="558" w:type="dxa"/>
            <w:shd w:val="clear" w:color="auto" w:fill="auto"/>
            <w:noWrap/>
            <w:vAlign w:val="center"/>
          </w:tcPr>
          <w:p w14:paraId="6C926A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756" w:type="dxa"/>
            <w:shd w:val="clear" w:color="auto" w:fill="auto"/>
            <w:noWrap/>
            <w:vAlign w:val="center"/>
          </w:tcPr>
          <w:p w14:paraId="4EE42C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m³</w:t>
            </w:r>
          </w:p>
        </w:tc>
        <w:tc>
          <w:tcPr>
            <w:tcW w:w="1571" w:type="dxa"/>
            <w:shd w:val="clear" w:color="auto" w:fill="auto"/>
            <w:noWrap/>
            <w:vAlign w:val="center"/>
          </w:tcPr>
          <w:p w14:paraId="09F0D9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142875</wp:posOffset>
                  </wp:positionH>
                  <wp:positionV relativeFrom="paragraph">
                    <wp:posOffset>603250</wp:posOffset>
                  </wp:positionV>
                  <wp:extent cx="699770" cy="791210"/>
                  <wp:effectExtent l="0" t="0" r="5080" b="8890"/>
                  <wp:wrapNone/>
                  <wp:docPr id="200" name="图片_29"/>
                  <wp:cNvGraphicFramePr/>
                  <a:graphic xmlns:a="http://schemas.openxmlformats.org/drawingml/2006/main">
                    <a:graphicData uri="http://schemas.openxmlformats.org/drawingml/2006/picture">
                      <pic:pic xmlns:pic="http://schemas.openxmlformats.org/drawingml/2006/picture">
                        <pic:nvPicPr>
                          <pic:cNvPr id="200" name="图片_29"/>
                          <pic:cNvPicPr/>
                        </pic:nvPicPr>
                        <pic:blipFill>
                          <a:blip r:embed="rId46"/>
                          <a:stretch>
                            <a:fillRect/>
                          </a:stretch>
                        </pic:blipFill>
                        <pic:spPr>
                          <a:xfrm>
                            <a:off x="0" y="0"/>
                            <a:ext cx="699770" cy="791210"/>
                          </a:xfrm>
                          <a:prstGeom prst="rect">
                            <a:avLst/>
                          </a:prstGeom>
                          <a:noFill/>
                          <a:ln>
                            <a:noFill/>
                          </a:ln>
                        </pic:spPr>
                      </pic:pic>
                    </a:graphicData>
                  </a:graphic>
                </wp:anchor>
              </w:drawing>
            </w:r>
          </w:p>
        </w:tc>
      </w:tr>
      <w:tr w14:paraId="3316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4B96D4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536" w:type="dxa"/>
            <w:shd w:val="clear" w:color="auto" w:fill="auto"/>
            <w:vAlign w:val="center"/>
          </w:tcPr>
          <w:p w14:paraId="44CBDF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三层货架</w:t>
            </w:r>
          </w:p>
        </w:tc>
        <w:tc>
          <w:tcPr>
            <w:tcW w:w="4964" w:type="dxa"/>
            <w:shd w:val="clear" w:color="auto" w:fill="auto"/>
            <w:vAlign w:val="center"/>
          </w:tcPr>
          <w:p w14:paraId="16066BA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说明：选用SUS304-2B优质不锈钢板制作；层板δ≥1.2mm，实厚δ≥1.18mm；立柱为φ38*1.0mm加厚管制，实厚δ≥0.89mm；层板型，四层结构，下衬不锈钢加强筋，实厚δ≥0.89mm；配置重力不锈钢可调节子弹脚。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规格：1200*500*1750mm</w:t>
            </w:r>
          </w:p>
        </w:tc>
        <w:tc>
          <w:tcPr>
            <w:tcW w:w="558" w:type="dxa"/>
            <w:shd w:val="clear" w:color="auto" w:fill="auto"/>
            <w:vAlign w:val="center"/>
          </w:tcPr>
          <w:p w14:paraId="23C634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auto"/>
            <w:vAlign w:val="center"/>
          </w:tcPr>
          <w:p w14:paraId="5AE744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2FCBE0D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1181100" cy="828675"/>
                  <wp:effectExtent l="0" t="0" r="0" b="9525"/>
                  <wp:docPr id="20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47"/>
                          <pic:cNvPicPr>
                            <a:picLocks noChangeAspect="1"/>
                          </pic:cNvPicPr>
                        </pic:nvPicPr>
                        <pic:blipFill>
                          <a:blip r:embed="rId47"/>
                          <a:srcRect/>
                          <a:stretch>
                            <a:fillRect/>
                          </a:stretch>
                        </pic:blipFill>
                        <pic:spPr>
                          <a:xfrm>
                            <a:off x="0" y="0"/>
                            <a:ext cx="1181100" cy="828675"/>
                          </a:xfrm>
                          <a:prstGeom prst="rect">
                            <a:avLst/>
                          </a:prstGeom>
                        </pic:spPr>
                      </pic:pic>
                    </a:graphicData>
                  </a:graphic>
                </wp:inline>
              </w:drawing>
            </w:r>
          </w:p>
        </w:tc>
      </w:tr>
      <w:tr w14:paraId="4815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0" w:hRule="atLeast"/>
          <w:jc w:val="center"/>
        </w:trPr>
        <w:tc>
          <w:tcPr>
            <w:tcW w:w="658" w:type="dxa"/>
            <w:shd w:val="clear" w:color="auto" w:fill="auto"/>
            <w:vAlign w:val="center"/>
          </w:tcPr>
          <w:p w14:paraId="15B010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536" w:type="dxa"/>
            <w:shd w:val="clear" w:color="auto" w:fill="auto"/>
            <w:vAlign w:val="center"/>
          </w:tcPr>
          <w:p w14:paraId="282E0A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消毒车</w:t>
            </w:r>
          </w:p>
        </w:tc>
        <w:tc>
          <w:tcPr>
            <w:tcW w:w="4964" w:type="dxa"/>
            <w:shd w:val="clear" w:color="auto" w:fill="auto"/>
            <w:vAlign w:val="center"/>
          </w:tcPr>
          <w:p w14:paraId="76B78B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采用SUS304-2B优质不锈钢板制造，厚度1.2mm，配优质5寸耐高温定向、万向轮。称重≥150KG。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规格：1000*500*900</w:t>
            </w:r>
          </w:p>
        </w:tc>
        <w:tc>
          <w:tcPr>
            <w:tcW w:w="558" w:type="dxa"/>
            <w:shd w:val="clear" w:color="auto" w:fill="auto"/>
            <w:vAlign w:val="center"/>
          </w:tcPr>
          <w:p w14:paraId="0035F1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756" w:type="dxa"/>
            <w:shd w:val="clear" w:color="auto" w:fill="auto"/>
            <w:vAlign w:val="center"/>
          </w:tcPr>
          <w:p w14:paraId="55AFEE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辆</w:t>
            </w:r>
          </w:p>
        </w:tc>
        <w:tc>
          <w:tcPr>
            <w:tcW w:w="1571" w:type="dxa"/>
            <w:shd w:val="clear" w:color="auto" w:fill="auto"/>
            <w:vAlign w:val="center"/>
          </w:tcPr>
          <w:p w14:paraId="29AF64A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200025</wp:posOffset>
                  </wp:positionH>
                  <wp:positionV relativeFrom="paragraph">
                    <wp:posOffset>85725</wp:posOffset>
                  </wp:positionV>
                  <wp:extent cx="470535" cy="483870"/>
                  <wp:effectExtent l="0" t="0" r="5715" b="11430"/>
                  <wp:wrapNone/>
                  <wp:docPr id="202" name="图片_30"/>
                  <wp:cNvGraphicFramePr/>
                  <a:graphic xmlns:a="http://schemas.openxmlformats.org/drawingml/2006/main">
                    <a:graphicData uri="http://schemas.openxmlformats.org/drawingml/2006/picture">
                      <pic:pic xmlns:pic="http://schemas.openxmlformats.org/drawingml/2006/picture">
                        <pic:nvPicPr>
                          <pic:cNvPr id="202" name="图片_30"/>
                          <pic:cNvPicPr/>
                        </pic:nvPicPr>
                        <pic:blipFill>
                          <a:blip r:embed="rId48"/>
                          <a:stretch>
                            <a:fillRect/>
                          </a:stretch>
                        </pic:blipFill>
                        <pic:spPr>
                          <a:xfrm>
                            <a:off x="0" y="0"/>
                            <a:ext cx="470535" cy="483870"/>
                          </a:xfrm>
                          <a:prstGeom prst="rect">
                            <a:avLst/>
                          </a:prstGeom>
                          <a:noFill/>
                          <a:ln>
                            <a:noFill/>
                          </a:ln>
                        </pic:spPr>
                      </pic:pic>
                    </a:graphicData>
                  </a:graphic>
                </wp:anchor>
              </w:drawing>
            </w:r>
          </w:p>
        </w:tc>
      </w:tr>
      <w:tr w14:paraId="0852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2194" w:type="dxa"/>
            <w:gridSpan w:val="2"/>
            <w:shd w:val="clear" w:color="auto" w:fill="auto"/>
            <w:vAlign w:val="center"/>
          </w:tcPr>
          <w:p w14:paraId="27D9A59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二次更衣室</w:t>
            </w:r>
          </w:p>
        </w:tc>
        <w:tc>
          <w:tcPr>
            <w:tcW w:w="4964" w:type="dxa"/>
            <w:shd w:val="clear" w:color="auto" w:fill="auto"/>
            <w:vAlign w:val="center"/>
          </w:tcPr>
          <w:p w14:paraId="2C70F189">
            <w:pPr>
              <w:jc w:val="left"/>
              <w:rPr>
                <w:rFonts w:hint="eastAsia" w:ascii="宋体" w:hAnsi="宋体" w:eastAsia="宋体" w:cs="宋体"/>
                <w:i w:val="0"/>
                <w:iCs w:val="0"/>
                <w:color w:val="auto"/>
                <w:sz w:val="22"/>
                <w:szCs w:val="22"/>
                <w:highlight w:val="none"/>
                <w:u w:val="none"/>
              </w:rPr>
            </w:pPr>
          </w:p>
        </w:tc>
        <w:tc>
          <w:tcPr>
            <w:tcW w:w="558" w:type="dxa"/>
            <w:shd w:val="clear" w:color="auto" w:fill="auto"/>
            <w:vAlign w:val="center"/>
          </w:tcPr>
          <w:p w14:paraId="3CC1B540">
            <w:pPr>
              <w:jc w:val="center"/>
              <w:rPr>
                <w:rFonts w:hint="eastAsia" w:ascii="宋体" w:hAnsi="宋体" w:eastAsia="宋体" w:cs="宋体"/>
                <w:i w:val="0"/>
                <w:iCs w:val="0"/>
                <w:color w:val="auto"/>
                <w:sz w:val="22"/>
                <w:szCs w:val="22"/>
                <w:highlight w:val="none"/>
                <w:u w:val="none"/>
              </w:rPr>
            </w:pPr>
          </w:p>
        </w:tc>
        <w:tc>
          <w:tcPr>
            <w:tcW w:w="756" w:type="dxa"/>
            <w:shd w:val="clear" w:color="auto" w:fill="auto"/>
            <w:vAlign w:val="center"/>
          </w:tcPr>
          <w:p w14:paraId="02C4A1DB">
            <w:pPr>
              <w:jc w:val="center"/>
              <w:rPr>
                <w:rFonts w:hint="eastAsia" w:ascii="宋体" w:hAnsi="宋体" w:eastAsia="宋体" w:cs="宋体"/>
                <w:i w:val="0"/>
                <w:iCs w:val="0"/>
                <w:color w:val="auto"/>
                <w:sz w:val="18"/>
                <w:szCs w:val="18"/>
                <w:highlight w:val="none"/>
                <w:u w:val="none"/>
              </w:rPr>
            </w:pPr>
          </w:p>
        </w:tc>
        <w:tc>
          <w:tcPr>
            <w:tcW w:w="1571" w:type="dxa"/>
            <w:shd w:val="clear" w:color="auto" w:fill="auto"/>
            <w:vAlign w:val="center"/>
          </w:tcPr>
          <w:p w14:paraId="0A8087AA">
            <w:pPr>
              <w:rPr>
                <w:rFonts w:hint="eastAsia" w:ascii="宋体" w:hAnsi="宋体" w:eastAsia="宋体" w:cs="宋体"/>
                <w:i w:val="0"/>
                <w:iCs w:val="0"/>
                <w:color w:val="auto"/>
                <w:sz w:val="22"/>
                <w:szCs w:val="22"/>
                <w:highlight w:val="none"/>
                <w:u w:val="none"/>
              </w:rPr>
            </w:pPr>
          </w:p>
        </w:tc>
      </w:tr>
      <w:tr w14:paraId="78B7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0" w:hRule="atLeast"/>
          <w:jc w:val="center"/>
        </w:trPr>
        <w:tc>
          <w:tcPr>
            <w:tcW w:w="658" w:type="dxa"/>
            <w:shd w:val="clear" w:color="auto" w:fill="auto"/>
            <w:vAlign w:val="center"/>
          </w:tcPr>
          <w:p w14:paraId="4BA74C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3E3ED8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单星水池带感应龙头</w:t>
            </w:r>
          </w:p>
        </w:tc>
        <w:tc>
          <w:tcPr>
            <w:tcW w:w="4964" w:type="dxa"/>
            <w:shd w:val="clear" w:color="auto" w:fill="auto"/>
            <w:vAlign w:val="center"/>
          </w:tcPr>
          <w:p w14:paraId="2A4C521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说明：采用SUS304-2B优质不锈钢板制造，台面δ=1.2mm，星盆斗δ=1.2mm，配置不锈钢可调节重力子弹脚，配优质不锈钢落水器、拦渣斗。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规格：1000*500*800mm</w:t>
            </w:r>
          </w:p>
        </w:tc>
        <w:tc>
          <w:tcPr>
            <w:tcW w:w="558" w:type="dxa"/>
            <w:shd w:val="clear" w:color="auto" w:fill="auto"/>
            <w:vAlign w:val="center"/>
          </w:tcPr>
          <w:p w14:paraId="0B7C93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3D8465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2EBAC9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171450</wp:posOffset>
                  </wp:positionH>
                  <wp:positionV relativeFrom="paragraph">
                    <wp:posOffset>174625</wp:posOffset>
                  </wp:positionV>
                  <wp:extent cx="602615" cy="394335"/>
                  <wp:effectExtent l="0" t="0" r="6985" b="5715"/>
                  <wp:wrapNone/>
                  <wp:docPr id="203" name="图片_27"/>
                  <wp:cNvGraphicFramePr/>
                  <a:graphic xmlns:a="http://schemas.openxmlformats.org/drawingml/2006/main">
                    <a:graphicData uri="http://schemas.openxmlformats.org/drawingml/2006/picture">
                      <pic:pic xmlns:pic="http://schemas.openxmlformats.org/drawingml/2006/picture">
                        <pic:nvPicPr>
                          <pic:cNvPr id="203" name="图片_27"/>
                          <pic:cNvPicPr/>
                        </pic:nvPicPr>
                        <pic:blipFill>
                          <a:blip r:embed="rId49"/>
                          <a:stretch>
                            <a:fillRect/>
                          </a:stretch>
                        </pic:blipFill>
                        <pic:spPr>
                          <a:xfrm>
                            <a:off x="0" y="0"/>
                            <a:ext cx="602615" cy="394335"/>
                          </a:xfrm>
                          <a:prstGeom prst="rect">
                            <a:avLst/>
                          </a:prstGeom>
                          <a:noFill/>
                          <a:ln>
                            <a:noFill/>
                          </a:ln>
                        </pic:spPr>
                      </pic:pic>
                    </a:graphicData>
                  </a:graphic>
                </wp:anchor>
              </w:drawing>
            </w:r>
          </w:p>
        </w:tc>
      </w:tr>
      <w:tr w14:paraId="10D9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658" w:type="dxa"/>
            <w:shd w:val="clear" w:color="auto" w:fill="auto"/>
            <w:vAlign w:val="center"/>
          </w:tcPr>
          <w:p w14:paraId="443AE5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24111D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挂衣钩</w:t>
            </w:r>
          </w:p>
        </w:tc>
        <w:tc>
          <w:tcPr>
            <w:tcW w:w="4964" w:type="dxa"/>
            <w:shd w:val="clear" w:color="auto" w:fill="auto"/>
            <w:vAlign w:val="center"/>
          </w:tcPr>
          <w:p w14:paraId="7C159B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说明：整体采用304不锈钢制作。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规格：410*45*50</w:t>
            </w:r>
          </w:p>
        </w:tc>
        <w:tc>
          <w:tcPr>
            <w:tcW w:w="558" w:type="dxa"/>
            <w:shd w:val="clear" w:color="auto" w:fill="auto"/>
            <w:vAlign w:val="center"/>
          </w:tcPr>
          <w:p w14:paraId="3B4897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auto"/>
            <w:vAlign w:val="center"/>
          </w:tcPr>
          <w:p w14:paraId="5F037A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vAlign w:val="center"/>
          </w:tcPr>
          <w:p w14:paraId="6C366B7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123825</wp:posOffset>
                  </wp:positionH>
                  <wp:positionV relativeFrom="paragraph">
                    <wp:posOffset>88900</wp:posOffset>
                  </wp:positionV>
                  <wp:extent cx="553720" cy="203835"/>
                  <wp:effectExtent l="0" t="0" r="17780" b="5715"/>
                  <wp:wrapNone/>
                  <wp:docPr id="204" name="图片_31"/>
                  <wp:cNvGraphicFramePr/>
                  <a:graphic xmlns:a="http://schemas.openxmlformats.org/drawingml/2006/main">
                    <a:graphicData uri="http://schemas.openxmlformats.org/drawingml/2006/picture">
                      <pic:pic xmlns:pic="http://schemas.openxmlformats.org/drawingml/2006/picture">
                        <pic:nvPicPr>
                          <pic:cNvPr id="204" name="图片_31"/>
                          <pic:cNvPicPr/>
                        </pic:nvPicPr>
                        <pic:blipFill>
                          <a:blip r:embed="rId50"/>
                          <a:stretch>
                            <a:fillRect/>
                          </a:stretch>
                        </pic:blipFill>
                        <pic:spPr>
                          <a:xfrm>
                            <a:off x="0" y="0"/>
                            <a:ext cx="553720" cy="203835"/>
                          </a:xfrm>
                          <a:prstGeom prst="rect">
                            <a:avLst/>
                          </a:prstGeom>
                          <a:noFill/>
                          <a:ln>
                            <a:noFill/>
                          </a:ln>
                        </pic:spPr>
                      </pic:pic>
                    </a:graphicData>
                  </a:graphic>
                </wp:anchor>
              </w:drawing>
            </w:r>
          </w:p>
        </w:tc>
      </w:tr>
      <w:tr w14:paraId="7FD2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90" w:hRule="atLeast"/>
          <w:jc w:val="center"/>
        </w:trPr>
        <w:tc>
          <w:tcPr>
            <w:tcW w:w="658" w:type="dxa"/>
            <w:shd w:val="clear" w:color="auto" w:fill="auto"/>
            <w:vAlign w:val="center"/>
          </w:tcPr>
          <w:p w14:paraId="015D99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33E182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烘手器</w:t>
            </w:r>
          </w:p>
        </w:tc>
        <w:tc>
          <w:tcPr>
            <w:tcW w:w="4964" w:type="dxa"/>
            <w:shd w:val="clear" w:color="auto" w:fill="auto"/>
            <w:vAlign w:val="center"/>
          </w:tcPr>
          <w:p w14:paraId="7855BD3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说明:1、电压：220V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2、功率：≤1500W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3、尺寸：≥345*218*365mm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4、净重：≥3.5KG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5、传感器范围：50-120MM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6、风速：&gt;85M/S</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7、空气温度：＜56℃</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7、安装方式：挂壁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8、全自动免接触智能红外感应，伸手即开、收手即停，性能稳定，具有连续运行60秒后强行停机保护功能,防止误操作导致机器受损，有效延长机器使用寿命。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9、排式高速气流柱出风口设计，风速强劲，干燥时间5-8秒，具有智能控制模板，可根据需要选择自然风、加热风两档调节。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10、安装方便，用膨胀螺钉固定好不锈钢挂件后再将机器挂上并固定稳即可使用，维修保养都非常方便。</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●产品符合标准GB/T 19606-2024《家用和类似用途电器噪音限值》以及GB/T 4214.1-2017《家用和类似用途电器噪音测试方法通用要求》，检测噪音额定值≤75</w:t>
            </w:r>
            <w:r>
              <w:rPr>
                <w:rFonts w:hint="eastAsia" w:ascii="宋体" w:hAnsi="宋体" w:cs="宋体"/>
                <w:b/>
                <w:bCs/>
                <w:i w:val="0"/>
                <w:iCs w:val="0"/>
                <w:color w:val="auto"/>
                <w:kern w:val="0"/>
                <w:sz w:val="22"/>
                <w:szCs w:val="22"/>
                <w:highlight w:val="none"/>
                <w:u w:val="none"/>
                <w:lang w:val="en-US" w:eastAsia="zh-CN" w:bidi="ar"/>
              </w:rPr>
              <w:t>的</w:t>
            </w:r>
            <w:r>
              <w:rPr>
                <w:rFonts w:hint="eastAsia" w:ascii="宋体" w:hAnsi="宋体" w:eastAsia="宋体" w:cs="宋体"/>
                <w:b/>
                <w:bCs/>
                <w:i w:val="0"/>
                <w:iCs w:val="0"/>
                <w:color w:val="auto"/>
                <w:kern w:val="0"/>
                <w:sz w:val="22"/>
                <w:szCs w:val="22"/>
                <w:highlight w:val="none"/>
                <w:u w:val="none"/>
                <w:lang w:val="en-US" w:eastAsia="zh-CN" w:bidi="ar"/>
              </w:rPr>
              <w:t>检测报告佐证</w:t>
            </w:r>
          </w:p>
        </w:tc>
        <w:tc>
          <w:tcPr>
            <w:tcW w:w="558" w:type="dxa"/>
            <w:shd w:val="clear" w:color="auto" w:fill="auto"/>
            <w:vAlign w:val="center"/>
          </w:tcPr>
          <w:p w14:paraId="2330F9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425C17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4C00842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381000</wp:posOffset>
                  </wp:positionH>
                  <wp:positionV relativeFrom="paragraph">
                    <wp:posOffset>1104900</wp:posOffset>
                  </wp:positionV>
                  <wp:extent cx="485775" cy="738505"/>
                  <wp:effectExtent l="0" t="0" r="9525" b="4445"/>
                  <wp:wrapNone/>
                  <wp:docPr id="205" name="图片_33"/>
                  <wp:cNvGraphicFramePr/>
                  <a:graphic xmlns:a="http://schemas.openxmlformats.org/drawingml/2006/main">
                    <a:graphicData uri="http://schemas.openxmlformats.org/drawingml/2006/picture">
                      <pic:pic xmlns:pic="http://schemas.openxmlformats.org/drawingml/2006/picture">
                        <pic:nvPicPr>
                          <pic:cNvPr id="205" name="图片_33"/>
                          <pic:cNvPicPr/>
                        </pic:nvPicPr>
                        <pic:blipFill>
                          <a:blip r:embed="rId51"/>
                          <a:stretch>
                            <a:fillRect/>
                          </a:stretch>
                        </pic:blipFill>
                        <pic:spPr>
                          <a:xfrm>
                            <a:off x="0" y="0"/>
                            <a:ext cx="485775" cy="738505"/>
                          </a:xfrm>
                          <a:prstGeom prst="rect">
                            <a:avLst/>
                          </a:prstGeom>
                          <a:noFill/>
                          <a:ln>
                            <a:noFill/>
                          </a:ln>
                        </pic:spPr>
                      </pic:pic>
                    </a:graphicData>
                  </a:graphic>
                </wp:anchor>
              </w:drawing>
            </w:r>
          </w:p>
        </w:tc>
      </w:tr>
      <w:tr w14:paraId="3016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0" w:hRule="atLeast"/>
          <w:jc w:val="center"/>
        </w:trPr>
        <w:tc>
          <w:tcPr>
            <w:tcW w:w="658" w:type="dxa"/>
            <w:shd w:val="clear" w:color="auto" w:fill="auto"/>
            <w:vAlign w:val="center"/>
          </w:tcPr>
          <w:p w14:paraId="7E397B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59F067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自动消毒液器</w:t>
            </w:r>
          </w:p>
        </w:tc>
        <w:tc>
          <w:tcPr>
            <w:tcW w:w="4964" w:type="dxa"/>
            <w:shd w:val="clear" w:color="auto" w:fill="auto"/>
            <w:vAlign w:val="center"/>
          </w:tcPr>
          <w:p w14:paraId="385B8A8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说明:容量1500ml，智能感应免接触。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规格：248*190*250mm</w:t>
            </w:r>
          </w:p>
        </w:tc>
        <w:tc>
          <w:tcPr>
            <w:tcW w:w="558" w:type="dxa"/>
            <w:shd w:val="clear" w:color="auto" w:fill="auto"/>
            <w:vAlign w:val="center"/>
          </w:tcPr>
          <w:p w14:paraId="649E64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282BD6E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F58D8B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151765</wp:posOffset>
                  </wp:positionH>
                  <wp:positionV relativeFrom="paragraph">
                    <wp:posOffset>47625</wp:posOffset>
                  </wp:positionV>
                  <wp:extent cx="619760" cy="895350"/>
                  <wp:effectExtent l="0" t="0" r="8890" b="0"/>
                  <wp:wrapNone/>
                  <wp:docPr id="206" name="图片_153"/>
                  <wp:cNvGraphicFramePr/>
                  <a:graphic xmlns:a="http://schemas.openxmlformats.org/drawingml/2006/main">
                    <a:graphicData uri="http://schemas.openxmlformats.org/drawingml/2006/picture">
                      <pic:pic xmlns:pic="http://schemas.openxmlformats.org/drawingml/2006/picture">
                        <pic:nvPicPr>
                          <pic:cNvPr id="206" name="图片_153"/>
                          <pic:cNvPicPr/>
                        </pic:nvPicPr>
                        <pic:blipFill>
                          <a:blip r:embed="rId52"/>
                          <a:stretch>
                            <a:fillRect/>
                          </a:stretch>
                        </pic:blipFill>
                        <pic:spPr>
                          <a:xfrm>
                            <a:off x="0" y="0"/>
                            <a:ext cx="619760" cy="895350"/>
                          </a:xfrm>
                          <a:prstGeom prst="rect">
                            <a:avLst/>
                          </a:prstGeom>
                          <a:noFill/>
                          <a:ln>
                            <a:noFill/>
                          </a:ln>
                        </pic:spPr>
                      </pic:pic>
                    </a:graphicData>
                  </a:graphic>
                </wp:anchor>
              </w:drawing>
            </w:r>
          </w:p>
        </w:tc>
      </w:tr>
      <w:tr w14:paraId="10F5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2194" w:type="dxa"/>
            <w:gridSpan w:val="2"/>
            <w:shd w:val="clear" w:color="auto" w:fill="auto"/>
            <w:noWrap/>
            <w:vAlign w:val="center"/>
          </w:tcPr>
          <w:p w14:paraId="21F0234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面点间</w:t>
            </w:r>
          </w:p>
        </w:tc>
        <w:tc>
          <w:tcPr>
            <w:tcW w:w="4964" w:type="dxa"/>
            <w:shd w:val="clear" w:color="auto" w:fill="auto"/>
            <w:noWrap/>
            <w:vAlign w:val="center"/>
          </w:tcPr>
          <w:p w14:paraId="1A5D7E5C">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2F4830C6">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6302DAFF">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0CC6FF8F">
            <w:pPr>
              <w:rPr>
                <w:rFonts w:hint="eastAsia" w:ascii="宋体" w:hAnsi="宋体" w:eastAsia="宋体" w:cs="宋体"/>
                <w:i w:val="0"/>
                <w:iCs w:val="0"/>
                <w:color w:val="auto"/>
                <w:sz w:val="22"/>
                <w:szCs w:val="22"/>
                <w:highlight w:val="none"/>
                <w:u w:val="none"/>
              </w:rPr>
            </w:pPr>
          </w:p>
        </w:tc>
      </w:tr>
      <w:tr w14:paraId="518B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jc w:val="center"/>
        </w:trPr>
        <w:tc>
          <w:tcPr>
            <w:tcW w:w="658" w:type="dxa"/>
            <w:shd w:val="clear" w:color="auto" w:fill="auto"/>
            <w:vAlign w:val="center"/>
          </w:tcPr>
          <w:p w14:paraId="0C21DC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39BE1B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冷藏醒发箱</w:t>
            </w:r>
          </w:p>
        </w:tc>
        <w:tc>
          <w:tcPr>
            <w:tcW w:w="4964" w:type="dxa"/>
            <w:shd w:val="clear" w:color="auto" w:fill="auto"/>
            <w:vAlign w:val="center"/>
          </w:tcPr>
          <w:p w14:paraId="1585A4C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1.采用</w:t>
            </w:r>
            <w:r>
              <w:rPr>
                <w:rFonts w:hint="eastAsia" w:ascii="宋体" w:hAnsi="宋体" w:cs="宋体"/>
                <w:i w:val="0"/>
                <w:iCs w:val="0"/>
                <w:color w:val="auto"/>
                <w:kern w:val="0"/>
                <w:sz w:val="22"/>
                <w:szCs w:val="22"/>
                <w:highlight w:val="none"/>
                <w:u w:val="none"/>
                <w:lang w:val="en-US" w:eastAsia="zh-CN" w:bidi="ar"/>
              </w:rPr>
              <w:t>优质</w:t>
            </w:r>
            <w:r>
              <w:rPr>
                <w:rFonts w:hint="eastAsia" w:ascii="宋体" w:hAnsi="宋体" w:eastAsia="宋体" w:cs="宋体"/>
                <w:i w:val="0"/>
                <w:iCs w:val="0"/>
                <w:color w:val="auto"/>
                <w:kern w:val="0"/>
                <w:sz w:val="22"/>
                <w:szCs w:val="22"/>
                <w:highlight w:val="none"/>
                <w:u w:val="none"/>
                <w:lang w:val="en-US" w:eastAsia="zh-CN" w:bidi="ar"/>
              </w:rPr>
              <w:t>压缩机，优质不锈钢材质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2.温度范围：-5℃~-40℃/2℃~-40℃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3.电压：220V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4.功率：2.6KW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5.规格：705*770*1950</w:t>
            </w:r>
          </w:p>
        </w:tc>
        <w:tc>
          <w:tcPr>
            <w:tcW w:w="558" w:type="dxa"/>
            <w:shd w:val="clear" w:color="auto" w:fill="auto"/>
            <w:vAlign w:val="center"/>
          </w:tcPr>
          <w:p w14:paraId="3015EC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472AD3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2E41DC1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53975</wp:posOffset>
                  </wp:positionH>
                  <wp:positionV relativeFrom="paragraph">
                    <wp:posOffset>50165</wp:posOffset>
                  </wp:positionV>
                  <wp:extent cx="732155" cy="1000125"/>
                  <wp:effectExtent l="0" t="0" r="10795" b="9525"/>
                  <wp:wrapNone/>
                  <wp:docPr id="207" name="图片_2_SpCnt_1"/>
                  <wp:cNvGraphicFramePr/>
                  <a:graphic xmlns:a="http://schemas.openxmlformats.org/drawingml/2006/main">
                    <a:graphicData uri="http://schemas.openxmlformats.org/drawingml/2006/picture">
                      <pic:pic xmlns:pic="http://schemas.openxmlformats.org/drawingml/2006/picture">
                        <pic:nvPicPr>
                          <pic:cNvPr id="207" name="图片_2_SpCnt_1"/>
                          <pic:cNvPicPr/>
                        </pic:nvPicPr>
                        <pic:blipFill>
                          <a:blip r:embed="rId53"/>
                          <a:stretch>
                            <a:fillRect/>
                          </a:stretch>
                        </pic:blipFill>
                        <pic:spPr>
                          <a:xfrm>
                            <a:off x="0" y="0"/>
                            <a:ext cx="732155" cy="1000125"/>
                          </a:xfrm>
                          <a:prstGeom prst="rect">
                            <a:avLst/>
                          </a:prstGeom>
                          <a:noFill/>
                          <a:ln>
                            <a:noFill/>
                          </a:ln>
                        </pic:spPr>
                      </pic:pic>
                    </a:graphicData>
                  </a:graphic>
                </wp:anchor>
              </w:drawing>
            </w:r>
          </w:p>
        </w:tc>
      </w:tr>
      <w:tr w14:paraId="325B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658" w:type="dxa"/>
            <w:shd w:val="clear" w:color="auto" w:fill="auto"/>
            <w:vAlign w:val="center"/>
          </w:tcPr>
          <w:p w14:paraId="301E73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4D4128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三层六盘不锈钢烤箱</w:t>
            </w:r>
          </w:p>
        </w:tc>
        <w:tc>
          <w:tcPr>
            <w:tcW w:w="4964" w:type="dxa"/>
            <w:shd w:val="clear" w:color="auto" w:fill="auto"/>
            <w:vAlign w:val="center"/>
          </w:tcPr>
          <w:p w14:paraId="654668E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说明：采用不锈钢外壳，优质电炉丝机，上下独立控温，实时温度监控，数控型触摸面板。大玻璃门炉门，产品烘焙过程一目了然。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烤盘尺寸：400mm×600mm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温度范围：0℃-300℃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电压/功率：380V/13.2KW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规格：三层六盘</w:t>
            </w:r>
          </w:p>
        </w:tc>
        <w:tc>
          <w:tcPr>
            <w:tcW w:w="558" w:type="dxa"/>
            <w:shd w:val="clear" w:color="auto" w:fill="auto"/>
            <w:vAlign w:val="center"/>
          </w:tcPr>
          <w:p w14:paraId="08CEC0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5C74A01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1197134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47625</wp:posOffset>
                  </wp:positionH>
                  <wp:positionV relativeFrom="paragraph">
                    <wp:posOffset>28575</wp:posOffset>
                  </wp:positionV>
                  <wp:extent cx="742950" cy="909955"/>
                  <wp:effectExtent l="0" t="0" r="0" b="4445"/>
                  <wp:wrapNone/>
                  <wp:docPr id="208" name="图片_147"/>
                  <wp:cNvGraphicFramePr/>
                  <a:graphic xmlns:a="http://schemas.openxmlformats.org/drawingml/2006/main">
                    <a:graphicData uri="http://schemas.openxmlformats.org/drawingml/2006/picture">
                      <pic:pic xmlns:pic="http://schemas.openxmlformats.org/drawingml/2006/picture">
                        <pic:nvPicPr>
                          <pic:cNvPr id="208" name="图片_147"/>
                          <pic:cNvPicPr/>
                        </pic:nvPicPr>
                        <pic:blipFill>
                          <a:blip r:embed="rId54"/>
                          <a:stretch>
                            <a:fillRect/>
                          </a:stretch>
                        </pic:blipFill>
                        <pic:spPr>
                          <a:xfrm>
                            <a:off x="0" y="0"/>
                            <a:ext cx="742950" cy="909955"/>
                          </a:xfrm>
                          <a:prstGeom prst="rect">
                            <a:avLst/>
                          </a:prstGeom>
                          <a:noFill/>
                          <a:ln>
                            <a:noFill/>
                          </a:ln>
                        </pic:spPr>
                      </pic:pic>
                    </a:graphicData>
                  </a:graphic>
                </wp:anchor>
              </w:drawing>
            </w:r>
          </w:p>
        </w:tc>
      </w:tr>
      <w:tr w14:paraId="5241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9" w:hRule="atLeast"/>
          <w:jc w:val="center"/>
        </w:trPr>
        <w:tc>
          <w:tcPr>
            <w:tcW w:w="658" w:type="dxa"/>
            <w:shd w:val="clear" w:color="auto" w:fill="auto"/>
            <w:vAlign w:val="center"/>
          </w:tcPr>
          <w:p w14:paraId="46AAA4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44BAD6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全自动包子机</w:t>
            </w:r>
          </w:p>
        </w:tc>
        <w:tc>
          <w:tcPr>
            <w:tcW w:w="4964" w:type="dxa"/>
            <w:shd w:val="clear" w:color="auto" w:fill="auto"/>
            <w:vAlign w:val="center"/>
          </w:tcPr>
          <w:p w14:paraId="19635C5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单绞龙设计加半卧式出面方式，降低绞龙转速以达到保护面筋，使得生产的产品口感一流；</w:t>
            </w:r>
          </w:p>
          <w:p w14:paraId="353419B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出馅系统结构密闭性好，注馅均匀流畅，半卧式倾斜装配的馅管解决了立式出料系统馅料容易成团下掉而造成包子馅料不均匀或出现空包子的现象。</w:t>
            </w:r>
          </w:p>
          <w:p w14:paraId="7764CB0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引进先进的技术，采用12块</w:t>
            </w:r>
            <w:r>
              <w:rPr>
                <w:rFonts w:hint="eastAsia" w:ascii="宋体" w:hAnsi="宋体" w:cs="宋体"/>
                <w:i w:val="0"/>
                <w:iCs w:val="0"/>
                <w:color w:val="auto"/>
                <w:kern w:val="0"/>
                <w:sz w:val="22"/>
                <w:szCs w:val="22"/>
                <w:highlight w:val="none"/>
                <w:u w:val="none"/>
                <w:lang w:val="en-US" w:eastAsia="zh-CN" w:bidi="ar"/>
              </w:rPr>
              <w:t>优质</w:t>
            </w:r>
            <w:r>
              <w:rPr>
                <w:rFonts w:hint="eastAsia" w:ascii="宋体" w:hAnsi="宋体" w:eastAsia="宋体" w:cs="宋体"/>
                <w:i w:val="0"/>
                <w:iCs w:val="0"/>
                <w:color w:val="auto"/>
                <w:kern w:val="0"/>
                <w:sz w:val="22"/>
                <w:szCs w:val="22"/>
                <w:highlight w:val="none"/>
                <w:u w:val="none"/>
                <w:lang w:val="en-US" w:eastAsia="zh-CN" w:bidi="ar"/>
              </w:rPr>
              <w:t>高分子材料刀块，利用力学原理均衡受力减小摩擦，解决刀夹面粘面等问题，并不易受天气变化的影响。</w:t>
            </w:r>
          </w:p>
          <w:p w14:paraId="47BF2F70">
            <w:pPr>
              <w:keepNext w:val="0"/>
              <w:keepLines w:val="0"/>
              <w:widowControl/>
              <w:suppressLineNumbers w:val="0"/>
              <w:jc w:val="left"/>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功率：220V/1.55KW</w:t>
            </w:r>
          </w:p>
          <w:p w14:paraId="1B44D4AA">
            <w:pPr>
              <w:keepNext w:val="0"/>
              <w:keepLines w:val="0"/>
              <w:widowControl/>
              <w:suppressLineNumbers w:val="0"/>
              <w:jc w:val="left"/>
              <w:textAlignment w:val="center"/>
              <w:rPr>
                <w:rFonts w:hint="default"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产量：0-3600个/h</w:t>
            </w:r>
          </w:p>
          <w:p w14:paraId="662B7FF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规格：1600*720*1600mm</w:t>
            </w:r>
          </w:p>
          <w:p w14:paraId="559A676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产品提供由国家认可的第三方检测机构出具GB 16798-1997《食品机械安全卫生》</w:t>
            </w:r>
            <w:r>
              <w:rPr>
                <w:rFonts w:hint="eastAsia" w:ascii="宋体" w:hAnsi="宋体" w:cs="宋体"/>
                <w:b/>
                <w:bCs/>
                <w:i w:val="0"/>
                <w:iCs w:val="0"/>
                <w:color w:val="auto"/>
                <w:kern w:val="0"/>
                <w:sz w:val="22"/>
                <w:szCs w:val="22"/>
                <w:highlight w:val="none"/>
                <w:u w:val="none"/>
                <w:lang w:val="en-US" w:eastAsia="zh-CN" w:bidi="ar"/>
              </w:rPr>
              <w:t>的合格</w:t>
            </w:r>
            <w:r>
              <w:rPr>
                <w:rFonts w:hint="eastAsia" w:ascii="宋体" w:hAnsi="宋体" w:eastAsia="宋体" w:cs="宋体"/>
                <w:b/>
                <w:bCs/>
                <w:i w:val="0"/>
                <w:iCs w:val="0"/>
                <w:color w:val="auto"/>
                <w:kern w:val="0"/>
                <w:sz w:val="22"/>
                <w:szCs w:val="22"/>
                <w:highlight w:val="none"/>
                <w:u w:val="none"/>
                <w:lang w:val="en-US" w:eastAsia="zh-CN" w:bidi="ar"/>
              </w:rPr>
              <w:t>的检测报告作为佐证。</w:t>
            </w:r>
          </w:p>
        </w:tc>
        <w:tc>
          <w:tcPr>
            <w:tcW w:w="558" w:type="dxa"/>
            <w:shd w:val="clear" w:color="auto" w:fill="auto"/>
            <w:vAlign w:val="center"/>
          </w:tcPr>
          <w:p w14:paraId="542F79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52C25F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6C2D09D1">
            <w:pPr>
              <w:rPr>
                <w:rFonts w:hint="eastAsia" w:ascii="宋体" w:hAnsi="宋体" w:eastAsia="宋体" w:cs="宋体"/>
                <w:i w:val="0"/>
                <w:iCs w:val="0"/>
                <w:color w:val="auto"/>
                <w:sz w:val="22"/>
                <w:szCs w:val="22"/>
                <w:highlight w:val="none"/>
                <w:u w:val="none"/>
              </w:rPr>
            </w:pPr>
          </w:p>
        </w:tc>
      </w:tr>
      <w:tr w14:paraId="625A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0FF09A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196F0C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双层工作台</w:t>
            </w:r>
          </w:p>
        </w:tc>
        <w:tc>
          <w:tcPr>
            <w:tcW w:w="4964" w:type="dxa"/>
            <w:shd w:val="clear" w:color="auto" w:fill="auto"/>
            <w:vAlign w:val="center"/>
          </w:tcPr>
          <w:p w14:paraId="0CC07C0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说明：选用SUS304-2B优质不锈钢板制作；台面δ≥1.2mm，实厚δ≥1.18mm。方通脚采用38*38mm不锈钢加厚制作，壁厚1.0mm,实厚δ≥0.89mm；层板型，配置重力不锈钢可调节子弹脚。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规格：1800*800*800mm</w:t>
            </w:r>
          </w:p>
        </w:tc>
        <w:tc>
          <w:tcPr>
            <w:tcW w:w="558" w:type="dxa"/>
            <w:shd w:val="clear" w:color="auto" w:fill="auto"/>
            <w:vAlign w:val="center"/>
          </w:tcPr>
          <w:p w14:paraId="5CBDFB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auto"/>
            <w:vAlign w:val="center"/>
          </w:tcPr>
          <w:p w14:paraId="35D309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E7CFF1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142875</wp:posOffset>
                  </wp:positionH>
                  <wp:positionV relativeFrom="paragraph">
                    <wp:posOffset>133350</wp:posOffset>
                  </wp:positionV>
                  <wp:extent cx="640080" cy="372110"/>
                  <wp:effectExtent l="0" t="0" r="7620" b="8890"/>
                  <wp:wrapNone/>
                  <wp:docPr id="209" name="图片_53"/>
                  <wp:cNvGraphicFramePr/>
                  <a:graphic xmlns:a="http://schemas.openxmlformats.org/drawingml/2006/main">
                    <a:graphicData uri="http://schemas.openxmlformats.org/drawingml/2006/picture">
                      <pic:pic xmlns:pic="http://schemas.openxmlformats.org/drawingml/2006/picture">
                        <pic:nvPicPr>
                          <pic:cNvPr id="209" name="图片_53"/>
                          <pic:cNvPicPr/>
                        </pic:nvPicPr>
                        <pic:blipFill>
                          <a:blip r:embed="rId55"/>
                          <a:stretch>
                            <a:fillRect/>
                          </a:stretch>
                        </pic:blipFill>
                        <pic:spPr>
                          <a:xfrm>
                            <a:off x="0" y="0"/>
                            <a:ext cx="640080" cy="372110"/>
                          </a:xfrm>
                          <a:prstGeom prst="rect">
                            <a:avLst/>
                          </a:prstGeom>
                          <a:noFill/>
                          <a:ln>
                            <a:noFill/>
                          </a:ln>
                        </pic:spPr>
                      </pic:pic>
                    </a:graphicData>
                  </a:graphic>
                </wp:anchor>
              </w:drawing>
            </w:r>
          </w:p>
        </w:tc>
      </w:tr>
      <w:tr w14:paraId="7035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658" w:type="dxa"/>
            <w:shd w:val="clear" w:color="auto" w:fill="auto"/>
            <w:vAlign w:val="center"/>
          </w:tcPr>
          <w:p w14:paraId="230BB2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vAlign w:val="center"/>
          </w:tcPr>
          <w:p w14:paraId="7BD2A3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面粉车</w:t>
            </w:r>
          </w:p>
        </w:tc>
        <w:tc>
          <w:tcPr>
            <w:tcW w:w="4964" w:type="dxa"/>
            <w:shd w:val="clear" w:color="auto" w:fill="auto"/>
            <w:vAlign w:val="center"/>
          </w:tcPr>
          <w:p w14:paraId="3142AF7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说明：采用SUS304-2B优质不锈钢板制造，δ=1.0mm。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规格：500*600*530mm</w:t>
            </w:r>
          </w:p>
        </w:tc>
        <w:tc>
          <w:tcPr>
            <w:tcW w:w="558" w:type="dxa"/>
            <w:shd w:val="clear" w:color="auto" w:fill="auto"/>
            <w:vAlign w:val="center"/>
          </w:tcPr>
          <w:p w14:paraId="1FFDDB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3EECA3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2B810E0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47625</wp:posOffset>
                  </wp:positionH>
                  <wp:positionV relativeFrom="paragraph">
                    <wp:posOffset>66675</wp:posOffset>
                  </wp:positionV>
                  <wp:extent cx="748030" cy="669925"/>
                  <wp:effectExtent l="0" t="0" r="13970" b="15875"/>
                  <wp:wrapNone/>
                  <wp:docPr id="210" name="图片_593"/>
                  <wp:cNvGraphicFramePr/>
                  <a:graphic xmlns:a="http://schemas.openxmlformats.org/drawingml/2006/main">
                    <a:graphicData uri="http://schemas.openxmlformats.org/drawingml/2006/picture">
                      <pic:pic xmlns:pic="http://schemas.openxmlformats.org/drawingml/2006/picture">
                        <pic:nvPicPr>
                          <pic:cNvPr id="210" name="图片_593"/>
                          <pic:cNvPicPr/>
                        </pic:nvPicPr>
                        <pic:blipFill>
                          <a:blip r:embed="rId56"/>
                          <a:stretch>
                            <a:fillRect/>
                          </a:stretch>
                        </pic:blipFill>
                        <pic:spPr>
                          <a:xfrm>
                            <a:off x="0" y="0"/>
                            <a:ext cx="748030" cy="669925"/>
                          </a:xfrm>
                          <a:prstGeom prst="rect">
                            <a:avLst/>
                          </a:prstGeom>
                          <a:noFill/>
                          <a:ln>
                            <a:noFill/>
                          </a:ln>
                        </pic:spPr>
                      </pic:pic>
                    </a:graphicData>
                  </a:graphic>
                </wp:anchor>
              </w:drawing>
            </w:r>
          </w:p>
        </w:tc>
      </w:tr>
      <w:tr w14:paraId="21845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658" w:type="dxa"/>
            <w:shd w:val="clear" w:color="auto" w:fill="auto"/>
            <w:vAlign w:val="center"/>
          </w:tcPr>
          <w:p w14:paraId="287D75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36" w:type="dxa"/>
            <w:shd w:val="clear" w:color="auto" w:fill="auto"/>
            <w:vAlign w:val="center"/>
          </w:tcPr>
          <w:p w14:paraId="7B89FE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四门冰箱</w:t>
            </w:r>
          </w:p>
        </w:tc>
        <w:tc>
          <w:tcPr>
            <w:tcW w:w="4964" w:type="dxa"/>
            <w:shd w:val="clear" w:color="auto" w:fill="auto"/>
            <w:vAlign w:val="center"/>
          </w:tcPr>
          <w:p w14:paraId="712400A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1、制冷方式：风冷，温度：-</w:t>
            </w: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w:t>
            </w:r>
            <w:r>
              <w:rPr>
                <w:rFonts w:hint="eastAsia" w:ascii="宋体" w:hAnsi="宋体" w:cs="宋体"/>
                <w:i w:val="0"/>
                <w:iCs w:val="0"/>
                <w:color w:val="auto"/>
                <w:kern w:val="0"/>
                <w:sz w:val="22"/>
                <w:szCs w:val="22"/>
                <w:highlight w:val="none"/>
                <w:u w:val="none"/>
                <w:lang w:val="en-US" w:eastAsia="zh-CN" w:bidi="ar"/>
              </w:rPr>
              <w:t>8</w:t>
            </w:r>
            <w:r>
              <w:rPr>
                <w:rFonts w:hint="eastAsia" w:ascii="宋体" w:hAnsi="宋体" w:eastAsia="宋体" w:cs="宋体"/>
                <w:i w:val="0"/>
                <w:iCs w:val="0"/>
                <w:color w:val="auto"/>
                <w:kern w:val="0"/>
                <w:sz w:val="22"/>
                <w:szCs w:val="22"/>
                <w:highlight w:val="none"/>
                <w:u w:val="none"/>
                <w:lang w:val="en-US" w:eastAsia="zh-CN" w:bidi="ar"/>
              </w:rPr>
              <w:t>℃，有效容量≥790L，额定电压及频率：220V~50HZ，额定功率≤660W；尺寸：1200*750*1970mm</w:t>
            </w:r>
          </w:p>
          <w:p w14:paraId="55F521D5">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2、箱体内外均采用食品级不锈钢，箱体整体发泡，中梁配加热丝，可拆卸门封条，自动回归门设计；纯铜蒸发器，纯铜冷凝器，在最高42℃的极端环境温度下也能正常制冷；</w:t>
            </w:r>
          </w:p>
          <w:p w14:paraId="299EB90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3、配置离子食物保鲜系统，通过释放活氧抑制细菌生长，通过释放负离子延缓食物氧化，延长食物保鲜时间；</w:t>
            </w:r>
          </w:p>
        </w:tc>
        <w:tc>
          <w:tcPr>
            <w:tcW w:w="558" w:type="dxa"/>
            <w:shd w:val="clear" w:color="auto" w:fill="auto"/>
            <w:vAlign w:val="center"/>
          </w:tcPr>
          <w:p w14:paraId="62B495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49A8C6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7F69BC8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152400</wp:posOffset>
                  </wp:positionH>
                  <wp:positionV relativeFrom="paragraph">
                    <wp:posOffset>78105</wp:posOffset>
                  </wp:positionV>
                  <wp:extent cx="626745" cy="963295"/>
                  <wp:effectExtent l="0" t="0" r="1905" b="8255"/>
                  <wp:wrapNone/>
                  <wp:docPr id="211" name="图片_33_SpCnt_1"/>
                  <wp:cNvGraphicFramePr/>
                  <a:graphic xmlns:a="http://schemas.openxmlformats.org/drawingml/2006/main">
                    <a:graphicData uri="http://schemas.openxmlformats.org/drawingml/2006/picture">
                      <pic:pic xmlns:pic="http://schemas.openxmlformats.org/drawingml/2006/picture">
                        <pic:nvPicPr>
                          <pic:cNvPr id="211" name="图片_33_SpCnt_1"/>
                          <pic:cNvPicPr/>
                        </pic:nvPicPr>
                        <pic:blipFill>
                          <a:blip r:embed="rId30"/>
                          <a:stretch>
                            <a:fillRect/>
                          </a:stretch>
                        </pic:blipFill>
                        <pic:spPr>
                          <a:xfrm>
                            <a:off x="0" y="0"/>
                            <a:ext cx="626745" cy="963295"/>
                          </a:xfrm>
                          <a:prstGeom prst="rect">
                            <a:avLst/>
                          </a:prstGeom>
                          <a:noFill/>
                          <a:ln>
                            <a:noFill/>
                          </a:ln>
                        </pic:spPr>
                      </pic:pic>
                    </a:graphicData>
                  </a:graphic>
                </wp:anchor>
              </w:drawing>
            </w:r>
          </w:p>
        </w:tc>
      </w:tr>
      <w:tr w14:paraId="3871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1DD1DA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536" w:type="dxa"/>
            <w:shd w:val="clear" w:color="auto" w:fill="auto"/>
            <w:vAlign w:val="center"/>
          </w:tcPr>
          <w:p w14:paraId="054975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压面机</w:t>
            </w:r>
          </w:p>
        </w:tc>
        <w:tc>
          <w:tcPr>
            <w:tcW w:w="4964" w:type="dxa"/>
            <w:shd w:val="clear" w:color="auto" w:fill="auto"/>
            <w:vAlign w:val="center"/>
          </w:tcPr>
          <w:p w14:paraId="2F95FE3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说明:机体全部采用优质不锈钢制造，厚度2.0mm,压轮直径120mm、长度300mm，全铜电机、变频高速，符合国家卫生标准。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功率：2.2KW/220V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规格：650*705*1300mm</w:t>
            </w:r>
          </w:p>
        </w:tc>
        <w:tc>
          <w:tcPr>
            <w:tcW w:w="558" w:type="dxa"/>
            <w:shd w:val="clear" w:color="auto" w:fill="auto"/>
            <w:vAlign w:val="center"/>
          </w:tcPr>
          <w:p w14:paraId="0068B8C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7BF94C5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75B3E64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3810</wp:posOffset>
                  </wp:positionH>
                  <wp:positionV relativeFrom="paragraph">
                    <wp:posOffset>-89535</wp:posOffset>
                  </wp:positionV>
                  <wp:extent cx="952500" cy="687705"/>
                  <wp:effectExtent l="0" t="0" r="0" b="17145"/>
                  <wp:wrapNone/>
                  <wp:docPr id="212" name="图片_68"/>
                  <wp:cNvGraphicFramePr/>
                  <a:graphic xmlns:a="http://schemas.openxmlformats.org/drawingml/2006/main">
                    <a:graphicData uri="http://schemas.openxmlformats.org/drawingml/2006/picture">
                      <pic:pic xmlns:pic="http://schemas.openxmlformats.org/drawingml/2006/picture">
                        <pic:nvPicPr>
                          <pic:cNvPr id="212" name="图片_68"/>
                          <pic:cNvPicPr/>
                        </pic:nvPicPr>
                        <pic:blipFill>
                          <a:blip r:embed="rId57"/>
                          <a:stretch>
                            <a:fillRect/>
                          </a:stretch>
                        </pic:blipFill>
                        <pic:spPr>
                          <a:xfrm>
                            <a:off x="0" y="0"/>
                            <a:ext cx="952500" cy="687705"/>
                          </a:xfrm>
                          <a:prstGeom prst="rect">
                            <a:avLst/>
                          </a:prstGeom>
                          <a:noFill/>
                          <a:ln>
                            <a:noFill/>
                          </a:ln>
                        </pic:spPr>
                      </pic:pic>
                    </a:graphicData>
                  </a:graphic>
                </wp:anchor>
              </w:drawing>
            </w:r>
          </w:p>
        </w:tc>
      </w:tr>
      <w:tr w14:paraId="56A3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jc w:val="center"/>
        </w:trPr>
        <w:tc>
          <w:tcPr>
            <w:tcW w:w="658" w:type="dxa"/>
            <w:shd w:val="clear" w:color="auto" w:fill="auto"/>
            <w:vAlign w:val="center"/>
          </w:tcPr>
          <w:p w14:paraId="4C1C3D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536" w:type="dxa"/>
            <w:shd w:val="clear" w:color="auto" w:fill="auto"/>
            <w:vAlign w:val="center"/>
          </w:tcPr>
          <w:p w14:paraId="5884FF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和面机</w:t>
            </w:r>
          </w:p>
        </w:tc>
        <w:tc>
          <w:tcPr>
            <w:tcW w:w="4964" w:type="dxa"/>
            <w:shd w:val="clear" w:color="auto" w:fill="auto"/>
            <w:vAlign w:val="center"/>
          </w:tcPr>
          <w:p w14:paraId="20D652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说明：机内凡与物料接触的零部件均采用不锈钢制造，全铜电机，符合国家卫生标准。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容量：面粉25KG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功率：3.5KW/380V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规格：1010×640mm×1260mm</w:t>
            </w:r>
          </w:p>
        </w:tc>
        <w:tc>
          <w:tcPr>
            <w:tcW w:w="558" w:type="dxa"/>
            <w:shd w:val="clear" w:color="auto" w:fill="auto"/>
            <w:vAlign w:val="center"/>
          </w:tcPr>
          <w:p w14:paraId="5745AA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03BAFAC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69D3773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19050</wp:posOffset>
                  </wp:positionH>
                  <wp:positionV relativeFrom="paragraph">
                    <wp:posOffset>57150</wp:posOffset>
                  </wp:positionV>
                  <wp:extent cx="842645" cy="676910"/>
                  <wp:effectExtent l="0" t="0" r="14605" b="8890"/>
                  <wp:wrapNone/>
                  <wp:docPr id="213" name="图片_12"/>
                  <wp:cNvGraphicFramePr/>
                  <a:graphic xmlns:a="http://schemas.openxmlformats.org/drawingml/2006/main">
                    <a:graphicData uri="http://schemas.openxmlformats.org/drawingml/2006/picture">
                      <pic:pic xmlns:pic="http://schemas.openxmlformats.org/drawingml/2006/picture">
                        <pic:nvPicPr>
                          <pic:cNvPr id="213" name="图片_12"/>
                          <pic:cNvPicPr/>
                        </pic:nvPicPr>
                        <pic:blipFill>
                          <a:blip r:embed="rId58"/>
                          <a:stretch>
                            <a:fillRect/>
                          </a:stretch>
                        </pic:blipFill>
                        <pic:spPr>
                          <a:xfrm>
                            <a:off x="0" y="0"/>
                            <a:ext cx="842645" cy="676910"/>
                          </a:xfrm>
                          <a:prstGeom prst="rect">
                            <a:avLst/>
                          </a:prstGeom>
                          <a:noFill/>
                          <a:ln>
                            <a:noFill/>
                          </a:ln>
                        </pic:spPr>
                      </pic:pic>
                    </a:graphicData>
                  </a:graphic>
                </wp:anchor>
              </w:drawing>
            </w:r>
          </w:p>
        </w:tc>
      </w:tr>
      <w:tr w14:paraId="7EC6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60" w:hRule="atLeast"/>
          <w:jc w:val="center"/>
        </w:trPr>
        <w:tc>
          <w:tcPr>
            <w:tcW w:w="658" w:type="dxa"/>
            <w:shd w:val="clear" w:color="auto" w:fill="auto"/>
            <w:vAlign w:val="center"/>
          </w:tcPr>
          <w:p w14:paraId="1FE815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536" w:type="dxa"/>
            <w:shd w:val="clear" w:color="auto" w:fill="auto"/>
            <w:vAlign w:val="center"/>
          </w:tcPr>
          <w:p w14:paraId="34CDFA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和面机</w:t>
            </w:r>
          </w:p>
        </w:tc>
        <w:tc>
          <w:tcPr>
            <w:tcW w:w="4964" w:type="dxa"/>
            <w:shd w:val="clear" w:color="auto" w:fill="auto"/>
            <w:vAlign w:val="center"/>
          </w:tcPr>
          <w:p w14:paraId="5EB0A31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说明：机内凡与物料接触的零部件均采用不锈钢制造，全铜电机，符合国家卫生标准。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容量：面粉50KG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功率：3.5KW/380V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规格：1120×720mm×1385mm</w:t>
            </w:r>
          </w:p>
        </w:tc>
        <w:tc>
          <w:tcPr>
            <w:tcW w:w="558" w:type="dxa"/>
            <w:shd w:val="clear" w:color="auto" w:fill="auto"/>
            <w:vAlign w:val="center"/>
          </w:tcPr>
          <w:p w14:paraId="06364A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50DEE9A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205372D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47625</wp:posOffset>
                  </wp:positionH>
                  <wp:positionV relativeFrom="paragraph">
                    <wp:posOffset>76200</wp:posOffset>
                  </wp:positionV>
                  <wp:extent cx="728980" cy="667385"/>
                  <wp:effectExtent l="0" t="0" r="13970" b="18415"/>
                  <wp:wrapNone/>
                  <wp:docPr id="214" name="图片_12_SpCnt_1"/>
                  <wp:cNvGraphicFramePr/>
                  <a:graphic xmlns:a="http://schemas.openxmlformats.org/drawingml/2006/main">
                    <a:graphicData uri="http://schemas.openxmlformats.org/drawingml/2006/picture">
                      <pic:pic xmlns:pic="http://schemas.openxmlformats.org/drawingml/2006/picture">
                        <pic:nvPicPr>
                          <pic:cNvPr id="214" name="图片_12_SpCnt_1"/>
                          <pic:cNvPicPr/>
                        </pic:nvPicPr>
                        <pic:blipFill>
                          <a:blip r:embed="rId58"/>
                          <a:stretch>
                            <a:fillRect/>
                          </a:stretch>
                        </pic:blipFill>
                        <pic:spPr>
                          <a:xfrm>
                            <a:off x="0" y="0"/>
                            <a:ext cx="728980" cy="667385"/>
                          </a:xfrm>
                          <a:prstGeom prst="rect">
                            <a:avLst/>
                          </a:prstGeom>
                          <a:noFill/>
                          <a:ln>
                            <a:noFill/>
                          </a:ln>
                        </pic:spPr>
                      </pic:pic>
                    </a:graphicData>
                  </a:graphic>
                </wp:anchor>
              </w:drawing>
            </w:r>
          </w:p>
        </w:tc>
      </w:tr>
      <w:tr w14:paraId="6C4D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658" w:type="dxa"/>
            <w:shd w:val="clear" w:color="auto" w:fill="auto"/>
            <w:vAlign w:val="center"/>
          </w:tcPr>
          <w:p w14:paraId="566B0C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536" w:type="dxa"/>
            <w:shd w:val="clear" w:color="auto" w:fill="auto"/>
            <w:vAlign w:val="center"/>
          </w:tcPr>
          <w:p w14:paraId="40F0BA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速热热水</w:t>
            </w:r>
            <w:r>
              <w:rPr>
                <w:rFonts w:hint="eastAsia" w:ascii="宋体" w:hAnsi="宋体" w:cs="宋体"/>
                <w:i w:val="0"/>
                <w:iCs w:val="0"/>
                <w:color w:val="auto"/>
                <w:kern w:val="0"/>
                <w:sz w:val="22"/>
                <w:szCs w:val="22"/>
                <w:highlight w:val="none"/>
                <w:u w:val="none"/>
                <w:lang w:val="en-US" w:eastAsia="zh-CN" w:bidi="ar"/>
              </w:rPr>
              <w:t>机</w:t>
            </w:r>
          </w:p>
        </w:tc>
        <w:tc>
          <w:tcPr>
            <w:tcW w:w="4964" w:type="dxa"/>
            <w:shd w:val="clear" w:color="auto" w:fill="auto"/>
            <w:vAlign w:val="center"/>
          </w:tcPr>
          <w:p w14:paraId="090B5EC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说明：4i技术智能控温，裸线加热即开即热，适合软硬各种水质，换热效率高达99%，远高于国家标准（80%），ECO节能省电，小巧体积灵活安装</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电压/功率:380V/18-28KW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规格：483*228*95mm</w:t>
            </w:r>
          </w:p>
        </w:tc>
        <w:tc>
          <w:tcPr>
            <w:tcW w:w="558" w:type="dxa"/>
            <w:shd w:val="clear" w:color="auto" w:fill="auto"/>
            <w:vAlign w:val="center"/>
          </w:tcPr>
          <w:p w14:paraId="419743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1722736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48CF44D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142875</wp:posOffset>
                  </wp:positionH>
                  <wp:positionV relativeFrom="paragraph">
                    <wp:posOffset>114300</wp:posOffset>
                  </wp:positionV>
                  <wp:extent cx="527685" cy="815340"/>
                  <wp:effectExtent l="0" t="0" r="5715" b="3810"/>
                  <wp:wrapNone/>
                  <wp:docPr id="215" name="图片_85"/>
                  <wp:cNvGraphicFramePr/>
                  <a:graphic xmlns:a="http://schemas.openxmlformats.org/drawingml/2006/main">
                    <a:graphicData uri="http://schemas.openxmlformats.org/drawingml/2006/picture">
                      <pic:pic xmlns:pic="http://schemas.openxmlformats.org/drawingml/2006/picture">
                        <pic:nvPicPr>
                          <pic:cNvPr id="215" name="图片_85"/>
                          <pic:cNvPicPr/>
                        </pic:nvPicPr>
                        <pic:blipFill>
                          <a:blip r:embed="rId59"/>
                          <a:stretch>
                            <a:fillRect/>
                          </a:stretch>
                        </pic:blipFill>
                        <pic:spPr>
                          <a:xfrm>
                            <a:off x="0" y="0"/>
                            <a:ext cx="527685" cy="815340"/>
                          </a:xfrm>
                          <a:prstGeom prst="rect">
                            <a:avLst/>
                          </a:prstGeom>
                          <a:noFill/>
                          <a:ln>
                            <a:noFill/>
                          </a:ln>
                        </pic:spPr>
                      </pic:pic>
                    </a:graphicData>
                  </a:graphic>
                </wp:anchor>
              </w:drawing>
            </w:r>
          </w:p>
        </w:tc>
      </w:tr>
      <w:tr w14:paraId="697B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7FCEFE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536" w:type="dxa"/>
            <w:shd w:val="clear" w:color="auto" w:fill="auto"/>
            <w:vAlign w:val="center"/>
          </w:tcPr>
          <w:p w14:paraId="2B15FF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单星盆水池</w:t>
            </w:r>
          </w:p>
        </w:tc>
        <w:tc>
          <w:tcPr>
            <w:tcW w:w="4964" w:type="dxa"/>
            <w:shd w:val="clear" w:color="auto" w:fill="auto"/>
            <w:vAlign w:val="center"/>
          </w:tcPr>
          <w:p w14:paraId="2D57F3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规格：650*760*800mm</w:t>
            </w:r>
          </w:p>
        </w:tc>
        <w:tc>
          <w:tcPr>
            <w:tcW w:w="558" w:type="dxa"/>
            <w:shd w:val="clear" w:color="auto" w:fill="auto"/>
            <w:vAlign w:val="center"/>
          </w:tcPr>
          <w:p w14:paraId="7EB567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447D69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2FBFE43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152400</wp:posOffset>
                  </wp:positionH>
                  <wp:positionV relativeFrom="paragraph">
                    <wp:posOffset>111125</wp:posOffset>
                  </wp:positionV>
                  <wp:extent cx="598805" cy="737870"/>
                  <wp:effectExtent l="0" t="0" r="10795" b="5080"/>
                  <wp:wrapNone/>
                  <wp:docPr id="216" name="图片_35"/>
                  <wp:cNvGraphicFramePr/>
                  <a:graphic xmlns:a="http://schemas.openxmlformats.org/drawingml/2006/main">
                    <a:graphicData uri="http://schemas.openxmlformats.org/drawingml/2006/picture">
                      <pic:pic xmlns:pic="http://schemas.openxmlformats.org/drawingml/2006/picture">
                        <pic:nvPicPr>
                          <pic:cNvPr id="216" name="图片_35"/>
                          <pic:cNvPicPr/>
                        </pic:nvPicPr>
                        <pic:blipFill>
                          <a:blip r:embed="rId22"/>
                          <a:stretch>
                            <a:fillRect/>
                          </a:stretch>
                        </pic:blipFill>
                        <pic:spPr>
                          <a:xfrm>
                            <a:off x="0" y="0"/>
                            <a:ext cx="598805" cy="737870"/>
                          </a:xfrm>
                          <a:prstGeom prst="rect">
                            <a:avLst/>
                          </a:prstGeom>
                          <a:noFill/>
                          <a:ln>
                            <a:noFill/>
                          </a:ln>
                        </pic:spPr>
                      </pic:pic>
                    </a:graphicData>
                  </a:graphic>
                </wp:anchor>
              </w:drawing>
            </w:r>
          </w:p>
        </w:tc>
      </w:tr>
      <w:tr w14:paraId="1B61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60" w:hRule="atLeast"/>
          <w:jc w:val="center"/>
        </w:trPr>
        <w:tc>
          <w:tcPr>
            <w:tcW w:w="658" w:type="dxa"/>
            <w:shd w:val="clear" w:color="auto" w:fill="auto"/>
            <w:vAlign w:val="center"/>
          </w:tcPr>
          <w:p w14:paraId="01536B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536" w:type="dxa"/>
            <w:shd w:val="clear" w:color="auto" w:fill="auto"/>
            <w:vAlign w:val="center"/>
          </w:tcPr>
          <w:p w14:paraId="11AEA6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594C1F9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18B628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598A8C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vAlign w:val="center"/>
          </w:tcPr>
          <w:p w14:paraId="443B0CD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159385</wp:posOffset>
                  </wp:positionH>
                  <wp:positionV relativeFrom="paragraph">
                    <wp:posOffset>24130</wp:posOffset>
                  </wp:positionV>
                  <wp:extent cx="492760" cy="701040"/>
                  <wp:effectExtent l="0" t="0" r="2540" b="3810"/>
                  <wp:wrapNone/>
                  <wp:docPr id="217" name="图片_60"/>
                  <wp:cNvGraphicFramePr/>
                  <a:graphic xmlns:a="http://schemas.openxmlformats.org/drawingml/2006/main">
                    <a:graphicData uri="http://schemas.openxmlformats.org/drawingml/2006/picture">
                      <pic:pic xmlns:pic="http://schemas.openxmlformats.org/drawingml/2006/picture">
                        <pic:nvPicPr>
                          <pic:cNvPr id="217" name="图片_60"/>
                          <pic:cNvPicPr/>
                        </pic:nvPicPr>
                        <pic:blipFill>
                          <a:blip r:embed="rId60"/>
                          <a:stretch>
                            <a:fillRect/>
                          </a:stretch>
                        </pic:blipFill>
                        <pic:spPr>
                          <a:xfrm>
                            <a:off x="0" y="0"/>
                            <a:ext cx="492760" cy="701040"/>
                          </a:xfrm>
                          <a:prstGeom prst="rect">
                            <a:avLst/>
                          </a:prstGeom>
                          <a:noFill/>
                          <a:ln>
                            <a:noFill/>
                          </a:ln>
                        </pic:spPr>
                      </pic:pic>
                    </a:graphicData>
                  </a:graphic>
                </wp:anchor>
              </w:drawing>
            </w:r>
          </w:p>
        </w:tc>
      </w:tr>
      <w:tr w14:paraId="5AAF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2194" w:type="dxa"/>
            <w:gridSpan w:val="2"/>
            <w:shd w:val="clear" w:color="auto" w:fill="auto"/>
            <w:noWrap/>
            <w:vAlign w:val="center"/>
          </w:tcPr>
          <w:p w14:paraId="1B1BD6C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蒸煮间</w:t>
            </w:r>
          </w:p>
        </w:tc>
        <w:tc>
          <w:tcPr>
            <w:tcW w:w="4964" w:type="dxa"/>
            <w:shd w:val="clear" w:color="auto" w:fill="auto"/>
            <w:noWrap/>
            <w:vAlign w:val="center"/>
          </w:tcPr>
          <w:p w14:paraId="0753875A">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57CF1193">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693C0958">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2D333D2B">
            <w:pPr>
              <w:rPr>
                <w:rFonts w:hint="eastAsia" w:ascii="宋体" w:hAnsi="宋体" w:eastAsia="宋体" w:cs="宋体"/>
                <w:i w:val="0"/>
                <w:iCs w:val="0"/>
                <w:color w:val="auto"/>
                <w:sz w:val="22"/>
                <w:szCs w:val="22"/>
                <w:highlight w:val="none"/>
                <w:u w:val="none"/>
              </w:rPr>
            </w:pPr>
          </w:p>
        </w:tc>
      </w:tr>
      <w:tr w14:paraId="3C12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jc w:val="center"/>
        </w:trPr>
        <w:tc>
          <w:tcPr>
            <w:tcW w:w="658" w:type="dxa"/>
            <w:shd w:val="clear" w:color="auto" w:fill="auto"/>
            <w:vAlign w:val="center"/>
          </w:tcPr>
          <w:p w14:paraId="121BF9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564C7F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电磁双门蒸饭车</w:t>
            </w:r>
          </w:p>
        </w:tc>
        <w:tc>
          <w:tcPr>
            <w:tcW w:w="4964" w:type="dxa"/>
            <w:shd w:val="clear" w:color="auto" w:fill="auto"/>
            <w:vAlign w:val="center"/>
          </w:tcPr>
          <w:p w14:paraId="4A41EBB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说明：1、采用SUS304-2B优质不锈钢板制造，灶面板采用一体成型面板，炉体采用优质全不锈钢骨架。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2、0至99档无级功率调节技术，机芯采用分层次散热结构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3、具有全中文显示故障代码功能，让操作更人性化，档位对应功率显示。让操作更加直观。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4、后背防水风机。</w:t>
            </w:r>
            <w:r>
              <w:rPr>
                <w:rFonts w:hint="eastAsia" w:ascii="宋体" w:hAnsi="宋体" w:cs="宋体"/>
                <w:i w:val="0"/>
                <w:iCs w:val="0"/>
                <w:color w:val="auto"/>
                <w:kern w:val="0"/>
                <w:sz w:val="22"/>
                <w:szCs w:val="22"/>
                <w:highlight w:val="none"/>
                <w:u w:val="none"/>
                <w:lang w:val="en-US" w:eastAsia="zh-CN" w:bidi="ar"/>
              </w:rPr>
              <w:t>具有</w:t>
            </w:r>
            <w:r>
              <w:rPr>
                <w:rFonts w:ascii="Segoe UI" w:hAnsi="Segoe UI" w:eastAsia="Segoe UI" w:cs="Segoe UI"/>
                <w:i w:val="0"/>
                <w:iCs w:val="0"/>
                <w:caps w:val="0"/>
                <w:color w:val="auto"/>
                <w:spacing w:val="0"/>
                <w:sz w:val="24"/>
                <w:szCs w:val="24"/>
                <w:highlight w:val="none"/>
                <w:shd w:val="clear" w:fill="FFFFFF"/>
              </w:rPr>
              <w:t>“缺水断电功能”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5、聚能线盘节能设计，线圈盘无盲区，比传统灶节能30%以上。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6、移相搭桥电路控制技术，性能卓越运行稳定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7、超宽工作电压设计，运行稳定更安全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8、电路防磁干扰EMC模块设计，保护电网及电器设备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9.箱内24层，配饭盘24只。</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电压\功率：380V12KW×2</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规格：24盘</w:t>
            </w:r>
          </w:p>
        </w:tc>
        <w:tc>
          <w:tcPr>
            <w:tcW w:w="558" w:type="dxa"/>
            <w:shd w:val="clear" w:color="auto" w:fill="auto"/>
            <w:vAlign w:val="center"/>
          </w:tcPr>
          <w:p w14:paraId="3BB30E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auto"/>
            <w:vAlign w:val="center"/>
          </w:tcPr>
          <w:p w14:paraId="689F81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FD8A49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57150</wp:posOffset>
                  </wp:positionH>
                  <wp:positionV relativeFrom="paragraph">
                    <wp:posOffset>428625</wp:posOffset>
                  </wp:positionV>
                  <wp:extent cx="742950" cy="1244600"/>
                  <wp:effectExtent l="0" t="0" r="0" b="12700"/>
                  <wp:wrapNone/>
                  <wp:docPr id="218" name="图片_52"/>
                  <wp:cNvGraphicFramePr/>
                  <a:graphic xmlns:a="http://schemas.openxmlformats.org/drawingml/2006/main">
                    <a:graphicData uri="http://schemas.openxmlformats.org/drawingml/2006/picture">
                      <pic:pic xmlns:pic="http://schemas.openxmlformats.org/drawingml/2006/picture">
                        <pic:nvPicPr>
                          <pic:cNvPr id="218" name="图片_52"/>
                          <pic:cNvPicPr/>
                        </pic:nvPicPr>
                        <pic:blipFill>
                          <a:blip r:embed="rId61"/>
                          <a:stretch>
                            <a:fillRect/>
                          </a:stretch>
                        </pic:blipFill>
                        <pic:spPr>
                          <a:xfrm>
                            <a:off x="0" y="0"/>
                            <a:ext cx="742950" cy="1244600"/>
                          </a:xfrm>
                          <a:prstGeom prst="rect">
                            <a:avLst/>
                          </a:prstGeom>
                          <a:noFill/>
                          <a:ln>
                            <a:noFill/>
                          </a:ln>
                        </pic:spPr>
                      </pic:pic>
                    </a:graphicData>
                  </a:graphic>
                </wp:anchor>
              </w:drawing>
            </w:r>
          </w:p>
        </w:tc>
      </w:tr>
      <w:tr w14:paraId="5C5F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58" w:type="dxa"/>
            <w:shd w:val="clear" w:color="auto" w:fill="auto"/>
            <w:vAlign w:val="center"/>
          </w:tcPr>
          <w:p w14:paraId="3E121B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203C7D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摇摆汤炉</w:t>
            </w:r>
          </w:p>
        </w:tc>
        <w:tc>
          <w:tcPr>
            <w:tcW w:w="4964" w:type="dxa"/>
            <w:shd w:val="clear" w:color="auto" w:fill="auto"/>
            <w:vAlign w:val="center"/>
          </w:tcPr>
          <w:p w14:paraId="4F2C52C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说明：1、采用SUS304-2B优质不锈钢板制造，灶面板采用一体成型面板，炉体采用优质全不锈钢骨架。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2、机芯采用分层次散热结构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3、具有全中文显示故障代码功能，让操作更人性化，档位对应功率显示。让操作更加直观。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4、后背防水风机。</w:t>
            </w:r>
            <w:r>
              <w:rPr>
                <w:rFonts w:hint="eastAsia" w:ascii="宋体" w:hAnsi="宋体" w:cs="宋体"/>
                <w:i w:val="0"/>
                <w:iCs w:val="0"/>
                <w:color w:val="auto"/>
                <w:kern w:val="0"/>
                <w:sz w:val="22"/>
                <w:szCs w:val="22"/>
                <w:highlight w:val="none"/>
                <w:u w:val="none"/>
                <w:lang w:val="en-US" w:eastAsia="zh-CN" w:bidi="ar"/>
              </w:rPr>
              <w:t>具有</w:t>
            </w:r>
            <w:r>
              <w:rPr>
                <w:rFonts w:ascii="Segoe UI" w:hAnsi="Segoe UI" w:eastAsia="Segoe UI" w:cs="Segoe UI"/>
                <w:i w:val="0"/>
                <w:iCs w:val="0"/>
                <w:caps w:val="0"/>
                <w:color w:val="auto"/>
                <w:spacing w:val="0"/>
                <w:sz w:val="24"/>
                <w:szCs w:val="24"/>
                <w:highlight w:val="none"/>
                <w:shd w:val="clear" w:fill="FFFFFF"/>
              </w:rPr>
              <w:t>“缺水断电功能”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5、聚能线盘节能设计，线圈盘无盲区，比传统灶节能30%以上。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6、移相搭桥电路控制技术，性能卓越运行稳定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7、超宽工作电压设计，运行稳定更安全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8、电路防磁干扰EMC模块设计，保护电网及电器设备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容量：150L</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功率：380V/25KW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规格：1540×950×1180</w:t>
            </w:r>
          </w:p>
        </w:tc>
        <w:tc>
          <w:tcPr>
            <w:tcW w:w="558" w:type="dxa"/>
            <w:shd w:val="clear" w:color="auto" w:fill="auto"/>
            <w:vAlign w:val="center"/>
          </w:tcPr>
          <w:p w14:paraId="389B19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3A5DD9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D5DD6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51435</wp:posOffset>
                  </wp:positionH>
                  <wp:positionV relativeFrom="paragraph">
                    <wp:posOffset>-41275</wp:posOffset>
                  </wp:positionV>
                  <wp:extent cx="753745" cy="1282700"/>
                  <wp:effectExtent l="0" t="0" r="8255" b="12700"/>
                  <wp:wrapNone/>
                  <wp:docPr id="219" name="image4"/>
                  <wp:cNvGraphicFramePr/>
                  <a:graphic xmlns:a="http://schemas.openxmlformats.org/drawingml/2006/main">
                    <a:graphicData uri="http://schemas.openxmlformats.org/drawingml/2006/picture">
                      <pic:pic xmlns:pic="http://schemas.openxmlformats.org/drawingml/2006/picture">
                        <pic:nvPicPr>
                          <pic:cNvPr id="219" name="image4"/>
                          <pic:cNvPicPr/>
                        </pic:nvPicPr>
                        <pic:blipFill>
                          <a:blip r:embed="rId62"/>
                          <a:stretch>
                            <a:fillRect/>
                          </a:stretch>
                        </pic:blipFill>
                        <pic:spPr>
                          <a:xfrm>
                            <a:off x="0" y="0"/>
                            <a:ext cx="753745" cy="1282700"/>
                          </a:xfrm>
                          <a:prstGeom prst="rect">
                            <a:avLst/>
                          </a:prstGeom>
                          <a:noFill/>
                          <a:ln>
                            <a:noFill/>
                          </a:ln>
                        </pic:spPr>
                      </pic:pic>
                    </a:graphicData>
                  </a:graphic>
                </wp:anchor>
              </w:drawing>
            </w:r>
          </w:p>
        </w:tc>
      </w:tr>
      <w:tr w14:paraId="3C02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60" w:hRule="atLeast"/>
          <w:jc w:val="center"/>
        </w:trPr>
        <w:tc>
          <w:tcPr>
            <w:tcW w:w="658" w:type="dxa"/>
            <w:shd w:val="clear" w:color="auto" w:fill="auto"/>
            <w:vAlign w:val="center"/>
          </w:tcPr>
          <w:p w14:paraId="4D33B6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7B6EBB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6FB9D73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33811A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1B6DA8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vAlign w:val="center"/>
          </w:tcPr>
          <w:p w14:paraId="5CC101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161925</wp:posOffset>
                  </wp:positionH>
                  <wp:positionV relativeFrom="paragraph">
                    <wp:posOffset>40005</wp:posOffset>
                  </wp:positionV>
                  <wp:extent cx="492760" cy="701040"/>
                  <wp:effectExtent l="0" t="0" r="2540" b="3810"/>
                  <wp:wrapNone/>
                  <wp:docPr id="220" name="图片_60_SpCnt_1"/>
                  <wp:cNvGraphicFramePr/>
                  <a:graphic xmlns:a="http://schemas.openxmlformats.org/drawingml/2006/main">
                    <a:graphicData uri="http://schemas.openxmlformats.org/drawingml/2006/picture">
                      <pic:pic xmlns:pic="http://schemas.openxmlformats.org/drawingml/2006/picture">
                        <pic:nvPicPr>
                          <pic:cNvPr id="220" name="图片_60_SpCnt_1"/>
                          <pic:cNvPicPr/>
                        </pic:nvPicPr>
                        <pic:blipFill>
                          <a:blip r:embed="rId60"/>
                          <a:stretch>
                            <a:fillRect/>
                          </a:stretch>
                        </pic:blipFill>
                        <pic:spPr>
                          <a:xfrm>
                            <a:off x="0" y="0"/>
                            <a:ext cx="492760" cy="701040"/>
                          </a:xfrm>
                          <a:prstGeom prst="rect">
                            <a:avLst/>
                          </a:prstGeom>
                          <a:noFill/>
                          <a:ln>
                            <a:noFill/>
                          </a:ln>
                        </pic:spPr>
                      </pic:pic>
                    </a:graphicData>
                  </a:graphic>
                </wp:anchor>
              </w:drawing>
            </w:r>
          </w:p>
        </w:tc>
      </w:tr>
      <w:tr w14:paraId="368B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2194" w:type="dxa"/>
            <w:gridSpan w:val="2"/>
            <w:shd w:val="clear" w:color="auto" w:fill="auto"/>
            <w:noWrap/>
            <w:vAlign w:val="center"/>
          </w:tcPr>
          <w:p w14:paraId="6A57D0C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切配间</w:t>
            </w:r>
          </w:p>
        </w:tc>
        <w:tc>
          <w:tcPr>
            <w:tcW w:w="4964" w:type="dxa"/>
            <w:shd w:val="clear" w:color="auto" w:fill="auto"/>
            <w:noWrap/>
            <w:vAlign w:val="center"/>
          </w:tcPr>
          <w:p w14:paraId="31AE4112">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635F6DE7">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3568EFD8">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41EFD3A7">
            <w:pPr>
              <w:rPr>
                <w:rFonts w:hint="eastAsia" w:ascii="宋体" w:hAnsi="宋体" w:eastAsia="宋体" w:cs="宋体"/>
                <w:i w:val="0"/>
                <w:iCs w:val="0"/>
                <w:color w:val="auto"/>
                <w:sz w:val="22"/>
                <w:szCs w:val="22"/>
                <w:highlight w:val="none"/>
                <w:u w:val="none"/>
              </w:rPr>
            </w:pPr>
          </w:p>
        </w:tc>
      </w:tr>
      <w:tr w14:paraId="30F6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8" w:hRule="atLeast"/>
          <w:jc w:val="center"/>
        </w:trPr>
        <w:tc>
          <w:tcPr>
            <w:tcW w:w="658" w:type="dxa"/>
            <w:shd w:val="clear" w:color="auto" w:fill="auto"/>
            <w:vAlign w:val="center"/>
          </w:tcPr>
          <w:p w14:paraId="5DD2F6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3EB4AE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四门冰箱</w:t>
            </w:r>
          </w:p>
        </w:tc>
        <w:tc>
          <w:tcPr>
            <w:tcW w:w="4964" w:type="dxa"/>
            <w:shd w:val="clear" w:color="auto" w:fill="auto"/>
            <w:vAlign w:val="center"/>
          </w:tcPr>
          <w:p w14:paraId="704302AA">
            <w:pPr>
              <w:keepNext w:val="0"/>
              <w:keepLines w:val="0"/>
              <w:widowControl/>
              <w:suppressLineNumbers w:val="0"/>
              <w:jc w:val="left"/>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1、制冷方式：风冷，温度：-5℃~-22℃，有效容量≥790L，额定电压及频率：220V~50HZ，额定功率≤660W；尺寸：1200*750*1970mm</w:t>
            </w:r>
          </w:p>
          <w:p w14:paraId="7DA0F7AD">
            <w:pPr>
              <w:keepNext w:val="0"/>
              <w:keepLines w:val="0"/>
              <w:widowControl/>
              <w:suppressLineNumbers w:val="0"/>
              <w:jc w:val="left"/>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2、箱体内外均采用食品级不锈钢，箱体整体发泡，中梁配加热丝，可拆卸门封条，自动回归门设计；纯铜蒸发器，纯铜冷凝器，在最高42℃的极端环境温度下也能正常制冷；</w:t>
            </w:r>
          </w:p>
          <w:p w14:paraId="2E9AB857">
            <w:pPr>
              <w:keepNext w:val="0"/>
              <w:keepLines w:val="0"/>
              <w:widowControl/>
              <w:suppressLineNumbers w:val="0"/>
              <w:jc w:val="left"/>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3、配置离子食物保鲜系统，通过释放活氧抑制细菌生长，通过释放负离子延缓食物氧化，延长食物保鲜时间；</w:t>
            </w:r>
          </w:p>
        </w:tc>
        <w:tc>
          <w:tcPr>
            <w:tcW w:w="558" w:type="dxa"/>
            <w:shd w:val="clear" w:color="auto" w:fill="auto"/>
            <w:vAlign w:val="center"/>
          </w:tcPr>
          <w:p w14:paraId="6FDAC7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51E8C23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5FE224E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123825</wp:posOffset>
                  </wp:positionH>
                  <wp:positionV relativeFrom="paragraph">
                    <wp:posOffset>64770</wp:posOffset>
                  </wp:positionV>
                  <wp:extent cx="620395" cy="965200"/>
                  <wp:effectExtent l="0" t="0" r="8255" b="6350"/>
                  <wp:wrapNone/>
                  <wp:docPr id="221" name="图片_39"/>
                  <wp:cNvGraphicFramePr/>
                  <a:graphic xmlns:a="http://schemas.openxmlformats.org/drawingml/2006/main">
                    <a:graphicData uri="http://schemas.openxmlformats.org/drawingml/2006/picture">
                      <pic:pic xmlns:pic="http://schemas.openxmlformats.org/drawingml/2006/picture">
                        <pic:nvPicPr>
                          <pic:cNvPr id="221" name="图片_39"/>
                          <pic:cNvPicPr/>
                        </pic:nvPicPr>
                        <pic:blipFill>
                          <a:blip r:embed="rId63"/>
                          <a:stretch>
                            <a:fillRect/>
                          </a:stretch>
                        </pic:blipFill>
                        <pic:spPr>
                          <a:xfrm>
                            <a:off x="0" y="0"/>
                            <a:ext cx="620395" cy="965200"/>
                          </a:xfrm>
                          <a:prstGeom prst="rect">
                            <a:avLst/>
                          </a:prstGeom>
                          <a:noFill/>
                          <a:ln>
                            <a:noFill/>
                          </a:ln>
                        </pic:spPr>
                      </pic:pic>
                    </a:graphicData>
                  </a:graphic>
                </wp:anchor>
              </w:drawing>
            </w:r>
          </w:p>
        </w:tc>
      </w:tr>
      <w:tr w14:paraId="442A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658" w:type="dxa"/>
            <w:shd w:val="clear" w:color="auto" w:fill="auto"/>
            <w:vAlign w:val="center"/>
          </w:tcPr>
          <w:p w14:paraId="3FE932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64B804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平台水池</w:t>
            </w:r>
          </w:p>
        </w:tc>
        <w:tc>
          <w:tcPr>
            <w:tcW w:w="4964" w:type="dxa"/>
            <w:shd w:val="clear" w:color="auto" w:fill="auto"/>
            <w:vAlign w:val="top"/>
          </w:tcPr>
          <w:p w14:paraId="003043DE">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规格：1400*800*800mm</w:t>
            </w:r>
          </w:p>
        </w:tc>
        <w:tc>
          <w:tcPr>
            <w:tcW w:w="558" w:type="dxa"/>
            <w:shd w:val="clear" w:color="auto" w:fill="auto"/>
            <w:vAlign w:val="center"/>
          </w:tcPr>
          <w:p w14:paraId="0C5ECD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3F69A3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667D256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88900</wp:posOffset>
                  </wp:positionH>
                  <wp:positionV relativeFrom="paragraph">
                    <wp:posOffset>-39370</wp:posOffset>
                  </wp:positionV>
                  <wp:extent cx="704215" cy="837565"/>
                  <wp:effectExtent l="0" t="0" r="635" b="635"/>
                  <wp:wrapNone/>
                  <wp:docPr id="222" name="图片_548"/>
                  <wp:cNvGraphicFramePr/>
                  <a:graphic xmlns:a="http://schemas.openxmlformats.org/drawingml/2006/main">
                    <a:graphicData uri="http://schemas.openxmlformats.org/drawingml/2006/picture">
                      <pic:pic xmlns:pic="http://schemas.openxmlformats.org/drawingml/2006/picture">
                        <pic:nvPicPr>
                          <pic:cNvPr id="222" name="图片_548"/>
                          <pic:cNvPicPr/>
                        </pic:nvPicPr>
                        <pic:blipFill>
                          <a:blip r:embed="rId64"/>
                          <a:stretch>
                            <a:fillRect/>
                          </a:stretch>
                        </pic:blipFill>
                        <pic:spPr>
                          <a:xfrm>
                            <a:off x="0" y="0"/>
                            <a:ext cx="704215" cy="837565"/>
                          </a:xfrm>
                          <a:prstGeom prst="rect">
                            <a:avLst/>
                          </a:prstGeom>
                          <a:noFill/>
                          <a:ln>
                            <a:noFill/>
                          </a:ln>
                        </pic:spPr>
                      </pic:pic>
                    </a:graphicData>
                  </a:graphic>
                </wp:anchor>
              </w:drawing>
            </w:r>
          </w:p>
        </w:tc>
      </w:tr>
      <w:tr w14:paraId="4E2D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jc w:val="center"/>
        </w:trPr>
        <w:tc>
          <w:tcPr>
            <w:tcW w:w="658" w:type="dxa"/>
            <w:shd w:val="clear" w:color="auto" w:fill="auto"/>
            <w:vAlign w:val="center"/>
          </w:tcPr>
          <w:p w14:paraId="78CB25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2E0E42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3DBC93E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规格：双温</w:t>
            </w:r>
          </w:p>
        </w:tc>
        <w:tc>
          <w:tcPr>
            <w:tcW w:w="558" w:type="dxa"/>
            <w:shd w:val="clear" w:color="auto" w:fill="auto"/>
            <w:vAlign w:val="center"/>
          </w:tcPr>
          <w:p w14:paraId="18DEE8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36D578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vAlign w:val="center"/>
          </w:tcPr>
          <w:p w14:paraId="768F083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323850</wp:posOffset>
                  </wp:positionH>
                  <wp:positionV relativeFrom="paragraph">
                    <wp:posOffset>561975</wp:posOffset>
                  </wp:positionV>
                  <wp:extent cx="573405" cy="0"/>
                  <wp:effectExtent l="0" t="0" r="0" b="0"/>
                  <wp:wrapNone/>
                  <wp:docPr id="223" name="图片_79"/>
                  <wp:cNvGraphicFramePr/>
                  <a:graphic xmlns:a="http://schemas.openxmlformats.org/drawingml/2006/main">
                    <a:graphicData uri="http://schemas.openxmlformats.org/drawingml/2006/picture">
                      <pic:pic xmlns:pic="http://schemas.openxmlformats.org/drawingml/2006/picture">
                        <pic:nvPicPr>
                          <pic:cNvPr id="223" name="图片_79"/>
                          <pic:cNvPicPr/>
                        </pic:nvPicPr>
                        <pic:blipFill>
                          <a:blip r:embed="rId65"/>
                          <a:stretch>
                            <a:fillRect/>
                          </a:stretch>
                        </pic:blipFill>
                        <pic:spPr>
                          <a:xfrm>
                            <a:off x="0" y="0"/>
                            <a:ext cx="573405" cy="0"/>
                          </a:xfrm>
                          <a:prstGeom prst="rect">
                            <a:avLst/>
                          </a:prstGeom>
                          <a:noFill/>
                          <a:ln>
                            <a:noFill/>
                          </a:ln>
                        </pic:spPr>
                      </pic:pic>
                    </a:graphicData>
                  </a:graphic>
                </wp:anchor>
              </w:drawing>
            </w:r>
          </w:p>
        </w:tc>
      </w:tr>
      <w:tr w14:paraId="2557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8" w:type="dxa"/>
            <w:shd w:val="clear" w:color="auto" w:fill="auto"/>
            <w:vAlign w:val="center"/>
          </w:tcPr>
          <w:p w14:paraId="0CB174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70E32A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绞切肉机</w:t>
            </w:r>
          </w:p>
        </w:tc>
        <w:tc>
          <w:tcPr>
            <w:tcW w:w="4964" w:type="dxa"/>
            <w:shd w:val="clear" w:color="auto" w:fill="auto"/>
            <w:vAlign w:val="center"/>
          </w:tcPr>
          <w:p w14:paraId="14F571C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整机要求采用高强度不锈钢制造，边缘须钝化处理不伤手，卷边工艺，机盖不易伤手，安全高效、坚固耐用；要先选用优质名牌电机，全不锈钢绞轴、快速搅动食物；要求加大出料口，出肉快，清理方便；要求离合设计，离合更彻底，使用更放心；其他功能要求：肉馅：100kg/h；肉片/肉丝：400/（200）kg/h；</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功率：220V/1.5KW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规格：580mm×420mm×780mm</w:t>
            </w:r>
          </w:p>
        </w:tc>
        <w:tc>
          <w:tcPr>
            <w:tcW w:w="558" w:type="dxa"/>
            <w:shd w:val="clear" w:color="auto" w:fill="auto"/>
            <w:vAlign w:val="center"/>
          </w:tcPr>
          <w:p w14:paraId="3A9990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1F92CD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5F4F13F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133350</wp:posOffset>
                  </wp:positionH>
                  <wp:positionV relativeFrom="paragraph">
                    <wp:posOffset>66675</wp:posOffset>
                  </wp:positionV>
                  <wp:extent cx="514985" cy="657225"/>
                  <wp:effectExtent l="0" t="0" r="18415" b="9525"/>
                  <wp:wrapNone/>
                  <wp:docPr id="224" name="image50"/>
                  <wp:cNvGraphicFramePr/>
                  <a:graphic xmlns:a="http://schemas.openxmlformats.org/drawingml/2006/main">
                    <a:graphicData uri="http://schemas.openxmlformats.org/drawingml/2006/picture">
                      <pic:pic xmlns:pic="http://schemas.openxmlformats.org/drawingml/2006/picture">
                        <pic:nvPicPr>
                          <pic:cNvPr id="224" name="image50"/>
                          <pic:cNvPicPr/>
                        </pic:nvPicPr>
                        <pic:blipFill>
                          <a:blip r:embed="rId66"/>
                          <a:stretch>
                            <a:fillRect/>
                          </a:stretch>
                        </pic:blipFill>
                        <pic:spPr>
                          <a:xfrm>
                            <a:off x="0" y="0"/>
                            <a:ext cx="514985" cy="657225"/>
                          </a:xfrm>
                          <a:prstGeom prst="rect">
                            <a:avLst/>
                          </a:prstGeom>
                          <a:noFill/>
                          <a:ln>
                            <a:noFill/>
                          </a:ln>
                        </pic:spPr>
                      </pic:pic>
                    </a:graphicData>
                  </a:graphic>
                </wp:anchor>
              </w:drawing>
            </w:r>
          </w:p>
        </w:tc>
      </w:tr>
      <w:tr w14:paraId="3A3C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517485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vAlign w:val="center"/>
          </w:tcPr>
          <w:p w14:paraId="21AABD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收餐柜</w:t>
            </w:r>
          </w:p>
        </w:tc>
        <w:tc>
          <w:tcPr>
            <w:tcW w:w="4964" w:type="dxa"/>
            <w:shd w:val="clear" w:color="auto" w:fill="auto"/>
            <w:vAlign w:val="center"/>
          </w:tcPr>
          <w:p w14:paraId="46D5552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开300*300mm方孔。围板δ≥1.0mm，实厚δ≥0.89mm，主管采用38*38*1.0mm不锈钢方管结构管焊接，配承重型不锈钢科顺脚轮四个(两定向两万向)。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规格：700*800*800mm</w:t>
            </w:r>
          </w:p>
        </w:tc>
        <w:tc>
          <w:tcPr>
            <w:tcW w:w="558" w:type="dxa"/>
            <w:shd w:val="clear" w:color="auto" w:fill="auto"/>
            <w:vAlign w:val="center"/>
          </w:tcPr>
          <w:p w14:paraId="7FBD89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5A30A1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665C3B2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16510</wp:posOffset>
                  </wp:positionH>
                  <wp:positionV relativeFrom="paragraph">
                    <wp:posOffset>-120015</wp:posOffset>
                  </wp:positionV>
                  <wp:extent cx="858520" cy="859155"/>
                  <wp:effectExtent l="0" t="0" r="17780" b="17145"/>
                  <wp:wrapNone/>
                  <wp:docPr id="225" name="图片_76"/>
                  <wp:cNvGraphicFramePr/>
                  <a:graphic xmlns:a="http://schemas.openxmlformats.org/drawingml/2006/main">
                    <a:graphicData uri="http://schemas.openxmlformats.org/drawingml/2006/picture">
                      <pic:pic xmlns:pic="http://schemas.openxmlformats.org/drawingml/2006/picture">
                        <pic:nvPicPr>
                          <pic:cNvPr id="225" name="图片_76"/>
                          <pic:cNvPicPr/>
                        </pic:nvPicPr>
                        <pic:blipFill>
                          <a:blip r:embed="rId67"/>
                          <a:stretch>
                            <a:fillRect/>
                          </a:stretch>
                        </pic:blipFill>
                        <pic:spPr>
                          <a:xfrm>
                            <a:off x="0" y="0"/>
                            <a:ext cx="858520" cy="859155"/>
                          </a:xfrm>
                          <a:prstGeom prst="rect">
                            <a:avLst/>
                          </a:prstGeom>
                          <a:noFill/>
                          <a:ln>
                            <a:noFill/>
                          </a:ln>
                        </pic:spPr>
                      </pic:pic>
                    </a:graphicData>
                  </a:graphic>
                </wp:anchor>
              </w:drawing>
            </w:r>
          </w:p>
        </w:tc>
      </w:tr>
      <w:tr w14:paraId="1880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2FF2A9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36" w:type="dxa"/>
            <w:shd w:val="clear" w:color="auto" w:fill="auto"/>
            <w:vAlign w:val="center"/>
          </w:tcPr>
          <w:p w14:paraId="466B28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单星盆水池</w:t>
            </w:r>
          </w:p>
        </w:tc>
        <w:tc>
          <w:tcPr>
            <w:tcW w:w="4964" w:type="dxa"/>
            <w:shd w:val="clear" w:color="auto" w:fill="auto"/>
            <w:vAlign w:val="center"/>
          </w:tcPr>
          <w:p w14:paraId="4BC4F1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规格：650*800*800mm</w:t>
            </w:r>
          </w:p>
        </w:tc>
        <w:tc>
          <w:tcPr>
            <w:tcW w:w="558" w:type="dxa"/>
            <w:shd w:val="clear" w:color="auto" w:fill="auto"/>
            <w:vAlign w:val="center"/>
          </w:tcPr>
          <w:p w14:paraId="083B6A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7C05F02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8900D8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57150</wp:posOffset>
                  </wp:positionV>
                  <wp:extent cx="598805" cy="737870"/>
                  <wp:effectExtent l="0" t="0" r="10795" b="5080"/>
                  <wp:wrapNone/>
                  <wp:docPr id="226" name="图片_43"/>
                  <wp:cNvGraphicFramePr/>
                  <a:graphic xmlns:a="http://schemas.openxmlformats.org/drawingml/2006/main">
                    <a:graphicData uri="http://schemas.openxmlformats.org/drawingml/2006/picture">
                      <pic:pic xmlns:pic="http://schemas.openxmlformats.org/drawingml/2006/picture">
                        <pic:nvPicPr>
                          <pic:cNvPr id="226" name="图片_43"/>
                          <pic:cNvPicPr/>
                        </pic:nvPicPr>
                        <pic:blipFill>
                          <a:blip r:embed="rId22"/>
                          <a:stretch>
                            <a:fillRect/>
                          </a:stretch>
                        </pic:blipFill>
                        <pic:spPr>
                          <a:xfrm>
                            <a:off x="0" y="0"/>
                            <a:ext cx="598805" cy="737870"/>
                          </a:xfrm>
                          <a:prstGeom prst="rect">
                            <a:avLst/>
                          </a:prstGeom>
                          <a:noFill/>
                          <a:ln>
                            <a:noFill/>
                          </a:ln>
                        </pic:spPr>
                      </pic:pic>
                    </a:graphicData>
                  </a:graphic>
                </wp:anchor>
              </w:drawing>
            </w:r>
          </w:p>
        </w:tc>
      </w:tr>
      <w:tr w14:paraId="78CE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jc w:val="center"/>
        </w:trPr>
        <w:tc>
          <w:tcPr>
            <w:tcW w:w="658" w:type="dxa"/>
            <w:shd w:val="clear" w:color="auto" w:fill="auto"/>
            <w:vAlign w:val="center"/>
          </w:tcPr>
          <w:p w14:paraId="175B1D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536" w:type="dxa"/>
            <w:shd w:val="clear" w:color="auto" w:fill="auto"/>
            <w:vAlign w:val="center"/>
          </w:tcPr>
          <w:p w14:paraId="22D32A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7DF4E5B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规格：双温</w:t>
            </w:r>
          </w:p>
        </w:tc>
        <w:tc>
          <w:tcPr>
            <w:tcW w:w="558" w:type="dxa"/>
            <w:shd w:val="clear" w:color="auto" w:fill="auto"/>
            <w:vAlign w:val="center"/>
          </w:tcPr>
          <w:p w14:paraId="032C05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686170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vAlign w:val="center"/>
          </w:tcPr>
          <w:p w14:paraId="52070EC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323850</wp:posOffset>
                  </wp:positionH>
                  <wp:positionV relativeFrom="paragraph">
                    <wp:posOffset>523875</wp:posOffset>
                  </wp:positionV>
                  <wp:extent cx="569595" cy="0"/>
                  <wp:effectExtent l="0" t="0" r="0" b="0"/>
                  <wp:wrapNone/>
                  <wp:docPr id="227" name="图片_79_SpCnt_1"/>
                  <wp:cNvGraphicFramePr/>
                  <a:graphic xmlns:a="http://schemas.openxmlformats.org/drawingml/2006/main">
                    <a:graphicData uri="http://schemas.openxmlformats.org/drawingml/2006/picture">
                      <pic:pic xmlns:pic="http://schemas.openxmlformats.org/drawingml/2006/picture">
                        <pic:nvPicPr>
                          <pic:cNvPr id="227" name="图片_79_SpCnt_1"/>
                          <pic:cNvPicPr/>
                        </pic:nvPicPr>
                        <pic:blipFill>
                          <a:blip r:embed="rId65"/>
                          <a:stretch>
                            <a:fillRect/>
                          </a:stretch>
                        </pic:blipFill>
                        <pic:spPr>
                          <a:xfrm>
                            <a:off x="0" y="0"/>
                            <a:ext cx="569595" cy="0"/>
                          </a:xfrm>
                          <a:prstGeom prst="rect">
                            <a:avLst/>
                          </a:prstGeom>
                          <a:noFill/>
                          <a:ln>
                            <a:noFill/>
                          </a:ln>
                        </pic:spPr>
                      </pic:pic>
                    </a:graphicData>
                  </a:graphic>
                </wp:anchor>
              </w:drawing>
            </w:r>
          </w:p>
        </w:tc>
      </w:tr>
      <w:tr w14:paraId="06E2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08" w:hRule="atLeast"/>
          <w:jc w:val="center"/>
        </w:trPr>
        <w:tc>
          <w:tcPr>
            <w:tcW w:w="658" w:type="dxa"/>
            <w:shd w:val="clear" w:color="auto" w:fill="auto"/>
            <w:vAlign w:val="center"/>
          </w:tcPr>
          <w:p w14:paraId="2ECB16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536" w:type="dxa"/>
            <w:shd w:val="clear" w:color="auto" w:fill="auto"/>
            <w:vAlign w:val="center"/>
          </w:tcPr>
          <w:p w14:paraId="7C4788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菜刀菜板消毒柜</w:t>
            </w:r>
          </w:p>
        </w:tc>
        <w:tc>
          <w:tcPr>
            <w:tcW w:w="4964" w:type="dxa"/>
            <w:shd w:val="clear" w:color="auto" w:fill="auto"/>
            <w:vAlign w:val="center"/>
          </w:tcPr>
          <w:p w14:paraId="18042FA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说明：说明：箱体采用不锈钢板制造，δ=1.0mm，紫外线光波发生器耗电量低，消毒效率高、安全性高且经久耐用。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规格：600*600*1600mm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1、制造商具有有效期内的消毒产品生产企业卫生许可证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2、采用优质不锈钢板制造，符合GB8624-2012建筑材料及制品燃烧性能分级，平板状建筑材料及制品的燃烧性能等级，A(A1)级,炉内温升△T(℃）&gt;0.78.并提供</w:t>
            </w:r>
            <w:r>
              <w:rPr>
                <w:rFonts w:hint="eastAsia" w:ascii="宋体" w:hAnsi="宋体" w:cs="宋体"/>
                <w:i w:val="0"/>
                <w:iCs w:val="0"/>
                <w:color w:val="auto"/>
                <w:kern w:val="0"/>
                <w:sz w:val="22"/>
                <w:szCs w:val="22"/>
                <w:highlight w:val="none"/>
                <w:u w:val="none"/>
                <w:lang w:val="en-US" w:eastAsia="zh-CN" w:bidi="ar"/>
              </w:rPr>
              <w:t>合格</w:t>
            </w:r>
            <w:r>
              <w:rPr>
                <w:rFonts w:hint="eastAsia" w:ascii="宋体" w:hAnsi="宋体" w:eastAsia="宋体" w:cs="宋体"/>
                <w:i w:val="0"/>
                <w:iCs w:val="0"/>
                <w:color w:val="auto"/>
                <w:kern w:val="0"/>
                <w:sz w:val="22"/>
                <w:szCs w:val="22"/>
                <w:highlight w:val="none"/>
                <w:u w:val="none"/>
                <w:lang w:val="en-US" w:eastAsia="zh-CN" w:bidi="ar"/>
              </w:rPr>
              <w:t>的检测报告作为佐证。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3、硅胶密封条符合GB 4806.11-2016食品安全国家标准食品接触用金属材料及制品要求并提供</w:t>
            </w:r>
            <w:r>
              <w:rPr>
                <w:rFonts w:hint="eastAsia" w:ascii="宋体" w:hAnsi="宋体" w:cs="宋体"/>
                <w:i w:val="0"/>
                <w:iCs w:val="0"/>
                <w:color w:val="auto"/>
                <w:kern w:val="0"/>
                <w:sz w:val="22"/>
                <w:szCs w:val="22"/>
                <w:highlight w:val="none"/>
                <w:u w:val="none"/>
                <w:lang w:val="en-US" w:eastAsia="zh-CN" w:bidi="ar"/>
              </w:rPr>
              <w:t>合格</w:t>
            </w:r>
            <w:r>
              <w:rPr>
                <w:rFonts w:hint="eastAsia" w:ascii="宋体" w:hAnsi="宋体" w:eastAsia="宋体" w:cs="宋体"/>
                <w:i w:val="0"/>
                <w:iCs w:val="0"/>
                <w:color w:val="auto"/>
                <w:kern w:val="0"/>
                <w:sz w:val="22"/>
                <w:szCs w:val="22"/>
                <w:highlight w:val="none"/>
                <w:u w:val="none"/>
                <w:lang w:val="en-US" w:eastAsia="zh-CN" w:bidi="ar"/>
              </w:rPr>
              <w:t>的检测报告作为佐证。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4、符合《食具消毒柜安全和卫生要求》二星级消毒柜的要求，且消毒柜脊髓灰质炎病毒灭活对数值均＞4，</w:t>
            </w:r>
            <w:r>
              <w:rPr>
                <w:rFonts w:hint="eastAsia" w:ascii="宋体" w:hAnsi="宋体" w:cs="宋体"/>
                <w:i w:val="0"/>
                <w:iCs w:val="0"/>
                <w:color w:val="auto"/>
                <w:kern w:val="0"/>
                <w:sz w:val="22"/>
                <w:szCs w:val="22"/>
                <w:highlight w:val="none"/>
                <w:u w:val="none"/>
                <w:lang w:val="en-US" w:eastAsia="zh-CN" w:bidi="ar"/>
              </w:rPr>
              <w:t>合格</w:t>
            </w:r>
            <w:r>
              <w:rPr>
                <w:rFonts w:hint="eastAsia" w:ascii="宋体" w:hAnsi="宋体" w:eastAsia="宋体" w:cs="宋体"/>
                <w:i w:val="0"/>
                <w:iCs w:val="0"/>
                <w:color w:val="auto"/>
                <w:kern w:val="0"/>
                <w:sz w:val="22"/>
                <w:szCs w:val="22"/>
                <w:highlight w:val="none"/>
                <w:u w:val="none"/>
                <w:lang w:val="en-US" w:eastAsia="zh-CN" w:bidi="ar"/>
              </w:rPr>
              <w:t>的检测报告作为佐证。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5、消毒柜、层架、篮筐120H盐雾试验后，样品表面无明显变化。并提供由国家认可的第三方检测机构出具的证明材料。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●6、提供</w:t>
            </w:r>
            <w:r>
              <w:rPr>
                <w:rFonts w:hint="eastAsia" w:ascii="宋体" w:hAnsi="宋体" w:cs="宋体"/>
                <w:i w:val="0"/>
                <w:iCs w:val="0"/>
                <w:color w:val="auto"/>
                <w:kern w:val="0"/>
                <w:sz w:val="22"/>
                <w:szCs w:val="22"/>
                <w:highlight w:val="none"/>
                <w:u w:val="none"/>
                <w:lang w:val="en-US" w:eastAsia="zh-CN" w:bidi="ar"/>
              </w:rPr>
              <w:t>产品</w:t>
            </w:r>
            <w:r>
              <w:rPr>
                <w:rFonts w:hint="eastAsia" w:ascii="宋体" w:hAnsi="宋体" w:eastAsia="宋体" w:cs="宋体"/>
                <w:i w:val="0"/>
                <w:iCs w:val="0"/>
                <w:color w:val="auto"/>
                <w:kern w:val="0"/>
                <w:sz w:val="22"/>
                <w:szCs w:val="22"/>
                <w:highlight w:val="none"/>
                <w:u w:val="none"/>
                <w:lang w:val="en-US" w:eastAsia="zh-CN" w:bidi="ar"/>
              </w:rPr>
              <w:t>电磁干扰冲击报告检测依据：GB 17625.1-2022 电磁兼容限值 第 1 部分：谐波电流发射限值（设备每相输入电流≤16A）、GB/T 17625.2-2007 电磁兼容限值对每相额定电流≤16A且无条件接入的设备在公用低压供电系统中产生的电压变化，电压波动和闪烁的限制</w:t>
            </w:r>
            <w:r>
              <w:rPr>
                <w:rFonts w:hint="eastAsia" w:ascii="宋体" w:hAnsi="宋体" w:cs="宋体"/>
                <w:i w:val="0"/>
                <w:iCs w:val="0"/>
                <w:color w:val="auto"/>
                <w:kern w:val="0"/>
                <w:sz w:val="22"/>
                <w:szCs w:val="22"/>
                <w:highlight w:val="none"/>
                <w:u w:val="none"/>
                <w:lang w:val="en-US" w:eastAsia="zh-CN" w:bidi="ar"/>
              </w:rPr>
              <w:t>，合格</w:t>
            </w:r>
            <w:r>
              <w:rPr>
                <w:rFonts w:hint="eastAsia" w:ascii="宋体" w:hAnsi="宋体" w:eastAsia="宋体" w:cs="宋体"/>
                <w:i w:val="0"/>
                <w:iCs w:val="0"/>
                <w:color w:val="auto"/>
                <w:kern w:val="0"/>
                <w:sz w:val="22"/>
                <w:szCs w:val="22"/>
                <w:highlight w:val="none"/>
                <w:u w:val="none"/>
                <w:lang w:val="en-US" w:eastAsia="zh-CN" w:bidi="ar"/>
              </w:rPr>
              <w:t>的检测报告作为佐证。</w:t>
            </w:r>
          </w:p>
        </w:tc>
        <w:tc>
          <w:tcPr>
            <w:tcW w:w="558" w:type="dxa"/>
            <w:shd w:val="clear" w:color="auto" w:fill="auto"/>
            <w:vAlign w:val="center"/>
          </w:tcPr>
          <w:p w14:paraId="7C16E9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56" w:type="dxa"/>
            <w:shd w:val="clear" w:color="auto" w:fill="auto"/>
            <w:vAlign w:val="center"/>
          </w:tcPr>
          <w:p w14:paraId="1D7E7B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0B4CD15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123825</wp:posOffset>
                  </wp:positionH>
                  <wp:positionV relativeFrom="paragraph">
                    <wp:posOffset>657225</wp:posOffset>
                  </wp:positionV>
                  <wp:extent cx="540385" cy="919480"/>
                  <wp:effectExtent l="0" t="0" r="12065" b="13970"/>
                  <wp:wrapNone/>
                  <wp:docPr id="228" name="图片_136"/>
                  <wp:cNvGraphicFramePr/>
                  <a:graphic xmlns:a="http://schemas.openxmlformats.org/drawingml/2006/main">
                    <a:graphicData uri="http://schemas.openxmlformats.org/drawingml/2006/picture">
                      <pic:pic xmlns:pic="http://schemas.openxmlformats.org/drawingml/2006/picture">
                        <pic:nvPicPr>
                          <pic:cNvPr id="228" name="图片_136"/>
                          <pic:cNvPicPr/>
                        </pic:nvPicPr>
                        <pic:blipFill>
                          <a:blip r:embed="rId68"/>
                          <a:stretch>
                            <a:fillRect/>
                          </a:stretch>
                        </pic:blipFill>
                        <pic:spPr>
                          <a:xfrm>
                            <a:off x="0" y="0"/>
                            <a:ext cx="540385" cy="919480"/>
                          </a:xfrm>
                          <a:prstGeom prst="rect">
                            <a:avLst/>
                          </a:prstGeom>
                          <a:noFill/>
                          <a:ln>
                            <a:noFill/>
                          </a:ln>
                        </pic:spPr>
                      </pic:pic>
                    </a:graphicData>
                  </a:graphic>
                </wp:anchor>
              </w:drawing>
            </w:r>
          </w:p>
        </w:tc>
      </w:tr>
      <w:tr w14:paraId="3625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36D8EC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536" w:type="dxa"/>
            <w:shd w:val="clear" w:color="auto" w:fill="auto"/>
            <w:vAlign w:val="center"/>
          </w:tcPr>
          <w:p w14:paraId="54CC92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收餐柜</w:t>
            </w:r>
          </w:p>
        </w:tc>
        <w:tc>
          <w:tcPr>
            <w:tcW w:w="4964" w:type="dxa"/>
            <w:shd w:val="clear" w:color="auto" w:fill="auto"/>
            <w:vAlign w:val="center"/>
          </w:tcPr>
          <w:p w14:paraId="2AE1612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开300*300mm方孔。围板δ≥1.0mm，实厚δ≥0.89mm，主管采用38*38*1.0mm不锈钢方管结构管焊接，配承重型不锈钢科顺脚轮四个(两定向两万向)。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规格：700*780*800mm</w:t>
            </w:r>
          </w:p>
        </w:tc>
        <w:tc>
          <w:tcPr>
            <w:tcW w:w="558" w:type="dxa"/>
            <w:shd w:val="clear" w:color="auto" w:fill="auto"/>
            <w:vAlign w:val="center"/>
          </w:tcPr>
          <w:p w14:paraId="027829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2F21B9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6E382EB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85725</wp:posOffset>
                  </wp:positionH>
                  <wp:positionV relativeFrom="paragraph">
                    <wp:posOffset>28575</wp:posOffset>
                  </wp:positionV>
                  <wp:extent cx="657225" cy="740410"/>
                  <wp:effectExtent l="0" t="0" r="9525" b="2540"/>
                  <wp:wrapNone/>
                  <wp:docPr id="229" name="图片_76_SpCnt_1"/>
                  <wp:cNvGraphicFramePr/>
                  <a:graphic xmlns:a="http://schemas.openxmlformats.org/drawingml/2006/main">
                    <a:graphicData uri="http://schemas.openxmlformats.org/drawingml/2006/picture">
                      <pic:pic xmlns:pic="http://schemas.openxmlformats.org/drawingml/2006/picture">
                        <pic:nvPicPr>
                          <pic:cNvPr id="229" name="图片_76_SpCnt_1"/>
                          <pic:cNvPicPr/>
                        </pic:nvPicPr>
                        <pic:blipFill>
                          <a:blip r:embed="rId69"/>
                          <a:stretch>
                            <a:fillRect/>
                          </a:stretch>
                        </pic:blipFill>
                        <pic:spPr>
                          <a:xfrm>
                            <a:off x="0" y="0"/>
                            <a:ext cx="657225" cy="740410"/>
                          </a:xfrm>
                          <a:prstGeom prst="rect">
                            <a:avLst/>
                          </a:prstGeom>
                          <a:noFill/>
                          <a:ln>
                            <a:noFill/>
                          </a:ln>
                        </pic:spPr>
                      </pic:pic>
                    </a:graphicData>
                  </a:graphic>
                </wp:anchor>
              </w:drawing>
            </w:r>
          </w:p>
        </w:tc>
      </w:tr>
      <w:tr w14:paraId="5ADD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658" w:type="dxa"/>
            <w:shd w:val="clear" w:color="auto" w:fill="auto"/>
            <w:vAlign w:val="center"/>
          </w:tcPr>
          <w:p w14:paraId="6A68F3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536" w:type="dxa"/>
            <w:shd w:val="clear" w:color="auto" w:fill="auto"/>
            <w:vAlign w:val="center"/>
          </w:tcPr>
          <w:p w14:paraId="0A883D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多功能切菜机</w:t>
            </w:r>
          </w:p>
        </w:tc>
        <w:tc>
          <w:tcPr>
            <w:tcW w:w="4964" w:type="dxa"/>
            <w:shd w:val="clear" w:color="auto" w:fill="auto"/>
            <w:vAlign w:val="center"/>
          </w:tcPr>
          <w:p w14:paraId="38F9E9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本机由不锈钢及合金组成，食品级输送带、</w:t>
            </w:r>
            <w:r>
              <w:rPr>
                <w:rFonts w:hint="eastAsia" w:ascii="宋体" w:hAnsi="宋体" w:cs="宋体"/>
                <w:i w:val="0"/>
                <w:iCs w:val="0"/>
                <w:color w:val="auto"/>
                <w:kern w:val="0"/>
                <w:sz w:val="22"/>
                <w:szCs w:val="22"/>
                <w:highlight w:val="none"/>
                <w:u w:val="none"/>
                <w:lang w:val="en-US" w:eastAsia="zh-CN" w:bidi="ar"/>
              </w:rPr>
              <w:t>优质</w:t>
            </w:r>
            <w:r>
              <w:rPr>
                <w:rFonts w:hint="eastAsia" w:ascii="宋体" w:hAnsi="宋体" w:eastAsia="宋体" w:cs="宋体"/>
                <w:i w:val="0"/>
                <w:iCs w:val="0"/>
                <w:color w:val="auto"/>
                <w:kern w:val="0"/>
                <w:sz w:val="22"/>
                <w:szCs w:val="22"/>
                <w:highlight w:val="none"/>
                <w:u w:val="none"/>
                <w:lang w:val="en-US" w:eastAsia="zh-CN" w:bidi="ar"/>
              </w:rPr>
              <w:t>刀具、台湾  电机，变频控制系统组成，叶菜类切割部分，合金料斗、丝盘、片盘、丁盘组成根茎类切割部分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生产能力：300-1000kg/h</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功率：1.3kw/220v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规格：1250*500*1300mm</w:t>
            </w:r>
          </w:p>
        </w:tc>
        <w:tc>
          <w:tcPr>
            <w:tcW w:w="558" w:type="dxa"/>
            <w:shd w:val="clear" w:color="auto" w:fill="auto"/>
            <w:vAlign w:val="center"/>
          </w:tcPr>
          <w:p w14:paraId="62FC5E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2E14C8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72CAC4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28575</wp:posOffset>
                  </wp:positionH>
                  <wp:positionV relativeFrom="paragraph">
                    <wp:posOffset>28575</wp:posOffset>
                  </wp:positionV>
                  <wp:extent cx="638175" cy="542925"/>
                  <wp:effectExtent l="0" t="0" r="9525" b="9525"/>
                  <wp:wrapNone/>
                  <wp:docPr id="230" name="图片_2_SpCnt_2"/>
                  <wp:cNvGraphicFramePr/>
                  <a:graphic xmlns:a="http://schemas.openxmlformats.org/drawingml/2006/main">
                    <a:graphicData uri="http://schemas.openxmlformats.org/drawingml/2006/picture">
                      <pic:pic xmlns:pic="http://schemas.openxmlformats.org/drawingml/2006/picture">
                        <pic:nvPicPr>
                          <pic:cNvPr id="230" name="图片_2_SpCnt_2"/>
                          <pic:cNvPicPr/>
                        </pic:nvPicPr>
                        <pic:blipFill>
                          <a:blip r:embed="rId70"/>
                          <a:stretch>
                            <a:fillRect/>
                          </a:stretch>
                        </pic:blipFill>
                        <pic:spPr>
                          <a:xfrm>
                            <a:off x="0" y="0"/>
                            <a:ext cx="638175" cy="542925"/>
                          </a:xfrm>
                          <a:prstGeom prst="rect">
                            <a:avLst/>
                          </a:prstGeom>
                          <a:noFill/>
                          <a:ln>
                            <a:noFill/>
                          </a:ln>
                        </pic:spPr>
                      </pic:pic>
                    </a:graphicData>
                  </a:graphic>
                </wp:anchor>
              </w:drawing>
            </w:r>
          </w:p>
        </w:tc>
      </w:tr>
      <w:tr w14:paraId="389F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17C392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536" w:type="dxa"/>
            <w:shd w:val="clear" w:color="auto" w:fill="auto"/>
            <w:vAlign w:val="center"/>
          </w:tcPr>
          <w:p w14:paraId="332E4E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双星平台水池</w:t>
            </w:r>
          </w:p>
        </w:tc>
        <w:tc>
          <w:tcPr>
            <w:tcW w:w="4964" w:type="dxa"/>
            <w:shd w:val="clear" w:color="auto" w:fill="auto"/>
            <w:vAlign w:val="center"/>
          </w:tcPr>
          <w:p w14:paraId="19EF35F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规格：1400*600*800mm</w:t>
            </w:r>
          </w:p>
        </w:tc>
        <w:tc>
          <w:tcPr>
            <w:tcW w:w="558" w:type="dxa"/>
            <w:shd w:val="clear" w:color="auto" w:fill="auto"/>
            <w:vAlign w:val="center"/>
          </w:tcPr>
          <w:p w14:paraId="2D8794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4C6455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00A0692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47625</wp:posOffset>
                  </wp:positionH>
                  <wp:positionV relativeFrom="paragraph">
                    <wp:posOffset>19050</wp:posOffset>
                  </wp:positionV>
                  <wp:extent cx="577215" cy="523875"/>
                  <wp:effectExtent l="0" t="0" r="13335" b="9525"/>
                  <wp:wrapNone/>
                  <wp:docPr id="231" name="图片_33_SpCnt_2"/>
                  <wp:cNvGraphicFramePr/>
                  <a:graphic xmlns:a="http://schemas.openxmlformats.org/drawingml/2006/main">
                    <a:graphicData uri="http://schemas.openxmlformats.org/drawingml/2006/picture">
                      <pic:pic xmlns:pic="http://schemas.openxmlformats.org/drawingml/2006/picture">
                        <pic:nvPicPr>
                          <pic:cNvPr id="231" name="图片_33_SpCnt_2"/>
                          <pic:cNvPicPr/>
                        </pic:nvPicPr>
                        <pic:blipFill>
                          <a:blip r:embed="rId71"/>
                          <a:stretch>
                            <a:fillRect/>
                          </a:stretch>
                        </pic:blipFill>
                        <pic:spPr>
                          <a:xfrm>
                            <a:off x="0" y="0"/>
                            <a:ext cx="577215" cy="523875"/>
                          </a:xfrm>
                          <a:prstGeom prst="rect">
                            <a:avLst/>
                          </a:prstGeom>
                          <a:noFill/>
                          <a:ln>
                            <a:noFill/>
                          </a:ln>
                        </pic:spPr>
                      </pic:pic>
                    </a:graphicData>
                  </a:graphic>
                </wp:anchor>
              </w:drawing>
            </w:r>
          </w:p>
        </w:tc>
      </w:tr>
      <w:tr w14:paraId="7811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58" w:type="dxa"/>
            <w:shd w:val="clear" w:color="auto" w:fill="auto"/>
            <w:vAlign w:val="center"/>
          </w:tcPr>
          <w:p w14:paraId="08D0B4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536" w:type="dxa"/>
            <w:shd w:val="clear" w:color="auto" w:fill="auto"/>
            <w:vAlign w:val="center"/>
          </w:tcPr>
          <w:p w14:paraId="7E7CD8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0A96AFB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规格：双温</w:t>
            </w:r>
          </w:p>
        </w:tc>
        <w:tc>
          <w:tcPr>
            <w:tcW w:w="558" w:type="dxa"/>
            <w:shd w:val="clear" w:color="auto" w:fill="auto"/>
            <w:vAlign w:val="center"/>
          </w:tcPr>
          <w:p w14:paraId="2ABBAB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054C3B4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vAlign w:val="center"/>
          </w:tcPr>
          <w:p w14:paraId="3A205E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104775</wp:posOffset>
                  </wp:positionH>
                  <wp:positionV relativeFrom="paragraph">
                    <wp:posOffset>66675</wp:posOffset>
                  </wp:positionV>
                  <wp:extent cx="666750" cy="381000"/>
                  <wp:effectExtent l="0" t="0" r="0" b="0"/>
                  <wp:wrapNone/>
                  <wp:docPr id="232" name="图片_79_SpCnt_2"/>
                  <wp:cNvGraphicFramePr/>
                  <a:graphic xmlns:a="http://schemas.openxmlformats.org/drawingml/2006/main">
                    <a:graphicData uri="http://schemas.openxmlformats.org/drawingml/2006/picture">
                      <pic:pic xmlns:pic="http://schemas.openxmlformats.org/drawingml/2006/picture">
                        <pic:nvPicPr>
                          <pic:cNvPr id="232" name="图片_79_SpCnt_2"/>
                          <pic:cNvPicPr/>
                        </pic:nvPicPr>
                        <pic:blipFill>
                          <a:blip r:embed="rId72"/>
                          <a:stretch>
                            <a:fillRect/>
                          </a:stretch>
                        </pic:blipFill>
                        <pic:spPr>
                          <a:xfrm>
                            <a:off x="0" y="0"/>
                            <a:ext cx="666750" cy="381000"/>
                          </a:xfrm>
                          <a:prstGeom prst="rect">
                            <a:avLst/>
                          </a:prstGeom>
                          <a:noFill/>
                          <a:ln>
                            <a:noFill/>
                          </a:ln>
                        </pic:spPr>
                      </pic:pic>
                    </a:graphicData>
                  </a:graphic>
                </wp:anchor>
              </w:drawing>
            </w:r>
          </w:p>
        </w:tc>
      </w:tr>
      <w:tr w14:paraId="7637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jc w:val="center"/>
        </w:trPr>
        <w:tc>
          <w:tcPr>
            <w:tcW w:w="658" w:type="dxa"/>
            <w:shd w:val="clear" w:color="auto" w:fill="auto"/>
            <w:vAlign w:val="center"/>
          </w:tcPr>
          <w:p w14:paraId="597377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536" w:type="dxa"/>
            <w:shd w:val="clear" w:color="auto" w:fill="auto"/>
            <w:vAlign w:val="center"/>
          </w:tcPr>
          <w:p w14:paraId="49DF25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洗地龙头</w:t>
            </w:r>
          </w:p>
        </w:tc>
        <w:tc>
          <w:tcPr>
            <w:tcW w:w="4964" w:type="dxa"/>
            <w:shd w:val="clear" w:color="auto" w:fill="auto"/>
            <w:vAlign w:val="center"/>
          </w:tcPr>
          <w:p w14:paraId="0FD298A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说明：1、开放式洗地龙头、碳钢主体，表面环氧喷涂处理（黑色）                                         2、固定侧支架钢板厚度5mm，黄铜进水主体                                                        3、10.7米重工无痕三层液压钢丝管（黑色）、与主体接口为金属连接件不易损坏漏水，喉管耐温85度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4、黄铜铸造枪式喷头、前置扳机、配有橡胶保护套水压可调。（配置一把喷头）                                                                            5、进水接口为标准G1/2外螺纹                                                                                                                                             6、产品技术要求符合QB/T1334-2013《水嘴通用技术条件》标准要求并提供相应检测报告复印件作为佐证。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规格：管10米</w:t>
            </w:r>
          </w:p>
        </w:tc>
        <w:tc>
          <w:tcPr>
            <w:tcW w:w="558" w:type="dxa"/>
            <w:shd w:val="clear" w:color="auto" w:fill="auto"/>
            <w:vAlign w:val="center"/>
          </w:tcPr>
          <w:p w14:paraId="0F131C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06A033F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6D210A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93980</wp:posOffset>
                  </wp:positionH>
                  <wp:positionV relativeFrom="paragraph">
                    <wp:posOffset>40005</wp:posOffset>
                  </wp:positionV>
                  <wp:extent cx="678815" cy="1224280"/>
                  <wp:effectExtent l="0" t="0" r="6985" b="13970"/>
                  <wp:wrapNone/>
                  <wp:docPr id="233" name="图片_35_SpCnt_1"/>
                  <wp:cNvGraphicFramePr/>
                  <a:graphic xmlns:a="http://schemas.openxmlformats.org/drawingml/2006/main">
                    <a:graphicData uri="http://schemas.openxmlformats.org/drawingml/2006/picture">
                      <pic:pic xmlns:pic="http://schemas.openxmlformats.org/drawingml/2006/picture">
                        <pic:nvPicPr>
                          <pic:cNvPr id="233" name="图片_35_SpCnt_1"/>
                          <pic:cNvPicPr/>
                        </pic:nvPicPr>
                        <pic:blipFill>
                          <a:blip r:embed="rId73"/>
                          <a:stretch>
                            <a:fillRect/>
                          </a:stretch>
                        </pic:blipFill>
                        <pic:spPr>
                          <a:xfrm>
                            <a:off x="0" y="0"/>
                            <a:ext cx="678815" cy="1224280"/>
                          </a:xfrm>
                          <a:prstGeom prst="rect">
                            <a:avLst/>
                          </a:prstGeom>
                          <a:noFill/>
                          <a:ln>
                            <a:noFill/>
                          </a:ln>
                        </pic:spPr>
                      </pic:pic>
                    </a:graphicData>
                  </a:graphic>
                </wp:anchor>
              </w:drawing>
            </w:r>
          </w:p>
        </w:tc>
      </w:tr>
      <w:tr w14:paraId="09EB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2194" w:type="dxa"/>
            <w:gridSpan w:val="2"/>
            <w:shd w:val="clear" w:color="auto" w:fill="auto"/>
            <w:noWrap/>
            <w:vAlign w:val="center"/>
          </w:tcPr>
          <w:p w14:paraId="1963778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粗加工间</w:t>
            </w:r>
          </w:p>
        </w:tc>
        <w:tc>
          <w:tcPr>
            <w:tcW w:w="4964" w:type="dxa"/>
            <w:shd w:val="clear" w:color="auto" w:fill="auto"/>
            <w:noWrap/>
            <w:vAlign w:val="center"/>
          </w:tcPr>
          <w:p w14:paraId="0B360974">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6E886862">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388AD51F">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01350BAA">
            <w:pPr>
              <w:rPr>
                <w:rFonts w:hint="eastAsia" w:ascii="宋体" w:hAnsi="宋体" w:eastAsia="宋体" w:cs="宋体"/>
                <w:i w:val="0"/>
                <w:iCs w:val="0"/>
                <w:color w:val="auto"/>
                <w:sz w:val="22"/>
                <w:szCs w:val="22"/>
                <w:highlight w:val="none"/>
                <w:u w:val="none"/>
              </w:rPr>
            </w:pPr>
          </w:p>
        </w:tc>
      </w:tr>
      <w:tr w14:paraId="52D8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jc w:val="center"/>
        </w:trPr>
        <w:tc>
          <w:tcPr>
            <w:tcW w:w="658" w:type="dxa"/>
            <w:shd w:val="clear" w:color="auto" w:fill="auto"/>
            <w:vAlign w:val="center"/>
          </w:tcPr>
          <w:p w14:paraId="13F3BA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55096D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34A0820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规格：双温</w:t>
            </w:r>
          </w:p>
        </w:tc>
        <w:tc>
          <w:tcPr>
            <w:tcW w:w="558" w:type="dxa"/>
            <w:shd w:val="clear" w:color="auto" w:fill="auto"/>
            <w:vAlign w:val="center"/>
          </w:tcPr>
          <w:p w14:paraId="497CCB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756" w:type="dxa"/>
            <w:shd w:val="clear" w:color="auto" w:fill="auto"/>
            <w:vAlign w:val="center"/>
          </w:tcPr>
          <w:p w14:paraId="79124CA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47D5942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100330</wp:posOffset>
                  </wp:positionV>
                  <wp:extent cx="700405" cy="457200"/>
                  <wp:effectExtent l="0" t="0" r="4445" b="0"/>
                  <wp:wrapNone/>
                  <wp:docPr id="234" name="图片_79_SpCnt_3"/>
                  <wp:cNvGraphicFramePr/>
                  <a:graphic xmlns:a="http://schemas.openxmlformats.org/drawingml/2006/main">
                    <a:graphicData uri="http://schemas.openxmlformats.org/drawingml/2006/picture">
                      <pic:pic xmlns:pic="http://schemas.openxmlformats.org/drawingml/2006/picture">
                        <pic:nvPicPr>
                          <pic:cNvPr id="234" name="图片_79_SpCnt_3"/>
                          <pic:cNvPicPr/>
                        </pic:nvPicPr>
                        <pic:blipFill>
                          <a:blip r:embed="rId74"/>
                          <a:stretch>
                            <a:fillRect/>
                          </a:stretch>
                        </pic:blipFill>
                        <pic:spPr>
                          <a:xfrm>
                            <a:off x="0" y="0"/>
                            <a:ext cx="700405" cy="457200"/>
                          </a:xfrm>
                          <a:prstGeom prst="rect">
                            <a:avLst/>
                          </a:prstGeom>
                          <a:noFill/>
                          <a:ln>
                            <a:noFill/>
                          </a:ln>
                        </pic:spPr>
                      </pic:pic>
                    </a:graphicData>
                  </a:graphic>
                </wp:anchor>
              </w:drawing>
            </w:r>
          </w:p>
        </w:tc>
      </w:tr>
      <w:tr w14:paraId="5FA1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jc w:val="center"/>
        </w:trPr>
        <w:tc>
          <w:tcPr>
            <w:tcW w:w="658" w:type="dxa"/>
            <w:shd w:val="clear" w:color="auto" w:fill="auto"/>
            <w:vAlign w:val="center"/>
          </w:tcPr>
          <w:p w14:paraId="163872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4F3711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收餐柜</w:t>
            </w:r>
          </w:p>
        </w:tc>
        <w:tc>
          <w:tcPr>
            <w:tcW w:w="4964" w:type="dxa"/>
            <w:shd w:val="clear" w:color="auto" w:fill="auto"/>
            <w:vAlign w:val="center"/>
          </w:tcPr>
          <w:p w14:paraId="06715A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开300*300mm方孔。围板δ≥1.0mm，实厚δ≥0.89mm，主管采用38*38*1.0mm不锈钢方管结构管焊接，配承重型不锈钢科顺脚轮四个(两定向两万向)。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规格：800*800*800mm</w:t>
            </w:r>
          </w:p>
        </w:tc>
        <w:tc>
          <w:tcPr>
            <w:tcW w:w="558" w:type="dxa"/>
            <w:shd w:val="clear" w:color="auto" w:fill="auto"/>
            <w:vAlign w:val="center"/>
          </w:tcPr>
          <w:p w14:paraId="6DEA98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0E0EF7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12733F1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38735</wp:posOffset>
                  </wp:positionH>
                  <wp:positionV relativeFrom="paragraph">
                    <wp:posOffset>28575</wp:posOffset>
                  </wp:positionV>
                  <wp:extent cx="730250" cy="675005"/>
                  <wp:effectExtent l="0" t="0" r="12700" b="10795"/>
                  <wp:wrapNone/>
                  <wp:docPr id="235" name="图片_76_SpCnt_2"/>
                  <wp:cNvGraphicFramePr/>
                  <a:graphic xmlns:a="http://schemas.openxmlformats.org/drawingml/2006/main">
                    <a:graphicData uri="http://schemas.openxmlformats.org/drawingml/2006/picture">
                      <pic:pic xmlns:pic="http://schemas.openxmlformats.org/drawingml/2006/picture">
                        <pic:nvPicPr>
                          <pic:cNvPr id="235" name="图片_76_SpCnt_2"/>
                          <pic:cNvPicPr/>
                        </pic:nvPicPr>
                        <pic:blipFill>
                          <a:blip r:embed="rId75"/>
                          <a:stretch>
                            <a:fillRect/>
                          </a:stretch>
                        </pic:blipFill>
                        <pic:spPr>
                          <a:xfrm>
                            <a:off x="0" y="0"/>
                            <a:ext cx="730250" cy="675005"/>
                          </a:xfrm>
                          <a:prstGeom prst="rect">
                            <a:avLst/>
                          </a:prstGeom>
                          <a:noFill/>
                          <a:ln>
                            <a:noFill/>
                          </a:ln>
                        </pic:spPr>
                      </pic:pic>
                    </a:graphicData>
                  </a:graphic>
                </wp:anchor>
              </w:drawing>
            </w:r>
          </w:p>
        </w:tc>
      </w:tr>
      <w:tr w14:paraId="08BA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58" w:type="dxa"/>
            <w:shd w:val="clear" w:color="auto" w:fill="auto"/>
            <w:vAlign w:val="center"/>
          </w:tcPr>
          <w:p w14:paraId="79B3E0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7C2791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双星水池</w:t>
            </w:r>
          </w:p>
        </w:tc>
        <w:tc>
          <w:tcPr>
            <w:tcW w:w="4964" w:type="dxa"/>
            <w:shd w:val="clear" w:color="auto" w:fill="auto"/>
            <w:vAlign w:val="center"/>
          </w:tcPr>
          <w:p w14:paraId="53E5E5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规格：1600*800*800mm</w:t>
            </w:r>
          </w:p>
        </w:tc>
        <w:tc>
          <w:tcPr>
            <w:tcW w:w="558" w:type="dxa"/>
            <w:shd w:val="clear" w:color="auto" w:fill="auto"/>
            <w:vAlign w:val="center"/>
          </w:tcPr>
          <w:p w14:paraId="538F1A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6E0380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0247554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-3810</wp:posOffset>
                  </wp:positionH>
                  <wp:positionV relativeFrom="paragraph">
                    <wp:posOffset>49530</wp:posOffset>
                  </wp:positionV>
                  <wp:extent cx="805815" cy="504825"/>
                  <wp:effectExtent l="0" t="0" r="13335" b="9525"/>
                  <wp:wrapNone/>
                  <wp:docPr id="236" name="图片_33_SpCnt_3"/>
                  <wp:cNvGraphicFramePr/>
                  <a:graphic xmlns:a="http://schemas.openxmlformats.org/drawingml/2006/main">
                    <a:graphicData uri="http://schemas.openxmlformats.org/drawingml/2006/picture">
                      <pic:pic xmlns:pic="http://schemas.openxmlformats.org/drawingml/2006/picture">
                        <pic:nvPicPr>
                          <pic:cNvPr id="236" name="图片_33_SpCnt_3"/>
                          <pic:cNvPicPr/>
                        </pic:nvPicPr>
                        <pic:blipFill>
                          <a:blip r:embed="rId76"/>
                          <a:stretch>
                            <a:fillRect/>
                          </a:stretch>
                        </pic:blipFill>
                        <pic:spPr>
                          <a:xfrm>
                            <a:off x="0" y="0"/>
                            <a:ext cx="805815" cy="504825"/>
                          </a:xfrm>
                          <a:prstGeom prst="rect">
                            <a:avLst/>
                          </a:prstGeom>
                          <a:noFill/>
                          <a:ln>
                            <a:noFill/>
                          </a:ln>
                        </pic:spPr>
                      </pic:pic>
                    </a:graphicData>
                  </a:graphic>
                </wp:anchor>
              </w:drawing>
            </w:r>
          </w:p>
        </w:tc>
      </w:tr>
      <w:tr w14:paraId="5128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jc w:val="center"/>
        </w:trPr>
        <w:tc>
          <w:tcPr>
            <w:tcW w:w="658" w:type="dxa"/>
            <w:shd w:val="clear" w:color="auto" w:fill="auto"/>
            <w:vAlign w:val="center"/>
          </w:tcPr>
          <w:p w14:paraId="6EFB1E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2A4E04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速热热水</w:t>
            </w:r>
            <w:r>
              <w:rPr>
                <w:rFonts w:hint="eastAsia" w:ascii="宋体" w:hAnsi="宋体" w:cs="宋体"/>
                <w:i w:val="0"/>
                <w:iCs w:val="0"/>
                <w:color w:val="auto"/>
                <w:kern w:val="0"/>
                <w:sz w:val="22"/>
                <w:szCs w:val="22"/>
                <w:highlight w:val="none"/>
                <w:u w:val="none"/>
                <w:lang w:val="en-US" w:eastAsia="zh-CN" w:bidi="ar"/>
              </w:rPr>
              <w:t>机</w:t>
            </w:r>
          </w:p>
        </w:tc>
        <w:tc>
          <w:tcPr>
            <w:tcW w:w="4964" w:type="dxa"/>
            <w:shd w:val="clear" w:color="auto" w:fill="auto"/>
            <w:vAlign w:val="center"/>
          </w:tcPr>
          <w:p w14:paraId="212BB3B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说明：4i技术智能控温，裸线加热即开即热，适合软硬各种水质，换热效率高达99%，远高于国家标准（80%），ECO节能省电，小巧体积灵活安装</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电压/功率:380V/18-28KW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规格：483*228*95mm</w:t>
            </w:r>
          </w:p>
        </w:tc>
        <w:tc>
          <w:tcPr>
            <w:tcW w:w="558" w:type="dxa"/>
            <w:shd w:val="clear" w:color="auto" w:fill="auto"/>
            <w:vAlign w:val="center"/>
          </w:tcPr>
          <w:p w14:paraId="481B8D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1EFC429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091F07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141605</wp:posOffset>
                  </wp:positionH>
                  <wp:positionV relativeFrom="paragraph">
                    <wp:posOffset>-8890</wp:posOffset>
                  </wp:positionV>
                  <wp:extent cx="527685" cy="815340"/>
                  <wp:effectExtent l="0" t="0" r="5715" b="3810"/>
                  <wp:wrapNone/>
                  <wp:docPr id="237" name="图片_85_SpCnt_1"/>
                  <wp:cNvGraphicFramePr/>
                  <a:graphic xmlns:a="http://schemas.openxmlformats.org/drawingml/2006/main">
                    <a:graphicData uri="http://schemas.openxmlformats.org/drawingml/2006/picture">
                      <pic:pic xmlns:pic="http://schemas.openxmlformats.org/drawingml/2006/picture">
                        <pic:nvPicPr>
                          <pic:cNvPr id="237" name="图片_85_SpCnt_1"/>
                          <pic:cNvPicPr/>
                        </pic:nvPicPr>
                        <pic:blipFill>
                          <a:blip r:embed="rId77"/>
                          <a:stretch>
                            <a:fillRect/>
                          </a:stretch>
                        </pic:blipFill>
                        <pic:spPr>
                          <a:xfrm>
                            <a:off x="0" y="0"/>
                            <a:ext cx="527685" cy="815340"/>
                          </a:xfrm>
                          <a:prstGeom prst="rect">
                            <a:avLst/>
                          </a:prstGeom>
                          <a:noFill/>
                          <a:ln>
                            <a:noFill/>
                          </a:ln>
                        </pic:spPr>
                      </pic:pic>
                    </a:graphicData>
                  </a:graphic>
                </wp:anchor>
              </w:drawing>
            </w:r>
          </w:p>
        </w:tc>
      </w:tr>
      <w:tr w14:paraId="4D6F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61E6D8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vAlign w:val="center"/>
          </w:tcPr>
          <w:p w14:paraId="696730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双层工作台</w:t>
            </w:r>
          </w:p>
        </w:tc>
        <w:tc>
          <w:tcPr>
            <w:tcW w:w="4964" w:type="dxa"/>
            <w:shd w:val="clear" w:color="auto" w:fill="auto"/>
            <w:vAlign w:val="center"/>
          </w:tcPr>
          <w:p w14:paraId="09C6559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说明：选用SUS304-2B优质不锈钢板制作；台面δ≥1.2mm，实厚δ≥1.18mm。方通脚采用38*38mm不锈钢加厚制作，壁厚1.0mm,实厚δ≥0.89mm；层板型，配置重力不锈钢可调节子弹脚。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规格：1600*800*800mm</w:t>
            </w:r>
          </w:p>
        </w:tc>
        <w:tc>
          <w:tcPr>
            <w:tcW w:w="558" w:type="dxa"/>
            <w:shd w:val="clear" w:color="auto" w:fill="auto"/>
            <w:vAlign w:val="center"/>
          </w:tcPr>
          <w:p w14:paraId="4BEA29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7BF146E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70C30F2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123825</wp:posOffset>
                  </wp:positionH>
                  <wp:positionV relativeFrom="paragraph">
                    <wp:posOffset>38100</wp:posOffset>
                  </wp:positionV>
                  <wp:extent cx="591820" cy="495300"/>
                  <wp:effectExtent l="0" t="0" r="17780" b="0"/>
                  <wp:wrapNone/>
                  <wp:docPr id="238" name="图片_55"/>
                  <wp:cNvGraphicFramePr/>
                  <a:graphic xmlns:a="http://schemas.openxmlformats.org/drawingml/2006/main">
                    <a:graphicData uri="http://schemas.openxmlformats.org/drawingml/2006/picture">
                      <pic:pic xmlns:pic="http://schemas.openxmlformats.org/drawingml/2006/picture">
                        <pic:nvPicPr>
                          <pic:cNvPr id="238" name="图片_55"/>
                          <pic:cNvPicPr/>
                        </pic:nvPicPr>
                        <pic:blipFill>
                          <a:blip r:embed="rId78"/>
                          <a:stretch>
                            <a:fillRect/>
                          </a:stretch>
                        </pic:blipFill>
                        <pic:spPr>
                          <a:xfrm>
                            <a:off x="0" y="0"/>
                            <a:ext cx="591820" cy="495300"/>
                          </a:xfrm>
                          <a:prstGeom prst="rect">
                            <a:avLst/>
                          </a:prstGeom>
                          <a:noFill/>
                          <a:ln>
                            <a:noFill/>
                          </a:ln>
                        </pic:spPr>
                      </pic:pic>
                    </a:graphicData>
                  </a:graphic>
                </wp:anchor>
              </w:drawing>
            </w:r>
          </w:p>
        </w:tc>
      </w:tr>
      <w:tr w14:paraId="5FC9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jc w:val="center"/>
        </w:trPr>
        <w:tc>
          <w:tcPr>
            <w:tcW w:w="658" w:type="dxa"/>
            <w:shd w:val="clear" w:color="auto" w:fill="auto"/>
            <w:vAlign w:val="center"/>
          </w:tcPr>
          <w:p w14:paraId="73AD56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36" w:type="dxa"/>
            <w:shd w:val="clear" w:color="auto" w:fill="auto"/>
            <w:vAlign w:val="center"/>
          </w:tcPr>
          <w:p w14:paraId="5197ED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洗地龙头</w:t>
            </w:r>
          </w:p>
        </w:tc>
        <w:tc>
          <w:tcPr>
            <w:tcW w:w="4964" w:type="dxa"/>
            <w:shd w:val="clear" w:color="auto" w:fill="auto"/>
            <w:vAlign w:val="center"/>
          </w:tcPr>
          <w:p w14:paraId="5FEEE8D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说明：1、开放式洗地龙头、碳钢主体，表面环氧喷涂处理（黑色）                                         2、固定侧支架钢板厚度5mm，黄铜进水主体                                                        3、10.7米重工无痕三层液压钢丝管（黑色）、与主体接口为金属连接件不易损坏漏水，喉管耐温85度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4、黄铜铸造枪式喷头、前置扳机、配有橡胶保护套水压可调。（配置一把喷头）                                                                            5、进水接口为标准G1/2外螺纹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规格：管10米</w:t>
            </w:r>
          </w:p>
        </w:tc>
        <w:tc>
          <w:tcPr>
            <w:tcW w:w="558" w:type="dxa"/>
            <w:shd w:val="clear" w:color="auto" w:fill="auto"/>
            <w:vAlign w:val="center"/>
          </w:tcPr>
          <w:p w14:paraId="364A64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463CE32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4BC034A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81915</wp:posOffset>
                  </wp:positionH>
                  <wp:positionV relativeFrom="paragraph">
                    <wp:posOffset>527050</wp:posOffset>
                  </wp:positionV>
                  <wp:extent cx="666115" cy="664210"/>
                  <wp:effectExtent l="0" t="0" r="635" b="2540"/>
                  <wp:wrapNone/>
                  <wp:docPr id="239" name="图片_35_SpCnt_2"/>
                  <wp:cNvGraphicFramePr/>
                  <a:graphic xmlns:a="http://schemas.openxmlformats.org/drawingml/2006/main">
                    <a:graphicData uri="http://schemas.openxmlformats.org/drawingml/2006/picture">
                      <pic:pic xmlns:pic="http://schemas.openxmlformats.org/drawingml/2006/picture">
                        <pic:nvPicPr>
                          <pic:cNvPr id="239" name="图片_35_SpCnt_2"/>
                          <pic:cNvPicPr/>
                        </pic:nvPicPr>
                        <pic:blipFill>
                          <a:blip r:embed="rId73"/>
                          <a:stretch>
                            <a:fillRect/>
                          </a:stretch>
                        </pic:blipFill>
                        <pic:spPr>
                          <a:xfrm>
                            <a:off x="0" y="0"/>
                            <a:ext cx="666115" cy="664210"/>
                          </a:xfrm>
                          <a:prstGeom prst="rect">
                            <a:avLst/>
                          </a:prstGeom>
                          <a:noFill/>
                          <a:ln>
                            <a:noFill/>
                          </a:ln>
                        </pic:spPr>
                      </pic:pic>
                    </a:graphicData>
                  </a:graphic>
                </wp:anchor>
              </w:drawing>
            </w:r>
          </w:p>
        </w:tc>
      </w:tr>
      <w:tr w14:paraId="38C1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194" w:type="dxa"/>
            <w:gridSpan w:val="2"/>
            <w:shd w:val="clear" w:color="auto" w:fill="auto"/>
            <w:noWrap/>
            <w:vAlign w:val="center"/>
          </w:tcPr>
          <w:p w14:paraId="6091043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热加工间</w:t>
            </w:r>
          </w:p>
        </w:tc>
        <w:tc>
          <w:tcPr>
            <w:tcW w:w="4964" w:type="dxa"/>
            <w:shd w:val="clear" w:color="auto" w:fill="auto"/>
            <w:noWrap/>
            <w:vAlign w:val="center"/>
          </w:tcPr>
          <w:p w14:paraId="0AD53FE3">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2A0D2C83">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66FD5708">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29A1CA38">
            <w:pPr>
              <w:rPr>
                <w:rFonts w:hint="eastAsia" w:ascii="宋体" w:hAnsi="宋体" w:eastAsia="宋体" w:cs="宋体"/>
                <w:i w:val="0"/>
                <w:iCs w:val="0"/>
                <w:color w:val="auto"/>
                <w:sz w:val="22"/>
                <w:szCs w:val="22"/>
                <w:highlight w:val="none"/>
                <w:u w:val="none"/>
              </w:rPr>
            </w:pPr>
          </w:p>
        </w:tc>
      </w:tr>
      <w:tr w14:paraId="359E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58" w:type="dxa"/>
            <w:shd w:val="clear" w:color="auto" w:fill="FFFF00"/>
            <w:vAlign w:val="center"/>
          </w:tcPr>
          <w:p w14:paraId="091FB8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FFFF00"/>
            <w:vAlign w:val="center"/>
          </w:tcPr>
          <w:p w14:paraId="129A45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电磁三门蒸柜</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（提供样品）</w:t>
            </w:r>
          </w:p>
        </w:tc>
        <w:tc>
          <w:tcPr>
            <w:tcW w:w="4964" w:type="dxa"/>
            <w:shd w:val="clear" w:color="auto" w:fill="FFFF00"/>
            <w:vAlign w:val="center"/>
          </w:tcPr>
          <w:p w14:paraId="734CCA8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说明：1、采用SUS304-2B优质不锈钢板制造，灶面板采用一体成型面板，炉体采用优质全不锈钢骨架。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2、0至99档无级功率调节技术，机芯采用分层次散热结构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3、具有全中文显示故障代码功能，让操作更人性化，档位对应功率显示。让操作更加直观。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4、后背防水风机。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5、聚能线盘节能设计，线圈盘无盲区，比传统灶节能30%以上。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6、移相搭桥电路控制技术，性能卓越运行稳定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7、超宽工作电压设计，运行稳定更安全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8、电路防磁干扰EMC模块设计，保护电网及电器设备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功率：380V/30KW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w:t>
            </w:r>
            <w:r>
              <w:rPr>
                <w:rFonts w:hint="eastAsia" w:ascii="宋体" w:hAnsi="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2"/>
                <w:szCs w:val="22"/>
                <w:highlight w:val="none"/>
                <w:u w:val="none"/>
                <w:lang w:val="en-US" w:eastAsia="zh-CN" w:bidi="ar"/>
              </w:rPr>
              <w:t>00*1000*18</w:t>
            </w:r>
            <w:r>
              <w:rPr>
                <w:rFonts w:hint="eastAsia" w:ascii="宋体" w:hAnsi="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2"/>
                <w:szCs w:val="22"/>
                <w:highlight w:val="none"/>
                <w:u w:val="none"/>
                <w:lang w:val="en-US" w:eastAsia="zh-CN" w:bidi="ar"/>
              </w:rPr>
              <w:t>0mm</w:t>
            </w:r>
          </w:p>
        </w:tc>
        <w:tc>
          <w:tcPr>
            <w:tcW w:w="558" w:type="dxa"/>
            <w:shd w:val="clear" w:color="auto" w:fill="FFFF00"/>
            <w:vAlign w:val="center"/>
          </w:tcPr>
          <w:p w14:paraId="1B6557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FFFF00"/>
            <w:vAlign w:val="center"/>
          </w:tcPr>
          <w:p w14:paraId="2D46C9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783DD4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85725</wp:posOffset>
                  </wp:positionH>
                  <wp:positionV relativeFrom="paragraph">
                    <wp:posOffset>-615315</wp:posOffset>
                  </wp:positionV>
                  <wp:extent cx="715645" cy="1405255"/>
                  <wp:effectExtent l="0" t="0" r="8255" b="4445"/>
                  <wp:wrapNone/>
                  <wp:docPr id="240" name="图片_26"/>
                  <wp:cNvGraphicFramePr/>
                  <a:graphic xmlns:a="http://schemas.openxmlformats.org/drawingml/2006/main">
                    <a:graphicData uri="http://schemas.openxmlformats.org/drawingml/2006/picture">
                      <pic:pic xmlns:pic="http://schemas.openxmlformats.org/drawingml/2006/picture">
                        <pic:nvPicPr>
                          <pic:cNvPr id="240" name="图片_26"/>
                          <pic:cNvPicPr/>
                        </pic:nvPicPr>
                        <pic:blipFill>
                          <a:blip r:embed="rId79"/>
                          <a:stretch>
                            <a:fillRect/>
                          </a:stretch>
                        </pic:blipFill>
                        <pic:spPr>
                          <a:xfrm>
                            <a:off x="0" y="0"/>
                            <a:ext cx="715645" cy="1405255"/>
                          </a:xfrm>
                          <a:prstGeom prst="rect">
                            <a:avLst/>
                          </a:prstGeom>
                          <a:noFill/>
                          <a:ln>
                            <a:noFill/>
                          </a:ln>
                        </pic:spPr>
                      </pic:pic>
                    </a:graphicData>
                  </a:graphic>
                </wp:anchor>
              </w:drawing>
            </w:r>
          </w:p>
        </w:tc>
      </w:tr>
      <w:tr w14:paraId="0C2D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40" w:hRule="atLeast"/>
          <w:jc w:val="center"/>
        </w:trPr>
        <w:tc>
          <w:tcPr>
            <w:tcW w:w="658" w:type="dxa"/>
            <w:shd w:val="clear" w:color="auto" w:fill="auto"/>
            <w:vAlign w:val="center"/>
          </w:tcPr>
          <w:p w14:paraId="1C860C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04999E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四层栅格货架</w:t>
            </w:r>
          </w:p>
        </w:tc>
        <w:tc>
          <w:tcPr>
            <w:tcW w:w="4964" w:type="dxa"/>
            <w:shd w:val="clear" w:color="auto" w:fill="auto"/>
            <w:vAlign w:val="center"/>
          </w:tcPr>
          <w:p w14:paraId="27DE14B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说明：选用SUS304-2B优质不锈钢板制作；格栅板δ≥1.2mm，实厚δ≥1.18mm；立柱为φ38*38mm加厚方管制，实厚δ≥0.89mm；层板型，四层结构，下衬不锈钢加强筋，实厚δ≥0.89mm；配置重力不锈钢可调节子弹脚。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规格：1200*500*1550mm</w:t>
            </w:r>
          </w:p>
        </w:tc>
        <w:tc>
          <w:tcPr>
            <w:tcW w:w="558" w:type="dxa"/>
            <w:shd w:val="clear" w:color="auto" w:fill="auto"/>
            <w:vAlign w:val="center"/>
          </w:tcPr>
          <w:p w14:paraId="306ACD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6ACDA1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20C5B57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142875</wp:posOffset>
                  </wp:positionH>
                  <wp:positionV relativeFrom="paragraph">
                    <wp:posOffset>66675</wp:posOffset>
                  </wp:positionV>
                  <wp:extent cx="605790" cy="967105"/>
                  <wp:effectExtent l="0" t="0" r="3810" b="4445"/>
                  <wp:wrapNone/>
                  <wp:docPr id="241" name="图片_58"/>
                  <wp:cNvGraphicFramePr/>
                  <a:graphic xmlns:a="http://schemas.openxmlformats.org/drawingml/2006/main">
                    <a:graphicData uri="http://schemas.openxmlformats.org/drawingml/2006/picture">
                      <pic:pic xmlns:pic="http://schemas.openxmlformats.org/drawingml/2006/picture">
                        <pic:nvPicPr>
                          <pic:cNvPr id="241" name="图片_58"/>
                          <pic:cNvPicPr/>
                        </pic:nvPicPr>
                        <pic:blipFill>
                          <a:blip r:embed="rId80"/>
                          <a:stretch>
                            <a:fillRect/>
                          </a:stretch>
                        </pic:blipFill>
                        <pic:spPr>
                          <a:xfrm>
                            <a:off x="0" y="0"/>
                            <a:ext cx="605790" cy="967105"/>
                          </a:xfrm>
                          <a:prstGeom prst="rect">
                            <a:avLst/>
                          </a:prstGeom>
                          <a:noFill/>
                          <a:ln>
                            <a:noFill/>
                          </a:ln>
                        </pic:spPr>
                      </pic:pic>
                    </a:graphicData>
                  </a:graphic>
                </wp:anchor>
              </w:drawing>
            </w:r>
          </w:p>
        </w:tc>
      </w:tr>
      <w:tr w14:paraId="332C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0" w:hRule="atLeast"/>
          <w:jc w:val="center"/>
        </w:trPr>
        <w:tc>
          <w:tcPr>
            <w:tcW w:w="658" w:type="dxa"/>
            <w:shd w:val="clear" w:color="auto" w:fill="auto"/>
            <w:vAlign w:val="center"/>
          </w:tcPr>
          <w:p w14:paraId="41419D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54D372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电磁矮汤炉</w:t>
            </w:r>
          </w:p>
        </w:tc>
        <w:tc>
          <w:tcPr>
            <w:tcW w:w="4964" w:type="dxa"/>
            <w:shd w:val="clear" w:color="auto" w:fill="auto"/>
            <w:vAlign w:val="center"/>
          </w:tcPr>
          <w:p w14:paraId="14C543F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说明：1、采用SUS304-2B优质不锈钢板制造，灶面板采用一体成型面板，炉体采用优质全不锈钢骨架。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2、0至99档无级功率调节技术，机芯采用分层次散热结构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3、具有全中文显示故障代码功能，让操作更人性化，档位对应功率显示。让操作更加直观。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4、后背防水风机。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5、聚能线盘节能设计，线圈盘无盲区，比传统灶节能30%以上。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6、移相搭桥电路控制技术，性能卓越运行稳定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7、超宽工作电压设计，运行稳定更安全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8、电路防磁干扰EMC模块设计，保护电网及电器设备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功率：380V/15KW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规格：650*700*（500+700）mm</w:t>
            </w:r>
          </w:p>
        </w:tc>
        <w:tc>
          <w:tcPr>
            <w:tcW w:w="558" w:type="dxa"/>
            <w:shd w:val="clear" w:color="auto" w:fill="auto"/>
            <w:vAlign w:val="center"/>
          </w:tcPr>
          <w:p w14:paraId="2CEEE4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2A96091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B32583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-19050</wp:posOffset>
                  </wp:positionH>
                  <wp:positionV relativeFrom="paragraph">
                    <wp:posOffset>225425</wp:posOffset>
                  </wp:positionV>
                  <wp:extent cx="791845" cy="1358900"/>
                  <wp:effectExtent l="0" t="0" r="8255" b="12700"/>
                  <wp:wrapNone/>
                  <wp:docPr id="242" name="图片_15_SpCnt_1"/>
                  <wp:cNvGraphicFramePr/>
                  <a:graphic xmlns:a="http://schemas.openxmlformats.org/drawingml/2006/main">
                    <a:graphicData uri="http://schemas.openxmlformats.org/drawingml/2006/picture">
                      <pic:pic xmlns:pic="http://schemas.openxmlformats.org/drawingml/2006/picture">
                        <pic:nvPicPr>
                          <pic:cNvPr id="242" name="图片_15_SpCnt_1"/>
                          <pic:cNvPicPr/>
                        </pic:nvPicPr>
                        <pic:blipFill>
                          <a:blip r:embed="rId81"/>
                          <a:stretch>
                            <a:fillRect/>
                          </a:stretch>
                        </pic:blipFill>
                        <pic:spPr>
                          <a:xfrm>
                            <a:off x="0" y="0"/>
                            <a:ext cx="791845" cy="1358900"/>
                          </a:xfrm>
                          <a:prstGeom prst="rect">
                            <a:avLst/>
                          </a:prstGeom>
                          <a:noFill/>
                          <a:ln>
                            <a:noFill/>
                          </a:ln>
                        </pic:spPr>
                      </pic:pic>
                    </a:graphicData>
                  </a:graphic>
                </wp:anchor>
              </w:drawing>
            </w:r>
          </w:p>
        </w:tc>
      </w:tr>
      <w:tr w14:paraId="556B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0" w:hRule="atLeast"/>
          <w:jc w:val="center"/>
        </w:trPr>
        <w:tc>
          <w:tcPr>
            <w:tcW w:w="658" w:type="dxa"/>
            <w:shd w:val="clear" w:color="auto" w:fill="FFFF00"/>
            <w:vAlign w:val="center"/>
          </w:tcPr>
          <w:p w14:paraId="18728A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FFFF00"/>
            <w:vAlign w:val="center"/>
          </w:tcPr>
          <w:p w14:paraId="5D48C6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电磁双头大锅灶</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（提供样品）</w:t>
            </w:r>
          </w:p>
        </w:tc>
        <w:tc>
          <w:tcPr>
            <w:tcW w:w="4964" w:type="dxa"/>
            <w:shd w:val="clear" w:color="auto" w:fill="FFFF00"/>
            <w:vAlign w:val="center"/>
          </w:tcPr>
          <w:p w14:paraId="1E450FD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说明：1）材质：面板采用优质304不锈钢板</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2）不锈钢子弹调节脚。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3、锅径为Φ800，功率/电压：2*20KW/380V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cs="宋体"/>
                <w:b/>
                <w:bCs/>
                <w:color w:val="auto"/>
                <w:sz w:val="24"/>
                <w:highlight w:val="none"/>
              </w:rPr>
              <w:t>▲</w:t>
            </w:r>
            <w:r>
              <w:rPr>
                <w:rFonts w:hint="eastAsia" w:ascii="宋体" w:hAnsi="宋体" w:eastAsia="宋体" w:cs="宋体"/>
                <w:b/>
                <w:bCs/>
                <w:i w:val="0"/>
                <w:iCs w:val="0"/>
                <w:color w:val="auto"/>
                <w:kern w:val="0"/>
                <w:sz w:val="22"/>
                <w:szCs w:val="22"/>
                <w:highlight w:val="none"/>
                <w:u w:val="none"/>
                <w:lang w:val="en-US" w:eastAsia="zh-CN" w:bidi="ar"/>
              </w:rPr>
              <w:t>4、0至99档无级功率调节技术，机芯采用分层次散热结构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5、具有全中文显示故障代码功能，让操作更人性化，档位对应功率显示。让操作更加直观。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6、后背防水风机。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7、移相搭桥电路控制技术，性能卓越运行稳定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8、超宽工作电压设计，运行稳定更安全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9、电路防磁干扰EMC模块设计，保护电网及电器设备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10、聚能线盘节能设计，线圈盘无盲区，比传统灶节能30%以上。</w:t>
            </w:r>
          </w:p>
          <w:p w14:paraId="27E030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●11、提供所投产品具有符合QB/T 4499-2023《商用电磁灶》GB 4706.1-2005、QBIT 1236-2008电磁灶连续工作时间≥6h，试验后应能在标准测试状态下正常工作，高低压试验后其功率偏差不应超过额定功率的±10%，热效率≥95%，功能与可靠性验证99档滑杆开关专项测试机械寿命</w:t>
            </w:r>
            <w:r>
              <w:rPr>
                <w:rFonts w:hint="eastAsia" w:ascii="宋体" w:hAnsi="宋体" w:cs="宋体"/>
                <w:i w:val="0"/>
                <w:iCs w:val="0"/>
                <w:color w:val="auto"/>
                <w:kern w:val="0"/>
                <w:sz w:val="22"/>
                <w:szCs w:val="22"/>
                <w:highlight w:val="none"/>
                <w:u w:val="none"/>
                <w:lang w:val="en-US" w:eastAsia="zh-CN" w:bidi="ar"/>
              </w:rPr>
              <w:t>接触电阻稳定性及</w:t>
            </w:r>
            <w:r>
              <w:rPr>
                <w:rFonts w:hint="eastAsia" w:ascii="宋体" w:hAnsi="宋体" w:eastAsia="宋体" w:cs="宋体"/>
                <w:i w:val="0"/>
                <w:iCs w:val="0"/>
                <w:color w:val="auto"/>
                <w:kern w:val="0"/>
                <w:sz w:val="22"/>
                <w:szCs w:val="22"/>
                <w:highlight w:val="none"/>
                <w:u w:val="none"/>
                <w:lang w:val="en-US" w:eastAsia="zh-CN" w:bidi="ar"/>
              </w:rPr>
              <w:t>防尘防水等级判定合格的检测报告，提供检验报告作为佐证。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规格：2000×11</w:t>
            </w:r>
            <w:r>
              <w:rPr>
                <w:rFonts w:hint="eastAsia" w:ascii="宋体" w:hAnsi="宋体" w:cs="宋体"/>
                <w:i w:val="0"/>
                <w:iCs w:val="0"/>
                <w:color w:val="auto"/>
                <w:kern w:val="0"/>
                <w:sz w:val="22"/>
                <w:szCs w:val="22"/>
                <w:highlight w:val="none"/>
                <w:u w:val="none"/>
                <w:lang w:val="en-US" w:eastAsia="zh-CN" w:bidi="ar"/>
              </w:rPr>
              <w:t>6</w:t>
            </w:r>
            <w:r>
              <w:rPr>
                <w:rFonts w:hint="eastAsia" w:ascii="宋体" w:hAnsi="宋体" w:eastAsia="宋体" w:cs="宋体"/>
                <w:i w:val="0"/>
                <w:iCs w:val="0"/>
                <w:color w:val="auto"/>
                <w:kern w:val="0"/>
                <w:sz w:val="22"/>
                <w:szCs w:val="22"/>
                <w:highlight w:val="none"/>
                <w:u w:val="none"/>
                <w:lang w:val="en-US" w:eastAsia="zh-CN" w:bidi="ar"/>
              </w:rPr>
              <w:t>0×（800+400）</w:t>
            </w:r>
          </w:p>
        </w:tc>
        <w:tc>
          <w:tcPr>
            <w:tcW w:w="558" w:type="dxa"/>
            <w:shd w:val="clear" w:color="auto" w:fill="FFFF00"/>
            <w:vAlign w:val="center"/>
          </w:tcPr>
          <w:p w14:paraId="63DDF3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FFFF00"/>
            <w:vAlign w:val="center"/>
          </w:tcPr>
          <w:p w14:paraId="6AEB2F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4E321AA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38100</wp:posOffset>
                  </wp:positionH>
                  <wp:positionV relativeFrom="paragraph">
                    <wp:posOffset>-26035</wp:posOffset>
                  </wp:positionV>
                  <wp:extent cx="704850" cy="1246505"/>
                  <wp:effectExtent l="0" t="0" r="0" b="10795"/>
                  <wp:wrapNone/>
                  <wp:docPr id="243" name="image11"/>
                  <wp:cNvGraphicFramePr/>
                  <a:graphic xmlns:a="http://schemas.openxmlformats.org/drawingml/2006/main">
                    <a:graphicData uri="http://schemas.openxmlformats.org/drawingml/2006/picture">
                      <pic:pic xmlns:pic="http://schemas.openxmlformats.org/drawingml/2006/picture">
                        <pic:nvPicPr>
                          <pic:cNvPr id="243" name="image11"/>
                          <pic:cNvPicPr/>
                        </pic:nvPicPr>
                        <pic:blipFill>
                          <a:blip r:embed="rId82"/>
                          <a:stretch>
                            <a:fillRect/>
                          </a:stretch>
                        </pic:blipFill>
                        <pic:spPr>
                          <a:xfrm>
                            <a:off x="0" y="0"/>
                            <a:ext cx="704850" cy="1246505"/>
                          </a:xfrm>
                          <a:prstGeom prst="rect">
                            <a:avLst/>
                          </a:prstGeom>
                          <a:noFill/>
                          <a:ln>
                            <a:noFill/>
                          </a:ln>
                        </pic:spPr>
                      </pic:pic>
                    </a:graphicData>
                  </a:graphic>
                </wp:anchor>
              </w:drawing>
            </w:r>
          </w:p>
        </w:tc>
      </w:tr>
      <w:tr w14:paraId="0B02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jc w:val="center"/>
        </w:trPr>
        <w:tc>
          <w:tcPr>
            <w:tcW w:w="658" w:type="dxa"/>
            <w:shd w:val="clear" w:color="auto" w:fill="auto"/>
            <w:vAlign w:val="center"/>
          </w:tcPr>
          <w:p w14:paraId="58C873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vAlign w:val="center"/>
          </w:tcPr>
          <w:p w14:paraId="0B3075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双星盆水池</w:t>
            </w:r>
          </w:p>
        </w:tc>
        <w:tc>
          <w:tcPr>
            <w:tcW w:w="4964" w:type="dxa"/>
            <w:shd w:val="clear" w:color="auto" w:fill="auto"/>
            <w:vAlign w:val="center"/>
          </w:tcPr>
          <w:p w14:paraId="4577DE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规格：1200*700*800mm</w:t>
            </w:r>
          </w:p>
        </w:tc>
        <w:tc>
          <w:tcPr>
            <w:tcW w:w="558" w:type="dxa"/>
            <w:shd w:val="clear" w:color="auto" w:fill="auto"/>
            <w:vAlign w:val="center"/>
          </w:tcPr>
          <w:p w14:paraId="3B6C74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6FA546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74F7D50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85725</wp:posOffset>
                  </wp:positionH>
                  <wp:positionV relativeFrom="paragraph">
                    <wp:posOffset>28575</wp:posOffset>
                  </wp:positionV>
                  <wp:extent cx="701040" cy="504825"/>
                  <wp:effectExtent l="0" t="0" r="3810" b="9525"/>
                  <wp:wrapNone/>
                  <wp:docPr id="244" name="图片_33_SpCnt_4"/>
                  <wp:cNvGraphicFramePr/>
                  <a:graphic xmlns:a="http://schemas.openxmlformats.org/drawingml/2006/main">
                    <a:graphicData uri="http://schemas.openxmlformats.org/drawingml/2006/picture">
                      <pic:pic xmlns:pic="http://schemas.openxmlformats.org/drawingml/2006/picture">
                        <pic:nvPicPr>
                          <pic:cNvPr id="244" name="图片_33_SpCnt_4"/>
                          <pic:cNvPicPr/>
                        </pic:nvPicPr>
                        <pic:blipFill>
                          <a:blip r:embed="rId76"/>
                          <a:stretch>
                            <a:fillRect/>
                          </a:stretch>
                        </pic:blipFill>
                        <pic:spPr>
                          <a:xfrm>
                            <a:off x="0" y="0"/>
                            <a:ext cx="701040" cy="504825"/>
                          </a:xfrm>
                          <a:prstGeom prst="rect">
                            <a:avLst/>
                          </a:prstGeom>
                          <a:noFill/>
                          <a:ln>
                            <a:noFill/>
                          </a:ln>
                        </pic:spPr>
                      </pic:pic>
                    </a:graphicData>
                  </a:graphic>
                </wp:anchor>
              </w:drawing>
            </w:r>
          </w:p>
        </w:tc>
      </w:tr>
      <w:tr w14:paraId="2448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40" w:hRule="atLeast"/>
          <w:jc w:val="center"/>
        </w:trPr>
        <w:tc>
          <w:tcPr>
            <w:tcW w:w="658" w:type="dxa"/>
            <w:shd w:val="clear" w:color="auto" w:fill="auto"/>
            <w:vAlign w:val="center"/>
          </w:tcPr>
          <w:p w14:paraId="079CBC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36" w:type="dxa"/>
            <w:shd w:val="clear" w:color="auto" w:fill="auto"/>
            <w:vAlign w:val="center"/>
          </w:tcPr>
          <w:p w14:paraId="40C3C5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0CD8903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5542A4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1A14022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vAlign w:val="center"/>
          </w:tcPr>
          <w:p w14:paraId="096256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163830</wp:posOffset>
                  </wp:positionH>
                  <wp:positionV relativeFrom="paragraph">
                    <wp:posOffset>57150</wp:posOffset>
                  </wp:positionV>
                  <wp:extent cx="492760" cy="701040"/>
                  <wp:effectExtent l="0" t="0" r="2540" b="3810"/>
                  <wp:wrapNone/>
                  <wp:docPr id="245" name="图片_60_SpCnt_2"/>
                  <wp:cNvGraphicFramePr/>
                  <a:graphic xmlns:a="http://schemas.openxmlformats.org/drawingml/2006/main">
                    <a:graphicData uri="http://schemas.openxmlformats.org/drawingml/2006/picture">
                      <pic:pic xmlns:pic="http://schemas.openxmlformats.org/drawingml/2006/picture">
                        <pic:nvPicPr>
                          <pic:cNvPr id="245" name="图片_60_SpCnt_2"/>
                          <pic:cNvPicPr/>
                        </pic:nvPicPr>
                        <pic:blipFill>
                          <a:blip r:embed="rId60"/>
                          <a:stretch>
                            <a:fillRect/>
                          </a:stretch>
                        </pic:blipFill>
                        <pic:spPr>
                          <a:xfrm>
                            <a:off x="0" y="0"/>
                            <a:ext cx="492760" cy="701040"/>
                          </a:xfrm>
                          <a:prstGeom prst="rect">
                            <a:avLst/>
                          </a:prstGeom>
                          <a:noFill/>
                          <a:ln>
                            <a:noFill/>
                          </a:ln>
                        </pic:spPr>
                      </pic:pic>
                    </a:graphicData>
                  </a:graphic>
                </wp:anchor>
              </w:drawing>
            </w:r>
          </w:p>
        </w:tc>
      </w:tr>
      <w:tr w14:paraId="5A26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658" w:type="dxa"/>
            <w:shd w:val="clear" w:color="auto" w:fill="auto"/>
            <w:vAlign w:val="center"/>
          </w:tcPr>
          <w:p w14:paraId="7E0E53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536" w:type="dxa"/>
            <w:shd w:val="clear" w:color="auto" w:fill="auto"/>
            <w:vAlign w:val="center"/>
          </w:tcPr>
          <w:p w14:paraId="37DAB6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调料台</w:t>
            </w:r>
          </w:p>
        </w:tc>
        <w:tc>
          <w:tcPr>
            <w:tcW w:w="4964" w:type="dxa"/>
            <w:shd w:val="clear" w:color="auto" w:fill="auto"/>
            <w:vAlign w:val="center"/>
          </w:tcPr>
          <w:p w14:paraId="233EB6D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制作；台面δ≥1.2mm，实厚δ≥1.18mm，层板δ≥1.2mm，实厚δ≥1.18mm；脚采用φ38*38mm不锈钢加厚方管制作，实厚δ≥0.89mm；横通档采用25*38*1.0mm，实厚δ≥0.89mm；下衬12mm密度板减噪，配不锈钢加强筋、板δ=1.0mm，实厚δ≥0.89mm；外形与灶具同款设计，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规格：500*1150*800mm</w:t>
            </w:r>
          </w:p>
        </w:tc>
        <w:tc>
          <w:tcPr>
            <w:tcW w:w="558" w:type="dxa"/>
            <w:shd w:val="clear" w:color="auto" w:fill="auto"/>
            <w:vAlign w:val="center"/>
          </w:tcPr>
          <w:p w14:paraId="74E457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auto"/>
            <w:vAlign w:val="center"/>
          </w:tcPr>
          <w:p w14:paraId="1370B9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61232A7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28575</wp:posOffset>
                  </wp:positionH>
                  <wp:positionV relativeFrom="paragraph">
                    <wp:posOffset>74930</wp:posOffset>
                  </wp:positionV>
                  <wp:extent cx="817880" cy="796925"/>
                  <wp:effectExtent l="0" t="0" r="1270" b="3175"/>
                  <wp:wrapNone/>
                  <wp:docPr id="246" name="图片_47"/>
                  <wp:cNvGraphicFramePr/>
                  <a:graphic xmlns:a="http://schemas.openxmlformats.org/drawingml/2006/main">
                    <a:graphicData uri="http://schemas.openxmlformats.org/drawingml/2006/picture">
                      <pic:pic xmlns:pic="http://schemas.openxmlformats.org/drawingml/2006/picture">
                        <pic:nvPicPr>
                          <pic:cNvPr id="246" name="图片_47"/>
                          <pic:cNvPicPr/>
                        </pic:nvPicPr>
                        <pic:blipFill>
                          <a:blip r:embed="rId83"/>
                          <a:stretch>
                            <a:fillRect/>
                          </a:stretch>
                        </pic:blipFill>
                        <pic:spPr>
                          <a:xfrm>
                            <a:off x="0" y="0"/>
                            <a:ext cx="817880" cy="796925"/>
                          </a:xfrm>
                          <a:prstGeom prst="rect">
                            <a:avLst/>
                          </a:prstGeom>
                          <a:noFill/>
                          <a:ln>
                            <a:noFill/>
                          </a:ln>
                        </pic:spPr>
                      </pic:pic>
                    </a:graphicData>
                  </a:graphic>
                </wp:anchor>
              </w:drawing>
            </w:r>
          </w:p>
        </w:tc>
      </w:tr>
      <w:tr w14:paraId="2AF4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jc w:val="center"/>
        </w:trPr>
        <w:tc>
          <w:tcPr>
            <w:tcW w:w="658" w:type="dxa"/>
            <w:shd w:val="clear" w:color="auto" w:fill="auto"/>
            <w:vAlign w:val="center"/>
          </w:tcPr>
          <w:p w14:paraId="5CB53C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536" w:type="dxa"/>
            <w:shd w:val="clear" w:color="auto" w:fill="auto"/>
            <w:vAlign w:val="center"/>
          </w:tcPr>
          <w:p w14:paraId="57B8E5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洗地龙头</w:t>
            </w:r>
          </w:p>
        </w:tc>
        <w:tc>
          <w:tcPr>
            <w:tcW w:w="4964" w:type="dxa"/>
            <w:shd w:val="clear" w:color="auto" w:fill="auto"/>
            <w:vAlign w:val="center"/>
          </w:tcPr>
          <w:p w14:paraId="09860E9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说明：1、开放式洗地龙头、碳钢主体，表面环氧喷涂处理（黑色）                                         2、固定侧支架钢板厚度5mm，黄铜进水主体                                                        3、10.7米重工无痕三层液压钢丝管（黑色）、与主体接口为金属连接件不易损坏漏水，喉管耐温85度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4、黄铜铸造枪式喷头、前置扳机、配有橡胶保护套水压可调。（配置一把喷头）                                                                            5、进水接口为标准G1/2外螺纹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规格：管10米</w:t>
            </w:r>
          </w:p>
        </w:tc>
        <w:tc>
          <w:tcPr>
            <w:tcW w:w="558" w:type="dxa"/>
            <w:shd w:val="clear" w:color="auto" w:fill="auto"/>
            <w:vAlign w:val="center"/>
          </w:tcPr>
          <w:p w14:paraId="40A6A7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05FB7D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74AF01F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85725</wp:posOffset>
                  </wp:positionH>
                  <wp:positionV relativeFrom="paragraph">
                    <wp:posOffset>285750</wp:posOffset>
                  </wp:positionV>
                  <wp:extent cx="746760" cy="654685"/>
                  <wp:effectExtent l="0" t="0" r="15240" b="12065"/>
                  <wp:wrapNone/>
                  <wp:docPr id="247" name="图片_35_SpCnt_3"/>
                  <wp:cNvGraphicFramePr/>
                  <a:graphic xmlns:a="http://schemas.openxmlformats.org/drawingml/2006/main">
                    <a:graphicData uri="http://schemas.openxmlformats.org/drawingml/2006/picture">
                      <pic:pic xmlns:pic="http://schemas.openxmlformats.org/drawingml/2006/picture">
                        <pic:nvPicPr>
                          <pic:cNvPr id="247" name="图片_35_SpCnt_3"/>
                          <pic:cNvPicPr/>
                        </pic:nvPicPr>
                        <pic:blipFill>
                          <a:blip r:embed="rId84"/>
                          <a:stretch>
                            <a:fillRect/>
                          </a:stretch>
                        </pic:blipFill>
                        <pic:spPr>
                          <a:xfrm>
                            <a:off x="0" y="0"/>
                            <a:ext cx="746760" cy="654685"/>
                          </a:xfrm>
                          <a:prstGeom prst="rect">
                            <a:avLst/>
                          </a:prstGeom>
                          <a:noFill/>
                          <a:ln>
                            <a:noFill/>
                          </a:ln>
                        </pic:spPr>
                      </pic:pic>
                    </a:graphicData>
                  </a:graphic>
                </wp:anchor>
              </w:drawing>
            </w:r>
          </w:p>
        </w:tc>
      </w:tr>
      <w:tr w14:paraId="0CC3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jc w:val="center"/>
        </w:trPr>
        <w:tc>
          <w:tcPr>
            <w:tcW w:w="658" w:type="dxa"/>
            <w:shd w:val="clear" w:color="auto" w:fill="auto"/>
            <w:vAlign w:val="center"/>
          </w:tcPr>
          <w:p w14:paraId="768DAC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536" w:type="dxa"/>
            <w:shd w:val="clear" w:color="auto" w:fill="auto"/>
            <w:vAlign w:val="center"/>
          </w:tcPr>
          <w:p w14:paraId="588E42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四门冰箱</w:t>
            </w:r>
          </w:p>
        </w:tc>
        <w:tc>
          <w:tcPr>
            <w:tcW w:w="4964" w:type="dxa"/>
            <w:shd w:val="clear" w:color="auto" w:fill="auto"/>
            <w:vAlign w:val="center"/>
          </w:tcPr>
          <w:p w14:paraId="24CBF2AD">
            <w:pPr>
              <w:keepNext w:val="0"/>
              <w:keepLines w:val="0"/>
              <w:widowControl/>
              <w:suppressLineNumbers w:val="0"/>
              <w:jc w:val="left"/>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1、制冷方式：风冷，温度：-5℃~-22℃，有效容量≥790L，额定电压及频率：220V~50HZ，额定功率≤660W；尺寸：1200*750*1970mm</w:t>
            </w:r>
          </w:p>
          <w:p w14:paraId="53D1D9A9">
            <w:pPr>
              <w:keepNext w:val="0"/>
              <w:keepLines w:val="0"/>
              <w:widowControl/>
              <w:suppressLineNumbers w:val="0"/>
              <w:jc w:val="left"/>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2、箱体内外均采用食品级不锈钢，箱体整体发泡，中梁配加热丝，可拆卸门封条，自动回归门设计；纯铜蒸发器，纯铜冷凝器，在最高42℃的极端环境温度下也能正常制冷；</w:t>
            </w:r>
          </w:p>
          <w:p w14:paraId="4C22DF16">
            <w:pPr>
              <w:keepNext w:val="0"/>
              <w:keepLines w:val="0"/>
              <w:widowControl/>
              <w:suppressLineNumbers w:val="0"/>
              <w:jc w:val="left"/>
              <w:textAlignment w:val="auto"/>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3、配置离子食物保鲜系统，通过释放活氧抑制细菌生长，通过释放负离子延缓食物氧化，延长食物保鲜时间；</w:t>
            </w:r>
          </w:p>
        </w:tc>
        <w:tc>
          <w:tcPr>
            <w:tcW w:w="558" w:type="dxa"/>
            <w:shd w:val="clear" w:color="auto" w:fill="auto"/>
            <w:vAlign w:val="center"/>
          </w:tcPr>
          <w:p w14:paraId="49DE1A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auto"/>
            <w:vAlign w:val="center"/>
          </w:tcPr>
          <w:p w14:paraId="201E12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2D76A7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161925</wp:posOffset>
                  </wp:positionH>
                  <wp:positionV relativeFrom="paragraph">
                    <wp:posOffset>161925</wp:posOffset>
                  </wp:positionV>
                  <wp:extent cx="591820" cy="1105535"/>
                  <wp:effectExtent l="0" t="0" r="17780" b="18415"/>
                  <wp:wrapNone/>
                  <wp:docPr id="248" name="图片_69"/>
                  <wp:cNvGraphicFramePr/>
                  <a:graphic xmlns:a="http://schemas.openxmlformats.org/drawingml/2006/main">
                    <a:graphicData uri="http://schemas.openxmlformats.org/drawingml/2006/picture">
                      <pic:pic xmlns:pic="http://schemas.openxmlformats.org/drawingml/2006/picture">
                        <pic:nvPicPr>
                          <pic:cNvPr id="248" name="图片_69"/>
                          <pic:cNvPicPr/>
                        </pic:nvPicPr>
                        <pic:blipFill>
                          <a:blip r:embed="rId85"/>
                          <a:stretch>
                            <a:fillRect/>
                          </a:stretch>
                        </pic:blipFill>
                        <pic:spPr>
                          <a:xfrm>
                            <a:off x="0" y="0"/>
                            <a:ext cx="591820" cy="1105535"/>
                          </a:xfrm>
                          <a:prstGeom prst="rect">
                            <a:avLst/>
                          </a:prstGeom>
                          <a:noFill/>
                          <a:ln>
                            <a:noFill/>
                          </a:ln>
                        </pic:spPr>
                      </pic:pic>
                    </a:graphicData>
                  </a:graphic>
                </wp:anchor>
              </w:drawing>
            </w:r>
          </w:p>
        </w:tc>
      </w:tr>
      <w:tr w14:paraId="25D5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658" w:type="dxa"/>
            <w:shd w:val="clear" w:color="auto" w:fill="auto"/>
            <w:vAlign w:val="center"/>
          </w:tcPr>
          <w:p w14:paraId="6C305B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536" w:type="dxa"/>
            <w:shd w:val="clear" w:color="auto" w:fill="auto"/>
            <w:vAlign w:val="center"/>
          </w:tcPr>
          <w:p w14:paraId="033184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四门冰箱</w:t>
            </w:r>
          </w:p>
        </w:tc>
        <w:tc>
          <w:tcPr>
            <w:tcW w:w="4964" w:type="dxa"/>
            <w:shd w:val="clear" w:color="auto" w:fill="auto"/>
            <w:vAlign w:val="center"/>
          </w:tcPr>
          <w:p w14:paraId="255A9BF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1、制冷方式：风冷，温度：-</w:t>
            </w: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w:t>
            </w:r>
            <w:r>
              <w:rPr>
                <w:rFonts w:hint="eastAsia" w:ascii="宋体" w:hAnsi="宋体" w:cs="宋体"/>
                <w:i w:val="0"/>
                <w:iCs w:val="0"/>
                <w:color w:val="auto"/>
                <w:kern w:val="0"/>
                <w:sz w:val="22"/>
                <w:szCs w:val="22"/>
                <w:highlight w:val="none"/>
                <w:u w:val="none"/>
                <w:lang w:val="en-US" w:eastAsia="zh-CN" w:bidi="ar"/>
              </w:rPr>
              <w:t>8</w:t>
            </w:r>
            <w:r>
              <w:rPr>
                <w:rFonts w:hint="eastAsia" w:ascii="宋体" w:hAnsi="宋体" w:eastAsia="宋体" w:cs="宋体"/>
                <w:i w:val="0"/>
                <w:iCs w:val="0"/>
                <w:color w:val="auto"/>
                <w:kern w:val="0"/>
                <w:sz w:val="22"/>
                <w:szCs w:val="22"/>
                <w:highlight w:val="none"/>
                <w:u w:val="none"/>
                <w:lang w:val="en-US" w:eastAsia="zh-CN" w:bidi="ar"/>
              </w:rPr>
              <w:t>℃，有效容量≥790L，额定电压及频率：220V~50HZ，额定功率≤660W；尺寸：1200*750*1970mm</w:t>
            </w:r>
          </w:p>
          <w:p w14:paraId="08AA3BA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2、箱体内外均采用食品级不锈钢，箱体整体发泡，中梁配加热丝，可拆卸门封条，自动回归门设计；纯铜蒸发器，纯铜冷凝器，在最高42℃的极端环境温度下也能正常制冷；</w:t>
            </w:r>
          </w:p>
          <w:p w14:paraId="3C06250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3、配置离子食物保鲜系统，通过释放活氧抑制细菌生长，通过释放负离子延缓食物氧化，延长食物保鲜时间；</w:t>
            </w:r>
          </w:p>
        </w:tc>
        <w:tc>
          <w:tcPr>
            <w:tcW w:w="558" w:type="dxa"/>
            <w:shd w:val="clear" w:color="auto" w:fill="auto"/>
            <w:vAlign w:val="center"/>
          </w:tcPr>
          <w:p w14:paraId="6F1EC4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6842A3C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10E06F2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118110</wp:posOffset>
                  </wp:positionH>
                  <wp:positionV relativeFrom="paragraph">
                    <wp:posOffset>13335</wp:posOffset>
                  </wp:positionV>
                  <wp:extent cx="707390" cy="1232535"/>
                  <wp:effectExtent l="0" t="0" r="16510" b="5715"/>
                  <wp:wrapNone/>
                  <wp:docPr id="249" name="图片_69_SpCnt_1"/>
                  <wp:cNvGraphicFramePr/>
                  <a:graphic xmlns:a="http://schemas.openxmlformats.org/drawingml/2006/main">
                    <a:graphicData uri="http://schemas.openxmlformats.org/drawingml/2006/picture">
                      <pic:pic xmlns:pic="http://schemas.openxmlformats.org/drawingml/2006/picture">
                        <pic:nvPicPr>
                          <pic:cNvPr id="249" name="图片_69_SpCnt_1"/>
                          <pic:cNvPicPr/>
                        </pic:nvPicPr>
                        <pic:blipFill>
                          <a:blip r:embed="rId85"/>
                          <a:stretch>
                            <a:fillRect/>
                          </a:stretch>
                        </pic:blipFill>
                        <pic:spPr>
                          <a:xfrm>
                            <a:off x="0" y="0"/>
                            <a:ext cx="707390" cy="1232535"/>
                          </a:xfrm>
                          <a:prstGeom prst="rect">
                            <a:avLst/>
                          </a:prstGeom>
                          <a:noFill/>
                          <a:ln>
                            <a:noFill/>
                          </a:ln>
                        </pic:spPr>
                      </pic:pic>
                    </a:graphicData>
                  </a:graphic>
                </wp:anchor>
              </w:drawing>
            </w:r>
          </w:p>
        </w:tc>
      </w:tr>
      <w:tr w14:paraId="5377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658" w:type="dxa"/>
            <w:shd w:val="clear" w:color="auto" w:fill="auto"/>
            <w:vAlign w:val="center"/>
          </w:tcPr>
          <w:p w14:paraId="12916C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536" w:type="dxa"/>
            <w:shd w:val="clear" w:color="auto" w:fill="auto"/>
            <w:vAlign w:val="center"/>
          </w:tcPr>
          <w:p w14:paraId="02E9AE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双通保温出菜柜</w:t>
            </w:r>
          </w:p>
        </w:tc>
        <w:tc>
          <w:tcPr>
            <w:tcW w:w="4964" w:type="dxa"/>
            <w:shd w:val="clear" w:color="auto" w:fill="auto"/>
            <w:vAlign w:val="center"/>
          </w:tcPr>
          <w:p w14:paraId="1B6857F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全封闭完全隔热的客会餐车，专为储存和运输各种预先煮熟的食物而设计。内置把手，方便移动，不锈钢结构，便于清洁。层架设置防托盘倾斜滑动，内置风扇，温度立体循环流动，温度均匀，预热快，出风口设置加水区域，保持柜体内温度和湿度均衡稳定使食物始终保持刚出锅时的新鲜口感，4CM厚隔热层，有效隔绝外界温度干扰，节能高效，两侧的推/拉手柄，便于操作。一体式焊接底座与保险杠，坚固耐用，支持重负荷工作，高承重型15.5cm带锁万向脚轮，使于移动和定点工作。开/关电源开关，可调恒温器和热指示灯。在10°C-80°C温度范围内提供均匀的温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规格：730*900*1880mm</w:t>
            </w:r>
          </w:p>
        </w:tc>
        <w:tc>
          <w:tcPr>
            <w:tcW w:w="558" w:type="dxa"/>
            <w:shd w:val="clear" w:color="auto" w:fill="auto"/>
            <w:vAlign w:val="center"/>
          </w:tcPr>
          <w:p w14:paraId="293454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56E153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vAlign w:val="center"/>
          </w:tcPr>
          <w:p w14:paraId="3ED58A7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104775</wp:posOffset>
                  </wp:positionH>
                  <wp:positionV relativeFrom="paragraph">
                    <wp:posOffset>228600</wp:posOffset>
                  </wp:positionV>
                  <wp:extent cx="692785" cy="788035"/>
                  <wp:effectExtent l="0" t="0" r="12065" b="12065"/>
                  <wp:wrapNone/>
                  <wp:docPr id="250" name="图片_66"/>
                  <wp:cNvGraphicFramePr/>
                  <a:graphic xmlns:a="http://schemas.openxmlformats.org/drawingml/2006/main">
                    <a:graphicData uri="http://schemas.openxmlformats.org/drawingml/2006/picture">
                      <pic:pic xmlns:pic="http://schemas.openxmlformats.org/drawingml/2006/picture">
                        <pic:nvPicPr>
                          <pic:cNvPr id="250" name="图片_66"/>
                          <pic:cNvPicPr/>
                        </pic:nvPicPr>
                        <pic:blipFill>
                          <a:blip r:embed="rId86"/>
                          <a:stretch>
                            <a:fillRect/>
                          </a:stretch>
                        </pic:blipFill>
                        <pic:spPr>
                          <a:xfrm>
                            <a:off x="0" y="0"/>
                            <a:ext cx="692785" cy="788035"/>
                          </a:xfrm>
                          <a:prstGeom prst="rect">
                            <a:avLst/>
                          </a:prstGeom>
                          <a:noFill/>
                          <a:ln>
                            <a:noFill/>
                          </a:ln>
                        </pic:spPr>
                      </pic:pic>
                    </a:graphicData>
                  </a:graphic>
                </wp:anchor>
              </w:drawing>
            </w:r>
          </w:p>
        </w:tc>
      </w:tr>
      <w:tr w14:paraId="59EB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658" w:type="dxa"/>
            <w:shd w:val="clear" w:color="auto" w:fill="auto"/>
            <w:vAlign w:val="center"/>
          </w:tcPr>
          <w:p w14:paraId="21AE04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536" w:type="dxa"/>
            <w:shd w:val="clear" w:color="auto" w:fill="auto"/>
            <w:vAlign w:val="center"/>
          </w:tcPr>
          <w:p w14:paraId="0C2E64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电磁炉专用高压锅</w:t>
            </w:r>
          </w:p>
        </w:tc>
        <w:tc>
          <w:tcPr>
            <w:tcW w:w="4964" w:type="dxa"/>
            <w:shd w:val="clear" w:color="auto" w:fill="auto"/>
            <w:vAlign w:val="center"/>
          </w:tcPr>
          <w:p w14:paraId="51F5F4A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说明：高压防爆设计，360度三维加热，上下受热均匀，无需翻锅。</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规格：50L</w:t>
            </w:r>
          </w:p>
        </w:tc>
        <w:tc>
          <w:tcPr>
            <w:tcW w:w="558" w:type="dxa"/>
            <w:shd w:val="clear" w:color="auto" w:fill="auto"/>
            <w:vAlign w:val="center"/>
          </w:tcPr>
          <w:p w14:paraId="7CB68C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58A4008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1571" w:type="dxa"/>
            <w:shd w:val="clear" w:color="auto" w:fill="auto"/>
            <w:noWrap/>
            <w:vAlign w:val="center"/>
          </w:tcPr>
          <w:p w14:paraId="44C95A5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106045</wp:posOffset>
                  </wp:positionH>
                  <wp:positionV relativeFrom="paragraph">
                    <wp:posOffset>32385</wp:posOffset>
                  </wp:positionV>
                  <wp:extent cx="627380" cy="781050"/>
                  <wp:effectExtent l="0" t="0" r="1270" b="0"/>
                  <wp:wrapNone/>
                  <wp:docPr id="251" name="图片_155"/>
                  <wp:cNvGraphicFramePr/>
                  <a:graphic xmlns:a="http://schemas.openxmlformats.org/drawingml/2006/main">
                    <a:graphicData uri="http://schemas.openxmlformats.org/drawingml/2006/picture">
                      <pic:pic xmlns:pic="http://schemas.openxmlformats.org/drawingml/2006/picture">
                        <pic:nvPicPr>
                          <pic:cNvPr id="251" name="图片_155"/>
                          <pic:cNvPicPr/>
                        </pic:nvPicPr>
                        <pic:blipFill>
                          <a:blip r:embed="rId87"/>
                          <a:stretch>
                            <a:fillRect/>
                          </a:stretch>
                        </pic:blipFill>
                        <pic:spPr>
                          <a:xfrm>
                            <a:off x="0" y="0"/>
                            <a:ext cx="627380" cy="781050"/>
                          </a:xfrm>
                          <a:prstGeom prst="rect">
                            <a:avLst/>
                          </a:prstGeom>
                          <a:noFill/>
                          <a:ln>
                            <a:noFill/>
                          </a:ln>
                        </pic:spPr>
                      </pic:pic>
                    </a:graphicData>
                  </a:graphic>
                </wp:anchor>
              </w:drawing>
            </w:r>
          </w:p>
        </w:tc>
      </w:tr>
      <w:tr w14:paraId="6CD0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jc w:val="center"/>
        </w:trPr>
        <w:tc>
          <w:tcPr>
            <w:tcW w:w="2194" w:type="dxa"/>
            <w:gridSpan w:val="2"/>
            <w:shd w:val="clear" w:color="auto" w:fill="auto"/>
            <w:vAlign w:val="center"/>
          </w:tcPr>
          <w:p w14:paraId="75D443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w:t>
            </w:r>
          </w:p>
        </w:tc>
        <w:tc>
          <w:tcPr>
            <w:tcW w:w="4964" w:type="dxa"/>
            <w:shd w:val="clear" w:color="auto" w:fill="auto"/>
            <w:vAlign w:val="center"/>
          </w:tcPr>
          <w:p w14:paraId="73203493">
            <w:pPr>
              <w:jc w:val="left"/>
              <w:rPr>
                <w:rFonts w:hint="eastAsia" w:ascii="宋体" w:hAnsi="宋体" w:eastAsia="宋体" w:cs="宋体"/>
                <w:i w:val="0"/>
                <w:iCs w:val="0"/>
                <w:color w:val="auto"/>
                <w:sz w:val="22"/>
                <w:szCs w:val="22"/>
                <w:highlight w:val="none"/>
                <w:u w:val="none"/>
              </w:rPr>
            </w:pPr>
          </w:p>
        </w:tc>
        <w:tc>
          <w:tcPr>
            <w:tcW w:w="558" w:type="dxa"/>
            <w:shd w:val="clear" w:color="auto" w:fill="auto"/>
            <w:vAlign w:val="center"/>
          </w:tcPr>
          <w:p w14:paraId="1339F4D4">
            <w:pPr>
              <w:jc w:val="center"/>
              <w:rPr>
                <w:rFonts w:hint="eastAsia" w:ascii="宋体" w:hAnsi="宋体" w:eastAsia="宋体" w:cs="宋体"/>
                <w:i w:val="0"/>
                <w:iCs w:val="0"/>
                <w:color w:val="auto"/>
                <w:sz w:val="22"/>
                <w:szCs w:val="22"/>
                <w:highlight w:val="none"/>
                <w:u w:val="none"/>
              </w:rPr>
            </w:pPr>
          </w:p>
        </w:tc>
        <w:tc>
          <w:tcPr>
            <w:tcW w:w="756" w:type="dxa"/>
            <w:shd w:val="clear" w:color="auto" w:fill="auto"/>
            <w:vAlign w:val="center"/>
          </w:tcPr>
          <w:p w14:paraId="44AA30E9">
            <w:pPr>
              <w:jc w:val="center"/>
              <w:rPr>
                <w:rFonts w:hint="eastAsia" w:ascii="宋体" w:hAnsi="宋体" w:eastAsia="宋体" w:cs="宋体"/>
                <w:i w:val="0"/>
                <w:iCs w:val="0"/>
                <w:color w:val="auto"/>
                <w:sz w:val="18"/>
                <w:szCs w:val="18"/>
                <w:highlight w:val="none"/>
                <w:u w:val="none"/>
              </w:rPr>
            </w:pPr>
          </w:p>
        </w:tc>
        <w:tc>
          <w:tcPr>
            <w:tcW w:w="1571" w:type="dxa"/>
            <w:shd w:val="clear" w:color="auto" w:fill="auto"/>
            <w:vAlign w:val="center"/>
          </w:tcPr>
          <w:p w14:paraId="03DC5BDA">
            <w:pPr>
              <w:rPr>
                <w:rFonts w:hint="eastAsia" w:ascii="宋体" w:hAnsi="宋体" w:eastAsia="宋体" w:cs="宋体"/>
                <w:i w:val="0"/>
                <w:iCs w:val="0"/>
                <w:color w:val="auto"/>
                <w:sz w:val="22"/>
                <w:szCs w:val="22"/>
                <w:highlight w:val="none"/>
                <w:u w:val="none"/>
              </w:rPr>
            </w:pPr>
          </w:p>
        </w:tc>
      </w:tr>
      <w:tr w14:paraId="2C52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58" w:type="dxa"/>
            <w:shd w:val="clear" w:color="auto" w:fill="auto"/>
            <w:vAlign w:val="center"/>
          </w:tcPr>
          <w:p w14:paraId="73E87D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4E0AD3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平板车</w:t>
            </w:r>
          </w:p>
        </w:tc>
        <w:tc>
          <w:tcPr>
            <w:tcW w:w="4964" w:type="dxa"/>
            <w:shd w:val="clear" w:color="auto" w:fill="auto"/>
            <w:vAlign w:val="center"/>
          </w:tcPr>
          <w:p w14:paraId="749B0D2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说明：采用SUS304-2B优质不锈钢板制造，δ=1.2mm。万向脚轮，其中两个带刹车掣。</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规格：450*800*900mm</w:t>
            </w:r>
          </w:p>
        </w:tc>
        <w:tc>
          <w:tcPr>
            <w:tcW w:w="558" w:type="dxa"/>
            <w:shd w:val="clear" w:color="auto" w:fill="auto"/>
            <w:vAlign w:val="center"/>
          </w:tcPr>
          <w:p w14:paraId="220797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56" w:type="dxa"/>
            <w:shd w:val="clear" w:color="auto" w:fill="auto"/>
            <w:vAlign w:val="center"/>
          </w:tcPr>
          <w:p w14:paraId="34907D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辆</w:t>
            </w:r>
          </w:p>
        </w:tc>
        <w:tc>
          <w:tcPr>
            <w:tcW w:w="1571" w:type="dxa"/>
            <w:shd w:val="clear" w:color="auto" w:fill="auto"/>
            <w:vAlign w:val="center"/>
          </w:tcPr>
          <w:p w14:paraId="0C2828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219075</wp:posOffset>
                  </wp:positionH>
                  <wp:positionV relativeFrom="paragraph">
                    <wp:posOffset>50800</wp:posOffset>
                  </wp:positionV>
                  <wp:extent cx="349885" cy="521970"/>
                  <wp:effectExtent l="0" t="0" r="12065" b="11430"/>
                  <wp:wrapNone/>
                  <wp:docPr id="252" name="图片_28"/>
                  <wp:cNvGraphicFramePr/>
                  <a:graphic xmlns:a="http://schemas.openxmlformats.org/drawingml/2006/main">
                    <a:graphicData uri="http://schemas.openxmlformats.org/drawingml/2006/picture">
                      <pic:pic xmlns:pic="http://schemas.openxmlformats.org/drawingml/2006/picture">
                        <pic:nvPicPr>
                          <pic:cNvPr id="252" name="图片_28"/>
                          <pic:cNvPicPr/>
                        </pic:nvPicPr>
                        <pic:blipFill>
                          <a:blip r:embed="rId88"/>
                          <a:stretch>
                            <a:fillRect/>
                          </a:stretch>
                        </pic:blipFill>
                        <pic:spPr>
                          <a:xfrm>
                            <a:off x="0" y="0"/>
                            <a:ext cx="349885" cy="521970"/>
                          </a:xfrm>
                          <a:prstGeom prst="rect">
                            <a:avLst/>
                          </a:prstGeom>
                          <a:noFill/>
                          <a:ln>
                            <a:noFill/>
                          </a:ln>
                        </pic:spPr>
                      </pic:pic>
                    </a:graphicData>
                  </a:graphic>
                </wp:anchor>
              </w:drawing>
            </w:r>
          </w:p>
        </w:tc>
      </w:tr>
      <w:tr w14:paraId="262E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0" w:hRule="atLeast"/>
          <w:jc w:val="center"/>
        </w:trPr>
        <w:tc>
          <w:tcPr>
            <w:tcW w:w="658" w:type="dxa"/>
            <w:shd w:val="clear" w:color="auto" w:fill="auto"/>
            <w:vAlign w:val="center"/>
          </w:tcPr>
          <w:p w14:paraId="1A08AC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4290FF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回收车</w:t>
            </w:r>
          </w:p>
        </w:tc>
        <w:tc>
          <w:tcPr>
            <w:tcW w:w="4964" w:type="dxa"/>
            <w:shd w:val="clear" w:color="auto" w:fill="auto"/>
            <w:vAlign w:val="center"/>
          </w:tcPr>
          <w:p w14:paraId="357D90F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说明：采用SUS304-2B优质不锈钢板制造，δ=1.2mm。万向脚轮，其中两个带刹车掣。</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规格：450*800*900mm</w:t>
            </w:r>
          </w:p>
        </w:tc>
        <w:tc>
          <w:tcPr>
            <w:tcW w:w="558" w:type="dxa"/>
            <w:shd w:val="clear" w:color="auto" w:fill="auto"/>
            <w:vAlign w:val="center"/>
          </w:tcPr>
          <w:p w14:paraId="0D5E84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56" w:type="dxa"/>
            <w:shd w:val="clear" w:color="auto" w:fill="auto"/>
            <w:vAlign w:val="center"/>
          </w:tcPr>
          <w:p w14:paraId="4EE4E4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辆</w:t>
            </w:r>
          </w:p>
        </w:tc>
        <w:tc>
          <w:tcPr>
            <w:tcW w:w="1571" w:type="dxa"/>
            <w:shd w:val="clear" w:color="auto" w:fill="auto"/>
            <w:vAlign w:val="center"/>
          </w:tcPr>
          <w:p w14:paraId="7D74DEA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116205</wp:posOffset>
                  </wp:positionH>
                  <wp:positionV relativeFrom="paragraph">
                    <wp:posOffset>0</wp:posOffset>
                  </wp:positionV>
                  <wp:extent cx="654685" cy="775335"/>
                  <wp:effectExtent l="0" t="0" r="12065" b="5715"/>
                  <wp:wrapNone/>
                  <wp:docPr id="253" name="图片_27_SpCnt_1"/>
                  <wp:cNvGraphicFramePr/>
                  <a:graphic xmlns:a="http://schemas.openxmlformats.org/drawingml/2006/main">
                    <a:graphicData uri="http://schemas.openxmlformats.org/drawingml/2006/picture">
                      <pic:pic xmlns:pic="http://schemas.openxmlformats.org/drawingml/2006/picture">
                        <pic:nvPicPr>
                          <pic:cNvPr id="253" name="图片_27_SpCnt_1"/>
                          <pic:cNvPicPr/>
                        </pic:nvPicPr>
                        <pic:blipFill>
                          <a:blip r:embed="rId89"/>
                          <a:stretch>
                            <a:fillRect/>
                          </a:stretch>
                        </pic:blipFill>
                        <pic:spPr>
                          <a:xfrm>
                            <a:off x="0" y="0"/>
                            <a:ext cx="654685" cy="775335"/>
                          </a:xfrm>
                          <a:prstGeom prst="rect">
                            <a:avLst/>
                          </a:prstGeom>
                          <a:noFill/>
                          <a:ln>
                            <a:noFill/>
                          </a:ln>
                        </pic:spPr>
                      </pic:pic>
                    </a:graphicData>
                  </a:graphic>
                </wp:anchor>
              </w:drawing>
            </w:r>
          </w:p>
        </w:tc>
      </w:tr>
      <w:tr w14:paraId="5CA3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0" w:hRule="atLeast"/>
          <w:jc w:val="center"/>
        </w:trPr>
        <w:tc>
          <w:tcPr>
            <w:tcW w:w="658" w:type="dxa"/>
            <w:shd w:val="clear" w:color="auto" w:fill="auto"/>
            <w:vAlign w:val="center"/>
          </w:tcPr>
          <w:p w14:paraId="5BB061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6661AC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三层车</w:t>
            </w:r>
          </w:p>
        </w:tc>
        <w:tc>
          <w:tcPr>
            <w:tcW w:w="4964" w:type="dxa"/>
            <w:shd w:val="clear" w:color="auto" w:fill="auto"/>
            <w:vAlign w:val="center"/>
          </w:tcPr>
          <w:p w14:paraId="6AF3906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说明：采用SUS304-2B优质不锈钢板制造，δ=1.2mm。万向脚轮，其中两个带刹车掣。</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规格：450*800*900mm</w:t>
            </w:r>
          </w:p>
        </w:tc>
        <w:tc>
          <w:tcPr>
            <w:tcW w:w="558" w:type="dxa"/>
            <w:shd w:val="clear" w:color="auto" w:fill="auto"/>
            <w:vAlign w:val="center"/>
          </w:tcPr>
          <w:p w14:paraId="655960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56" w:type="dxa"/>
            <w:shd w:val="clear" w:color="auto" w:fill="auto"/>
            <w:vAlign w:val="center"/>
          </w:tcPr>
          <w:p w14:paraId="7380F2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辆</w:t>
            </w:r>
          </w:p>
        </w:tc>
        <w:tc>
          <w:tcPr>
            <w:tcW w:w="1571" w:type="dxa"/>
            <w:shd w:val="clear" w:color="auto" w:fill="auto"/>
            <w:vAlign w:val="center"/>
          </w:tcPr>
          <w:p w14:paraId="736F7D0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97155</wp:posOffset>
                  </wp:positionH>
                  <wp:positionV relativeFrom="paragraph">
                    <wp:posOffset>85090</wp:posOffset>
                  </wp:positionV>
                  <wp:extent cx="706755" cy="735965"/>
                  <wp:effectExtent l="0" t="0" r="17145" b="6985"/>
                  <wp:wrapNone/>
                  <wp:docPr id="254" name="图片_69_SpCnt_2"/>
                  <wp:cNvGraphicFramePr/>
                  <a:graphic xmlns:a="http://schemas.openxmlformats.org/drawingml/2006/main">
                    <a:graphicData uri="http://schemas.openxmlformats.org/drawingml/2006/picture">
                      <pic:pic xmlns:pic="http://schemas.openxmlformats.org/drawingml/2006/picture">
                        <pic:nvPicPr>
                          <pic:cNvPr id="254" name="图片_69_SpCnt_2"/>
                          <pic:cNvPicPr/>
                        </pic:nvPicPr>
                        <pic:blipFill>
                          <a:blip r:embed="rId90"/>
                          <a:stretch>
                            <a:fillRect/>
                          </a:stretch>
                        </pic:blipFill>
                        <pic:spPr>
                          <a:xfrm>
                            <a:off x="0" y="0"/>
                            <a:ext cx="706755" cy="735965"/>
                          </a:xfrm>
                          <a:prstGeom prst="rect">
                            <a:avLst/>
                          </a:prstGeom>
                          <a:noFill/>
                          <a:ln>
                            <a:noFill/>
                          </a:ln>
                        </pic:spPr>
                      </pic:pic>
                    </a:graphicData>
                  </a:graphic>
                </wp:anchor>
              </w:drawing>
            </w:r>
          </w:p>
        </w:tc>
      </w:tr>
      <w:tr w14:paraId="0C35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60" w:hRule="atLeast"/>
          <w:jc w:val="center"/>
        </w:trPr>
        <w:tc>
          <w:tcPr>
            <w:tcW w:w="658" w:type="dxa"/>
            <w:shd w:val="clear" w:color="auto" w:fill="auto"/>
            <w:vAlign w:val="center"/>
          </w:tcPr>
          <w:p w14:paraId="183B37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noWrap/>
            <w:vAlign w:val="center"/>
          </w:tcPr>
          <w:p w14:paraId="116620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拖把池</w:t>
            </w:r>
          </w:p>
        </w:tc>
        <w:tc>
          <w:tcPr>
            <w:tcW w:w="4964" w:type="dxa"/>
            <w:shd w:val="clear" w:color="auto" w:fill="auto"/>
            <w:vAlign w:val="center"/>
          </w:tcPr>
          <w:p w14:paraId="5ED76A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说明：采用SUS304-2B不锈钢板制造， 水槽厚度1.0mm,前面，侧面三面封板厚度1.0mm, 台脚管壁厚度1.2mm，配不锈钢落水器，拦渣斗，波纹下水管。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规格：1200*500*1800mm</w:t>
            </w:r>
          </w:p>
        </w:tc>
        <w:tc>
          <w:tcPr>
            <w:tcW w:w="558" w:type="dxa"/>
            <w:shd w:val="clear" w:color="auto" w:fill="auto"/>
            <w:vAlign w:val="center"/>
          </w:tcPr>
          <w:p w14:paraId="10855D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231B3D8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4477AD2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98425</wp:posOffset>
                  </wp:positionH>
                  <wp:positionV relativeFrom="paragraph">
                    <wp:posOffset>46990</wp:posOffset>
                  </wp:positionV>
                  <wp:extent cx="706755" cy="713740"/>
                  <wp:effectExtent l="0" t="0" r="17145" b="10160"/>
                  <wp:wrapNone/>
                  <wp:docPr id="255" name="图片_70"/>
                  <wp:cNvGraphicFramePr/>
                  <a:graphic xmlns:a="http://schemas.openxmlformats.org/drawingml/2006/main">
                    <a:graphicData uri="http://schemas.openxmlformats.org/drawingml/2006/picture">
                      <pic:pic xmlns:pic="http://schemas.openxmlformats.org/drawingml/2006/picture">
                        <pic:nvPicPr>
                          <pic:cNvPr id="255" name="图片_70"/>
                          <pic:cNvPicPr/>
                        </pic:nvPicPr>
                        <pic:blipFill>
                          <a:blip r:embed="rId91"/>
                          <a:stretch>
                            <a:fillRect/>
                          </a:stretch>
                        </pic:blipFill>
                        <pic:spPr>
                          <a:xfrm>
                            <a:off x="0" y="0"/>
                            <a:ext cx="706755" cy="713740"/>
                          </a:xfrm>
                          <a:prstGeom prst="rect">
                            <a:avLst/>
                          </a:prstGeom>
                          <a:noFill/>
                          <a:ln>
                            <a:noFill/>
                          </a:ln>
                        </pic:spPr>
                      </pic:pic>
                    </a:graphicData>
                  </a:graphic>
                </wp:anchor>
              </w:drawing>
            </w:r>
          </w:p>
        </w:tc>
      </w:tr>
      <w:tr w14:paraId="5751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 w:hRule="atLeast"/>
          <w:jc w:val="center"/>
        </w:trPr>
        <w:tc>
          <w:tcPr>
            <w:tcW w:w="658" w:type="dxa"/>
            <w:shd w:val="clear" w:color="auto" w:fill="auto"/>
            <w:vAlign w:val="center"/>
          </w:tcPr>
          <w:p w14:paraId="4EF120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noWrap/>
            <w:vAlign w:val="center"/>
          </w:tcPr>
          <w:p w14:paraId="61381F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开水器</w:t>
            </w:r>
          </w:p>
        </w:tc>
        <w:tc>
          <w:tcPr>
            <w:tcW w:w="4964" w:type="dxa"/>
            <w:shd w:val="clear" w:color="auto" w:fill="auto"/>
            <w:vAlign w:val="center"/>
          </w:tcPr>
          <w:p w14:paraId="5B5D8D8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说明：外壳采用304不锈钢制作，步进式逐层加热;360°立体高密度超厚阻燃保温层;3D”热桥阻断“保温技术微电脑集成中央控制器，液晶显示各种工作状态。防漏电、防干烧、防超温、防溢水、防蒸汽、防投毒、防火 阻燃;出现异常智能判断并自动报警停机。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功率：380V/9KW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容积：100L</w:t>
            </w:r>
            <w:r>
              <w:rPr>
                <w:rFonts w:hint="eastAsia" w:ascii="宋体" w:hAnsi="宋体" w:eastAsia="宋体" w:cs="宋体"/>
                <w:i w:val="0"/>
                <w:iCs w:val="0"/>
                <w:color w:val="auto"/>
                <w:kern w:val="0"/>
                <w:sz w:val="22"/>
                <w:szCs w:val="22"/>
                <w:highlight w:val="none"/>
                <w:u w:val="none"/>
                <w:lang w:val="en-US" w:eastAsia="zh-CN" w:bidi="ar"/>
              </w:rPr>
              <w:br w:type="textWrapping"/>
            </w:r>
          </w:p>
        </w:tc>
        <w:tc>
          <w:tcPr>
            <w:tcW w:w="558" w:type="dxa"/>
            <w:shd w:val="clear" w:color="auto" w:fill="auto"/>
            <w:vAlign w:val="center"/>
          </w:tcPr>
          <w:p w14:paraId="10F321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76AE1AB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79DA15C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142875</wp:posOffset>
                  </wp:positionH>
                  <wp:positionV relativeFrom="paragraph">
                    <wp:posOffset>225425</wp:posOffset>
                  </wp:positionV>
                  <wp:extent cx="662940" cy="762635"/>
                  <wp:effectExtent l="0" t="0" r="3810" b="18415"/>
                  <wp:wrapNone/>
                  <wp:docPr id="256" name="图片_71"/>
                  <wp:cNvGraphicFramePr/>
                  <a:graphic xmlns:a="http://schemas.openxmlformats.org/drawingml/2006/main">
                    <a:graphicData uri="http://schemas.openxmlformats.org/drawingml/2006/picture">
                      <pic:pic xmlns:pic="http://schemas.openxmlformats.org/drawingml/2006/picture">
                        <pic:nvPicPr>
                          <pic:cNvPr id="256" name="图片_71"/>
                          <pic:cNvPicPr/>
                        </pic:nvPicPr>
                        <pic:blipFill>
                          <a:blip r:embed="rId92"/>
                          <a:stretch>
                            <a:fillRect/>
                          </a:stretch>
                        </pic:blipFill>
                        <pic:spPr>
                          <a:xfrm>
                            <a:off x="0" y="0"/>
                            <a:ext cx="662940" cy="762635"/>
                          </a:xfrm>
                          <a:prstGeom prst="rect">
                            <a:avLst/>
                          </a:prstGeom>
                          <a:noFill/>
                          <a:ln>
                            <a:noFill/>
                          </a:ln>
                        </pic:spPr>
                      </pic:pic>
                    </a:graphicData>
                  </a:graphic>
                </wp:anchor>
              </w:drawing>
            </w:r>
          </w:p>
        </w:tc>
      </w:tr>
      <w:tr w14:paraId="5533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8472" w:type="dxa"/>
            <w:gridSpan w:val="5"/>
            <w:shd w:val="clear" w:color="auto" w:fill="auto"/>
            <w:noWrap/>
            <w:vAlign w:val="center"/>
          </w:tcPr>
          <w:p w14:paraId="6A8DD844">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金桥食府二楼厨房设备配置清单</w:t>
            </w:r>
          </w:p>
        </w:tc>
        <w:tc>
          <w:tcPr>
            <w:tcW w:w="1571" w:type="dxa"/>
            <w:shd w:val="clear" w:color="auto" w:fill="auto"/>
            <w:noWrap/>
            <w:vAlign w:val="center"/>
          </w:tcPr>
          <w:p w14:paraId="3703C718">
            <w:pPr>
              <w:rPr>
                <w:rFonts w:hint="eastAsia" w:ascii="宋体" w:hAnsi="宋体" w:eastAsia="宋体" w:cs="宋体"/>
                <w:i w:val="0"/>
                <w:iCs w:val="0"/>
                <w:color w:val="auto"/>
                <w:sz w:val="22"/>
                <w:szCs w:val="22"/>
                <w:highlight w:val="none"/>
                <w:u w:val="none"/>
              </w:rPr>
            </w:pPr>
          </w:p>
        </w:tc>
      </w:tr>
      <w:tr w14:paraId="2F03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jc w:val="center"/>
        </w:trPr>
        <w:tc>
          <w:tcPr>
            <w:tcW w:w="658" w:type="dxa"/>
            <w:shd w:val="clear" w:color="auto" w:fill="auto"/>
            <w:noWrap/>
            <w:vAlign w:val="center"/>
          </w:tcPr>
          <w:p w14:paraId="551CB40D">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编号</w:t>
            </w:r>
          </w:p>
        </w:tc>
        <w:tc>
          <w:tcPr>
            <w:tcW w:w="1536" w:type="dxa"/>
            <w:shd w:val="clear" w:color="auto" w:fill="auto"/>
            <w:noWrap/>
            <w:vAlign w:val="center"/>
          </w:tcPr>
          <w:p w14:paraId="5F78F63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设备名称</w:t>
            </w:r>
          </w:p>
        </w:tc>
        <w:tc>
          <w:tcPr>
            <w:tcW w:w="4964" w:type="dxa"/>
            <w:shd w:val="clear" w:color="auto" w:fill="auto"/>
            <w:noWrap/>
            <w:vAlign w:val="center"/>
          </w:tcPr>
          <w:p w14:paraId="6039E92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技术说明参数规格</w:t>
            </w:r>
          </w:p>
        </w:tc>
        <w:tc>
          <w:tcPr>
            <w:tcW w:w="558" w:type="dxa"/>
            <w:shd w:val="clear" w:color="auto" w:fill="auto"/>
            <w:noWrap/>
            <w:vAlign w:val="center"/>
          </w:tcPr>
          <w:p w14:paraId="6483FBC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756" w:type="dxa"/>
            <w:shd w:val="clear" w:color="auto" w:fill="auto"/>
            <w:noWrap/>
            <w:vAlign w:val="center"/>
          </w:tcPr>
          <w:p w14:paraId="3816393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571" w:type="dxa"/>
            <w:shd w:val="clear" w:color="auto" w:fill="auto"/>
            <w:noWrap/>
            <w:vAlign w:val="center"/>
          </w:tcPr>
          <w:p w14:paraId="05060C2A">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图片</w:t>
            </w:r>
          </w:p>
        </w:tc>
      </w:tr>
      <w:tr w14:paraId="023C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2194" w:type="dxa"/>
            <w:gridSpan w:val="2"/>
            <w:shd w:val="clear" w:color="auto" w:fill="auto"/>
            <w:noWrap/>
            <w:vAlign w:val="center"/>
          </w:tcPr>
          <w:p w14:paraId="5A42F167">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洗消间</w:t>
            </w:r>
          </w:p>
        </w:tc>
        <w:tc>
          <w:tcPr>
            <w:tcW w:w="4964" w:type="dxa"/>
            <w:shd w:val="clear" w:color="auto" w:fill="auto"/>
            <w:noWrap/>
            <w:vAlign w:val="center"/>
          </w:tcPr>
          <w:p w14:paraId="176A2CF7">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53F20003">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68422287">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07DEB63A">
            <w:pPr>
              <w:rPr>
                <w:rFonts w:hint="eastAsia" w:ascii="宋体" w:hAnsi="宋体" w:eastAsia="宋体" w:cs="宋体"/>
                <w:i w:val="0"/>
                <w:iCs w:val="0"/>
                <w:color w:val="auto"/>
                <w:sz w:val="22"/>
                <w:szCs w:val="22"/>
                <w:highlight w:val="none"/>
                <w:u w:val="none"/>
              </w:rPr>
            </w:pPr>
          </w:p>
        </w:tc>
      </w:tr>
      <w:tr w14:paraId="1494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658" w:type="dxa"/>
            <w:shd w:val="clear" w:color="auto" w:fill="auto"/>
            <w:vAlign w:val="center"/>
          </w:tcPr>
          <w:p w14:paraId="419913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43BD4C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收餐柜</w:t>
            </w:r>
          </w:p>
        </w:tc>
        <w:tc>
          <w:tcPr>
            <w:tcW w:w="4964" w:type="dxa"/>
            <w:shd w:val="clear" w:color="auto" w:fill="auto"/>
            <w:vAlign w:val="center"/>
          </w:tcPr>
          <w:p w14:paraId="5D82551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开300*300mm方孔。围板δ≥1.0mm，实厚δ≥0.89mm，主管采用38*38*1.0mm不锈钢方管结构管焊接，配承重型不锈钢科顺脚轮四个(两定向两万向)。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规格：1500*700*800mm</w:t>
            </w:r>
          </w:p>
        </w:tc>
        <w:tc>
          <w:tcPr>
            <w:tcW w:w="558" w:type="dxa"/>
            <w:shd w:val="clear" w:color="auto" w:fill="auto"/>
            <w:vAlign w:val="center"/>
          </w:tcPr>
          <w:p w14:paraId="6233B9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540007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0A73C80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104775</wp:posOffset>
                  </wp:positionH>
                  <wp:positionV relativeFrom="paragraph">
                    <wp:posOffset>47625</wp:posOffset>
                  </wp:positionV>
                  <wp:extent cx="763270" cy="514350"/>
                  <wp:effectExtent l="0" t="0" r="17780" b="0"/>
                  <wp:wrapNone/>
                  <wp:docPr id="257" name="图片_76_SpCnt_3"/>
                  <wp:cNvGraphicFramePr/>
                  <a:graphic xmlns:a="http://schemas.openxmlformats.org/drawingml/2006/main">
                    <a:graphicData uri="http://schemas.openxmlformats.org/drawingml/2006/picture">
                      <pic:pic xmlns:pic="http://schemas.openxmlformats.org/drawingml/2006/picture">
                        <pic:nvPicPr>
                          <pic:cNvPr id="257" name="图片_76_SpCnt_3"/>
                          <pic:cNvPicPr/>
                        </pic:nvPicPr>
                        <pic:blipFill>
                          <a:blip r:embed="rId67"/>
                          <a:stretch>
                            <a:fillRect/>
                          </a:stretch>
                        </pic:blipFill>
                        <pic:spPr>
                          <a:xfrm>
                            <a:off x="0" y="0"/>
                            <a:ext cx="763270" cy="514350"/>
                          </a:xfrm>
                          <a:prstGeom prst="rect">
                            <a:avLst/>
                          </a:prstGeom>
                          <a:noFill/>
                          <a:ln>
                            <a:noFill/>
                          </a:ln>
                        </pic:spPr>
                      </pic:pic>
                    </a:graphicData>
                  </a:graphic>
                </wp:anchor>
              </w:drawing>
            </w:r>
          </w:p>
        </w:tc>
      </w:tr>
      <w:tr w14:paraId="61BA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jc w:val="center"/>
        </w:trPr>
        <w:tc>
          <w:tcPr>
            <w:tcW w:w="658" w:type="dxa"/>
            <w:shd w:val="clear" w:color="auto" w:fill="auto"/>
            <w:vAlign w:val="center"/>
          </w:tcPr>
          <w:p w14:paraId="1AA475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3433DE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1E3B0C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规格：双温</w:t>
            </w:r>
          </w:p>
        </w:tc>
        <w:tc>
          <w:tcPr>
            <w:tcW w:w="558" w:type="dxa"/>
            <w:shd w:val="clear" w:color="auto" w:fill="auto"/>
            <w:vAlign w:val="center"/>
          </w:tcPr>
          <w:p w14:paraId="074E5D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56" w:type="dxa"/>
            <w:shd w:val="clear" w:color="auto" w:fill="auto"/>
            <w:vAlign w:val="center"/>
          </w:tcPr>
          <w:p w14:paraId="7AFE0D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5088E32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152400</wp:posOffset>
                  </wp:positionH>
                  <wp:positionV relativeFrom="paragraph">
                    <wp:posOffset>31115</wp:posOffset>
                  </wp:positionV>
                  <wp:extent cx="605790" cy="360045"/>
                  <wp:effectExtent l="0" t="0" r="3810" b="1905"/>
                  <wp:wrapNone/>
                  <wp:docPr id="258" name="图片_79_SpCnt_4"/>
                  <wp:cNvGraphicFramePr/>
                  <a:graphic xmlns:a="http://schemas.openxmlformats.org/drawingml/2006/main">
                    <a:graphicData uri="http://schemas.openxmlformats.org/drawingml/2006/picture">
                      <pic:pic xmlns:pic="http://schemas.openxmlformats.org/drawingml/2006/picture">
                        <pic:nvPicPr>
                          <pic:cNvPr id="258" name="图片_79_SpCnt_4"/>
                          <pic:cNvPicPr/>
                        </pic:nvPicPr>
                        <pic:blipFill>
                          <a:blip r:embed="rId93"/>
                          <a:stretch>
                            <a:fillRect/>
                          </a:stretch>
                        </pic:blipFill>
                        <pic:spPr>
                          <a:xfrm>
                            <a:off x="0" y="0"/>
                            <a:ext cx="605790" cy="360045"/>
                          </a:xfrm>
                          <a:prstGeom prst="rect">
                            <a:avLst/>
                          </a:prstGeom>
                          <a:noFill/>
                          <a:ln>
                            <a:noFill/>
                          </a:ln>
                        </pic:spPr>
                      </pic:pic>
                    </a:graphicData>
                  </a:graphic>
                </wp:anchor>
              </w:drawing>
            </w:r>
          </w:p>
        </w:tc>
      </w:tr>
      <w:tr w14:paraId="0668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2767DF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485E52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收餐柜</w:t>
            </w:r>
          </w:p>
        </w:tc>
        <w:tc>
          <w:tcPr>
            <w:tcW w:w="4964" w:type="dxa"/>
            <w:shd w:val="clear" w:color="auto" w:fill="auto"/>
            <w:vAlign w:val="center"/>
          </w:tcPr>
          <w:p w14:paraId="3472927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开300*300mm方孔。围板δ≥1.0mm，实厚δ≥0.89mm，主管采用38*38*1.0mm不锈钢方管结构管焊接，配承重型不锈钢科顺脚轮四个(两定向两万向)。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规格：800*800*800mm</w:t>
            </w:r>
          </w:p>
        </w:tc>
        <w:tc>
          <w:tcPr>
            <w:tcW w:w="558" w:type="dxa"/>
            <w:shd w:val="clear" w:color="auto" w:fill="auto"/>
            <w:vAlign w:val="center"/>
          </w:tcPr>
          <w:p w14:paraId="511E13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5B0EDE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4CFA3E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66675</wp:posOffset>
                  </wp:positionH>
                  <wp:positionV relativeFrom="paragraph">
                    <wp:posOffset>66675</wp:posOffset>
                  </wp:positionV>
                  <wp:extent cx="667385" cy="523875"/>
                  <wp:effectExtent l="0" t="0" r="18415" b="9525"/>
                  <wp:wrapNone/>
                  <wp:docPr id="259" name="图片_76_SpCnt_4"/>
                  <wp:cNvGraphicFramePr/>
                  <a:graphic xmlns:a="http://schemas.openxmlformats.org/drawingml/2006/main">
                    <a:graphicData uri="http://schemas.openxmlformats.org/drawingml/2006/picture">
                      <pic:pic xmlns:pic="http://schemas.openxmlformats.org/drawingml/2006/picture">
                        <pic:nvPicPr>
                          <pic:cNvPr id="259" name="图片_76_SpCnt_4"/>
                          <pic:cNvPicPr/>
                        </pic:nvPicPr>
                        <pic:blipFill>
                          <a:blip r:embed="rId94"/>
                          <a:stretch>
                            <a:fillRect/>
                          </a:stretch>
                        </pic:blipFill>
                        <pic:spPr>
                          <a:xfrm>
                            <a:off x="0" y="0"/>
                            <a:ext cx="667385" cy="523875"/>
                          </a:xfrm>
                          <a:prstGeom prst="rect">
                            <a:avLst/>
                          </a:prstGeom>
                          <a:noFill/>
                          <a:ln>
                            <a:noFill/>
                          </a:ln>
                        </pic:spPr>
                      </pic:pic>
                    </a:graphicData>
                  </a:graphic>
                </wp:anchor>
              </w:drawing>
            </w:r>
          </w:p>
        </w:tc>
      </w:tr>
      <w:tr w14:paraId="649F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jc w:val="center"/>
        </w:trPr>
        <w:tc>
          <w:tcPr>
            <w:tcW w:w="658" w:type="dxa"/>
            <w:shd w:val="clear" w:color="auto" w:fill="auto"/>
            <w:vAlign w:val="center"/>
          </w:tcPr>
          <w:p w14:paraId="3E8E57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2D47B4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46C68F0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规格：双温</w:t>
            </w:r>
          </w:p>
        </w:tc>
        <w:tc>
          <w:tcPr>
            <w:tcW w:w="558" w:type="dxa"/>
            <w:shd w:val="clear" w:color="auto" w:fill="auto"/>
            <w:vAlign w:val="center"/>
          </w:tcPr>
          <w:p w14:paraId="43FF52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67240B5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21EADF4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66675</wp:posOffset>
                  </wp:positionH>
                  <wp:positionV relativeFrom="paragraph">
                    <wp:posOffset>48260</wp:posOffset>
                  </wp:positionV>
                  <wp:extent cx="648970" cy="447040"/>
                  <wp:effectExtent l="0" t="0" r="17780" b="10160"/>
                  <wp:wrapNone/>
                  <wp:docPr id="260" name="图片_79_SpCnt_5"/>
                  <wp:cNvGraphicFramePr/>
                  <a:graphic xmlns:a="http://schemas.openxmlformats.org/drawingml/2006/main">
                    <a:graphicData uri="http://schemas.openxmlformats.org/drawingml/2006/picture">
                      <pic:pic xmlns:pic="http://schemas.openxmlformats.org/drawingml/2006/picture">
                        <pic:nvPicPr>
                          <pic:cNvPr id="260" name="图片_79_SpCnt_5"/>
                          <pic:cNvPicPr/>
                        </pic:nvPicPr>
                        <pic:blipFill>
                          <a:blip r:embed="rId95"/>
                          <a:stretch>
                            <a:fillRect/>
                          </a:stretch>
                        </pic:blipFill>
                        <pic:spPr>
                          <a:xfrm>
                            <a:off x="0" y="0"/>
                            <a:ext cx="648970" cy="447040"/>
                          </a:xfrm>
                          <a:prstGeom prst="rect">
                            <a:avLst/>
                          </a:prstGeom>
                          <a:noFill/>
                          <a:ln>
                            <a:noFill/>
                          </a:ln>
                        </pic:spPr>
                      </pic:pic>
                    </a:graphicData>
                  </a:graphic>
                </wp:anchor>
              </w:drawing>
            </w:r>
          </w:p>
        </w:tc>
      </w:tr>
      <w:tr w14:paraId="55B3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58" w:type="dxa"/>
            <w:shd w:val="clear" w:color="auto" w:fill="auto"/>
            <w:vAlign w:val="center"/>
          </w:tcPr>
          <w:p w14:paraId="4F8A85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vAlign w:val="center"/>
          </w:tcPr>
          <w:p w14:paraId="38970C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单星盆水池</w:t>
            </w:r>
          </w:p>
        </w:tc>
        <w:tc>
          <w:tcPr>
            <w:tcW w:w="4964" w:type="dxa"/>
            <w:shd w:val="clear" w:color="auto" w:fill="auto"/>
            <w:vAlign w:val="center"/>
          </w:tcPr>
          <w:p w14:paraId="00B0078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规格：1000*750*800mm</w:t>
            </w:r>
          </w:p>
        </w:tc>
        <w:tc>
          <w:tcPr>
            <w:tcW w:w="558" w:type="dxa"/>
            <w:shd w:val="clear" w:color="auto" w:fill="auto"/>
            <w:vAlign w:val="center"/>
          </w:tcPr>
          <w:p w14:paraId="7A9515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4FE222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2AD65F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85725</wp:posOffset>
                  </wp:positionH>
                  <wp:positionV relativeFrom="paragraph">
                    <wp:posOffset>95250</wp:posOffset>
                  </wp:positionV>
                  <wp:extent cx="598805" cy="737870"/>
                  <wp:effectExtent l="0" t="0" r="10795" b="5080"/>
                  <wp:wrapNone/>
                  <wp:docPr id="261" name="图片_76_SpCnt_5"/>
                  <wp:cNvGraphicFramePr/>
                  <a:graphic xmlns:a="http://schemas.openxmlformats.org/drawingml/2006/main">
                    <a:graphicData uri="http://schemas.openxmlformats.org/drawingml/2006/picture">
                      <pic:pic xmlns:pic="http://schemas.openxmlformats.org/drawingml/2006/picture">
                        <pic:nvPicPr>
                          <pic:cNvPr id="261" name="图片_76_SpCnt_5"/>
                          <pic:cNvPicPr/>
                        </pic:nvPicPr>
                        <pic:blipFill>
                          <a:blip r:embed="rId22"/>
                          <a:stretch>
                            <a:fillRect/>
                          </a:stretch>
                        </pic:blipFill>
                        <pic:spPr>
                          <a:xfrm>
                            <a:off x="0" y="0"/>
                            <a:ext cx="598805" cy="737870"/>
                          </a:xfrm>
                          <a:prstGeom prst="rect">
                            <a:avLst/>
                          </a:prstGeom>
                          <a:noFill/>
                          <a:ln>
                            <a:noFill/>
                          </a:ln>
                        </pic:spPr>
                      </pic:pic>
                    </a:graphicData>
                  </a:graphic>
                </wp:anchor>
              </w:drawing>
            </w:r>
          </w:p>
        </w:tc>
      </w:tr>
      <w:tr w14:paraId="6FB6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65" w:hRule="atLeast"/>
          <w:jc w:val="center"/>
        </w:trPr>
        <w:tc>
          <w:tcPr>
            <w:tcW w:w="658" w:type="dxa"/>
            <w:shd w:val="clear" w:color="auto" w:fill="auto"/>
            <w:vAlign w:val="center"/>
          </w:tcPr>
          <w:p w14:paraId="72C606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36" w:type="dxa"/>
            <w:shd w:val="clear" w:color="auto" w:fill="auto"/>
            <w:vAlign w:val="center"/>
          </w:tcPr>
          <w:p w14:paraId="443452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微软雅黑" w:hAnsi="微软雅黑" w:eastAsia="微软雅黑" w:cs="微软雅黑"/>
                <w:b/>
                <w:bCs/>
                <w:i w:val="0"/>
                <w:iCs w:val="0"/>
                <w:color w:val="auto"/>
                <w:kern w:val="0"/>
                <w:sz w:val="22"/>
                <w:szCs w:val="22"/>
                <w:highlight w:val="none"/>
                <w:u w:val="none"/>
                <w:lang w:val="en-US" w:eastAsia="zh-CN" w:bidi="ar"/>
              </w:rPr>
              <w:t>★</w:t>
            </w:r>
            <w:r>
              <w:rPr>
                <w:rFonts w:hint="eastAsia" w:ascii="宋体" w:hAnsi="宋体" w:eastAsia="宋体" w:cs="宋体"/>
                <w:b/>
                <w:bCs/>
                <w:i w:val="0"/>
                <w:iCs w:val="0"/>
                <w:color w:val="auto"/>
                <w:kern w:val="0"/>
                <w:sz w:val="22"/>
                <w:szCs w:val="22"/>
                <w:highlight w:val="none"/>
                <w:u w:val="none"/>
                <w:lang w:val="en-US" w:eastAsia="zh-CN" w:bidi="ar"/>
              </w:rPr>
              <w:t>长龙洗碗机</w:t>
            </w:r>
            <w:r>
              <w:rPr>
                <w:rFonts w:hint="eastAsia" w:ascii="宋体" w:hAnsi="宋体" w:cs="宋体"/>
                <w:b/>
                <w:bCs/>
                <w:i w:val="0"/>
                <w:iCs w:val="0"/>
                <w:color w:val="auto"/>
                <w:kern w:val="0"/>
                <w:sz w:val="22"/>
                <w:szCs w:val="22"/>
                <w:highlight w:val="none"/>
                <w:u w:val="none"/>
                <w:lang w:val="en-US" w:eastAsia="zh-CN" w:bidi="ar"/>
              </w:rPr>
              <w:t>（核心产品）</w:t>
            </w:r>
          </w:p>
        </w:tc>
        <w:tc>
          <w:tcPr>
            <w:tcW w:w="4964" w:type="dxa"/>
            <w:shd w:val="clear" w:color="auto" w:fill="auto"/>
            <w:vAlign w:val="top"/>
          </w:tcPr>
          <w:p w14:paraId="71939EC8">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说明：1、洗涤缸数量：</w:t>
            </w:r>
            <w:r>
              <w:rPr>
                <w:rFonts w:hint="eastAsia" w:ascii="宋体" w:hAnsi="宋体" w:cs="宋体"/>
                <w:i w:val="0"/>
                <w:iCs w:val="0"/>
                <w:color w:val="auto"/>
                <w:kern w:val="0"/>
                <w:sz w:val="20"/>
                <w:szCs w:val="20"/>
                <w:highlight w:val="none"/>
                <w:u w:val="none"/>
                <w:lang w:val="en-US" w:eastAsia="zh-CN" w:bidi="ar"/>
              </w:rPr>
              <w:t>1</w:t>
            </w:r>
            <w:r>
              <w:rPr>
                <w:rFonts w:hint="eastAsia" w:ascii="宋体" w:hAnsi="宋体" w:eastAsia="宋体" w:cs="宋体"/>
                <w:i w:val="0"/>
                <w:iCs w:val="0"/>
                <w:color w:val="auto"/>
                <w:kern w:val="0"/>
                <w:sz w:val="20"/>
                <w:szCs w:val="20"/>
                <w:highlight w:val="none"/>
                <w:u w:val="none"/>
                <w:lang w:val="en-US" w:eastAsia="zh-CN" w:bidi="ar"/>
              </w:rPr>
              <w:t>个，洗涤程序数量：</w:t>
            </w:r>
            <w:r>
              <w:rPr>
                <w:rFonts w:hint="eastAsia" w:ascii="宋体" w:hAnsi="宋体"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个；由入口区、洗涤区，双重漂洗区、烘干区和出口区</w:t>
            </w:r>
            <w:r>
              <w:rPr>
                <w:rFonts w:hint="eastAsia" w:ascii="宋体" w:hAnsi="宋体" w:cs="宋体"/>
                <w:i w:val="0"/>
                <w:iCs w:val="0"/>
                <w:color w:val="auto"/>
                <w:kern w:val="0"/>
                <w:sz w:val="20"/>
                <w:szCs w:val="20"/>
                <w:highlight w:val="none"/>
                <w:u w:val="none"/>
                <w:lang w:val="en-US" w:eastAsia="zh-CN" w:bidi="ar"/>
              </w:rPr>
              <w:t>5</w:t>
            </w:r>
            <w:r>
              <w:rPr>
                <w:rFonts w:hint="eastAsia" w:ascii="宋体" w:hAnsi="宋体" w:eastAsia="宋体" w:cs="宋体"/>
                <w:i w:val="0"/>
                <w:iCs w:val="0"/>
                <w:color w:val="auto"/>
                <w:kern w:val="0"/>
                <w:sz w:val="20"/>
                <w:szCs w:val="20"/>
                <w:highlight w:val="none"/>
                <w:u w:val="none"/>
                <w:lang w:val="en-US" w:eastAsia="zh-CN" w:bidi="ar"/>
              </w:rPr>
              <w:t>部分组成。</w:t>
            </w:r>
          </w:p>
          <w:p w14:paraId="0F1A259B">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尺寸要求：入口区长度≥900mm,起始端的操作高度为≤900mm, 洗涤区长度≥</w:t>
            </w:r>
            <w:r>
              <w:rPr>
                <w:rFonts w:hint="eastAsia" w:ascii="宋体" w:hAnsi="宋体" w:cs="宋体"/>
                <w:i w:val="0"/>
                <w:iCs w:val="0"/>
                <w:color w:val="auto"/>
                <w:kern w:val="0"/>
                <w:sz w:val="20"/>
                <w:szCs w:val="20"/>
                <w:highlight w:val="none"/>
                <w:u w:val="none"/>
                <w:lang w:val="en-US" w:eastAsia="zh-CN" w:bidi="ar"/>
              </w:rPr>
              <w:t>8</w:t>
            </w:r>
            <w:r>
              <w:rPr>
                <w:rFonts w:hint="eastAsia" w:ascii="宋体" w:hAnsi="宋体" w:eastAsia="宋体" w:cs="宋体"/>
                <w:i w:val="0"/>
                <w:iCs w:val="0"/>
                <w:color w:val="auto"/>
                <w:kern w:val="0"/>
                <w:sz w:val="20"/>
                <w:szCs w:val="20"/>
                <w:highlight w:val="none"/>
                <w:u w:val="none"/>
                <w:lang w:val="en-US" w:eastAsia="zh-CN" w:bidi="ar"/>
              </w:rPr>
              <w:t>00mm, 双重漂洗(预漂洗最终漂洗)区≤600mm,烘干区≥800mm,出口区长度≥1100mm, 综合以上要求洗碗机总长度≥</w:t>
            </w:r>
            <w:r>
              <w:rPr>
                <w:rFonts w:hint="eastAsia" w:ascii="宋体" w:hAnsi="宋体" w:cs="宋体"/>
                <w:i w:val="0"/>
                <w:iCs w:val="0"/>
                <w:color w:val="auto"/>
                <w:kern w:val="0"/>
                <w:sz w:val="20"/>
                <w:szCs w:val="20"/>
                <w:highlight w:val="none"/>
                <w:u w:val="none"/>
                <w:lang w:val="en-US" w:eastAsia="zh-CN" w:bidi="ar"/>
              </w:rPr>
              <w:t>42</w:t>
            </w:r>
            <w:r>
              <w:rPr>
                <w:rFonts w:hint="eastAsia" w:ascii="宋体" w:hAnsi="宋体" w:eastAsia="宋体" w:cs="宋体"/>
                <w:i w:val="0"/>
                <w:iCs w:val="0"/>
                <w:color w:val="auto"/>
                <w:kern w:val="0"/>
                <w:sz w:val="20"/>
                <w:szCs w:val="20"/>
                <w:highlight w:val="none"/>
                <w:u w:val="none"/>
                <w:lang w:val="en-US" w:eastAsia="zh-CN" w:bidi="ar"/>
              </w:rPr>
              <w:t xml:space="preserve">00mm,(因场地空间限制);  </w:t>
            </w:r>
          </w:p>
          <w:p w14:paraId="677F9C65">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机器入口高度(可通过最大高度)≥400mm,传送履带宽度(可通过最大宽度)≥6</w:t>
            </w:r>
            <w:r>
              <w:rPr>
                <w:rFonts w:hint="eastAsia" w:ascii="宋体" w:hAnsi="宋体" w:cs="宋体"/>
                <w:i w:val="0"/>
                <w:iCs w:val="0"/>
                <w:color w:val="auto"/>
                <w:kern w:val="0"/>
                <w:sz w:val="20"/>
                <w:szCs w:val="20"/>
                <w:highlight w:val="none"/>
                <w:u w:val="none"/>
                <w:lang w:val="en-US" w:eastAsia="zh-CN" w:bidi="ar"/>
              </w:rPr>
              <w:t>05</w:t>
            </w:r>
            <w:r>
              <w:rPr>
                <w:rFonts w:hint="eastAsia" w:ascii="宋体" w:hAnsi="宋体" w:eastAsia="宋体" w:cs="宋体"/>
                <w:i w:val="0"/>
                <w:iCs w:val="0"/>
                <w:color w:val="auto"/>
                <w:kern w:val="0"/>
                <w:sz w:val="20"/>
                <w:szCs w:val="20"/>
                <w:highlight w:val="none"/>
                <w:u w:val="none"/>
                <w:lang w:val="en-US" w:eastAsia="zh-CN" w:bidi="ar"/>
              </w:rPr>
              <w:t xml:space="preserve">mm;  </w:t>
            </w:r>
          </w:p>
          <w:p w14:paraId="09B65A1E">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整机采用机械控制</w:t>
            </w:r>
            <w:r>
              <w:rPr>
                <w:rFonts w:hint="eastAsia" w:ascii="宋体" w:hAnsi="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自动进水</w:t>
            </w:r>
            <w:r>
              <w:rPr>
                <w:rFonts w:hint="eastAsia" w:ascii="宋体" w:hAnsi="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自动加热，操作简单，简单易学；</w:t>
            </w:r>
          </w:p>
          <w:p w14:paraId="0AFD0B34">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洗涤区洗臂数量：上4下4;水箱容量≥</w:t>
            </w:r>
            <w:r>
              <w:rPr>
                <w:rFonts w:hint="eastAsia" w:ascii="宋体" w:hAnsi="宋体" w:cs="宋体"/>
                <w:i w:val="0"/>
                <w:iCs w:val="0"/>
                <w:color w:val="auto"/>
                <w:kern w:val="0"/>
                <w:sz w:val="20"/>
                <w:szCs w:val="20"/>
                <w:highlight w:val="none"/>
                <w:u w:val="none"/>
                <w:lang w:val="en-US" w:eastAsia="zh-CN" w:bidi="ar"/>
              </w:rPr>
              <w:t>9</w:t>
            </w:r>
            <w:r>
              <w:rPr>
                <w:rFonts w:hint="eastAsia" w:ascii="宋体" w:hAnsi="宋体" w:eastAsia="宋体" w:cs="宋体"/>
                <w:i w:val="0"/>
                <w:iCs w:val="0"/>
                <w:color w:val="auto"/>
                <w:kern w:val="0"/>
                <w:sz w:val="20"/>
                <w:szCs w:val="20"/>
                <w:highlight w:val="none"/>
                <w:u w:val="none"/>
                <w:lang w:val="en-US" w:eastAsia="zh-CN" w:bidi="ar"/>
              </w:rPr>
              <w:t>0升；</w:t>
            </w:r>
          </w:p>
          <w:p w14:paraId="4738D2CE">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主洗区温度：55 -70°C,漂洗温度：82 -90°C,烘干区温度：55 -60°C;  </w:t>
            </w:r>
          </w:p>
          <w:p w14:paraId="1D471541">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6</w:t>
            </w:r>
            <w:r>
              <w:rPr>
                <w:rFonts w:hint="eastAsia" w:ascii="宋体" w:hAnsi="宋体" w:eastAsia="宋体" w:cs="宋体"/>
                <w:i w:val="0"/>
                <w:iCs w:val="0"/>
                <w:color w:val="auto"/>
                <w:kern w:val="0"/>
                <w:sz w:val="20"/>
                <w:szCs w:val="20"/>
                <w:highlight w:val="none"/>
                <w:u w:val="none"/>
                <w:lang w:val="en-US" w:eastAsia="zh-CN" w:bidi="ar"/>
              </w:rPr>
              <w:t>、机器进端、出端、洗涤区、漂洗区和烘干区</w:t>
            </w:r>
            <w:r>
              <w:rPr>
                <w:rFonts w:hint="eastAsia" w:ascii="宋体" w:hAnsi="宋体" w:cs="宋体"/>
                <w:i w:val="0"/>
                <w:iCs w:val="0"/>
                <w:color w:val="auto"/>
                <w:kern w:val="0"/>
                <w:sz w:val="20"/>
                <w:szCs w:val="20"/>
                <w:highlight w:val="none"/>
                <w:u w:val="none"/>
                <w:lang w:val="en-US" w:eastAsia="zh-CN" w:bidi="ar"/>
              </w:rPr>
              <w:t>由优质</w:t>
            </w:r>
            <w:r>
              <w:rPr>
                <w:rFonts w:hint="eastAsia" w:ascii="宋体" w:hAnsi="宋体" w:eastAsia="宋体" w:cs="宋体"/>
                <w:i w:val="0"/>
                <w:iCs w:val="0"/>
                <w:color w:val="auto"/>
                <w:kern w:val="0"/>
                <w:sz w:val="20"/>
                <w:szCs w:val="20"/>
                <w:highlight w:val="none"/>
                <w:u w:val="none"/>
                <w:lang w:val="en-US" w:eastAsia="zh-CN" w:bidi="ar"/>
              </w:rPr>
              <w:t>不锈钢组成，水箱外部具有隔热和防燃烧夹层，夹层内置隔热防燃烧材料，</w:t>
            </w:r>
            <w:r>
              <w:rPr>
                <w:rFonts w:hint="eastAsia" w:ascii="宋体" w:hAnsi="宋体" w:cs="宋体"/>
                <w:i w:val="0"/>
                <w:iCs w:val="0"/>
                <w:color w:val="auto"/>
                <w:kern w:val="0"/>
                <w:sz w:val="20"/>
                <w:szCs w:val="20"/>
                <w:highlight w:val="none"/>
                <w:u w:val="none"/>
                <w:lang w:val="en-US" w:eastAsia="zh-CN" w:bidi="ar"/>
              </w:rPr>
              <w:t>隔热材料</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1</w:t>
            </w:r>
            <w:r>
              <w:rPr>
                <w:rFonts w:hint="eastAsia" w:ascii="宋体" w:hAnsi="宋体" w:eastAsia="宋体" w:cs="宋体"/>
                <w:i w:val="0"/>
                <w:iCs w:val="0"/>
                <w:color w:val="auto"/>
                <w:kern w:val="0"/>
                <w:sz w:val="20"/>
                <w:szCs w:val="20"/>
                <w:highlight w:val="none"/>
                <w:u w:val="none"/>
                <w:lang w:val="en-US" w:eastAsia="zh-CN" w:bidi="ar"/>
              </w:rPr>
              <w:t>0mm。</w:t>
            </w:r>
          </w:p>
          <w:p w14:paraId="2482029C">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功率：</w:t>
            </w:r>
            <w:r>
              <w:rPr>
                <w:rFonts w:hint="eastAsia" w:ascii="宋体" w:hAnsi="宋体" w:cs="宋体"/>
                <w:i w:val="0"/>
                <w:iCs w:val="0"/>
                <w:color w:val="auto"/>
                <w:kern w:val="0"/>
                <w:sz w:val="20"/>
                <w:szCs w:val="20"/>
                <w:highlight w:val="none"/>
                <w:u w:val="none"/>
                <w:lang w:val="en-US" w:eastAsia="zh-CN" w:bidi="ar"/>
              </w:rPr>
              <w:t>64</w:t>
            </w:r>
            <w:r>
              <w:rPr>
                <w:rFonts w:hint="eastAsia" w:ascii="宋体" w:hAnsi="宋体" w:eastAsia="宋体" w:cs="宋体"/>
                <w:i w:val="0"/>
                <w:iCs w:val="0"/>
                <w:color w:val="auto"/>
                <w:kern w:val="0"/>
                <w:sz w:val="20"/>
                <w:szCs w:val="20"/>
                <w:highlight w:val="none"/>
                <w:u w:val="none"/>
                <w:lang w:val="en-US" w:eastAsia="zh-CN" w:bidi="ar"/>
              </w:rPr>
              <w:t>KW/380V</w:t>
            </w:r>
          </w:p>
          <w:p w14:paraId="5316968D">
            <w:pPr>
              <w:keepNext w:val="0"/>
              <w:keepLines w:val="0"/>
              <w:widowControl/>
              <w:suppressLineNumbers w:val="0"/>
              <w:jc w:val="left"/>
              <w:textAlignment w:val="top"/>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w:t>
            </w:r>
            <w:r>
              <w:rPr>
                <w:rFonts w:hint="eastAsia" w:ascii="宋体" w:hAnsi="宋体" w:cs="宋体"/>
                <w:i w:val="0"/>
                <w:iCs w:val="0"/>
                <w:color w:val="auto"/>
                <w:kern w:val="0"/>
                <w:sz w:val="20"/>
                <w:szCs w:val="20"/>
                <w:highlight w:val="none"/>
                <w:u w:val="none"/>
                <w:lang w:val="en-US" w:eastAsia="zh-CN" w:bidi="ar"/>
              </w:rPr>
              <w:t>42</w:t>
            </w:r>
            <w:r>
              <w:rPr>
                <w:rFonts w:hint="eastAsia" w:ascii="宋体" w:hAnsi="宋体" w:eastAsia="宋体" w:cs="宋体"/>
                <w:i w:val="0"/>
                <w:iCs w:val="0"/>
                <w:color w:val="auto"/>
                <w:kern w:val="0"/>
                <w:sz w:val="20"/>
                <w:szCs w:val="20"/>
                <w:highlight w:val="none"/>
                <w:u w:val="none"/>
                <w:lang w:val="en-US" w:eastAsia="zh-CN" w:bidi="ar"/>
              </w:rPr>
              <w:t>00mm×1000mm×2040mm</w:t>
            </w:r>
          </w:p>
          <w:p w14:paraId="32704376">
            <w:pPr>
              <w:keepNext w:val="0"/>
              <w:keepLines w:val="0"/>
              <w:widowControl/>
              <w:suppressLineNumbers w:val="0"/>
              <w:jc w:val="left"/>
              <w:textAlignment w:val="top"/>
              <w:rPr>
                <w:rFonts w:hint="eastAsia" w:eastAsia="宋体"/>
                <w:color w:val="auto"/>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eastAsia="宋体" w:cs="宋体"/>
                <w:i w:val="0"/>
                <w:iCs w:val="0"/>
                <w:color w:val="auto"/>
                <w:kern w:val="0"/>
                <w:sz w:val="20"/>
                <w:szCs w:val="20"/>
                <w:highlight w:val="none"/>
                <w:u w:val="none"/>
                <w:lang w:val="en-US" w:eastAsia="zh-CN" w:bidi="ar"/>
              </w:rPr>
              <w:t xml:space="preserve">所投产品洗碗机具有（有毒有害物质限量认证证书）。                                                        </w:t>
            </w:r>
            <w:r>
              <w:rPr>
                <w:rFonts w:hint="eastAsia" w:ascii="宋体" w:hAnsi="宋体" w:eastAsia="宋体" w:cs="宋体"/>
                <w:color w:val="auto"/>
                <w:kern w:val="0"/>
                <w:sz w:val="24"/>
                <w:szCs w:val="24"/>
                <w:highlight w:val="none"/>
              </w:rPr>
              <w:t>●</w:t>
            </w:r>
            <w:r>
              <w:rPr>
                <w:rFonts w:hint="eastAsia" w:ascii="宋体" w:hAnsi="宋体" w:eastAsia="宋体" w:cs="宋体"/>
                <w:i w:val="0"/>
                <w:iCs w:val="0"/>
                <w:color w:val="auto"/>
                <w:kern w:val="0"/>
                <w:sz w:val="20"/>
                <w:szCs w:val="20"/>
                <w:highlight w:val="none"/>
                <w:u w:val="none"/>
                <w:lang w:val="en-US" w:eastAsia="zh-CN" w:bidi="ar"/>
              </w:rPr>
              <w:t xml:space="preserve">所投产品洗碗机具有（环保（II型）产品认证证书）。                                                       </w:t>
            </w:r>
            <w:r>
              <w:rPr>
                <w:rFonts w:hint="eastAsia" w:ascii="宋体" w:hAnsi="宋体" w:eastAsia="宋体" w:cs="宋体"/>
                <w:color w:val="auto"/>
                <w:kern w:val="0"/>
                <w:sz w:val="24"/>
                <w:szCs w:val="24"/>
                <w:highlight w:val="none"/>
              </w:rPr>
              <w:t>●</w:t>
            </w:r>
            <w:r>
              <w:rPr>
                <w:rFonts w:hint="eastAsia" w:ascii="宋体" w:hAnsi="宋体" w:eastAsia="宋体" w:cs="宋体"/>
                <w:i w:val="0"/>
                <w:iCs w:val="0"/>
                <w:color w:val="auto"/>
                <w:kern w:val="0"/>
                <w:sz w:val="20"/>
                <w:szCs w:val="20"/>
                <w:highlight w:val="none"/>
                <w:u w:val="none"/>
                <w:lang w:val="en-US" w:eastAsia="zh-CN" w:bidi="ar"/>
              </w:rPr>
              <w:t>所投洗碗机产品的马达断路器、断路器、2孔中间继电器、底座部件和发热管，依据GB/T 5169.5-2020《电工电子产品着火危险试验第 5 部分：试验火焰 针焰试验方法装置、确认试验方法和导则》标准，提供试验结果符合的报告</w:t>
            </w:r>
            <w:r>
              <w:rPr>
                <w:rFonts w:hint="eastAsia" w:ascii="宋体" w:hAnsi="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作为佐证。</w:t>
            </w:r>
          </w:p>
        </w:tc>
        <w:tc>
          <w:tcPr>
            <w:tcW w:w="558" w:type="dxa"/>
            <w:shd w:val="clear" w:color="auto" w:fill="auto"/>
            <w:vAlign w:val="center"/>
          </w:tcPr>
          <w:p w14:paraId="08C620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2F3571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2C6BA9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67310</wp:posOffset>
                  </wp:positionH>
                  <wp:positionV relativeFrom="paragraph">
                    <wp:posOffset>-114300</wp:posOffset>
                  </wp:positionV>
                  <wp:extent cx="742950" cy="452755"/>
                  <wp:effectExtent l="0" t="0" r="0" b="4445"/>
                  <wp:wrapNone/>
                  <wp:docPr id="262" name="图片_77"/>
                  <wp:cNvGraphicFramePr/>
                  <a:graphic xmlns:a="http://schemas.openxmlformats.org/drawingml/2006/main">
                    <a:graphicData uri="http://schemas.openxmlformats.org/drawingml/2006/picture">
                      <pic:pic xmlns:pic="http://schemas.openxmlformats.org/drawingml/2006/picture">
                        <pic:nvPicPr>
                          <pic:cNvPr id="262" name="图片_77"/>
                          <pic:cNvPicPr/>
                        </pic:nvPicPr>
                        <pic:blipFill>
                          <a:blip r:embed="rId96"/>
                          <a:stretch>
                            <a:fillRect/>
                          </a:stretch>
                        </pic:blipFill>
                        <pic:spPr>
                          <a:xfrm>
                            <a:off x="0" y="0"/>
                            <a:ext cx="742950" cy="452755"/>
                          </a:xfrm>
                          <a:prstGeom prst="rect">
                            <a:avLst/>
                          </a:prstGeom>
                          <a:noFill/>
                          <a:ln>
                            <a:noFill/>
                          </a:ln>
                        </pic:spPr>
                      </pic:pic>
                    </a:graphicData>
                  </a:graphic>
                </wp:anchor>
              </w:drawing>
            </w:r>
          </w:p>
        </w:tc>
      </w:tr>
      <w:tr w14:paraId="254E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658" w:type="dxa"/>
            <w:shd w:val="clear" w:color="auto" w:fill="auto"/>
            <w:vAlign w:val="center"/>
          </w:tcPr>
          <w:p w14:paraId="73D9A0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536" w:type="dxa"/>
            <w:shd w:val="clear" w:color="auto" w:fill="auto"/>
            <w:vAlign w:val="center"/>
          </w:tcPr>
          <w:p w14:paraId="771931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速热热水</w:t>
            </w:r>
            <w:r>
              <w:rPr>
                <w:rFonts w:hint="eastAsia" w:ascii="宋体" w:hAnsi="宋体" w:cs="宋体"/>
                <w:i w:val="0"/>
                <w:iCs w:val="0"/>
                <w:color w:val="auto"/>
                <w:kern w:val="0"/>
                <w:sz w:val="22"/>
                <w:szCs w:val="22"/>
                <w:highlight w:val="none"/>
                <w:u w:val="none"/>
                <w:lang w:val="en-US" w:eastAsia="zh-CN" w:bidi="ar"/>
              </w:rPr>
              <w:t>机</w:t>
            </w:r>
          </w:p>
        </w:tc>
        <w:tc>
          <w:tcPr>
            <w:tcW w:w="4964" w:type="dxa"/>
            <w:shd w:val="clear" w:color="auto" w:fill="auto"/>
            <w:vAlign w:val="center"/>
          </w:tcPr>
          <w:p w14:paraId="590A368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说明：4i技术智能控温，裸线加热即开即热，适合软硬各种水质，换热效率高达99%，远高于国家标准（80%），ECO节能省电，小巧体积灵活安装</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电压/功率:380V/18-28KW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规格：483*228*95mm</w:t>
            </w:r>
          </w:p>
        </w:tc>
        <w:tc>
          <w:tcPr>
            <w:tcW w:w="558" w:type="dxa"/>
            <w:shd w:val="clear" w:color="auto" w:fill="auto"/>
            <w:vAlign w:val="center"/>
          </w:tcPr>
          <w:p w14:paraId="06D034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55B7AC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1A1B081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142875</wp:posOffset>
                  </wp:positionH>
                  <wp:positionV relativeFrom="paragraph">
                    <wp:posOffset>31750</wp:posOffset>
                  </wp:positionV>
                  <wp:extent cx="558800" cy="762000"/>
                  <wp:effectExtent l="0" t="0" r="12700" b="0"/>
                  <wp:wrapNone/>
                  <wp:docPr id="263" name="图片_38"/>
                  <wp:cNvGraphicFramePr/>
                  <a:graphic xmlns:a="http://schemas.openxmlformats.org/drawingml/2006/main">
                    <a:graphicData uri="http://schemas.openxmlformats.org/drawingml/2006/picture">
                      <pic:pic xmlns:pic="http://schemas.openxmlformats.org/drawingml/2006/picture">
                        <pic:nvPicPr>
                          <pic:cNvPr id="263" name="图片_38"/>
                          <pic:cNvPicPr/>
                        </pic:nvPicPr>
                        <pic:blipFill>
                          <a:blip r:embed="rId97"/>
                          <a:stretch>
                            <a:fillRect/>
                          </a:stretch>
                        </pic:blipFill>
                        <pic:spPr>
                          <a:xfrm>
                            <a:off x="0" y="0"/>
                            <a:ext cx="558800" cy="762000"/>
                          </a:xfrm>
                          <a:prstGeom prst="rect">
                            <a:avLst/>
                          </a:prstGeom>
                          <a:noFill/>
                          <a:ln>
                            <a:noFill/>
                          </a:ln>
                        </pic:spPr>
                      </pic:pic>
                    </a:graphicData>
                  </a:graphic>
                </wp:anchor>
              </w:drawing>
            </w:r>
          </w:p>
        </w:tc>
      </w:tr>
      <w:tr w14:paraId="1892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jc w:val="center"/>
        </w:trPr>
        <w:tc>
          <w:tcPr>
            <w:tcW w:w="658" w:type="dxa"/>
            <w:shd w:val="clear" w:color="auto" w:fill="auto"/>
            <w:vAlign w:val="center"/>
          </w:tcPr>
          <w:p w14:paraId="172887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536" w:type="dxa"/>
            <w:shd w:val="clear" w:color="auto" w:fill="auto"/>
            <w:vAlign w:val="center"/>
          </w:tcPr>
          <w:p w14:paraId="4C2DC9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洗地龙头</w:t>
            </w:r>
          </w:p>
        </w:tc>
        <w:tc>
          <w:tcPr>
            <w:tcW w:w="4964" w:type="dxa"/>
            <w:shd w:val="clear" w:color="auto" w:fill="auto"/>
            <w:vAlign w:val="center"/>
          </w:tcPr>
          <w:p w14:paraId="52820B6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说明：1、开放式洗地龙头、碳钢主体，表面环氧喷涂处理（黑色）                                         2、固定侧支架钢板厚度5mm，黄铜进水主体                                                        3、10.7米重工无痕三层液压钢丝管（黑色）、与主体接口为金属连接件不易损坏漏水，喉管耐温85度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4、黄铜铸造枪式喷头、前置扳机、配有橡胶保护套水压可调。（配置一把喷头）                                                                            5、进水接口为标准G1/2外螺纹                                                                                                                                                                                                              </w:t>
            </w:r>
          </w:p>
        </w:tc>
        <w:tc>
          <w:tcPr>
            <w:tcW w:w="558" w:type="dxa"/>
            <w:shd w:val="clear" w:color="auto" w:fill="auto"/>
            <w:vAlign w:val="center"/>
          </w:tcPr>
          <w:p w14:paraId="116A40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207535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060710F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47625</wp:posOffset>
                  </wp:positionH>
                  <wp:positionV relativeFrom="paragraph">
                    <wp:posOffset>482600</wp:posOffset>
                  </wp:positionV>
                  <wp:extent cx="746760" cy="654685"/>
                  <wp:effectExtent l="0" t="0" r="15240" b="12065"/>
                  <wp:wrapNone/>
                  <wp:docPr id="264" name="图片_35_SpCnt_4"/>
                  <wp:cNvGraphicFramePr/>
                  <a:graphic xmlns:a="http://schemas.openxmlformats.org/drawingml/2006/main">
                    <a:graphicData uri="http://schemas.openxmlformats.org/drawingml/2006/picture">
                      <pic:pic xmlns:pic="http://schemas.openxmlformats.org/drawingml/2006/picture">
                        <pic:nvPicPr>
                          <pic:cNvPr id="264" name="图片_35_SpCnt_4"/>
                          <pic:cNvPicPr/>
                        </pic:nvPicPr>
                        <pic:blipFill>
                          <a:blip r:embed="rId98"/>
                          <a:stretch>
                            <a:fillRect/>
                          </a:stretch>
                        </pic:blipFill>
                        <pic:spPr>
                          <a:xfrm>
                            <a:off x="0" y="0"/>
                            <a:ext cx="746760" cy="654685"/>
                          </a:xfrm>
                          <a:prstGeom prst="rect">
                            <a:avLst/>
                          </a:prstGeom>
                          <a:noFill/>
                          <a:ln>
                            <a:noFill/>
                          </a:ln>
                        </pic:spPr>
                      </pic:pic>
                    </a:graphicData>
                  </a:graphic>
                </wp:anchor>
              </w:drawing>
            </w:r>
          </w:p>
        </w:tc>
      </w:tr>
      <w:tr w14:paraId="7545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194" w:type="dxa"/>
            <w:gridSpan w:val="2"/>
            <w:shd w:val="clear" w:color="auto" w:fill="auto"/>
            <w:noWrap/>
            <w:vAlign w:val="center"/>
          </w:tcPr>
          <w:p w14:paraId="441A42EF">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售菜间</w:t>
            </w:r>
          </w:p>
        </w:tc>
        <w:tc>
          <w:tcPr>
            <w:tcW w:w="4964" w:type="dxa"/>
            <w:shd w:val="clear" w:color="auto" w:fill="auto"/>
            <w:noWrap/>
            <w:vAlign w:val="center"/>
          </w:tcPr>
          <w:p w14:paraId="3E825863">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007FB3F6">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245BB617">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3C25D802">
            <w:pPr>
              <w:rPr>
                <w:rFonts w:hint="eastAsia" w:ascii="宋体" w:hAnsi="宋体" w:eastAsia="宋体" w:cs="宋体"/>
                <w:i w:val="0"/>
                <w:iCs w:val="0"/>
                <w:color w:val="auto"/>
                <w:sz w:val="22"/>
                <w:szCs w:val="22"/>
                <w:highlight w:val="none"/>
                <w:u w:val="none"/>
              </w:rPr>
            </w:pPr>
          </w:p>
        </w:tc>
      </w:tr>
      <w:tr w14:paraId="226D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jc w:val="center"/>
        </w:trPr>
        <w:tc>
          <w:tcPr>
            <w:tcW w:w="658" w:type="dxa"/>
            <w:shd w:val="clear" w:color="auto" w:fill="auto"/>
            <w:vAlign w:val="center"/>
          </w:tcPr>
          <w:p w14:paraId="265865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2F75BA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平台水池</w:t>
            </w:r>
          </w:p>
        </w:tc>
        <w:tc>
          <w:tcPr>
            <w:tcW w:w="4964" w:type="dxa"/>
            <w:shd w:val="clear" w:color="auto" w:fill="auto"/>
            <w:vAlign w:val="top"/>
          </w:tcPr>
          <w:p w14:paraId="6A77FCC5">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规格：1200*700*800mm</w:t>
            </w:r>
          </w:p>
        </w:tc>
        <w:tc>
          <w:tcPr>
            <w:tcW w:w="558" w:type="dxa"/>
            <w:shd w:val="clear" w:color="auto" w:fill="auto"/>
            <w:vAlign w:val="center"/>
          </w:tcPr>
          <w:p w14:paraId="242867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657D6E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0A5496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123825</wp:posOffset>
                  </wp:positionH>
                  <wp:positionV relativeFrom="paragraph">
                    <wp:posOffset>19050</wp:posOffset>
                  </wp:positionV>
                  <wp:extent cx="619760" cy="645795"/>
                  <wp:effectExtent l="0" t="0" r="8890" b="1905"/>
                  <wp:wrapNone/>
                  <wp:docPr id="265" name="图片_548_SpCnt_1"/>
                  <wp:cNvGraphicFramePr/>
                  <a:graphic xmlns:a="http://schemas.openxmlformats.org/drawingml/2006/main">
                    <a:graphicData uri="http://schemas.openxmlformats.org/drawingml/2006/picture">
                      <pic:pic xmlns:pic="http://schemas.openxmlformats.org/drawingml/2006/picture">
                        <pic:nvPicPr>
                          <pic:cNvPr id="265" name="图片_548_SpCnt_1"/>
                          <pic:cNvPicPr/>
                        </pic:nvPicPr>
                        <pic:blipFill>
                          <a:blip r:embed="rId99"/>
                          <a:stretch>
                            <a:fillRect/>
                          </a:stretch>
                        </pic:blipFill>
                        <pic:spPr>
                          <a:xfrm>
                            <a:off x="0" y="0"/>
                            <a:ext cx="619760" cy="645795"/>
                          </a:xfrm>
                          <a:prstGeom prst="rect">
                            <a:avLst/>
                          </a:prstGeom>
                          <a:noFill/>
                          <a:ln>
                            <a:noFill/>
                          </a:ln>
                        </pic:spPr>
                      </pic:pic>
                    </a:graphicData>
                  </a:graphic>
                </wp:anchor>
              </w:drawing>
            </w:r>
          </w:p>
        </w:tc>
      </w:tr>
      <w:tr w14:paraId="2B2F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0" w:hRule="atLeast"/>
          <w:jc w:val="center"/>
        </w:trPr>
        <w:tc>
          <w:tcPr>
            <w:tcW w:w="658" w:type="dxa"/>
            <w:shd w:val="clear" w:color="auto" w:fill="auto"/>
            <w:vAlign w:val="center"/>
          </w:tcPr>
          <w:p w14:paraId="7E979D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739B5F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top"/>
          </w:tcPr>
          <w:p w14:paraId="2CF5D5E5">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36A06E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0470EB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673CD8A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314325</wp:posOffset>
                  </wp:positionH>
                  <wp:positionV relativeFrom="paragraph">
                    <wp:posOffset>19050</wp:posOffset>
                  </wp:positionV>
                  <wp:extent cx="492760" cy="701040"/>
                  <wp:effectExtent l="0" t="0" r="2540" b="3810"/>
                  <wp:wrapNone/>
                  <wp:docPr id="266" name="图片_60_SpCnt_3"/>
                  <wp:cNvGraphicFramePr/>
                  <a:graphic xmlns:a="http://schemas.openxmlformats.org/drawingml/2006/main">
                    <a:graphicData uri="http://schemas.openxmlformats.org/drawingml/2006/picture">
                      <pic:pic xmlns:pic="http://schemas.openxmlformats.org/drawingml/2006/picture">
                        <pic:nvPicPr>
                          <pic:cNvPr id="266" name="图片_60_SpCnt_3"/>
                          <pic:cNvPicPr/>
                        </pic:nvPicPr>
                        <pic:blipFill>
                          <a:blip r:embed="rId60"/>
                          <a:stretch>
                            <a:fillRect/>
                          </a:stretch>
                        </pic:blipFill>
                        <pic:spPr>
                          <a:xfrm>
                            <a:off x="0" y="0"/>
                            <a:ext cx="492760" cy="701040"/>
                          </a:xfrm>
                          <a:prstGeom prst="rect">
                            <a:avLst/>
                          </a:prstGeom>
                          <a:noFill/>
                          <a:ln>
                            <a:noFill/>
                          </a:ln>
                        </pic:spPr>
                      </pic:pic>
                    </a:graphicData>
                  </a:graphic>
                </wp:anchor>
              </w:drawing>
            </w:r>
          </w:p>
        </w:tc>
      </w:tr>
      <w:tr w14:paraId="697F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0" w:hRule="atLeast"/>
          <w:jc w:val="center"/>
        </w:trPr>
        <w:tc>
          <w:tcPr>
            <w:tcW w:w="658" w:type="dxa"/>
            <w:shd w:val="clear" w:color="auto" w:fill="auto"/>
            <w:vAlign w:val="center"/>
          </w:tcPr>
          <w:p w14:paraId="5054A2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47B2B9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智能留样冰箱</w:t>
            </w:r>
          </w:p>
        </w:tc>
        <w:tc>
          <w:tcPr>
            <w:tcW w:w="4964" w:type="dxa"/>
            <w:shd w:val="clear" w:color="auto" w:fill="auto"/>
            <w:vAlign w:val="center"/>
          </w:tcPr>
          <w:p w14:paraId="0AC4B45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1、温度范围：2~8℃</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2、容量：  420L（6层空间）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3、制冷方式：风冷/额定功率：330W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4、采用品牌压缩机，纯铜蒸发器 高效节能 延长使用寿命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5、采用双层电加热防雾单玻璃门、整体发泡设计、中梁加热丝设计、杜绝冷凝水、可拆卸门封条设计。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采用触摸式电脑控制器、控制器具备抑菌功能、具备节能功能、控制器具备中文故障提示功能、具备手机物联开启抑菌功能、具备手机物联开关机功能、具备手机物联故障报警功能、具备手机物联温度调节功能、具备手机物联售后保修功能、手机物联自动除霜功能。留样记录、节能电量、抑菌次数需有数字化大屏显示界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7、人脸识别系统→自动开锁→留样菜品抓拍→留样重量抓拍→留样数据上传云端→留样条码自动生成（无需打码）→ 留样数据永久可查、所有留样取样数据具备数字化大屏显示界面。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规格：600*850*1970(含蒸发盒）</w:t>
            </w:r>
          </w:p>
        </w:tc>
        <w:tc>
          <w:tcPr>
            <w:tcW w:w="558" w:type="dxa"/>
            <w:shd w:val="clear" w:color="auto" w:fill="auto"/>
            <w:vAlign w:val="center"/>
          </w:tcPr>
          <w:p w14:paraId="5FCF73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322B66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2F57B22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142875</wp:posOffset>
                  </wp:positionH>
                  <wp:positionV relativeFrom="paragraph">
                    <wp:posOffset>568325</wp:posOffset>
                  </wp:positionV>
                  <wp:extent cx="676275" cy="832485"/>
                  <wp:effectExtent l="0" t="0" r="9525" b="5715"/>
                  <wp:wrapNone/>
                  <wp:docPr id="267" name="Picture_56_SpCnt_1"/>
                  <wp:cNvGraphicFramePr/>
                  <a:graphic xmlns:a="http://schemas.openxmlformats.org/drawingml/2006/main">
                    <a:graphicData uri="http://schemas.openxmlformats.org/drawingml/2006/picture">
                      <pic:pic xmlns:pic="http://schemas.openxmlformats.org/drawingml/2006/picture">
                        <pic:nvPicPr>
                          <pic:cNvPr id="267" name="Picture_56_SpCnt_1"/>
                          <pic:cNvPicPr/>
                        </pic:nvPicPr>
                        <pic:blipFill>
                          <a:blip r:embed="rId100"/>
                          <a:stretch>
                            <a:fillRect/>
                          </a:stretch>
                        </pic:blipFill>
                        <pic:spPr>
                          <a:xfrm>
                            <a:off x="0" y="0"/>
                            <a:ext cx="676275" cy="832485"/>
                          </a:xfrm>
                          <a:prstGeom prst="rect">
                            <a:avLst/>
                          </a:prstGeom>
                          <a:noFill/>
                          <a:ln>
                            <a:noFill/>
                          </a:ln>
                        </pic:spPr>
                      </pic:pic>
                    </a:graphicData>
                  </a:graphic>
                </wp:anchor>
              </w:drawing>
            </w:r>
          </w:p>
        </w:tc>
      </w:tr>
      <w:tr w14:paraId="2DC5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8" w:type="dxa"/>
            <w:shd w:val="clear" w:color="auto" w:fill="auto"/>
            <w:vAlign w:val="center"/>
          </w:tcPr>
          <w:p w14:paraId="180FF3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1973FA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单通移门荷台柜</w:t>
            </w:r>
          </w:p>
        </w:tc>
        <w:tc>
          <w:tcPr>
            <w:tcW w:w="4964" w:type="dxa"/>
            <w:shd w:val="clear" w:color="auto" w:fill="auto"/>
            <w:vAlign w:val="center"/>
          </w:tcPr>
          <w:p w14:paraId="50519F8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优质SUS304-2B不锈钢板制作；台面为δ≥1.2mm，实厚δ≥1.18mm；侧板δ≥1.0mm，实厚δ≥0.89mm；门板δ≥1.0mm，实厚δ≥0.89mm；底板、层板、背板δ≥1.0mm，实厚δ≥0.89mm；内置一层可调层板，配不锈钢加强筋δ≥1.0mm，实厚δ≥0.89mm；配置Φ50*150*1.0mm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规格：1800*800*800mm</w:t>
            </w:r>
          </w:p>
        </w:tc>
        <w:tc>
          <w:tcPr>
            <w:tcW w:w="558" w:type="dxa"/>
            <w:shd w:val="clear" w:color="auto" w:fill="auto"/>
            <w:vAlign w:val="center"/>
          </w:tcPr>
          <w:p w14:paraId="288CE1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5A56A8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56101A7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104775</wp:posOffset>
                  </wp:positionH>
                  <wp:positionV relativeFrom="paragraph">
                    <wp:posOffset>142875</wp:posOffset>
                  </wp:positionV>
                  <wp:extent cx="617220" cy="410845"/>
                  <wp:effectExtent l="0" t="0" r="11430" b="8255"/>
                  <wp:wrapNone/>
                  <wp:docPr id="268" name="图片_30_SpCnt_1"/>
                  <wp:cNvGraphicFramePr/>
                  <a:graphic xmlns:a="http://schemas.openxmlformats.org/drawingml/2006/main">
                    <a:graphicData uri="http://schemas.openxmlformats.org/drawingml/2006/picture">
                      <pic:pic xmlns:pic="http://schemas.openxmlformats.org/drawingml/2006/picture">
                        <pic:nvPicPr>
                          <pic:cNvPr id="268" name="图片_30_SpCnt_1"/>
                          <pic:cNvPicPr/>
                        </pic:nvPicPr>
                        <pic:blipFill>
                          <a:blip r:embed="rId101"/>
                          <a:stretch>
                            <a:fillRect/>
                          </a:stretch>
                        </pic:blipFill>
                        <pic:spPr>
                          <a:xfrm>
                            <a:off x="0" y="0"/>
                            <a:ext cx="617220" cy="410845"/>
                          </a:xfrm>
                          <a:prstGeom prst="rect">
                            <a:avLst/>
                          </a:prstGeom>
                          <a:noFill/>
                          <a:ln>
                            <a:noFill/>
                          </a:ln>
                        </pic:spPr>
                      </pic:pic>
                    </a:graphicData>
                  </a:graphic>
                </wp:anchor>
              </w:drawing>
            </w:r>
          </w:p>
        </w:tc>
      </w:tr>
      <w:tr w14:paraId="4A48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658" w:type="dxa"/>
            <w:shd w:val="clear" w:color="auto" w:fill="auto"/>
            <w:vAlign w:val="center"/>
          </w:tcPr>
          <w:p w14:paraId="56226B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vAlign w:val="center"/>
          </w:tcPr>
          <w:p w14:paraId="023883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五格保温台</w:t>
            </w:r>
          </w:p>
        </w:tc>
        <w:tc>
          <w:tcPr>
            <w:tcW w:w="4964" w:type="dxa"/>
            <w:shd w:val="clear" w:color="auto" w:fill="auto"/>
            <w:vAlign w:val="center"/>
          </w:tcPr>
          <w:p w14:paraId="6C4F914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说明：采用SUS304-2B不锈钢板制作，面板、水箱厚度1.2mm,边板、底板或格栅厚度1.0mm,直径50不锈钢调节脚，装220V\2kW电热管</w:t>
            </w:r>
            <w:r>
              <w:rPr>
                <w:rFonts w:hint="eastAsia" w:ascii="宋体" w:hAnsi="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2"/>
                <w:szCs w:val="22"/>
                <w:highlight w:val="none"/>
                <w:u w:val="none"/>
                <w:lang w:val="en-US" w:eastAsia="zh-CN" w:bidi="ar"/>
              </w:rPr>
              <w:t>组</w:t>
            </w:r>
            <w:r>
              <w:rPr>
                <w:rFonts w:hint="eastAsia" w:ascii="宋体" w:hAnsi="宋体" w:cs="宋体"/>
                <w:i w:val="0"/>
                <w:iCs w:val="0"/>
                <w:color w:val="auto"/>
                <w:kern w:val="0"/>
                <w:sz w:val="22"/>
                <w:szCs w:val="22"/>
                <w:highlight w:val="none"/>
                <w:u w:val="none"/>
                <w:lang w:val="en-US" w:eastAsia="zh-CN" w:bidi="ar"/>
              </w:rPr>
              <w:t>无水加热</w:t>
            </w:r>
            <w:r>
              <w:rPr>
                <w:rFonts w:hint="eastAsia" w:ascii="宋体" w:hAnsi="宋体" w:eastAsia="宋体" w:cs="宋体"/>
                <w:i w:val="0"/>
                <w:iCs w:val="0"/>
                <w:color w:val="auto"/>
                <w:kern w:val="0"/>
                <w:sz w:val="22"/>
                <w:szCs w:val="22"/>
                <w:highlight w:val="none"/>
                <w:u w:val="none"/>
                <w:lang w:val="en-US" w:eastAsia="zh-CN" w:bidi="ar"/>
              </w:rPr>
              <w:t>，自动控温，配食品级304不锈钢2\1×150带盖份数盘5只。</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电压\功率：220V\</w:t>
            </w: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规格：1800*700*800mm</w:t>
            </w:r>
          </w:p>
          <w:p w14:paraId="2E1C64A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●提供所投产品五格保温台具有依据QB/T2139.5-1995《不锈钢厨房设备 保温台》、GB4806.9-2023、GB/T2651-2023《焊接接头拉伸试验方法》外观表面纹理及焊接外表面粗糙度 Ra应不大于 3.2μm 检测结果单项为合格，立柱与台面垂直度应不大于5mm，台面承载试验应能承受300kg载荷下变形量≤0.5mm，水平受力试验下框架变形量≤0.7mm，整体破坏载荷≥60kN,中性盐雾62h,保护检测结果判定为≥10级，耐温度性能（≧100℃）6h 后，样品无变形变色等异常，全部符合的检验报告作为佐证。</w:t>
            </w:r>
          </w:p>
        </w:tc>
        <w:tc>
          <w:tcPr>
            <w:tcW w:w="558" w:type="dxa"/>
            <w:shd w:val="clear" w:color="auto" w:fill="auto"/>
            <w:vAlign w:val="center"/>
          </w:tcPr>
          <w:p w14:paraId="788C14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756" w:type="dxa"/>
            <w:shd w:val="clear" w:color="auto" w:fill="auto"/>
            <w:vAlign w:val="center"/>
          </w:tcPr>
          <w:p w14:paraId="43E206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6BDEEF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95250</wp:posOffset>
                  </wp:positionH>
                  <wp:positionV relativeFrom="paragraph">
                    <wp:posOffset>142875</wp:posOffset>
                  </wp:positionV>
                  <wp:extent cx="631190" cy="461010"/>
                  <wp:effectExtent l="0" t="0" r="16510" b="15240"/>
                  <wp:wrapNone/>
                  <wp:docPr id="269" name="图片_48_SpCnt_1"/>
                  <wp:cNvGraphicFramePr/>
                  <a:graphic xmlns:a="http://schemas.openxmlformats.org/drawingml/2006/main">
                    <a:graphicData uri="http://schemas.openxmlformats.org/drawingml/2006/picture">
                      <pic:pic xmlns:pic="http://schemas.openxmlformats.org/drawingml/2006/picture">
                        <pic:nvPicPr>
                          <pic:cNvPr id="269" name="图片_48_SpCnt_1"/>
                          <pic:cNvPicPr/>
                        </pic:nvPicPr>
                        <pic:blipFill>
                          <a:blip r:embed="rId37"/>
                          <a:stretch>
                            <a:fillRect/>
                          </a:stretch>
                        </pic:blipFill>
                        <pic:spPr>
                          <a:xfrm>
                            <a:off x="0" y="0"/>
                            <a:ext cx="631190" cy="461010"/>
                          </a:xfrm>
                          <a:prstGeom prst="rect">
                            <a:avLst/>
                          </a:prstGeom>
                          <a:noFill/>
                          <a:ln>
                            <a:noFill/>
                          </a:ln>
                        </pic:spPr>
                      </pic:pic>
                    </a:graphicData>
                  </a:graphic>
                </wp:anchor>
              </w:drawing>
            </w:r>
          </w:p>
        </w:tc>
      </w:tr>
      <w:tr w14:paraId="431A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194" w:type="dxa"/>
            <w:gridSpan w:val="2"/>
            <w:shd w:val="clear" w:color="auto" w:fill="auto"/>
            <w:noWrap/>
            <w:vAlign w:val="center"/>
          </w:tcPr>
          <w:p w14:paraId="3669ACB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更衣室</w:t>
            </w:r>
          </w:p>
        </w:tc>
        <w:tc>
          <w:tcPr>
            <w:tcW w:w="4964" w:type="dxa"/>
            <w:shd w:val="clear" w:color="auto" w:fill="auto"/>
            <w:noWrap/>
            <w:vAlign w:val="center"/>
          </w:tcPr>
          <w:p w14:paraId="3322C852">
            <w:pPr>
              <w:jc w:val="left"/>
              <w:rPr>
                <w:rFonts w:hint="eastAsia" w:ascii="宋体" w:hAnsi="宋体" w:eastAsia="宋体" w:cs="宋体"/>
                <w:i w:val="0"/>
                <w:iCs w:val="0"/>
                <w:color w:val="auto"/>
                <w:sz w:val="22"/>
                <w:szCs w:val="22"/>
                <w:highlight w:val="none"/>
                <w:u w:val="none"/>
              </w:rPr>
            </w:pPr>
          </w:p>
        </w:tc>
        <w:tc>
          <w:tcPr>
            <w:tcW w:w="558" w:type="dxa"/>
            <w:shd w:val="clear" w:color="auto" w:fill="auto"/>
            <w:noWrap/>
            <w:vAlign w:val="center"/>
          </w:tcPr>
          <w:p w14:paraId="38EBAB5F">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33AE4992">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379437B0">
            <w:pPr>
              <w:rPr>
                <w:rFonts w:hint="eastAsia" w:ascii="宋体" w:hAnsi="宋体" w:eastAsia="宋体" w:cs="宋体"/>
                <w:i w:val="0"/>
                <w:iCs w:val="0"/>
                <w:color w:val="auto"/>
                <w:sz w:val="22"/>
                <w:szCs w:val="22"/>
                <w:highlight w:val="none"/>
                <w:u w:val="none"/>
              </w:rPr>
            </w:pPr>
          </w:p>
        </w:tc>
      </w:tr>
      <w:tr w14:paraId="6EDD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jc w:val="center"/>
        </w:trPr>
        <w:tc>
          <w:tcPr>
            <w:tcW w:w="658" w:type="dxa"/>
            <w:shd w:val="clear" w:color="auto" w:fill="auto"/>
            <w:vAlign w:val="center"/>
          </w:tcPr>
          <w:p w14:paraId="20A6C7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6EAC7B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top"/>
          </w:tcPr>
          <w:p w14:paraId="75545231">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4DB9E1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12DB62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noWrap/>
            <w:vAlign w:val="center"/>
          </w:tcPr>
          <w:p w14:paraId="2856F2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161925</wp:posOffset>
                  </wp:positionH>
                  <wp:positionV relativeFrom="paragraph">
                    <wp:posOffset>19050</wp:posOffset>
                  </wp:positionV>
                  <wp:extent cx="492760" cy="701040"/>
                  <wp:effectExtent l="0" t="0" r="2540" b="3810"/>
                  <wp:wrapNone/>
                  <wp:docPr id="270" name="图片_60_SpCnt_4"/>
                  <wp:cNvGraphicFramePr/>
                  <a:graphic xmlns:a="http://schemas.openxmlformats.org/drawingml/2006/main">
                    <a:graphicData uri="http://schemas.openxmlformats.org/drawingml/2006/picture">
                      <pic:pic xmlns:pic="http://schemas.openxmlformats.org/drawingml/2006/picture">
                        <pic:nvPicPr>
                          <pic:cNvPr id="270" name="图片_60_SpCnt_4"/>
                          <pic:cNvPicPr/>
                        </pic:nvPicPr>
                        <pic:blipFill>
                          <a:blip r:embed="rId102"/>
                          <a:stretch>
                            <a:fillRect/>
                          </a:stretch>
                        </pic:blipFill>
                        <pic:spPr>
                          <a:xfrm>
                            <a:off x="0" y="0"/>
                            <a:ext cx="492760" cy="701040"/>
                          </a:xfrm>
                          <a:prstGeom prst="rect">
                            <a:avLst/>
                          </a:prstGeom>
                          <a:noFill/>
                          <a:ln>
                            <a:noFill/>
                          </a:ln>
                        </pic:spPr>
                      </pic:pic>
                    </a:graphicData>
                  </a:graphic>
                </wp:anchor>
              </w:drawing>
            </w:r>
          </w:p>
        </w:tc>
      </w:tr>
      <w:tr w14:paraId="6D77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0" w:hRule="atLeast"/>
          <w:jc w:val="center"/>
        </w:trPr>
        <w:tc>
          <w:tcPr>
            <w:tcW w:w="658" w:type="dxa"/>
            <w:shd w:val="clear" w:color="auto" w:fill="auto"/>
            <w:vAlign w:val="center"/>
          </w:tcPr>
          <w:p w14:paraId="258255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37484C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不锈钢储存柜</w:t>
            </w:r>
          </w:p>
        </w:tc>
        <w:tc>
          <w:tcPr>
            <w:tcW w:w="4964" w:type="dxa"/>
            <w:shd w:val="clear" w:color="auto" w:fill="auto"/>
            <w:vAlign w:val="center"/>
          </w:tcPr>
          <w:p w14:paraId="328959E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说明：采用优质发纹贴塑不锈钢板制做，底板、层板δ1.0mm；侧板、门面、后板δ0.8mm；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规格：900mm×400mm×1800mm</w:t>
            </w:r>
          </w:p>
        </w:tc>
        <w:tc>
          <w:tcPr>
            <w:tcW w:w="558" w:type="dxa"/>
            <w:shd w:val="clear" w:color="auto" w:fill="auto"/>
            <w:vAlign w:val="center"/>
          </w:tcPr>
          <w:p w14:paraId="3E9E9D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56" w:type="dxa"/>
            <w:shd w:val="clear" w:color="auto" w:fill="auto"/>
            <w:vAlign w:val="center"/>
          </w:tcPr>
          <w:p w14:paraId="58CE62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12CF72D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266065</wp:posOffset>
                  </wp:positionH>
                  <wp:positionV relativeFrom="paragraph">
                    <wp:posOffset>47625</wp:posOffset>
                  </wp:positionV>
                  <wp:extent cx="388620" cy="636270"/>
                  <wp:effectExtent l="0" t="0" r="11430" b="11430"/>
                  <wp:wrapNone/>
                  <wp:docPr id="271" name="图片_214_SpCnt_1"/>
                  <wp:cNvGraphicFramePr/>
                  <a:graphic xmlns:a="http://schemas.openxmlformats.org/drawingml/2006/main">
                    <a:graphicData uri="http://schemas.openxmlformats.org/drawingml/2006/picture">
                      <pic:pic xmlns:pic="http://schemas.openxmlformats.org/drawingml/2006/picture">
                        <pic:nvPicPr>
                          <pic:cNvPr id="271" name="图片_214_SpCnt_1"/>
                          <pic:cNvPicPr/>
                        </pic:nvPicPr>
                        <pic:blipFill>
                          <a:blip r:embed="rId32"/>
                          <a:stretch>
                            <a:fillRect/>
                          </a:stretch>
                        </pic:blipFill>
                        <pic:spPr>
                          <a:xfrm>
                            <a:off x="0" y="0"/>
                            <a:ext cx="388620" cy="636270"/>
                          </a:xfrm>
                          <a:prstGeom prst="rect">
                            <a:avLst/>
                          </a:prstGeom>
                          <a:noFill/>
                          <a:ln>
                            <a:noFill/>
                          </a:ln>
                        </pic:spPr>
                      </pic:pic>
                    </a:graphicData>
                  </a:graphic>
                </wp:anchor>
              </w:drawing>
            </w:r>
          </w:p>
        </w:tc>
      </w:tr>
      <w:tr w14:paraId="6068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58" w:type="dxa"/>
            <w:shd w:val="clear" w:color="auto" w:fill="auto"/>
            <w:vAlign w:val="center"/>
          </w:tcPr>
          <w:p w14:paraId="6A3994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34C500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四层不锈钢储物柜</w:t>
            </w:r>
          </w:p>
        </w:tc>
        <w:tc>
          <w:tcPr>
            <w:tcW w:w="4964" w:type="dxa"/>
            <w:shd w:val="clear" w:color="auto" w:fill="auto"/>
            <w:vAlign w:val="center"/>
          </w:tcPr>
          <w:p w14:paraId="795D8AC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说明：采用SUS304-2B优质不锈钢板制造，δ=1.2mm。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规格：1200mm×400mm×1000mm</w:t>
            </w:r>
          </w:p>
        </w:tc>
        <w:tc>
          <w:tcPr>
            <w:tcW w:w="558" w:type="dxa"/>
            <w:shd w:val="clear" w:color="auto" w:fill="auto"/>
            <w:vAlign w:val="center"/>
          </w:tcPr>
          <w:p w14:paraId="4BBC4C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200535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57AEABB8">
            <w:pPr>
              <w:rPr>
                <w:rFonts w:hint="eastAsia" w:ascii="宋体" w:hAnsi="宋体" w:eastAsia="宋体" w:cs="宋体"/>
                <w:i w:val="0"/>
                <w:iCs w:val="0"/>
                <w:color w:val="auto"/>
                <w:sz w:val="22"/>
                <w:szCs w:val="22"/>
                <w:highlight w:val="none"/>
                <w:u w:val="none"/>
              </w:rPr>
            </w:pPr>
          </w:p>
        </w:tc>
      </w:tr>
      <w:tr w14:paraId="423F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2194" w:type="dxa"/>
            <w:gridSpan w:val="2"/>
            <w:shd w:val="clear" w:color="auto" w:fill="auto"/>
            <w:noWrap/>
            <w:vAlign w:val="center"/>
          </w:tcPr>
          <w:p w14:paraId="7EB7EA9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消毒房</w:t>
            </w:r>
          </w:p>
        </w:tc>
        <w:tc>
          <w:tcPr>
            <w:tcW w:w="4964" w:type="dxa"/>
            <w:shd w:val="clear" w:color="auto" w:fill="auto"/>
            <w:noWrap/>
            <w:vAlign w:val="center"/>
          </w:tcPr>
          <w:p w14:paraId="58352977">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501FEC10">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688C9B59">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2A97941E">
            <w:pPr>
              <w:rPr>
                <w:rFonts w:hint="eastAsia" w:ascii="宋体" w:hAnsi="宋体" w:eastAsia="宋体" w:cs="宋体"/>
                <w:i w:val="0"/>
                <w:iCs w:val="0"/>
                <w:color w:val="auto"/>
                <w:sz w:val="22"/>
                <w:szCs w:val="22"/>
                <w:highlight w:val="none"/>
                <w:u w:val="none"/>
              </w:rPr>
            </w:pPr>
          </w:p>
        </w:tc>
      </w:tr>
      <w:tr w14:paraId="6437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0" w:hRule="atLeast"/>
          <w:jc w:val="center"/>
        </w:trPr>
        <w:tc>
          <w:tcPr>
            <w:tcW w:w="658" w:type="dxa"/>
            <w:shd w:val="clear" w:color="auto" w:fill="auto"/>
            <w:noWrap/>
            <w:vAlign w:val="center"/>
          </w:tcPr>
          <w:p w14:paraId="6B1924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noWrap/>
            <w:vAlign w:val="center"/>
          </w:tcPr>
          <w:p w14:paraId="6CB4CD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消毒房</w:t>
            </w:r>
          </w:p>
        </w:tc>
        <w:tc>
          <w:tcPr>
            <w:tcW w:w="4964" w:type="dxa"/>
            <w:shd w:val="clear" w:color="auto" w:fill="auto"/>
            <w:vAlign w:val="center"/>
          </w:tcPr>
          <w:p w14:paraId="734A38B5">
            <w:pPr>
              <w:keepNext w:val="0"/>
              <w:keepLines w:val="0"/>
              <w:widowControl/>
              <w:suppressLineNumbers w:val="0"/>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库体采用不锈钢75mm厚环戊烷发泡；内板采用优质不锈钢为0.6mm厚，外边采用优质喷塑材料为201厚0.6mm,库门为手动平开门，用双层0.7mm厚不锈钢304板制作，E型硅胶条密封，玻璃窗为双层40mm耐高温真空玻璃，内部送风管道1.5mm厚不锈钢304板制作。控制模式，智能电脑版，控温范围10一120度，可调节设置。控时范围5一90分钟，可调节设置，3秒自动记忆功能，超温保护设置功能，超温自动停机。附加，耐高温，库内灯LED顶灯四个，一健开关，可门控。快速散温控制，室内空间不能吸收，散发高温，需要对室外接通散温管道。人工一健操作；温度实时数码显示，数据安全操作。底台高80mm防滑铝板斜坡台，底部铺设防滑库板。加热组机：1200X1000x1000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电压：380V 50HZ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功率：24KW循环机组：790Pa二组电压：380V 50HZ功率：750WX2</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消毒库总功率：26</w:t>
            </w:r>
            <w:r>
              <w:rPr>
                <w:rFonts w:hint="eastAsia" w:ascii="宋体" w:hAnsi="宋体" w:cs="宋体"/>
                <w:i w:val="0"/>
                <w:iCs w:val="0"/>
                <w:color w:val="auto"/>
                <w:kern w:val="0"/>
                <w:sz w:val="22"/>
                <w:szCs w:val="22"/>
                <w:highlight w:val="none"/>
                <w:u w:val="none"/>
                <w:lang w:val="en-US" w:eastAsia="zh-CN" w:bidi="ar"/>
              </w:rPr>
              <w:t>KW</w:t>
            </w:r>
          </w:p>
        </w:tc>
        <w:tc>
          <w:tcPr>
            <w:tcW w:w="558" w:type="dxa"/>
            <w:shd w:val="clear" w:color="auto" w:fill="auto"/>
            <w:noWrap/>
            <w:vAlign w:val="center"/>
          </w:tcPr>
          <w:p w14:paraId="525D33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756" w:type="dxa"/>
            <w:shd w:val="clear" w:color="auto" w:fill="auto"/>
            <w:noWrap/>
            <w:vAlign w:val="center"/>
          </w:tcPr>
          <w:p w14:paraId="04D68F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m³</w:t>
            </w:r>
          </w:p>
        </w:tc>
        <w:tc>
          <w:tcPr>
            <w:tcW w:w="1571" w:type="dxa"/>
            <w:shd w:val="clear" w:color="auto" w:fill="auto"/>
            <w:noWrap/>
            <w:vAlign w:val="center"/>
          </w:tcPr>
          <w:p w14:paraId="545039D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571500</wp:posOffset>
                  </wp:positionV>
                  <wp:extent cx="528320" cy="668020"/>
                  <wp:effectExtent l="0" t="0" r="5080" b="17780"/>
                  <wp:wrapNone/>
                  <wp:docPr id="272" name="图片_87"/>
                  <wp:cNvGraphicFramePr/>
                  <a:graphic xmlns:a="http://schemas.openxmlformats.org/drawingml/2006/main">
                    <a:graphicData uri="http://schemas.openxmlformats.org/drawingml/2006/picture">
                      <pic:pic xmlns:pic="http://schemas.openxmlformats.org/drawingml/2006/picture">
                        <pic:nvPicPr>
                          <pic:cNvPr id="272" name="图片_87"/>
                          <pic:cNvPicPr/>
                        </pic:nvPicPr>
                        <pic:blipFill>
                          <a:blip r:embed="rId46"/>
                          <a:stretch>
                            <a:fillRect/>
                          </a:stretch>
                        </pic:blipFill>
                        <pic:spPr>
                          <a:xfrm>
                            <a:off x="0" y="0"/>
                            <a:ext cx="528320" cy="668020"/>
                          </a:xfrm>
                          <a:prstGeom prst="rect">
                            <a:avLst/>
                          </a:prstGeom>
                          <a:noFill/>
                          <a:ln>
                            <a:noFill/>
                          </a:ln>
                        </pic:spPr>
                      </pic:pic>
                    </a:graphicData>
                  </a:graphic>
                </wp:anchor>
              </w:drawing>
            </w:r>
          </w:p>
        </w:tc>
      </w:tr>
      <w:tr w14:paraId="26F0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0" w:hRule="atLeast"/>
          <w:jc w:val="center"/>
        </w:trPr>
        <w:tc>
          <w:tcPr>
            <w:tcW w:w="658" w:type="dxa"/>
            <w:shd w:val="clear" w:color="auto" w:fill="auto"/>
            <w:noWrap/>
            <w:vAlign w:val="center"/>
          </w:tcPr>
          <w:p w14:paraId="6C8094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0D2332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消毒车</w:t>
            </w:r>
          </w:p>
        </w:tc>
        <w:tc>
          <w:tcPr>
            <w:tcW w:w="4964" w:type="dxa"/>
            <w:shd w:val="clear" w:color="auto" w:fill="auto"/>
            <w:vAlign w:val="center"/>
          </w:tcPr>
          <w:p w14:paraId="512BA55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采用SUS304-2B优质不锈钢板制造，厚度1.2mm，配优质5寸耐高温定向、万向轮。称重≥150KG。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规格：1000*500*900mm</w:t>
            </w:r>
          </w:p>
        </w:tc>
        <w:tc>
          <w:tcPr>
            <w:tcW w:w="558" w:type="dxa"/>
            <w:shd w:val="clear" w:color="auto" w:fill="auto"/>
            <w:vAlign w:val="center"/>
          </w:tcPr>
          <w:p w14:paraId="623295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756" w:type="dxa"/>
            <w:shd w:val="clear" w:color="auto" w:fill="auto"/>
            <w:vAlign w:val="center"/>
          </w:tcPr>
          <w:p w14:paraId="0E5758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1A4FF89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219075</wp:posOffset>
                  </wp:positionH>
                  <wp:positionV relativeFrom="paragraph">
                    <wp:posOffset>66675</wp:posOffset>
                  </wp:positionV>
                  <wp:extent cx="623570" cy="626745"/>
                  <wp:effectExtent l="0" t="0" r="5080" b="1905"/>
                  <wp:wrapNone/>
                  <wp:docPr id="273" name="图片_88"/>
                  <wp:cNvGraphicFramePr/>
                  <a:graphic xmlns:a="http://schemas.openxmlformats.org/drawingml/2006/main">
                    <a:graphicData uri="http://schemas.openxmlformats.org/drawingml/2006/picture">
                      <pic:pic xmlns:pic="http://schemas.openxmlformats.org/drawingml/2006/picture">
                        <pic:nvPicPr>
                          <pic:cNvPr id="273" name="图片_88"/>
                          <pic:cNvPicPr/>
                        </pic:nvPicPr>
                        <pic:blipFill>
                          <a:blip r:embed="rId48"/>
                          <a:stretch>
                            <a:fillRect/>
                          </a:stretch>
                        </pic:blipFill>
                        <pic:spPr>
                          <a:xfrm>
                            <a:off x="0" y="0"/>
                            <a:ext cx="623570" cy="626745"/>
                          </a:xfrm>
                          <a:prstGeom prst="rect">
                            <a:avLst/>
                          </a:prstGeom>
                          <a:noFill/>
                          <a:ln>
                            <a:noFill/>
                          </a:ln>
                        </pic:spPr>
                      </pic:pic>
                    </a:graphicData>
                  </a:graphic>
                </wp:anchor>
              </w:drawing>
            </w:r>
          </w:p>
        </w:tc>
      </w:tr>
      <w:tr w14:paraId="2325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71" w:hRule="atLeast"/>
          <w:jc w:val="center"/>
        </w:trPr>
        <w:tc>
          <w:tcPr>
            <w:tcW w:w="658" w:type="dxa"/>
            <w:shd w:val="clear" w:color="auto" w:fill="auto"/>
            <w:noWrap/>
            <w:vAlign w:val="center"/>
          </w:tcPr>
          <w:p w14:paraId="62B809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726FD5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三层平板货架</w:t>
            </w:r>
          </w:p>
        </w:tc>
        <w:tc>
          <w:tcPr>
            <w:tcW w:w="4964" w:type="dxa"/>
            <w:shd w:val="clear" w:color="auto" w:fill="auto"/>
            <w:vAlign w:val="top"/>
          </w:tcPr>
          <w:p w14:paraId="62080F08">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说明：采用SUS304-2B优质不锈钢板制造，骨架δ=1.0mm；平板δ=1.0mm；配置38mm×38m不锈钢可调节重力子弹脚。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规格：1200*500*1750mm</w:t>
            </w:r>
          </w:p>
        </w:tc>
        <w:tc>
          <w:tcPr>
            <w:tcW w:w="558" w:type="dxa"/>
            <w:shd w:val="clear" w:color="auto" w:fill="auto"/>
            <w:vAlign w:val="center"/>
          </w:tcPr>
          <w:p w14:paraId="1581A7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auto"/>
            <w:vAlign w:val="center"/>
          </w:tcPr>
          <w:p w14:paraId="1EF4D2F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185E634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222250</wp:posOffset>
                  </wp:positionH>
                  <wp:positionV relativeFrom="paragraph">
                    <wp:posOffset>60325</wp:posOffset>
                  </wp:positionV>
                  <wp:extent cx="539750" cy="615950"/>
                  <wp:effectExtent l="0" t="0" r="12700" b="12700"/>
                  <wp:wrapNone/>
                  <wp:docPr id="274" name="图片_151"/>
                  <wp:cNvGraphicFramePr/>
                  <a:graphic xmlns:a="http://schemas.openxmlformats.org/drawingml/2006/main">
                    <a:graphicData uri="http://schemas.openxmlformats.org/drawingml/2006/picture">
                      <pic:pic xmlns:pic="http://schemas.openxmlformats.org/drawingml/2006/picture">
                        <pic:nvPicPr>
                          <pic:cNvPr id="274" name="图片_151"/>
                          <pic:cNvPicPr/>
                        </pic:nvPicPr>
                        <pic:blipFill>
                          <a:blip r:embed="rId103"/>
                          <a:stretch>
                            <a:fillRect/>
                          </a:stretch>
                        </pic:blipFill>
                        <pic:spPr>
                          <a:xfrm>
                            <a:off x="0" y="0"/>
                            <a:ext cx="539750" cy="615950"/>
                          </a:xfrm>
                          <a:prstGeom prst="rect">
                            <a:avLst/>
                          </a:prstGeom>
                          <a:noFill/>
                          <a:ln>
                            <a:noFill/>
                          </a:ln>
                        </pic:spPr>
                      </pic:pic>
                    </a:graphicData>
                  </a:graphic>
                </wp:anchor>
              </w:drawing>
            </w:r>
          </w:p>
        </w:tc>
      </w:tr>
      <w:tr w14:paraId="6A82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2194" w:type="dxa"/>
            <w:gridSpan w:val="2"/>
            <w:shd w:val="clear" w:color="auto" w:fill="auto"/>
            <w:noWrap/>
            <w:vAlign w:val="center"/>
          </w:tcPr>
          <w:p w14:paraId="7F13212C">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蒸煮间</w:t>
            </w:r>
          </w:p>
        </w:tc>
        <w:tc>
          <w:tcPr>
            <w:tcW w:w="4964" w:type="dxa"/>
            <w:shd w:val="clear" w:color="auto" w:fill="auto"/>
            <w:noWrap/>
            <w:vAlign w:val="center"/>
          </w:tcPr>
          <w:p w14:paraId="1554895D">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5E306E2C">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290125B4">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4E677CE3">
            <w:pPr>
              <w:rPr>
                <w:rFonts w:hint="eastAsia" w:ascii="宋体" w:hAnsi="宋体" w:eastAsia="宋体" w:cs="宋体"/>
                <w:i w:val="0"/>
                <w:iCs w:val="0"/>
                <w:color w:val="auto"/>
                <w:sz w:val="22"/>
                <w:szCs w:val="22"/>
                <w:highlight w:val="none"/>
                <w:u w:val="none"/>
              </w:rPr>
            </w:pPr>
          </w:p>
        </w:tc>
      </w:tr>
      <w:tr w14:paraId="40F9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0" w:hRule="atLeast"/>
          <w:jc w:val="center"/>
        </w:trPr>
        <w:tc>
          <w:tcPr>
            <w:tcW w:w="658" w:type="dxa"/>
            <w:shd w:val="clear" w:color="auto" w:fill="auto"/>
            <w:vAlign w:val="center"/>
          </w:tcPr>
          <w:p w14:paraId="00377D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17AD89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电磁双门蒸饭车</w:t>
            </w:r>
          </w:p>
        </w:tc>
        <w:tc>
          <w:tcPr>
            <w:tcW w:w="4964" w:type="dxa"/>
            <w:shd w:val="clear" w:color="auto" w:fill="auto"/>
            <w:vAlign w:val="center"/>
          </w:tcPr>
          <w:p w14:paraId="391ACF0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说明：1、采用SUS304-2B优质不锈钢板制造，灶面板采用一体成型面板，炉体采用优质全不锈钢骨架。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2、0至99档无级功率调节技术，机芯采用分层次散热结构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3、具有全中文显示故障代码功能，让操作更人性化，档位对应功率显示。让操作更加直观。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4、后背防水风机。</w:t>
            </w:r>
            <w:r>
              <w:rPr>
                <w:rFonts w:hint="eastAsia" w:ascii="宋体" w:hAnsi="宋体" w:cs="宋体"/>
                <w:i w:val="0"/>
                <w:iCs w:val="0"/>
                <w:color w:val="auto"/>
                <w:kern w:val="0"/>
                <w:sz w:val="22"/>
                <w:szCs w:val="22"/>
                <w:highlight w:val="none"/>
                <w:u w:val="none"/>
                <w:lang w:val="en-US" w:eastAsia="zh-CN" w:bidi="ar"/>
              </w:rPr>
              <w:t>具有</w:t>
            </w:r>
            <w:r>
              <w:rPr>
                <w:rFonts w:ascii="Segoe UI" w:hAnsi="Segoe UI" w:eastAsia="Segoe UI" w:cs="Segoe UI"/>
                <w:i w:val="0"/>
                <w:iCs w:val="0"/>
                <w:caps w:val="0"/>
                <w:color w:val="auto"/>
                <w:spacing w:val="0"/>
                <w:sz w:val="24"/>
                <w:szCs w:val="24"/>
                <w:highlight w:val="none"/>
                <w:shd w:val="clear" w:fill="FFFFFF"/>
              </w:rPr>
              <w:t>“缺水断电</w:t>
            </w:r>
            <w:r>
              <w:rPr>
                <w:rFonts w:hint="eastAsia" w:ascii="Segoe UI" w:hAnsi="Segoe UI" w:eastAsia="宋体" w:cs="Segoe UI"/>
                <w:i w:val="0"/>
                <w:iCs w:val="0"/>
                <w:caps w:val="0"/>
                <w:color w:val="auto"/>
                <w:spacing w:val="0"/>
                <w:sz w:val="24"/>
                <w:szCs w:val="24"/>
                <w:highlight w:val="none"/>
                <w:shd w:val="clear" w:fill="FFFFFF"/>
                <w:lang w:val="en-US" w:eastAsia="zh-CN"/>
              </w:rPr>
              <w:t>和</w:t>
            </w:r>
            <w:r>
              <w:rPr>
                <w:rFonts w:ascii="Segoe UI" w:hAnsi="Segoe UI" w:eastAsia="Segoe UI" w:cs="Segoe UI"/>
                <w:i w:val="0"/>
                <w:iCs w:val="0"/>
                <w:caps w:val="0"/>
                <w:color w:val="auto"/>
                <w:spacing w:val="0"/>
                <w:sz w:val="24"/>
                <w:szCs w:val="24"/>
                <w:highlight w:val="none"/>
                <w:shd w:val="clear" w:fill="FFFFFF"/>
              </w:rPr>
              <w:t>”过载保护、自动断电</w:t>
            </w:r>
            <w:r>
              <w:rPr>
                <w:rFonts w:hint="eastAsia" w:ascii="Segoe UI" w:hAnsi="Segoe UI" w:eastAsia="宋体" w:cs="Segoe UI"/>
                <w:i w:val="0"/>
                <w:iCs w:val="0"/>
                <w:caps w:val="0"/>
                <w:color w:val="auto"/>
                <w:spacing w:val="0"/>
                <w:sz w:val="24"/>
                <w:szCs w:val="24"/>
                <w:highlight w:val="none"/>
                <w:shd w:val="clear" w:fill="FFFFFF"/>
                <w:lang w:val="en-US" w:eastAsia="zh-CN"/>
              </w:rPr>
              <w:t>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5、聚能线盘节能设计，线圈盘无盲区，比传统灶节能30%以上。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6、移相搭桥电路控制技术，性能卓越运行稳定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7、超宽工作电压设计，运行稳定更安全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8、电路防磁干扰EMC模块设计，保护电网及电器设备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9.箱内24层，配饭盘24只。</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电压\功率：380V12KW×2</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规格：24盘</w:t>
            </w:r>
          </w:p>
        </w:tc>
        <w:tc>
          <w:tcPr>
            <w:tcW w:w="558" w:type="dxa"/>
            <w:shd w:val="clear" w:color="auto" w:fill="auto"/>
            <w:vAlign w:val="center"/>
          </w:tcPr>
          <w:p w14:paraId="405509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56" w:type="dxa"/>
            <w:shd w:val="clear" w:color="auto" w:fill="auto"/>
            <w:vAlign w:val="center"/>
          </w:tcPr>
          <w:p w14:paraId="6DD0FC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7767460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104775</wp:posOffset>
                  </wp:positionH>
                  <wp:positionV relativeFrom="paragraph">
                    <wp:posOffset>333375</wp:posOffset>
                  </wp:positionV>
                  <wp:extent cx="742950" cy="1244600"/>
                  <wp:effectExtent l="0" t="0" r="0" b="12700"/>
                  <wp:wrapNone/>
                  <wp:docPr id="275" name="图片_52_SpCnt_1"/>
                  <wp:cNvGraphicFramePr/>
                  <a:graphic xmlns:a="http://schemas.openxmlformats.org/drawingml/2006/main">
                    <a:graphicData uri="http://schemas.openxmlformats.org/drawingml/2006/picture">
                      <pic:pic xmlns:pic="http://schemas.openxmlformats.org/drawingml/2006/picture">
                        <pic:nvPicPr>
                          <pic:cNvPr id="275" name="图片_52_SpCnt_1"/>
                          <pic:cNvPicPr/>
                        </pic:nvPicPr>
                        <pic:blipFill>
                          <a:blip r:embed="rId104"/>
                          <a:stretch>
                            <a:fillRect/>
                          </a:stretch>
                        </pic:blipFill>
                        <pic:spPr>
                          <a:xfrm>
                            <a:off x="0" y="0"/>
                            <a:ext cx="742950" cy="1244600"/>
                          </a:xfrm>
                          <a:prstGeom prst="rect">
                            <a:avLst/>
                          </a:prstGeom>
                          <a:noFill/>
                          <a:ln>
                            <a:noFill/>
                          </a:ln>
                        </pic:spPr>
                      </pic:pic>
                    </a:graphicData>
                  </a:graphic>
                </wp:anchor>
              </w:drawing>
            </w:r>
          </w:p>
        </w:tc>
      </w:tr>
      <w:tr w14:paraId="5BAE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0" w:hRule="atLeast"/>
          <w:jc w:val="center"/>
        </w:trPr>
        <w:tc>
          <w:tcPr>
            <w:tcW w:w="658" w:type="dxa"/>
            <w:shd w:val="clear" w:color="auto" w:fill="auto"/>
            <w:vAlign w:val="center"/>
          </w:tcPr>
          <w:p w14:paraId="7F1F16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340965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四层平板货架</w:t>
            </w:r>
          </w:p>
        </w:tc>
        <w:tc>
          <w:tcPr>
            <w:tcW w:w="4964" w:type="dxa"/>
            <w:shd w:val="clear" w:color="auto" w:fill="auto"/>
            <w:vAlign w:val="top"/>
          </w:tcPr>
          <w:p w14:paraId="5B105F59">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说明：选用SUS304-2B优质不锈钢板制作；层板δ≥1.2mm，实厚δ≥1.18mm；立柱为φ38*38mm加厚方管制，实厚δ≥0.89mm；层板型，四层结构，下衬不锈钢加强筋，实厚δ≥0.89mm；配置重力不锈钢可调节子弹脚。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规格：1200*500*1550mm</w:t>
            </w:r>
          </w:p>
          <w:p w14:paraId="498B06E3">
            <w:pPr>
              <w:keepNext w:val="0"/>
              <w:keepLines w:val="0"/>
              <w:widowControl/>
              <w:suppressLineNumbers w:val="0"/>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●提供所投产品符合四层平板货架GB/T38160-2019《不锈钢厨房设备 存放架》、GB4806.9-2023、GB/T2651-2023《焊接接头拉伸试验方法》焊接外观检测结果单项为合格，立柱与横梁垂直度形位公差≤3mm，后对承载试验应能承受300kg载荷下变形量≤0.5mm，水平受力试验下框架变形量≤0.7mm，整体破坏载荷≥60kN,抗拉强度≥580，中性盐雾62h,保护检测结果判定为≥10级全部符合的检测报告作为佐证。</w:t>
            </w:r>
          </w:p>
        </w:tc>
        <w:tc>
          <w:tcPr>
            <w:tcW w:w="558" w:type="dxa"/>
            <w:shd w:val="clear" w:color="auto" w:fill="auto"/>
            <w:vAlign w:val="center"/>
          </w:tcPr>
          <w:p w14:paraId="74B6A6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6FD1CB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5782CF5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200025</wp:posOffset>
                  </wp:positionH>
                  <wp:positionV relativeFrom="paragraph">
                    <wp:posOffset>47625</wp:posOffset>
                  </wp:positionV>
                  <wp:extent cx="601980" cy="830580"/>
                  <wp:effectExtent l="0" t="0" r="7620" b="7620"/>
                  <wp:wrapNone/>
                  <wp:docPr id="276" name="图片_38_SpCnt_1"/>
                  <wp:cNvGraphicFramePr/>
                  <a:graphic xmlns:a="http://schemas.openxmlformats.org/drawingml/2006/main">
                    <a:graphicData uri="http://schemas.openxmlformats.org/drawingml/2006/picture">
                      <pic:pic xmlns:pic="http://schemas.openxmlformats.org/drawingml/2006/picture">
                        <pic:nvPicPr>
                          <pic:cNvPr id="276" name="图片_38_SpCnt_1"/>
                          <pic:cNvPicPr/>
                        </pic:nvPicPr>
                        <pic:blipFill>
                          <a:blip r:embed="rId105"/>
                          <a:stretch>
                            <a:fillRect/>
                          </a:stretch>
                        </pic:blipFill>
                        <pic:spPr>
                          <a:xfrm>
                            <a:off x="0" y="0"/>
                            <a:ext cx="601980" cy="830580"/>
                          </a:xfrm>
                          <a:prstGeom prst="rect">
                            <a:avLst/>
                          </a:prstGeom>
                          <a:noFill/>
                          <a:ln>
                            <a:noFill/>
                          </a:ln>
                        </pic:spPr>
                      </pic:pic>
                    </a:graphicData>
                  </a:graphic>
                </wp:anchor>
              </w:drawing>
            </w:r>
          </w:p>
        </w:tc>
      </w:tr>
      <w:tr w14:paraId="058F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0" w:hRule="atLeast"/>
          <w:jc w:val="center"/>
        </w:trPr>
        <w:tc>
          <w:tcPr>
            <w:tcW w:w="658" w:type="dxa"/>
            <w:shd w:val="clear" w:color="auto" w:fill="auto"/>
            <w:vAlign w:val="center"/>
          </w:tcPr>
          <w:p w14:paraId="381628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14AC44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top"/>
          </w:tcPr>
          <w:p w14:paraId="155DDB8E">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0728FC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5E9C8A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noWrap/>
            <w:vAlign w:val="center"/>
          </w:tcPr>
          <w:p w14:paraId="15EC78A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314325</wp:posOffset>
                  </wp:positionH>
                  <wp:positionV relativeFrom="paragraph">
                    <wp:posOffset>0</wp:posOffset>
                  </wp:positionV>
                  <wp:extent cx="492760" cy="701040"/>
                  <wp:effectExtent l="0" t="0" r="2540" b="3810"/>
                  <wp:wrapNone/>
                  <wp:docPr id="277" name="图片_60_SpCnt_5"/>
                  <wp:cNvGraphicFramePr/>
                  <a:graphic xmlns:a="http://schemas.openxmlformats.org/drawingml/2006/main">
                    <a:graphicData uri="http://schemas.openxmlformats.org/drawingml/2006/picture">
                      <pic:pic xmlns:pic="http://schemas.openxmlformats.org/drawingml/2006/picture">
                        <pic:nvPicPr>
                          <pic:cNvPr id="277" name="图片_60_SpCnt_5"/>
                          <pic:cNvPicPr/>
                        </pic:nvPicPr>
                        <pic:blipFill>
                          <a:blip r:embed="rId106"/>
                          <a:stretch>
                            <a:fillRect/>
                          </a:stretch>
                        </pic:blipFill>
                        <pic:spPr>
                          <a:xfrm>
                            <a:off x="0" y="0"/>
                            <a:ext cx="492760" cy="701040"/>
                          </a:xfrm>
                          <a:prstGeom prst="rect">
                            <a:avLst/>
                          </a:prstGeom>
                          <a:noFill/>
                          <a:ln>
                            <a:noFill/>
                          </a:ln>
                        </pic:spPr>
                      </pic:pic>
                    </a:graphicData>
                  </a:graphic>
                </wp:anchor>
              </w:drawing>
            </w:r>
          </w:p>
        </w:tc>
      </w:tr>
      <w:tr w14:paraId="4C2C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2194" w:type="dxa"/>
            <w:gridSpan w:val="2"/>
            <w:shd w:val="clear" w:color="auto" w:fill="auto"/>
            <w:noWrap/>
            <w:vAlign w:val="center"/>
          </w:tcPr>
          <w:p w14:paraId="3EBE9F6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二次更衣室间</w:t>
            </w:r>
          </w:p>
        </w:tc>
        <w:tc>
          <w:tcPr>
            <w:tcW w:w="4964" w:type="dxa"/>
            <w:shd w:val="clear" w:color="auto" w:fill="auto"/>
            <w:noWrap/>
            <w:vAlign w:val="center"/>
          </w:tcPr>
          <w:p w14:paraId="00DE4867">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6D1821E6">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36D7ABE8">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5078F4BA">
            <w:pPr>
              <w:rPr>
                <w:rFonts w:hint="eastAsia" w:ascii="宋体" w:hAnsi="宋体" w:eastAsia="宋体" w:cs="宋体"/>
                <w:i w:val="0"/>
                <w:iCs w:val="0"/>
                <w:color w:val="auto"/>
                <w:sz w:val="22"/>
                <w:szCs w:val="22"/>
                <w:highlight w:val="none"/>
                <w:u w:val="none"/>
              </w:rPr>
            </w:pPr>
          </w:p>
        </w:tc>
      </w:tr>
      <w:tr w14:paraId="4563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jc w:val="center"/>
        </w:trPr>
        <w:tc>
          <w:tcPr>
            <w:tcW w:w="658" w:type="dxa"/>
            <w:shd w:val="clear" w:color="auto" w:fill="auto"/>
            <w:vAlign w:val="center"/>
          </w:tcPr>
          <w:p w14:paraId="27481F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76BA5D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双星盆水池</w:t>
            </w:r>
          </w:p>
        </w:tc>
        <w:tc>
          <w:tcPr>
            <w:tcW w:w="4964" w:type="dxa"/>
            <w:shd w:val="clear" w:color="auto" w:fill="auto"/>
            <w:vAlign w:val="center"/>
          </w:tcPr>
          <w:p w14:paraId="0C0463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规格：1000*500*800mm</w:t>
            </w:r>
          </w:p>
        </w:tc>
        <w:tc>
          <w:tcPr>
            <w:tcW w:w="558" w:type="dxa"/>
            <w:shd w:val="clear" w:color="auto" w:fill="auto"/>
            <w:vAlign w:val="center"/>
          </w:tcPr>
          <w:p w14:paraId="3D5987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04639A4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6373C18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66675</wp:posOffset>
                  </wp:positionH>
                  <wp:positionV relativeFrom="paragraph">
                    <wp:posOffset>76200</wp:posOffset>
                  </wp:positionV>
                  <wp:extent cx="683895" cy="656590"/>
                  <wp:effectExtent l="0" t="0" r="1905" b="10160"/>
                  <wp:wrapNone/>
                  <wp:docPr id="278" name="图片_33_SpCnt_5"/>
                  <wp:cNvGraphicFramePr/>
                  <a:graphic xmlns:a="http://schemas.openxmlformats.org/drawingml/2006/main">
                    <a:graphicData uri="http://schemas.openxmlformats.org/drawingml/2006/picture">
                      <pic:pic xmlns:pic="http://schemas.openxmlformats.org/drawingml/2006/picture">
                        <pic:nvPicPr>
                          <pic:cNvPr id="278" name="图片_33_SpCnt_5"/>
                          <pic:cNvPicPr/>
                        </pic:nvPicPr>
                        <pic:blipFill>
                          <a:blip r:embed="rId107"/>
                          <a:stretch>
                            <a:fillRect/>
                          </a:stretch>
                        </pic:blipFill>
                        <pic:spPr>
                          <a:xfrm>
                            <a:off x="0" y="0"/>
                            <a:ext cx="683895" cy="656590"/>
                          </a:xfrm>
                          <a:prstGeom prst="rect">
                            <a:avLst/>
                          </a:prstGeom>
                          <a:noFill/>
                          <a:ln>
                            <a:noFill/>
                          </a:ln>
                        </pic:spPr>
                      </pic:pic>
                    </a:graphicData>
                  </a:graphic>
                </wp:anchor>
              </w:drawing>
            </w:r>
          </w:p>
        </w:tc>
      </w:tr>
      <w:tr w14:paraId="52AA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0" w:hRule="atLeast"/>
          <w:jc w:val="center"/>
        </w:trPr>
        <w:tc>
          <w:tcPr>
            <w:tcW w:w="658" w:type="dxa"/>
            <w:shd w:val="clear" w:color="auto" w:fill="auto"/>
            <w:vAlign w:val="center"/>
          </w:tcPr>
          <w:p w14:paraId="46A7D8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1A5336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感应水龙头</w:t>
            </w:r>
          </w:p>
        </w:tc>
        <w:tc>
          <w:tcPr>
            <w:tcW w:w="4964" w:type="dxa"/>
            <w:shd w:val="clear" w:color="auto" w:fill="auto"/>
            <w:vAlign w:val="top"/>
          </w:tcPr>
          <w:p w14:paraId="21697A50">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2000F0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117CE5A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3578716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57150</wp:posOffset>
                  </wp:positionH>
                  <wp:positionV relativeFrom="paragraph">
                    <wp:posOffset>-44450</wp:posOffset>
                  </wp:positionV>
                  <wp:extent cx="717550" cy="610870"/>
                  <wp:effectExtent l="0" t="0" r="6350" b="17780"/>
                  <wp:wrapNone/>
                  <wp:docPr id="279" name="图片_93"/>
                  <wp:cNvGraphicFramePr/>
                  <a:graphic xmlns:a="http://schemas.openxmlformats.org/drawingml/2006/main">
                    <a:graphicData uri="http://schemas.openxmlformats.org/drawingml/2006/picture">
                      <pic:pic xmlns:pic="http://schemas.openxmlformats.org/drawingml/2006/picture">
                        <pic:nvPicPr>
                          <pic:cNvPr id="279" name="图片_93"/>
                          <pic:cNvPicPr/>
                        </pic:nvPicPr>
                        <pic:blipFill>
                          <a:blip r:embed="rId108"/>
                          <a:stretch>
                            <a:fillRect/>
                          </a:stretch>
                        </pic:blipFill>
                        <pic:spPr>
                          <a:xfrm>
                            <a:off x="0" y="0"/>
                            <a:ext cx="717550" cy="610870"/>
                          </a:xfrm>
                          <a:prstGeom prst="rect">
                            <a:avLst/>
                          </a:prstGeom>
                          <a:noFill/>
                          <a:ln>
                            <a:noFill/>
                          </a:ln>
                        </pic:spPr>
                      </pic:pic>
                    </a:graphicData>
                  </a:graphic>
                </wp:anchor>
              </w:drawing>
            </w:r>
          </w:p>
        </w:tc>
      </w:tr>
      <w:tr w14:paraId="441E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jc w:val="center"/>
        </w:trPr>
        <w:tc>
          <w:tcPr>
            <w:tcW w:w="658" w:type="dxa"/>
            <w:shd w:val="clear" w:color="auto" w:fill="auto"/>
            <w:vAlign w:val="center"/>
          </w:tcPr>
          <w:p w14:paraId="4187A1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296445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挂衣钩</w:t>
            </w:r>
          </w:p>
        </w:tc>
        <w:tc>
          <w:tcPr>
            <w:tcW w:w="4964" w:type="dxa"/>
            <w:shd w:val="clear" w:color="auto" w:fill="auto"/>
            <w:vAlign w:val="center"/>
          </w:tcPr>
          <w:p w14:paraId="40F1F94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说明：整体采用304不锈钢制作。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规格：410*45*50mm</w:t>
            </w:r>
          </w:p>
        </w:tc>
        <w:tc>
          <w:tcPr>
            <w:tcW w:w="558" w:type="dxa"/>
            <w:shd w:val="clear" w:color="auto" w:fill="auto"/>
            <w:vAlign w:val="center"/>
          </w:tcPr>
          <w:p w14:paraId="085F85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56" w:type="dxa"/>
            <w:shd w:val="clear" w:color="auto" w:fill="auto"/>
            <w:vAlign w:val="center"/>
          </w:tcPr>
          <w:p w14:paraId="5EEEB57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28E2C9A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161925</wp:posOffset>
                  </wp:positionH>
                  <wp:positionV relativeFrom="paragraph">
                    <wp:posOffset>66675</wp:posOffset>
                  </wp:positionV>
                  <wp:extent cx="476885" cy="241935"/>
                  <wp:effectExtent l="0" t="0" r="18415" b="5715"/>
                  <wp:wrapNone/>
                  <wp:docPr id="280" name="图片_94"/>
                  <wp:cNvGraphicFramePr/>
                  <a:graphic xmlns:a="http://schemas.openxmlformats.org/drawingml/2006/main">
                    <a:graphicData uri="http://schemas.openxmlformats.org/drawingml/2006/picture">
                      <pic:pic xmlns:pic="http://schemas.openxmlformats.org/drawingml/2006/picture">
                        <pic:nvPicPr>
                          <pic:cNvPr id="280" name="图片_94"/>
                          <pic:cNvPicPr/>
                        </pic:nvPicPr>
                        <pic:blipFill>
                          <a:blip r:embed="rId50"/>
                          <a:stretch>
                            <a:fillRect/>
                          </a:stretch>
                        </pic:blipFill>
                        <pic:spPr>
                          <a:xfrm>
                            <a:off x="0" y="0"/>
                            <a:ext cx="476885" cy="241935"/>
                          </a:xfrm>
                          <a:prstGeom prst="rect">
                            <a:avLst/>
                          </a:prstGeom>
                          <a:noFill/>
                          <a:ln>
                            <a:noFill/>
                          </a:ln>
                        </pic:spPr>
                      </pic:pic>
                    </a:graphicData>
                  </a:graphic>
                </wp:anchor>
              </w:drawing>
            </w:r>
          </w:p>
        </w:tc>
      </w:tr>
      <w:tr w14:paraId="5DC8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2194" w:type="dxa"/>
            <w:gridSpan w:val="2"/>
            <w:shd w:val="clear" w:color="auto" w:fill="auto"/>
            <w:noWrap/>
            <w:vAlign w:val="center"/>
          </w:tcPr>
          <w:p w14:paraId="08F22039">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切配间</w:t>
            </w:r>
          </w:p>
        </w:tc>
        <w:tc>
          <w:tcPr>
            <w:tcW w:w="4964" w:type="dxa"/>
            <w:shd w:val="clear" w:color="auto" w:fill="auto"/>
            <w:noWrap/>
            <w:vAlign w:val="center"/>
          </w:tcPr>
          <w:p w14:paraId="512AEB49">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1392360C">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4B1159BC">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609A3484">
            <w:pPr>
              <w:rPr>
                <w:rFonts w:hint="eastAsia" w:ascii="宋体" w:hAnsi="宋体" w:eastAsia="宋体" w:cs="宋体"/>
                <w:i w:val="0"/>
                <w:iCs w:val="0"/>
                <w:color w:val="auto"/>
                <w:sz w:val="22"/>
                <w:szCs w:val="22"/>
                <w:highlight w:val="none"/>
                <w:u w:val="none"/>
              </w:rPr>
            </w:pPr>
          </w:p>
        </w:tc>
      </w:tr>
      <w:tr w14:paraId="0103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658" w:type="dxa"/>
            <w:shd w:val="clear" w:color="auto" w:fill="auto"/>
            <w:vAlign w:val="center"/>
          </w:tcPr>
          <w:p w14:paraId="4D7CCC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64B497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四门冰箱</w:t>
            </w:r>
          </w:p>
        </w:tc>
        <w:tc>
          <w:tcPr>
            <w:tcW w:w="4964" w:type="dxa"/>
            <w:shd w:val="clear" w:color="auto" w:fill="auto"/>
            <w:vAlign w:val="center"/>
          </w:tcPr>
          <w:p w14:paraId="3D9ACCFB">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1、制冷方式：风冷，温度：-5℃~-22℃，有效容量≥790L，额定电压及频率：220V~50HZ，额定功率≤660W；尺寸：1200*750*1970mm</w:t>
            </w:r>
          </w:p>
          <w:p w14:paraId="6676900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2、箱体内外均采用食品级不锈钢，箱体整体发泡，中梁配加热丝，可拆卸门封条，自动回归门设计；纯铜蒸发器，纯铜冷凝器，在最高42℃的极端环境温度下也能正常制冷；</w:t>
            </w:r>
          </w:p>
          <w:p w14:paraId="4CA1D8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3、配置离子食物保鲜系统，通过释放活氧抑制细菌生长，通过释放负离子延缓食物氧化，延长食物保鲜时间；</w:t>
            </w:r>
          </w:p>
        </w:tc>
        <w:tc>
          <w:tcPr>
            <w:tcW w:w="558" w:type="dxa"/>
            <w:shd w:val="clear" w:color="auto" w:fill="auto"/>
            <w:vAlign w:val="center"/>
          </w:tcPr>
          <w:p w14:paraId="1F3388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3EE6CCE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6DC7ACC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-19050</wp:posOffset>
                  </wp:positionH>
                  <wp:positionV relativeFrom="paragraph">
                    <wp:posOffset>76200</wp:posOffset>
                  </wp:positionV>
                  <wp:extent cx="829310" cy="1276985"/>
                  <wp:effectExtent l="0" t="0" r="8890" b="18415"/>
                  <wp:wrapNone/>
                  <wp:docPr id="281" name="图片_69_SpCnt_3"/>
                  <wp:cNvGraphicFramePr/>
                  <a:graphic xmlns:a="http://schemas.openxmlformats.org/drawingml/2006/main">
                    <a:graphicData uri="http://schemas.openxmlformats.org/drawingml/2006/picture">
                      <pic:pic xmlns:pic="http://schemas.openxmlformats.org/drawingml/2006/picture">
                        <pic:nvPicPr>
                          <pic:cNvPr id="281" name="图片_69_SpCnt_3"/>
                          <pic:cNvPicPr/>
                        </pic:nvPicPr>
                        <pic:blipFill>
                          <a:blip r:embed="rId85"/>
                          <a:stretch>
                            <a:fillRect/>
                          </a:stretch>
                        </pic:blipFill>
                        <pic:spPr>
                          <a:xfrm>
                            <a:off x="0" y="0"/>
                            <a:ext cx="829310" cy="1276985"/>
                          </a:xfrm>
                          <a:prstGeom prst="rect">
                            <a:avLst/>
                          </a:prstGeom>
                          <a:noFill/>
                          <a:ln>
                            <a:noFill/>
                          </a:ln>
                        </pic:spPr>
                      </pic:pic>
                    </a:graphicData>
                  </a:graphic>
                </wp:anchor>
              </w:drawing>
            </w:r>
          </w:p>
        </w:tc>
      </w:tr>
      <w:tr w14:paraId="0211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0" w:hRule="atLeast"/>
          <w:jc w:val="center"/>
        </w:trPr>
        <w:tc>
          <w:tcPr>
            <w:tcW w:w="658" w:type="dxa"/>
            <w:shd w:val="clear" w:color="auto" w:fill="auto"/>
            <w:vAlign w:val="center"/>
          </w:tcPr>
          <w:p w14:paraId="4E289B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5C1A62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四门冰箱</w:t>
            </w:r>
          </w:p>
        </w:tc>
        <w:tc>
          <w:tcPr>
            <w:tcW w:w="4964" w:type="dxa"/>
            <w:shd w:val="clear" w:color="auto" w:fill="auto"/>
            <w:vAlign w:val="center"/>
          </w:tcPr>
          <w:p w14:paraId="770366A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1、制冷方式：风冷，温度：-</w:t>
            </w: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w:t>
            </w:r>
            <w:r>
              <w:rPr>
                <w:rFonts w:hint="eastAsia" w:ascii="宋体" w:hAnsi="宋体" w:cs="宋体"/>
                <w:i w:val="0"/>
                <w:iCs w:val="0"/>
                <w:color w:val="auto"/>
                <w:kern w:val="0"/>
                <w:sz w:val="22"/>
                <w:szCs w:val="22"/>
                <w:highlight w:val="none"/>
                <w:u w:val="none"/>
                <w:lang w:val="en-US" w:eastAsia="zh-CN" w:bidi="ar"/>
              </w:rPr>
              <w:t>-8</w:t>
            </w:r>
            <w:r>
              <w:rPr>
                <w:rFonts w:hint="eastAsia" w:ascii="宋体" w:hAnsi="宋体" w:eastAsia="宋体" w:cs="宋体"/>
                <w:i w:val="0"/>
                <w:iCs w:val="0"/>
                <w:color w:val="auto"/>
                <w:kern w:val="0"/>
                <w:sz w:val="22"/>
                <w:szCs w:val="22"/>
                <w:highlight w:val="none"/>
                <w:u w:val="none"/>
                <w:lang w:val="en-US" w:eastAsia="zh-CN" w:bidi="ar"/>
              </w:rPr>
              <w:t>℃，有效容量≥790L，额定电压及频率：220V~50HZ，额定功率≤660W；尺寸：1200*750*1970mm</w:t>
            </w:r>
          </w:p>
          <w:p w14:paraId="5020FC3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2、箱体内外均采用食品级不锈钢，箱体整体发泡，中梁配加热丝，可拆卸门封条，自动回归门设计；纯铜蒸发器，纯铜冷凝器，在最高42℃的极端环境温度下也能正常制冷；</w:t>
            </w:r>
          </w:p>
          <w:p w14:paraId="2888698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3、配置离子食物保鲜系统，通过释放活氧抑制细菌生长，通过释放负离子延缓食物氧化，延长食物保鲜时间；</w:t>
            </w:r>
          </w:p>
        </w:tc>
        <w:tc>
          <w:tcPr>
            <w:tcW w:w="558" w:type="dxa"/>
            <w:shd w:val="clear" w:color="auto" w:fill="auto"/>
            <w:vAlign w:val="center"/>
          </w:tcPr>
          <w:p w14:paraId="5F2DC4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41B8F3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6E58F7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76200</wp:posOffset>
                  </wp:positionH>
                  <wp:positionV relativeFrom="paragraph">
                    <wp:posOffset>171450</wp:posOffset>
                  </wp:positionV>
                  <wp:extent cx="829310" cy="1276985"/>
                  <wp:effectExtent l="0" t="0" r="8890" b="18415"/>
                  <wp:wrapNone/>
                  <wp:docPr id="282" name="图片_69_SpCnt_4"/>
                  <wp:cNvGraphicFramePr/>
                  <a:graphic xmlns:a="http://schemas.openxmlformats.org/drawingml/2006/main">
                    <a:graphicData uri="http://schemas.openxmlformats.org/drawingml/2006/picture">
                      <pic:pic xmlns:pic="http://schemas.openxmlformats.org/drawingml/2006/picture">
                        <pic:nvPicPr>
                          <pic:cNvPr id="282" name="图片_69_SpCnt_4"/>
                          <pic:cNvPicPr/>
                        </pic:nvPicPr>
                        <pic:blipFill>
                          <a:blip r:embed="rId85"/>
                          <a:stretch>
                            <a:fillRect/>
                          </a:stretch>
                        </pic:blipFill>
                        <pic:spPr>
                          <a:xfrm>
                            <a:off x="0" y="0"/>
                            <a:ext cx="829310" cy="1276985"/>
                          </a:xfrm>
                          <a:prstGeom prst="rect">
                            <a:avLst/>
                          </a:prstGeom>
                          <a:noFill/>
                          <a:ln>
                            <a:noFill/>
                          </a:ln>
                        </pic:spPr>
                      </pic:pic>
                    </a:graphicData>
                  </a:graphic>
                </wp:anchor>
              </w:drawing>
            </w:r>
          </w:p>
        </w:tc>
      </w:tr>
      <w:tr w14:paraId="187A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1D3C54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1B37A4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双层工作台</w:t>
            </w:r>
          </w:p>
        </w:tc>
        <w:tc>
          <w:tcPr>
            <w:tcW w:w="4964" w:type="dxa"/>
            <w:shd w:val="clear" w:color="auto" w:fill="auto"/>
            <w:vAlign w:val="center"/>
          </w:tcPr>
          <w:p w14:paraId="54CF4F4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说明：选用SUS304-2B优质不锈钢板制作；台面δ≥1.2mm，实厚δ≥1.18mm。方通脚采用38*38mm不锈钢加厚制作，壁厚1.0mm,实厚δ≥0.89mm；层板型，配置重力不锈钢可调节子弹脚。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规格：1800*800*800mm</w:t>
            </w:r>
          </w:p>
        </w:tc>
        <w:tc>
          <w:tcPr>
            <w:tcW w:w="558" w:type="dxa"/>
            <w:shd w:val="clear" w:color="auto" w:fill="auto"/>
            <w:vAlign w:val="center"/>
          </w:tcPr>
          <w:p w14:paraId="2E7948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3B012B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29E2CC1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133350</wp:posOffset>
                  </wp:positionH>
                  <wp:positionV relativeFrom="paragraph">
                    <wp:posOffset>66675</wp:posOffset>
                  </wp:positionV>
                  <wp:extent cx="639445" cy="590550"/>
                  <wp:effectExtent l="0" t="0" r="8255" b="0"/>
                  <wp:wrapNone/>
                  <wp:docPr id="283" name="图片_53_SpCnt_1"/>
                  <wp:cNvGraphicFramePr/>
                  <a:graphic xmlns:a="http://schemas.openxmlformats.org/drawingml/2006/main">
                    <a:graphicData uri="http://schemas.openxmlformats.org/drawingml/2006/picture">
                      <pic:pic xmlns:pic="http://schemas.openxmlformats.org/drawingml/2006/picture">
                        <pic:nvPicPr>
                          <pic:cNvPr id="283" name="图片_53_SpCnt_1"/>
                          <pic:cNvPicPr/>
                        </pic:nvPicPr>
                        <pic:blipFill>
                          <a:blip r:embed="rId109"/>
                          <a:stretch>
                            <a:fillRect/>
                          </a:stretch>
                        </pic:blipFill>
                        <pic:spPr>
                          <a:xfrm>
                            <a:off x="0" y="0"/>
                            <a:ext cx="639445" cy="590550"/>
                          </a:xfrm>
                          <a:prstGeom prst="rect">
                            <a:avLst/>
                          </a:prstGeom>
                          <a:noFill/>
                          <a:ln>
                            <a:noFill/>
                          </a:ln>
                        </pic:spPr>
                      </pic:pic>
                    </a:graphicData>
                  </a:graphic>
                </wp:anchor>
              </w:drawing>
            </w:r>
          </w:p>
        </w:tc>
      </w:tr>
      <w:tr w14:paraId="14FF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7D7D75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6157C1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收餐柜</w:t>
            </w:r>
          </w:p>
        </w:tc>
        <w:tc>
          <w:tcPr>
            <w:tcW w:w="4964" w:type="dxa"/>
            <w:shd w:val="clear" w:color="auto" w:fill="auto"/>
            <w:vAlign w:val="center"/>
          </w:tcPr>
          <w:p w14:paraId="710EA2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开300*300mm方孔。围板δ≥1.0mm，实厚δ≥0.89mm，主管采用38*38*1.0mm不锈钢方管结构管焊接，配承重型不锈钢科顺脚轮四个(两定向两万向)。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规格：700*800*800mm</w:t>
            </w:r>
          </w:p>
        </w:tc>
        <w:tc>
          <w:tcPr>
            <w:tcW w:w="558" w:type="dxa"/>
            <w:shd w:val="clear" w:color="auto" w:fill="auto"/>
            <w:vAlign w:val="center"/>
          </w:tcPr>
          <w:p w14:paraId="4C71B9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auto"/>
            <w:vAlign w:val="center"/>
          </w:tcPr>
          <w:p w14:paraId="31F85A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5E15DE7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66675</wp:posOffset>
                  </wp:positionH>
                  <wp:positionV relativeFrom="paragraph">
                    <wp:posOffset>28575</wp:posOffset>
                  </wp:positionV>
                  <wp:extent cx="609600" cy="667385"/>
                  <wp:effectExtent l="0" t="0" r="0" b="18415"/>
                  <wp:wrapNone/>
                  <wp:docPr id="284" name="图片_76_SpCnt_6"/>
                  <wp:cNvGraphicFramePr/>
                  <a:graphic xmlns:a="http://schemas.openxmlformats.org/drawingml/2006/main">
                    <a:graphicData uri="http://schemas.openxmlformats.org/drawingml/2006/picture">
                      <pic:pic xmlns:pic="http://schemas.openxmlformats.org/drawingml/2006/picture">
                        <pic:nvPicPr>
                          <pic:cNvPr id="284" name="图片_76_SpCnt_6"/>
                          <pic:cNvPicPr/>
                        </pic:nvPicPr>
                        <pic:blipFill>
                          <a:blip r:embed="rId69"/>
                          <a:stretch>
                            <a:fillRect/>
                          </a:stretch>
                        </pic:blipFill>
                        <pic:spPr>
                          <a:xfrm>
                            <a:off x="0" y="0"/>
                            <a:ext cx="609600" cy="667385"/>
                          </a:xfrm>
                          <a:prstGeom prst="rect">
                            <a:avLst/>
                          </a:prstGeom>
                          <a:noFill/>
                          <a:ln>
                            <a:noFill/>
                          </a:ln>
                        </pic:spPr>
                      </pic:pic>
                    </a:graphicData>
                  </a:graphic>
                </wp:anchor>
              </w:drawing>
            </w:r>
          </w:p>
        </w:tc>
      </w:tr>
      <w:tr w14:paraId="3167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80" w:hRule="atLeast"/>
          <w:jc w:val="center"/>
        </w:trPr>
        <w:tc>
          <w:tcPr>
            <w:tcW w:w="658" w:type="dxa"/>
            <w:shd w:val="clear" w:color="auto" w:fill="auto"/>
            <w:vAlign w:val="center"/>
          </w:tcPr>
          <w:p w14:paraId="08DE33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vAlign w:val="center"/>
          </w:tcPr>
          <w:p w14:paraId="6A6871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单星盆水池</w:t>
            </w:r>
          </w:p>
        </w:tc>
        <w:tc>
          <w:tcPr>
            <w:tcW w:w="4964" w:type="dxa"/>
            <w:shd w:val="clear" w:color="auto" w:fill="auto"/>
            <w:vAlign w:val="center"/>
          </w:tcPr>
          <w:p w14:paraId="63F1C7E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规格：650*800*800mm</w:t>
            </w:r>
          </w:p>
        </w:tc>
        <w:tc>
          <w:tcPr>
            <w:tcW w:w="558" w:type="dxa"/>
            <w:shd w:val="clear" w:color="auto" w:fill="auto"/>
            <w:vAlign w:val="center"/>
          </w:tcPr>
          <w:p w14:paraId="3A2E62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6ED214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6061397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295275</wp:posOffset>
                  </wp:positionH>
                  <wp:positionV relativeFrom="paragraph">
                    <wp:posOffset>114300</wp:posOffset>
                  </wp:positionV>
                  <wp:extent cx="598805" cy="737870"/>
                  <wp:effectExtent l="0" t="0" r="10795" b="5080"/>
                  <wp:wrapNone/>
                  <wp:docPr id="285" name="图片_99"/>
                  <wp:cNvGraphicFramePr/>
                  <a:graphic xmlns:a="http://schemas.openxmlformats.org/drawingml/2006/main">
                    <a:graphicData uri="http://schemas.openxmlformats.org/drawingml/2006/picture">
                      <pic:pic xmlns:pic="http://schemas.openxmlformats.org/drawingml/2006/picture">
                        <pic:nvPicPr>
                          <pic:cNvPr id="285" name="图片_99"/>
                          <pic:cNvPicPr/>
                        </pic:nvPicPr>
                        <pic:blipFill>
                          <a:blip r:embed="rId22"/>
                          <a:stretch>
                            <a:fillRect/>
                          </a:stretch>
                        </pic:blipFill>
                        <pic:spPr>
                          <a:xfrm>
                            <a:off x="0" y="0"/>
                            <a:ext cx="598805" cy="737870"/>
                          </a:xfrm>
                          <a:prstGeom prst="rect">
                            <a:avLst/>
                          </a:prstGeom>
                          <a:noFill/>
                          <a:ln>
                            <a:noFill/>
                          </a:ln>
                        </pic:spPr>
                      </pic:pic>
                    </a:graphicData>
                  </a:graphic>
                </wp:anchor>
              </w:drawing>
            </w:r>
          </w:p>
        </w:tc>
      </w:tr>
      <w:tr w14:paraId="5BA7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jc w:val="center"/>
        </w:trPr>
        <w:tc>
          <w:tcPr>
            <w:tcW w:w="658" w:type="dxa"/>
            <w:shd w:val="clear" w:color="auto" w:fill="auto"/>
            <w:vAlign w:val="center"/>
          </w:tcPr>
          <w:p w14:paraId="1BFF05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36" w:type="dxa"/>
            <w:shd w:val="clear" w:color="auto" w:fill="auto"/>
            <w:vAlign w:val="center"/>
          </w:tcPr>
          <w:p w14:paraId="737B3E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4B2B357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规格：双温</w:t>
            </w:r>
          </w:p>
        </w:tc>
        <w:tc>
          <w:tcPr>
            <w:tcW w:w="558" w:type="dxa"/>
            <w:shd w:val="clear" w:color="auto" w:fill="auto"/>
            <w:vAlign w:val="center"/>
          </w:tcPr>
          <w:p w14:paraId="077164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781541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noWrap/>
            <w:vAlign w:val="center"/>
          </w:tcPr>
          <w:p w14:paraId="545BB76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381000</wp:posOffset>
                  </wp:positionH>
                  <wp:positionV relativeFrom="paragraph">
                    <wp:posOffset>539750</wp:posOffset>
                  </wp:positionV>
                  <wp:extent cx="441960" cy="0"/>
                  <wp:effectExtent l="0" t="0" r="0" b="0"/>
                  <wp:wrapNone/>
                  <wp:docPr id="286" name="图片_16_SpCnt_1"/>
                  <wp:cNvGraphicFramePr/>
                  <a:graphic xmlns:a="http://schemas.openxmlformats.org/drawingml/2006/main">
                    <a:graphicData uri="http://schemas.openxmlformats.org/drawingml/2006/picture">
                      <pic:pic xmlns:pic="http://schemas.openxmlformats.org/drawingml/2006/picture">
                        <pic:nvPicPr>
                          <pic:cNvPr id="286" name="图片_16_SpCnt_1"/>
                          <pic:cNvPicPr/>
                        </pic:nvPicPr>
                        <pic:blipFill>
                          <a:blip r:embed="rId65"/>
                          <a:stretch>
                            <a:fillRect/>
                          </a:stretch>
                        </pic:blipFill>
                        <pic:spPr>
                          <a:xfrm>
                            <a:off x="0" y="0"/>
                            <a:ext cx="441960" cy="0"/>
                          </a:xfrm>
                          <a:prstGeom prst="rect">
                            <a:avLst/>
                          </a:prstGeom>
                          <a:noFill/>
                          <a:ln>
                            <a:noFill/>
                          </a:ln>
                        </pic:spPr>
                      </pic:pic>
                    </a:graphicData>
                  </a:graphic>
                </wp:anchor>
              </w:drawing>
            </w:r>
          </w:p>
        </w:tc>
      </w:tr>
      <w:tr w14:paraId="0E52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45" w:hRule="atLeast"/>
          <w:jc w:val="center"/>
        </w:trPr>
        <w:tc>
          <w:tcPr>
            <w:tcW w:w="658" w:type="dxa"/>
            <w:shd w:val="clear" w:color="auto" w:fill="auto"/>
            <w:vAlign w:val="center"/>
          </w:tcPr>
          <w:p w14:paraId="43BCB8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536" w:type="dxa"/>
            <w:shd w:val="clear" w:color="auto" w:fill="auto"/>
            <w:vAlign w:val="center"/>
          </w:tcPr>
          <w:p w14:paraId="594785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菜刀菜板消毒柜</w:t>
            </w:r>
          </w:p>
        </w:tc>
        <w:tc>
          <w:tcPr>
            <w:tcW w:w="4964" w:type="dxa"/>
            <w:shd w:val="clear" w:color="auto" w:fill="auto"/>
            <w:vAlign w:val="center"/>
          </w:tcPr>
          <w:p w14:paraId="5C088F5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说明：说明：箱体采用不锈钢板制造，δ=1.0mm，紫外线光波发生器耗电量低，消毒效率高、安全性高且经久耐用。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规格：600*600*1600mm</w:t>
            </w:r>
            <w:r>
              <w:rPr>
                <w:rFonts w:hint="eastAsia" w:ascii="宋体" w:hAnsi="宋体" w:eastAsia="宋体" w:cs="宋体"/>
                <w:i w:val="0"/>
                <w:iCs w:val="0"/>
                <w:color w:val="auto"/>
                <w:kern w:val="0"/>
                <w:sz w:val="22"/>
                <w:szCs w:val="22"/>
                <w:highlight w:val="none"/>
                <w:u w:val="none"/>
                <w:lang w:val="en-US" w:eastAsia="zh-CN" w:bidi="ar"/>
              </w:rPr>
              <w:br w:type="textWrapping"/>
            </w:r>
          </w:p>
        </w:tc>
        <w:tc>
          <w:tcPr>
            <w:tcW w:w="558" w:type="dxa"/>
            <w:shd w:val="clear" w:color="auto" w:fill="auto"/>
            <w:vAlign w:val="center"/>
          </w:tcPr>
          <w:p w14:paraId="0B65F5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auto"/>
            <w:vAlign w:val="center"/>
          </w:tcPr>
          <w:p w14:paraId="1968E2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7DB024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95250</wp:posOffset>
                  </wp:positionH>
                  <wp:positionV relativeFrom="paragraph">
                    <wp:posOffset>45085</wp:posOffset>
                  </wp:positionV>
                  <wp:extent cx="591185" cy="1005840"/>
                  <wp:effectExtent l="0" t="0" r="18415" b="3810"/>
                  <wp:wrapNone/>
                  <wp:docPr id="287" name="图片_136_SpCnt_1"/>
                  <wp:cNvGraphicFramePr/>
                  <a:graphic xmlns:a="http://schemas.openxmlformats.org/drawingml/2006/main">
                    <a:graphicData uri="http://schemas.openxmlformats.org/drawingml/2006/picture">
                      <pic:pic xmlns:pic="http://schemas.openxmlformats.org/drawingml/2006/picture">
                        <pic:nvPicPr>
                          <pic:cNvPr id="287" name="图片_136_SpCnt_1"/>
                          <pic:cNvPicPr/>
                        </pic:nvPicPr>
                        <pic:blipFill>
                          <a:blip r:embed="rId110"/>
                          <a:stretch>
                            <a:fillRect/>
                          </a:stretch>
                        </pic:blipFill>
                        <pic:spPr>
                          <a:xfrm>
                            <a:off x="0" y="0"/>
                            <a:ext cx="591185" cy="1005840"/>
                          </a:xfrm>
                          <a:prstGeom prst="rect">
                            <a:avLst/>
                          </a:prstGeom>
                          <a:noFill/>
                          <a:ln>
                            <a:noFill/>
                          </a:ln>
                        </pic:spPr>
                      </pic:pic>
                    </a:graphicData>
                  </a:graphic>
                </wp:anchor>
              </w:drawing>
            </w:r>
          </w:p>
        </w:tc>
      </w:tr>
      <w:tr w14:paraId="6E5D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jc w:val="center"/>
        </w:trPr>
        <w:tc>
          <w:tcPr>
            <w:tcW w:w="658" w:type="dxa"/>
            <w:shd w:val="clear" w:color="auto" w:fill="auto"/>
            <w:vAlign w:val="center"/>
          </w:tcPr>
          <w:p w14:paraId="4A0F23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536" w:type="dxa"/>
            <w:shd w:val="clear" w:color="auto" w:fill="auto"/>
            <w:vAlign w:val="center"/>
          </w:tcPr>
          <w:p w14:paraId="682692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121254C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规格：双温</w:t>
            </w:r>
          </w:p>
        </w:tc>
        <w:tc>
          <w:tcPr>
            <w:tcW w:w="558" w:type="dxa"/>
            <w:shd w:val="clear" w:color="auto" w:fill="auto"/>
            <w:vAlign w:val="center"/>
          </w:tcPr>
          <w:p w14:paraId="52463B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51F86A8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noWrap/>
            <w:vAlign w:val="center"/>
          </w:tcPr>
          <w:p w14:paraId="5E919F6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371475</wp:posOffset>
                  </wp:positionH>
                  <wp:positionV relativeFrom="paragraph">
                    <wp:posOffset>609600</wp:posOffset>
                  </wp:positionV>
                  <wp:extent cx="441960" cy="0"/>
                  <wp:effectExtent l="0" t="0" r="0" b="0"/>
                  <wp:wrapNone/>
                  <wp:docPr id="288" name="图片_16_SpCnt_2"/>
                  <wp:cNvGraphicFramePr/>
                  <a:graphic xmlns:a="http://schemas.openxmlformats.org/drawingml/2006/main">
                    <a:graphicData uri="http://schemas.openxmlformats.org/drawingml/2006/picture">
                      <pic:pic xmlns:pic="http://schemas.openxmlformats.org/drawingml/2006/picture">
                        <pic:nvPicPr>
                          <pic:cNvPr id="288" name="图片_16_SpCnt_2"/>
                          <pic:cNvPicPr/>
                        </pic:nvPicPr>
                        <pic:blipFill>
                          <a:blip r:embed="rId65"/>
                          <a:stretch>
                            <a:fillRect/>
                          </a:stretch>
                        </pic:blipFill>
                        <pic:spPr>
                          <a:xfrm>
                            <a:off x="0" y="0"/>
                            <a:ext cx="441960" cy="0"/>
                          </a:xfrm>
                          <a:prstGeom prst="rect">
                            <a:avLst/>
                          </a:prstGeom>
                          <a:noFill/>
                          <a:ln>
                            <a:noFill/>
                          </a:ln>
                        </pic:spPr>
                      </pic:pic>
                    </a:graphicData>
                  </a:graphic>
                </wp:anchor>
              </w:drawing>
            </w:r>
          </w:p>
        </w:tc>
      </w:tr>
      <w:tr w14:paraId="430D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658" w:type="dxa"/>
            <w:shd w:val="clear" w:color="auto" w:fill="auto"/>
            <w:vAlign w:val="center"/>
          </w:tcPr>
          <w:p w14:paraId="3FBE3C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536" w:type="dxa"/>
            <w:shd w:val="clear" w:color="auto" w:fill="auto"/>
            <w:vAlign w:val="center"/>
          </w:tcPr>
          <w:p w14:paraId="41E079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大单星水池</w:t>
            </w:r>
          </w:p>
        </w:tc>
        <w:tc>
          <w:tcPr>
            <w:tcW w:w="4964" w:type="dxa"/>
            <w:shd w:val="clear" w:color="auto" w:fill="auto"/>
            <w:vAlign w:val="center"/>
          </w:tcPr>
          <w:p w14:paraId="06DF3F9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规格：1000*700*800mm</w:t>
            </w:r>
          </w:p>
        </w:tc>
        <w:tc>
          <w:tcPr>
            <w:tcW w:w="558" w:type="dxa"/>
            <w:shd w:val="clear" w:color="auto" w:fill="auto"/>
            <w:vAlign w:val="center"/>
          </w:tcPr>
          <w:p w14:paraId="23ECFF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628756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362E181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749935" cy="685800"/>
                  <wp:effectExtent l="0" t="0" r="12065" b="0"/>
                  <wp:wrapNone/>
                  <wp:docPr id="289" name="图片_18_SpCnt_1"/>
                  <wp:cNvGraphicFramePr/>
                  <a:graphic xmlns:a="http://schemas.openxmlformats.org/drawingml/2006/main">
                    <a:graphicData uri="http://schemas.openxmlformats.org/drawingml/2006/picture">
                      <pic:pic xmlns:pic="http://schemas.openxmlformats.org/drawingml/2006/picture">
                        <pic:nvPicPr>
                          <pic:cNvPr id="289" name="图片_18_SpCnt_1"/>
                          <pic:cNvPicPr/>
                        </pic:nvPicPr>
                        <pic:blipFill>
                          <a:blip r:embed="rId111"/>
                          <a:stretch>
                            <a:fillRect/>
                          </a:stretch>
                        </pic:blipFill>
                        <pic:spPr>
                          <a:xfrm>
                            <a:off x="0" y="0"/>
                            <a:ext cx="749935" cy="685800"/>
                          </a:xfrm>
                          <a:prstGeom prst="rect">
                            <a:avLst/>
                          </a:prstGeom>
                          <a:noFill/>
                          <a:ln>
                            <a:noFill/>
                          </a:ln>
                        </pic:spPr>
                      </pic:pic>
                    </a:graphicData>
                  </a:graphic>
                </wp:anchor>
              </w:drawing>
            </w:r>
          </w:p>
        </w:tc>
      </w:tr>
      <w:tr w14:paraId="338B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557A35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536" w:type="dxa"/>
            <w:shd w:val="clear" w:color="auto" w:fill="auto"/>
            <w:vAlign w:val="center"/>
          </w:tcPr>
          <w:p w14:paraId="5FD081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平台水池</w:t>
            </w:r>
          </w:p>
        </w:tc>
        <w:tc>
          <w:tcPr>
            <w:tcW w:w="4964" w:type="dxa"/>
            <w:shd w:val="clear" w:color="auto" w:fill="auto"/>
            <w:vAlign w:val="top"/>
          </w:tcPr>
          <w:p w14:paraId="31C51602">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规格：1400*800*800mm</w:t>
            </w:r>
          </w:p>
        </w:tc>
        <w:tc>
          <w:tcPr>
            <w:tcW w:w="558" w:type="dxa"/>
            <w:shd w:val="clear" w:color="auto" w:fill="auto"/>
            <w:vAlign w:val="center"/>
          </w:tcPr>
          <w:p w14:paraId="37885E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77369D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69E766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9525</wp:posOffset>
                  </wp:positionV>
                  <wp:extent cx="828040" cy="600075"/>
                  <wp:effectExtent l="0" t="0" r="10160" b="9525"/>
                  <wp:wrapNone/>
                  <wp:docPr id="290" name="图片_548_SpCnt_2"/>
                  <wp:cNvGraphicFramePr/>
                  <a:graphic xmlns:a="http://schemas.openxmlformats.org/drawingml/2006/main">
                    <a:graphicData uri="http://schemas.openxmlformats.org/drawingml/2006/picture">
                      <pic:pic xmlns:pic="http://schemas.openxmlformats.org/drawingml/2006/picture">
                        <pic:nvPicPr>
                          <pic:cNvPr id="290" name="图片_548_SpCnt_2"/>
                          <pic:cNvPicPr/>
                        </pic:nvPicPr>
                        <pic:blipFill>
                          <a:blip r:embed="rId112"/>
                          <a:stretch>
                            <a:fillRect/>
                          </a:stretch>
                        </pic:blipFill>
                        <pic:spPr>
                          <a:xfrm>
                            <a:off x="0" y="0"/>
                            <a:ext cx="828040" cy="600075"/>
                          </a:xfrm>
                          <a:prstGeom prst="rect">
                            <a:avLst/>
                          </a:prstGeom>
                          <a:noFill/>
                          <a:ln>
                            <a:noFill/>
                          </a:ln>
                        </pic:spPr>
                      </pic:pic>
                    </a:graphicData>
                  </a:graphic>
                </wp:anchor>
              </w:drawing>
            </w:r>
          </w:p>
        </w:tc>
      </w:tr>
      <w:tr w14:paraId="06B1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58" w:type="dxa"/>
            <w:shd w:val="clear" w:color="auto" w:fill="auto"/>
            <w:vAlign w:val="center"/>
          </w:tcPr>
          <w:p w14:paraId="501DAB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536" w:type="dxa"/>
            <w:shd w:val="clear" w:color="auto" w:fill="auto"/>
            <w:vAlign w:val="center"/>
          </w:tcPr>
          <w:p w14:paraId="620DC6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71060B1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规格：双温</w:t>
            </w:r>
          </w:p>
        </w:tc>
        <w:tc>
          <w:tcPr>
            <w:tcW w:w="558" w:type="dxa"/>
            <w:shd w:val="clear" w:color="auto" w:fill="auto"/>
            <w:vAlign w:val="center"/>
          </w:tcPr>
          <w:p w14:paraId="385275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0AA369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noWrap/>
            <w:vAlign w:val="center"/>
          </w:tcPr>
          <w:p w14:paraId="7716762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66675</wp:posOffset>
                  </wp:positionH>
                  <wp:positionV relativeFrom="paragraph">
                    <wp:posOffset>85725</wp:posOffset>
                  </wp:positionV>
                  <wp:extent cx="658495" cy="447675"/>
                  <wp:effectExtent l="0" t="0" r="8255" b="9525"/>
                  <wp:wrapNone/>
                  <wp:docPr id="291" name="图片_79_SpCnt_6"/>
                  <wp:cNvGraphicFramePr/>
                  <a:graphic xmlns:a="http://schemas.openxmlformats.org/drawingml/2006/main">
                    <a:graphicData uri="http://schemas.openxmlformats.org/drawingml/2006/picture">
                      <pic:pic xmlns:pic="http://schemas.openxmlformats.org/drawingml/2006/picture">
                        <pic:nvPicPr>
                          <pic:cNvPr id="291" name="图片_79_SpCnt_6"/>
                          <pic:cNvPicPr/>
                        </pic:nvPicPr>
                        <pic:blipFill>
                          <a:blip r:embed="rId113"/>
                          <a:stretch>
                            <a:fillRect/>
                          </a:stretch>
                        </pic:blipFill>
                        <pic:spPr>
                          <a:xfrm>
                            <a:off x="0" y="0"/>
                            <a:ext cx="658495" cy="447675"/>
                          </a:xfrm>
                          <a:prstGeom prst="rect">
                            <a:avLst/>
                          </a:prstGeom>
                          <a:noFill/>
                          <a:ln>
                            <a:noFill/>
                          </a:ln>
                        </pic:spPr>
                      </pic:pic>
                    </a:graphicData>
                  </a:graphic>
                </wp:anchor>
              </w:drawing>
            </w:r>
          </w:p>
        </w:tc>
      </w:tr>
      <w:tr w14:paraId="5858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658" w:type="dxa"/>
            <w:shd w:val="clear" w:color="auto" w:fill="auto"/>
            <w:vAlign w:val="center"/>
          </w:tcPr>
          <w:p w14:paraId="5017CB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536" w:type="dxa"/>
            <w:shd w:val="clear" w:color="auto" w:fill="auto"/>
            <w:vAlign w:val="center"/>
          </w:tcPr>
          <w:p w14:paraId="7D3787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洗地龙头</w:t>
            </w:r>
          </w:p>
        </w:tc>
        <w:tc>
          <w:tcPr>
            <w:tcW w:w="4964" w:type="dxa"/>
            <w:shd w:val="clear" w:color="auto" w:fill="auto"/>
            <w:vAlign w:val="center"/>
          </w:tcPr>
          <w:p w14:paraId="30CFDA0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说明：1、开放式洗地龙头、碳钢主体，表面环氧喷涂处理（黑色）                                         2、固定侧支架钢板厚度5mm，黄铜进水主体                                                        3、10.7米重工无痕三层液压钢丝管（黑色）、与主体接口为金属连接件不易损坏漏水，喉管耐温85度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4、黄铜铸造枪式喷头、前置扳机、配有橡胶保护套水压可调。（配置一把喷头）                                                                            5、进水接口为标准G1/2外螺纹                                                                                                                                             </w:t>
            </w:r>
          </w:p>
        </w:tc>
        <w:tc>
          <w:tcPr>
            <w:tcW w:w="558" w:type="dxa"/>
            <w:shd w:val="clear" w:color="auto" w:fill="auto"/>
            <w:vAlign w:val="center"/>
          </w:tcPr>
          <w:p w14:paraId="7AE60F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01B36D7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4C70677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152400</wp:posOffset>
                  </wp:positionH>
                  <wp:positionV relativeFrom="paragraph">
                    <wp:posOffset>287020</wp:posOffset>
                  </wp:positionV>
                  <wp:extent cx="485775" cy="520700"/>
                  <wp:effectExtent l="0" t="0" r="9525" b="12700"/>
                  <wp:wrapNone/>
                  <wp:docPr id="292" name="图片_35_SpCnt_5"/>
                  <wp:cNvGraphicFramePr/>
                  <a:graphic xmlns:a="http://schemas.openxmlformats.org/drawingml/2006/main">
                    <a:graphicData uri="http://schemas.openxmlformats.org/drawingml/2006/picture">
                      <pic:pic xmlns:pic="http://schemas.openxmlformats.org/drawingml/2006/picture">
                        <pic:nvPicPr>
                          <pic:cNvPr id="292" name="图片_35_SpCnt_5"/>
                          <pic:cNvPicPr/>
                        </pic:nvPicPr>
                        <pic:blipFill>
                          <a:blip r:embed="rId73"/>
                          <a:stretch>
                            <a:fillRect/>
                          </a:stretch>
                        </pic:blipFill>
                        <pic:spPr>
                          <a:xfrm>
                            <a:off x="0" y="0"/>
                            <a:ext cx="485775" cy="520700"/>
                          </a:xfrm>
                          <a:prstGeom prst="rect">
                            <a:avLst/>
                          </a:prstGeom>
                          <a:noFill/>
                          <a:ln>
                            <a:noFill/>
                          </a:ln>
                        </pic:spPr>
                      </pic:pic>
                    </a:graphicData>
                  </a:graphic>
                </wp:anchor>
              </w:drawing>
            </w:r>
          </w:p>
        </w:tc>
      </w:tr>
      <w:tr w14:paraId="2784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2" w:hRule="atLeast"/>
          <w:jc w:val="center"/>
        </w:trPr>
        <w:tc>
          <w:tcPr>
            <w:tcW w:w="658" w:type="dxa"/>
            <w:shd w:val="clear" w:color="auto" w:fill="auto"/>
            <w:vAlign w:val="center"/>
          </w:tcPr>
          <w:p w14:paraId="41614F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536" w:type="dxa"/>
            <w:shd w:val="clear" w:color="auto" w:fill="auto"/>
            <w:vAlign w:val="center"/>
          </w:tcPr>
          <w:p w14:paraId="339C24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四门</w:t>
            </w:r>
            <w:r>
              <w:rPr>
                <w:rFonts w:hint="eastAsia" w:ascii="宋体" w:hAnsi="宋体" w:eastAsia="宋体" w:cs="宋体"/>
                <w:i w:val="0"/>
                <w:iCs w:val="0"/>
                <w:color w:val="auto"/>
                <w:kern w:val="0"/>
                <w:sz w:val="22"/>
                <w:szCs w:val="22"/>
                <w:highlight w:val="none"/>
                <w:u w:val="none"/>
                <w:lang w:val="en-US" w:eastAsia="zh-CN" w:bidi="ar"/>
              </w:rPr>
              <w:t>冷藏柜</w:t>
            </w:r>
          </w:p>
        </w:tc>
        <w:tc>
          <w:tcPr>
            <w:tcW w:w="4964" w:type="dxa"/>
            <w:shd w:val="clear" w:color="auto" w:fill="auto"/>
            <w:vAlign w:val="center"/>
          </w:tcPr>
          <w:p w14:paraId="5A214C2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—加厚发泡层，保温节能；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—一体式发泡工艺，整体平整、耐用；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—冰箱配备了门体自动关闭结构，方便客户操作。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—不锈钢铰链，弹簧自动回归门；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—无磁不锈钢制作，加厚门板。                                                          冷藏：-2~8℃</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规格：1200*700*1900mm</w:t>
            </w:r>
          </w:p>
        </w:tc>
        <w:tc>
          <w:tcPr>
            <w:tcW w:w="558" w:type="dxa"/>
            <w:shd w:val="clear" w:color="auto" w:fill="auto"/>
            <w:vAlign w:val="center"/>
          </w:tcPr>
          <w:p w14:paraId="3FE44E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4D9F5B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2EF79E5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199390</wp:posOffset>
                  </wp:positionH>
                  <wp:positionV relativeFrom="paragraph">
                    <wp:posOffset>73660</wp:posOffset>
                  </wp:positionV>
                  <wp:extent cx="448310" cy="955040"/>
                  <wp:effectExtent l="0" t="0" r="8890" b="16510"/>
                  <wp:wrapNone/>
                  <wp:docPr id="293" name="图片_26_SpCnt_1"/>
                  <wp:cNvGraphicFramePr/>
                  <a:graphic xmlns:a="http://schemas.openxmlformats.org/drawingml/2006/main">
                    <a:graphicData uri="http://schemas.openxmlformats.org/drawingml/2006/picture">
                      <pic:pic xmlns:pic="http://schemas.openxmlformats.org/drawingml/2006/picture">
                        <pic:nvPicPr>
                          <pic:cNvPr id="293" name="图片_26_SpCnt_1"/>
                          <pic:cNvPicPr/>
                        </pic:nvPicPr>
                        <pic:blipFill>
                          <a:blip r:embed="rId114"/>
                          <a:stretch>
                            <a:fillRect/>
                          </a:stretch>
                        </pic:blipFill>
                        <pic:spPr>
                          <a:xfrm>
                            <a:off x="0" y="0"/>
                            <a:ext cx="448310" cy="955040"/>
                          </a:xfrm>
                          <a:prstGeom prst="rect">
                            <a:avLst/>
                          </a:prstGeom>
                          <a:noFill/>
                          <a:ln>
                            <a:noFill/>
                          </a:ln>
                        </pic:spPr>
                      </pic:pic>
                    </a:graphicData>
                  </a:graphic>
                </wp:anchor>
              </w:drawing>
            </w:r>
          </w:p>
        </w:tc>
      </w:tr>
      <w:tr w14:paraId="56C7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2194" w:type="dxa"/>
            <w:gridSpan w:val="2"/>
            <w:shd w:val="clear" w:color="auto" w:fill="auto"/>
            <w:noWrap/>
            <w:vAlign w:val="center"/>
          </w:tcPr>
          <w:p w14:paraId="26BB2382">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粗加工</w:t>
            </w:r>
          </w:p>
        </w:tc>
        <w:tc>
          <w:tcPr>
            <w:tcW w:w="4964" w:type="dxa"/>
            <w:shd w:val="clear" w:color="auto" w:fill="auto"/>
            <w:noWrap/>
            <w:vAlign w:val="center"/>
          </w:tcPr>
          <w:p w14:paraId="64449A0E">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66010E70">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2BF4631D">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3E815383">
            <w:pPr>
              <w:rPr>
                <w:rFonts w:hint="eastAsia" w:ascii="宋体" w:hAnsi="宋体" w:eastAsia="宋体" w:cs="宋体"/>
                <w:i w:val="0"/>
                <w:iCs w:val="0"/>
                <w:color w:val="auto"/>
                <w:sz w:val="22"/>
                <w:szCs w:val="22"/>
                <w:highlight w:val="none"/>
                <w:u w:val="none"/>
              </w:rPr>
            </w:pPr>
          </w:p>
        </w:tc>
      </w:tr>
      <w:tr w14:paraId="276A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58" w:type="dxa"/>
            <w:shd w:val="clear" w:color="auto" w:fill="auto"/>
            <w:vAlign w:val="center"/>
          </w:tcPr>
          <w:p w14:paraId="5B0972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1151C1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6CEECDD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规格：双温</w:t>
            </w:r>
          </w:p>
        </w:tc>
        <w:tc>
          <w:tcPr>
            <w:tcW w:w="558" w:type="dxa"/>
            <w:shd w:val="clear" w:color="auto" w:fill="auto"/>
            <w:vAlign w:val="center"/>
          </w:tcPr>
          <w:p w14:paraId="4F08B4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auto"/>
            <w:vAlign w:val="center"/>
          </w:tcPr>
          <w:p w14:paraId="3911D5D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noWrap/>
            <w:vAlign w:val="center"/>
          </w:tcPr>
          <w:p w14:paraId="79325F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190500</wp:posOffset>
                  </wp:positionH>
                  <wp:positionV relativeFrom="paragraph">
                    <wp:posOffset>57150</wp:posOffset>
                  </wp:positionV>
                  <wp:extent cx="630555" cy="457200"/>
                  <wp:effectExtent l="0" t="0" r="17145" b="0"/>
                  <wp:wrapNone/>
                  <wp:docPr id="294" name="图片_79_SpCnt_7"/>
                  <wp:cNvGraphicFramePr/>
                  <a:graphic xmlns:a="http://schemas.openxmlformats.org/drawingml/2006/main">
                    <a:graphicData uri="http://schemas.openxmlformats.org/drawingml/2006/picture">
                      <pic:pic xmlns:pic="http://schemas.openxmlformats.org/drawingml/2006/picture">
                        <pic:nvPicPr>
                          <pic:cNvPr id="294" name="图片_79_SpCnt_7"/>
                          <pic:cNvPicPr/>
                        </pic:nvPicPr>
                        <pic:blipFill>
                          <a:blip r:embed="rId115"/>
                          <a:stretch>
                            <a:fillRect/>
                          </a:stretch>
                        </pic:blipFill>
                        <pic:spPr>
                          <a:xfrm>
                            <a:off x="0" y="0"/>
                            <a:ext cx="630555" cy="457200"/>
                          </a:xfrm>
                          <a:prstGeom prst="rect">
                            <a:avLst/>
                          </a:prstGeom>
                          <a:noFill/>
                          <a:ln>
                            <a:noFill/>
                          </a:ln>
                        </pic:spPr>
                      </pic:pic>
                    </a:graphicData>
                  </a:graphic>
                </wp:anchor>
              </w:drawing>
            </w:r>
          </w:p>
        </w:tc>
      </w:tr>
      <w:tr w14:paraId="7B81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658" w:type="dxa"/>
            <w:shd w:val="clear" w:color="auto" w:fill="auto"/>
            <w:vAlign w:val="center"/>
          </w:tcPr>
          <w:p w14:paraId="3C0171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5D3D0B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收餐柜</w:t>
            </w:r>
          </w:p>
        </w:tc>
        <w:tc>
          <w:tcPr>
            <w:tcW w:w="4964" w:type="dxa"/>
            <w:shd w:val="clear" w:color="auto" w:fill="auto"/>
            <w:vAlign w:val="center"/>
          </w:tcPr>
          <w:p w14:paraId="28C1AE4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开300*300mm方孔。围板δ≥1.0mm，实厚δ≥0.89mm，主管采用38*38*1.0mm不锈钢方管结构管焊接，配承重型不锈钢科顺脚轮四个(两定向两万向)。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规格：800*800*800mm</w:t>
            </w:r>
          </w:p>
        </w:tc>
        <w:tc>
          <w:tcPr>
            <w:tcW w:w="558" w:type="dxa"/>
            <w:shd w:val="clear" w:color="auto" w:fill="auto"/>
            <w:vAlign w:val="center"/>
          </w:tcPr>
          <w:p w14:paraId="0AD5E7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04E5B3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7D7C9C7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95250</wp:posOffset>
                  </wp:positionH>
                  <wp:positionV relativeFrom="paragraph">
                    <wp:posOffset>19050</wp:posOffset>
                  </wp:positionV>
                  <wp:extent cx="639445" cy="457200"/>
                  <wp:effectExtent l="0" t="0" r="8255" b="0"/>
                  <wp:wrapNone/>
                  <wp:docPr id="295" name="图片_76_SpCnt_7"/>
                  <wp:cNvGraphicFramePr/>
                  <a:graphic xmlns:a="http://schemas.openxmlformats.org/drawingml/2006/main">
                    <a:graphicData uri="http://schemas.openxmlformats.org/drawingml/2006/picture">
                      <pic:pic xmlns:pic="http://schemas.openxmlformats.org/drawingml/2006/picture">
                        <pic:nvPicPr>
                          <pic:cNvPr id="295" name="图片_76_SpCnt_7"/>
                          <pic:cNvPicPr/>
                        </pic:nvPicPr>
                        <pic:blipFill>
                          <a:blip r:embed="rId116"/>
                          <a:stretch>
                            <a:fillRect/>
                          </a:stretch>
                        </pic:blipFill>
                        <pic:spPr>
                          <a:xfrm>
                            <a:off x="0" y="0"/>
                            <a:ext cx="639445" cy="457200"/>
                          </a:xfrm>
                          <a:prstGeom prst="rect">
                            <a:avLst/>
                          </a:prstGeom>
                          <a:noFill/>
                          <a:ln>
                            <a:noFill/>
                          </a:ln>
                        </pic:spPr>
                      </pic:pic>
                    </a:graphicData>
                  </a:graphic>
                </wp:anchor>
              </w:drawing>
            </w:r>
          </w:p>
        </w:tc>
      </w:tr>
      <w:tr w14:paraId="39CA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40" w:hRule="atLeast"/>
          <w:jc w:val="center"/>
        </w:trPr>
        <w:tc>
          <w:tcPr>
            <w:tcW w:w="658" w:type="dxa"/>
            <w:shd w:val="clear" w:color="auto" w:fill="auto"/>
            <w:vAlign w:val="center"/>
          </w:tcPr>
          <w:p w14:paraId="09AD38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5362D0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速热热水</w:t>
            </w:r>
            <w:r>
              <w:rPr>
                <w:rFonts w:hint="eastAsia" w:ascii="宋体" w:hAnsi="宋体" w:cs="宋体"/>
                <w:i w:val="0"/>
                <w:iCs w:val="0"/>
                <w:color w:val="auto"/>
                <w:kern w:val="0"/>
                <w:sz w:val="22"/>
                <w:szCs w:val="22"/>
                <w:highlight w:val="none"/>
                <w:u w:val="none"/>
                <w:lang w:val="en-US" w:eastAsia="zh-CN" w:bidi="ar"/>
              </w:rPr>
              <w:t>机</w:t>
            </w:r>
          </w:p>
        </w:tc>
        <w:tc>
          <w:tcPr>
            <w:tcW w:w="4964" w:type="dxa"/>
            <w:shd w:val="clear" w:color="auto" w:fill="auto"/>
            <w:vAlign w:val="center"/>
          </w:tcPr>
          <w:p w14:paraId="3ECB64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说明：4i技术智能控温，裸线加热即开即热，适合软硬各种水质，换热效率高达99%，远高于国家标准（80%），ECO节能省电，小巧体积灵活安装</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电压/功率:380V/18-28KW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规格：483*228*95mm</w:t>
            </w:r>
          </w:p>
        </w:tc>
        <w:tc>
          <w:tcPr>
            <w:tcW w:w="558" w:type="dxa"/>
            <w:shd w:val="clear" w:color="auto" w:fill="auto"/>
            <w:vAlign w:val="center"/>
          </w:tcPr>
          <w:p w14:paraId="0D0828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5C100B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1F75AFA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200025</wp:posOffset>
                  </wp:positionH>
                  <wp:positionV relativeFrom="paragraph">
                    <wp:posOffset>-9525</wp:posOffset>
                  </wp:positionV>
                  <wp:extent cx="527685" cy="815340"/>
                  <wp:effectExtent l="0" t="0" r="5715" b="3810"/>
                  <wp:wrapNone/>
                  <wp:docPr id="296" name="图片_85_SpCnt_2"/>
                  <wp:cNvGraphicFramePr/>
                  <a:graphic xmlns:a="http://schemas.openxmlformats.org/drawingml/2006/main">
                    <a:graphicData uri="http://schemas.openxmlformats.org/drawingml/2006/picture">
                      <pic:pic xmlns:pic="http://schemas.openxmlformats.org/drawingml/2006/picture">
                        <pic:nvPicPr>
                          <pic:cNvPr id="296" name="图片_85_SpCnt_2"/>
                          <pic:cNvPicPr/>
                        </pic:nvPicPr>
                        <pic:blipFill>
                          <a:blip r:embed="rId77"/>
                          <a:stretch>
                            <a:fillRect/>
                          </a:stretch>
                        </pic:blipFill>
                        <pic:spPr>
                          <a:xfrm>
                            <a:off x="0" y="0"/>
                            <a:ext cx="527685" cy="815340"/>
                          </a:xfrm>
                          <a:prstGeom prst="rect">
                            <a:avLst/>
                          </a:prstGeom>
                          <a:noFill/>
                          <a:ln>
                            <a:noFill/>
                          </a:ln>
                        </pic:spPr>
                      </pic:pic>
                    </a:graphicData>
                  </a:graphic>
                </wp:anchor>
              </w:drawing>
            </w:r>
          </w:p>
        </w:tc>
      </w:tr>
      <w:tr w14:paraId="4000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jc w:val="center"/>
        </w:trPr>
        <w:tc>
          <w:tcPr>
            <w:tcW w:w="658" w:type="dxa"/>
            <w:shd w:val="clear" w:color="auto" w:fill="auto"/>
            <w:vAlign w:val="center"/>
          </w:tcPr>
          <w:p w14:paraId="4908C9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7853F3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收餐柜</w:t>
            </w:r>
          </w:p>
        </w:tc>
        <w:tc>
          <w:tcPr>
            <w:tcW w:w="4964" w:type="dxa"/>
            <w:shd w:val="clear" w:color="auto" w:fill="auto"/>
            <w:vAlign w:val="center"/>
          </w:tcPr>
          <w:p w14:paraId="47E9DC3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开300*300mm方孔。围板δ≥1.0mm，实厚δ≥0.89mm，主管采用38*38*1.0mm不锈钢方管结构管焊接，配承重型不锈钢科顺脚轮四个(两定向两万向)。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规格：800*800*800mm</w:t>
            </w:r>
          </w:p>
        </w:tc>
        <w:tc>
          <w:tcPr>
            <w:tcW w:w="558" w:type="dxa"/>
            <w:shd w:val="clear" w:color="auto" w:fill="auto"/>
            <w:vAlign w:val="center"/>
          </w:tcPr>
          <w:p w14:paraId="60BFDB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217517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6BA4C5A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76200</wp:posOffset>
                  </wp:positionH>
                  <wp:positionV relativeFrom="paragraph">
                    <wp:posOffset>117475</wp:posOffset>
                  </wp:positionV>
                  <wp:extent cx="601345" cy="657225"/>
                  <wp:effectExtent l="0" t="0" r="8255" b="9525"/>
                  <wp:wrapNone/>
                  <wp:docPr id="297" name="图片_76_SpCnt_8"/>
                  <wp:cNvGraphicFramePr/>
                  <a:graphic xmlns:a="http://schemas.openxmlformats.org/drawingml/2006/main">
                    <a:graphicData uri="http://schemas.openxmlformats.org/drawingml/2006/picture">
                      <pic:pic xmlns:pic="http://schemas.openxmlformats.org/drawingml/2006/picture">
                        <pic:nvPicPr>
                          <pic:cNvPr id="297" name="图片_76_SpCnt_8"/>
                          <pic:cNvPicPr/>
                        </pic:nvPicPr>
                        <pic:blipFill>
                          <a:blip r:embed="rId117"/>
                          <a:stretch>
                            <a:fillRect/>
                          </a:stretch>
                        </pic:blipFill>
                        <pic:spPr>
                          <a:xfrm>
                            <a:off x="0" y="0"/>
                            <a:ext cx="601345" cy="657225"/>
                          </a:xfrm>
                          <a:prstGeom prst="rect">
                            <a:avLst/>
                          </a:prstGeom>
                          <a:noFill/>
                          <a:ln>
                            <a:noFill/>
                          </a:ln>
                        </pic:spPr>
                      </pic:pic>
                    </a:graphicData>
                  </a:graphic>
                </wp:anchor>
              </w:drawing>
            </w:r>
          </w:p>
        </w:tc>
      </w:tr>
      <w:tr w14:paraId="4EEB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601D08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vAlign w:val="center"/>
          </w:tcPr>
          <w:p w14:paraId="0E8D57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双星盆水池</w:t>
            </w:r>
          </w:p>
        </w:tc>
        <w:tc>
          <w:tcPr>
            <w:tcW w:w="4964" w:type="dxa"/>
            <w:shd w:val="clear" w:color="auto" w:fill="auto"/>
            <w:vAlign w:val="center"/>
          </w:tcPr>
          <w:p w14:paraId="4B43E90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规格：1800*700*800mm</w:t>
            </w:r>
          </w:p>
        </w:tc>
        <w:tc>
          <w:tcPr>
            <w:tcW w:w="558" w:type="dxa"/>
            <w:shd w:val="clear" w:color="auto" w:fill="auto"/>
            <w:vAlign w:val="center"/>
          </w:tcPr>
          <w:p w14:paraId="7FD7A6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2E9C36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6A36064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142875</wp:posOffset>
                  </wp:positionH>
                  <wp:positionV relativeFrom="paragraph">
                    <wp:posOffset>9525</wp:posOffset>
                  </wp:positionV>
                  <wp:extent cx="424180" cy="600710"/>
                  <wp:effectExtent l="0" t="0" r="13970" b="8890"/>
                  <wp:wrapNone/>
                  <wp:docPr id="298" name="图片_33_SpCnt_6"/>
                  <wp:cNvGraphicFramePr/>
                  <a:graphic xmlns:a="http://schemas.openxmlformats.org/drawingml/2006/main">
                    <a:graphicData uri="http://schemas.openxmlformats.org/drawingml/2006/picture">
                      <pic:pic xmlns:pic="http://schemas.openxmlformats.org/drawingml/2006/picture">
                        <pic:nvPicPr>
                          <pic:cNvPr id="298" name="图片_33_SpCnt_6"/>
                          <pic:cNvPicPr/>
                        </pic:nvPicPr>
                        <pic:blipFill>
                          <a:blip r:embed="rId118"/>
                          <a:stretch>
                            <a:fillRect/>
                          </a:stretch>
                        </pic:blipFill>
                        <pic:spPr>
                          <a:xfrm>
                            <a:off x="0" y="0"/>
                            <a:ext cx="424180" cy="600710"/>
                          </a:xfrm>
                          <a:prstGeom prst="rect">
                            <a:avLst/>
                          </a:prstGeom>
                          <a:noFill/>
                          <a:ln>
                            <a:noFill/>
                          </a:ln>
                        </pic:spPr>
                      </pic:pic>
                    </a:graphicData>
                  </a:graphic>
                </wp:anchor>
              </w:drawing>
            </w:r>
          </w:p>
        </w:tc>
      </w:tr>
      <w:tr w14:paraId="254B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jc w:val="center"/>
        </w:trPr>
        <w:tc>
          <w:tcPr>
            <w:tcW w:w="658" w:type="dxa"/>
            <w:shd w:val="clear" w:color="auto" w:fill="auto"/>
            <w:vAlign w:val="center"/>
          </w:tcPr>
          <w:p w14:paraId="6EA7E7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36" w:type="dxa"/>
            <w:shd w:val="clear" w:color="auto" w:fill="auto"/>
            <w:vAlign w:val="center"/>
          </w:tcPr>
          <w:p w14:paraId="2232F3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center"/>
          </w:tcPr>
          <w:p w14:paraId="0F5CEB0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规格：双温</w:t>
            </w:r>
          </w:p>
        </w:tc>
        <w:tc>
          <w:tcPr>
            <w:tcW w:w="558" w:type="dxa"/>
            <w:shd w:val="clear" w:color="auto" w:fill="auto"/>
            <w:vAlign w:val="center"/>
          </w:tcPr>
          <w:p w14:paraId="6D2215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auto"/>
            <w:vAlign w:val="center"/>
          </w:tcPr>
          <w:p w14:paraId="14B77B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noWrap/>
            <w:vAlign w:val="center"/>
          </w:tcPr>
          <w:p w14:paraId="0A58976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390525</wp:posOffset>
                  </wp:positionH>
                  <wp:positionV relativeFrom="paragraph">
                    <wp:posOffset>533400</wp:posOffset>
                  </wp:positionV>
                  <wp:extent cx="449580" cy="0"/>
                  <wp:effectExtent l="0" t="0" r="0" b="0"/>
                  <wp:wrapNone/>
                  <wp:docPr id="299" name="图片_79_SpCnt_8"/>
                  <wp:cNvGraphicFramePr/>
                  <a:graphic xmlns:a="http://schemas.openxmlformats.org/drawingml/2006/main">
                    <a:graphicData uri="http://schemas.openxmlformats.org/drawingml/2006/picture">
                      <pic:pic xmlns:pic="http://schemas.openxmlformats.org/drawingml/2006/picture">
                        <pic:nvPicPr>
                          <pic:cNvPr id="299" name="图片_79_SpCnt_8"/>
                          <pic:cNvPicPr/>
                        </pic:nvPicPr>
                        <pic:blipFill>
                          <a:blip r:embed="rId65"/>
                          <a:stretch>
                            <a:fillRect/>
                          </a:stretch>
                        </pic:blipFill>
                        <pic:spPr>
                          <a:xfrm>
                            <a:off x="0" y="0"/>
                            <a:ext cx="449580" cy="0"/>
                          </a:xfrm>
                          <a:prstGeom prst="rect">
                            <a:avLst/>
                          </a:prstGeom>
                          <a:noFill/>
                          <a:ln>
                            <a:noFill/>
                          </a:ln>
                        </pic:spPr>
                      </pic:pic>
                    </a:graphicData>
                  </a:graphic>
                </wp:anchor>
              </w:drawing>
            </w:r>
          </w:p>
        </w:tc>
      </w:tr>
      <w:tr w14:paraId="62FE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58" w:type="dxa"/>
            <w:shd w:val="clear" w:color="auto" w:fill="auto"/>
            <w:vAlign w:val="center"/>
          </w:tcPr>
          <w:p w14:paraId="226B6B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536" w:type="dxa"/>
            <w:shd w:val="clear" w:color="auto" w:fill="auto"/>
            <w:vAlign w:val="center"/>
          </w:tcPr>
          <w:p w14:paraId="382EEB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四层栅格货架</w:t>
            </w:r>
          </w:p>
        </w:tc>
        <w:tc>
          <w:tcPr>
            <w:tcW w:w="4964" w:type="dxa"/>
            <w:shd w:val="clear" w:color="auto" w:fill="auto"/>
            <w:vAlign w:val="center"/>
          </w:tcPr>
          <w:p w14:paraId="4D155BB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说明：选用SUS304-2B优质不锈钢板制作；格栅板δ≥1.2mm，实厚δ≥1.18mm；立柱为φ38*38mm加厚方管制，实厚δ≥0.89mm；层板型，四层结构，下衬不锈钢加强筋，实厚δ≥0.89mm；配置重力不锈钢可调节子弹脚。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规格：1200*500*1550mm</w:t>
            </w:r>
          </w:p>
        </w:tc>
        <w:tc>
          <w:tcPr>
            <w:tcW w:w="558" w:type="dxa"/>
            <w:shd w:val="clear" w:color="auto" w:fill="auto"/>
            <w:vAlign w:val="center"/>
          </w:tcPr>
          <w:p w14:paraId="080931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4DB261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204EF0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85725</wp:posOffset>
                  </wp:positionV>
                  <wp:extent cx="605790" cy="967105"/>
                  <wp:effectExtent l="0" t="0" r="3810" b="4445"/>
                  <wp:wrapNone/>
                  <wp:docPr id="300" name="图片_113"/>
                  <wp:cNvGraphicFramePr/>
                  <a:graphic xmlns:a="http://schemas.openxmlformats.org/drawingml/2006/main">
                    <a:graphicData uri="http://schemas.openxmlformats.org/drawingml/2006/picture">
                      <pic:pic xmlns:pic="http://schemas.openxmlformats.org/drawingml/2006/picture">
                        <pic:nvPicPr>
                          <pic:cNvPr id="300" name="图片_113"/>
                          <pic:cNvPicPr/>
                        </pic:nvPicPr>
                        <pic:blipFill>
                          <a:blip r:embed="rId80"/>
                          <a:stretch>
                            <a:fillRect/>
                          </a:stretch>
                        </pic:blipFill>
                        <pic:spPr>
                          <a:xfrm>
                            <a:off x="0" y="0"/>
                            <a:ext cx="605790" cy="967105"/>
                          </a:xfrm>
                          <a:prstGeom prst="rect">
                            <a:avLst/>
                          </a:prstGeom>
                          <a:noFill/>
                          <a:ln>
                            <a:noFill/>
                          </a:ln>
                        </pic:spPr>
                      </pic:pic>
                    </a:graphicData>
                  </a:graphic>
                </wp:anchor>
              </w:drawing>
            </w:r>
          </w:p>
        </w:tc>
      </w:tr>
      <w:tr w14:paraId="4571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5E8F96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536" w:type="dxa"/>
            <w:shd w:val="clear" w:color="auto" w:fill="auto"/>
            <w:vAlign w:val="center"/>
          </w:tcPr>
          <w:p w14:paraId="7E9696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双层工作台</w:t>
            </w:r>
          </w:p>
        </w:tc>
        <w:tc>
          <w:tcPr>
            <w:tcW w:w="4964" w:type="dxa"/>
            <w:shd w:val="clear" w:color="auto" w:fill="auto"/>
            <w:vAlign w:val="center"/>
          </w:tcPr>
          <w:p w14:paraId="64B3A0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说明：选用SUS304-2B优质不锈钢板制作；台面δ≥1.2mm，实厚δ≥1.18mm。方通脚采用38*38mm不锈钢加厚制作，壁厚1.0mm,实厚δ≥0.89mm；层板型，配置重力不锈钢可调节子弹脚。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规格：1600*800*800mm</w:t>
            </w:r>
          </w:p>
        </w:tc>
        <w:tc>
          <w:tcPr>
            <w:tcW w:w="558" w:type="dxa"/>
            <w:shd w:val="clear" w:color="auto" w:fill="auto"/>
            <w:vAlign w:val="center"/>
          </w:tcPr>
          <w:p w14:paraId="625DB9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2E6AE6E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45325C0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190500</wp:posOffset>
                  </wp:positionH>
                  <wp:positionV relativeFrom="paragraph">
                    <wp:posOffset>85725</wp:posOffset>
                  </wp:positionV>
                  <wp:extent cx="525145" cy="542925"/>
                  <wp:effectExtent l="0" t="0" r="8255" b="9525"/>
                  <wp:wrapNone/>
                  <wp:docPr id="301" name="图片_114"/>
                  <wp:cNvGraphicFramePr/>
                  <a:graphic xmlns:a="http://schemas.openxmlformats.org/drawingml/2006/main">
                    <a:graphicData uri="http://schemas.openxmlformats.org/drawingml/2006/picture">
                      <pic:pic xmlns:pic="http://schemas.openxmlformats.org/drawingml/2006/picture">
                        <pic:nvPicPr>
                          <pic:cNvPr id="301" name="图片_114"/>
                          <pic:cNvPicPr/>
                        </pic:nvPicPr>
                        <pic:blipFill>
                          <a:blip r:embed="rId119"/>
                          <a:stretch>
                            <a:fillRect/>
                          </a:stretch>
                        </pic:blipFill>
                        <pic:spPr>
                          <a:xfrm>
                            <a:off x="0" y="0"/>
                            <a:ext cx="525145" cy="542925"/>
                          </a:xfrm>
                          <a:prstGeom prst="rect">
                            <a:avLst/>
                          </a:prstGeom>
                          <a:noFill/>
                          <a:ln>
                            <a:noFill/>
                          </a:ln>
                        </pic:spPr>
                      </pic:pic>
                    </a:graphicData>
                  </a:graphic>
                </wp:anchor>
              </w:drawing>
            </w:r>
          </w:p>
        </w:tc>
      </w:tr>
      <w:tr w14:paraId="777A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0" w:hRule="atLeast"/>
          <w:jc w:val="center"/>
        </w:trPr>
        <w:tc>
          <w:tcPr>
            <w:tcW w:w="658" w:type="dxa"/>
            <w:shd w:val="clear" w:color="auto" w:fill="auto"/>
            <w:vAlign w:val="center"/>
          </w:tcPr>
          <w:p w14:paraId="75AF20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536" w:type="dxa"/>
            <w:shd w:val="clear" w:color="auto" w:fill="auto"/>
            <w:vAlign w:val="center"/>
          </w:tcPr>
          <w:p w14:paraId="1DD6F0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洗地龙头</w:t>
            </w:r>
          </w:p>
        </w:tc>
        <w:tc>
          <w:tcPr>
            <w:tcW w:w="4964" w:type="dxa"/>
            <w:shd w:val="clear" w:color="auto" w:fill="auto"/>
            <w:vAlign w:val="center"/>
          </w:tcPr>
          <w:p w14:paraId="49CA37C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说明：1、开放式洗地龙头、碳钢主体，表面环氧喷涂处理（黑色）                                         2、固定侧支架钢板厚度5mm，黄铜进水主体                                                        3、10.7米重工无痕三层液压钢丝管（黑色）、与主体接口为金属连接件不易损坏漏水，喉管耐温85度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4、黄铜铸造枪式喷头、前置扳机、配有橡胶保护套水压可调。（配置一把喷头）                                                                            5、进水接口为标准G1/2外螺纹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规格：管10米</w:t>
            </w:r>
          </w:p>
        </w:tc>
        <w:tc>
          <w:tcPr>
            <w:tcW w:w="558" w:type="dxa"/>
            <w:shd w:val="clear" w:color="auto" w:fill="auto"/>
            <w:vAlign w:val="center"/>
          </w:tcPr>
          <w:p w14:paraId="16C7A4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4C3AFF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7C0A75E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161925</wp:posOffset>
                  </wp:positionH>
                  <wp:positionV relativeFrom="paragraph">
                    <wp:posOffset>571500</wp:posOffset>
                  </wp:positionV>
                  <wp:extent cx="695325" cy="730250"/>
                  <wp:effectExtent l="0" t="0" r="9525" b="12700"/>
                  <wp:wrapNone/>
                  <wp:docPr id="302" name="图片_35_SpCnt_6"/>
                  <wp:cNvGraphicFramePr/>
                  <a:graphic xmlns:a="http://schemas.openxmlformats.org/drawingml/2006/main">
                    <a:graphicData uri="http://schemas.openxmlformats.org/drawingml/2006/picture">
                      <pic:pic xmlns:pic="http://schemas.openxmlformats.org/drawingml/2006/picture">
                        <pic:nvPicPr>
                          <pic:cNvPr id="302" name="图片_35_SpCnt_6"/>
                          <pic:cNvPicPr/>
                        </pic:nvPicPr>
                        <pic:blipFill>
                          <a:blip r:embed="rId73"/>
                          <a:stretch>
                            <a:fillRect/>
                          </a:stretch>
                        </pic:blipFill>
                        <pic:spPr>
                          <a:xfrm>
                            <a:off x="0" y="0"/>
                            <a:ext cx="695325" cy="730250"/>
                          </a:xfrm>
                          <a:prstGeom prst="rect">
                            <a:avLst/>
                          </a:prstGeom>
                          <a:noFill/>
                          <a:ln>
                            <a:noFill/>
                          </a:ln>
                        </pic:spPr>
                      </pic:pic>
                    </a:graphicData>
                  </a:graphic>
                </wp:anchor>
              </w:drawing>
            </w:r>
          </w:p>
        </w:tc>
      </w:tr>
      <w:tr w14:paraId="4049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2194" w:type="dxa"/>
            <w:gridSpan w:val="2"/>
            <w:shd w:val="clear" w:color="auto" w:fill="auto"/>
            <w:noWrap/>
            <w:vAlign w:val="center"/>
          </w:tcPr>
          <w:p w14:paraId="2F1A9F36">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热加工间</w:t>
            </w:r>
          </w:p>
        </w:tc>
        <w:tc>
          <w:tcPr>
            <w:tcW w:w="4964" w:type="dxa"/>
            <w:shd w:val="clear" w:color="auto" w:fill="auto"/>
            <w:noWrap/>
            <w:vAlign w:val="center"/>
          </w:tcPr>
          <w:p w14:paraId="63277831">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498DBBAA">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150D0A34">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34E93C1E">
            <w:pPr>
              <w:rPr>
                <w:rFonts w:hint="eastAsia" w:ascii="宋体" w:hAnsi="宋体" w:eastAsia="宋体" w:cs="宋体"/>
                <w:i w:val="0"/>
                <w:iCs w:val="0"/>
                <w:color w:val="auto"/>
                <w:sz w:val="22"/>
                <w:szCs w:val="22"/>
                <w:highlight w:val="none"/>
                <w:u w:val="none"/>
              </w:rPr>
            </w:pPr>
          </w:p>
        </w:tc>
      </w:tr>
      <w:tr w14:paraId="6910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0" w:hRule="atLeast"/>
          <w:jc w:val="center"/>
        </w:trPr>
        <w:tc>
          <w:tcPr>
            <w:tcW w:w="658" w:type="dxa"/>
            <w:shd w:val="clear" w:color="auto" w:fill="auto"/>
            <w:vAlign w:val="center"/>
          </w:tcPr>
          <w:p w14:paraId="7F56DD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77B8C1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电磁矮汤炉</w:t>
            </w:r>
          </w:p>
        </w:tc>
        <w:tc>
          <w:tcPr>
            <w:tcW w:w="4964" w:type="dxa"/>
            <w:shd w:val="clear" w:color="auto" w:fill="auto"/>
            <w:vAlign w:val="center"/>
          </w:tcPr>
          <w:p w14:paraId="4A192F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说明：1、采用SUS304-2B优质不锈钢板制造，灶面板采用一体成型面板，炉体采用优质全不锈钢骨架。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2、0至99档无级功率调节技术，机芯采用分层次散热结构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3、具有全中文显示故障代码功能，让操作更人性化，档位对应功率显示。让操作更加直观。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4、后背防水风机。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5、聚能线盘节能设计，线圈盘无盲区，比传统灶节能30%以上。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6、移相搭桥电路控制技术，性能卓越运行稳定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7、超宽工作电压设计，运行稳定更安全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8、电路防磁干扰EMC模块设计，保护电网及电器设备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功率：380V/15KW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规格：650*700*（500+700）mm</w:t>
            </w:r>
          </w:p>
        </w:tc>
        <w:tc>
          <w:tcPr>
            <w:tcW w:w="558" w:type="dxa"/>
            <w:shd w:val="clear" w:color="auto" w:fill="auto"/>
            <w:vAlign w:val="center"/>
          </w:tcPr>
          <w:p w14:paraId="04F70D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587C9C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1A2D3EE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95250</wp:posOffset>
                  </wp:positionH>
                  <wp:positionV relativeFrom="paragraph">
                    <wp:posOffset>247650</wp:posOffset>
                  </wp:positionV>
                  <wp:extent cx="791845" cy="1358900"/>
                  <wp:effectExtent l="0" t="0" r="8255" b="12700"/>
                  <wp:wrapNone/>
                  <wp:docPr id="303" name="图片_15_SpCnt_2"/>
                  <wp:cNvGraphicFramePr/>
                  <a:graphic xmlns:a="http://schemas.openxmlformats.org/drawingml/2006/main">
                    <a:graphicData uri="http://schemas.openxmlformats.org/drawingml/2006/picture">
                      <pic:pic xmlns:pic="http://schemas.openxmlformats.org/drawingml/2006/picture">
                        <pic:nvPicPr>
                          <pic:cNvPr id="303" name="图片_15_SpCnt_2"/>
                          <pic:cNvPicPr/>
                        </pic:nvPicPr>
                        <pic:blipFill>
                          <a:blip r:embed="rId81"/>
                          <a:stretch>
                            <a:fillRect/>
                          </a:stretch>
                        </pic:blipFill>
                        <pic:spPr>
                          <a:xfrm>
                            <a:off x="0" y="0"/>
                            <a:ext cx="791845" cy="1358900"/>
                          </a:xfrm>
                          <a:prstGeom prst="rect">
                            <a:avLst/>
                          </a:prstGeom>
                          <a:noFill/>
                          <a:ln>
                            <a:noFill/>
                          </a:ln>
                        </pic:spPr>
                      </pic:pic>
                    </a:graphicData>
                  </a:graphic>
                </wp:anchor>
              </w:drawing>
            </w:r>
          </w:p>
        </w:tc>
      </w:tr>
      <w:tr w14:paraId="6B91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0" w:hRule="atLeast"/>
          <w:jc w:val="center"/>
        </w:trPr>
        <w:tc>
          <w:tcPr>
            <w:tcW w:w="658" w:type="dxa"/>
            <w:shd w:val="clear" w:color="auto" w:fill="auto"/>
            <w:vAlign w:val="center"/>
          </w:tcPr>
          <w:p w14:paraId="41D69A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5BFFFE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电磁六头煲仔炉</w:t>
            </w:r>
          </w:p>
        </w:tc>
        <w:tc>
          <w:tcPr>
            <w:tcW w:w="4964" w:type="dxa"/>
            <w:shd w:val="clear" w:color="auto" w:fill="auto"/>
            <w:vAlign w:val="top"/>
          </w:tcPr>
          <w:p w14:paraId="3BE6BC2C">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说明：1、采用SUS304-2B优质不锈钢板制造，灶面板采用一体成型面板，炉体采用优质全不锈钢骨架。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2、0至99档无级功率调节技术，机芯采用分层次散热结构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3、具有全中文显示故障代码功能，让操作更人性化，档位对应功率显示。让操作更加直观。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4、后背防水风机。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5、聚能线盘节能设计，线圈盘无盲区，比传统灶节能30%以上。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6、移相搭桥电路控制技术，性能卓越运行稳定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7、超宽工作电压设计，运行稳定更安全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8、电路防磁干扰EMC模块设计，保护电网及电器设备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功率：380V/6×3.5KW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规格：1200×900×(800+150)</w:t>
            </w:r>
          </w:p>
        </w:tc>
        <w:tc>
          <w:tcPr>
            <w:tcW w:w="558" w:type="dxa"/>
            <w:shd w:val="clear" w:color="auto" w:fill="auto"/>
            <w:vAlign w:val="center"/>
          </w:tcPr>
          <w:p w14:paraId="1BD91D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36223E7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739F11B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57150</wp:posOffset>
                  </wp:positionH>
                  <wp:positionV relativeFrom="paragraph">
                    <wp:posOffset>235585</wp:posOffset>
                  </wp:positionV>
                  <wp:extent cx="822325" cy="1090930"/>
                  <wp:effectExtent l="0" t="0" r="15875" b="13970"/>
                  <wp:wrapNone/>
                  <wp:docPr id="304" name="图片_17_SpCnt_1"/>
                  <wp:cNvGraphicFramePr/>
                  <a:graphic xmlns:a="http://schemas.openxmlformats.org/drawingml/2006/main">
                    <a:graphicData uri="http://schemas.openxmlformats.org/drawingml/2006/picture">
                      <pic:pic xmlns:pic="http://schemas.openxmlformats.org/drawingml/2006/picture">
                        <pic:nvPicPr>
                          <pic:cNvPr id="304" name="图片_17_SpCnt_1"/>
                          <pic:cNvPicPr/>
                        </pic:nvPicPr>
                        <pic:blipFill>
                          <a:blip r:embed="rId120"/>
                          <a:stretch>
                            <a:fillRect/>
                          </a:stretch>
                        </pic:blipFill>
                        <pic:spPr>
                          <a:xfrm>
                            <a:off x="0" y="0"/>
                            <a:ext cx="822325" cy="1090930"/>
                          </a:xfrm>
                          <a:prstGeom prst="rect">
                            <a:avLst/>
                          </a:prstGeom>
                          <a:noFill/>
                          <a:ln>
                            <a:noFill/>
                          </a:ln>
                        </pic:spPr>
                      </pic:pic>
                    </a:graphicData>
                  </a:graphic>
                </wp:anchor>
              </w:drawing>
            </w:r>
          </w:p>
        </w:tc>
      </w:tr>
      <w:tr w14:paraId="18DB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0" w:hRule="atLeast"/>
          <w:jc w:val="center"/>
        </w:trPr>
        <w:tc>
          <w:tcPr>
            <w:tcW w:w="658" w:type="dxa"/>
            <w:shd w:val="clear" w:color="auto" w:fill="auto"/>
            <w:vAlign w:val="center"/>
          </w:tcPr>
          <w:p w14:paraId="4A3465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6234E9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电磁三门蒸柜</w:t>
            </w:r>
          </w:p>
        </w:tc>
        <w:tc>
          <w:tcPr>
            <w:tcW w:w="4964" w:type="dxa"/>
            <w:shd w:val="clear" w:color="auto" w:fill="auto"/>
            <w:vAlign w:val="center"/>
          </w:tcPr>
          <w:p w14:paraId="38408FF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说明：1、采用SUS304-2B优质不锈钢板制造，灶面板采用一体成型面板，炉体采用优质全不锈钢骨架。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2、0至99档无级功率调节技术，机芯采用分层次散热结构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3、具有全中文显示故障代码功能，让操作更人性化，档位对应功率显示。让操作更加直观。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4、后背防水风机。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5、聚能线盘节能设计，线圈盘无盲区，比传统灶节能30%以上。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6、移相搭桥电路控制技术，性能卓越运行稳定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7、超宽工作电压设计，运行稳定更安全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8、电路防磁干扰EMC模块设计，保护电网及电器设备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功率：380V/30KW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w:t>
            </w:r>
            <w:r>
              <w:rPr>
                <w:rFonts w:hint="eastAsia" w:ascii="宋体" w:hAnsi="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2"/>
                <w:szCs w:val="22"/>
                <w:highlight w:val="none"/>
                <w:u w:val="none"/>
                <w:lang w:val="en-US" w:eastAsia="zh-CN" w:bidi="ar"/>
              </w:rPr>
              <w:t>00*1000*18</w:t>
            </w:r>
            <w:r>
              <w:rPr>
                <w:rFonts w:hint="eastAsia" w:ascii="宋体" w:hAnsi="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2"/>
                <w:szCs w:val="22"/>
                <w:highlight w:val="none"/>
                <w:u w:val="none"/>
                <w:lang w:val="en-US" w:eastAsia="zh-CN" w:bidi="ar"/>
              </w:rPr>
              <w:t>0mm</w:t>
            </w:r>
          </w:p>
        </w:tc>
        <w:tc>
          <w:tcPr>
            <w:tcW w:w="558" w:type="dxa"/>
            <w:shd w:val="clear" w:color="auto" w:fill="auto"/>
            <w:vAlign w:val="center"/>
          </w:tcPr>
          <w:p w14:paraId="5CC734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64C243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31DB0BA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161925</wp:posOffset>
                  </wp:positionH>
                  <wp:positionV relativeFrom="paragraph">
                    <wp:posOffset>104775</wp:posOffset>
                  </wp:positionV>
                  <wp:extent cx="591820" cy="1595120"/>
                  <wp:effectExtent l="0" t="0" r="17780" b="5080"/>
                  <wp:wrapNone/>
                  <wp:docPr id="305" name="图片_26_SpCnt_2"/>
                  <wp:cNvGraphicFramePr/>
                  <a:graphic xmlns:a="http://schemas.openxmlformats.org/drawingml/2006/main">
                    <a:graphicData uri="http://schemas.openxmlformats.org/drawingml/2006/picture">
                      <pic:pic xmlns:pic="http://schemas.openxmlformats.org/drawingml/2006/picture">
                        <pic:nvPicPr>
                          <pic:cNvPr id="305" name="图片_26_SpCnt_2"/>
                          <pic:cNvPicPr/>
                        </pic:nvPicPr>
                        <pic:blipFill>
                          <a:blip r:embed="rId79"/>
                          <a:stretch>
                            <a:fillRect/>
                          </a:stretch>
                        </pic:blipFill>
                        <pic:spPr>
                          <a:xfrm>
                            <a:off x="0" y="0"/>
                            <a:ext cx="591820" cy="1595120"/>
                          </a:xfrm>
                          <a:prstGeom prst="rect">
                            <a:avLst/>
                          </a:prstGeom>
                          <a:noFill/>
                          <a:ln>
                            <a:noFill/>
                          </a:ln>
                        </pic:spPr>
                      </pic:pic>
                    </a:graphicData>
                  </a:graphic>
                </wp:anchor>
              </w:drawing>
            </w:r>
          </w:p>
        </w:tc>
      </w:tr>
      <w:tr w14:paraId="39A4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0" w:hRule="atLeast"/>
          <w:jc w:val="center"/>
        </w:trPr>
        <w:tc>
          <w:tcPr>
            <w:tcW w:w="658" w:type="dxa"/>
            <w:shd w:val="clear" w:color="auto" w:fill="auto"/>
            <w:vAlign w:val="center"/>
          </w:tcPr>
          <w:p w14:paraId="60B7A5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66E93C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top"/>
          </w:tcPr>
          <w:p w14:paraId="7AAE67BA">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17E2C6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4DFE6C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noWrap/>
            <w:vAlign w:val="center"/>
          </w:tcPr>
          <w:p w14:paraId="0AA71E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131445</wp:posOffset>
                  </wp:positionH>
                  <wp:positionV relativeFrom="paragraph">
                    <wp:posOffset>26035</wp:posOffset>
                  </wp:positionV>
                  <wp:extent cx="492760" cy="701040"/>
                  <wp:effectExtent l="0" t="0" r="2540" b="3810"/>
                  <wp:wrapNone/>
                  <wp:docPr id="306" name="图片_60_SpCnt_6"/>
                  <wp:cNvGraphicFramePr/>
                  <a:graphic xmlns:a="http://schemas.openxmlformats.org/drawingml/2006/main">
                    <a:graphicData uri="http://schemas.openxmlformats.org/drawingml/2006/picture">
                      <pic:pic xmlns:pic="http://schemas.openxmlformats.org/drawingml/2006/picture">
                        <pic:nvPicPr>
                          <pic:cNvPr id="306" name="图片_60_SpCnt_6"/>
                          <pic:cNvPicPr/>
                        </pic:nvPicPr>
                        <pic:blipFill>
                          <a:blip r:embed="rId60"/>
                          <a:stretch>
                            <a:fillRect/>
                          </a:stretch>
                        </pic:blipFill>
                        <pic:spPr>
                          <a:xfrm>
                            <a:off x="0" y="0"/>
                            <a:ext cx="492760" cy="701040"/>
                          </a:xfrm>
                          <a:prstGeom prst="rect">
                            <a:avLst/>
                          </a:prstGeom>
                          <a:noFill/>
                          <a:ln>
                            <a:noFill/>
                          </a:ln>
                        </pic:spPr>
                      </pic:pic>
                    </a:graphicData>
                  </a:graphic>
                </wp:anchor>
              </w:drawing>
            </w:r>
          </w:p>
        </w:tc>
      </w:tr>
      <w:tr w14:paraId="627D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37818A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vAlign w:val="center"/>
          </w:tcPr>
          <w:p w14:paraId="69AFD9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单星盆水池</w:t>
            </w:r>
          </w:p>
        </w:tc>
        <w:tc>
          <w:tcPr>
            <w:tcW w:w="4964" w:type="dxa"/>
            <w:shd w:val="clear" w:color="auto" w:fill="auto"/>
            <w:vAlign w:val="center"/>
          </w:tcPr>
          <w:p w14:paraId="5903840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规格：650*700*800mm</w:t>
            </w:r>
          </w:p>
        </w:tc>
        <w:tc>
          <w:tcPr>
            <w:tcW w:w="558" w:type="dxa"/>
            <w:shd w:val="clear" w:color="auto" w:fill="auto"/>
            <w:vAlign w:val="center"/>
          </w:tcPr>
          <w:p w14:paraId="646A7D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4DBBF95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55EC79C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147955</wp:posOffset>
                  </wp:positionH>
                  <wp:positionV relativeFrom="paragraph">
                    <wp:posOffset>71755</wp:posOffset>
                  </wp:positionV>
                  <wp:extent cx="598805" cy="737870"/>
                  <wp:effectExtent l="0" t="0" r="10795" b="5080"/>
                  <wp:wrapNone/>
                  <wp:docPr id="307" name="图片_120"/>
                  <wp:cNvGraphicFramePr/>
                  <a:graphic xmlns:a="http://schemas.openxmlformats.org/drawingml/2006/main">
                    <a:graphicData uri="http://schemas.openxmlformats.org/drawingml/2006/picture">
                      <pic:pic xmlns:pic="http://schemas.openxmlformats.org/drawingml/2006/picture">
                        <pic:nvPicPr>
                          <pic:cNvPr id="307" name="图片_120"/>
                          <pic:cNvPicPr/>
                        </pic:nvPicPr>
                        <pic:blipFill>
                          <a:blip r:embed="rId22"/>
                          <a:stretch>
                            <a:fillRect/>
                          </a:stretch>
                        </pic:blipFill>
                        <pic:spPr>
                          <a:xfrm>
                            <a:off x="0" y="0"/>
                            <a:ext cx="598805" cy="737870"/>
                          </a:xfrm>
                          <a:prstGeom prst="rect">
                            <a:avLst/>
                          </a:prstGeom>
                          <a:noFill/>
                          <a:ln>
                            <a:noFill/>
                          </a:ln>
                        </pic:spPr>
                      </pic:pic>
                    </a:graphicData>
                  </a:graphic>
                </wp:anchor>
              </w:drawing>
            </w:r>
          </w:p>
        </w:tc>
      </w:tr>
      <w:tr w14:paraId="1971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0" w:hRule="atLeast"/>
          <w:jc w:val="center"/>
        </w:trPr>
        <w:tc>
          <w:tcPr>
            <w:tcW w:w="658" w:type="dxa"/>
            <w:shd w:val="clear" w:color="auto" w:fill="auto"/>
            <w:vAlign w:val="center"/>
          </w:tcPr>
          <w:p w14:paraId="72C697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36" w:type="dxa"/>
            <w:shd w:val="clear" w:color="auto" w:fill="auto"/>
            <w:vAlign w:val="center"/>
          </w:tcPr>
          <w:p w14:paraId="6749AE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电磁双头大锅灶</w:t>
            </w:r>
          </w:p>
        </w:tc>
        <w:tc>
          <w:tcPr>
            <w:tcW w:w="4964" w:type="dxa"/>
            <w:shd w:val="clear" w:color="auto" w:fill="auto"/>
            <w:vAlign w:val="center"/>
          </w:tcPr>
          <w:p w14:paraId="08FD1E4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说明：1）材质：面板采用优质304不锈钢板</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2）不锈钢子弹调节脚。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3、锅径为Φ800，功率/电压：2*20KW/380V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4、0至99档无级功率调节技术，机芯采用分层次散热结构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5、具有全中文显示故障代码功能，让操作更人性化，档位对应功率显示。让操作更加直观。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6、后背防水风机。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7、移相搭桥电路控制技术，性能卓越运行稳定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8、超宽工作电压设计，运行稳定更安全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9、电路防磁干扰EMC模块设计，保护电网及电器设备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10、聚能线盘节能设计，线圈盘无盲区，比传统灶节能30%以上。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规格：2000×11</w:t>
            </w:r>
            <w:r>
              <w:rPr>
                <w:rFonts w:hint="eastAsia" w:ascii="宋体" w:hAnsi="宋体" w:cs="宋体"/>
                <w:i w:val="0"/>
                <w:iCs w:val="0"/>
                <w:color w:val="auto"/>
                <w:kern w:val="0"/>
                <w:sz w:val="22"/>
                <w:szCs w:val="22"/>
                <w:highlight w:val="none"/>
                <w:u w:val="none"/>
                <w:lang w:val="en-US" w:eastAsia="zh-CN" w:bidi="ar"/>
              </w:rPr>
              <w:t>6</w:t>
            </w:r>
            <w:r>
              <w:rPr>
                <w:rFonts w:hint="eastAsia" w:ascii="宋体" w:hAnsi="宋体" w:eastAsia="宋体" w:cs="宋体"/>
                <w:i w:val="0"/>
                <w:iCs w:val="0"/>
                <w:color w:val="auto"/>
                <w:kern w:val="0"/>
                <w:sz w:val="22"/>
                <w:szCs w:val="22"/>
                <w:highlight w:val="none"/>
                <w:u w:val="none"/>
                <w:lang w:val="en-US" w:eastAsia="zh-CN" w:bidi="ar"/>
              </w:rPr>
              <w:t>0×（800+400）</w:t>
            </w:r>
          </w:p>
        </w:tc>
        <w:tc>
          <w:tcPr>
            <w:tcW w:w="558" w:type="dxa"/>
            <w:shd w:val="clear" w:color="auto" w:fill="auto"/>
            <w:vAlign w:val="center"/>
          </w:tcPr>
          <w:p w14:paraId="5A94B5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5EB683A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155DA12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19050</wp:posOffset>
                  </wp:positionH>
                  <wp:positionV relativeFrom="paragraph">
                    <wp:posOffset>523875</wp:posOffset>
                  </wp:positionV>
                  <wp:extent cx="765810" cy="848360"/>
                  <wp:effectExtent l="0" t="0" r="15240" b="8890"/>
                  <wp:wrapNone/>
                  <wp:docPr id="308" name="image11_SpCnt_1"/>
                  <wp:cNvGraphicFramePr/>
                  <a:graphic xmlns:a="http://schemas.openxmlformats.org/drawingml/2006/main">
                    <a:graphicData uri="http://schemas.openxmlformats.org/drawingml/2006/picture">
                      <pic:pic xmlns:pic="http://schemas.openxmlformats.org/drawingml/2006/picture">
                        <pic:nvPicPr>
                          <pic:cNvPr id="308" name="image11_SpCnt_1"/>
                          <pic:cNvPicPr/>
                        </pic:nvPicPr>
                        <pic:blipFill>
                          <a:blip r:embed="rId82"/>
                          <a:stretch>
                            <a:fillRect/>
                          </a:stretch>
                        </pic:blipFill>
                        <pic:spPr>
                          <a:xfrm>
                            <a:off x="0" y="0"/>
                            <a:ext cx="765810" cy="848360"/>
                          </a:xfrm>
                          <a:prstGeom prst="rect">
                            <a:avLst/>
                          </a:prstGeom>
                          <a:noFill/>
                          <a:ln>
                            <a:noFill/>
                          </a:ln>
                        </pic:spPr>
                      </pic:pic>
                    </a:graphicData>
                  </a:graphic>
                </wp:anchor>
              </w:drawing>
            </w:r>
          </w:p>
        </w:tc>
      </w:tr>
      <w:tr w14:paraId="2A71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jc w:val="center"/>
        </w:trPr>
        <w:tc>
          <w:tcPr>
            <w:tcW w:w="658" w:type="dxa"/>
            <w:shd w:val="clear" w:color="auto" w:fill="auto"/>
            <w:vAlign w:val="center"/>
          </w:tcPr>
          <w:p w14:paraId="44C031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536" w:type="dxa"/>
            <w:shd w:val="clear" w:color="auto" w:fill="auto"/>
            <w:vAlign w:val="center"/>
          </w:tcPr>
          <w:p w14:paraId="162DB3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电磁炉专用高压锅</w:t>
            </w:r>
          </w:p>
        </w:tc>
        <w:tc>
          <w:tcPr>
            <w:tcW w:w="4964" w:type="dxa"/>
            <w:shd w:val="clear" w:color="auto" w:fill="auto"/>
            <w:vAlign w:val="center"/>
          </w:tcPr>
          <w:p w14:paraId="795F02E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说明：高压防爆设计，360度三维加热，上下受热均匀，无需翻锅。</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规格：50L</w:t>
            </w:r>
          </w:p>
        </w:tc>
        <w:tc>
          <w:tcPr>
            <w:tcW w:w="558" w:type="dxa"/>
            <w:shd w:val="clear" w:color="auto" w:fill="auto"/>
            <w:vAlign w:val="center"/>
          </w:tcPr>
          <w:p w14:paraId="4E62DB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100949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1571" w:type="dxa"/>
            <w:shd w:val="clear" w:color="auto" w:fill="auto"/>
            <w:noWrap/>
            <w:vAlign w:val="center"/>
          </w:tcPr>
          <w:p w14:paraId="76CA4EF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142875</wp:posOffset>
                  </wp:positionH>
                  <wp:positionV relativeFrom="paragraph">
                    <wp:posOffset>28575</wp:posOffset>
                  </wp:positionV>
                  <wp:extent cx="638810" cy="819785"/>
                  <wp:effectExtent l="0" t="0" r="8890" b="18415"/>
                  <wp:wrapNone/>
                  <wp:docPr id="309" name="图片_156"/>
                  <wp:cNvGraphicFramePr/>
                  <a:graphic xmlns:a="http://schemas.openxmlformats.org/drawingml/2006/main">
                    <a:graphicData uri="http://schemas.openxmlformats.org/drawingml/2006/picture">
                      <pic:pic xmlns:pic="http://schemas.openxmlformats.org/drawingml/2006/picture">
                        <pic:nvPicPr>
                          <pic:cNvPr id="309" name="图片_156"/>
                          <pic:cNvPicPr/>
                        </pic:nvPicPr>
                        <pic:blipFill>
                          <a:blip r:embed="rId121"/>
                          <a:stretch>
                            <a:fillRect/>
                          </a:stretch>
                        </pic:blipFill>
                        <pic:spPr>
                          <a:xfrm>
                            <a:off x="0" y="0"/>
                            <a:ext cx="638810" cy="819785"/>
                          </a:xfrm>
                          <a:prstGeom prst="rect">
                            <a:avLst/>
                          </a:prstGeom>
                          <a:noFill/>
                          <a:ln>
                            <a:noFill/>
                          </a:ln>
                        </pic:spPr>
                      </pic:pic>
                    </a:graphicData>
                  </a:graphic>
                </wp:anchor>
              </w:drawing>
            </w:r>
          </w:p>
        </w:tc>
      </w:tr>
      <w:tr w14:paraId="6A3A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658" w:type="dxa"/>
            <w:shd w:val="clear" w:color="auto" w:fill="auto"/>
            <w:vAlign w:val="center"/>
          </w:tcPr>
          <w:p w14:paraId="2C701A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536" w:type="dxa"/>
            <w:shd w:val="clear" w:color="auto" w:fill="auto"/>
            <w:vAlign w:val="center"/>
          </w:tcPr>
          <w:p w14:paraId="535F34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调料台</w:t>
            </w:r>
          </w:p>
        </w:tc>
        <w:tc>
          <w:tcPr>
            <w:tcW w:w="4964" w:type="dxa"/>
            <w:shd w:val="clear" w:color="auto" w:fill="auto"/>
            <w:vAlign w:val="center"/>
          </w:tcPr>
          <w:p w14:paraId="083B53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制作；台面δ≥1.2mm，实厚δ≥1.18mm，层板δ≥1.2mm，实厚δ≥1.18mm；脚采用φ38*38mm不锈钢加厚方管制作，实厚δ≥0.89mm；横通档采用25*38*1.0mm，实厚δ≥0.89mm；下衬12mm密度板减噪，配不锈钢加强筋、板δ=1.0mm，实厚δ≥0.89mm；外形与灶具同款设计，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规格：580*1150*800mm</w:t>
            </w:r>
          </w:p>
        </w:tc>
        <w:tc>
          <w:tcPr>
            <w:tcW w:w="558" w:type="dxa"/>
            <w:shd w:val="clear" w:color="auto" w:fill="auto"/>
            <w:vAlign w:val="center"/>
          </w:tcPr>
          <w:p w14:paraId="301376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2DC0C9E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4CD03F6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-38100</wp:posOffset>
                  </wp:positionH>
                  <wp:positionV relativeFrom="paragraph">
                    <wp:posOffset>66675</wp:posOffset>
                  </wp:positionV>
                  <wp:extent cx="817880" cy="771525"/>
                  <wp:effectExtent l="0" t="0" r="1270" b="9525"/>
                  <wp:wrapNone/>
                  <wp:docPr id="310" name="图片_47_SpCnt_1"/>
                  <wp:cNvGraphicFramePr/>
                  <a:graphic xmlns:a="http://schemas.openxmlformats.org/drawingml/2006/main">
                    <a:graphicData uri="http://schemas.openxmlformats.org/drawingml/2006/picture">
                      <pic:pic xmlns:pic="http://schemas.openxmlformats.org/drawingml/2006/picture">
                        <pic:nvPicPr>
                          <pic:cNvPr id="310" name="图片_47_SpCnt_1"/>
                          <pic:cNvPicPr/>
                        </pic:nvPicPr>
                        <pic:blipFill>
                          <a:blip r:embed="rId122"/>
                          <a:stretch>
                            <a:fillRect/>
                          </a:stretch>
                        </pic:blipFill>
                        <pic:spPr>
                          <a:xfrm>
                            <a:off x="0" y="0"/>
                            <a:ext cx="817880" cy="771525"/>
                          </a:xfrm>
                          <a:prstGeom prst="rect">
                            <a:avLst/>
                          </a:prstGeom>
                          <a:noFill/>
                          <a:ln>
                            <a:noFill/>
                          </a:ln>
                        </pic:spPr>
                      </pic:pic>
                    </a:graphicData>
                  </a:graphic>
                </wp:anchor>
              </w:drawing>
            </w:r>
          </w:p>
        </w:tc>
      </w:tr>
      <w:tr w14:paraId="6B35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658" w:type="dxa"/>
            <w:shd w:val="clear" w:color="auto" w:fill="auto"/>
            <w:vAlign w:val="center"/>
          </w:tcPr>
          <w:p w14:paraId="26C8A7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536" w:type="dxa"/>
            <w:shd w:val="clear" w:color="auto" w:fill="auto"/>
            <w:vAlign w:val="center"/>
          </w:tcPr>
          <w:p w14:paraId="5E7003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四门冰箱</w:t>
            </w:r>
          </w:p>
        </w:tc>
        <w:tc>
          <w:tcPr>
            <w:tcW w:w="4964" w:type="dxa"/>
            <w:shd w:val="clear" w:color="auto" w:fill="auto"/>
            <w:vAlign w:val="center"/>
          </w:tcPr>
          <w:p w14:paraId="6C6C15FC">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1、制冷方式：风冷，温度：-5℃~-22℃，有效容量≥790L，额定电压及频率：220V~50HZ，额定功率≤660W；尺寸：1200*750*1970mm</w:t>
            </w:r>
          </w:p>
          <w:p w14:paraId="02D6F2E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2、箱体内外均采用食品级不锈钢，箱体整体发泡，中梁配加热丝，可拆卸门封条，自动回归门设计；纯铜蒸发器，纯铜冷凝器，在最高42℃的极端环境温度下也能正常制冷；</w:t>
            </w:r>
          </w:p>
          <w:p w14:paraId="2FA8E9A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3、配置离子食物保鲜系统，通过释放活氧抑制细菌生长，通过释放负离子延缓食物氧化，延长食物保鲜时间；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规格：1215*800*1950mm</w:t>
            </w:r>
          </w:p>
        </w:tc>
        <w:tc>
          <w:tcPr>
            <w:tcW w:w="558" w:type="dxa"/>
            <w:shd w:val="clear" w:color="auto" w:fill="auto"/>
            <w:vAlign w:val="center"/>
          </w:tcPr>
          <w:p w14:paraId="61884F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6F37C9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6D9257F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152400</wp:posOffset>
                  </wp:positionV>
                  <wp:extent cx="687070" cy="1057910"/>
                  <wp:effectExtent l="0" t="0" r="17780" b="8890"/>
                  <wp:wrapNone/>
                  <wp:docPr id="311" name="图片_69_SpCnt_5"/>
                  <wp:cNvGraphicFramePr/>
                  <a:graphic xmlns:a="http://schemas.openxmlformats.org/drawingml/2006/main">
                    <a:graphicData uri="http://schemas.openxmlformats.org/drawingml/2006/picture">
                      <pic:pic xmlns:pic="http://schemas.openxmlformats.org/drawingml/2006/picture">
                        <pic:nvPicPr>
                          <pic:cNvPr id="311" name="图片_69_SpCnt_5"/>
                          <pic:cNvPicPr/>
                        </pic:nvPicPr>
                        <pic:blipFill>
                          <a:blip r:embed="rId123"/>
                          <a:stretch>
                            <a:fillRect/>
                          </a:stretch>
                        </pic:blipFill>
                        <pic:spPr>
                          <a:xfrm>
                            <a:off x="0" y="0"/>
                            <a:ext cx="687070" cy="1057910"/>
                          </a:xfrm>
                          <a:prstGeom prst="rect">
                            <a:avLst/>
                          </a:prstGeom>
                          <a:noFill/>
                          <a:ln>
                            <a:noFill/>
                          </a:ln>
                        </pic:spPr>
                      </pic:pic>
                    </a:graphicData>
                  </a:graphic>
                </wp:anchor>
              </w:drawing>
            </w:r>
          </w:p>
        </w:tc>
      </w:tr>
      <w:tr w14:paraId="748D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658" w:type="dxa"/>
            <w:shd w:val="clear" w:color="auto" w:fill="auto"/>
            <w:vAlign w:val="center"/>
          </w:tcPr>
          <w:p w14:paraId="674311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536" w:type="dxa"/>
            <w:shd w:val="clear" w:color="auto" w:fill="auto"/>
            <w:vAlign w:val="center"/>
          </w:tcPr>
          <w:p w14:paraId="713F61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调料台</w:t>
            </w:r>
          </w:p>
        </w:tc>
        <w:tc>
          <w:tcPr>
            <w:tcW w:w="4964" w:type="dxa"/>
            <w:shd w:val="clear" w:color="auto" w:fill="auto"/>
            <w:vAlign w:val="center"/>
          </w:tcPr>
          <w:p w14:paraId="70440F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制作；台面δ≥1.2mm，实厚δ≥1.18mm，层板δ≥1.2mm，实厚δ≥1.18mm；脚采用φ38*38mm不锈钢加厚方管制作，实厚δ≥0.89mm；横通档采用25*38*1.0mm，实厚δ≥0.89mm；下衬12mm密度板减噪，配不锈钢加强筋、板δ=1.0mm，实厚δ≥0.89mm；外形与灶具同款设计，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规格：500*1150*800mm</w:t>
            </w:r>
          </w:p>
        </w:tc>
        <w:tc>
          <w:tcPr>
            <w:tcW w:w="558" w:type="dxa"/>
            <w:shd w:val="clear" w:color="auto" w:fill="auto"/>
            <w:vAlign w:val="center"/>
          </w:tcPr>
          <w:p w14:paraId="2807BD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auto"/>
            <w:vAlign w:val="center"/>
          </w:tcPr>
          <w:p w14:paraId="3925AE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022E8E8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9525</wp:posOffset>
                  </wp:positionH>
                  <wp:positionV relativeFrom="paragraph">
                    <wp:posOffset>19050</wp:posOffset>
                  </wp:positionV>
                  <wp:extent cx="817880" cy="809625"/>
                  <wp:effectExtent l="0" t="0" r="1270" b="9525"/>
                  <wp:wrapNone/>
                  <wp:docPr id="312" name="图片_47_SpCnt_2"/>
                  <wp:cNvGraphicFramePr/>
                  <a:graphic xmlns:a="http://schemas.openxmlformats.org/drawingml/2006/main">
                    <a:graphicData uri="http://schemas.openxmlformats.org/drawingml/2006/picture">
                      <pic:pic xmlns:pic="http://schemas.openxmlformats.org/drawingml/2006/picture">
                        <pic:nvPicPr>
                          <pic:cNvPr id="312" name="图片_47_SpCnt_2"/>
                          <pic:cNvPicPr/>
                        </pic:nvPicPr>
                        <pic:blipFill>
                          <a:blip r:embed="rId124"/>
                          <a:stretch>
                            <a:fillRect/>
                          </a:stretch>
                        </pic:blipFill>
                        <pic:spPr>
                          <a:xfrm>
                            <a:off x="0" y="0"/>
                            <a:ext cx="817880" cy="809625"/>
                          </a:xfrm>
                          <a:prstGeom prst="rect">
                            <a:avLst/>
                          </a:prstGeom>
                          <a:noFill/>
                          <a:ln>
                            <a:noFill/>
                          </a:ln>
                        </pic:spPr>
                      </pic:pic>
                    </a:graphicData>
                  </a:graphic>
                </wp:anchor>
              </w:drawing>
            </w:r>
          </w:p>
        </w:tc>
      </w:tr>
      <w:tr w14:paraId="22AC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658" w:type="dxa"/>
            <w:shd w:val="clear" w:color="auto" w:fill="auto"/>
            <w:vAlign w:val="center"/>
          </w:tcPr>
          <w:p w14:paraId="1ECEE7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536" w:type="dxa"/>
            <w:shd w:val="clear" w:color="auto" w:fill="auto"/>
            <w:vAlign w:val="center"/>
          </w:tcPr>
          <w:p w14:paraId="5736E1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top"/>
          </w:tcPr>
          <w:p w14:paraId="602E8D25">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50E84C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613F01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noWrap/>
            <w:vAlign w:val="center"/>
          </w:tcPr>
          <w:p w14:paraId="61DB6D6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352425</wp:posOffset>
                  </wp:positionH>
                  <wp:positionV relativeFrom="paragraph">
                    <wp:posOffset>9525</wp:posOffset>
                  </wp:positionV>
                  <wp:extent cx="492760" cy="701040"/>
                  <wp:effectExtent l="0" t="0" r="2540" b="3810"/>
                  <wp:wrapNone/>
                  <wp:docPr id="313" name="图片_60_SpCnt_7"/>
                  <wp:cNvGraphicFramePr/>
                  <a:graphic xmlns:a="http://schemas.openxmlformats.org/drawingml/2006/main">
                    <a:graphicData uri="http://schemas.openxmlformats.org/drawingml/2006/picture">
                      <pic:pic xmlns:pic="http://schemas.openxmlformats.org/drawingml/2006/picture">
                        <pic:nvPicPr>
                          <pic:cNvPr id="313" name="图片_60_SpCnt_7"/>
                          <pic:cNvPicPr/>
                        </pic:nvPicPr>
                        <pic:blipFill>
                          <a:blip r:embed="rId60"/>
                          <a:stretch>
                            <a:fillRect/>
                          </a:stretch>
                        </pic:blipFill>
                        <pic:spPr>
                          <a:xfrm>
                            <a:off x="0" y="0"/>
                            <a:ext cx="492760" cy="701040"/>
                          </a:xfrm>
                          <a:prstGeom prst="rect">
                            <a:avLst/>
                          </a:prstGeom>
                          <a:noFill/>
                          <a:ln>
                            <a:noFill/>
                          </a:ln>
                        </pic:spPr>
                      </pic:pic>
                    </a:graphicData>
                  </a:graphic>
                </wp:anchor>
              </w:drawing>
            </w:r>
          </w:p>
        </w:tc>
      </w:tr>
      <w:tr w14:paraId="486E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658" w:type="dxa"/>
            <w:shd w:val="clear" w:color="auto" w:fill="auto"/>
            <w:vAlign w:val="center"/>
          </w:tcPr>
          <w:p w14:paraId="3C2CFF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536" w:type="dxa"/>
            <w:shd w:val="clear" w:color="auto" w:fill="auto"/>
            <w:vAlign w:val="center"/>
          </w:tcPr>
          <w:p w14:paraId="039034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双星盆水池</w:t>
            </w:r>
          </w:p>
        </w:tc>
        <w:tc>
          <w:tcPr>
            <w:tcW w:w="4964" w:type="dxa"/>
            <w:shd w:val="clear" w:color="auto" w:fill="auto"/>
            <w:vAlign w:val="center"/>
          </w:tcPr>
          <w:p w14:paraId="37F27A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规格：1200*700*800mm</w:t>
            </w:r>
          </w:p>
        </w:tc>
        <w:tc>
          <w:tcPr>
            <w:tcW w:w="558" w:type="dxa"/>
            <w:shd w:val="clear" w:color="auto" w:fill="auto"/>
            <w:vAlign w:val="center"/>
          </w:tcPr>
          <w:p w14:paraId="76E38E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141D5C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7FE0958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47625</wp:posOffset>
                  </wp:positionH>
                  <wp:positionV relativeFrom="paragraph">
                    <wp:posOffset>28575</wp:posOffset>
                  </wp:positionV>
                  <wp:extent cx="643890" cy="780415"/>
                  <wp:effectExtent l="0" t="0" r="3810" b="635"/>
                  <wp:wrapNone/>
                  <wp:docPr id="314" name="图片_33_SpCnt_7"/>
                  <wp:cNvGraphicFramePr/>
                  <a:graphic xmlns:a="http://schemas.openxmlformats.org/drawingml/2006/main">
                    <a:graphicData uri="http://schemas.openxmlformats.org/drawingml/2006/picture">
                      <pic:pic xmlns:pic="http://schemas.openxmlformats.org/drawingml/2006/picture">
                        <pic:nvPicPr>
                          <pic:cNvPr id="314" name="图片_33_SpCnt_7"/>
                          <pic:cNvPicPr/>
                        </pic:nvPicPr>
                        <pic:blipFill>
                          <a:blip r:embed="rId76"/>
                          <a:stretch>
                            <a:fillRect/>
                          </a:stretch>
                        </pic:blipFill>
                        <pic:spPr>
                          <a:xfrm>
                            <a:off x="0" y="0"/>
                            <a:ext cx="643890" cy="780415"/>
                          </a:xfrm>
                          <a:prstGeom prst="rect">
                            <a:avLst/>
                          </a:prstGeom>
                          <a:noFill/>
                          <a:ln>
                            <a:noFill/>
                          </a:ln>
                        </pic:spPr>
                      </pic:pic>
                    </a:graphicData>
                  </a:graphic>
                </wp:anchor>
              </w:drawing>
            </w:r>
          </w:p>
        </w:tc>
      </w:tr>
      <w:tr w14:paraId="48D5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50" w:hRule="atLeast"/>
          <w:jc w:val="center"/>
        </w:trPr>
        <w:tc>
          <w:tcPr>
            <w:tcW w:w="658" w:type="dxa"/>
            <w:shd w:val="clear" w:color="auto" w:fill="auto"/>
            <w:vAlign w:val="center"/>
          </w:tcPr>
          <w:p w14:paraId="2819DF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536" w:type="dxa"/>
            <w:shd w:val="clear" w:color="auto" w:fill="auto"/>
            <w:vAlign w:val="center"/>
          </w:tcPr>
          <w:p w14:paraId="095D55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电磁双头单尾小炒灶</w:t>
            </w:r>
          </w:p>
        </w:tc>
        <w:tc>
          <w:tcPr>
            <w:tcW w:w="4964" w:type="dxa"/>
            <w:shd w:val="clear" w:color="auto" w:fill="auto"/>
            <w:vAlign w:val="top"/>
          </w:tcPr>
          <w:p w14:paraId="1045D712">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说明：1、采用SUS304-2B优质不锈钢板制造，灶面板采用一体成型面板，炉体采用优质全不锈钢骨架。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2、0至99档无级功率调节技术，机芯采用分层次散热结构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3、具有全中文显示故障代码功能，让操作更人性化，档位对应功率显示。让操作更加直观。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4、后背防水风机。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5、聚能线盘节能设计，线圈盘无盲区，比传统灶节能30%以上。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6、移相搭桥电路控制技术，性能卓越运行稳定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7、超宽工作电压设计，运行稳定更安全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8、电路防磁干扰EMC模块设计，保护电网及电器设备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功率：380V/2×15KW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规格：1800mm×1150mm×（800mm+400mm)</w:t>
            </w:r>
          </w:p>
        </w:tc>
        <w:tc>
          <w:tcPr>
            <w:tcW w:w="558" w:type="dxa"/>
            <w:shd w:val="clear" w:color="auto" w:fill="auto"/>
            <w:vAlign w:val="center"/>
          </w:tcPr>
          <w:p w14:paraId="570D48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6" w:type="dxa"/>
            <w:shd w:val="clear" w:color="auto" w:fill="auto"/>
            <w:vAlign w:val="center"/>
          </w:tcPr>
          <w:p w14:paraId="53052C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4AB7ED6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76200</wp:posOffset>
                  </wp:positionH>
                  <wp:positionV relativeFrom="paragraph">
                    <wp:posOffset>581025</wp:posOffset>
                  </wp:positionV>
                  <wp:extent cx="736600" cy="850900"/>
                  <wp:effectExtent l="0" t="0" r="6350" b="6350"/>
                  <wp:wrapNone/>
                  <wp:docPr id="315" name="图片_22_SpCnt_1"/>
                  <wp:cNvGraphicFramePr/>
                  <a:graphic xmlns:a="http://schemas.openxmlformats.org/drawingml/2006/main">
                    <a:graphicData uri="http://schemas.openxmlformats.org/drawingml/2006/picture">
                      <pic:pic xmlns:pic="http://schemas.openxmlformats.org/drawingml/2006/picture">
                        <pic:nvPicPr>
                          <pic:cNvPr id="315" name="图片_22_SpCnt_1"/>
                          <pic:cNvPicPr/>
                        </pic:nvPicPr>
                        <pic:blipFill>
                          <a:blip r:embed="rId125"/>
                          <a:stretch>
                            <a:fillRect/>
                          </a:stretch>
                        </pic:blipFill>
                        <pic:spPr>
                          <a:xfrm>
                            <a:off x="0" y="0"/>
                            <a:ext cx="736600" cy="850900"/>
                          </a:xfrm>
                          <a:prstGeom prst="rect">
                            <a:avLst/>
                          </a:prstGeom>
                          <a:noFill/>
                          <a:ln>
                            <a:noFill/>
                          </a:ln>
                        </pic:spPr>
                      </pic:pic>
                    </a:graphicData>
                  </a:graphic>
                </wp:anchor>
              </w:drawing>
            </w:r>
          </w:p>
        </w:tc>
      </w:tr>
      <w:tr w14:paraId="4125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jc w:val="center"/>
        </w:trPr>
        <w:tc>
          <w:tcPr>
            <w:tcW w:w="658" w:type="dxa"/>
            <w:shd w:val="clear" w:color="auto" w:fill="auto"/>
            <w:vAlign w:val="center"/>
          </w:tcPr>
          <w:p w14:paraId="03EAB1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1536" w:type="dxa"/>
            <w:shd w:val="clear" w:color="auto" w:fill="auto"/>
            <w:vAlign w:val="center"/>
          </w:tcPr>
          <w:p w14:paraId="69C75F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双通保温出菜柜</w:t>
            </w:r>
          </w:p>
        </w:tc>
        <w:tc>
          <w:tcPr>
            <w:tcW w:w="4964" w:type="dxa"/>
            <w:shd w:val="clear" w:color="auto" w:fill="auto"/>
            <w:vAlign w:val="center"/>
          </w:tcPr>
          <w:p w14:paraId="3BC82CB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全封闭完全隔热的客会餐车，专为储存和运输各种预先煮熟的食物而设计。内置把手，方便移动，不锈钢结构，便于清洁。层架设置防托盘倾斜滑动，内置风扇，温度立体循环流动，温度均匀，预热快，出风口设置加水区域，保持柜体内温度和湿度均衡稳定使食物始终保持刚出锅时的新鲜口感，4CM厚隔热层，有效隔绝外界温度干扰，节能高效，两侧的推/拉手柄，便于操作。一体式焊接底座与保险杠，坚固耐用，支持重负荷工作，高承重型15.5cm带锁万向脚轮，使于移动和定点工作。开/关电源开关，可调恒温器和热指示灯。在10°C-80°C温度范围内提供均匀的温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规格：730*900*1880mm</w:t>
            </w:r>
          </w:p>
        </w:tc>
        <w:tc>
          <w:tcPr>
            <w:tcW w:w="558" w:type="dxa"/>
            <w:shd w:val="clear" w:color="auto" w:fill="auto"/>
            <w:vAlign w:val="center"/>
          </w:tcPr>
          <w:p w14:paraId="2DA35B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39DAE4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70EDC5F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47625</wp:posOffset>
                  </wp:positionH>
                  <wp:positionV relativeFrom="paragraph">
                    <wp:posOffset>152400</wp:posOffset>
                  </wp:positionV>
                  <wp:extent cx="751840" cy="1083310"/>
                  <wp:effectExtent l="0" t="0" r="10160" b="2540"/>
                  <wp:wrapNone/>
                  <wp:docPr id="316" name="图片_127"/>
                  <wp:cNvGraphicFramePr/>
                  <a:graphic xmlns:a="http://schemas.openxmlformats.org/drawingml/2006/main">
                    <a:graphicData uri="http://schemas.openxmlformats.org/drawingml/2006/picture">
                      <pic:pic xmlns:pic="http://schemas.openxmlformats.org/drawingml/2006/picture">
                        <pic:nvPicPr>
                          <pic:cNvPr id="316" name="图片_127"/>
                          <pic:cNvPicPr/>
                        </pic:nvPicPr>
                        <pic:blipFill>
                          <a:blip r:embed="rId126"/>
                          <a:stretch>
                            <a:fillRect/>
                          </a:stretch>
                        </pic:blipFill>
                        <pic:spPr>
                          <a:xfrm>
                            <a:off x="0" y="0"/>
                            <a:ext cx="751840" cy="1083310"/>
                          </a:xfrm>
                          <a:prstGeom prst="rect">
                            <a:avLst/>
                          </a:prstGeom>
                          <a:noFill/>
                          <a:ln>
                            <a:noFill/>
                          </a:ln>
                        </pic:spPr>
                      </pic:pic>
                    </a:graphicData>
                  </a:graphic>
                </wp:anchor>
              </w:drawing>
            </w:r>
          </w:p>
        </w:tc>
      </w:tr>
      <w:tr w14:paraId="2839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658" w:type="dxa"/>
            <w:shd w:val="clear" w:color="auto" w:fill="auto"/>
            <w:vAlign w:val="center"/>
          </w:tcPr>
          <w:p w14:paraId="5405FC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536" w:type="dxa"/>
            <w:shd w:val="clear" w:color="auto" w:fill="auto"/>
            <w:vAlign w:val="center"/>
          </w:tcPr>
          <w:p w14:paraId="783B35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移门工作台</w:t>
            </w:r>
          </w:p>
        </w:tc>
        <w:tc>
          <w:tcPr>
            <w:tcW w:w="4964" w:type="dxa"/>
            <w:shd w:val="clear" w:color="auto" w:fill="auto"/>
            <w:vAlign w:val="center"/>
          </w:tcPr>
          <w:p w14:paraId="5638D2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优质SUS304-2B不锈钢板制作；台面为δ≥1.2mm，实厚δ≥1.18mm；侧板δ≥1.0mm，实厚δ≥0.89mm；门板δ≥1.0mm，实厚δ≥0.89mm；底板、层板、背板δ≥1.0mm，实厚δ≥0.89mm；内置一层可调层板，配不锈钢加强筋δ≥1.0mm，实厚δ≥0.89mm；配置Φ50*150*1.0mm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规格：2200*800*800mm</w:t>
            </w:r>
          </w:p>
        </w:tc>
        <w:tc>
          <w:tcPr>
            <w:tcW w:w="558" w:type="dxa"/>
            <w:shd w:val="clear" w:color="auto" w:fill="auto"/>
            <w:vAlign w:val="center"/>
          </w:tcPr>
          <w:p w14:paraId="7E6F3B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38D523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483B2B7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104775</wp:posOffset>
                  </wp:positionH>
                  <wp:positionV relativeFrom="paragraph">
                    <wp:posOffset>200025</wp:posOffset>
                  </wp:positionV>
                  <wp:extent cx="559435" cy="629920"/>
                  <wp:effectExtent l="0" t="0" r="12065" b="17780"/>
                  <wp:wrapNone/>
                  <wp:docPr id="317" name="图片_30_SpCnt_2"/>
                  <wp:cNvGraphicFramePr/>
                  <a:graphic xmlns:a="http://schemas.openxmlformats.org/drawingml/2006/main">
                    <a:graphicData uri="http://schemas.openxmlformats.org/drawingml/2006/picture">
                      <pic:pic xmlns:pic="http://schemas.openxmlformats.org/drawingml/2006/picture">
                        <pic:nvPicPr>
                          <pic:cNvPr id="317" name="图片_30_SpCnt_2"/>
                          <pic:cNvPicPr/>
                        </pic:nvPicPr>
                        <pic:blipFill>
                          <a:blip r:embed="rId101"/>
                          <a:stretch>
                            <a:fillRect/>
                          </a:stretch>
                        </pic:blipFill>
                        <pic:spPr>
                          <a:xfrm>
                            <a:off x="0" y="0"/>
                            <a:ext cx="559435" cy="629920"/>
                          </a:xfrm>
                          <a:prstGeom prst="rect">
                            <a:avLst/>
                          </a:prstGeom>
                          <a:noFill/>
                          <a:ln>
                            <a:noFill/>
                          </a:ln>
                        </pic:spPr>
                      </pic:pic>
                    </a:graphicData>
                  </a:graphic>
                </wp:anchor>
              </w:drawing>
            </w:r>
          </w:p>
        </w:tc>
      </w:tr>
      <w:tr w14:paraId="36E8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jc w:val="center"/>
        </w:trPr>
        <w:tc>
          <w:tcPr>
            <w:tcW w:w="658" w:type="dxa"/>
            <w:shd w:val="clear" w:color="auto" w:fill="auto"/>
            <w:vAlign w:val="center"/>
          </w:tcPr>
          <w:p w14:paraId="12C06D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1536" w:type="dxa"/>
            <w:shd w:val="clear" w:color="auto" w:fill="auto"/>
            <w:vAlign w:val="center"/>
          </w:tcPr>
          <w:p w14:paraId="215A7E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吊柜</w:t>
            </w:r>
          </w:p>
        </w:tc>
        <w:tc>
          <w:tcPr>
            <w:tcW w:w="4964" w:type="dxa"/>
            <w:shd w:val="clear" w:color="auto" w:fill="auto"/>
            <w:vAlign w:val="center"/>
          </w:tcPr>
          <w:p w14:paraId="6FCEA95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说明：采用SUS304-2B优质不锈钢板制造，台面δ=1.2mm；侧板δ1.2mm；门面δ1.2mm；底板、层板δ1.0mm；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规格：2200*400*400mm</w:t>
            </w:r>
          </w:p>
        </w:tc>
        <w:tc>
          <w:tcPr>
            <w:tcW w:w="558" w:type="dxa"/>
            <w:shd w:val="clear" w:color="auto" w:fill="auto"/>
            <w:vAlign w:val="center"/>
          </w:tcPr>
          <w:p w14:paraId="0D9CB7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1FA770F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6AD88DBB">
            <w:pPr>
              <w:rPr>
                <w:rFonts w:hint="eastAsia" w:ascii="宋体" w:hAnsi="宋体" w:eastAsia="宋体" w:cs="宋体"/>
                <w:i w:val="0"/>
                <w:iCs w:val="0"/>
                <w:color w:val="auto"/>
                <w:sz w:val="22"/>
                <w:szCs w:val="22"/>
                <w:highlight w:val="none"/>
                <w:u w:val="none"/>
              </w:rPr>
            </w:pPr>
          </w:p>
        </w:tc>
      </w:tr>
      <w:tr w14:paraId="0456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2194" w:type="dxa"/>
            <w:gridSpan w:val="2"/>
            <w:shd w:val="clear" w:color="auto" w:fill="auto"/>
            <w:noWrap/>
            <w:vAlign w:val="center"/>
          </w:tcPr>
          <w:p w14:paraId="5AC762F0">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冷菜间</w:t>
            </w:r>
          </w:p>
        </w:tc>
        <w:tc>
          <w:tcPr>
            <w:tcW w:w="4964" w:type="dxa"/>
            <w:shd w:val="clear" w:color="auto" w:fill="auto"/>
            <w:noWrap/>
            <w:vAlign w:val="center"/>
          </w:tcPr>
          <w:p w14:paraId="5A1A85C2">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57B2234D">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4ED09B41">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18895E61">
            <w:pPr>
              <w:rPr>
                <w:rFonts w:hint="eastAsia" w:ascii="宋体" w:hAnsi="宋体" w:eastAsia="宋体" w:cs="宋体"/>
                <w:i w:val="0"/>
                <w:iCs w:val="0"/>
                <w:color w:val="auto"/>
                <w:sz w:val="22"/>
                <w:szCs w:val="22"/>
                <w:highlight w:val="none"/>
                <w:u w:val="none"/>
              </w:rPr>
            </w:pPr>
          </w:p>
        </w:tc>
      </w:tr>
      <w:tr w14:paraId="3D39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658" w:type="dxa"/>
            <w:shd w:val="clear" w:color="auto" w:fill="auto"/>
            <w:vAlign w:val="center"/>
          </w:tcPr>
          <w:p w14:paraId="4A77DD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0E44EB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单通移门荷台柜</w:t>
            </w:r>
          </w:p>
        </w:tc>
        <w:tc>
          <w:tcPr>
            <w:tcW w:w="4964" w:type="dxa"/>
            <w:shd w:val="clear" w:color="auto" w:fill="auto"/>
            <w:vAlign w:val="center"/>
          </w:tcPr>
          <w:p w14:paraId="1495408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优质SUS304-2B不锈钢板制作；台面为δ≥1.2mm，实厚δ≥1.18mm；侧板δ≥1.0mm，实厚δ≥0.89mm；门板δ≥1.0mm，实厚δ≥0.89mm；底板、层板、背板δ≥1.0mm，实厚δ≥0.89mm；内置一层可调层板，配不锈钢加强筋δ≥1.0mm，实厚δ≥0.89mm；配置Φ50*150*1.0mm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规格：1500*800*800mm</w:t>
            </w:r>
          </w:p>
        </w:tc>
        <w:tc>
          <w:tcPr>
            <w:tcW w:w="558" w:type="dxa"/>
            <w:shd w:val="clear" w:color="auto" w:fill="auto"/>
            <w:vAlign w:val="center"/>
          </w:tcPr>
          <w:p w14:paraId="46DB39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4AFD831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118E70B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152400</wp:posOffset>
                  </wp:positionV>
                  <wp:extent cx="598170" cy="496570"/>
                  <wp:effectExtent l="0" t="0" r="11430" b="17780"/>
                  <wp:wrapNone/>
                  <wp:docPr id="318" name="图片_30_SpCnt_3"/>
                  <wp:cNvGraphicFramePr/>
                  <a:graphic xmlns:a="http://schemas.openxmlformats.org/drawingml/2006/main">
                    <a:graphicData uri="http://schemas.openxmlformats.org/drawingml/2006/picture">
                      <pic:pic xmlns:pic="http://schemas.openxmlformats.org/drawingml/2006/picture">
                        <pic:nvPicPr>
                          <pic:cNvPr id="318" name="图片_30_SpCnt_3"/>
                          <pic:cNvPicPr/>
                        </pic:nvPicPr>
                        <pic:blipFill>
                          <a:blip r:embed="rId101"/>
                          <a:stretch>
                            <a:fillRect/>
                          </a:stretch>
                        </pic:blipFill>
                        <pic:spPr>
                          <a:xfrm>
                            <a:off x="0" y="0"/>
                            <a:ext cx="598170" cy="496570"/>
                          </a:xfrm>
                          <a:prstGeom prst="rect">
                            <a:avLst/>
                          </a:prstGeom>
                          <a:noFill/>
                          <a:ln>
                            <a:noFill/>
                          </a:ln>
                        </pic:spPr>
                      </pic:pic>
                    </a:graphicData>
                  </a:graphic>
                </wp:anchor>
              </w:drawing>
            </w:r>
          </w:p>
        </w:tc>
      </w:tr>
      <w:tr w14:paraId="3305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658" w:type="dxa"/>
            <w:shd w:val="clear" w:color="auto" w:fill="auto"/>
            <w:vAlign w:val="center"/>
          </w:tcPr>
          <w:p w14:paraId="5A59BD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38B229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单通移门荷台柜</w:t>
            </w:r>
          </w:p>
        </w:tc>
        <w:tc>
          <w:tcPr>
            <w:tcW w:w="4964" w:type="dxa"/>
            <w:shd w:val="clear" w:color="auto" w:fill="auto"/>
            <w:vAlign w:val="center"/>
          </w:tcPr>
          <w:p w14:paraId="76859574">
            <w:pPr>
              <w:keepNext w:val="0"/>
              <w:keepLines w:val="0"/>
              <w:widowControl/>
              <w:suppressLineNumbers w:val="0"/>
              <w:ind w:right="-90" w:rightChars="-43"/>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优质SUS304-2B不锈钢板制作；台面为δ≥1.2mm，实厚δ≥1.18mm；侧板δ≥1.0mm，实厚δ≥0.89mm；门板δ≥1.0mm，实厚δ≥0.89mm；底板、层板、背板δ≥1.0mm，实厚δ≥0.89mm；内置一层可调层板，配不锈钢加强筋δ≥1.0mm，实厚δ≥0.89mm；配置Φ50*150*1.0mm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规格：1700*800*800mm</w:t>
            </w:r>
          </w:p>
        </w:tc>
        <w:tc>
          <w:tcPr>
            <w:tcW w:w="558" w:type="dxa"/>
            <w:shd w:val="clear" w:color="auto" w:fill="auto"/>
            <w:vAlign w:val="center"/>
          </w:tcPr>
          <w:p w14:paraId="47737F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069131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67BCE3E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85725</wp:posOffset>
                  </wp:positionH>
                  <wp:positionV relativeFrom="paragraph">
                    <wp:posOffset>114300</wp:posOffset>
                  </wp:positionV>
                  <wp:extent cx="579120" cy="525780"/>
                  <wp:effectExtent l="0" t="0" r="11430" b="7620"/>
                  <wp:wrapNone/>
                  <wp:docPr id="319" name="图片_30_SpCnt_4"/>
                  <wp:cNvGraphicFramePr/>
                  <a:graphic xmlns:a="http://schemas.openxmlformats.org/drawingml/2006/main">
                    <a:graphicData uri="http://schemas.openxmlformats.org/drawingml/2006/picture">
                      <pic:pic xmlns:pic="http://schemas.openxmlformats.org/drawingml/2006/picture">
                        <pic:nvPicPr>
                          <pic:cNvPr id="319" name="图片_30_SpCnt_4"/>
                          <pic:cNvPicPr/>
                        </pic:nvPicPr>
                        <pic:blipFill>
                          <a:blip r:embed="rId101"/>
                          <a:stretch>
                            <a:fillRect/>
                          </a:stretch>
                        </pic:blipFill>
                        <pic:spPr>
                          <a:xfrm>
                            <a:off x="0" y="0"/>
                            <a:ext cx="579120" cy="525780"/>
                          </a:xfrm>
                          <a:prstGeom prst="rect">
                            <a:avLst/>
                          </a:prstGeom>
                          <a:noFill/>
                          <a:ln>
                            <a:noFill/>
                          </a:ln>
                        </pic:spPr>
                      </pic:pic>
                    </a:graphicData>
                  </a:graphic>
                </wp:anchor>
              </w:drawing>
            </w:r>
          </w:p>
        </w:tc>
      </w:tr>
      <w:tr w14:paraId="74AF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0" w:hRule="atLeast"/>
          <w:jc w:val="center"/>
        </w:trPr>
        <w:tc>
          <w:tcPr>
            <w:tcW w:w="658" w:type="dxa"/>
            <w:shd w:val="clear" w:color="auto" w:fill="auto"/>
            <w:vAlign w:val="center"/>
          </w:tcPr>
          <w:p w14:paraId="614B78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653D40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水龙头</w:t>
            </w:r>
          </w:p>
        </w:tc>
        <w:tc>
          <w:tcPr>
            <w:tcW w:w="4964" w:type="dxa"/>
            <w:shd w:val="clear" w:color="auto" w:fill="auto"/>
            <w:vAlign w:val="top"/>
          </w:tcPr>
          <w:p w14:paraId="6D1D903F">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55984A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3C1D59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noWrap/>
            <w:vAlign w:val="center"/>
          </w:tcPr>
          <w:p w14:paraId="7E15CD3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82550</wp:posOffset>
                  </wp:positionH>
                  <wp:positionV relativeFrom="paragraph">
                    <wp:posOffset>16510</wp:posOffset>
                  </wp:positionV>
                  <wp:extent cx="492760" cy="701040"/>
                  <wp:effectExtent l="0" t="0" r="2540" b="3810"/>
                  <wp:wrapNone/>
                  <wp:docPr id="320" name="图片_60_SpCnt_8"/>
                  <wp:cNvGraphicFramePr/>
                  <a:graphic xmlns:a="http://schemas.openxmlformats.org/drawingml/2006/main">
                    <a:graphicData uri="http://schemas.openxmlformats.org/drawingml/2006/picture">
                      <pic:pic xmlns:pic="http://schemas.openxmlformats.org/drawingml/2006/picture">
                        <pic:nvPicPr>
                          <pic:cNvPr id="320" name="图片_60_SpCnt_8"/>
                          <pic:cNvPicPr/>
                        </pic:nvPicPr>
                        <pic:blipFill>
                          <a:blip r:embed="rId60"/>
                          <a:stretch>
                            <a:fillRect/>
                          </a:stretch>
                        </pic:blipFill>
                        <pic:spPr>
                          <a:xfrm>
                            <a:off x="0" y="0"/>
                            <a:ext cx="492760" cy="701040"/>
                          </a:xfrm>
                          <a:prstGeom prst="rect">
                            <a:avLst/>
                          </a:prstGeom>
                          <a:noFill/>
                          <a:ln>
                            <a:noFill/>
                          </a:ln>
                        </pic:spPr>
                      </pic:pic>
                    </a:graphicData>
                  </a:graphic>
                </wp:anchor>
              </w:drawing>
            </w:r>
          </w:p>
        </w:tc>
      </w:tr>
      <w:tr w14:paraId="3A49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0" w:hRule="atLeast"/>
          <w:jc w:val="center"/>
        </w:trPr>
        <w:tc>
          <w:tcPr>
            <w:tcW w:w="658" w:type="dxa"/>
            <w:shd w:val="clear" w:color="auto" w:fill="auto"/>
            <w:vAlign w:val="center"/>
          </w:tcPr>
          <w:p w14:paraId="3EC827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2C08D9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制冰机</w:t>
            </w:r>
          </w:p>
        </w:tc>
        <w:tc>
          <w:tcPr>
            <w:tcW w:w="4964" w:type="dxa"/>
            <w:shd w:val="clear" w:color="auto" w:fill="auto"/>
            <w:vAlign w:val="top"/>
          </w:tcPr>
          <w:p w14:paraId="4A9ABCD5">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说明:食品级内胆,先进的工业微电脑控制系统，可使制冰、收冰过程自动进行，有多种保护功能，使用方便安全。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规格：80KG</w:t>
            </w:r>
          </w:p>
        </w:tc>
        <w:tc>
          <w:tcPr>
            <w:tcW w:w="558" w:type="dxa"/>
            <w:shd w:val="clear" w:color="auto" w:fill="auto"/>
            <w:vAlign w:val="center"/>
          </w:tcPr>
          <w:p w14:paraId="6E66DB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3014FB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476B637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66675</wp:posOffset>
                  </wp:positionH>
                  <wp:positionV relativeFrom="paragraph">
                    <wp:posOffset>41275</wp:posOffset>
                  </wp:positionV>
                  <wp:extent cx="795020" cy="774700"/>
                  <wp:effectExtent l="0" t="0" r="5080" b="6350"/>
                  <wp:wrapNone/>
                  <wp:docPr id="321" name="图片_24_SpCnt_1"/>
                  <wp:cNvGraphicFramePr/>
                  <a:graphic xmlns:a="http://schemas.openxmlformats.org/drawingml/2006/main">
                    <a:graphicData uri="http://schemas.openxmlformats.org/drawingml/2006/picture">
                      <pic:pic xmlns:pic="http://schemas.openxmlformats.org/drawingml/2006/picture">
                        <pic:nvPicPr>
                          <pic:cNvPr id="321" name="图片_24_SpCnt_1"/>
                          <pic:cNvPicPr/>
                        </pic:nvPicPr>
                        <pic:blipFill>
                          <a:blip r:embed="rId127"/>
                          <a:stretch>
                            <a:fillRect/>
                          </a:stretch>
                        </pic:blipFill>
                        <pic:spPr>
                          <a:xfrm>
                            <a:off x="0" y="0"/>
                            <a:ext cx="795020" cy="774700"/>
                          </a:xfrm>
                          <a:prstGeom prst="rect">
                            <a:avLst/>
                          </a:prstGeom>
                          <a:noFill/>
                          <a:ln>
                            <a:noFill/>
                          </a:ln>
                        </pic:spPr>
                      </pic:pic>
                    </a:graphicData>
                  </a:graphic>
                </wp:anchor>
              </w:drawing>
            </w:r>
          </w:p>
        </w:tc>
      </w:tr>
      <w:tr w14:paraId="07BD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5" w:hRule="atLeast"/>
          <w:jc w:val="center"/>
        </w:trPr>
        <w:tc>
          <w:tcPr>
            <w:tcW w:w="658" w:type="dxa"/>
            <w:shd w:val="clear" w:color="auto" w:fill="auto"/>
            <w:vAlign w:val="center"/>
          </w:tcPr>
          <w:p w14:paraId="4DC026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vAlign w:val="center"/>
          </w:tcPr>
          <w:p w14:paraId="795A57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冷藏操作台</w:t>
            </w:r>
          </w:p>
        </w:tc>
        <w:tc>
          <w:tcPr>
            <w:tcW w:w="4964" w:type="dxa"/>
            <w:shd w:val="clear" w:color="auto" w:fill="auto"/>
            <w:vAlign w:val="top"/>
          </w:tcPr>
          <w:p w14:paraId="30C244C3">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说明：制冷方式：风冷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1、采用全铜管内藏式蒸发器，全封闭制冷系统，寿命长；</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2、采用高效节能环保压缩机，噪音低耗电省，低压起动；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3、箱体由高压聚氨脂整体发泡成型，保温效果好；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w:t>
            </w:r>
            <w:r>
              <w:rPr>
                <w:rFonts w:hint="eastAsia" w:ascii="宋体" w:hAnsi="宋体" w:cs="宋体"/>
                <w:i w:val="0"/>
                <w:iCs w:val="0"/>
                <w:color w:val="auto"/>
                <w:kern w:val="0"/>
                <w:sz w:val="22"/>
                <w:szCs w:val="22"/>
                <w:highlight w:val="none"/>
                <w:u w:val="none"/>
                <w:lang w:val="en-US" w:eastAsia="zh-CN" w:bidi="ar"/>
              </w:rPr>
              <w:t>优质</w:t>
            </w:r>
            <w:r>
              <w:rPr>
                <w:rFonts w:hint="eastAsia" w:ascii="宋体" w:hAnsi="宋体" w:eastAsia="宋体" w:cs="宋体"/>
                <w:i w:val="0"/>
                <w:iCs w:val="0"/>
                <w:color w:val="auto"/>
                <w:kern w:val="0"/>
                <w:sz w:val="22"/>
                <w:szCs w:val="22"/>
                <w:highlight w:val="none"/>
                <w:u w:val="none"/>
                <w:lang w:val="en-US" w:eastAsia="zh-CN" w:bidi="ar"/>
              </w:rPr>
              <w:t>保温材料，保温效果好，耗电省。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5、面板采用优质木案面制作，箱体内外全部采用优质不锈钢板制造，δ=1.0mm,双层内外不锈钢自动回归门，不变型，密封好。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温度范围：-5℃～5℃；</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电压\功率：220V/0.2KW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规格：1800*800*800mm</w:t>
            </w:r>
          </w:p>
        </w:tc>
        <w:tc>
          <w:tcPr>
            <w:tcW w:w="558" w:type="dxa"/>
            <w:shd w:val="clear" w:color="auto" w:fill="auto"/>
            <w:vAlign w:val="center"/>
          </w:tcPr>
          <w:p w14:paraId="457AEF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756" w:type="dxa"/>
            <w:shd w:val="clear" w:color="auto" w:fill="auto"/>
            <w:vAlign w:val="center"/>
          </w:tcPr>
          <w:p w14:paraId="6877B1B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05342B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85725</wp:posOffset>
                  </wp:positionH>
                  <wp:positionV relativeFrom="paragraph">
                    <wp:posOffset>266700</wp:posOffset>
                  </wp:positionV>
                  <wp:extent cx="637540" cy="838200"/>
                  <wp:effectExtent l="0" t="0" r="10160" b="0"/>
                  <wp:wrapNone/>
                  <wp:docPr id="322" name="图片_428"/>
                  <wp:cNvGraphicFramePr/>
                  <a:graphic xmlns:a="http://schemas.openxmlformats.org/drawingml/2006/main">
                    <a:graphicData uri="http://schemas.openxmlformats.org/drawingml/2006/picture">
                      <pic:pic xmlns:pic="http://schemas.openxmlformats.org/drawingml/2006/picture">
                        <pic:nvPicPr>
                          <pic:cNvPr id="322" name="图片_428"/>
                          <pic:cNvPicPr/>
                        </pic:nvPicPr>
                        <pic:blipFill>
                          <a:blip r:embed="rId128"/>
                          <a:stretch>
                            <a:fillRect/>
                          </a:stretch>
                        </pic:blipFill>
                        <pic:spPr>
                          <a:xfrm>
                            <a:off x="0" y="0"/>
                            <a:ext cx="637540" cy="838200"/>
                          </a:xfrm>
                          <a:prstGeom prst="rect">
                            <a:avLst/>
                          </a:prstGeom>
                          <a:noFill/>
                          <a:ln>
                            <a:noFill/>
                          </a:ln>
                        </pic:spPr>
                      </pic:pic>
                    </a:graphicData>
                  </a:graphic>
                </wp:anchor>
              </w:drawing>
            </w:r>
          </w:p>
        </w:tc>
      </w:tr>
      <w:tr w14:paraId="04BA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5" w:hRule="atLeast"/>
          <w:jc w:val="center"/>
        </w:trPr>
        <w:tc>
          <w:tcPr>
            <w:tcW w:w="658" w:type="dxa"/>
            <w:shd w:val="clear" w:color="auto" w:fill="auto"/>
            <w:vAlign w:val="center"/>
          </w:tcPr>
          <w:p w14:paraId="27E9E7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36" w:type="dxa"/>
            <w:shd w:val="clear" w:color="auto" w:fill="auto"/>
            <w:vAlign w:val="center"/>
          </w:tcPr>
          <w:p w14:paraId="19BF64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四门冰箱</w:t>
            </w:r>
          </w:p>
        </w:tc>
        <w:tc>
          <w:tcPr>
            <w:tcW w:w="4964" w:type="dxa"/>
            <w:shd w:val="clear" w:color="auto" w:fill="auto"/>
            <w:vAlign w:val="center"/>
          </w:tcPr>
          <w:p w14:paraId="6ED58AD4">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1、制冷方式：风冷，温度：-</w:t>
            </w: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w:t>
            </w:r>
            <w:r>
              <w:rPr>
                <w:rFonts w:hint="eastAsia" w:ascii="宋体" w:hAnsi="宋体" w:cs="宋体"/>
                <w:i w:val="0"/>
                <w:iCs w:val="0"/>
                <w:color w:val="auto"/>
                <w:kern w:val="0"/>
                <w:sz w:val="22"/>
                <w:szCs w:val="22"/>
                <w:highlight w:val="none"/>
                <w:u w:val="none"/>
                <w:lang w:val="en-US" w:eastAsia="zh-CN" w:bidi="ar"/>
              </w:rPr>
              <w:t>8</w:t>
            </w:r>
            <w:r>
              <w:rPr>
                <w:rFonts w:hint="eastAsia" w:ascii="宋体" w:hAnsi="宋体" w:eastAsia="宋体" w:cs="宋体"/>
                <w:i w:val="0"/>
                <w:iCs w:val="0"/>
                <w:color w:val="auto"/>
                <w:kern w:val="0"/>
                <w:sz w:val="22"/>
                <w:szCs w:val="22"/>
                <w:highlight w:val="none"/>
                <w:u w:val="none"/>
                <w:lang w:val="en-US" w:eastAsia="zh-CN" w:bidi="ar"/>
              </w:rPr>
              <w:t>℃，有效容量≥790L，额定电压及频率：220V~50HZ，额定功率≤660W；尺寸：1200*750*1970mm</w:t>
            </w:r>
          </w:p>
          <w:p w14:paraId="1840FF6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2、箱体内外均采用食品级不锈钢，箱体整体发泡，中梁配加热丝，可拆卸门封条，自动回归门设计；纯铜蒸发器，纯铜冷凝器，在最高42℃的极端环境温度下也能正常制冷；</w:t>
            </w:r>
          </w:p>
          <w:p w14:paraId="0138D12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3、配置离子食物保鲜系统，通过释放活氧抑制细菌生长，通过释放负离子延缓食物氧化，延长食物保鲜时间；</w:t>
            </w:r>
          </w:p>
          <w:p w14:paraId="66DE893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采用智能微电脑触摸屏控制器，触摸显示屏最短边尺寸≥10cm；触摸显示屏可根据需求调节冷藏/冷冻间室温度，并显示箱体内实时温度；冰箱出现故障时触摸显示屏显示中文故障提示；可通过触摸显示屏显示累计耗电量，并开启节能功能，显示累计节电数据；</w:t>
            </w:r>
          </w:p>
          <w:p w14:paraId="69D005E4">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冰箱具有物联网功能，可通过物联网平台远程查看冰箱实时状态及累计使用天数，并可远程开启化霜、节能、离子保鲜、抑菌等功能，远程调节温度功能，同时可生成节电量曲线图；其中节累计能电量、累计耗电量、累计使用天数、累计减少碳排放需有数字化大屏管理显示界面；</w:t>
            </w:r>
          </w:p>
          <w:p w14:paraId="6637D83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具备远程故障报修系统，当冰箱出现故障时，在显示屏显示中文故障提示，并同步将故障信息通过物联网向授权用户管理员、经销商、制造商发送；其中产品具备行业分布显示界面、在线设备及总设备管理显示界面，售后管理平台远程故障报警及保修故障管理界面，设备运行报表管理界面及故障分析管理界面需数字化大屏显示；</w:t>
            </w:r>
          </w:p>
          <w:p w14:paraId="1FA1440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●7、产品发泡板材依据GB/T 16172-2007、GB/T 8333-2022 《塑料硬质泡沫塑料燃烧性能试验方法垂直燃烧法》检测，单位面积热释放速率峰值、平均燃烧时间、平均燃烧高度符合GB 8624-2012中B1级标准要求；</w:t>
            </w:r>
          </w:p>
          <w:p w14:paraId="67A323B4">
            <w:pPr>
              <w:keepNext w:val="0"/>
              <w:keepLines w:val="0"/>
              <w:widowControl/>
              <w:suppressLineNumbers w:val="0"/>
              <w:tabs>
                <w:tab w:val="left" w:pos="4840"/>
              </w:tabs>
              <w:ind w:right="-90" w:rightChars="-43"/>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●8、产品依据GB 31604.1-2023,GB31604.49-2023, GB5009.156-2016检测，产品信息、感官要求、理化指标符合GB 4806.1-2016, GB 4806.9-2023要求。</w:t>
            </w:r>
          </w:p>
          <w:p w14:paraId="1F6BC494">
            <w:pPr>
              <w:keepNext w:val="0"/>
              <w:keepLines w:val="0"/>
              <w:widowControl/>
              <w:suppressLineNumbers w:val="0"/>
              <w:tabs>
                <w:tab w:val="left" w:pos="3570"/>
                <w:tab w:val="left" w:pos="3780"/>
              </w:tabs>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投标（响应）文件中提供证明材料：第4、6条参数须提供实物产品演示截图符GB/T25000.51-2016要求的检测报告，报告中除功能文字描述外还要体现实物界面功能截图，报告复印件加盖供应商公章，第7、8条参数符合的检验报告作为佐证。</w:t>
            </w:r>
          </w:p>
        </w:tc>
        <w:tc>
          <w:tcPr>
            <w:tcW w:w="558" w:type="dxa"/>
            <w:shd w:val="clear" w:color="auto" w:fill="auto"/>
            <w:vAlign w:val="center"/>
          </w:tcPr>
          <w:p w14:paraId="4DB172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70E4B1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5EEB023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142875</wp:posOffset>
                  </wp:positionH>
                  <wp:positionV relativeFrom="paragraph">
                    <wp:posOffset>209550</wp:posOffset>
                  </wp:positionV>
                  <wp:extent cx="687070" cy="1057910"/>
                  <wp:effectExtent l="0" t="0" r="17780" b="8890"/>
                  <wp:wrapNone/>
                  <wp:docPr id="323" name="图片_69_SpCnt_6"/>
                  <wp:cNvGraphicFramePr/>
                  <a:graphic xmlns:a="http://schemas.openxmlformats.org/drawingml/2006/main">
                    <a:graphicData uri="http://schemas.openxmlformats.org/drawingml/2006/picture">
                      <pic:pic xmlns:pic="http://schemas.openxmlformats.org/drawingml/2006/picture">
                        <pic:nvPicPr>
                          <pic:cNvPr id="323" name="图片_69_SpCnt_6"/>
                          <pic:cNvPicPr/>
                        </pic:nvPicPr>
                        <pic:blipFill>
                          <a:blip r:embed="rId123"/>
                          <a:stretch>
                            <a:fillRect/>
                          </a:stretch>
                        </pic:blipFill>
                        <pic:spPr>
                          <a:xfrm>
                            <a:off x="0" y="0"/>
                            <a:ext cx="687070" cy="1057910"/>
                          </a:xfrm>
                          <a:prstGeom prst="rect">
                            <a:avLst/>
                          </a:prstGeom>
                          <a:noFill/>
                          <a:ln>
                            <a:noFill/>
                          </a:ln>
                        </pic:spPr>
                      </pic:pic>
                    </a:graphicData>
                  </a:graphic>
                </wp:anchor>
              </w:drawing>
            </w:r>
          </w:p>
        </w:tc>
      </w:tr>
      <w:tr w14:paraId="3DC4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2194" w:type="dxa"/>
            <w:gridSpan w:val="2"/>
            <w:shd w:val="clear" w:color="auto" w:fill="auto"/>
            <w:noWrap/>
            <w:vAlign w:val="center"/>
          </w:tcPr>
          <w:p w14:paraId="0DED478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冷菜二次更衣室</w:t>
            </w:r>
          </w:p>
        </w:tc>
        <w:tc>
          <w:tcPr>
            <w:tcW w:w="4964" w:type="dxa"/>
            <w:shd w:val="clear" w:color="auto" w:fill="auto"/>
            <w:noWrap/>
            <w:vAlign w:val="center"/>
          </w:tcPr>
          <w:p w14:paraId="688A64C2">
            <w:pPr>
              <w:jc w:val="left"/>
              <w:rPr>
                <w:rFonts w:hint="eastAsia" w:ascii="宋体" w:hAnsi="宋体" w:eastAsia="宋体" w:cs="宋体"/>
                <w:b/>
                <w:bCs/>
                <w:i w:val="0"/>
                <w:iCs w:val="0"/>
                <w:color w:val="auto"/>
                <w:sz w:val="22"/>
                <w:szCs w:val="22"/>
                <w:highlight w:val="none"/>
                <w:u w:val="none"/>
              </w:rPr>
            </w:pPr>
          </w:p>
        </w:tc>
        <w:tc>
          <w:tcPr>
            <w:tcW w:w="558" w:type="dxa"/>
            <w:shd w:val="clear" w:color="auto" w:fill="auto"/>
            <w:noWrap/>
            <w:vAlign w:val="center"/>
          </w:tcPr>
          <w:p w14:paraId="0A60B55A">
            <w:pPr>
              <w:jc w:val="center"/>
              <w:rPr>
                <w:rFonts w:hint="eastAsia" w:ascii="宋体" w:hAnsi="宋体" w:eastAsia="宋体" w:cs="宋体"/>
                <w:i w:val="0"/>
                <w:iCs w:val="0"/>
                <w:color w:val="auto"/>
                <w:sz w:val="22"/>
                <w:szCs w:val="22"/>
                <w:highlight w:val="none"/>
                <w:u w:val="none"/>
              </w:rPr>
            </w:pPr>
          </w:p>
        </w:tc>
        <w:tc>
          <w:tcPr>
            <w:tcW w:w="756" w:type="dxa"/>
            <w:shd w:val="clear" w:color="auto" w:fill="auto"/>
            <w:noWrap/>
            <w:vAlign w:val="center"/>
          </w:tcPr>
          <w:p w14:paraId="6FF8E979">
            <w:pPr>
              <w:jc w:val="center"/>
              <w:rPr>
                <w:rFonts w:hint="eastAsia" w:ascii="宋体" w:hAnsi="宋体" w:eastAsia="宋体" w:cs="宋体"/>
                <w:i w:val="0"/>
                <w:iCs w:val="0"/>
                <w:color w:val="auto"/>
                <w:sz w:val="22"/>
                <w:szCs w:val="22"/>
                <w:highlight w:val="none"/>
                <w:u w:val="none"/>
              </w:rPr>
            </w:pPr>
          </w:p>
        </w:tc>
        <w:tc>
          <w:tcPr>
            <w:tcW w:w="1571" w:type="dxa"/>
            <w:shd w:val="clear" w:color="auto" w:fill="auto"/>
            <w:noWrap/>
            <w:vAlign w:val="center"/>
          </w:tcPr>
          <w:p w14:paraId="7FFA8558">
            <w:pPr>
              <w:rPr>
                <w:rFonts w:hint="eastAsia" w:ascii="宋体" w:hAnsi="宋体" w:eastAsia="宋体" w:cs="宋体"/>
                <w:i w:val="0"/>
                <w:iCs w:val="0"/>
                <w:color w:val="auto"/>
                <w:sz w:val="22"/>
                <w:szCs w:val="22"/>
                <w:highlight w:val="none"/>
                <w:u w:val="none"/>
              </w:rPr>
            </w:pPr>
          </w:p>
        </w:tc>
      </w:tr>
      <w:tr w14:paraId="4CA3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658" w:type="dxa"/>
            <w:shd w:val="clear" w:color="auto" w:fill="auto"/>
            <w:vAlign w:val="center"/>
          </w:tcPr>
          <w:p w14:paraId="15CCA0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5AAF58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感应水龙头</w:t>
            </w:r>
          </w:p>
        </w:tc>
        <w:tc>
          <w:tcPr>
            <w:tcW w:w="4964" w:type="dxa"/>
            <w:shd w:val="clear" w:color="auto" w:fill="auto"/>
            <w:vAlign w:val="top"/>
          </w:tcPr>
          <w:p w14:paraId="5AEE1A03">
            <w:pPr>
              <w:keepNext w:val="0"/>
              <w:keepLines w:val="0"/>
              <w:widowControl/>
              <w:suppressLineNumbers w:val="0"/>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说明：主体采用 304 不锈钢铸造，表面拉丝处理，内置陶瓷片阀芯。阀芯的开合次数不少于 50 万次，水流调节顺畅，无卡顿现象。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规格：单温</w:t>
            </w:r>
          </w:p>
        </w:tc>
        <w:tc>
          <w:tcPr>
            <w:tcW w:w="558" w:type="dxa"/>
            <w:shd w:val="clear" w:color="auto" w:fill="auto"/>
            <w:vAlign w:val="center"/>
          </w:tcPr>
          <w:p w14:paraId="1BD2CD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5B921C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571" w:type="dxa"/>
            <w:shd w:val="clear" w:color="auto" w:fill="auto"/>
            <w:noWrap/>
            <w:vAlign w:val="center"/>
          </w:tcPr>
          <w:p w14:paraId="1E761D8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123825</wp:posOffset>
                  </wp:positionH>
                  <wp:positionV relativeFrom="paragraph">
                    <wp:posOffset>38100</wp:posOffset>
                  </wp:positionV>
                  <wp:extent cx="717550" cy="610870"/>
                  <wp:effectExtent l="0" t="0" r="6350" b="17780"/>
                  <wp:wrapNone/>
                  <wp:docPr id="324" name="图片_135"/>
                  <wp:cNvGraphicFramePr/>
                  <a:graphic xmlns:a="http://schemas.openxmlformats.org/drawingml/2006/main">
                    <a:graphicData uri="http://schemas.openxmlformats.org/drawingml/2006/picture">
                      <pic:pic xmlns:pic="http://schemas.openxmlformats.org/drawingml/2006/picture">
                        <pic:nvPicPr>
                          <pic:cNvPr id="324" name="图片_135"/>
                          <pic:cNvPicPr/>
                        </pic:nvPicPr>
                        <pic:blipFill>
                          <a:blip r:embed="rId129"/>
                          <a:stretch>
                            <a:fillRect/>
                          </a:stretch>
                        </pic:blipFill>
                        <pic:spPr>
                          <a:xfrm>
                            <a:off x="0" y="0"/>
                            <a:ext cx="717550" cy="610870"/>
                          </a:xfrm>
                          <a:prstGeom prst="rect">
                            <a:avLst/>
                          </a:prstGeom>
                          <a:noFill/>
                          <a:ln>
                            <a:noFill/>
                          </a:ln>
                        </pic:spPr>
                      </pic:pic>
                    </a:graphicData>
                  </a:graphic>
                </wp:anchor>
              </w:drawing>
            </w:r>
          </w:p>
        </w:tc>
      </w:tr>
      <w:tr w14:paraId="5367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658" w:type="dxa"/>
            <w:shd w:val="clear" w:color="auto" w:fill="auto"/>
            <w:vAlign w:val="center"/>
          </w:tcPr>
          <w:p w14:paraId="32F9ED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69FFE8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单星盆水池</w:t>
            </w:r>
          </w:p>
        </w:tc>
        <w:tc>
          <w:tcPr>
            <w:tcW w:w="4964" w:type="dxa"/>
            <w:shd w:val="clear" w:color="auto" w:fill="auto"/>
            <w:vAlign w:val="center"/>
          </w:tcPr>
          <w:p w14:paraId="5B80AAF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选用SUS304-2B优质不锈钢板制作；台面δ≥1.2mm，实厚δ≥1.18mm，水斗δ=1.2mm，实厚δ≥1.15mm，水斗圆角模压成型，配优质不锈钢提笼式落水器及烂渣篮，带溢水口。腿为φ38*38*1.0mm加厚不锈钢方管，实厚δ≥0.89mm；配置重力不锈钢可调节子弹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规格：400*400*800mm</w:t>
            </w:r>
          </w:p>
        </w:tc>
        <w:tc>
          <w:tcPr>
            <w:tcW w:w="558" w:type="dxa"/>
            <w:shd w:val="clear" w:color="auto" w:fill="auto"/>
            <w:vAlign w:val="center"/>
          </w:tcPr>
          <w:p w14:paraId="27BAFC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7208B2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1FD601F1">
            <w:pP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276225</wp:posOffset>
                  </wp:positionH>
                  <wp:positionV relativeFrom="paragraph">
                    <wp:posOffset>-244475</wp:posOffset>
                  </wp:positionV>
                  <wp:extent cx="551180" cy="679450"/>
                  <wp:effectExtent l="0" t="0" r="1270" b="6350"/>
                  <wp:wrapNone/>
                  <wp:docPr id="325" name="图片_136_SpCnt_2"/>
                  <wp:cNvGraphicFramePr/>
                  <a:graphic xmlns:a="http://schemas.openxmlformats.org/drawingml/2006/main">
                    <a:graphicData uri="http://schemas.openxmlformats.org/drawingml/2006/picture">
                      <pic:pic xmlns:pic="http://schemas.openxmlformats.org/drawingml/2006/picture">
                        <pic:nvPicPr>
                          <pic:cNvPr id="325" name="图片_136_SpCnt_2"/>
                          <pic:cNvPicPr/>
                        </pic:nvPicPr>
                        <pic:blipFill>
                          <a:blip r:embed="rId130"/>
                          <a:stretch>
                            <a:fillRect/>
                          </a:stretch>
                        </pic:blipFill>
                        <pic:spPr>
                          <a:xfrm>
                            <a:off x="0" y="0"/>
                            <a:ext cx="551180" cy="679450"/>
                          </a:xfrm>
                          <a:prstGeom prst="rect">
                            <a:avLst/>
                          </a:prstGeom>
                          <a:noFill/>
                          <a:ln>
                            <a:noFill/>
                          </a:ln>
                        </pic:spPr>
                      </pic:pic>
                    </a:graphicData>
                  </a:graphic>
                </wp:anchor>
              </w:drawing>
            </w:r>
          </w:p>
        </w:tc>
      </w:tr>
      <w:tr w14:paraId="663A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58" w:type="dxa"/>
            <w:shd w:val="clear" w:color="auto" w:fill="auto"/>
            <w:vAlign w:val="center"/>
          </w:tcPr>
          <w:p w14:paraId="5C8037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4A721D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挂衣钩</w:t>
            </w:r>
          </w:p>
        </w:tc>
        <w:tc>
          <w:tcPr>
            <w:tcW w:w="4964" w:type="dxa"/>
            <w:shd w:val="clear" w:color="auto" w:fill="auto"/>
            <w:vAlign w:val="center"/>
          </w:tcPr>
          <w:p w14:paraId="60F14D9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说明：整体采用304不锈钢制作。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规格：410*45*50</w:t>
            </w:r>
          </w:p>
        </w:tc>
        <w:tc>
          <w:tcPr>
            <w:tcW w:w="558" w:type="dxa"/>
            <w:shd w:val="clear" w:color="auto" w:fill="auto"/>
            <w:vAlign w:val="center"/>
          </w:tcPr>
          <w:p w14:paraId="4735D7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3F0B6E6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1A090CF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152400</wp:posOffset>
                  </wp:positionH>
                  <wp:positionV relativeFrom="paragraph">
                    <wp:posOffset>47625</wp:posOffset>
                  </wp:positionV>
                  <wp:extent cx="534670" cy="174625"/>
                  <wp:effectExtent l="0" t="0" r="17780" b="15875"/>
                  <wp:wrapNone/>
                  <wp:docPr id="326" name="图片_137"/>
                  <wp:cNvGraphicFramePr/>
                  <a:graphic xmlns:a="http://schemas.openxmlformats.org/drawingml/2006/main">
                    <a:graphicData uri="http://schemas.openxmlformats.org/drawingml/2006/picture">
                      <pic:pic xmlns:pic="http://schemas.openxmlformats.org/drawingml/2006/picture">
                        <pic:nvPicPr>
                          <pic:cNvPr id="326" name="图片_137"/>
                          <pic:cNvPicPr/>
                        </pic:nvPicPr>
                        <pic:blipFill>
                          <a:blip r:embed="rId50"/>
                          <a:stretch>
                            <a:fillRect/>
                          </a:stretch>
                        </pic:blipFill>
                        <pic:spPr>
                          <a:xfrm>
                            <a:off x="0" y="0"/>
                            <a:ext cx="534670" cy="174625"/>
                          </a:xfrm>
                          <a:prstGeom prst="rect">
                            <a:avLst/>
                          </a:prstGeom>
                          <a:noFill/>
                          <a:ln>
                            <a:noFill/>
                          </a:ln>
                        </pic:spPr>
                      </pic:pic>
                    </a:graphicData>
                  </a:graphic>
                </wp:anchor>
              </w:drawing>
            </w:r>
          </w:p>
        </w:tc>
      </w:tr>
      <w:tr w14:paraId="2D03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2194" w:type="dxa"/>
            <w:gridSpan w:val="2"/>
            <w:shd w:val="clear" w:color="auto" w:fill="auto"/>
            <w:vAlign w:val="center"/>
          </w:tcPr>
          <w:p w14:paraId="4310F314">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其他</w:t>
            </w:r>
          </w:p>
        </w:tc>
        <w:tc>
          <w:tcPr>
            <w:tcW w:w="4964" w:type="dxa"/>
            <w:shd w:val="clear" w:color="auto" w:fill="auto"/>
            <w:vAlign w:val="center"/>
          </w:tcPr>
          <w:p w14:paraId="76D086F4">
            <w:pPr>
              <w:jc w:val="left"/>
              <w:rPr>
                <w:rFonts w:hint="eastAsia" w:ascii="宋体" w:hAnsi="宋体" w:eastAsia="宋体" w:cs="宋体"/>
                <w:i w:val="0"/>
                <w:iCs w:val="0"/>
                <w:color w:val="auto"/>
                <w:sz w:val="22"/>
                <w:szCs w:val="22"/>
                <w:highlight w:val="none"/>
                <w:u w:val="none"/>
              </w:rPr>
            </w:pPr>
          </w:p>
        </w:tc>
        <w:tc>
          <w:tcPr>
            <w:tcW w:w="558" w:type="dxa"/>
            <w:shd w:val="clear" w:color="auto" w:fill="auto"/>
            <w:vAlign w:val="center"/>
          </w:tcPr>
          <w:p w14:paraId="2C664C69">
            <w:pPr>
              <w:jc w:val="center"/>
              <w:rPr>
                <w:rFonts w:hint="eastAsia" w:ascii="宋体" w:hAnsi="宋体" w:eastAsia="宋体" w:cs="宋体"/>
                <w:i w:val="0"/>
                <w:iCs w:val="0"/>
                <w:color w:val="auto"/>
                <w:sz w:val="22"/>
                <w:szCs w:val="22"/>
                <w:highlight w:val="none"/>
                <w:u w:val="none"/>
              </w:rPr>
            </w:pPr>
          </w:p>
        </w:tc>
        <w:tc>
          <w:tcPr>
            <w:tcW w:w="756" w:type="dxa"/>
            <w:shd w:val="clear" w:color="auto" w:fill="auto"/>
            <w:vAlign w:val="center"/>
          </w:tcPr>
          <w:p w14:paraId="26C5F1FB">
            <w:pPr>
              <w:jc w:val="center"/>
              <w:rPr>
                <w:rFonts w:hint="eastAsia" w:ascii="宋体" w:hAnsi="宋体" w:eastAsia="宋体" w:cs="宋体"/>
                <w:i w:val="0"/>
                <w:iCs w:val="0"/>
                <w:color w:val="auto"/>
                <w:sz w:val="18"/>
                <w:szCs w:val="18"/>
                <w:highlight w:val="none"/>
                <w:u w:val="none"/>
              </w:rPr>
            </w:pPr>
          </w:p>
        </w:tc>
        <w:tc>
          <w:tcPr>
            <w:tcW w:w="1571" w:type="dxa"/>
            <w:shd w:val="clear" w:color="auto" w:fill="auto"/>
            <w:noWrap/>
            <w:vAlign w:val="center"/>
          </w:tcPr>
          <w:p w14:paraId="747629FD">
            <w:pPr>
              <w:rPr>
                <w:rFonts w:hint="eastAsia" w:ascii="宋体" w:hAnsi="宋体" w:eastAsia="宋体" w:cs="宋体"/>
                <w:i w:val="0"/>
                <w:iCs w:val="0"/>
                <w:color w:val="auto"/>
                <w:sz w:val="22"/>
                <w:szCs w:val="22"/>
                <w:highlight w:val="none"/>
                <w:u w:val="none"/>
              </w:rPr>
            </w:pPr>
          </w:p>
        </w:tc>
      </w:tr>
      <w:tr w14:paraId="0BE5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0" w:hRule="atLeast"/>
          <w:jc w:val="center"/>
        </w:trPr>
        <w:tc>
          <w:tcPr>
            <w:tcW w:w="658" w:type="dxa"/>
            <w:shd w:val="clear" w:color="auto" w:fill="auto"/>
            <w:vAlign w:val="center"/>
          </w:tcPr>
          <w:p w14:paraId="0B8215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36" w:type="dxa"/>
            <w:shd w:val="clear" w:color="auto" w:fill="auto"/>
            <w:vAlign w:val="center"/>
          </w:tcPr>
          <w:p w14:paraId="28ED71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平板车</w:t>
            </w:r>
          </w:p>
        </w:tc>
        <w:tc>
          <w:tcPr>
            <w:tcW w:w="4964" w:type="dxa"/>
            <w:shd w:val="clear" w:color="auto" w:fill="auto"/>
            <w:vAlign w:val="center"/>
          </w:tcPr>
          <w:p w14:paraId="2A59ADA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说明：采用SUS304-2B优质不锈钢板制造，δ=1.2mm。万向脚轮，其中两个带刹车掣。</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规格：450*800*900mm</w:t>
            </w:r>
          </w:p>
        </w:tc>
        <w:tc>
          <w:tcPr>
            <w:tcW w:w="558" w:type="dxa"/>
            <w:shd w:val="clear" w:color="auto" w:fill="auto"/>
            <w:vAlign w:val="center"/>
          </w:tcPr>
          <w:p w14:paraId="0C9B86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56" w:type="dxa"/>
            <w:shd w:val="clear" w:color="auto" w:fill="auto"/>
            <w:vAlign w:val="center"/>
          </w:tcPr>
          <w:p w14:paraId="6A0B4A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辆</w:t>
            </w:r>
          </w:p>
        </w:tc>
        <w:tc>
          <w:tcPr>
            <w:tcW w:w="1571" w:type="dxa"/>
            <w:shd w:val="clear" w:color="auto" w:fill="auto"/>
            <w:noWrap/>
            <w:vAlign w:val="center"/>
          </w:tcPr>
          <w:p w14:paraId="5106946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256540</wp:posOffset>
                  </wp:positionH>
                  <wp:positionV relativeFrom="paragraph">
                    <wp:posOffset>47625</wp:posOffset>
                  </wp:positionV>
                  <wp:extent cx="404495" cy="560070"/>
                  <wp:effectExtent l="0" t="0" r="14605" b="11430"/>
                  <wp:wrapNone/>
                  <wp:docPr id="327" name="图片_28_SpCnt_1"/>
                  <wp:cNvGraphicFramePr/>
                  <a:graphic xmlns:a="http://schemas.openxmlformats.org/drawingml/2006/main">
                    <a:graphicData uri="http://schemas.openxmlformats.org/drawingml/2006/picture">
                      <pic:pic xmlns:pic="http://schemas.openxmlformats.org/drawingml/2006/picture">
                        <pic:nvPicPr>
                          <pic:cNvPr id="327" name="图片_28_SpCnt_1"/>
                          <pic:cNvPicPr/>
                        </pic:nvPicPr>
                        <pic:blipFill>
                          <a:blip r:embed="rId131"/>
                          <a:stretch>
                            <a:fillRect/>
                          </a:stretch>
                        </pic:blipFill>
                        <pic:spPr>
                          <a:xfrm>
                            <a:off x="0" y="0"/>
                            <a:ext cx="404495" cy="560070"/>
                          </a:xfrm>
                          <a:prstGeom prst="rect">
                            <a:avLst/>
                          </a:prstGeom>
                          <a:noFill/>
                          <a:ln>
                            <a:noFill/>
                          </a:ln>
                        </pic:spPr>
                      </pic:pic>
                    </a:graphicData>
                  </a:graphic>
                </wp:anchor>
              </w:drawing>
            </w:r>
          </w:p>
        </w:tc>
      </w:tr>
      <w:tr w14:paraId="6841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jc w:val="center"/>
        </w:trPr>
        <w:tc>
          <w:tcPr>
            <w:tcW w:w="658" w:type="dxa"/>
            <w:shd w:val="clear" w:color="auto" w:fill="auto"/>
            <w:vAlign w:val="center"/>
          </w:tcPr>
          <w:p w14:paraId="246B71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36" w:type="dxa"/>
            <w:shd w:val="clear" w:color="auto" w:fill="auto"/>
            <w:vAlign w:val="center"/>
          </w:tcPr>
          <w:p w14:paraId="684303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回收车</w:t>
            </w:r>
          </w:p>
        </w:tc>
        <w:tc>
          <w:tcPr>
            <w:tcW w:w="4964" w:type="dxa"/>
            <w:shd w:val="clear" w:color="auto" w:fill="auto"/>
            <w:vAlign w:val="center"/>
          </w:tcPr>
          <w:p w14:paraId="2C34489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说明：采用SUS304-2B优质不锈钢板制造，δ=1.2mm。万向脚轮，其中两个带刹车掣。</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规格：450*800*900mm</w:t>
            </w:r>
          </w:p>
        </w:tc>
        <w:tc>
          <w:tcPr>
            <w:tcW w:w="558" w:type="dxa"/>
            <w:shd w:val="clear" w:color="auto" w:fill="auto"/>
            <w:vAlign w:val="center"/>
          </w:tcPr>
          <w:p w14:paraId="6F23F5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756" w:type="dxa"/>
            <w:shd w:val="clear" w:color="auto" w:fill="auto"/>
            <w:vAlign w:val="center"/>
          </w:tcPr>
          <w:p w14:paraId="033931A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辆</w:t>
            </w:r>
          </w:p>
        </w:tc>
        <w:tc>
          <w:tcPr>
            <w:tcW w:w="1571" w:type="dxa"/>
            <w:shd w:val="clear" w:color="auto" w:fill="auto"/>
            <w:noWrap/>
            <w:vAlign w:val="center"/>
          </w:tcPr>
          <w:p w14:paraId="19A7F3F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285750</wp:posOffset>
                  </wp:positionH>
                  <wp:positionV relativeFrom="paragraph">
                    <wp:posOffset>50800</wp:posOffset>
                  </wp:positionV>
                  <wp:extent cx="379095" cy="673100"/>
                  <wp:effectExtent l="0" t="0" r="1905" b="12700"/>
                  <wp:wrapNone/>
                  <wp:docPr id="328" name="图片_27_SpCnt_2"/>
                  <wp:cNvGraphicFramePr/>
                  <a:graphic xmlns:a="http://schemas.openxmlformats.org/drawingml/2006/main">
                    <a:graphicData uri="http://schemas.openxmlformats.org/drawingml/2006/picture">
                      <pic:pic xmlns:pic="http://schemas.openxmlformats.org/drawingml/2006/picture">
                        <pic:nvPicPr>
                          <pic:cNvPr id="328" name="图片_27_SpCnt_2"/>
                          <pic:cNvPicPr/>
                        </pic:nvPicPr>
                        <pic:blipFill>
                          <a:blip r:embed="rId132"/>
                          <a:stretch>
                            <a:fillRect/>
                          </a:stretch>
                        </pic:blipFill>
                        <pic:spPr>
                          <a:xfrm>
                            <a:off x="0" y="0"/>
                            <a:ext cx="379095" cy="673100"/>
                          </a:xfrm>
                          <a:prstGeom prst="rect">
                            <a:avLst/>
                          </a:prstGeom>
                          <a:noFill/>
                          <a:ln>
                            <a:noFill/>
                          </a:ln>
                        </pic:spPr>
                      </pic:pic>
                    </a:graphicData>
                  </a:graphic>
                </wp:anchor>
              </w:drawing>
            </w:r>
          </w:p>
        </w:tc>
      </w:tr>
      <w:tr w14:paraId="242E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jc w:val="center"/>
        </w:trPr>
        <w:tc>
          <w:tcPr>
            <w:tcW w:w="658" w:type="dxa"/>
            <w:shd w:val="clear" w:color="auto" w:fill="auto"/>
            <w:vAlign w:val="center"/>
          </w:tcPr>
          <w:p w14:paraId="5CF837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36" w:type="dxa"/>
            <w:shd w:val="clear" w:color="auto" w:fill="auto"/>
            <w:vAlign w:val="center"/>
          </w:tcPr>
          <w:p w14:paraId="485F18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三层车</w:t>
            </w:r>
          </w:p>
        </w:tc>
        <w:tc>
          <w:tcPr>
            <w:tcW w:w="4964" w:type="dxa"/>
            <w:shd w:val="clear" w:color="auto" w:fill="auto"/>
            <w:vAlign w:val="center"/>
          </w:tcPr>
          <w:p w14:paraId="1ECA80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说明：采用SUS304-2B优质不锈钢板制造，δ=1.2mm。万向脚轮，其中两个带刹车掣。</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规格：450*800*900mm</w:t>
            </w:r>
          </w:p>
        </w:tc>
        <w:tc>
          <w:tcPr>
            <w:tcW w:w="558" w:type="dxa"/>
            <w:shd w:val="clear" w:color="auto" w:fill="auto"/>
            <w:vAlign w:val="center"/>
          </w:tcPr>
          <w:p w14:paraId="403E34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756" w:type="dxa"/>
            <w:shd w:val="clear" w:color="auto" w:fill="auto"/>
            <w:vAlign w:val="center"/>
          </w:tcPr>
          <w:p w14:paraId="020AB1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辆</w:t>
            </w:r>
          </w:p>
        </w:tc>
        <w:tc>
          <w:tcPr>
            <w:tcW w:w="1571" w:type="dxa"/>
            <w:shd w:val="clear" w:color="auto" w:fill="auto"/>
            <w:noWrap/>
            <w:vAlign w:val="center"/>
          </w:tcPr>
          <w:p w14:paraId="544321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255905</wp:posOffset>
                  </wp:positionH>
                  <wp:positionV relativeFrom="paragraph">
                    <wp:posOffset>13335</wp:posOffset>
                  </wp:positionV>
                  <wp:extent cx="306705" cy="759460"/>
                  <wp:effectExtent l="0" t="0" r="17145" b="2540"/>
                  <wp:wrapNone/>
                  <wp:docPr id="329" name="图片_140"/>
                  <wp:cNvGraphicFramePr/>
                  <a:graphic xmlns:a="http://schemas.openxmlformats.org/drawingml/2006/main">
                    <a:graphicData uri="http://schemas.openxmlformats.org/drawingml/2006/picture">
                      <pic:pic xmlns:pic="http://schemas.openxmlformats.org/drawingml/2006/picture">
                        <pic:nvPicPr>
                          <pic:cNvPr id="329" name="图片_140"/>
                          <pic:cNvPicPr/>
                        </pic:nvPicPr>
                        <pic:blipFill>
                          <a:blip r:embed="rId133"/>
                          <a:stretch>
                            <a:fillRect/>
                          </a:stretch>
                        </pic:blipFill>
                        <pic:spPr>
                          <a:xfrm>
                            <a:off x="0" y="0"/>
                            <a:ext cx="306705" cy="759460"/>
                          </a:xfrm>
                          <a:prstGeom prst="rect">
                            <a:avLst/>
                          </a:prstGeom>
                          <a:noFill/>
                          <a:ln>
                            <a:noFill/>
                          </a:ln>
                        </pic:spPr>
                      </pic:pic>
                    </a:graphicData>
                  </a:graphic>
                </wp:anchor>
              </w:drawing>
            </w:r>
          </w:p>
        </w:tc>
      </w:tr>
      <w:tr w14:paraId="08A4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0" w:hRule="atLeast"/>
          <w:jc w:val="center"/>
        </w:trPr>
        <w:tc>
          <w:tcPr>
            <w:tcW w:w="658" w:type="dxa"/>
            <w:shd w:val="clear" w:color="auto" w:fill="auto"/>
            <w:vAlign w:val="center"/>
          </w:tcPr>
          <w:p w14:paraId="75A9A5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36" w:type="dxa"/>
            <w:shd w:val="clear" w:color="auto" w:fill="auto"/>
            <w:vAlign w:val="center"/>
          </w:tcPr>
          <w:p w14:paraId="0387F2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开水器</w:t>
            </w:r>
          </w:p>
        </w:tc>
        <w:tc>
          <w:tcPr>
            <w:tcW w:w="4964" w:type="dxa"/>
            <w:shd w:val="clear" w:color="auto" w:fill="auto"/>
            <w:vAlign w:val="center"/>
          </w:tcPr>
          <w:p w14:paraId="3063377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说明：外壳采用304不锈钢制作，步进式逐层加热;360°立体高密度超厚阻燃保温层;3D”热桥阻断“保温技术微电脑集成中央控制器，液晶显示各种工作状态。防漏电、防干烧、防超温、防溢水、防蒸汽、防投毒、防火 阻燃;出现异常智能判断并自动报警停机。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功率：380V/9KW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容积：100L</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●所投产品需食品接触产品安全认证并提供证书作为佐证。</w:t>
            </w:r>
          </w:p>
        </w:tc>
        <w:tc>
          <w:tcPr>
            <w:tcW w:w="558" w:type="dxa"/>
            <w:shd w:val="clear" w:color="auto" w:fill="auto"/>
            <w:vAlign w:val="center"/>
          </w:tcPr>
          <w:p w14:paraId="59F6ED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6" w:type="dxa"/>
            <w:shd w:val="clear" w:color="auto" w:fill="auto"/>
            <w:vAlign w:val="center"/>
          </w:tcPr>
          <w:p w14:paraId="4B7C8B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1571" w:type="dxa"/>
            <w:shd w:val="clear" w:color="auto" w:fill="auto"/>
            <w:noWrap/>
            <w:vAlign w:val="center"/>
          </w:tcPr>
          <w:p w14:paraId="129541F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8255</wp:posOffset>
                  </wp:positionH>
                  <wp:positionV relativeFrom="paragraph">
                    <wp:posOffset>157480</wp:posOffset>
                  </wp:positionV>
                  <wp:extent cx="658495" cy="973455"/>
                  <wp:effectExtent l="0" t="0" r="8255" b="17145"/>
                  <wp:wrapNone/>
                  <wp:docPr id="330" name="图片_158"/>
                  <wp:cNvGraphicFramePr/>
                  <a:graphic xmlns:a="http://schemas.openxmlformats.org/drawingml/2006/main">
                    <a:graphicData uri="http://schemas.openxmlformats.org/drawingml/2006/picture">
                      <pic:pic xmlns:pic="http://schemas.openxmlformats.org/drawingml/2006/picture">
                        <pic:nvPicPr>
                          <pic:cNvPr id="330" name="图片_158"/>
                          <pic:cNvPicPr/>
                        </pic:nvPicPr>
                        <pic:blipFill>
                          <a:blip r:embed="rId134"/>
                          <a:stretch>
                            <a:fillRect/>
                          </a:stretch>
                        </pic:blipFill>
                        <pic:spPr>
                          <a:xfrm>
                            <a:off x="0" y="0"/>
                            <a:ext cx="658495" cy="973455"/>
                          </a:xfrm>
                          <a:prstGeom prst="rect">
                            <a:avLst/>
                          </a:prstGeom>
                          <a:noFill/>
                          <a:ln>
                            <a:noFill/>
                          </a:ln>
                        </pic:spPr>
                      </pic:pic>
                    </a:graphicData>
                  </a:graphic>
                </wp:anchor>
              </w:drawing>
            </w:r>
          </w:p>
        </w:tc>
      </w:tr>
      <w:tr w14:paraId="4CA5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5" w:hRule="atLeast"/>
          <w:jc w:val="center"/>
        </w:trPr>
        <w:tc>
          <w:tcPr>
            <w:tcW w:w="658" w:type="dxa"/>
            <w:shd w:val="clear" w:color="auto" w:fill="auto"/>
            <w:vAlign w:val="center"/>
          </w:tcPr>
          <w:p w14:paraId="7C70CE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36" w:type="dxa"/>
            <w:shd w:val="clear" w:color="auto" w:fill="auto"/>
            <w:noWrap/>
            <w:vAlign w:val="center"/>
          </w:tcPr>
          <w:p w14:paraId="205E56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一体式快餐盘</w:t>
            </w:r>
          </w:p>
        </w:tc>
        <w:tc>
          <w:tcPr>
            <w:tcW w:w="4964" w:type="dxa"/>
            <w:shd w:val="clear" w:color="auto" w:fill="auto"/>
            <w:vAlign w:val="center"/>
          </w:tcPr>
          <w:p w14:paraId="73D51FC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说明：采用食品级优质密胺材料制作，6格</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规格:36*27mm</w:t>
            </w:r>
          </w:p>
        </w:tc>
        <w:tc>
          <w:tcPr>
            <w:tcW w:w="558" w:type="dxa"/>
            <w:shd w:val="clear" w:color="auto" w:fill="auto"/>
            <w:noWrap/>
            <w:vAlign w:val="center"/>
          </w:tcPr>
          <w:p w14:paraId="2C8043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2600</w:t>
            </w:r>
          </w:p>
        </w:tc>
        <w:tc>
          <w:tcPr>
            <w:tcW w:w="756" w:type="dxa"/>
            <w:shd w:val="clear" w:color="auto" w:fill="auto"/>
            <w:noWrap/>
            <w:vAlign w:val="center"/>
          </w:tcPr>
          <w:p w14:paraId="35F4AD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571" w:type="dxa"/>
            <w:shd w:val="clear" w:color="auto" w:fill="auto"/>
            <w:noWrap/>
            <w:vAlign w:val="center"/>
          </w:tcPr>
          <w:p w14:paraId="5AC5B46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43815</wp:posOffset>
                  </wp:positionH>
                  <wp:positionV relativeFrom="paragraph">
                    <wp:posOffset>-67945</wp:posOffset>
                  </wp:positionV>
                  <wp:extent cx="709295" cy="506095"/>
                  <wp:effectExtent l="0" t="0" r="14605" b="8255"/>
                  <wp:wrapNone/>
                  <wp:docPr id="331" name="图片_159"/>
                  <wp:cNvGraphicFramePr/>
                  <a:graphic xmlns:a="http://schemas.openxmlformats.org/drawingml/2006/main">
                    <a:graphicData uri="http://schemas.openxmlformats.org/drawingml/2006/picture">
                      <pic:pic xmlns:pic="http://schemas.openxmlformats.org/drawingml/2006/picture">
                        <pic:nvPicPr>
                          <pic:cNvPr id="331" name="图片_159"/>
                          <pic:cNvPicPr/>
                        </pic:nvPicPr>
                        <pic:blipFill>
                          <a:blip r:embed="rId135"/>
                          <a:stretch>
                            <a:fillRect/>
                          </a:stretch>
                        </pic:blipFill>
                        <pic:spPr>
                          <a:xfrm>
                            <a:off x="0" y="0"/>
                            <a:ext cx="709295" cy="506095"/>
                          </a:xfrm>
                          <a:prstGeom prst="rect">
                            <a:avLst/>
                          </a:prstGeom>
                          <a:noFill/>
                          <a:ln>
                            <a:noFill/>
                          </a:ln>
                        </pic:spPr>
                      </pic:pic>
                    </a:graphicData>
                  </a:graphic>
                </wp:anchor>
              </w:drawing>
            </w:r>
          </w:p>
        </w:tc>
      </w:tr>
      <w:tr w14:paraId="0754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658" w:type="dxa"/>
            <w:shd w:val="clear" w:color="auto" w:fill="auto"/>
            <w:vAlign w:val="center"/>
          </w:tcPr>
          <w:p w14:paraId="202FEC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36" w:type="dxa"/>
            <w:shd w:val="clear" w:color="auto" w:fill="auto"/>
            <w:noWrap/>
            <w:vAlign w:val="center"/>
          </w:tcPr>
          <w:p w14:paraId="471765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汤碗</w:t>
            </w:r>
          </w:p>
        </w:tc>
        <w:tc>
          <w:tcPr>
            <w:tcW w:w="4964" w:type="dxa"/>
            <w:shd w:val="clear" w:color="auto" w:fill="auto"/>
            <w:vAlign w:val="center"/>
          </w:tcPr>
          <w:p w14:paraId="3D7BBBC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说明：采用食品级优质密胺材料制作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规格:配套快餐盘</w:t>
            </w:r>
          </w:p>
        </w:tc>
        <w:tc>
          <w:tcPr>
            <w:tcW w:w="558" w:type="dxa"/>
            <w:shd w:val="clear" w:color="auto" w:fill="auto"/>
            <w:noWrap/>
            <w:vAlign w:val="center"/>
          </w:tcPr>
          <w:p w14:paraId="68FA09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w:t>
            </w:r>
          </w:p>
        </w:tc>
        <w:tc>
          <w:tcPr>
            <w:tcW w:w="756" w:type="dxa"/>
            <w:shd w:val="clear" w:color="auto" w:fill="auto"/>
            <w:noWrap/>
            <w:vAlign w:val="center"/>
          </w:tcPr>
          <w:p w14:paraId="234497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571" w:type="dxa"/>
            <w:shd w:val="clear" w:color="auto" w:fill="auto"/>
            <w:noWrap/>
            <w:vAlign w:val="center"/>
          </w:tcPr>
          <w:p w14:paraId="4070134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252730</wp:posOffset>
                  </wp:positionH>
                  <wp:positionV relativeFrom="paragraph">
                    <wp:posOffset>38100</wp:posOffset>
                  </wp:positionV>
                  <wp:extent cx="385445" cy="521335"/>
                  <wp:effectExtent l="0" t="0" r="14605" b="12065"/>
                  <wp:wrapNone/>
                  <wp:docPr id="332" name="图片_160"/>
                  <wp:cNvGraphicFramePr/>
                  <a:graphic xmlns:a="http://schemas.openxmlformats.org/drawingml/2006/main">
                    <a:graphicData uri="http://schemas.openxmlformats.org/drawingml/2006/picture">
                      <pic:pic xmlns:pic="http://schemas.openxmlformats.org/drawingml/2006/picture">
                        <pic:nvPicPr>
                          <pic:cNvPr id="332" name="图片_160"/>
                          <pic:cNvPicPr/>
                        </pic:nvPicPr>
                        <pic:blipFill>
                          <a:blip r:embed="rId136"/>
                          <a:stretch>
                            <a:fillRect/>
                          </a:stretch>
                        </pic:blipFill>
                        <pic:spPr>
                          <a:xfrm>
                            <a:off x="0" y="0"/>
                            <a:ext cx="385445" cy="521335"/>
                          </a:xfrm>
                          <a:prstGeom prst="rect">
                            <a:avLst/>
                          </a:prstGeom>
                          <a:noFill/>
                          <a:ln>
                            <a:noFill/>
                          </a:ln>
                        </pic:spPr>
                      </pic:pic>
                    </a:graphicData>
                  </a:graphic>
                </wp:anchor>
              </w:drawing>
            </w:r>
          </w:p>
        </w:tc>
      </w:tr>
    </w:tbl>
    <w:p w14:paraId="42E79E13">
      <w:pPr>
        <w:pStyle w:val="22"/>
        <w:keepNext w:val="0"/>
        <w:keepLines w:val="0"/>
        <w:widowControl/>
        <w:suppressLineNumbers w:val="0"/>
        <w:spacing w:before="0" w:beforeAutospacing="0" w:after="0" w:afterAutospacing="0" w:line="360" w:lineRule="auto"/>
        <w:ind w:right="0"/>
        <w:rPr>
          <w:rFonts w:hint="eastAsia" w:asciiTheme="minorEastAsia" w:hAnsiTheme="minorEastAsia" w:cstheme="minorEastAsia"/>
          <w:b/>
          <w:bCs w:val="0"/>
          <w:i w:val="0"/>
          <w:iCs w:val="0"/>
          <w:caps w:val="0"/>
          <w:color w:val="404040"/>
          <w:spacing w:val="0"/>
          <w:sz w:val="24"/>
          <w:szCs w:val="24"/>
          <w:highlight w:val="none"/>
          <w:shd w:val="clear" w:fill="FFFFFF"/>
          <w:lang w:val="en-US" w:eastAsia="zh-CN"/>
        </w:rPr>
      </w:pPr>
    </w:p>
    <w:p w14:paraId="3FE18F5E">
      <w:pPr>
        <w:pStyle w:val="22"/>
        <w:keepNext w:val="0"/>
        <w:keepLines w:val="0"/>
        <w:widowControl/>
        <w:suppressLineNumbers w:val="0"/>
        <w:spacing w:before="0" w:beforeAutospacing="0" w:after="0" w:afterAutospacing="0" w:line="360" w:lineRule="auto"/>
        <w:ind w:right="0"/>
        <w:rPr>
          <w:rFonts w:hint="eastAsia" w:asciiTheme="minorEastAsia" w:hAnsiTheme="minorEastAsia" w:eastAsiaTheme="minorEastAsia" w:cstheme="minorEastAsia"/>
          <w:b/>
          <w:bCs w:val="0"/>
          <w:i w:val="0"/>
          <w:iCs w:val="0"/>
          <w:caps w:val="0"/>
          <w:color w:val="404040"/>
          <w:spacing w:val="0"/>
          <w:sz w:val="24"/>
          <w:szCs w:val="24"/>
          <w:highlight w:val="none"/>
          <w:shd w:val="clear" w:fill="FFFFFF"/>
          <w:lang w:val="en-US" w:eastAsia="zh-CN"/>
        </w:rPr>
      </w:pPr>
      <w:r>
        <w:rPr>
          <w:rFonts w:hint="eastAsia" w:asciiTheme="minorEastAsia" w:hAnsiTheme="minorEastAsia" w:cstheme="minorEastAsia"/>
          <w:b/>
          <w:bCs w:val="0"/>
          <w:i w:val="0"/>
          <w:iCs w:val="0"/>
          <w:caps w:val="0"/>
          <w:color w:val="404040"/>
          <w:spacing w:val="0"/>
          <w:sz w:val="24"/>
          <w:szCs w:val="24"/>
          <w:highlight w:val="none"/>
          <w:shd w:val="clear" w:fill="FFFFFF"/>
          <w:lang w:val="en-US" w:eastAsia="zh-CN"/>
        </w:rPr>
        <w:t>三、</w:t>
      </w:r>
      <w:r>
        <w:rPr>
          <w:rFonts w:hint="eastAsia" w:asciiTheme="minorEastAsia" w:hAnsiTheme="minorEastAsia" w:eastAsiaTheme="minorEastAsia" w:cstheme="minorEastAsia"/>
          <w:b/>
          <w:bCs w:val="0"/>
          <w:i w:val="0"/>
          <w:iCs w:val="0"/>
          <w:caps w:val="0"/>
          <w:color w:val="404040"/>
          <w:spacing w:val="0"/>
          <w:sz w:val="24"/>
          <w:szCs w:val="24"/>
          <w:highlight w:val="none"/>
          <w:shd w:val="clear" w:fill="FFFFFF"/>
          <w:lang w:val="en-US" w:eastAsia="zh-CN"/>
        </w:rPr>
        <w:t>供货要求</w:t>
      </w:r>
    </w:p>
    <w:p w14:paraId="6A80D67F">
      <w:pPr>
        <w:numPr>
          <w:ilvl w:val="0"/>
          <w:numId w:val="2"/>
        </w:numPr>
        <w:spacing w:line="360" w:lineRule="auto"/>
        <w:ind w:leftChars="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总体要求：</w:t>
      </w:r>
    </w:p>
    <w:p w14:paraId="47C308A8">
      <w:pPr>
        <w:tabs>
          <w:tab w:val="left" w:pos="0"/>
        </w:tabs>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供应商应保证其提供的货物及服务完全符合招标文件规定的质量、规格和性能的要求，并保证所提供的货物是全新的。</w:t>
      </w:r>
    </w:p>
    <w:p w14:paraId="54C52E5D">
      <w:pPr>
        <w:tabs>
          <w:tab w:val="left" w:pos="0"/>
        </w:tabs>
        <w:spacing w:line="360" w:lineRule="auto"/>
        <w:ind w:firstLine="480" w:firstLineChars="200"/>
        <w:rPr>
          <w:rFonts w:hint="eastAsia" w:ascii="宋体" w:hAnsi="宋体" w:eastAsia="宋体" w:cs="宋体"/>
          <w:b/>
          <w:bCs/>
          <w:sz w:val="24"/>
          <w:szCs w:val="24"/>
          <w:highlight w:val="none"/>
          <w:lang w:val="en-US"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货物质量、技术标准符合中华人民共和国有关部门颁布的最新国家或行业标准，本次投标所用材料均须满足环保要求</w:t>
      </w:r>
      <w:r>
        <w:rPr>
          <w:rFonts w:hint="eastAsia" w:ascii="宋体" w:hAnsi="宋体" w:eastAsia="宋体" w:cs="宋体"/>
          <w:b w:val="0"/>
          <w:bCs/>
          <w:color w:val="auto"/>
          <w:sz w:val="24"/>
          <w:szCs w:val="24"/>
          <w:highlight w:val="none"/>
          <w:lang w:eastAsia="zh-CN"/>
        </w:rPr>
        <w:t>。</w:t>
      </w:r>
    </w:p>
    <w:p w14:paraId="02841BEF">
      <w:pPr>
        <w:numPr>
          <w:ilvl w:val="0"/>
          <w:numId w:val="0"/>
        </w:numPr>
        <w:spacing w:line="360" w:lineRule="auto"/>
        <w:ind w:leftChars="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二）质量要求</w:t>
      </w:r>
    </w:p>
    <w:p w14:paraId="739786A2">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材质要求</w:t>
      </w:r>
      <w:r>
        <w:rPr>
          <w:rFonts w:hint="eastAsia" w:ascii="宋体" w:hAnsi="宋体" w:eastAsia="宋体" w:cs="宋体"/>
          <w:sz w:val="24"/>
          <w:szCs w:val="24"/>
          <w:highlight w:val="none"/>
        </w:rPr>
        <w:t>：所有设备接触食品的部分必须采用食品级SUS304不锈钢，厚度符合清单中的规格要求（如台面δ=1.2mm）。</w:t>
      </w:r>
    </w:p>
    <w:p w14:paraId="40118AFB">
      <w:pPr>
        <w:spacing w:line="360" w:lineRule="auto"/>
        <w:ind w:firstLine="482" w:firstLineChars="200"/>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b/>
          <w:bCs/>
          <w:sz w:val="24"/>
          <w:szCs w:val="24"/>
          <w:highlight w:val="none"/>
          <w:lang w:val="en-US" w:eastAsia="zh-CN"/>
        </w:rPr>
        <w:t>2.性能</w:t>
      </w:r>
      <w:r>
        <w:rPr>
          <w:rFonts w:hint="eastAsia" w:ascii="宋体" w:hAnsi="宋体" w:eastAsia="宋体" w:cs="宋体"/>
          <w:b/>
          <w:bCs/>
          <w:sz w:val="24"/>
          <w:szCs w:val="24"/>
          <w:highlight w:val="none"/>
        </w:rPr>
        <w:t>要求</w:t>
      </w:r>
      <w:r>
        <w:rPr>
          <w:rFonts w:hint="eastAsia" w:ascii="宋体" w:hAnsi="宋体" w:eastAsia="宋体" w:cs="宋体"/>
          <w:sz w:val="24"/>
          <w:szCs w:val="24"/>
          <w:highlight w:val="none"/>
        </w:rPr>
        <w:t>：制冷设备需具备风冷功能，温度范围符合食品储存标准（冷藏：-2~8℃，冷冻：-18~-6℃）。</w:t>
      </w:r>
      <w:r>
        <w:rPr>
          <w:rFonts w:hint="eastAsia" w:ascii="宋体" w:hAnsi="宋体" w:eastAsia="宋体" w:cs="宋体"/>
          <w:i w:val="0"/>
          <w:iCs w:val="0"/>
          <w:caps w:val="0"/>
          <w:color w:val="404040"/>
          <w:spacing w:val="0"/>
          <w:sz w:val="24"/>
          <w:szCs w:val="24"/>
          <w:highlight w:val="none"/>
          <w:shd w:val="clear" w:fill="FFFFFF"/>
        </w:rPr>
        <w:t>制冷设备需采用风冷技术，温度控制精确；电磁设备热效率≥95%，功率符合清单要求（如380V/30KW）</w:t>
      </w:r>
      <w:r>
        <w:rPr>
          <w:rFonts w:hint="eastAsia" w:ascii="宋体" w:hAnsi="宋体" w:eastAsia="宋体" w:cs="宋体"/>
          <w:sz w:val="24"/>
          <w:szCs w:val="24"/>
          <w:highlight w:val="none"/>
        </w:rPr>
        <w:t>。</w:t>
      </w:r>
      <w:r>
        <w:rPr>
          <w:rFonts w:hint="eastAsia" w:ascii="宋体" w:hAnsi="宋体" w:eastAsia="宋体" w:cs="宋体"/>
          <w:color w:val="auto"/>
          <w:sz w:val="24"/>
          <w:szCs w:val="24"/>
          <w:highlight w:val="none"/>
        </w:rPr>
        <w:t>智能设备（如留样柜）需具备物联网功能，支持远程监控和数据上传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设备需低噪音、低能耗</w:t>
      </w:r>
      <w:r>
        <w:rPr>
          <w:rFonts w:hint="eastAsia" w:ascii="宋体" w:hAnsi="宋体" w:eastAsia="宋体" w:cs="宋体"/>
          <w:color w:val="auto"/>
          <w:sz w:val="24"/>
          <w:szCs w:val="24"/>
          <w:highlight w:val="none"/>
          <w:lang w:eastAsia="zh-CN"/>
        </w:rPr>
        <w:t>。</w:t>
      </w:r>
    </w:p>
    <w:p w14:paraId="1B54D020">
      <w:pPr>
        <w:pStyle w:val="51"/>
        <w:keepNext w:val="0"/>
        <w:keepLines w:val="0"/>
        <w:pageBreakBefore w:val="0"/>
        <w:numPr>
          <w:ilvl w:val="0"/>
          <w:numId w:val="0"/>
        </w:numPr>
        <w:kinsoku/>
        <w:wordWrap/>
        <w:overflowPunct/>
        <w:topLinePunct w:val="0"/>
        <w:autoSpaceDE/>
        <w:autoSpaceDN/>
        <w:bidi w:val="0"/>
        <w:spacing w:line="360" w:lineRule="auto"/>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（三）安全要求：</w:t>
      </w:r>
    </w:p>
    <w:p w14:paraId="3DF455FE">
      <w:pPr>
        <w:spacing w:line="360" w:lineRule="auto"/>
        <w:ind w:firstLine="241" w:firstLineChars="100"/>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b/>
          <w:bCs/>
          <w:i w:val="0"/>
          <w:iCs w:val="0"/>
          <w:caps w:val="0"/>
          <w:color w:val="404040"/>
          <w:spacing w:val="0"/>
          <w:sz w:val="24"/>
          <w:szCs w:val="24"/>
          <w:highlight w:val="none"/>
          <w:shd w:val="clear" w:fill="FFFFFF"/>
          <w:lang w:val="en-US" w:eastAsia="zh-CN"/>
        </w:rPr>
        <w:t>1.</w:t>
      </w:r>
      <w:r>
        <w:rPr>
          <w:rFonts w:hint="eastAsia" w:ascii="宋体" w:hAnsi="宋体" w:eastAsia="宋体" w:cs="宋体"/>
          <w:i w:val="0"/>
          <w:iCs w:val="0"/>
          <w:caps w:val="0"/>
          <w:color w:val="404040"/>
          <w:spacing w:val="0"/>
          <w:sz w:val="24"/>
          <w:szCs w:val="24"/>
          <w:highlight w:val="none"/>
          <w:shd w:val="clear" w:fill="FFFFFF"/>
        </w:rPr>
        <w:t>电气设备需具备过载保护、自动断电功能，接地电阻≤4Ω；</w:t>
      </w:r>
      <w:r>
        <w:rPr>
          <w:rFonts w:hint="eastAsia" w:ascii="宋体" w:hAnsi="宋体" w:eastAsia="宋体" w:cs="宋体"/>
          <w:i w:val="0"/>
          <w:iCs w:val="0"/>
          <w:caps w:val="0"/>
          <w:color w:val="auto"/>
          <w:spacing w:val="0"/>
          <w:sz w:val="24"/>
          <w:szCs w:val="24"/>
          <w:highlight w:val="none"/>
          <w:shd w:val="clear" w:fill="FFFFFF"/>
        </w:rPr>
        <w:t>全面采用电磁能。</w:t>
      </w:r>
    </w:p>
    <w:p w14:paraId="1B092B32">
      <w:pPr>
        <w:spacing w:line="360" w:lineRule="auto"/>
        <w:ind w:firstLine="241" w:firstLineChars="100"/>
        <w:rPr>
          <w:rFonts w:hint="eastAsia" w:asciiTheme="minorEastAsia" w:hAnsiTheme="minorEastAsia" w:eastAsiaTheme="minorEastAsia" w:cstheme="minorEastAsia"/>
          <w:b/>
          <w:bCs w:val="0"/>
          <w:i w:val="0"/>
          <w:iCs w:val="0"/>
          <w:caps w:val="0"/>
          <w:color w:val="404040"/>
          <w:spacing w:val="0"/>
          <w:kern w:val="0"/>
          <w:sz w:val="24"/>
          <w:szCs w:val="24"/>
          <w:highlight w:val="none"/>
          <w:shd w:val="clear" w:fill="FFFFFF"/>
          <w:lang w:val="en-US" w:eastAsia="zh-CN" w:bidi="ar-SA"/>
        </w:rPr>
      </w:pPr>
      <w:r>
        <w:rPr>
          <w:rFonts w:hint="eastAsia" w:ascii="宋体" w:hAnsi="宋体" w:eastAsia="宋体" w:cs="宋体"/>
          <w:b/>
          <w:bCs/>
          <w:i w:val="0"/>
          <w:iCs w:val="0"/>
          <w:caps w:val="0"/>
          <w:color w:val="404040"/>
          <w:spacing w:val="0"/>
          <w:sz w:val="24"/>
          <w:szCs w:val="24"/>
          <w:highlight w:val="none"/>
          <w:shd w:val="clear" w:fill="FFFFFF"/>
          <w:lang w:val="en-US" w:eastAsia="zh-CN"/>
        </w:rPr>
        <w:t>2</w:t>
      </w:r>
      <w:r>
        <w:rPr>
          <w:rFonts w:hint="eastAsia" w:ascii="宋体" w:hAnsi="宋体" w:eastAsia="宋体" w:cs="宋体"/>
          <w:b/>
          <w:bCs/>
          <w:i w:val="0"/>
          <w:iCs w:val="0"/>
          <w:caps w:val="0"/>
          <w:color w:val="auto"/>
          <w:spacing w:val="0"/>
          <w:sz w:val="24"/>
          <w:szCs w:val="24"/>
          <w:highlight w:val="none"/>
          <w:shd w:val="clear" w:fill="FFFFFF"/>
          <w:lang w:val="en-US" w:eastAsia="zh-CN"/>
        </w:rPr>
        <w:t>.</w:t>
      </w:r>
      <w:r>
        <w:rPr>
          <w:rFonts w:hint="eastAsia" w:ascii="宋体" w:hAnsi="宋体" w:eastAsia="宋体" w:cs="宋体"/>
          <w:i w:val="0"/>
          <w:iCs w:val="0"/>
          <w:caps w:val="0"/>
          <w:color w:val="auto"/>
          <w:spacing w:val="0"/>
          <w:sz w:val="24"/>
          <w:szCs w:val="24"/>
          <w:highlight w:val="none"/>
          <w:shd w:val="clear" w:fill="FFFFFF"/>
        </w:rPr>
        <w:t>高温设备（如蒸柜）需配置带缺水断电功能；</w:t>
      </w:r>
      <w:r>
        <w:rPr>
          <w:rFonts w:hint="eastAsia" w:ascii="宋体" w:hAnsi="宋体" w:eastAsia="宋体" w:cs="宋体"/>
          <w:i w:val="0"/>
          <w:iCs w:val="0"/>
          <w:caps w:val="0"/>
          <w:color w:val="404040"/>
          <w:spacing w:val="0"/>
          <w:sz w:val="24"/>
          <w:szCs w:val="24"/>
          <w:highlight w:val="none"/>
          <w:shd w:val="clear" w:fill="FFFFFF"/>
        </w:rPr>
        <w:t>刀具消毒柜需配备紫外线光波发生器。</w:t>
      </w:r>
    </w:p>
    <w:p w14:paraId="761F5912">
      <w:pPr>
        <w:pStyle w:val="51"/>
        <w:keepNext w:val="0"/>
        <w:keepLines w:val="0"/>
        <w:pageBreakBefore w:val="0"/>
        <w:numPr>
          <w:ilvl w:val="0"/>
          <w:numId w:val="0"/>
        </w:numPr>
        <w:kinsoku/>
        <w:wordWrap/>
        <w:overflowPunct/>
        <w:topLinePunct w:val="0"/>
        <w:autoSpaceDE/>
        <w:autoSpaceDN/>
        <w:bidi w:val="0"/>
        <w:spacing w:line="360" w:lineRule="auto"/>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四、商务要求</w:t>
      </w:r>
    </w:p>
    <w:p w14:paraId="20B2439A">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.供货</w:t>
      </w:r>
      <w:r>
        <w:rPr>
          <w:rFonts w:hint="eastAsia" w:ascii="宋体" w:hAnsi="宋体" w:eastAsia="宋体" w:cs="宋体"/>
          <w:color w:val="auto"/>
          <w:kern w:val="0"/>
          <w:sz w:val="24"/>
          <w:szCs w:val="24"/>
          <w:highlight w:val="none"/>
        </w:rPr>
        <w:t>期要求：</w:t>
      </w:r>
    </w:p>
    <w:p w14:paraId="13D0E683">
      <w:pPr>
        <w:snapToGrid w:val="0"/>
        <w:spacing w:line="360" w:lineRule="auto"/>
        <w:ind w:firstLine="51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w:t>
      </w:r>
      <w:r>
        <w:rPr>
          <w:rFonts w:hint="eastAsia" w:ascii="宋体" w:hAnsi="宋体" w:eastAsia="宋体" w:cs="宋体"/>
          <w:i w:val="0"/>
          <w:iCs w:val="0"/>
          <w:caps w:val="0"/>
          <w:color w:val="auto"/>
          <w:spacing w:val="0"/>
          <w:sz w:val="24"/>
          <w:szCs w:val="24"/>
          <w:highlight w:val="none"/>
          <w:shd w:val="clear" w:fill="FFFFFF"/>
        </w:rPr>
        <w:t>合同签订后</w:t>
      </w:r>
      <w:r>
        <w:rPr>
          <w:rFonts w:hint="eastAsia" w:ascii="宋体" w:hAnsi="宋体" w:eastAsia="宋体" w:cs="宋体"/>
          <w:i w:val="0"/>
          <w:iCs w:val="0"/>
          <w:caps w:val="0"/>
          <w:color w:val="auto"/>
          <w:spacing w:val="0"/>
          <w:sz w:val="24"/>
          <w:szCs w:val="24"/>
          <w:highlight w:val="none"/>
          <w:shd w:val="clear" w:fill="FFFFFF"/>
          <w:lang w:val="en-US" w:eastAsia="zh-CN"/>
        </w:rPr>
        <w:t>30</w:t>
      </w:r>
      <w:r>
        <w:rPr>
          <w:rFonts w:hint="eastAsia" w:ascii="宋体" w:hAnsi="宋体" w:eastAsia="宋体" w:cs="宋体"/>
          <w:i w:val="0"/>
          <w:iCs w:val="0"/>
          <w:caps w:val="0"/>
          <w:color w:val="auto"/>
          <w:spacing w:val="0"/>
          <w:sz w:val="24"/>
          <w:szCs w:val="24"/>
          <w:highlight w:val="none"/>
          <w:shd w:val="clear" w:fill="FFFFFF"/>
        </w:rPr>
        <w:t>日内</w:t>
      </w:r>
      <w:r>
        <w:rPr>
          <w:rFonts w:hint="eastAsia" w:ascii="宋体" w:hAnsi="宋体" w:eastAsia="宋体" w:cs="宋体"/>
          <w:i w:val="0"/>
          <w:iCs w:val="0"/>
          <w:caps w:val="0"/>
          <w:color w:val="auto"/>
          <w:spacing w:val="0"/>
          <w:sz w:val="24"/>
          <w:szCs w:val="24"/>
          <w:highlight w:val="none"/>
          <w:shd w:val="clear" w:fill="FFFFFF"/>
          <w:lang w:eastAsia="zh-CN"/>
        </w:rPr>
        <w:t>（甲方可根据施工进度约定时间）</w:t>
      </w:r>
      <w:r>
        <w:rPr>
          <w:rFonts w:hint="eastAsia" w:ascii="宋体" w:hAnsi="宋体" w:eastAsia="宋体" w:cs="宋体"/>
          <w:i w:val="0"/>
          <w:iCs w:val="0"/>
          <w:caps w:val="0"/>
          <w:color w:val="auto"/>
          <w:spacing w:val="0"/>
          <w:sz w:val="24"/>
          <w:szCs w:val="24"/>
          <w:highlight w:val="none"/>
          <w:shd w:val="clear" w:fill="FFFFFF"/>
        </w:rPr>
        <w:t>完成全部设备交付及安装调试，</w:t>
      </w:r>
      <w:r>
        <w:rPr>
          <w:rFonts w:hint="eastAsia" w:ascii="宋体" w:hAnsi="宋体" w:eastAsia="宋体" w:cs="宋体"/>
          <w:i w:val="0"/>
          <w:iCs w:val="0"/>
          <w:caps w:val="0"/>
          <w:color w:val="auto"/>
          <w:spacing w:val="0"/>
          <w:sz w:val="24"/>
          <w:szCs w:val="24"/>
          <w:highlight w:val="none"/>
          <w:shd w:val="clear" w:fill="FFFFFF"/>
          <w:lang w:val="en-US" w:eastAsia="zh-CN"/>
        </w:rPr>
        <w:t>试运行15天后30天内完成验收。</w:t>
      </w:r>
    </w:p>
    <w:p w14:paraId="27FF11C4">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eastAsia="zh-CN"/>
        </w:rPr>
        <w:t>设备</w:t>
      </w:r>
      <w:r>
        <w:rPr>
          <w:rFonts w:hint="eastAsia" w:ascii="宋体" w:hAnsi="宋体" w:eastAsia="宋体" w:cs="宋体"/>
          <w:color w:val="auto"/>
          <w:kern w:val="0"/>
          <w:sz w:val="24"/>
          <w:szCs w:val="24"/>
          <w:highlight w:val="none"/>
        </w:rPr>
        <w:t>交货后如发现不符合要求的设备，采购人有权拒绝接受，并按延期交货进行处理。</w:t>
      </w:r>
    </w:p>
    <w:p w14:paraId="59C4296E">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交货地点：签订合同后送至采购人指定地点</w:t>
      </w:r>
      <w:r>
        <w:rPr>
          <w:rFonts w:hint="eastAsia" w:ascii="宋体" w:hAnsi="宋体" w:eastAsia="宋体" w:cs="宋体"/>
          <w:color w:val="auto"/>
          <w:kern w:val="0"/>
          <w:sz w:val="24"/>
          <w:szCs w:val="24"/>
          <w:highlight w:val="none"/>
          <w:lang w:eastAsia="zh-CN"/>
        </w:rPr>
        <w:t>。</w:t>
      </w:r>
    </w:p>
    <w:p w14:paraId="3A982C72">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培训计划</w:t>
      </w:r>
    </w:p>
    <w:p w14:paraId="5D84CE33">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（1）培训地点：设备安装现场。</w:t>
      </w:r>
    </w:p>
    <w:p w14:paraId="13A83C0D">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（2）培训人数：全部操作人员。</w:t>
      </w:r>
    </w:p>
    <w:p w14:paraId="714C3B68">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（3）培训时间：能熟练掌握操作和维护保养。需外地培训的应同时向采购单位提供书面说明，并盖章确认。</w:t>
      </w:r>
    </w:p>
    <w:p w14:paraId="522A8750">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（4）培训服务要求：供应商应对采购人的</w:t>
      </w:r>
      <w:r>
        <w:rPr>
          <w:rFonts w:hint="eastAsia" w:ascii="宋体" w:hAnsi="宋体" w:eastAsia="宋体" w:cs="宋体"/>
          <w:color w:val="auto"/>
          <w:kern w:val="0"/>
          <w:sz w:val="24"/>
          <w:szCs w:val="24"/>
          <w:highlight w:val="none"/>
          <w:lang w:eastAsia="zh-CN"/>
        </w:rPr>
        <w:t>操作</w:t>
      </w:r>
      <w:r>
        <w:rPr>
          <w:rFonts w:hint="eastAsia" w:ascii="宋体" w:hAnsi="宋体" w:eastAsia="宋体" w:cs="宋体"/>
          <w:color w:val="auto"/>
          <w:kern w:val="0"/>
          <w:sz w:val="24"/>
          <w:szCs w:val="24"/>
          <w:highlight w:val="none"/>
        </w:rPr>
        <w:t>人员进行培训并承担所有费用，使其能对</w:t>
      </w:r>
      <w:r>
        <w:rPr>
          <w:rFonts w:hint="eastAsia" w:ascii="宋体" w:hAnsi="宋体" w:eastAsia="宋体" w:cs="宋体"/>
          <w:color w:val="auto"/>
          <w:kern w:val="0"/>
          <w:sz w:val="24"/>
          <w:szCs w:val="24"/>
          <w:highlight w:val="none"/>
          <w:lang w:eastAsia="zh-CN"/>
        </w:rPr>
        <w:t>设备</w:t>
      </w:r>
      <w:r>
        <w:rPr>
          <w:rFonts w:hint="eastAsia" w:ascii="宋体" w:hAnsi="宋体" w:eastAsia="宋体" w:cs="宋体"/>
          <w:color w:val="auto"/>
          <w:kern w:val="0"/>
          <w:sz w:val="24"/>
          <w:szCs w:val="24"/>
          <w:highlight w:val="none"/>
        </w:rPr>
        <w:t>进行日常的维护保养并能对一般故障及时进行维修。所有的维修图纸、维修手册及维修调试软件的密码及专用的维修工具</w:t>
      </w:r>
      <w:r>
        <w:rPr>
          <w:rFonts w:hint="eastAsia" w:ascii="宋体" w:hAnsi="宋体" w:eastAsia="宋体" w:cs="宋体"/>
          <w:color w:val="auto"/>
          <w:kern w:val="0"/>
          <w:sz w:val="24"/>
          <w:szCs w:val="24"/>
          <w:highlight w:val="none"/>
          <w:lang w:val="en-US" w:eastAsia="zh-CN"/>
        </w:rPr>
        <w:t>均由供应商提供</w:t>
      </w:r>
      <w:r>
        <w:rPr>
          <w:rFonts w:hint="eastAsia" w:ascii="宋体" w:hAnsi="宋体" w:eastAsia="宋体" w:cs="宋体"/>
          <w:color w:val="auto"/>
          <w:kern w:val="0"/>
          <w:sz w:val="24"/>
          <w:szCs w:val="24"/>
          <w:highlight w:val="none"/>
        </w:rPr>
        <w:t>。供应商应对采购人的操作人员进行培训并承担所有费用，使其能较熟练的使用设备完成日常所需开展的项目。</w:t>
      </w:r>
    </w:p>
    <w:p w14:paraId="37E69004">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付款方式：</w:t>
      </w:r>
      <w:r>
        <w:rPr>
          <w:rFonts w:hint="eastAsia" w:ascii="宋体" w:hAnsi="宋体" w:eastAsia="宋体" w:cs="宋体"/>
          <w:color w:val="auto"/>
          <w:kern w:val="0"/>
          <w:sz w:val="24"/>
          <w:szCs w:val="24"/>
          <w:highlight w:val="none"/>
          <w:lang w:eastAsia="zh-CN"/>
        </w:rPr>
        <w:t>签订合同后</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sz w:val="24"/>
          <w:szCs w:val="24"/>
          <w:highlight w:val="none"/>
        </w:rPr>
        <w:t>个工作日内，</w:t>
      </w:r>
      <w:r>
        <w:rPr>
          <w:rFonts w:hint="eastAsia" w:ascii="宋体" w:hAnsi="宋体" w:eastAsia="宋体" w:cs="宋体"/>
          <w:sz w:val="24"/>
          <w:szCs w:val="24"/>
          <w:highlight w:val="none"/>
          <w:lang w:eastAsia="zh-CN"/>
        </w:rPr>
        <w:t>采购人向中标人</w:t>
      </w:r>
      <w:r>
        <w:rPr>
          <w:rFonts w:hint="eastAsia" w:ascii="宋体" w:hAnsi="宋体" w:eastAsia="宋体" w:cs="宋体"/>
          <w:color w:val="auto"/>
          <w:kern w:val="0"/>
          <w:sz w:val="24"/>
          <w:szCs w:val="24"/>
          <w:highlight w:val="none"/>
          <w:lang w:val="en-US" w:eastAsia="zh-CN"/>
        </w:rPr>
        <w:t>支付合同总价的</w:t>
      </w:r>
      <w:r>
        <w:rPr>
          <w:rFonts w:hint="eastAsia" w:ascii="宋体" w:hAnsi="宋体" w:cs="宋体"/>
          <w:color w:val="auto"/>
          <w:kern w:val="0"/>
          <w:sz w:val="24"/>
          <w:szCs w:val="24"/>
          <w:highlight w:val="none"/>
          <w:lang w:val="en-US" w:eastAsia="zh-CN"/>
        </w:rPr>
        <w:t>40</w:t>
      </w:r>
      <w:r>
        <w:rPr>
          <w:rFonts w:hint="eastAsia" w:ascii="宋体" w:hAnsi="宋体" w:eastAsia="宋体" w:cs="宋体"/>
          <w:color w:val="auto"/>
          <w:kern w:val="0"/>
          <w:sz w:val="24"/>
          <w:szCs w:val="24"/>
          <w:highlight w:val="none"/>
          <w:lang w:val="en-US" w:eastAsia="zh-CN"/>
        </w:rPr>
        <w:t>%作为预付款；</w:t>
      </w:r>
      <w:r>
        <w:rPr>
          <w:rFonts w:hint="eastAsia" w:ascii="宋体" w:hAnsi="宋体" w:eastAsia="宋体" w:cs="宋体"/>
          <w:color w:val="auto"/>
          <w:kern w:val="0"/>
          <w:sz w:val="24"/>
          <w:szCs w:val="24"/>
          <w:highlight w:val="none"/>
          <w:lang w:eastAsia="zh-CN"/>
        </w:rPr>
        <w:t>待设备安装完成并经调试验收合格</w:t>
      </w:r>
      <w:r>
        <w:rPr>
          <w:rFonts w:hint="eastAsia" w:ascii="宋体" w:hAnsi="宋体" w:cs="宋体"/>
          <w:sz w:val="24"/>
          <w:szCs w:val="24"/>
          <w:highlight w:val="none"/>
          <w:lang w:val="en-US" w:eastAsia="zh-CN"/>
        </w:rPr>
        <w:t>后</w:t>
      </w:r>
      <w:r>
        <w:rPr>
          <w:rFonts w:hint="eastAsia" w:ascii="宋体" w:hAnsi="宋体" w:cs="宋体"/>
          <w:color w:val="auto"/>
          <w:kern w:val="0"/>
          <w:sz w:val="24"/>
          <w:szCs w:val="24"/>
          <w:highlight w:val="none"/>
          <w:lang w:val="en-US" w:eastAsia="zh-CN"/>
        </w:rPr>
        <w:t>7</w:t>
      </w:r>
      <w:r>
        <w:rPr>
          <w:rFonts w:hint="eastAsia" w:ascii="宋体" w:hAnsi="宋体" w:eastAsia="宋体" w:cs="宋体"/>
          <w:sz w:val="24"/>
          <w:szCs w:val="24"/>
          <w:highlight w:val="none"/>
        </w:rPr>
        <w:t>个工作日内</w:t>
      </w:r>
      <w:r>
        <w:rPr>
          <w:rFonts w:hint="eastAsia" w:ascii="宋体" w:hAnsi="宋体" w:eastAsia="宋体" w:cs="宋体"/>
          <w:color w:val="auto"/>
          <w:kern w:val="0"/>
          <w:sz w:val="24"/>
          <w:szCs w:val="24"/>
          <w:highlight w:val="none"/>
          <w:lang w:eastAsia="zh-CN"/>
        </w:rPr>
        <w:t>支付</w:t>
      </w:r>
      <w:r>
        <w:rPr>
          <w:rFonts w:hint="eastAsia" w:ascii="宋体" w:hAnsi="宋体" w:cs="宋体"/>
          <w:color w:val="auto"/>
          <w:kern w:val="0"/>
          <w:sz w:val="24"/>
          <w:szCs w:val="24"/>
          <w:highlight w:val="none"/>
          <w:lang w:val="en-US" w:eastAsia="zh-CN"/>
        </w:rPr>
        <w:t>60%，以上款项需在付款前提供正式的税务发票。</w:t>
      </w:r>
    </w:p>
    <w:p w14:paraId="397D0B73">
      <w:pPr>
        <w:pStyle w:val="51"/>
        <w:keepNext w:val="0"/>
        <w:keepLines w:val="0"/>
        <w:pageBreakBefore w:val="0"/>
        <w:numPr>
          <w:ilvl w:val="0"/>
          <w:numId w:val="0"/>
        </w:numPr>
        <w:kinsoku/>
        <w:wordWrap/>
        <w:overflowPunct/>
        <w:topLinePunct w:val="0"/>
        <w:autoSpaceDE/>
        <w:autoSpaceDN/>
        <w:bidi w:val="0"/>
        <w:spacing w:line="360" w:lineRule="auto"/>
        <w:ind w:leftChars="0"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五</w:t>
      </w:r>
      <w:r>
        <w:rPr>
          <w:rFonts w:hint="eastAsia" w:ascii="宋体" w:hAnsi="宋体" w:eastAsia="宋体" w:cs="宋体"/>
          <w:b/>
          <w:sz w:val="24"/>
          <w:szCs w:val="24"/>
          <w:highlight w:val="none"/>
          <w:lang w:eastAsia="zh-CN"/>
        </w:rPr>
        <w:t>、质量保证及售后服务</w:t>
      </w:r>
    </w:p>
    <w:p w14:paraId="30AA2FE3">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供应商应按招标文件规定的</w:t>
      </w:r>
      <w:r>
        <w:rPr>
          <w:rFonts w:hint="eastAsia" w:ascii="宋体" w:hAnsi="宋体" w:eastAsia="宋体" w:cs="宋体"/>
          <w:color w:val="auto"/>
          <w:kern w:val="0"/>
          <w:sz w:val="24"/>
          <w:szCs w:val="24"/>
          <w:highlight w:val="none"/>
          <w:lang w:eastAsia="zh-CN"/>
        </w:rPr>
        <w:t>设备</w:t>
      </w:r>
      <w:r>
        <w:rPr>
          <w:rFonts w:hint="eastAsia" w:ascii="宋体" w:hAnsi="宋体" w:eastAsia="宋体" w:cs="宋体"/>
          <w:color w:val="auto"/>
          <w:kern w:val="0"/>
          <w:sz w:val="24"/>
          <w:szCs w:val="24"/>
          <w:highlight w:val="none"/>
        </w:rPr>
        <w:t>性能、技术要求、质量标准向采购人提供未经使用的全新</w:t>
      </w:r>
      <w:r>
        <w:rPr>
          <w:rFonts w:hint="eastAsia" w:ascii="宋体" w:hAnsi="宋体" w:eastAsia="宋体" w:cs="宋体"/>
          <w:color w:val="auto"/>
          <w:kern w:val="0"/>
          <w:sz w:val="24"/>
          <w:szCs w:val="24"/>
          <w:highlight w:val="none"/>
          <w:lang w:eastAsia="zh-CN"/>
        </w:rPr>
        <w:t>设备</w:t>
      </w:r>
      <w:r>
        <w:rPr>
          <w:rFonts w:hint="eastAsia" w:ascii="宋体" w:hAnsi="宋体" w:eastAsia="宋体" w:cs="宋体"/>
          <w:color w:val="auto"/>
          <w:kern w:val="0"/>
          <w:sz w:val="24"/>
          <w:szCs w:val="24"/>
          <w:highlight w:val="none"/>
        </w:rPr>
        <w:t>。</w:t>
      </w:r>
    </w:p>
    <w:p w14:paraId="6A058776">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供应商提供的</w:t>
      </w:r>
      <w:r>
        <w:rPr>
          <w:rFonts w:hint="eastAsia" w:ascii="宋体" w:hAnsi="宋体" w:eastAsia="宋体" w:cs="宋体"/>
          <w:color w:val="auto"/>
          <w:kern w:val="0"/>
          <w:sz w:val="24"/>
          <w:szCs w:val="24"/>
          <w:highlight w:val="none"/>
          <w:lang w:eastAsia="zh-CN"/>
        </w:rPr>
        <w:t>设备</w:t>
      </w:r>
      <w:r>
        <w:rPr>
          <w:rFonts w:hint="eastAsia" w:ascii="宋体" w:hAnsi="宋体" w:eastAsia="宋体" w:cs="宋体"/>
          <w:color w:val="auto"/>
          <w:kern w:val="0"/>
          <w:sz w:val="24"/>
          <w:szCs w:val="24"/>
          <w:highlight w:val="none"/>
        </w:rPr>
        <w:t>在质保期内因货物本身的质量问题发生故障，供应商应负责更换。对达不到技术要求者，根据实际情况，经双方协商，可按以下办法处理：</w:t>
      </w:r>
    </w:p>
    <w:p w14:paraId="53941302">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（1）更换：由供应商承担所发生的全部费用。</w:t>
      </w:r>
    </w:p>
    <w:p w14:paraId="7E076455">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（2）贬值处理：由双方合议定价。</w:t>
      </w:r>
    </w:p>
    <w:p w14:paraId="27F54755">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（3）退货处理：供应商应退还采购人支付的合同款，同时应承担该货物的直接费用（运输、保险、检验、货款利息及银行手续费等）。</w:t>
      </w:r>
    </w:p>
    <w:p w14:paraId="112F7835">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提供产品保修卡，并按厂家产品规定保修期限及内容以及供应商的其它承诺条款实行保修，出现故障后1小时内服务响应、</w:t>
      </w:r>
      <w:r>
        <w:rPr>
          <w:rFonts w:hint="eastAsia" w:ascii="宋体" w:hAnsi="宋体" w:eastAsia="宋体" w:cs="宋体"/>
          <w:color w:val="auto"/>
          <w:kern w:val="0"/>
          <w:sz w:val="24"/>
          <w:szCs w:val="24"/>
          <w:highlight w:val="none"/>
          <w:lang w:val="en-US"/>
        </w:rPr>
        <w:t>8</w:t>
      </w:r>
      <w:r>
        <w:rPr>
          <w:rFonts w:hint="eastAsia" w:ascii="宋体" w:hAnsi="宋体" w:eastAsia="宋体" w:cs="宋体"/>
          <w:color w:val="auto"/>
          <w:kern w:val="0"/>
          <w:sz w:val="24"/>
          <w:szCs w:val="24"/>
          <w:highlight w:val="none"/>
        </w:rPr>
        <w:t>小时内现场服务到位、24小时内解决问题，不能解决的提供相应功能产品进行临时替换。</w:t>
      </w:r>
    </w:p>
    <w:p w14:paraId="77D53941">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在质保期内，供应商应对货物出现的质量及安全问题负责处理解决并承担一切费用。</w:t>
      </w:r>
    </w:p>
    <w:p w14:paraId="5606AAC3">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eastAsia="zh-CN"/>
        </w:rPr>
        <w:t>机器</w:t>
      </w:r>
      <w:r>
        <w:rPr>
          <w:rFonts w:hint="eastAsia" w:ascii="宋体" w:hAnsi="宋体" w:eastAsia="宋体" w:cs="宋体"/>
          <w:color w:val="auto"/>
          <w:kern w:val="0"/>
          <w:sz w:val="24"/>
          <w:szCs w:val="24"/>
          <w:highlight w:val="none"/>
        </w:rPr>
        <w:t>在保质期内如遇频繁的质量问题，供应商应当予以全新更换或全面检修，并延长相应的保修期。</w:t>
      </w:r>
    </w:p>
    <w:p w14:paraId="3874A46E">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b/>
          <w:bCs/>
          <w:color w:val="auto"/>
          <w:kern w:val="0"/>
          <w:sz w:val="24"/>
          <w:szCs w:val="24"/>
          <w:highlight w:val="none"/>
          <w:u w:val="single"/>
        </w:rPr>
        <w:t>设备质保及维护期不少于</w:t>
      </w:r>
      <w:r>
        <w:rPr>
          <w:rFonts w:hint="eastAsia" w:ascii="宋体" w:hAnsi="宋体" w:cs="宋体"/>
          <w:b/>
          <w:bCs/>
          <w:color w:val="auto"/>
          <w:kern w:val="0"/>
          <w:sz w:val="24"/>
          <w:szCs w:val="24"/>
          <w:highlight w:val="none"/>
          <w:u w:val="single"/>
          <w:lang w:val="en-US" w:eastAsia="zh-CN"/>
        </w:rPr>
        <w:t>5</w:t>
      </w:r>
      <w:r>
        <w:rPr>
          <w:rFonts w:hint="eastAsia" w:ascii="宋体" w:hAnsi="宋体" w:eastAsia="宋体" w:cs="宋体"/>
          <w:b/>
          <w:bCs/>
          <w:color w:val="auto"/>
          <w:kern w:val="0"/>
          <w:sz w:val="24"/>
          <w:szCs w:val="24"/>
          <w:highlight w:val="none"/>
          <w:u w:val="single"/>
        </w:rPr>
        <w:t>年</w:t>
      </w:r>
      <w:r>
        <w:rPr>
          <w:rFonts w:hint="eastAsia" w:ascii="宋体" w:hAnsi="宋体" w:eastAsia="宋体" w:cs="宋体"/>
          <w:color w:val="auto"/>
          <w:kern w:val="0"/>
          <w:sz w:val="24"/>
          <w:szCs w:val="24"/>
          <w:highlight w:val="none"/>
        </w:rPr>
        <w:t>，自竣工验收合格之日起计算，质保维护期内中标人为招标人提供项目免费咨询、日常维护、保养、维修及零配件更换。质保维护期满后，中标人须提供长期维修服务，收取维修成本费，零配件不高于中标时零配件的投标价格。在质保期内非人为破坏因素引起的维修、保养均由中标人承担，合同内的所有产品要求提供上门服务（招标文件另有规定除外）。</w:t>
      </w:r>
    </w:p>
    <w:p w14:paraId="1208A01D">
      <w:pPr>
        <w:snapToGrid w:val="0"/>
        <w:spacing w:line="360" w:lineRule="auto"/>
        <w:ind w:firstLine="51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中标人提供纸质和电子版中文操作手册、</w:t>
      </w:r>
      <w:r>
        <w:rPr>
          <w:rFonts w:hint="eastAsia" w:ascii="宋体" w:hAnsi="宋体" w:eastAsia="宋体" w:cs="宋体"/>
          <w:color w:val="auto"/>
          <w:kern w:val="0"/>
          <w:sz w:val="24"/>
          <w:szCs w:val="24"/>
          <w:highlight w:val="none"/>
          <w:lang w:val="en-US" w:eastAsia="zh-CN"/>
        </w:rPr>
        <w:t>安装手册、维护手册、</w:t>
      </w:r>
      <w:r>
        <w:rPr>
          <w:rFonts w:hint="eastAsia" w:ascii="宋体" w:hAnsi="宋体" w:eastAsia="宋体" w:cs="宋体"/>
          <w:color w:val="auto"/>
          <w:kern w:val="0"/>
          <w:sz w:val="24"/>
          <w:szCs w:val="24"/>
          <w:highlight w:val="none"/>
        </w:rPr>
        <w:t>维修手册二套。随机工具1套</w:t>
      </w:r>
      <w:r>
        <w:rPr>
          <w:rFonts w:hint="eastAsia" w:ascii="宋体" w:hAnsi="宋体" w:eastAsia="宋体" w:cs="宋体"/>
          <w:color w:val="auto"/>
          <w:kern w:val="0"/>
          <w:sz w:val="24"/>
          <w:szCs w:val="24"/>
          <w:highlight w:val="none"/>
          <w:lang w:eastAsia="zh-CN"/>
        </w:rPr>
        <w:t>。</w:t>
      </w:r>
    </w:p>
    <w:p w14:paraId="39DB2E81">
      <w:pPr>
        <w:pStyle w:val="51"/>
        <w:keepNext w:val="0"/>
        <w:keepLines w:val="0"/>
        <w:pageBreakBefore w:val="0"/>
        <w:numPr>
          <w:ilvl w:val="0"/>
          <w:numId w:val="0"/>
        </w:numPr>
        <w:kinsoku/>
        <w:wordWrap/>
        <w:overflowPunct/>
        <w:topLinePunct w:val="0"/>
        <w:autoSpaceDE/>
        <w:autoSpaceDN/>
        <w:bidi w:val="0"/>
        <w:spacing w:line="360" w:lineRule="auto"/>
        <w:ind w:leftChars="0"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六</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lang w:val="en-US" w:eastAsia="zh-CN"/>
        </w:rPr>
        <w:t>安装、调试、</w:t>
      </w:r>
      <w:r>
        <w:rPr>
          <w:rFonts w:hint="eastAsia" w:ascii="宋体" w:hAnsi="宋体" w:eastAsia="宋体" w:cs="宋体"/>
          <w:b/>
          <w:sz w:val="24"/>
          <w:szCs w:val="24"/>
          <w:highlight w:val="none"/>
          <w:lang w:eastAsia="zh-CN"/>
        </w:rPr>
        <w:t xml:space="preserve">验收 </w:t>
      </w:r>
    </w:p>
    <w:p w14:paraId="1CE357D7">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采购人对供应商提交的货物依据招标文件上的技术规格要求和国家有关质量标准进行现场初步验收，外观、说明书符合招标文件技术要求的，给予签收，初步验收不合格的不予签收。</w:t>
      </w:r>
    </w:p>
    <w:p w14:paraId="755791FF">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供应商交货前应对产品做出全面检查和对验收文件进行整理，并列出清单，作为采购人收货验收和使用的技术条件依据，检验的结果应随货物交采购人。</w:t>
      </w:r>
    </w:p>
    <w:p w14:paraId="7E636E65">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采购人对供应商提供的货物在使用前进行调试时，供应商需负责安装并培训采购人的使用操作人员，并协助采购人一起调试，直到符合技术要求，采购人才做最终验收。</w:t>
      </w:r>
    </w:p>
    <w:p w14:paraId="2B06B308">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验收中发现设备达不到验收标准或合同的规定，供应商必须更换有关部件，使设备最终达到规定的性能指标和功能要求，并且赔偿由此给用户造成的损失。</w:t>
      </w:r>
    </w:p>
    <w:p w14:paraId="668C083D">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本项目完工后，由采购人</w:t>
      </w:r>
      <w:r>
        <w:rPr>
          <w:rFonts w:hint="eastAsia" w:ascii="宋体" w:hAnsi="宋体" w:eastAsia="宋体" w:cs="宋体"/>
          <w:color w:val="auto"/>
          <w:kern w:val="0"/>
          <w:sz w:val="24"/>
          <w:szCs w:val="24"/>
          <w:highlight w:val="none"/>
          <w:lang w:val="en-US" w:eastAsia="zh-CN"/>
        </w:rPr>
        <w:t>组织初</w:t>
      </w:r>
      <w:r>
        <w:rPr>
          <w:rFonts w:hint="eastAsia" w:ascii="宋体" w:hAnsi="宋体" w:eastAsia="宋体" w:cs="宋体"/>
          <w:color w:val="auto"/>
          <w:kern w:val="0"/>
          <w:sz w:val="24"/>
          <w:szCs w:val="24"/>
          <w:highlight w:val="none"/>
        </w:rPr>
        <w:t>步验收及最终验收。</w:t>
      </w:r>
    </w:p>
    <w:p w14:paraId="76F4D827">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验收标准：与产品原始技术数据表及投标书技术规格一致，并符合国家有关技术规范和技术标准。</w:t>
      </w:r>
    </w:p>
    <w:p w14:paraId="2764EA76">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验收时供应商必须在现场，验收完毕后作出验收结果报告，验收费用由供应商承担。</w:t>
      </w:r>
    </w:p>
    <w:p w14:paraId="5D920215">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验收交付前供应商应承担工程照管、成品保护、保管等工作并承担有关的各项费用。</w:t>
      </w:r>
    </w:p>
    <w:p w14:paraId="0C42F9E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sz w:val="24"/>
          <w:szCs w:val="24"/>
          <w:highlight w:val="none"/>
          <w:lang w:val="en-US" w:eastAsia="zh-CN"/>
        </w:rPr>
        <w:t>七</w:t>
      </w:r>
      <w:r>
        <w:rPr>
          <w:rFonts w:hint="eastAsia" w:ascii="宋体" w:hAnsi="宋体" w:eastAsia="宋体" w:cs="宋体"/>
          <w:b/>
          <w:sz w:val="24"/>
          <w:szCs w:val="24"/>
          <w:highlight w:val="none"/>
          <w:lang w:eastAsia="zh-CN"/>
        </w:rPr>
        <w:t>、</w:t>
      </w:r>
      <w:r>
        <w:rPr>
          <w:rFonts w:hint="eastAsia" w:ascii="宋体" w:hAnsi="宋体" w:eastAsia="宋体" w:cs="宋体"/>
          <w:b/>
          <w:bCs/>
          <w:color w:val="auto"/>
          <w:kern w:val="0"/>
          <w:sz w:val="24"/>
          <w:szCs w:val="24"/>
          <w:highlight w:val="none"/>
          <w:lang w:val="en-US" w:eastAsia="zh-CN" w:bidi="ar"/>
        </w:rPr>
        <w:t>其他</w:t>
      </w:r>
    </w:p>
    <w:p w14:paraId="09DA7C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1.本次响应报价</w:t>
      </w:r>
      <w:r>
        <w:rPr>
          <w:rFonts w:hint="eastAsia" w:ascii="宋体" w:hAnsi="宋体" w:eastAsia="宋体" w:cs="宋体"/>
          <w:color w:val="auto"/>
          <w:sz w:val="24"/>
          <w:szCs w:val="24"/>
          <w:highlight w:val="none"/>
        </w:rPr>
        <w:t>包括</w:t>
      </w:r>
      <w:r>
        <w:rPr>
          <w:rFonts w:hint="eastAsia" w:ascii="宋体" w:hAnsi="宋体" w:eastAsia="宋体" w:cs="宋体"/>
          <w:i w:val="0"/>
          <w:iCs w:val="0"/>
          <w:color w:val="auto"/>
          <w:sz w:val="24"/>
          <w:highlight w:val="none"/>
        </w:rPr>
        <w:t>产品、产品标准配件、备品备件、专用工具、包装、工时、运输、装卸、保险、税金、设备保护、安装、调试与试运行、培训、保修、售后服务费、工程配套费、</w:t>
      </w:r>
      <w:r>
        <w:rPr>
          <w:rFonts w:hint="eastAsia" w:ascii="宋体" w:hAnsi="宋体" w:eastAsia="宋体" w:cs="宋体"/>
          <w:i w:val="0"/>
          <w:iCs w:val="0"/>
          <w:color w:val="auto"/>
          <w:sz w:val="24"/>
          <w:highlight w:val="none"/>
          <w:lang w:val="en-US" w:eastAsia="zh-CN"/>
        </w:rPr>
        <w:t>代理服务费</w:t>
      </w:r>
      <w:r>
        <w:rPr>
          <w:rFonts w:hint="eastAsia" w:ascii="宋体" w:hAnsi="宋体" w:eastAsia="宋体" w:cs="宋体"/>
          <w:i w:val="0"/>
          <w:iCs w:val="0"/>
          <w:color w:val="auto"/>
          <w:sz w:val="24"/>
          <w:highlight w:val="none"/>
        </w:rPr>
        <w:t>以及实施本项目所需的其他一切费用</w:t>
      </w:r>
    </w:p>
    <w:p w14:paraId="77124E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2.安全第一，必须做到安全生产。在工作过程中，发生任何安全事故纠纷，均由供应商自行处理并承担全部后果。</w:t>
      </w:r>
    </w:p>
    <w:p w14:paraId="4898334E">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所投设备及设备安装、调试须符合设计要求、相关的技术规范，所需费用计入投标总价。</w:t>
      </w:r>
    </w:p>
    <w:p w14:paraId="15D622CF">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供应商在投标文件中应明确所选用设备的品牌、厂家以及质量等级。投标设备应为原厂全新产品，谢绝翻新产品参与投标。</w:t>
      </w:r>
    </w:p>
    <w:p w14:paraId="53A415BE">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安装现场的情况请供应商自行到工地现场进行现场踏勘。</w:t>
      </w:r>
    </w:p>
    <w:p w14:paraId="3B4F5FF3">
      <w:pPr>
        <w:snapToGrid w:val="0"/>
        <w:spacing w:line="360" w:lineRule="auto"/>
        <w:ind w:firstLine="51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6.设备的电缆线由采购人负责到配电箱，水管接至入水口，余下由供应商接入设备，包含设备正常运行所需的一切设备材料安装等事宜，其费用包含在总报价中，采购人不另行计费</w:t>
      </w:r>
      <w:r>
        <w:rPr>
          <w:rFonts w:hint="eastAsia" w:ascii="宋体" w:hAnsi="宋体" w:eastAsia="宋体" w:cs="宋体"/>
          <w:color w:val="auto"/>
          <w:kern w:val="0"/>
          <w:sz w:val="24"/>
          <w:szCs w:val="24"/>
          <w:highlight w:val="none"/>
        </w:rPr>
        <w:t>。</w:t>
      </w:r>
    </w:p>
    <w:p w14:paraId="4EE89D10">
      <w:pPr>
        <w:pStyle w:val="22"/>
        <w:snapToGrid w:val="0"/>
        <w:spacing w:line="360" w:lineRule="auto"/>
        <w:jc w:val="both"/>
        <w:rPr>
          <w:rFonts w:hint="default"/>
          <w:highlight w:val="none"/>
          <w:lang w:val="en-US" w:eastAsia="zh-CN"/>
        </w:rPr>
      </w:pPr>
      <w:r>
        <w:rPr>
          <w:rFonts w:hint="eastAsia"/>
          <w:b/>
          <w:bCs/>
          <w:highlight w:val="none"/>
          <w:lang w:val="en-US" w:eastAsia="zh-CN"/>
        </w:rPr>
        <w:t>八</w:t>
      </w:r>
      <w:r>
        <w:rPr>
          <w:rFonts w:hint="eastAsia"/>
          <w:b/>
          <w:bCs/>
          <w:highlight w:val="none"/>
        </w:rPr>
        <w:t>、</w:t>
      </w:r>
      <w:r>
        <w:rPr>
          <w:rFonts w:hint="eastAsia"/>
          <w:b/>
          <w:bCs/>
          <w:highlight w:val="none"/>
          <w:lang w:val="en-US" w:eastAsia="zh-CN"/>
        </w:rPr>
        <w:t>样品</w:t>
      </w:r>
    </w:p>
    <w:bookmarkEnd w:id="73"/>
    <w:bookmarkEnd w:id="74"/>
    <w:bookmarkEnd w:id="75"/>
    <w:p w14:paraId="0EB272FE">
      <w:pPr>
        <w:pStyle w:val="23"/>
        <w:wordWrap w:val="0"/>
        <w:spacing w:after="240"/>
        <w:ind w:firstLine="480" w:firstLineChars="200"/>
        <w:jc w:val="left"/>
        <w:outlineLvl w:val="9"/>
        <w:rPr>
          <w:rFonts w:hint="eastAsia" w:ascii="宋体" w:hAnsi="宋体" w:eastAsia="宋体" w:cs="宋体"/>
          <w:sz w:val="30"/>
          <w:szCs w:val="30"/>
          <w:highlight w:val="none"/>
        </w:rPr>
      </w:pPr>
      <w:r>
        <w:rPr>
          <w:rFonts w:hint="eastAsia" w:ascii="宋体" w:hAnsi="宋体" w:eastAsia="宋体" w:cs="宋体"/>
          <w:b w:val="0"/>
          <w:bCs w:val="0"/>
          <w:sz w:val="24"/>
          <w:szCs w:val="24"/>
          <w:highlight w:val="none"/>
        </w:rPr>
        <w:t xml:space="preserve">本项目 </w:t>
      </w:r>
      <w:r>
        <w:rPr>
          <w:rFonts w:hint="eastAsia" w:ascii="宋体" w:hAnsi="宋体" w:eastAsia="宋体" w:cs="宋体"/>
          <w:b w:val="0"/>
          <w:bCs w:val="0"/>
          <w:sz w:val="24"/>
          <w:szCs w:val="24"/>
          <w:highlight w:val="none"/>
        </w:rPr>
        <w:sym w:font="Wingdings 2" w:char="0052"/>
      </w:r>
      <w:r>
        <w:rPr>
          <w:rFonts w:hint="eastAsia" w:ascii="宋体" w:hAnsi="宋体" w:eastAsia="宋体" w:cs="宋体"/>
          <w:b w:val="0"/>
          <w:bCs w:val="0"/>
          <w:sz w:val="24"/>
          <w:szCs w:val="24"/>
          <w:highlight w:val="none"/>
        </w:rPr>
        <w:t>是  □否要求提供样品</w:t>
      </w:r>
    </w:p>
    <w:p w14:paraId="6EEE3A83">
      <w:pPr>
        <w:wordWrap w:val="0"/>
        <w:ind w:firstLine="240" w:firstLineChars="100"/>
        <w:rPr>
          <w:rFonts w:hint="eastAsia" w:ascii="宋体" w:hAnsi="宋体" w:eastAsia="宋体" w:cs="宋体"/>
          <w:sz w:val="24"/>
          <w:highlight w:val="none"/>
        </w:rPr>
      </w:pPr>
      <w:r>
        <w:rPr>
          <w:rFonts w:hint="eastAsia" w:ascii="宋体" w:hAnsi="宋体" w:eastAsia="宋体" w:cs="宋体"/>
          <w:sz w:val="24"/>
          <w:highlight w:val="none"/>
        </w:rPr>
        <w:t>（1）投标样品（见下表）：</w:t>
      </w:r>
    </w:p>
    <w:tbl>
      <w:tblPr>
        <w:tblStyle w:val="24"/>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4"/>
        <w:gridCol w:w="1913"/>
        <w:gridCol w:w="707"/>
        <w:gridCol w:w="850"/>
        <w:gridCol w:w="1701"/>
        <w:gridCol w:w="3340"/>
      </w:tblGrid>
      <w:tr w14:paraId="7D22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724" w:type="dxa"/>
            <w:noWrap w:val="0"/>
            <w:tcMar>
              <w:top w:w="15" w:type="dxa"/>
              <w:left w:w="15" w:type="dxa"/>
              <w:right w:w="15" w:type="dxa"/>
            </w:tcMar>
            <w:vAlign w:val="center"/>
          </w:tcPr>
          <w:p w14:paraId="1B0E0A83">
            <w:pPr>
              <w:wordWrap w:val="0"/>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1913" w:type="dxa"/>
            <w:noWrap w:val="0"/>
            <w:tcMar>
              <w:top w:w="15" w:type="dxa"/>
              <w:left w:w="15" w:type="dxa"/>
              <w:right w:w="15" w:type="dxa"/>
            </w:tcMar>
            <w:vAlign w:val="center"/>
          </w:tcPr>
          <w:p w14:paraId="6FC13FD6">
            <w:pPr>
              <w:wordWrap w:val="0"/>
              <w:jc w:val="center"/>
              <w:rPr>
                <w:rFonts w:hint="eastAsia" w:ascii="宋体" w:hAnsi="宋体" w:eastAsia="宋体" w:cs="宋体"/>
                <w:b/>
                <w:bCs/>
                <w:sz w:val="24"/>
                <w:highlight w:val="none"/>
              </w:rPr>
            </w:pPr>
            <w:r>
              <w:rPr>
                <w:rFonts w:hint="eastAsia" w:ascii="宋体" w:hAnsi="宋体" w:eastAsia="宋体" w:cs="宋体"/>
                <w:b/>
                <w:bCs/>
                <w:sz w:val="24"/>
                <w:highlight w:val="none"/>
              </w:rPr>
              <w:t>名称</w:t>
            </w:r>
          </w:p>
        </w:tc>
        <w:tc>
          <w:tcPr>
            <w:tcW w:w="707" w:type="dxa"/>
            <w:noWrap w:val="0"/>
            <w:tcMar>
              <w:top w:w="15" w:type="dxa"/>
              <w:left w:w="15" w:type="dxa"/>
              <w:right w:w="15" w:type="dxa"/>
            </w:tcMar>
            <w:vAlign w:val="center"/>
          </w:tcPr>
          <w:p w14:paraId="45F5117B">
            <w:pPr>
              <w:wordWrap w:val="0"/>
              <w:jc w:val="center"/>
              <w:rPr>
                <w:rFonts w:hint="eastAsia" w:ascii="宋体" w:hAnsi="宋体" w:eastAsia="宋体" w:cs="宋体"/>
                <w:b/>
                <w:bCs/>
                <w:sz w:val="24"/>
                <w:highlight w:val="none"/>
              </w:rPr>
            </w:pPr>
            <w:r>
              <w:rPr>
                <w:rFonts w:hint="eastAsia" w:ascii="宋体" w:hAnsi="宋体" w:eastAsia="宋体" w:cs="宋体"/>
                <w:b/>
                <w:bCs/>
                <w:sz w:val="24"/>
                <w:highlight w:val="none"/>
              </w:rPr>
              <w:t>数量</w:t>
            </w:r>
          </w:p>
        </w:tc>
        <w:tc>
          <w:tcPr>
            <w:tcW w:w="850" w:type="dxa"/>
            <w:noWrap w:val="0"/>
            <w:tcMar>
              <w:top w:w="15" w:type="dxa"/>
              <w:left w:w="15" w:type="dxa"/>
              <w:right w:w="15" w:type="dxa"/>
            </w:tcMar>
            <w:vAlign w:val="center"/>
          </w:tcPr>
          <w:p w14:paraId="722FD318">
            <w:pPr>
              <w:wordWrap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单位</w:t>
            </w:r>
          </w:p>
        </w:tc>
        <w:tc>
          <w:tcPr>
            <w:tcW w:w="1701" w:type="dxa"/>
            <w:noWrap w:val="0"/>
            <w:tcMar>
              <w:top w:w="15" w:type="dxa"/>
              <w:left w:w="15" w:type="dxa"/>
              <w:right w:w="15" w:type="dxa"/>
            </w:tcMar>
            <w:vAlign w:val="center"/>
          </w:tcPr>
          <w:p w14:paraId="445ED1F4">
            <w:pPr>
              <w:wordWrap w:val="0"/>
              <w:jc w:val="center"/>
              <w:rPr>
                <w:rFonts w:hint="eastAsia" w:ascii="宋体" w:hAnsi="宋体" w:eastAsia="宋体" w:cs="宋体"/>
                <w:b/>
                <w:bCs/>
                <w:sz w:val="24"/>
                <w:highlight w:val="none"/>
              </w:rPr>
            </w:pPr>
            <w:r>
              <w:rPr>
                <w:rFonts w:hint="eastAsia" w:ascii="宋体" w:hAnsi="宋体" w:eastAsia="宋体" w:cs="宋体"/>
                <w:b/>
                <w:bCs/>
                <w:sz w:val="24"/>
                <w:highlight w:val="none"/>
              </w:rPr>
              <w:t>对应清单序号</w:t>
            </w:r>
          </w:p>
        </w:tc>
        <w:tc>
          <w:tcPr>
            <w:tcW w:w="3340" w:type="dxa"/>
            <w:noWrap w:val="0"/>
            <w:vAlign w:val="center"/>
          </w:tcPr>
          <w:p w14:paraId="70BFE2EB">
            <w:pPr>
              <w:wordWrap w:val="0"/>
              <w:jc w:val="center"/>
              <w:rPr>
                <w:rFonts w:hint="eastAsia" w:ascii="宋体" w:hAnsi="宋体" w:eastAsia="宋体" w:cs="宋体"/>
                <w:b/>
                <w:bCs/>
                <w:sz w:val="24"/>
                <w:highlight w:val="none"/>
              </w:rPr>
            </w:pPr>
            <w:r>
              <w:rPr>
                <w:rFonts w:hint="eastAsia" w:ascii="宋体" w:hAnsi="宋体" w:eastAsia="宋体" w:cs="宋体"/>
                <w:b/>
                <w:bCs/>
                <w:sz w:val="24"/>
                <w:highlight w:val="none"/>
              </w:rPr>
              <w:t>备注</w:t>
            </w:r>
          </w:p>
        </w:tc>
      </w:tr>
      <w:tr w14:paraId="3CD8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724" w:type="dxa"/>
            <w:noWrap w:val="0"/>
            <w:tcMar>
              <w:top w:w="15" w:type="dxa"/>
              <w:left w:w="15" w:type="dxa"/>
              <w:right w:w="15" w:type="dxa"/>
            </w:tcMar>
            <w:vAlign w:val="center"/>
          </w:tcPr>
          <w:p w14:paraId="487FBB61">
            <w:pPr>
              <w:tabs>
                <w:tab w:val="left" w:pos="0"/>
              </w:tabs>
              <w:wordWrap w:val="0"/>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1913" w:type="dxa"/>
            <w:noWrap w:val="0"/>
            <w:tcMar>
              <w:top w:w="15" w:type="dxa"/>
              <w:left w:w="15" w:type="dxa"/>
              <w:right w:w="15" w:type="dxa"/>
            </w:tcMar>
            <w:vAlign w:val="center"/>
          </w:tcPr>
          <w:p w14:paraId="02DE687C">
            <w:pPr>
              <w:wordWrap w:val="0"/>
              <w:jc w:val="center"/>
              <w:rPr>
                <w:rFonts w:hint="eastAsia" w:ascii="宋体" w:hAnsi="宋体" w:eastAsia="宋体" w:cs="宋体"/>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电磁三门蒸柜</w:t>
            </w:r>
          </w:p>
        </w:tc>
        <w:tc>
          <w:tcPr>
            <w:tcW w:w="707" w:type="dxa"/>
            <w:noWrap w:val="0"/>
            <w:tcMar>
              <w:top w:w="15" w:type="dxa"/>
              <w:left w:w="15" w:type="dxa"/>
              <w:right w:w="15" w:type="dxa"/>
            </w:tcMar>
            <w:vAlign w:val="center"/>
          </w:tcPr>
          <w:p w14:paraId="53D5531B">
            <w:pPr>
              <w:wordWrap w:val="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850" w:type="dxa"/>
            <w:noWrap w:val="0"/>
            <w:tcMar>
              <w:top w:w="15" w:type="dxa"/>
              <w:left w:w="15" w:type="dxa"/>
              <w:right w:w="15" w:type="dxa"/>
            </w:tcMar>
            <w:vAlign w:val="center"/>
          </w:tcPr>
          <w:p w14:paraId="49CA1464">
            <w:pPr>
              <w:wordWrap w:val="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台</w:t>
            </w:r>
          </w:p>
        </w:tc>
        <w:tc>
          <w:tcPr>
            <w:tcW w:w="1701" w:type="dxa"/>
            <w:noWrap w:val="0"/>
            <w:tcMar>
              <w:top w:w="15" w:type="dxa"/>
              <w:left w:w="15" w:type="dxa"/>
              <w:right w:w="15" w:type="dxa"/>
            </w:tcMar>
            <w:vAlign w:val="center"/>
          </w:tcPr>
          <w:p w14:paraId="18684798">
            <w:pPr>
              <w:wordWrap w:val="0"/>
              <w:jc w:val="center"/>
              <w:rPr>
                <w:rFonts w:hint="default" w:ascii="宋体" w:hAnsi="宋体" w:eastAsia="宋体" w:cs="宋体"/>
                <w:sz w:val="24"/>
                <w:highlight w:val="none"/>
                <w:lang w:val="en-US" w:eastAsia="zh-CN"/>
              </w:rPr>
            </w:pPr>
            <w:r>
              <w:rPr>
                <w:rFonts w:hint="eastAsia" w:ascii="宋体" w:hAnsi="宋体" w:eastAsia="宋体" w:cs="宋体"/>
                <w:b/>
                <w:bCs/>
                <w:i w:val="0"/>
                <w:iCs w:val="0"/>
                <w:color w:val="000000"/>
                <w:kern w:val="0"/>
                <w:sz w:val="22"/>
                <w:szCs w:val="22"/>
                <w:highlight w:val="none"/>
                <w:u w:val="none"/>
                <w:lang w:val="en-US" w:eastAsia="zh-CN" w:bidi="ar"/>
              </w:rPr>
              <w:t>售菜区</w:t>
            </w:r>
            <w:r>
              <w:rPr>
                <w:rFonts w:hint="eastAsia" w:ascii="宋体" w:hAnsi="宋体" w:cs="宋体"/>
                <w:b/>
                <w:bCs/>
                <w:i w:val="0"/>
                <w:iCs w:val="0"/>
                <w:color w:val="000000"/>
                <w:kern w:val="0"/>
                <w:sz w:val="22"/>
                <w:szCs w:val="22"/>
                <w:highlight w:val="none"/>
                <w:u w:val="none"/>
                <w:lang w:val="en-US" w:eastAsia="zh-CN" w:bidi="ar"/>
              </w:rPr>
              <w:t>序号6</w:t>
            </w:r>
          </w:p>
        </w:tc>
        <w:tc>
          <w:tcPr>
            <w:tcW w:w="3340" w:type="dxa"/>
            <w:noWrap w:val="0"/>
            <w:vAlign w:val="center"/>
          </w:tcPr>
          <w:p w14:paraId="2E38BBFA">
            <w:pPr>
              <w:widowControl/>
              <w:wordWrap w:val="0"/>
              <w:jc w:val="center"/>
              <w:textAlignment w:val="center"/>
              <w:rPr>
                <w:rFonts w:hint="eastAsia" w:ascii="宋体" w:hAnsi="宋体" w:eastAsia="宋体" w:cs="宋体"/>
                <w:sz w:val="24"/>
                <w:highlight w:val="none"/>
              </w:rPr>
            </w:pPr>
          </w:p>
        </w:tc>
      </w:tr>
      <w:tr w14:paraId="3BEA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24" w:type="dxa"/>
            <w:noWrap w:val="0"/>
            <w:tcMar>
              <w:top w:w="15" w:type="dxa"/>
              <w:left w:w="15" w:type="dxa"/>
              <w:right w:w="15" w:type="dxa"/>
            </w:tcMar>
            <w:vAlign w:val="center"/>
          </w:tcPr>
          <w:p w14:paraId="7FF8A74A">
            <w:pPr>
              <w:tabs>
                <w:tab w:val="left" w:pos="0"/>
              </w:tabs>
              <w:wordWrap w:val="0"/>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1913" w:type="dxa"/>
            <w:noWrap w:val="0"/>
            <w:tcMar>
              <w:top w:w="15" w:type="dxa"/>
              <w:left w:w="15" w:type="dxa"/>
              <w:right w:w="15" w:type="dxa"/>
            </w:tcMar>
            <w:vAlign w:val="center"/>
          </w:tcPr>
          <w:p w14:paraId="3BCE470E">
            <w:pPr>
              <w:pStyle w:val="10"/>
              <w:tabs>
                <w:tab w:val="left" w:pos="208"/>
              </w:tabs>
              <w:wordWrap w:val="0"/>
              <w:spacing w:after="0"/>
              <w:jc w:val="center"/>
              <w:rPr>
                <w:rFonts w:hint="eastAsia" w:ascii="宋体" w:hAnsi="宋体" w:eastAsia="宋体" w:cs="宋体"/>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电磁双头大锅灶</w:t>
            </w:r>
          </w:p>
        </w:tc>
        <w:tc>
          <w:tcPr>
            <w:tcW w:w="707" w:type="dxa"/>
            <w:noWrap w:val="0"/>
            <w:tcMar>
              <w:top w:w="15" w:type="dxa"/>
              <w:left w:w="15" w:type="dxa"/>
              <w:right w:w="15" w:type="dxa"/>
            </w:tcMar>
            <w:vAlign w:val="center"/>
          </w:tcPr>
          <w:p w14:paraId="69925959">
            <w:pPr>
              <w:wordWrap w:val="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850" w:type="dxa"/>
            <w:noWrap w:val="0"/>
            <w:tcMar>
              <w:top w:w="15" w:type="dxa"/>
              <w:left w:w="15" w:type="dxa"/>
              <w:right w:w="15" w:type="dxa"/>
            </w:tcMar>
            <w:vAlign w:val="center"/>
          </w:tcPr>
          <w:p w14:paraId="6BF00ED3">
            <w:pPr>
              <w:wordWrap w:val="0"/>
              <w:jc w:val="center"/>
              <w:rPr>
                <w:rFonts w:hint="eastAsia" w:ascii="宋体" w:hAnsi="宋体" w:eastAsia="宋体" w:cs="宋体"/>
                <w:sz w:val="24"/>
                <w:highlight w:val="none"/>
              </w:rPr>
            </w:pPr>
            <w:r>
              <w:rPr>
                <w:rFonts w:hint="eastAsia" w:ascii="宋体" w:hAnsi="宋体" w:cs="宋体"/>
                <w:sz w:val="24"/>
                <w:highlight w:val="none"/>
                <w:lang w:val="en-US" w:eastAsia="zh-CN"/>
              </w:rPr>
              <w:t>台</w:t>
            </w:r>
          </w:p>
        </w:tc>
        <w:tc>
          <w:tcPr>
            <w:tcW w:w="1701" w:type="dxa"/>
            <w:noWrap w:val="0"/>
            <w:tcMar>
              <w:top w:w="15" w:type="dxa"/>
              <w:left w:w="15" w:type="dxa"/>
              <w:right w:w="15" w:type="dxa"/>
            </w:tcMar>
            <w:vAlign w:val="center"/>
          </w:tcPr>
          <w:p w14:paraId="4838791B">
            <w:pPr>
              <w:wordWrap w:val="0"/>
              <w:jc w:val="center"/>
              <w:rPr>
                <w:rFonts w:hint="default" w:ascii="宋体" w:hAnsi="宋体" w:eastAsia="宋体" w:cs="宋体"/>
                <w:sz w:val="24"/>
                <w:highlight w:val="none"/>
                <w:lang w:val="en-US" w:eastAsia="zh-CN"/>
              </w:rPr>
            </w:pPr>
            <w:r>
              <w:rPr>
                <w:rFonts w:hint="eastAsia" w:ascii="宋体" w:hAnsi="宋体" w:eastAsia="宋体" w:cs="宋体"/>
                <w:b/>
                <w:bCs/>
                <w:i w:val="0"/>
                <w:iCs w:val="0"/>
                <w:color w:val="000000"/>
                <w:kern w:val="0"/>
                <w:sz w:val="22"/>
                <w:szCs w:val="22"/>
                <w:highlight w:val="none"/>
                <w:u w:val="none"/>
                <w:lang w:val="en-US" w:eastAsia="zh-CN" w:bidi="ar"/>
              </w:rPr>
              <w:t>热加工间</w:t>
            </w:r>
            <w:r>
              <w:rPr>
                <w:rFonts w:hint="eastAsia" w:ascii="宋体" w:hAnsi="宋体" w:cs="宋体"/>
                <w:b/>
                <w:bCs/>
                <w:i w:val="0"/>
                <w:iCs w:val="0"/>
                <w:color w:val="000000"/>
                <w:kern w:val="0"/>
                <w:sz w:val="22"/>
                <w:szCs w:val="22"/>
                <w:highlight w:val="none"/>
                <w:u w:val="none"/>
                <w:lang w:val="en-US" w:eastAsia="zh-CN" w:bidi="ar"/>
              </w:rPr>
              <w:t>序号1</w:t>
            </w:r>
          </w:p>
        </w:tc>
        <w:tc>
          <w:tcPr>
            <w:tcW w:w="3340" w:type="dxa"/>
            <w:noWrap w:val="0"/>
            <w:vAlign w:val="center"/>
          </w:tcPr>
          <w:p w14:paraId="3ACA5AFE">
            <w:pPr>
              <w:widowControl/>
              <w:wordWrap w:val="0"/>
              <w:jc w:val="center"/>
              <w:textAlignment w:val="center"/>
              <w:rPr>
                <w:rFonts w:hint="eastAsia" w:ascii="宋体" w:hAnsi="宋体" w:eastAsia="宋体" w:cs="宋体"/>
                <w:sz w:val="24"/>
                <w:highlight w:val="none"/>
              </w:rPr>
            </w:pPr>
          </w:p>
        </w:tc>
      </w:tr>
      <w:tr w14:paraId="1DB3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724" w:type="dxa"/>
            <w:noWrap w:val="0"/>
            <w:tcMar>
              <w:top w:w="15" w:type="dxa"/>
              <w:left w:w="15" w:type="dxa"/>
              <w:right w:w="15" w:type="dxa"/>
            </w:tcMar>
            <w:vAlign w:val="center"/>
          </w:tcPr>
          <w:p w14:paraId="395F9B62">
            <w:pPr>
              <w:tabs>
                <w:tab w:val="left" w:pos="0"/>
              </w:tabs>
              <w:wordWrap w:val="0"/>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1913" w:type="dxa"/>
            <w:noWrap w:val="0"/>
            <w:tcMar>
              <w:top w:w="15" w:type="dxa"/>
              <w:left w:w="15" w:type="dxa"/>
              <w:right w:w="15" w:type="dxa"/>
            </w:tcMar>
            <w:vAlign w:val="center"/>
          </w:tcPr>
          <w:p w14:paraId="299EB945">
            <w:pPr>
              <w:pStyle w:val="10"/>
              <w:tabs>
                <w:tab w:val="left" w:pos="208"/>
              </w:tabs>
              <w:wordWrap w:val="0"/>
              <w:spacing w:after="0"/>
              <w:jc w:val="center"/>
              <w:rPr>
                <w:rFonts w:hint="eastAsia" w:ascii="宋体" w:hAnsi="宋体" w:eastAsia="宋体" w:cs="宋体"/>
                <w:color w:val="auto"/>
                <w:sz w:val="24"/>
                <w:highlight w:val="none"/>
              </w:rPr>
            </w:pPr>
            <w:r>
              <w:rPr>
                <w:rFonts w:hint="eastAsia" w:ascii="宋体" w:hAnsi="宋体" w:eastAsia="宋体" w:cs="宋体"/>
                <w:i w:val="0"/>
                <w:iCs w:val="0"/>
                <w:color w:val="auto"/>
                <w:kern w:val="0"/>
                <w:sz w:val="22"/>
                <w:szCs w:val="22"/>
                <w:highlight w:val="none"/>
                <w:u w:val="none"/>
                <w:lang w:val="en-US" w:eastAsia="zh-CN" w:bidi="ar"/>
              </w:rPr>
              <w:t>平冷工作台</w:t>
            </w:r>
          </w:p>
        </w:tc>
        <w:tc>
          <w:tcPr>
            <w:tcW w:w="707" w:type="dxa"/>
            <w:noWrap w:val="0"/>
            <w:tcMar>
              <w:top w:w="15" w:type="dxa"/>
              <w:left w:w="15" w:type="dxa"/>
              <w:right w:w="15" w:type="dxa"/>
            </w:tcMar>
            <w:vAlign w:val="center"/>
          </w:tcPr>
          <w:p w14:paraId="2420AFE0">
            <w:pPr>
              <w:pStyle w:val="10"/>
              <w:tabs>
                <w:tab w:val="left" w:pos="208"/>
              </w:tabs>
              <w:wordWrap w:val="0"/>
              <w:spacing w:after="0"/>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850" w:type="dxa"/>
            <w:noWrap w:val="0"/>
            <w:tcMar>
              <w:top w:w="15" w:type="dxa"/>
              <w:left w:w="15" w:type="dxa"/>
              <w:right w:w="15" w:type="dxa"/>
            </w:tcMar>
            <w:vAlign w:val="center"/>
          </w:tcPr>
          <w:p w14:paraId="1908810E">
            <w:pPr>
              <w:pStyle w:val="10"/>
              <w:tabs>
                <w:tab w:val="left" w:pos="208"/>
              </w:tabs>
              <w:wordWrap w:val="0"/>
              <w:spacing w:after="0"/>
              <w:jc w:val="center"/>
              <w:rPr>
                <w:rFonts w:hint="eastAsia" w:ascii="宋体" w:hAnsi="宋体" w:eastAsia="宋体" w:cs="宋体"/>
                <w:sz w:val="24"/>
                <w:highlight w:val="none"/>
              </w:rPr>
            </w:pPr>
            <w:r>
              <w:rPr>
                <w:rFonts w:hint="eastAsia" w:ascii="宋体" w:hAnsi="宋体" w:cs="宋体"/>
                <w:sz w:val="24"/>
                <w:highlight w:val="none"/>
                <w:lang w:val="en-US" w:eastAsia="zh-CN"/>
              </w:rPr>
              <w:t>台</w:t>
            </w:r>
          </w:p>
        </w:tc>
        <w:tc>
          <w:tcPr>
            <w:tcW w:w="1701" w:type="dxa"/>
            <w:noWrap w:val="0"/>
            <w:tcMar>
              <w:top w:w="15" w:type="dxa"/>
              <w:left w:w="15" w:type="dxa"/>
              <w:right w:w="15" w:type="dxa"/>
            </w:tcMar>
            <w:vAlign w:val="center"/>
          </w:tcPr>
          <w:p w14:paraId="6B253AF4">
            <w:pPr>
              <w:pStyle w:val="10"/>
              <w:tabs>
                <w:tab w:val="left" w:pos="208"/>
              </w:tabs>
              <w:wordWrap w:val="0"/>
              <w:spacing w:after="0"/>
              <w:jc w:val="center"/>
              <w:rPr>
                <w:rFonts w:hint="default" w:ascii="宋体" w:hAnsi="宋体" w:eastAsia="宋体" w:cs="宋体"/>
                <w:sz w:val="24"/>
                <w:highlight w:val="none"/>
                <w:lang w:val="en-US" w:eastAsia="zh-CN"/>
              </w:rPr>
            </w:pPr>
            <w:r>
              <w:rPr>
                <w:rFonts w:hint="eastAsia" w:ascii="宋体" w:hAnsi="宋体" w:eastAsia="宋体" w:cs="宋体"/>
                <w:b/>
                <w:bCs/>
                <w:i w:val="0"/>
                <w:iCs w:val="0"/>
                <w:color w:val="000000"/>
                <w:kern w:val="0"/>
                <w:sz w:val="22"/>
                <w:szCs w:val="22"/>
                <w:highlight w:val="none"/>
                <w:u w:val="none"/>
                <w:lang w:val="en-US" w:eastAsia="zh-CN" w:bidi="ar"/>
              </w:rPr>
              <w:t>热加工间</w:t>
            </w:r>
            <w:r>
              <w:rPr>
                <w:rFonts w:hint="eastAsia" w:ascii="宋体" w:hAnsi="宋体" w:cs="宋体"/>
                <w:b/>
                <w:bCs/>
                <w:i w:val="0"/>
                <w:iCs w:val="0"/>
                <w:color w:val="000000"/>
                <w:kern w:val="0"/>
                <w:sz w:val="22"/>
                <w:szCs w:val="22"/>
                <w:highlight w:val="none"/>
                <w:u w:val="none"/>
                <w:lang w:val="en-US" w:eastAsia="zh-CN" w:bidi="ar"/>
              </w:rPr>
              <w:t>序号4</w:t>
            </w:r>
          </w:p>
        </w:tc>
        <w:tc>
          <w:tcPr>
            <w:tcW w:w="3340" w:type="dxa"/>
            <w:noWrap w:val="0"/>
            <w:vAlign w:val="center"/>
          </w:tcPr>
          <w:p w14:paraId="05C620B5">
            <w:pPr>
              <w:wordWrap w:val="0"/>
              <w:jc w:val="center"/>
              <w:rPr>
                <w:rFonts w:hint="eastAsia" w:ascii="宋体" w:hAnsi="宋体" w:eastAsia="宋体" w:cs="宋体"/>
                <w:sz w:val="24"/>
                <w:highlight w:val="none"/>
              </w:rPr>
            </w:pPr>
          </w:p>
        </w:tc>
      </w:tr>
    </w:tbl>
    <w:p w14:paraId="6FB37BD9">
      <w:pPr>
        <w:pStyle w:val="22"/>
        <w:numPr>
          <w:ilvl w:val="0"/>
          <w:numId w:val="3"/>
        </w:numPr>
        <w:wordWrap w:val="0"/>
        <w:snapToGrid w:val="0"/>
        <w:spacing w:before="0" w:beforeAutospacing="0" w:after="0" w:afterAutospacing="0" w:line="360" w:lineRule="auto"/>
        <w:ind w:firstLine="480" w:firstLineChars="200"/>
        <w:jc w:val="both"/>
        <w:rPr>
          <w:rFonts w:hint="eastAsia" w:ascii="宋体" w:hAnsi="宋体" w:eastAsia="宋体" w:cs="宋体"/>
          <w:highlight w:val="none"/>
        </w:rPr>
      </w:pPr>
      <w:r>
        <w:rPr>
          <w:rFonts w:hint="eastAsia" w:ascii="宋体" w:hAnsi="宋体" w:eastAsia="宋体" w:cs="宋体"/>
          <w:highlight w:val="none"/>
        </w:rPr>
        <w:t>样品递交方式：投标人自行提交并安装到位（须标注项目名称、项目编号及投标人名称</w:t>
      </w:r>
      <w:r>
        <w:rPr>
          <w:rFonts w:hint="eastAsia" w:ascii="宋体" w:hAnsi="宋体" w:eastAsia="宋体" w:cs="宋体"/>
          <w:highlight w:val="none"/>
          <w:lang w:eastAsia="zh-CN"/>
        </w:rPr>
        <w:t>、</w:t>
      </w:r>
      <w:r>
        <w:rPr>
          <w:rFonts w:hint="eastAsia" w:ascii="宋体" w:hAnsi="宋体" w:eastAsia="宋体" w:cs="宋体"/>
          <w:highlight w:val="none"/>
        </w:rPr>
        <w:t>对应清单序号）。</w:t>
      </w:r>
    </w:p>
    <w:p w14:paraId="308D8EF8">
      <w:pPr>
        <w:pStyle w:val="22"/>
        <w:numPr>
          <w:ilvl w:val="0"/>
          <w:numId w:val="3"/>
        </w:numPr>
        <w:wordWrap w:val="0"/>
        <w:snapToGrid w:val="0"/>
        <w:spacing w:before="0" w:beforeAutospacing="0" w:after="0" w:afterAutospacing="0" w:line="360" w:lineRule="auto"/>
        <w:ind w:firstLine="480" w:firstLineChars="200"/>
        <w:jc w:val="both"/>
        <w:rPr>
          <w:rFonts w:hint="eastAsia" w:ascii="宋体" w:hAnsi="宋体" w:eastAsia="宋体" w:cs="宋体"/>
          <w:highlight w:val="none"/>
          <w:u w:val="single"/>
        </w:rPr>
      </w:pPr>
      <w:r>
        <w:rPr>
          <w:rFonts w:hint="eastAsia" w:ascii="宋体" w:hAnsi="宋体" w:eastAsia="宋体" w:cs="宋体"/>
          <w:highlight w:val="none"/>
        </w:rPr>
        <w:t>递交截止时间：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rPr>
        <w:t>年</w:t>
      </w:r>
      <w:r>
        <w:rPr>
          <w:rFonts w:hint="eastAsia" w:cs="宋体"/>
          <w:highlight w:val="none"/>
          <w:u w:val="single"/>
          <w:lang w:val="en-US" w:eastAsia="zh-CN"/>
        </w:rPr>
        <w:t>7</w:t>
      </w:r>
      <w:r>
        <w:rPr>
          <w:rFonts w:hint="eastAsia" w:ascii="宋体" w:hAnsi="宋体" w:eastAsia="宋体" w:cs="宋体"/>
          <w:highlight w:val="none"/>
        </w:rPr>
        <w:t>月</w:t>
      </w:r>
      <w:r>
        <w:rPr>
          <w:rFonts w:hint="eastAsia" w:cs="宋体"/>
          <w:highlight w:val="none"/>
          <w:u w:val="single"/>
          <w:lang w:val="en-US" w:eastAsia="zh-CN"/>
        </w:rPr>
        <w:t>14</w:t>
      </w:r>
      <w:r>
        <w:rPr>
          <w:rFonts w:hint="eastAsia" w:ascii="宋体" w:hAnsi="宋体" w:eastAsia="宋体" w:cs="宋体"/>
          <w:highlight w:val="none"/>
        </w:rPr>
        <w:t>日</w:t>
      </w:r>
      <w:r>
        <w:rPr>
          <w:rFonts w:hint="eastAsia" w:ascii="宋体" w:hAnsi="宋体" w:eastAsia="宋体" w:cs="宋体"/>
          <w:highlight w:val="none"/>
          <w:u w:val="single"/>
          <w:lang w:val="en-US" w:eastAsia="zh-CN"/>
        </w:rPr>
        <w:t>09</w:t>
      </w:r>
      <w:r>
        <w:rPr>
          <w:rFonts w:hint="eastAsia" w:cs="宋体"/>
          <w:highlight w:val="none"/>
          <w:u w:val="single"/>
          <w:lang w:val="en-US" w:eastAsia="zh-CN"/>
        </w:rPr>
        <w:t>：</w:t>
      </w:r>
      <w:r>
        <w:rPr>
          <w:rFonts w:hint="eastAsia" w:ascii="宋体" w:hAnsi="宋体" w:eastAsia="宋体" w:cs="宋体"/>
          <w:highlight w:val="none"/>
          <w:u w:val="single"/>
          <w:lang w:val="en-US" w:eastAsia="zh-CN"/>
        </w:rPr>
        <w:t>00</w:t>
      </w:r>
      <w:r>
        <w:rPr>
          <w:rFonts w:hint="eastAsia" w:ascii="宋体" w:hAnsi="宋体" w:eastAsia="宋体" w:cs="宋体"/>
          <w:highlight w:val="none"/>
        </w:rPr>
        <w:t>时前</w:t>
      </w:r>
    </w:p>
    <w:p w14:paraId="720A45C3">
      <w:pPr>
        <w:pStyle w:val="22"/>
        <w:wordWrap w:val="0"/>
        <w:snapToGrid w:val="0"/>
        <w:spacing w:before="0" w:beforeAutospacing="0" w:after="0" w:afterAutospacing="0" w:line="360" w:lineRule="auto"/>
        <w:ind w:firstLine="1080" w:firstLineChars="450"/>
        <w:jc w:val="both"/>
        <w:rPr>
          <w:rFonts w:hint="eastAsia" w:ascii="宋体" w:hAnsi="宋体" w:eastAsia="宋体" w:cs="宋体"/>
          <w:highlight w:val="none"/>
        </w:rPr>
      </w:pPr>
      <w:r>
        <w:rPr>
          <w:rFonts w:hint="eastAsia" w:ascii="宋体" w:hAnsi="宋体" w:eastAsia="宋体" w:cs="宋体"/>
          <w:highlight w:val="none"/>
        </w:rPr>
        <w:t>递交地点：丽水市公共资源交易“样品展示厅”</w:t>
      </w:r>
    </w:p>
    <w:p w14:paraId="1C272BD0">
      <w:pPr>
        <w:pStyle w:val="22"/>
        <w:wordWrap w:val="0"/>
        <w:snapToGrid w:val="0"/>
        <w:spacing w:before="0" w:beforeAutospacing="0" w:after="0" w:afterAutospacing="0" w:line="360" w:lineRule="auto"/>
        <w:ind w:firstLine="480" w:firstLineChars="200"/>
        <w:jc w:val="both"/>
        <w:rPr>
          <w:rFonts w:hint="default" w:ascii="宋体" w:hAnsi="宋体" w:eastAsia="宋体" w:cs="宋体"/>
          <w:highlight w:val="none"/>
          <w:lang w:val="en-US" w:eastAsia="zh-CN"/>
        </w:rPr>
      </w:pPr>
      <w:r>
        <w:rPr>
          <w:rFonts w:hint="eastAsia" w:ascii="宋体" w:hAnsi="宋体" w:eastAsia="宋体" w:cs="宋体"/>
          <w:highlight w:val="none"/>
        </w:rPr>
        <w:t>（4）未中标人样品的退还处理方式：开评标结束后，由投标人自行处理，1个工作日后不处理，由代理机构处理。</w:t>
      </w:r>
      <w:r>
        <w:rPr>
          <w:rFonts w:hint="eastAsia" w:cs="宋体"/>
          <w:highlight w:val="none"/>
          <w:lang w:val="en-US" w:eastAsia="zh-CN"/>
        </w:rPr>
        <w:t>样品存放联系人：彭紫依13735986577</w:t>
      </w:r>
    </w:p>
    <w:p w14:paraId="43567E93">
      <w:pPr>
        <w:pStyle w:val="22"/>
        <w:wordWrap w:val="0"/>
        <w:snapToGrid w:val="0"/>
        <w:spacing w:before="0" w:beforeAutospacing="0" w:after="0" w:afterAutospacing="0" w:line="360" w:lineRule="auto"/>
        <w:ind w:firstLine="480" w:firstLineChars="200"/>
        <w:jc w:val="both"/>
        <w:rPr>
          <w:rFonts w:hint="eastAsia" w:ascii="仿宋_GB2312" w:hAnsi="仿宋_GB2312" w:eastAsia="仿宋_GB2312" w:cs="仿宋_GB2312"/>
          <w:highlight w:val="none"/>
        </w:rPr>
      </w:pPr>
      <w:r>
        <w:rPr>
          <w:rFonts w:hint="eastAsia" w:ascii="宋体" w:hAnsi="宋体" w:eastAsia="宋体" w:cs="宋体"/>
          <w:highlight w:val="none"/>
        </w:rPr>
        <w:t>（5）中标人的样品应当由招标人进行保管、封存，作为履约验收的参考。</w:t>
      </w:r>
    </w:p>
    <w:p w14:paraId="78E963E7">
      <w:pPr>
        <w:pStyle w:val="23"/>
        <w:spacing w:before="0" w:after="0" w:line="360" w:lineRule="auto"/>
        <w:rPr>
          <w:rFonts w:hint="eastAsia" w:ascii="宋体" w:hAnsi="宋体" w:cs="宋体"/>
          <w:color w:val="auto"/>
          <w:sz w:val="36"/>
          <w:szCs w:val="36"/>
          <w:highlight w:val="none"/>
        </w:rPr>
      </w:pPr>
    </w:p>
    <w:p w14:paraId="767ECFCA">
      <w:pPr>
        <w:rPr>
          <w:rFonts w:hint="eastAsia" w:ascii="宋体" w:hAnsi="宋体" w:cs="宋体"/>
          <w:color w:val="auto"/>
          <w:sz w:val="36"/>
          <w:szCs w:val="36"/>
          <w:highlight w:val="none"/>
        </w:rPr>
      </w:pPr>
    </w:p>
    <w:p w14:paraId="42A503FF">
      <w:pPr>
        <w:pStyle w:val="2"/>
        <w:rPr>
          <w:rFonts w:hint="eastAsia" w:ascii="宋体" w:hAnsi="宋体" w:cs="宋体"/>
          <w:color w:val="auto"/>
          <w:sz w:val="36"/>
          <w:szCs w:val="36"/>
          <w:highlight w:val="none"/>
        </w:rPr>
      </w:pPr>
    </w:p>
    <w:p w14:paraId="3139E8E0">
      <w:pPr>
        <w:rPr>
          <w:rFonts w:hint="eastAsia" w:ascii="宋体" w:hAnsi="宋体" w:cs="宋体"/>
          <w:color w:val="auto"/>
          <w:sz w:val="36"/>
          <w:szCs w:val="36"/>
          <w:highlight w:val="none"/>
        </w:rPr>
      </w:pPr>
    </w:p>
    <w:p w14:paraId="153D590D">
      <w:pPr>
        <w:pStyle w:val="2"/>
        <w:rPr>
          <w:rFonts w:hint="eastAsia"/>
          <w:highlight w:val="none"/>
        </w:rPr>
      </w:pPr>
    </w:p>
    <w:p w14:paraId="3772200C">
      <w:pPr>
        <w:pStyle w:val="23"/>
        <w:spacing w:before="0" w:after="0" w:line="360" w:lineRule="auto"/>
        <w:rPr>
          <w:rFonts w:hint="eastAsia" w:ascii="宋体" w:hAnsi="宋体" w:cs="宋体"/>
          <w:color w:val="auto"/>
          <w:sz w:val="36"/>
          <w:szCs w:val="36"/>
          <w:highlight w:val="none"/>
        </w:rPr>
      </w:pPr>
    </w:p>
    <w:p w14:paraId="1454277B">
      <w:pPr>
        <w:rPr>
          <w:rFonts w:hint="eastAsia"/>
          <w:highlight w:val="none"/>
        </w:rPr>
      </w:pPr>
    </w:p>
    <w:p w14:paraId="6B23D555">
      <w:pPr>
        <w:pStyle w:val="23"/>
        <w:spacing w:before="0" w:after="0" w:line="360" w:lineRule="auto"/>
        <w:rPr>
          <w:rFonts w:hint="eastAsia" w:ascii="宋体" w:hAnsi="宋体" w:cs="宋体"/>
          <w:color w:val="auto"/>
          <w:sz w:val="36"/>
          <w:szCs w:val="36"/>
          <w:highlight w:val="none"/>
        </w:rPr>
      </w:pPr>
    </w:p>
    <w:p w14:paraId="1FF58C6F">
      <w:pPr>
        <w:pStyle w:val="23"/>
        <w:spacing w:before="0" w:after="0" w:line="360" w:lineRule="auto"/>
        <w:rPr>
          <w:rFonts w:hint="eastAsia" w:ascii="宋体" w:hAnsi="宋体" w:cs="宋体"/>
          <w:color w:val="auto"/>
          <w:sz w:val="36"/>
          <w:szCs w:val="36"/>
          <w:highlight w:val="none"/>
        </w:rPr>
      </w:pPr>
    </w:p>
    <w:p w14:paraId="1854D636">
      <w:pPr>
        <w:pStyle w:val="23"/>
        <w:spacing w:before="0" w:after="0" w:line="360" w:lineRule="auto"/>
        <w:rPr>
          <w:rFonts w:hint="eastAsia" w:ascii="宋体" w:hAnsi="宋体" w:cs="宋体"/>
          <w:color w:val="auto"/>
          <w:sz w:val="36"/>
          <w:szCs w:val="36"/>
          <w:highlight w:val="none"/>
        </w:rPr>
      </w:pPr>
    </w:p>
    <w:p w14:paraId="043C5DD8">
      <w:pPr>
        <w:pStyle w:val="23"/>
        <w:spacing w:before="0" w:after="0" w:line="360" w:lineRule="auto"/>
        <w:rPr>
          <w:rFonts w:ascii="宋体" w:hAnsi="宋体" w:cs="宋体"/>
          <w:color w:val="auto"/>
          <w:sz w:val="36"/>
          <w:szCs w:val="36"/>
          <w:highlight w:val="none"/>
        </w:rPr>
      </w:pPr>
      <w:r>
        <w:rPr>
          <w:rFonts w:hint="eastAsia" w:ascii="宋体" w:hAnsi="宋体" w:cs="宋体"/>
          <w:color w:val="auto"/>
          <w:sz w:val="36"/>
          <w:szCs w:val="36"/>
          <w:highlight w:val="none"/>
        </w:rPr>
        <w:t>第三章  投标人须知</w:t>
      </w:r>
      <w:bookmarkEnd w:id="62"/>
      <w:bookmarkEnd w:id="63"/>
      <w:bookmarkEnd w:id="64"/>
      <w:bookmarkEnd w:id="65"/>
      <w:bookmarkEnd w:id="66"/>
      <w:bookmarkEnd w:id="67"/>
      <w:bookmarkEnd w:id="68"/>
      <w:bookmarkEnd w:id="69"/>
      <w:bookmarkEnd w:id="70"/>
      <w:bookmarkEnd w:id="71"/>
      <w:bookmarkEnd w:id="72"/>
    </w:p>
    <w:p w14:paraId="7A293DD1">
      <w:pPr>
        <w:pStyle w:val="23"/>
        <w:spacing w:after="240"/>
        <w:jc w:val="left"/>
        <w:outlineLvl w:val="1"/>
        <w:rPr>
          <w:rFonts w:ascii="宋体" w:hAnsi="宋体" w:cs="宋体"/>
          <w:color w:val="auto"/>
          <w:sz w:val="30"/>
          <w:szCs w:val="30"/>
          <w:highlight w:val="none"/>
        </w:rPr>
      </w:pPr>
      <w:bookmarkStart w:id="76" w:name="_Toc530551820"/>
      <w:bookmarkStart w:id="77" w:name="_Toc531358975"/>
      <w:bookmarkStart w:id="78" w:name="_Toc493956032"/>
      <w:bookmarkStart w:id="79" w:name="_Toc486423882"/>
      <w:bookmarkStart w:id="80" w:name="_Toc8672"/>
      <w:bookmarkStart w:id="81" w:name="_Toc25318"/>
      <w:bookmarkStart w:id="82" w:name="_Toc7689"/>
      <w:bookmarkStart w:id="83" w:name="_Toc6220"/>
      <w:bookmarkStart w:id="84" w:name="_Toc23327"/>
      <w:bookmarkStart w:id="85" w:name="_Toc97212957"/>
      <w:bookmarkStart w:id="86" w:name="_Toc23246"/>
      <w:bookmarkStart w:id="87" w:name="EB4c7125c6dc654ed08b5f32dccfe34746"/>
      <w:bookmarkStart w:id="88" w:name="_Toc493956033"/>
      <w:r>
        <w:rPr>
          <w:rFonts w:hint="eastAsia" w:ascii="宋体" w:hAnsi="宋体" w:cs="宋体"/>
          <w:color w:val="auto"/>
          <w:sz w:val="30"/>
          <w:szCs w:val="30"/>
          <w:highlight w:val="none"/>
        </w:rPr>
        <w:t>投标人须知前附表</w:t>
      </w:r>
      <w:bookmarkEnd w:id="76"/>
      <w:bookmarkEnd w:id="77"/>
      <w:bookmarkEnd w:id="78"/>
      <w:bookmarkEnd w:id="79"/>
      <w:r>
        <w:rPr>
          <w:rFonts w:hint="eastAsia" w:ascii="宋体" w:hAnsi="宋体" w:cs="宋体"/>
          <w:color w:val="auto"/>
          <w:sz w:val="30"/>
          <w:szCs w:val="30"/>
          <w:highlight w:val="none"/>
        </w:rPr>
        <w:t>（一）</w:t>
      </w:r>
      <w:bookmarkEnd w:id="80"/>
      <w:bookmarkEnd w:id="81"/>
      <w:bookmarkEnd w:id="82"/>
      <w:bookmarkEnd w:id="83"/>
      <w:bookmarkEnd w:id="84"/>
      <w:bookmarkEnd w:id="85"/>
      <w:bookmarkEnd w:id="86"/>
    </w:p>
    <w:tbl>
      <w:tblPr>
        <w:tblStyle w:val="24"/>
        <w:tblW w:w="9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560"/>
        <w:gridCol w:w="6769"/>
      </w:tblGrid>
      <w:tr w14:paraId="17C4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927" w:type="dxa"/>
            <w:vAlign w:val="center"/>
          </w:tcPr>
          <w:p w14:paraId="7AF599AA">
            <w:pPr>
              <w:ind w:right="-86" w:rightChars="-41"/>
              <w:jc w:val="center"/>
              <w:rPr>
                <w:rFonts w:ascii="宋体" w:hAnsi="宋体" w:cs="宋体"/>
                <w:b/>
                <w:color w:val="auto"/>
                <w:sz w:val="24"/>
                <w:szCs w:val="24"/>
                <w:highlight w:val="none"/>
              </w:rPr>
            </w:pPr>
            <w:r>
              <w:rPr>
                <w:rFonts w:hint="eastAsia" w:ascii="宋体" w:hAnsi="宋体" w:cs="宋体"/>
                <w:b/>
                <w:color w:val="auto"/>
                <w:sz w:val="24"/>
                <w:szCs w:val="24"/>
                <w:highlight w:val="none"/>
              </w:rPr>
              <w:t>序号</w:t>
            </w:r>
          </w:p>
        </w:tc>
        <w:tc>
          <w:tcPr>
            <w:tcW w:w="1560" w:type="dxa"/>
            <w:vAlign w:val="center"/>
          </w:tcPr>
          <w:p w14:paraId="55313F51">
            <w:pPr>
              <w:jc w:val="center"/>
              <w:rPr>
                <w:rFonts w:ascii="宋体" w:hAnsi="宋体" w:cs="宋体"/>
                <w:b/>
                <w:color w:val="auto"/>
                <w:sz w:val="24"/>
                <w:szCs w:val="24"/>
                <w:highlight w:val="none"/>
              </w:rPr>
            </w:pPr>
            <w:r>
              <w:rPr>
                <w:rFonts w:hint="eastAsia" w:ascii="宋体" w:hAnsi="宋体" w:cs="宋体"/>
                <w:b/>
                <w:color w:val="auto"/>
                <w:sz w:val="24"/>
                <w:szCs w:val="24"/>
                <w:highlight w:val="none"/>
              </w:rPr>
              <w:t>事项</w:t>
            </w:r>
          </w:p>
        </w:tc>
        <w:tc>
          <w:tcPr>
            <w:tcW w:w="6769" w:type="dxa"/>
            <w:vAlign w:val="center"/>
          </w:tcPr>
          <w:p w14:paraId="19AC151A">
            <w:pPr>
              <w:jc w:val="center"/>
              <w:rPr>
                <w:rFonts w:ascii="宋体" w:hAnsi="宋体" w:cs="宋体"/>
                <w:b/>
                <w:color w:val="auto"/>
                <w:sz w:val="24"/>
                <w:szCs w:val="24"/>
                <w:highlight w:val="none"/>
              </w:rPr>
            </w:pPr>
            <w:r>
              <w:rPr>
                <w:rFonts w:hint="eastAsia" w:ascii="宋体" w:hAnsi="宋体" w:cs="宋体"/>
                <w:b/>
                <w:color w:val="auto"/>
                <w:sz w:val="24"/>
                <w:szCs w:val="24"/>
                <w:highlight w:val="none"/>
              </w:rPr>
              <w:t>本项目的特别规定</w:t>
            </w:r>
          </w:p>
        </w:tc>
      </w:tr>
      <w:tr w14:paraId="34D1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5D3CBCBF">
            <w:pPr>
              <w:ind w:left="-88" w:leftChars="-42" w:right="-113" w:rightChars="-54"/>
              <w:jc w:val="center"/>
              <w:rPr>
                <w:rFonts w:ascii="宋体" w:hAnsi="宋体" w:cs="宋体"/>
                <w:bCs/>
                <w:snapToGrid w:val="0"/>
                <w:color w:val="auto"/>
                <w:sz w:val="24"/>
                <w:szCs w:val="24"/>
                <w:highlight w:val="none"/>
              </w:rPr>
            </w:pPr>
            <w:r>
              <w:rPr>
                <w:rFonts w:hint="eastAsia" w:ascii="宋体" w:hAnsi="宋体" w:cs="宋体"/>
                <w:bCs/>
                <w:snapToGrid w:val="0"/>
                <w:color w:val="auto"/>
                <w:sz w:val="24"/>
                <w:szCs w:val="24"/>
                <w:highlight w:val="none"/>
              </w:rPr>
              <w:t>1</w:t>
            </w:r>
          </w:p>
        </w:tc>
        <w:tc>
          <w:tcPr>
            <w:tcW w:w="1560" w:type="dxa"/>
            <w:vAlign w:val="center"/>
          </w:tcPr>
          <w:p w14:paraId="152E9CB5">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采购人</w:t>
            </w:r>
          </w:p>
        </w:tc>
        <w:tc>
          <w:tcPr>
            <w:tcW w:w="6769" w:type="dxa"/>
            <w:vAlign w:val="center"/>
          </w:tcPr>
          <w:p w14:paraId="0F512EBB">
            <w:pPr>
              <w:rPr>
                <w:rFonts w:ascii="宋体" w:hAnsi="宋体" w:cs="宋体"/>
                <w:bCs/>
                <w:color w:val="auto"/>
                <w:sz w:val="24"/>
                <w:szCs w:val="24"/>
                <w:highlight w:val="none"/>
              </w:rPr>
            </w:pPr>
            <w:r>
              <w:rPr>
                <w:rFonts w:hint="eastAsia" w:ascii="宋体" w:hAnsi="宋体" w:cs="宋体"/>
                <w:bCs/>
                <w:color w:val="auto"/>
                <w:sz w:val="24"/>
                <w:szCs w:val="24"/>
                <w:highlight w:val="none"/>
              </w:rPr>
              <w:t>见第一章招标公告</w:t>
            </w:r>
          </w:p>
        </w:tc>
      </w:tr>
      <w:tr w14:paraId="7381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68E5C4CC">
            <w:pPr>
              <w:ind w:left="-88" w:leftChars="-42" w:right="-113" w:rightChars="-54"/>
              <w:jc w:val="center"/>
              <w:rPr>
                <w:rFonts w:ascii="宋体" w:hAnsi="宋体" w:cs="宋体"/>
                <w:bCs/>
                <w:snapToGrid w:val="0"/>
                <w:color w:val="auto"/>
                <w:sz w:val="24"/>
                <w:szCs w:val="24"/>
                <w:highlight w:val="none"/>
              </w:rPr>
            </w:pPr>
            <w:r>
              <w:rPr>
                <w:rFonts w:hint="eastAsia" w:ascii="宋体" w:hAnsi="宋体" w:cs="宋体"/>
                <w:bCs/>
                <w:snapToGrid w:val="0"/>
                <w:color w:val="auto"/>
                <w:sz w:val="24"/>
                <w:szCs w:val="24"/>
                <w:highlight w:val="none"/>
              </w:rPr>
              <w:t>2</w:t>
            </w:r>
          </w:p>
        </w:tc>
        <w:tc>
          <w:tcPr>
            <w:tcW w:w="1560" w:type="dxa"/>
            <w:vAlign w:val="center"/>
          </w:tcPr>
          <w:p w14:paraId="25D68222">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采购代理机构</w:t>
            </w:r>
          </w:p>
        </w:tc>
        <w:tc>
          <w:tcPr>
            <w:tcW w:w="6769" w:type="dxa"/>
            <w:vAlign w:val="center"/>
          </w:tcPr>
          <w:p w14:paraId="1B111F40">
            <w:pPr>
              <w:rPr>
                <w:rFonts w:ascii="宋体" w:hAnsi="宋体" w:cs="宋体"/>
                <w:bCs/>
                <w:color w:val="auto"/>
                <w:sz w:val="24"/>
                <w:szCs w:val="24"/>
                <w:highlight w:val="none"/>
              </w:rPr>
            </w:pPr>
            <w:r>
              <w:rPr>
                <w:rFonts w:hint="eastAsia" w:ascii="宋体" w:hAnsi="宋体" w:cs="宋体"/>
                <w:bCs/>
                <w:color w:val="auto"/>
                <w:sz w:val="24"/>
                <w:szCs w:val="24"/>
                <w:highlight w:val="none"/>
              </w:rPr>
              <w:t>见第一章招标公告</w:t>
            </w:r>
          </w:p>
        </w:tc>
      </w:tr>
      <w:tr w14:paraId="36EC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792379B8">
            <w:pPr>
              <w:ind w:left="-88" w:leftChars="-42" w:right="-113" w:rightChars="-54"/>
              <w:jc w:val="center"/>
              <w:rPr>
                <w:rFonts w:ascii="宋体" w:hAnsi="宋体" w:cs="宋体"/>
                <w:bCs/>
                <w:snapToGrid w:val="0"/>
                <w:color w:val="auto"/>
                <w:sz w:val="24"/>
                <w:szCs w:val="24"/>
                <w:highlight w:val="none"/>
              </w:rPr>
            </w:pPr>
            <w:r>
              <w:rPr>
                <w:rFonts w:hint="eastAsia" w:ascii="宋体" w:hAnsi="宋体" w:cs="宋体"/>
                <w:bCs/>
                <w:snapToGrid w:val="0"/>
                <w:color w:val="auto"/>
                <w:sz w:val="24"/>
                <w:szCs w:val="24"/>
                <w:highlight w:val="none"/>
              </w:rPr>
              <w:t>3</w:t>
            </w:r>
          </w:p>
        </w:tc>
        <w:tc>
          <w:tcPr>
            <w:tcW w:w="1560" w:type="dxa"/>
            <w:vAlign w:val="center"/>
          </w:tcPr>
          <w:p w14:paraId="033449BC">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联合体投标</w:t>
            </w:r>
          </w:p>
        </w:tc>
        <w:tc>
          <w:tcPr>
            <w:tcW w:w="6769" w:type="dxa"/>
            <w:vAlign w:val="center"/>
          </w:tcPr>
          <w:p w14:paraId="0E37DD95">
            <w:pPr>
              <w:rPr>
                <w:rFonts w:ascii="宋体" w:hAnsi="宋体" w:cs="宋体"/>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color w:val="auto"/>
                <w:sz w:val="24"/>
                <w:szCs w:val="24"/>
                <w:highlight w:val="none"/>
              </w:rPr>
              <w:t xml:space="preserve"> 不接受；</w:t>
            </w:r>
          </w:p>
          <w:p w14:paraId="7EC6C058">
            <w:pPr>
              <w:rPr>
                <w:rFonts w:ascii="宋体" w:hAnsi="宋体" w:cs="宋体"/>
                <w:color w:val="auto"/>
                <w:sz w:val="24"/>
                <w:szCs w:val="24"/>
                <w:highlight w:val="none"/>
              </w:rPr>
            </w:pPr>
            <w:r>
              <w:rPr>
                <w:rFonts w:hint="eastAsia" w:ascii="宋体" w:hAnsi="宋体" w:cs="宋体"/>
                <w:bCs/>
                <w:color w:val="auto"/>
                <w:sz w:val="24"/>
                <w:szCs w:val="24"/>
                <w:highlight w:val="none"/>
              </w:rPr>
              <w:sym w:font="Wingdings 2" w:char="00A3"/>
            </w:r>
            <w:r>
              <w:rPr>
                <w:rFonts w:hint="eastAsia" w:ascii="宋体" w:hAnsi="宋体" w:cs="宋体"/>
                <w:bCs/>
                <w:color w:val="auto"/>
                <w:sz w:val="24"/>
                <w:szCs w:val="24"/>
                <w:highlight w:val="none"/>
              </w:rPr>
              <w:t xml:space="preserve"> </w:t>
            </w:r>
            <w:r>
              <w:rPr>
                <w:rFonts w:hint="eastAsia" w:ascii="宋体" w:hAnsi="宋体" w:cs="宋体"/>
                <w:color w:val="auto"/>
                <w:sz w:val="24"/>
                <w:szCs w:val="24"/>
                <w:highlight w:val="none"/>
              </w:rPr>
              <w:t>接受。</w:t>
            </w:r>
          </w:p>
        </w:tc>
      </w:tr>
      <w:tr w14:paraId="352B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11455C88">
            <w:pPr>
              <w:ind w:left="-88" w:leftChars="-42" w:right="-113" w:rightChars="-54"/>
              <w:jc w:val="center"/>
              <w:rPr>
                <w:rFonts w:ascii="宋体" w:hAnsi="宋体" w:cs="宋体"/>
                <w:bCs/>
                <w:snapToGrid w:val="0"/>
                <w:color w:val="auto"/>
                <w:sz w:val="24"/>
                <w:szCs w:val="24"/>
                <w:highlight w:val="none"/>
              </w:rPr>
            </w:pPr>
            <w:r>
              <w:rPr>
                <w:rFonts w:hint="eastAsia" w:ascii="宋体" w:hAnsi="宋体" w:cs="宋体"/>
                <w:bCs/>
                <w:snapToGrid w:val="0"/>
                <w:color w:val="auto"/>
                <w:sz w:val="24"/>
                <w:szCs w:val="24"/>
                <w:highlight w:val="none"/>
              </w:rPr>
              <w:t>4</w:t>
            </w:r>
          </w:p>
        </w:tc>
        <w:tc>
          <w:tcPr>
            <w:tcW w:w="1560" w:type="dxa"/>
            <w:vAlign w:val="center"/>
          </w:tcPr>
          <w:p w14:paraId="224F8AA2">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现场踏勘</w:t>
            </w:r>
          </w:p>
        </w:tc>
        <w:tc>
          <w:tcPr>
            <w:tcW w:w="6769" w:type="dxa"/>
            <w:vAlign w:val="center"/>
          </w:tcPr>
          <w:p w14:paraId="106B22D0">
            <w:pPr>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hint="eastAsia" w:ascii="宋体" w:hAnsi="宋体" w:cs="宋体"/>
                <w:color w:val="auto"/>
                <w:sz w:val="24"/>
                <w:szCs w:val="24"/>
                <w:highlight w:val="none"/>
              </w:rPr>
              <w:t xml:space="preserve"> 不组织。</w:t>
            </w:r>
          </w:p>
          <w:p w14:paraId="378A102E">
            <w:pPr>
              <w:rPr>
                <w:rFonts w:ascii="宋体" w:hAnsi="宋体" w:cs="宋体"/>
                <w:bCs/>
                <w:color w:val="auto"/>
                <w:sz w:val="24"/>
                <w:szCs w:val="24"/>
                <w:highlight w:val="none"/>
              </w:rPr>
            </w:pPr>
            <w:r>
              <w:rPr>
                <w:rFonts w:hint="eastAsia" w:ascii="宋体" w:hAnsi="宋体" w:cs="宋体"/>
                <w:bCs/>
                <w:color w:val="auto"/>
                <w:sz w:val="24"/>
                <w:szCs w:val="24"/>
                <w:highlight w:val="none"/>
              </w:rPr>
              <w:t xml:space="preserve">□ 组织，见第二章招标需求。     </w:t>
            </w:r>
          </w:p>
        </w:tc>
      </w:tr>
      <w:tr w14:paraId="02D0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7B409C3F">
            <w:pPr>
              <w:ind w:left="-88" w:leftChars="-42" w:right="-113" w:rightChars="-54"/>
              <w:jc w:val="center"/>
              <w:rPr>
                <w:rFonts w:ascii="宋体" w:hAnsi="宋体" w:cs="宋体"/>
                <w:bCs/>
                <w:snapToGrid w:val="0"/>
                <w:color w:val="auto"/>
                <w:sz w:val="24"/>
                <w:szCs w:val="24"/>
                <w:highlight w:val="none"/>
              </w:rPr>
            </w:pPr>
            <w:r>
              <w:rPr>
                <w:rFonts w:hint="eastAsia" w:ascii="宋体" w:hAnsi="宋体" w:cs="宋体"/>
                <w:bCs/>
                <w:snapToGrid w:val="0"/>
                <w:color w:val="auto"/>
                <w:sz w:val="24"/>
                <w:szCs w:val="24"/>
                <w:highlight w:val="none"/>
              </w:rPr>
              <w:t>5</w:t>
            </w:r>
          </w:p>
        </w:tc>
        <w:tc>
          <w:tcPr>
            <w:tcW w:w="1560" w:type="dxa"/>
            <w:vAlign w:val="center"/>
          </w:tcPr>
          <w:p w14:paraId="21E5AA49">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答疑会</w:t>
            </w:r>
          </w:p>
        </w:tc>
        <w:tc>
          <w:tcPr>
            <w:tcW w:w="6769" w:type="dxa"/>
            <w:vAlign w:val="center"/>
          </w:tcPr>
          <w:p w14:paraId="6F3E07D0">
            <w:pPr>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hint="eastAsia" w:ascii="宋体" w:hAnsi="宋体" w:cs="宋体"/>
                <w:color w:val="auto"/>
                <w:sz w:val="24"/>
                <w:szCs w:val="24"/>
                <w:highlight w:val="none"/>
              </w:rPr>
              <w:t xml:space="preserve"> 不召开；</w:t>
            </w:r>
          </w:p>
          <w:p w14:paraId="207952A1">
            <w:pPr>
              <w:rPr>
                <w:rFonts w:ascii="宋体" w:hAnsi="宋体" w:cs="宋体"/>
                <w:bCs/>
                <w:color w:val="auto"/>
                <w:sz w:val="24"/>
                <w:szCs w:val="24"/>
                <w:highlight w:val="none"/>
              </w:rPr>
            </w:pPr>
            <w:r>
              <w:rPr>
                <w:rFonts w:hint="eastAsia" w:ascii="宋体" w:hAnsi="宋体" w:cs="宋体"/>
                <w:bCs/>
                <w:color w:val="auto"/>
                <w:sz w:val="24"/>
                <w:szCs w:val="24"/>
                <w:highlight w:val="none"/>
              </w:rPr>
              <w:t xml:space="preserve">□ 召开。时间：   年  月  日  时  分；地点： </w:t>
            </w:r>
          </w:p>
        </w:tc>
      </w:tr>
      <w:tr w14:paraId="6455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31C6AA7A">
            <w:pPr>
              <w:ind w:left="-88" w:leftChars="-42" w:right="-113" w:rightChars="-54"/>
              <w:jc w:val="center"/>
              <w:rPr>
                <w:rFonts w:ascii="宋体" w:hAnsi="宋体" w:cs="宋体"/>
                <w:bCs/>
                <w:snapToGrid w:val="0"/>
                <w:color w:val="auto"/>
                <w:sz w:val="24"/>
                <w:szCs w:val="24"/>
                <w:highlight w:val="none"/>
              </w:rPr>
            </w:pPr>
            <w:r>
              <w:rPr>
                <w:rFonts w:hint="eastAsia" w:ascii="宋体" w:hAnsi="宋体" w:cs="宋体"/>
                <w:bCs/>
                <w:snapToGrid w:val="0"/>
                <w:color w:val="auto"/>
                <w:sz w:val="24"/>
                <w:szCs w:val="24"/>
                <w:highlight w:val="none"/>
              </w:rPr>
              <w:t>6</w:t>
            </w:r>
          </w:p>
        </w:tc>
        <w:tc>
          <w:tcPr>
            <w:tcW w:w="1560" w:type="dxa"/>
            <w:vAlign w:val="center"/>
          </w:tcPr>
          <w:p w14:paraId="01A56B35">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分包</w:t>
            </w:r>
          </w:p>
        </w:tc>
        <w:tc>
          <w:tcPr>
            <w:tcW w:w="6769" w:type="dxa"/>
            <w:vAlign w:val="center"/>
          </w:tcPr>
          <w:p w14:paraId="0B2BCC73">
            <w:pPr>
              <w:ind w:left="-113" w:leftChars="-54" w:right="-107" w:rightChars="-51" w:firstLine="120" w:firstLineChars="50"/>
              <w:rPr>
                <w:rFonts w:ascii="宋体" w:hAnsi="宋体" w:cs="宋体"/>
                <w:bCs/>
                <w:color w:val="auto"/>
                <w:sz w:val="24"/>
                <w:szCs w:val="24"/>
                <w:highlight w:val="none"/>
              </w:rPr>
            </w:pPr>
            <w:r>
              <w:rPr>
                <w:rFonts w:hint="eastAsia" w:ascii="宋体" w:hAnsi="宋体" w:cs="宋体"/>
                <w:bCs/>
                <w:color w:val="auto"/>
                <w:sz w:val="24"/>
                <w:szCs w:val="24"/>
                <w:highlight w:val="none"/>
              </w:rPr>
              <w:t>☑ 1.不允许。</w:t>
            </w:r>
          </w:p>
          <w:p w14:paraId="0A232036">
            <w:pPr>
              <w:ind w:left="-113" w:leftChars="-54" w:right="-107" w:rightChars="-51" w:firstLine="120" w:firstLineChars="50"/>
              <w:rPr>
                <w:rFonts w:ascii="宋体" w:hAnsi="宋体" w:cs="宋体"/>
                <w:bCs/>
                <w:color w:val="auto"/>
                <w:sz w:val="24"/>
                <w:szCs w:val="24"/>
                <w:highlight w:val="none"/>
              </w:rPr>
            </w:pPr>
            <w:r>
              <w:rPr>
                <w:rFonts w:hint="eastAsia" w:ascii="宋体" w:hAnsi="宋体" w:cs="宋体"/>
                <w:bCs/>
                <w:color w:val="auto"/>
                <w:sz w:val="24"/>
                <w:szCs w:val="24"/>
                <w:highlight w:val="none"/>
              </w:rPr>
              <w:t>□ 2.允许，同意</w:t>
            </w:r>
            <w:r>
              <w:rPr>
                <w:rFonts w:hint="eastAsia" w:ascii="宋体" w:hAnsi="宋体" w:cs="宋体"/>
                <w:color w:val="auto"/>
                <w:sz w:val="24"/>
                <w:highlight w:val="none"/>
              </w:rPr>
              <w:t>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p>
        </w:tc>
      </w:tr>
      <w:tr w14:paraId="2913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7293D925">
            <w:pPr>
              <w:ind w:left="-88" w:leftChars="-42" w:right="-113" w:rightChars="-54"/>
              <w:jc w:val="center"/>
              <w:rPr>
                <w:rFonts w:hint="eastAsia" w:ascii="宋体" w:hAnsi="宋体" w:eastAsia="宋体" w:cs="宋体"/>
                <w:bCs/>
                <w:snapToGrid w:val="0"/>
                <w:color w:val="auto"/>
                <w:sz w:val="24"/>
                <w:szCs w:val="24"/>
                <w:highlight w:val="none"/>
                <w:lang w:val="en-US" w:eastAsia="zh-CN"/>
              </w:rPr>
            </w:pPr>
            <w:r>
              <w:rPr>
                <w:rFonts w:hint="eastAsia" w:ascii="宋体" w:hAnsi="宋体" w:cs="宋体"/>
                <w:bCs/>
                <w:snapToGrid w:val="0"/>
                <w:color w:val="auto"/>
                <w:sz w:val="24"/>
                <w:szCs w:val="24"/>
                <w:highlight w:val="none"/>
                <w:lang w:val="en-US" w:eastAsia="zh-CN"/>
              </w:rPr>
              <w:t>7</w:t>
            </w:r>
          </w:p>
        </w:tc>
        <w:tc>
          <w:tcPr>
            <w:tcW w:w="1560" w:type="dxa"/>
            <w:vAlign w:val="center"/>
          </w:tcPr>
          <w:p w14:paraId="4B201404">
            <w:pPr>
              <w:ind w:left="-44" w:leftChars="-53" w:right="-65" w:rightChars="-31" w:hanging="67" w:hangingChars="28"/>
              <w:jc w:val="center"/>
              <w:rPr>
                <w:rFonts w:hint="eastAsia" w:ascii="宋体" w:hAnsi="宋体" w:cs="宋体"/>
                <w:bCs/>
                <w:color w:val="auto"/>
                <w:sz w:val="24"/>
                <w:szCs w:val="24"/>
                <w:highlight w:val="none"/>
              </w:rPr>
            </w:pPr>
            <w:r>
              <w:rPr>
                <w:rFonts w:hint="eastAsia" w:ascii="宋体" w:hAnsi="宋体" w:eastAsia="宋体" w:cs="宋体"/>
                <w:bCs/>
                <w:i w:val="0"/>
                <w:iCs w:val="0"/>
                <w:color w:val="auto"/>
                <w:sz w:val="24"/>
                <w:szCs w:val="24"/>
                <w:highlight w:val="none"/>
              </w:rPr>
              <w:t>▲强制采购的节能产品</w:t>
            </w:r>
          </w:p>
        </w:tc>
        <w:tc>
          <w:tcPr>
            <w:tcW w:w="6769" w:type="dxa"/>
            <w:vAlign w:val="center"/>
          </w:tcPr>
          <w:p w14:paraId="5A201EB3">
            <w:pP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□台式计算机  □便携式计算机  □平板式微型计算机</w:t>
            </w:r>
          </w:p>
          <w:p w14:paraId="4F10D468">
            <w:pPr>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□激光打印机  □针式打印机    □液晶显示设备  □水嘴</w:t>
            </w:r>
          </w:p>
          <w:p w14:paraId="0439F36D">
            <w:pPr>
              <w:rPr>
                <w:rFonts w:hint="eastAsia" w:ascii="宋体" w:hAnsi="宋体" w:eastAsia="宋体" w:cs="宋体"/>
                <w:bCs/>
                <w:i w:val="0"/>
                <w:iCs w:val="0"/>
                <w:color w:val="auto"/>
                <w:sz w:val="24"/>
                <w:szCs w:val="24"/>
                <w:highlight w:val="none"/>
              </w:rPr>
            </w:pPr>
            <w:r>
              <w:rPr>
                <w:rFonts w:hint="eastAsia" w:ascii="宋体" w:hAnsi="宋体" w:cs="宋体"/>
                <w:bCs/>
                <w:i w:val="0"/>
                <w:iCs w:val="0"/>
                <w:color w:val="auto"/>
                <w:sz w:val="24"/>
                <w:szCs w:val="24"/>
                <w:highlight w:val="none"/>
                <w:lang w:eastAsia="zh-CN"/>
              </w:rPr>
              <w:t>□</w:t>
            </w:r>
            <w:r>
              <w:rPr>
                <w:rFonts w:hint="eastAsia" w:ascii="宋体" w:hAnsi="宋体" w:eastAsia="宋体" w:cs="宋体"/>
                <w:bCs/>
                <w:i w:val="0"/>
                <w:iCs w:val="0"/>
                <w:color w:val="auto"/>
                <w:sz w:val="24"/>
                <w:szCs w:val="24"/>
                <w:highlight w:val="none"/>
              </w:rPr>
              <w:t xml:space="preserve">制冷压缩机  □空调机组      </w:t>
            </w:r>
            <w:r>
              <w:rPr>
                <w:rFonts w:hint="eastAsia" w:ascii="宋体" w:hAnsi="宋体" w:cs="宋体"/>
                <w:bCs/>
                <w:i w:val="0"/>
                <w:iCs w:val="0"/>
                <w:color w:val="auto"/>
                <w:sz w:val="24"/>
                <w:szCs w:val="24"/>
                <w:highlight w:val="none"/>
                <w:lang w:eastAsia="zh-CN"/>
              </w:rPr>
              <w:t>□</w:t>
            </w:r>
            <w:r>
              <w:rPr>
                <w:rFonts w:hint="eastAsia" w:ascii="宋体" w:hAnsi="宋体" w:eastAsia="宋体" w:cs="宋体"/>
                <w:bCs/>
                <w:i w:val="0"/>
                <w:iCs w:val="0"/>
                <w:color w:val="auto"/>
                <w:sz w:val="24"/>
                <w:szCs w:val="24"/>
                <w:highlight w:val="none"/>
              </w:rPr>
              <w:t>专用制冷、空调设备</w:t>
            </w:r>
          </w:p>
          <w:p w14:paraId="6389A7A0">
            <w:pPr>
              <w:jc w:val="right"/>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 xml:space="preserve">□镇流器      □视频设备      </w:t>
            </w:r>
            <w:r>
              <w:rPr>
                <w:rFonts w:hint="eastAsia" w:ascii="宋体" w:hAnsi="宋体" w:cs="宋体"/>
                <w:bCs/>
                <w:i w:val="0"/>
                <w:iCs w:val="0"/>
                <w:color w:val="auto"/>
                <w:sz w:val="24"/>
                <w:szCs w:val="24"/>
                <w:highlight w:val="none"/>
                <w:lang w:eastAsia="zh-CN"/>
              </w:rPr>
              <w:t>□</w:t>
            </w:r>
            <w:r>
              <w:rPr>
                <w:rFonts w:hint="eastAsia" w:ascii="宋体" w:hAnsi="宋体" w:eastAsia="宋体" w:cs="宋体"/>
                <w:bCs/>
                <w:i w:val="0"/>
                <w:iCs w:val="0"/>
                <w:color w:val="auto"/>
                <w:sz w:val="24"/>
                <w:szCs w:val="24"/>
                <w:highlight w:val="none"/>
              </w:rPr>
              <w:t>电热水器      □便器</w:t>
            </w:r>
          </w:p>
          <w:p w14:paraId="2CDB833D">
            <w:pPr>
              <w:rPr>
                <w:rFonts w:hint="default" w:ascii="宋体" w:hAnsi="宋体" w:eastAsia="宋体" w:cs="宋体"/>
                <w:bCs/>
                <w:color w:val="auto"/>
                <w:sz w:val="24"/>
                <w:szCs w:val="24"/>
                <w:highlight w:val="none"/>
                <w:lang w:val="en-US" w:eastAsia="zh-CN"/>
              </w:rPr>
            </w:pPr>
            <w:r>
              <w:rPr>
                <w:rFonts w:hint="eastAsia" w:ascii="宋体" w:hAnsi="宋体" w:eastAsia="宋体" w:cs="宋体"/>
                <w:bCs/>
                <w:i w:val="0"/>
                <w:iCs w:val="0"/>
                <w:color w:val="auto"/>
                <w:sz w:val="24"/>
                <w:szCs w:val="24"/>
                <w:highlight w:val="none"/>
              </w:rPr>
              <w:t xml:space="preserve">□普通照明用双端荧光灯        </w:t>
            </w:r>
            <w:r>
              <w:rPr>
                <w:rFonts w:hint="eastAsia" w:ascii="宋体" w:hAnsi="宋体" w:eastAsia="宋体" w:cs="宋体"/>
                <w:bCs/>
                <w:i w:val="0"/>
                <w:iCs w:val="0"/>
                <w:color w:val="auto"/>
                <w:sz w:val="24"/>
                <w:szCs w:val="24"/>
                <w:highlight w:val="none"/>
                <w:lang w:eastAsia="zh-CN"/>
              </w:rPr>
              <w:t>□</w:t>
            </w:r>
            <w:r>
              <w:rPr>
                <w:rFonts w:hint="eastAsia" w:ascii="宋体" w:hAnsi="宋体" w:eastAsia="宋体" w:cs="宋体"/>
                <w:bCs/>
                <w:i w:val="0"/>
                <w:iCs w:val="0"/>
                <w:color w:val="auto"/>
                <w:sz w:val="24"/>
                <w:szCs w:val="24"/>
                <w:highlight w:val="none"/>
              </w:rPr>
              <w:t>电视设备      □空调机</w:t>
            </w:r>
            <w:r>
              <w:rPr>
                <w:rFonts w:hint="eastAsia" w:ascii="宋体" w:hAnsi="宋体"/>
                <w:b/>
                <w:bCs/>
                <w:sz w:val="24"/>
                <w:highlight w:val="none"/>
              </w:rPr>
              <w:t>注:具体要求详见《关于印发节能产品政府采购品目清单的通知》财库〔2019〕19号</w:t>
            </w:r>
            <w:r>
              <w:rPr>
                <w:rFonts w:hint="eastAsia" w:ascii="宋体" w:hAnsi="宋体"/>
                <w:b/>
                <w:bCs/>
                <w:sz w:val="24"/>
                <w:highlight w:val="none"/>
                <w:lang w:eastAsia="zh-CN"/>
              </w:rPr>
              <w:t>，</w:t>
            </w:r>
            <w:r>
              <w:rPr>
                <w:rFonts w:hint="eastAsia" w:ascii="宋体" w:hAnsi="宋体"/>
                <w:b/>
                <w:bCs/>
                <w:sz w:val="24"/>
                <w:highlight w:val="none"/>
                <w:lang w:val="en-US" w:eastAsia="zh-CN"/>
              </w:rPr>
              <w:t>如有最新文件，按最新文件执行。</w:t>
            </w:r>
          </w:p>
        </w:tc>
      </w:tr>
      <w:tr w14:paraId="0E0B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77DAB9EE">
            <w:pPr>
              <w:ind w:left="-88" w:leftChars="-42" w:right="-113" w:rightChars="-54"/>
              <w:jc w:val="center"/>
              <w:rPr>
                <w:rFonts w:hint="eastAsia" w:ascii="宋体" w:hAnsi="宋体" w:eastAsia="宋体" w:cs="宋体"/>
                <w:bCs/>
                <w:snapToGrid w:val="0"/>
                <w:color w:val="auto"/>
                <w:sz w:val="24"/>
                <w:szCs w:val="24"/>
                <w:highlight w:val="none"/>
                <w:lang w:eastAsia="zh-CN"/>
              </w:rPr>
            </w:pPr>
            <w:r>
              <w:rPr>
                <w:rFonts w:hint="eastAsia" w:ascii="宋体" w:hAnsi="宋体" w:cs="宋体"/>
                <w:bCs/>
                <w:snapToGrid w:val="0"/>
                <w:color w:val="auto"/>
                <w:sz w:val="24"/>
                <w:szCs w:val="24"/>
                <w:highlight w:val="none"/>
                <w:lang w:val="en-US" w:eastAsia="zh-CN"/>
              </w:rPr>
              <w:t>8</w:t>
            </w:r>
          </w:p>
        </w:tc>
        <w:tc>
          <w:tcPr>
            <w:tcW w:w="1560" w:type="dxa"/>
            <w:vAlign w:val="center"/>
          </w:tcPr>
          <w:p w14:paraId="60A3D5ED">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小型、微型企业的价格扣除</w:t>
            </w:r>
          </w:p>
        </w:tc>
        <w:tc>
          <w:tcPr>
            <w:tcW w:w="6769" w:type="dxa"/>
            <w:vAlign w:val="center"/>
          </w:tcPr>
          <w:p w14:paraId="65B10D67">
            <w:pPr>
              <w:snapToGrid w:val="0"/>
              <w:spacing w:line="360" w:lineRule="auto"/>
              <w:rPr>
                <w:rFonts w:hint="default" w:ascii="宋体" w:hAnsi="宋体" w:cs="宋体"/>
                <w:bCs/>
                <w:snapToGrid w:val="0"/>
                <w:color w:val="auto"/>
                <w:sz w:val="24"/>
                <w:szCs w:val="24"/>
                <w:highlight w:val="none"/>
                <w:lang w:val="en-US"/>
              </w:rPr>
            </w:pPr>
            <w:r>
              <w:rPr>
                <w:rFonts w:hint="eastAsia" w:ascii="宋体" w:hAnsi="宋体" w:eastAsia="宋体" w:cs="宋体"/>
                <w:bCs/>
                <w:i w:val="0"/>
                <w:iCs w:val="0"/>
                <w:caps w:val="0"/>
                <w:strike w:val="0"/>
                <w:snapToGrid w:val="0"/>
                <w:color w:val="auto"/>
                <w:spacing w:val="0"/>
                <w:sz w:val="24"/>
                <w:szCs w:val="24"/>
                <w:highlight w:val="none"/>
                <w:lang w:eastAsia="zh-CN"/>
              </w:rPr>
              <w:t>本项目所属行业：</w:t>
            </w:r>
            <w:r>
              <w:rPr>
                <w:rFonts w:hint="eastAsia" w:ascii="宋体" w:hAnsi="宋体" w:cs="宋体"/>
                <w:b/>
                <w:snapToGrid w:val="0"/>
                <w:color w:val="auto"/>
                <w:sz w:val="24"/>
                <w:szCs w:val="24"/>
                <w:highlight w:val="none"/>
                <w:u w:val="single"/>
                <w:lang w:val="en-US" w:eastAsia="zh-CN"/>
              </w:rPr>
              <w:t>工业</w:t>
            </w:r>
            <w:r>
              <w:rPr>
                <w:rFonts w:hint="eastAsia" w:ascii="宋体" w:hAnsi="宋体" w:eastAsia="宋体" w:cs="宋体"/>
                <w:b/>
                <w:snapToGrid w:val="0"/>
                <w:color w:val="auto"/>
                <w:sz w:val="24"/>
                <w:szCs w:val="24"/>
                <w:highlight w:val="none"/>
                <w:u w:val="single"/>
                <w:lang w:val="en-US" w:eastAsia="zh-CN"/>
              </w:rPr>
              <w:t>，</w:t>
            </w:r>
            <w:r>
              <w:rPr>
                <w:rFonts w:hint="eastAsia" w:ascii="宋体" w:hAnsi="宋体" w:cs="宋体"/>
                <w:b/>
                <w:snapToGrid w:val="0"/>
                <w:color w:val="auto"/>
                <w:sz w:val="24"/>
                <w:szCs w:val="24"/>
                <w:highlight w:val="none"/>
                <w:u w:val="single"/>
                <w:lang w:val="en-US" w:eastAsia="zh-CN"/>
              </w:rPr>
              <w:t>专门面向中小企业采购的项目不享受价格扣除政策。</w:t>
            </w:r>
          </w:p>
        </w:tc>
      </w:tr>
      <w:tr w14:paraId="1DDD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53F4A81F">
            <w:pPr>
              <w:ind w:left="-88" w:leftChars="-42" w:right="-113" w:rightChars="-54"/>
              <w:jc w:val="center"/>
              <w:rPr>
                <w:rFonts w:hint="default" w:ascii="宋体" w:hAnsi="宋体" w:eastAsia="宋体" w:cs="宋体"/>
                <w:bCs/>
                <w:snapToGrid w:val="0"/>
                <w:color w:val="auto"/>
                <w:sz w:val="24"/>
                <w:szCs w:val="24"/>
                <w:highlight w:val="none"/>
                <w:lang w:val="en-US" w:eastAsia="zh-CN"/>
              </w:rPr>
            </w:pPr>
            <w:r>
              <w:rPr>
                <w:rFonts w:hint="eastAsia" w:ascii="宋体" w:hAnsi="宋体" w:cs="宋体"/>
                <w:bCs/>
                <w:snapToGrid w:val="0"/>
                <w:color w:val="auto"/>
                <w:sz w:val="24"/>
                <w:szCs w:val="24"/>
                <w:highlight w:val="none"/>
                <w:lang w:val="en-US" w:eastAsia="zh-CN"/>
              </w:rPr>
              <w:t>9</w:t>
            </w:r>
          </w:p>
        </w:tc>
        <w:tc>
          <w:tcPr>
            <w:tcW w:w="1560" w:type="dxa"/>
            <w:vAlign w:val="center"/>
          </w:tcPr>
          <w:p w14:paraId="214CA972">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质疑联系人</w:t>
            </w:r>
          </w:p>
        </w:tc>
        <w:tc>
          <w:tcPr>
            <w:tcW w:w="6769" w:type="dxa"/>
            <w:vAlign w:val="center"/>
          </w:tcPr>
          <w:p w14:paraId="148384C1">
            <w:pPr>
              <w:rPr>
                <w:rFonts w:ascii="宋体" w:hAnsi="宋体" w:cs="宋体"/>
                <w:bCs/>
                <w:color w:val="auto"/>
                <w:sz w:val="24"/>
                <w:szCs w:val="24"/>
                <w:highlight w:val="none"/>
              </w:rPr>
            </w:pPr>
            <w:r>
              <w:rPr>
                <w:rFonts w:hint="eastAsia" w:ascii="宋体" w:hAnsi="宋体" w:cs="宋体"/>
                <w:bCs/>
                <w:color w:val="auto"/>
                <w:sz w:val="24"/>
                <w:szCs w:val="24"/>
                <w:highlight w:val="none"/>
              </w:rPr>
              <w:t>1. 采购需求、</w:t>
            </w:r>
            <w:r>
              <w:rPr>
                <w:rFonts w:hint="eastAsia" w:ascii="宋体" w:hAnsi="宋体" w:cs="宋体"/>
                <w:bCs/>
                <w:color w:val="auto"/>
                <w:sz w:val="24"/>
                <w:szCs w:val="24"/>
                <w:highlight w:val="none"/>
                <w:lang w:eastAsia="zh-CN"/>
              </w:rPr>
              <w:t>投标人</w:t>
            </w:r>
            <w:r>
              <w:rPr>
                <w:rFonts w:hint="eastAsia" w:ascii="宋体" w:hAnsi="宋体" w:cs="宋体"/>
                <w:bCs/>
                <w:color w:val="auto"/>
                <w:sz w:val="24"/>
                <w:szCs w:val="24"/>
                <w:highlight w:val="none"/>
              </w:rPr>
              <w:t>资格条件及评标办法质疑：</w:t>
            </w:r>
          </w:p>
          <w:p w14:paraId="2E20E874">
            <w:pPr>
              <w:ind w:firstLine="360" w:firstLineChars="150"/>
              <w:rPr>
                <w:rFonts w:ascii="宋体" w:hAnsi="宋体" w:cs="宋体"/>
                <w:bCs/>
                <w:color w:val="auto"/>
                <w:sz w:val="24"/>
                <w:szCs w:val="24"/>
                <w:highlight w:val="none"/>
              </w:rPr>
            </w:pPr>
            <w:r>
              <w:rPr>
                <w:rFonts w:hint="eastAsia" w:ascii="宋体" w:hAnsi="宋体" w:cs="宋体"/>
                <w:bCs/>
                <w:color w:val="auto"/>
                <w:sz w:val="24"/>
                <w:szCs w:val="24"/>
                <w:highlight w:val="none"/>
              </w:rPr>
              <w:t>单  位：丽水学院</w:t>
            </w:r>
          </w:p>
          <w:p w14:paraId="4717220D">
            <w:pPr>
              <w:ind w:firstLine="360" w:firstLineChars="150"/>
              <w:rPr>
                <w:rFonts w:ascii="宋体" w:hAnsi="宋体" w:cs="宋体"/>
                <w:bCs/>
                <w:color w:val="auto"/>
                <w:sz w:val="24"/>
                <w:szCs w:val="24"/>
                <w:highlight w:val="none"/>
              </w:rPr>
            </w:pPr>
            <w:r>
              <w:rPr>
                <w:rFonts w:hint="eastAsia" w:ascii="宋体" w:hAnsi="宋体" w:cs="宋体"/>
                <w:bCs/>
                <w:color w:val="auto"/>
                <w:sz w:val="24"/>
                <w:szCs w:val="24"/>
                <w:highlight w:val="none"/>
              </w:rPr>
              <w:t>联系人：</w:t>
            </w:r>
            <w:r>
              <w:rPr>
                <w:rFonts w:hint="eastAsia" w:ascii="宋体" w:hAnsi="宋体" w:cs="宋体"/>
                <w:bCs/>
                <w:color w:val="auto"/>
                <w:sz w:val="24"/>
                <w:szCs w:val="24"/>
                <w:highlight w:val="none"/>
                <w:lang w:val="en-US" w:eastAsia="zh-CN"/>
              </w:rPr>
              <w:t xml:space="preserve">马精平 </w:t>
            </w:r>
            <w:r>
              <w:rPr>
                <w:rFonts w:hint="eastAsia" w:ascii="宋体" w:hAnsi="宋体" w:cs="宋体"/>
                <w:bCs/>
                <w:color w:val="auto"/>
                <w:sz w:val="24"/>
                <w:szCs w:val="24"/>
                <w:highlight w:val="none"/>
              </w:rPr>
              <w:t xml:space="preserve">  联系电话：</w:t>
            </w:r>
            <w:r>
              <w:rPr>
                <w:rFonts w:hint="eastAsia" w:ascii="宋体" w:hAnsi="宋体" w:eastAsia="宋体" w:cs="宋体"/>
                <w:sz w:val="24"/>
                <w:szCs w:val="24"/>
                <w:highlight w:val="none"/>
                <w:u w:val="none"/>
              </w:rPr>
              <w:t>0578-2277072</w:t>
            </w:r>
            <w:r>
              <w:rPr>
                <w:rFonts w:hint="eastAsia" w:ascii="宋体" w:hAnsi="宋体" w:cs="宋体"/>
                <w:bCs/>
                <w:color w:val="auto"/>
                <w:sz w:val="24"/>
                <w:szCs w:val="24"/>
                <w:highlight w:val="none"/>
              </w:rPr>
              <w:t xml:space="preserve"> </w:t>
            </w:r>
          </w:p>
          <w:p w14:paraId="20C5ED93">
            <w:pPr>
              <w:rPr>
                <w:rFonts w:ascii="宋体" w:hAnsi="宋体" w:cs="宋体"/>
                <w:bCs/>
                <w:color w:val="auto"/>
                <w:sz w:val="24"/>
                <w:szCs w:val="24"/>
                <w:highlight w:val="none"/>
              </w:rPr>
            </w:pPr>
            <w:r>
              <w:rPr>
                <w:rFonts w:hint="eastAsia" w:ascii="宋体" w:hAnsi="宋体" w:cs="宋体"/>
                <w:bCs/>
                <w:color w:val="auto"/>
                <w:sz w:val="24"/>
                <w:szCs w:val="24"/>
                <w:highlight w:val="none"/>
              </w:rPr>
              <w:t>2. 其他事项质疑：</w:t>
            </w:r>
          </w:p>
          <w:p w14:paraId="397B95B3">
            <w:pPr>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单  位：</w:t>
            </w:r>
            <w:r>
              <w:rPr>
                <w:rFonts w:hint="eastAsia" w:ascii="宋体" w:hAnsi="宋体" w:cs="宋体"/>
                <w:color w:val="auto"/>
                <w:sz w:val="24"/>
                <w:szCs w:val="24"/>
                <w:highlight w:val="none"/>
                <w:u w:val="single"/>
              </w:rPr>
              <w:t>浙江鼎峰工程咨询有限公司</w:t>
            </w:r>
          </w:p>
          <w:p w14:paraId="731DC0C6">
            <w:pPr>
              <w:ind w:firstLine="360" w:firstLineChars="150"/>
              <w:rPr>
                <w:rFonts w:ascii="宋体" w:hAnsi="宋体" w:cs="宋体"/>
                <w:bCs/>
                <w:color w:val="auto"/>
                <w:sz w:val="24"/>
                <w:szCs w:val="24"/>
                <w:highlight w:val="none"/>
              </w:rPr>
            </w:pPr>
            <w:r>
              <w:rPr>
                <w:rFonts w:hint="eastAsia" w:ascii="宋体" w:hAnsi="宋体" w:cs="宋体"/>
                <w:color w:val="auto"/>
                <w:sz w:val="24"/>
                <w:szCs w:val="24"/>
                <w:highlight w:val="none"/>
              </w:rPr>
              <w:t>质疑人：</w:t>
            </w:r>
            <w:r>
              <w:rPr>
                <w:rFonts w:hint="eastAsia" w:ascii="宋体" w:hAnsi="宋体" w:cs="宋体"/>
                <w:bCs/>
                <w:color w:val="auto"/>
                <w:sz w:val="24"/>
                <w:szCs w:val="24"/>
                <w:highlight w:val="none"/>
              </w:rPr>
              <w:t>林秋丽</w:t>
            </w:r>
            <w:r>
              <w:rPr>
                <w:rFonts w:hint="eastAsia" w:ascii="宋体" w:hAnsi="宋体" w:cs="宋体"/>
                <w:color w:val="auto"/>
                <w:sz w:val="24"/>
                <w:szCs w:val="24"/>
                <w:highlight w:val="none"/>
              </w:rPr>
              <w:t xml:space="preserve">  联系电话：</w:t>
            </w:r>
            <w:r>
              <w:rPr>
                <w:rFonts w:hint="eastAsia" w:ascii="宋体" w:hAnsi="宋体" w:cs="宋体"/>
                <w:bCs/>
                <w:color w:val="auto"/>
                <w:sz w:val="24"/>
                <w:szCs w:val="24"/>
                <w:highlight w:val="none"/>
              </w:rPr>
              <w:t>0578-2082121</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/13625887767</w:t>
            </w:r>
            <w:r>
              <w:rPr>
                <w:rFonts w:hint="eastAsia" w:ascii="宋体" w:hAnsi="宋体" w:cs="宋体"/>
                <w:color w:val="auto"/>
                <w:sz w:val="24"/>
                <w:szCs w:val="24"/>
                <w:highlight w:val="none"/>
              </w:rPr>
              <w:t xml:space="preserve"> </w:t>
            </w:r>
          </w:p>
        </w:tc>
      </w:tr>
      <w:tr w14:paraId="1A9A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38A4FA0D">
            <w:pPr>
              <w:ind w:left="-88" w:leftChars="-42" w:right="-113" w:rightChars="-54"/>
              <w:jc w:val="center"/>
              <w:rPr>
                <w:rFonts w:hint="default" w:ascii="宋体" w:hAnsi="宋体" w:eastAsia="宋体" w:cs="宋体"/>
                <w:bCs/>
                <w:snapToGrid w:val="0"/>
                <w:color w:val="auto"/>
                <w:sz w:val="24"/>
                <w:szCs w:val="24"/>
                <w:highlight w:val="none"/>
                <w:lang w:val="en-US" w:eastAsia="zh-CN"/>
              </w:rPr>
            </w:pPr>
            <w:r>
              <w:rPr>
                <w:rFonts w:hint="eastAsia" w:ascii="宋体" w:hAnsi="宋体" w:cs="宋体"/>
                <w:bCs/>
                <w:snapToGrid w:val="0"/>
                <w:color w:val="auto"/>
                <w:sz w:val="24"/>
                <w:szCs w:val="24"/>
                <w:highlight w:val="none"/>
                <w:lang w:val="en-US" w:eastAsia="zh-CN"/>
              </w:rPr>
              <w:t>10</w:t>
            </w:r>
          </w:p>
        </w:tc>
        <w:tc>
          <w:tcPr>
            <w:tcW w:w="1560" w:type="dxa"/>
            <w:vAlign w:val="center"/>
          </w:tcPr>
          <w:p w14:paraId="4898A555">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同级政府采购监督管理部门</w:t>
            </w:r>
          </w:p>
        </w:tc>
        <w:tc>
          <w:tcPr>
            <w:tcW w:w="6769" w:type="dxa"/>
            <w:vAlign w:val="center"/>
          </w:tcPr>
          <w:p w14:paraId="17A09F1A">
            <w:pPr>
              <w:rPr>
                <w:rFonts w:ascii="宋体" w:hAnsi="宋体" w:cs="宋体"/>
                <w:bCs/>
                <w:color w:val="auto"/>
                <w:sz w:val="24"/>
                <w:szCs w:val="24"/>
                <w:highlight w:val="none"/>
              </w:rPr>
            </w:pPr>
            <w:r>
              <w:rPr>
                <w:rFonts w:hint="eastAsia" w:ascii="宋体" w:hAnsi="宋体" w:cs="宋体"/>
                <w:bCs/>
                <w:color w:val="auto"/>
                <w:sz w:val="24"/>
                <w:szCs w:val="24"/>
                <w:highlight w:val="none"/>
              </w:rPr>
              <w:t>见第一章招标公告</w:t>
            </w:r>
          </w:p>
        </w:tc>
      </w:tr>
      <w:tr w14:paraId="23AE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216C77F6">
            <w:pPr>
              <w:ind w:left="-88" w:leftChars="-42" w:right="-113" w:rightChars="-54"/>
              <w:jc w:val="center"/>
              <w:rPr>
                <w:rFonts w:hint="default" w:ascii="宋体" w:hAnsi="宋体" w:eastAsia="宋体" w:cs="宋体"/>
                <w:bCs/>
                <w:snapToGrid w:val="0"/>
                <w:color w:val="auto"/>
                <w:sz w:val="24"/>
                <w:szCs w:val="24"/>
                <w:highlight w:val="none"/>
                <w:lang w:val="en-US" w:eastAsia="zh-CN"/>
              </w:rPr>
            </w:pPr>
            <w:r>
              <w:rPr>
                <w:rFonts w:hint="eastAsia" w:ascii="宋体" w:hAnsi="宋体" w:cs="宋体"/>
                <w:bCs/>
                <w:snapToGrid w:val="0"/>
                <w:color w:val="auto"/>
                <w:sz w:val="24"/>
                <w:szCs w:val="24"/>
                <w:highlight w:val="none"/>
                <w:lang w:val="en-US" w:eastAsia="zh-CN"/>
              </w:rPr>
              <w:t>11</w:t>
            </w:r>
          </w:p>
        </w:tc>
        <w:tc>
          <w:tcPr>
            <w:tcW w:w="1560" w:type="dxa"/>
            <w:vAlign w:val="center"/>
          </w:tcPr>
          <w:p w14:paraId="28FCF3FF">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澄清、修改发布网址</w:t>
            </w:r>
          </w:p>
        </w:tc>
        <w:tc>
          <w:tcPr>
            <w:tcW w:w="6769" w:type="dxa"/>
            <w:vAlign w:val="center"/>
          </w:tcPr>
          <w:p w14:paraId="124871CB">
            <w:pPr>
              <w:rPr>
                <w:rFonts w:ascii="宋体" w:hAnsi="宋体" w:cs="宋体"/>
                <w:bCs/>
                <w:color w:val="auto"/>
                <w:sz w:val="24"/>
                <w:szCs w:val="24"/>
                <w:highlight w:val="none"/>
              </w:rPr>
            </w:pPr>
            <w:r>
              <w:rPr>
                <w:rFonts w:hint="eastAsia" w:ascii="宋体" w:hAnsi="宋体" w:cs="宋体"/>
                <w:bCs/>
                <w:color w:val="auto"/>
                <w:sz w:val="24"/>
                <w:szCs w:val="24"/>
                <w:highlight w:val="none"/>
              </w:rPr>
              <w:t>1.浙江政府采购网（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宋体" w:hAnsi="宋体" w:cs="宋体"/>
                <w:color w:val="auto"/>
                <w:sz w:val="24"/>
                <w:szCs w:val="24"/>
                <w:highlight w:val="none"/>
              </w:rPr>
              <w:t>zfcg.czt.zj.gov.cn</w:t>
            </w:r>
            <w:r>
              <w:rPr>
                <w:rFonts w:hint="eastAsia" w:ascii="宋体" w:hAnsi="宋体" w:cs="宋体"/>
                <w:color w:val="auto"/>
                <w:sz w:val="24"/>
                <w:szCs w:val="24"/>
                <w:highlight w:val="none"/>
              </w:rPr>
              <w:fldChar w:fldCharType="end"/>
            </w:r>
            <w:r>
              <w:rPr>
                <w:rFonts w:hint="eastAsia" w:ascii="宋体" w:hAnsi="宋体" w:cs="宋体"/>
                <w:bCs/>
                <w:color w:val="auto"/>
                <w:sz w:val="24"/>
                <w:szCs w:val="24"/>
                <w:highlight w:val="none"/>
              </w:rPr>
              <w:t>）</w:t>
            </w:r>
          </w:p>
          <w:p w14:paraId="31940F36">
            <w:pPr>
              <w:rPr>
                <w:rFonts w:ascii="宋体" w:hAnsi="宋体" w:cs="宋体"/>
                <w:bCs/>
                <w:color w:val="auto"/>
                <w:sz w:val="24"/>
                <w:szCs w:val="24"/>
                <w:highlight w:val="none"/>
              </w:rPr>
            </w:pPr>
            <w:r>
              <w:rPr>
                <w:rFonts w:hint="eastAsia" w:ascii="宋体" w:hAnsi="宋体" w:cs="宋体"/>
                <w:bCs/>
                <w:color w:val="auto"/>
                <w:sz w:val="24"/>
                <w:szCs w:val="24"/>
                <w:highlight w:val="none"/>
              </w:rPr>
              <w:t>2.丽水市公共资源交易网（lssggzy.lishui.gov.cn）</w:t>
            </w:r>
          </w:p>
        </w:tc>
      </w:tr>
      <w:tr w14:paraId="3EDD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20A1289D">
            <w:pPr>
              <w:ind w:left="-88" w:leftChars="-42" w:right="-113" w:rightChars="-54"/>
              <w:jc w:val="center"/>
              <w:rPr>
                <w:rFonts w:hint="default" w:ascii="宋体" w:hAnsi="宋体" w:eastAsia="宋体" w:cs="宋体"/>
                <w:bCs/>
                <w:snapToGrid w:val="0"/>
                <w:color w:val="auto"/>
                <w:sz w:val="24"/>
                <w:szCs w:val="24"/>
                <w:highlight w:val="none"/>
                <w:lang w:val="en-US" w:eastAsia="zh-CN"/>
              </w:rPr>
            </w:pPr>
            <w:r>
              <w:rPr>
                <w:rFonts w:hint="eastAsia" w:ascii="宋体" w:hAnsi="宋体" w:cs="宋体"/>
                <w:bCs/>
                <w:snapToGrid w:val="0"/>
                <w:color w:val="auto"/>
                <w:sz w:val="24"/>
                <w:szCs w:val="24"/>
                <w:highlight w:val="none"/>
                <w:lang w:val="en-US" w:eastAsia="zh-CN"/>
              </w:rPr>
              <w:t>12</w:t>
            </w:r>
          </w:p>
        </w:tc>
        <w:tc>
          <w:tcPr>
            <w:tcW w:w="1560" w:type="dxa"/>
            <w:vAlign w:val="center"/>
          </w:tcPr>
          <w:p w14:paraId="3E2FD7AB">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highlight w:val="none"/>
              </w:rPr>
              <w:t>投标文件组成</w:t>
            </w:r>
          </w:p>
        </w:tc>
        <w:tc>
          <w:tcPr>
            <w:tcW w:w="6769" w:type="dxa"/>
            <w:vAlign w:val="center"/>
          </w:tcPr>
          <w:p w14:paraId="0C78C339">
            <w:pPr>
              <w:jc w:val="left"/>
              <w:rPr>
                <w:rFonts w:ascii="宋体" w:hAnsi="宋体" w:cs="宋体"/>
                <w:bCs/>
                <w:color w:val="auto"/>
                <w:sz w:val="24"/>
                <w:szCs w:val="24"/>
                <w:highlight w:val="none"/>
              </w:rPr>
            </w:pPr>
            <w:r>
              <w:rPr>
                <w:rFonts w:hint="eastAsia" w:ascii="宋体" w:hAnsi="宋体" w:cs="宋体"/>
                <w:bCs/>
                <w:color w:val="auto"/>
                <w:sz w:val="24"/>
                <w:szCs w:val="24"/>
                <w:highlight w:val="none"/>
              </w:rPr>
              <w:t>投标文件由资格文件、商务技术文件、报价文件组成。见第五章 投标文件格式</w:t>
            </w:r>
          </w:p>
        </w:tc>
      </w:tr>
      <w:tr w14:paraId="6F17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39A47C81">
            <w:pPr>
              <w:ind w:left="-88" w:leftChars="-42" w:right="-113" w:rightChars="-54"/>
              <w:jc w:val="center"/>
              <w:rPr>
                <w:rFonts w:hint="default" w:ascii="宋体" w:hAnsi="宋体" w:eastAsia="宋体" w:cs="宋体"/>
                <w:bCs/>
                <w:snapToGrid w:val="0"/>
                <w:color w:val="auto"/>
                <w:sz w:val="24"/>
                <w:szCs w:val="24"/>
                <w:highlight w:val="none"/>
                <w:lang w:val="en-US" w:eastAsia="zh-CN"/>
              </w:rPr>
            </w:pPr>
            <w:r>
              <w:rPr>
                <w:rFonts w:hint="eastAsia" w:ascii="宋体" w:hAnsi="宋体" w:cs="宋体"/>
                <w:bCs/>
                <w:snapToGrid w:val="0"/>
                <w:color w:val="auto"/>
                <w:sz w:val="24"/>
                <w:szCs w:val="24"/>
                <w:highlight w:val="none"/>
                <w:lang w:val="en-US" w:eastAsia="zh-CN"/>
              </w:rPr>
              <w:t>13</w:t>
            </w:r>
          </w:p>
        </w:tc>
        <w:tc>
          <w:tcPr>
            <w:tcW w:w="1560" w:type="dxa"/>
            <w:vAlign w:val="center"/>
          </w:tcPr>
          <w:p w14:paraId="4A587D12">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投标有效期</w:t>
            </w:r>
          </w:p>
        </w:tc>
        <w:tc>
          <w:tcPr>
            <w:tcW w:w="6769" w:type="dxa"/>
            <w:vAlign w:val="center"/>
          </w:tcPr>
          <w:p w14:paraId="5E3B4498">
            <w:pPr>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u w:val="single"/>
              </w:rPr>
              <w:t>90</w:t>
            </w:r>
            <w:r>
              <w:rPr>
                <w:rFonts w:hint="eastAsia" w:ascii="宋体" w:hAnsi="宋体" w:cs="宋体"/>
                <w:color w:val="auto"/>
                <w:sz w:val="24"/>
                <w:szCs w:val="24"/>
                <w:highlight w:val="none"/>
              </w:rPr>
              <w:t>天</w:t>
            </w:r>
          </w:p>
        </w:tc>
      </w:tr>
      <w:tr w14:paraId="107C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1706EC78">
            <w:pPr>
              <w:ind w:left="-88" w:leftChars="-42" w:right="-113" w:rightChars="-54"/>
              <w:jc w:val="center"/>
              <w:rPr>
                <w:rFonts w:hint="default" w:ascii="宋体" w:hAnsi="宋体" w:eastAsia="宋体" w:cs="宋体"/>
                <w:bCs/>
                <w:snapToGrid w:val="0"/>
                <w:color w:val="auto"/>
                <w:sz w:val="24"/>
                <w:szCs w:val="24"/>
                <w:highlight w:val="none"/>
                <w:lang w:val="en-US" w:eastAsia="zh-CN"/>
              </w:rPr>
            </w:pPr>
            <w:r>
              <w:rPr>
                <w:rFonts w:hint="eastAsia" w:ascii="宋体" w:hAnsi="宋体" w:cs="宋体"/>
                <w:bCs/>
                <w:snapToGrid w:val="0"/>
                <w:color w:val="auto"/>
                <w:sz w:val="24"/>
                <w:szCs w:val="24"/>
                <w:highlight w:val="none"/>
                <w:lang w:val="en-US" w:eastAsia="zh-CN"/>
              </w:rPr>
              <w:t>14</w:t>
            </w:r>
          </w:p>
        </w:tc>
        <w:tc>
          <w:tcPr>
            <w:tcW w:w="1560" w:type="dxa"/>
            <w:vAlign w:val="center"/>
          </w:tcPr>
          <w:p w14:paraId="37DF0155">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投标文件份数</w:t>
            </w:r>
          </w:p>
        </w:tc>
        <w:tc>
          <w:tcPr>
            <w:tcW w:w="6769" w:type="dxa"/>
            <w:vAlign w:val="center"/>
          </w:tcPr>
          <w:p w14:paraId="0C62A4BC">
            <w:pPr>
              <w:wordWrap w:val="0"/>
              <w:jc w:val="left"/>
              <w:rPr>
                <w:rFonts w:ascii="宋体" w:hAnsi="宋体" w:cs="宋体"/>
                <w:color w:val="auto"/>
                <w:sz w:val="24"/>
                <w:szCs w:val="24"/>
                <w:highlight w:val="none"/>
              </w:rPr>
            </w:pPr>
            <w:r>
              <w:rPr>
                <w:rFonts w:hint="eastAsia" w:ascii="宋体" w:hAnsi="宋体" w:cs="宋体"/>
                <w:color w:val="auto"/>
                <w:sz w:val="24"/>
                <w:szCs w:val="24"/>
                <w:highlight w:val="none"/>
              </w:rPr>
              <w:t>1.电子加密投标文件：政采云平台在线提交、上传一份；</w:t>
            </w:r>
          </w:p>
          <w:p w14:paraId="1D3B0D77">
            <w:pPr>
              <w:tabs>
                <w:tab w:val="left" w:pos="208"/>
              </w:tabs>
              <w:jc w:val="left"/>
              <w:rPr>
                <w:rFonts w:ascii="宋体" w:hAnsi="宋体" w:cs="宋体"/>
                <w:color w:val="auto"/>
                <w:highlight w:val="none"/>
              </w:rPr>
            </w:pPr>
            <w:r>
              <w:rPr>
                <w:rFonts w:hint="eastAsia" w:ascii="宋体" w:hAnsi="宋体" w:cs="宋体"/>
                <w:color w:val="auto"/>
                <w:highlight w:val="none"/>
              </w:rPr>
              <w:t xml:space="preserve">2. </w:t>
            </w:r>
            <w:r>
              <w:rPr>
                <w:rFonts w:hint="eastAsia" w:ascii="宋体" w:hAnsi="宋体" w:cs="宋体"/>
                <w:color w:val="auto"/>
                <w:sz w:val="24"/>
                <w:szCs w:val="24"/>
                <w:highlight w:val="none"/>
              </w:rPr>
              <w:t>备份投标文件：如有需要可按招标文件第三章5.4条款要求提交一份备份投标文件；</w:t>
            </w:r>
          </w:p>
          <w:p w14:paraId="4E613878">
            <w:pPr>
              <w:wordWrap w:val="0"/>
              <w:ind w:left="480" w:hanging="480" w:hangingChars="200"/>
              <w:jc w:val="left"/>
              <w:rPr>
                <w:rFonts w:ascii="宋体" w:hAnsi="宋体" w:cs="宋体"/>
                <w:color w:val="auto"/>
                <w:sz w:val="24"/>
                <w:szCs w:val="24"/>
                <w:highlight w:val="none"/>
              </w:rPr>
            </w:pPr>
            <w:r>
              <w:rPr>
                <w:rFonts w:hint="eastAsia" w:ascii="宋体" w:hAnsi="宋体" w:cs="宋体"/>
                <w:color w:val="auto"/>
                <w:sz w:val="24"/>
                <w:szCs w:val="24"/>
                <w:highlight w:val="none"/>
              </w:rPr>
              <w:t>注：投标人在线解密失败后，启用备份投标文件，否则不启用备份投标文件。</w:t>
            </w:r>
          </w:p>
        </w:tc>
      </w:tr>
      <w:tr w14:paraId="652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0340463E">
            <w:pPr>
              <w:ind w:left="-88" w:leftChars="-42" w:right="-113" w:rightChars="-54"/>
              <w:jc w:val="center"/>
              <w:rPr>
                <w:rFonts w:hint="default" w:ascii="宋体" w:hAnsi="宋体" w:eastAsia="宋体" w:cs="宋体"/>
                <w:bCs/>
                <w:snapToGrid w:val="0"/>
                <w:color w:val="auto"/>
                <w:sz w:val="24"/>
                <w:szCs w:val="24"/>
                <w:highlight w:val="none"/>
                <w:lang w:val="en-US" w:eastAsia="zh-CN"/>
              </w:rPr>
            </w:pPr>
            <w:r>
              <w:rPr>
                <w:rFonts w:hint="eastAsia" w:ascii="宋体" w:hAnsi="宋体" w:cs="宋体"/>
                <w:bCs/>
                <w:snapToGrid w:val="0"/>
                <w:color w:val="auto"/>
                <w:sz w:val="24"/>
                <w:szCs w:val="24"/>
                <w:highlight w:val="none"/>
                <w:lang w:val="en-US" w:eastAsia="zh-CN"/>
              </w:rPr>
              <w:t>15</w:t>
            </w:r>
          </w:p>
        </w:tc>
        <w:tc>
          <w:tcPr>
            <w:tcW w:w="1560" w:type="dxa"/>
            <w:vAlign w:val="center"/>
          </w:tcPr>
          <w:p w14:paraId="6EB7DF86">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样品</w:t>
            </w:r>
          </w:p>
        </w:tc>
        <w:tc>
          <w:tcPr>
            <w:tcW w:w="6769" w:type="dxa"/>
            <w:vAlign w:val="center"/>
          </w:tcPr>
          <w:p w14:paraId="01667E94">
            <w:pP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提供</w:t>
            </w:r>
          </w:p>
        </w:tc>
      </w:tr>
      <w:tr w14:paraId="7F30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6C226027">
            <w:pPr>
              <w:ind w:left="-88" w:leftChars="-42" w:right="-113" w:rightChars="-54"/>
              <w:jc w:val="center"/>
              <w:rPr>
                <w:rFonts w:hint="default" w:ascii="宋体" w:hAnsi="宋体" w:eastAsia="宋体" w:cs="宋体"/>
                <w:bCs/>
                <w:snapToGrid w:val="0"/>
                <w:color w:val="auto"/>
                <w:sz w:val="24"/>
                <w:szCs w:val="24"/>
                <w:highlight w:val="none"/>
                <w:lang w:val="en-US" w:eastAsia="zh-CN"/>
              </w:rPr>
            </w:pPr>
            <w:r>
              <w:rPr>
                <w:rFonts w:hint="eastAsia" w:ascii="宋体" w:hAnsi="宋体" w:cs="宋体"/>
                <w:bCs/>
                <w:snapToGrid w:val="0"/>
                <w:color w:val="auto"/>
                <w:sz w:val="24"/>
                <w:szCs w:val="24"/>
                <w:highlight w:val="none"/>
                <w:lang w:val="en-US" w:eastAsia="zh-CN"/>
              </w:rPr>
              <w:t>16</w:t>
            </w:r>
          </w:p>
        </w:tc>
        <w:tc>
          <w:tcPr>
            <w:tcW w:w="1560" w:type="dxa"/>
            <w:vAlign w:val="center"/>
          </w:tcPr>
          <w:p w14:paraId="02ECE443">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演示或讲解</w:t>
            </w:r>
          </w:p>
        </w:tc>
        <w:tc>
          <w:tcPr>
            <w:tcW w:w="6769" w:type="dxa"/>
            <w:vAlign w:val="center"/>
          </w:tcPr>
          <w:p w14:paraId="559CC6C7">
            <w:pP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不</w:t>
            </w:r>
            <w:r>
              <w:rPr>
                <w:rFonts w:hint="eastAsia" w:ascii="宋体" w:hAnsi="宋体" w:cs="宋体"/>
                <w:color w:val="auto"/>
                <w:sz w:val="24"/>
                <w:szCs w:val="24"/>
                <w:highlight w:val="none"/>
              </w:rPr>
              <w:t>组织。</w:t>
            </w:r>
          </w:p>
        </w:tc>
      </w:tr>
      <w:tr w14:paraId="52F3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5C854D42">
            <w:pPr>
              <w:ind w:left="-88" w:leftChars="-42" w:right="-113" w:rightChars="-54"/>
              <w:jc w:val="center"/>
              <w:rPr>
                <w:rFonts w:hint="default" w:ascii="宋体" w:hAnsi="宋体" w:eastAsia="宋体" w:cs="宋体"/>
                <w:bCs/>
                <w:snapToGrid w:val="0"/>
                <w:color w:val="auto"/>
                <w:sz w:val="24"/>
                <w:szCs w:val="24"/>
                <w:highlight w:val="none"/>
                <w:lang w:val="en-US" w:eastAsia="zh-CN"/>
              </w:rPr>
            </w:pPr>
            <w:r>
              <w:rPr>
                <w:rFonts w:hint="eastAsia" w:ascii="宋体" w:hAnsi="宋体" w:cs="宋体"/>
                <w:bCs/>
                <w:snapToGrid w:val="0"/>
                <w:color w:val="auto"/>
                <w:sz w:val="24"/>
                <w:szCs w:val="24"/>
                <w:highlight w:val="none"/>
                <w:lang w:val="en-US" w:eastAsia="zh-CN"/>
              </w:rPr>
              <w:t>17</w:t>
            </w:r>
          </w:p>
        </w:tc>
        <w:tc>
          <w:tcPr>
            <w:tcW w:w="1560" w:type="dxa"/>
            <w:vAlign w:val="center"/>
          </w:tcPr>
          <w:p w14:paraId="29D937EE">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评标方法</w:t>
            </w:r>
          </w:p>
        </w:tc>
        <w:tc>
          <w:tcPr>
            <w:tcW w:w="6769" w:type="dxa"/>
            <w:vAlign w:val="center"/>
          </w:tcPr>
          <w:p w14:paraId="13F893D1">
            <w:pPr>
              <w:rPr>
                <w:rFonts w:ascii="宋体" w:hAnsi="宋体" w:cs="宋体"/>
                <w:color w:val="auto"/>
                <w:sz w:val="24"/>
                <w:szCs w:val="24"/>
                <w:highlight w:val="none"/>
              </w:rPr>
            </w:pPr>
            <w:r>
              <w:rPr>
                <w:rFonts w:hint="eastAsia" w:ascii="宋体" w:hAnsi="宋体" w:cs="宋体"/>
                <w:color w:val="auto"/>
                <w:sz w:val="24"/>
                <w:szCs w:val="24"/>
                <w:highlight w:val="none"/>
              </w:rPr>
              <w:t>综合评分法</w:t>
            </w:r>
          </w:p>
        </w:tc>
      </w:tr>
      <w:tr w14:paraId="4DAA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2B736DB2">
            <w:pPr>
              <w:ind w:left="-88" w:leftChars="-42" w:right="-113" w:rightChars="-54"/>
              <w:jc w:val="center"/>
              <w:rPr>
                <w:rFonts w:hint="default" w:ascii="宋体" w:hAnsi="宋体" w:eastAsia="宋体" w:cs="宋体"/>
                <w:bCs/>
                <w:snapToGrid w:val="0"/>
                <w:color w:val="auto"/>
                <w:sz w:val="24"/>
                <w:szCs w:val="24"/>
                <w:highlight w:val="none"/>
                <w:lang w:val="en-US" w:eastAsia="zh-CN"/>
              </w:rPr>
            </w:pPr>
            <w:r>
              <w:rPr>
                <w:rFonts w:hint="eastAsia" w:ascii="宋体" w:hAnsi="宋体" w:cs="宋体"/>
                <w:bCs/>
                <w:snapToGrid w:val="0"/>
                <w:color w:val="auto"/>
                <w:sz w:val="24"/>
                <w:szCs w:val="24"/>
                <w:highlight w:val="none"/>
                <w:lang w:val="en-US" w:eastAsia="zh-CN"/>
              </w:rPr>
              <w:t>18</w:t>
            </w:r>
          </w:p>
        </w:tc>
        <w:tc>
          <w:tcPr>
            <w:tcW w:w="1560" w:type="dxa"/>
            <w:vAlign w:val="center"/>
          </w:tcPr>
          <w:p w14:paraId="1B17317F">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bCs/>
                <w:color w:val="auto"/>
                <w:sz w:val="24"/>
                <w:szCs w:val="24"/>
                <w:highlight w:val="none"/>
              </w:rPr>
              <w:t>非实质性条款负偏离项数</w:t>
            </w:r>
          </w:p>
        </w:tc>
        <w:tc>
          <w:tcPr>
            <w:tcW w:w="6769" w:type="dxa"/>
            <w:vAlign w:val="center"/>
          </w:tcPr>
          <w:p w14:paraId="04583114">
            <w:pPr>
              <w:rPr>
                <w:rFonts w:ascii="宋体" w:hAnsi="宋体" w:cs="宋体"/>
                <w:color w:val="auto"/>
                <w:sz w:val="24"/>
                <w:szCs w:val="24"/>
                <w:highlight w:val="none"/>
              </w:rPr>
            </w:pPr>
            <w:r>
              <w:rPr>
                <w:rFonts w:hint="eastAsia" w:ascii="宋体" w:hAnsi="宋体" w:cs="宋体"/>
                <w:bCs/>
                <w:color w:val="auto"/>
                <w:sz w:val="24"/>
                <w:szCs w:val="24"/>
                <w:highlight w:val="none"/>
              </w:rPr>
              <w:t>非实质性条款负偏离</w:t>
            </w:r>
            <w:r>
              <w:rPr>
                <w:rFonts w:hint="eastAsia" w:ascii="宋体" w:hAnsi="宋体" w:cs="宋体"/>
                <w:bCs/>
                <w:color w:val="auto"/>
                <w:sz w:val="24"/>
                <w:szCs w:val="24"/>
                <w:highlight w:val="none"/>
                <w:u w:val="single"/>
                <w:lang w:val="en-US" w:eastAsia="zh-CN"/>
              </w:rPr>
              <w:t>28</w:t>
            </w:r>
            <w:r>
              <w:rPr>
                <w:rFonts w:hint="eastAsia" w:ascii="宋体" w:hAnsi="宋体" w:cs="宋体"/>
                <w:bCs/>
                <w:color w:val="auto"/>
                <w:sz w:val="24"/>
                <w:szCs w:val="24"/>
                <w:highlight w:val="none"/>
              </w:rPr>
              <w:t>项以上（不含）的，作无效投标处理</w:t>
            </w:r>
          </w:p>
        </w:tc>
      </w:tr>
      <w:tr w14:paraId="22DB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0B30A680">
            <w:pPr>
              <w:ind w:left="-88" w:leftChars="-42" w:right="-113" w:rightChars="-54"/>
              <w:jc w:val="center"/>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19</w:t>
            </w:r>
          </w:p>
        </w:tc>
        <w:tc>
          <w:tcPr>
            <w:tcW w:w="1560" w:type="dxa"/>
            <w:vAlign w:val="center"/>
          </w:tcPr>
          <w:p w14:paraId="3012284C">
            <w:pPr>
              <w:ind w:left="-44" w:leftChars="-53" w:right="-65" w:rightChars="-31" w:hanging="67" w:hangingChars="28"/>
              <w:jc w:val="center"/>
              <w:rPr>
                <w:rFonts w:ascii="宋体" w:hAnsi="宋体" w:cs="宋体"/>
                <w:color w:val="auto"/>
                <w:sz w:val="24"/>
                <w:szCs w:val="24"/>
                <w:highlight w:val="none"/>
              </w:rPr>
            </w:pPr>
            <w:r>
              <w:rPr>
                <w:rFonts w:hint="eastAsia" w:ascii="宋体" w:hAnsi="宋体" w:cs="宋体"/>
                <w:bCs/>
                <w:color w:val="auto"/>
                <w:sz w:val="24"/>
                <w:szCs w:val="24"/>
                <w:highlight w:val="none"/>
              </w:rPr>
              <w:t>中标公告发布网址</w:t>
            </w:r>
          </w:p>
        </w:tc>
        <w:tc>
          <w:tcPr>
            <w:tcW w:w="6769" w:type="dxa"/>
            <w:vAlign w:val="center"/>
          </w:tcPr>
          <w:p w14:paraId="56A5603F">
            <w:pPr>
              <w:rPr>
                <w:rFonts w:ascii="宋体" w:hAnsi="宋体" w:cs="宋体"/>
                <w:bCs/>
                <w:color w:val="auto"/>
                <w:sz w:val="24"/>
                <w:szCs w:val="24"/>
                <w:highlight w:val="none"/>
              </w:rPr>
            </w:pPr>
            <w:r>
              <w:rPr>
                <w:rFonts w:hint="eastAsia" w:ascii="宋体" w:hAnsi="宋体" w:cs="宋体"/>
                <w:bCs/>
                <w:color w:val="auto"/>
                <w:sz w:val="24"/>
                <w:szCs w:val="24"/>
                <w:highlight w:val="none"/>
              </w:rPr>
              <w:t>1. 浙江政府采购网（</w:t>
            </w:r>
            <w:r>
              <w:rPr>
                <w:color w:val="auto"/>
                <w:highlight w:val="none"/>
              </w:rPr>
              <w:fldChar w:fldCharType="begin"/>
            </w:r>
            <w:r>
              <w:rPr>
                <w:color w:val="auto"/>
                <w:highlight w:val="none"/>
              </w:rPr>
              <w:instrText xml:space="preserve"> HYPERLINK "http://zfcg.czt.zj.gov.cn/" </w:instrText>
            </w:r>
            <w:r>
              <w:rPr>
                <w:color w:val="auto"/>
                <w:highlight w:val="none"/>
              </w:rPr>
              <w:fldChar w:fldCharType="separate"/>
            </w:r>
            <w:r>
              <w:rPr>
                <w:rFonts w:hint="eastAsia" w:ascii="宋体" w:hAnsi="宋体" w:cs="宋体"/>
                <w:color w:val="auto"/>
                <w:sz w:val="24"/>
                <w:szCs w:val="24"/>
                <w:highlight w:val="none"/>
              </w:rPr>
              <w:t>zfcg.czt.zj.gov.cn</w:t>
            </w:r>
            <w:r>
              <w:rPr>
                <w:rFonts w:hint="eastAsia" w:ascii="宋体" w:hAnsi="宋体" w:cs="宋体"/>
                <w:color w:val="auto"/>
                <w:sz w:val="24"/>
                <w:szCs w:val="24"/>
                <w:highlight w:val="none"/>
              </w:rPr>
              <w:fldChar w:fldCharType="end"/>
            </w:r>
            <w:r>
              <w:rPr>
                <w:rFonts w:hint="eastAsia" w:ascii="宋体" w:hAnsi="宋体" w:cs="宋体"/>
                <w:bCs/>
                <w:color w:val="auto"/>
                <w:sz w:val="24"/>
                <w:szCs w:val="24"/>
                <w:highlight w:val="none"/>
              </w:rPr>
              <w:t>）</w:t>
            </w:r>
          </w:p>
          <w:p w14:paraId="0C44EF3E">
            <w:pPr>
              <w:rPr>
                <w:rFonts w:ascii="宋体" w:hAnsi="宋体" w:cs="宋体"/>
                <w:color w:val="auto"/>
                <w:sz w:val="24"/>
                <w:szCs w:val="24"/>
                <w:highlight w:val="none"/>
              </w:rPr>
            </w:pPr>
            <w:r>
              <w:rPr>
                <w:rFonts w:hint="eastAsia" w:ascii="宋体" w:hAnsi="宋体" w:cs="宋体"/>
                <w:bCs/>
                <w:color w:val="auto"/>
                <w:sz w:val="24"/>
                <w:szCs w:val="24"/>
                <w:highlight w:val="none"/>
              </w:rPr>
              <w:t>2. 丽水市公共资源交易网</w:t>
            </w:r>
            <w:r>
              <w:rPr>
                <w:rFonts w:hint="eastAsia" w:ascii="宋体" w:hAnsi="宋体" w:cs="宋体"/>
                <w:color w:val="auto"/>
                <w:sz w:val="24"/>
                <w:szCs w:val="24"/>
                <w:highlight w:val="none"/>
              </w:rPr>
              <w:t>（</w:t>
            </w:r>
            <w:r>
              <w:rPr>
                <w:color w:val="auto"/>
                <w:highlight w:val="none"/>
              </w:rPr>
              <w:fldChar w:fldCharType="begin"/>
            </w:r>
            <w:r>
              <w:rPr>
                <w:color w:val="auto"/>
                <w:highlight w:val="none"/>
              </w:rPr>
              <w:instrText xml:space="preserve"> HYPERLINK "http://www.lssggzy.com" </w:instrText>
            </w:r>
            <w:r>
              <w:rPr>
                <w:color w:val="auto"/>
                <w:highlight w:val="none"/>
              </w:rPr>
              <w:fldChar w:fldCharType="separate"/>
            </w:r>
            <w:r>
              <w:rPr>
                <w:rFonts w:hint="eastAsia" w:ascii="宋体" w:hAnsi="宋体" w:cs="宋体"/>
                <w:color w:val="auto"/>
                <w:sz w:val="24"/>
                <w:szCs w:val="24"/>
                <w:highlight w:val="none"/>
              </w:rPr>
              <w:t>lssggzy.lishui.gov.cn</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w:t>
            </w:r>
          </w:p>
        </w:tc>
      </w:tr>
      <w:tr w14:paraId="366D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7" w:type="dxa"/>
            <w:vAlign w:val="center"/>
          </w:tcPr>
          <w:p w14:paraId="4A7CEE4D">
            <w:pPr>
              <w:ind w:left="-88" w:leftChars="-42" w:right="-113" w:rightChars="-54"/>
              <w:jc w:val="center"/>
              <w:rPr>
                <w:rFonts w:hint="default" w:ascii="宋体" w:hAnsi="宋体" w:eastAsia="宋体" w:cs="宋体"/>
                <w:bCs/>
                <w:snapToGrid w:val="0"/>
                <w:color w:val="auto"/>
                <w:sz w:val="24"/>
                <w:szCs w:val="24"/>
                <w:highlight w:val="none"/>
                <w:lang w:val="en-US" w:eastAsia="zh-CN"/>
              </w:rPr>
            </w:pPr>
            <w:r>
              <w:rPr>
                <w:rFonts w:hint="eastAsia" w:ascii="宋体" w:hAnsi="宋体" w:cs="宋体"/>
                <w:bCs/>
                <w:snapToGrid w:val="0"/>
                <w:color w:val="auto"/>
                <w:sz w:val="24"/>
                <w:szCs w:val="24"/>
                <w:highlight w:val="none"/>
                <w:lang w:val="en-US" w:eastAsia="zh-CN"/>
              </w:rPr>
              <w:t>20</w:t>
            </w:r>
          </w:p>
        </w:tc>
        <w:tc>
          <w:tcPr>
            <w:tcW w:w="1560" w:type="dxa"/>
            <w:vAlign w:val="center"/>
          </w:tcPr>
          <w:p w14:paraId="39894AB6">
            <w:pPr>
              <w:ind w:left="-44" w:leftChars="-53" w:right="-65" w:rightChars="-31" w:hanging="67" w:hangingChars="28"/>
              <w:jc w:val="center"/>
              <w:rPr>
                <w:rFonts w:ascii="宋体" w:hAnsi="宋体" w:cs="宋体"/>
                <w:bCs/>
                <w:color w:val="auto"/>
                <w:sz w:val="24"/>
                <w:szCs w:val="24"/>
                <w:highlight w:val="none"/>
              </w:rPr>
            </w:pPr>
            <w:r>
              <w:rPr>
                <w:rFonts w:hint="eastAsia" w:ascii="宋体" w:hAnsi="宋体" w:cs="宋体"/>
                <w:color w:val="auto"/>
                <w:sz w:val="24"/>
                <w:szCs w:val="24"/>
                <w:highlight w:val="none"/>
              </w:rPr>
              <w:t>履约保证金</w:t>
            </w:r>
          </w:p>
        </w:tc>
        <w:tc>
          <w:tcPr>
            <w:tcW w:w="6769" w:type="dxa"/>
            <w:vAlign w:val="center"/>
          </w:tcPr>
          <w:p w14:paraId="728B0189">
            <w:pPr>
              <w:rPr>
                <w:rFonts w:ascii="宋体" w:hAnsi="宋体" w:cs="宋体"/>
                <w:color w:val="auto"/>
                <w:sz w:val="24"/>
                <w:szCs w:val="24"/>
                <w:highlight w:val="none"/>
              </w:rPr>
            </w:pPr>
            <w:r>
              <w:rPr>
                <w:rFonts w:hint="eastAsia" w:ascii="宋体" w:hAnsi="宋体" w:eastAsia="宋体" w:cs="宋体"/>
                <w:bCs/>
                <w:sz w:val="24"/>
                <w:szCs w:val="24"/>
                <w:highlight w:val="none"/>
              </w:rPr>
              <w:t>本项目</w:t>
            </w:r>
            <w:r>
              <w:rPr>
                <w:rFonts w:hint="eastAsia" w:ascii="宋体" w:hAnsi="宋体" w:cs="宋体"/>
                <w:bCs/>
                <w:sz w:val="24"/>
                <w:szCs w:val="24"/>
                <w:highlight w:val="none"/>
                <w:lang w:val="en-US" w:eastAsia="zh-CN"/>
              </w:rPr>
              <w:t>不设置</w:t>
            </w:r>
            <w:r>
              <w:rPr>
                <w:rFonts w:hint="eastAsia" w:ascii="宋体" w:hAnsi="宋体" w:eastAsia="宋体" w:cs="宋体"/>
                <w:bCs/>
                <w:sz w:val="24"/>
                <w:szCs w:val="24"/>
                <w:highlight w:val="none"/>
              </w:rPr>
              <w:t>履约保证金</w:t>
            </w:r>
          </w:p>
        </w:tc>
      </w:tr>
    </w:tbl>
    <w:p w14:paraId="04CD994F">
      <w:pPr>
        <w:rPr>
          <w:rFonts w:ascii="宋体" w:hAnsi="宋体" w:cs="宋体"/>
          <w:color w:val="auto"/>
          <w:highlight w:val="none"/>
        </w:rPr>
      </w:pPr>
    </w:p>
    <w:p w14:paraId="3F420199">
      <w:pPr>
        <w:pStyle w:val="23"/>
        <w:spacing w:after="240"/>
        <w:outlineLvl w:val="9"/>
        <w:rPr>
          <w:rFonts w:ascii="宋体" w:hAnsi="宋体" w:cs="宋体"/>
          <w:color w:val="auto"/>
          <w:sz w:val="30"/>
          <w:szCs w:val="30"/>
          <w:highlight w:val="none"/>
        </w:rPr>
        <w:sectPr>
          <w:headerReference r:id="rId12" w:type="first"/>
          <w:footerReference r:id="rId13"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14:paraId="6661A624">
      <w:pPr>
        <w:pStyle w:val="23"/>
        <w:spacing w:after="240"/>
        <w:jc w:val="left"/>
        <w:outlineLvl w:val="1"/>
        <w:rPr>
          <w:rFonts w:ascii="宋体" w:hAnsi="宋体" w:cs="宋体"/>
          <w:color w:val="auto"/>
          <w:sz w:val="30"/>
          <w:szCs w:val="30"/>
          <w:highlight w:val="none"/>
        </w:rPr>
      </w:pPr>
      <w:bookmarkStart w:id="89" w:name="_Toc16897"/>
      <w:bookmarkStart w:id="90" w:name="_Toc31572"/>
      <w:bookmarkStart w:id="91" w:name="_Toc6413"/>
      <w:bookmarkStart w:id="92" w:name="_Toc97212958"/>
      <w:bookmarkStart w:id="93" w:name="_Toc20734"/>
      <w:bookmarkStart w:id="94" w:name="_Toc19441"/>
      <w:bookmarkStart w:id="95" w:name="_Toc13928"/>
      <w:r>
        <w:rPr>
          <w:rFonts w:hint="eastAsia" w:ascii="宋体" w:hAnsi="宋体" w:cs="宋体"/>
          <w:color w:val="auto"/>
          <w:sz w:val="30"/>
          <w:szCs w:val="30"/>
          <w:highlight w:val="none"/>
        </w:rPr>
        <w:t>投标人须知前附表（二）</w:t>
      </w:r>
      <w:bookmarkEnd w:id="89"/>
      <w:bookmarkEnd w:id="90"/>
      <w:bookmarkEnd w:id="91"/>
      <w:bookmarkEnd w:id="92"/>
      <w:bookmarkEnd w:id="93"/>
      <w:bookmarkEnd w:id="94"/>
      <w:bookmarkEnd w:id="95"/>
    </w:p>
    <w:p w14:paraId="11F82C66">
      <w:pPr>
        <w:jc w:val="center"/>
        <w:rPr>
          <w:rFonts w:ascii="宋体" w:hAnsi="宋体" w:cs="宋体"/>
          <w:b/>
          <w:color w:val="auto"/>
          <w:sz w:val="32"/>
          <w:szCs w:val="32"/>
          <w:highlight w:val="none"/>
        </w:rPr>
      </w:pPr>
      <w:r>
        <w:rPr>
          <w:rFonts w:hint="eastAsia" w:ascii="宋体" w:hAnsi="宋体" w:cs="宋体"/>
          <w:b/>
          <w:color w:val="auto"/>
          <w:sz w:val="32"/>
          <w:szCs w:val="32"/>
          <w:highlight w:val="none"/>
        </w:rPr>
        <w:t>招标活动日程安排表</w:t>
      </w:r>
    </w:p>
    <w:tbl>
      <w:tblPr>
        <w:tblStyle w:val="24"/>
        <w:tblW w:w="9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144"/>
        <w:gridCol w:w="3969"/>
        <w:gridCol w:w="2715"/>
      </w:tblGrid>
      <w:tr w14:paraId="5807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504C8301">
            <w:pPr>
              <w:ind w:left="-126" w:leftChars="-60" w:right="-99" w:rightChars="-47"/>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144" w:type="dxa"/>
            <w:vAlign w:val="center"/>
          </w:tcPr>
          <w:p w14:paraId="35B62177">
            <w:pPr>
              <w:jc w:val="center"/>
              <w:rPr>
                <w:rFonts w:ascii="宋体" w:hAnsi="宋体" w:cs="宋体"/>
                <w:color w:val="auto"/>
                <w:sz w:val="24"/>
                <w:szCs w:val="24"/>
                <w:highlight w:val="none"/>
              </w:rPr>
            </w:pPr>
            <w:r>
              <w:rPr>
                <w:rFonts w:hint="eastAsia" w:ascii="宋体" w:hAnsi="宋体" w:cs="宋体"/>
                <w:color w:val="auto"/>
                <w:sz w:val="24"/>
                <w:szCs w:val="24"/>
                <w:highlight w:val="none"/>
              </w:rPr>
              <w:t>工作内容</w:t>
            </w:r>
          </w:p>
        </w:tc>
        <w:tc>
          <w:tcPr>
            <w:tcW w:w="3969" w:type="dxa"/>
            <w:vAlign w:val="center"/>
          </w:tcPr>
          <w:p w14:paraId="21528C9E">
            <w:pPr>
              <w:jc w:val="center"/>
              <w:rPr>
                <w:rFonts w:ascii="宋体" w:hAnsi="宋体" w:cs="宋体"/>
                <w:color w:val="auto"/>
                <w:sz w:val="24"/>
                <w:szCs w:val="24"/>
                <w:highlight w:val="none"/>
              </w:rPr>
            </w:pPr>
            <w:r>
              <w:rPr>
                <w:rFonts w:hint="eastAsia" w:ascii="宋体" w:hAnsi="宋体" w:cs="宋体"/>
                <w:color w:val="auto"/>
                <w:sz w:val="24"/>
                <w:szCs w:val="24"/>
                <w:highlight w:val="none"/>
              </w:rPr>
              <w:t>时间安排</w:t>
            </w:r>
          </w:p>
        </w:tc>
        <w:tc>
          <w:tcPr>
            <w:tcW w:w="2715" w:type="dxa"/>
            <w:vAlign w:val="center"/>
          </w:tcPr>
          <w:p w14:paraId="4828BEE6">
            <w:pPr>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14:paraId="75D4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7FCEA4DB">
            <w:pPr>
              <w:ind w:left="-126" w:leftChars="-60" w:right="-99" w:rightChars="-47"/>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2144" w:type="dxa"/>
            <w:vAlign w:val="center"/>
          </w:tcPr>
          <w:p w14:paraId="3819679E">
            <w:pPr>
              <w:jc w:val="center"/>
              <w:rPr>
                <w:rFonts w:ascii="宋体" w:hAnsi="宋体" w:cs="宋体"/>
                <w:color w:val="auto"/>
                <w:sz w:val="24"/>
                <w:szCs w:val="24"/>
                <w:highlight w:val="none"/>
              </w:rPr>
            </w:pPr>
            <w:r>
              <w:rPr>
                <w:rFonts w:hint="eastAsia" w:ascii="宋体" w:hAnsi="宋体" w:cs="宋体"/>
                <w:color w:val="auto"/>
                <w:sz w:val="24"/>
                <w:szCs w:val="24"/>
                <w:highlight w:val="none"/>
              </w:rPr>
              <w:t>发布招标公告</w:t>
            </w:r>
          </w:p>
        </w:tc>
        <w:tc>
          <w:tcPr>
            <w:tcW w:w="3969" w:type="dxa"/>
            <w:vAlign w:val="center"/>
          </w:tcPr>
          <w:p w14:paraId="012938A4">
            <w:pPr>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u w:val="single"/>
                <w:lang w:val="en-US" w:eastAsia="zh-CN"/>
              </w:rPr>
              <w:t>同公告发布之日</w:t>
            </w:r>
          </w:p>
        </w:tc>
        <w:tc>
          <w:tcPr>
            <w:tcW w:w="2715" w:type="dxa"/>
            <w:vAlign w:val="center"/>
          </w:tcPr>
          <w:p w14:paraId="262493B6">
            <w:pPr>
              <w:wordWrap w:val="0"/>
              <w:jc w:val="left"/>
              <w:rPr>
                <w:rFonts w:ascii="宋体" w:hAnsi="宋体" w:cs="宋体"/>
                <w:bCs/>
                <w:color w:val="auto"/>
                <w:sz w:val="24"/>
                <w:szCs w:val="24"/>
                <w:highlight w:val="none"/>
              </w:rPr>
            </w:pPr>
            <w:r>
              <w:rPr>
                <w:rFonts w:hint="eastAsia" w:ascii="宋体" w:hAnsi="宋体" w:cs="宋体"/>
                <w:bCs/>
                <w:color w:val="auto"/>
                <w:sz w:val="24"/>
                <w:szCs w:val="24"/>
                <w:highlight w:val="none"/>
              </w:rPr>
              <w:t>1.浙江政府采购网（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宋体" w:hAnsi="宋体" w:cs="宋体"/>
                <w:color w:val="auto"/>
                <w:sz w:val="24"/>
                <w:szCs w:val="24"/>
                <w:highlight w:val="none"/>
              </w:rPr>
              <w:t>zfcg.czt.zj.gov.cn</w:t>
            </w:r>
            <w:r>
              <w:rPr>
                <w:rFonts w:hint="eastAsia" w:ascii="宋体" w:hAnsi="宋体" w:cs="宋体"/>
                <w:color w:val="auto"/>
                <w:sz w:val="24"/>
                <w:szCs w:val="24"/>
                <w:highlight w:val="none"/>
              </w:rPr>
              <w:fldChar w:fldCharType="end"/>
            </w:r>
            <w:r>
              <w:rPr>
                <w:rFonts w:hint="eastAsia" w:ascii="宋体" w:hAnsi="宋体" w:cs="宋体"/>
                <w:bCs/>
                <w:color w:val="auto"/>
                <w:sz w:val="24"/>
                <w:szCs w:val="24"/>
                <w:highlight w:val="none"/>
              </w:rPr>
              <w:t>）</w:t>
            </w:r>
          </w:p>
          <w:p w14:paraId="10410BE6">
            <w:pPr>
              <w:wordWrap w:val="0"/>
              <w:jc w:val="left"/>
              <w:rPr>
                <w:rFonts w:ascii="宋体" w:hAnsi="宋体" w:cs="宋体"/>
                <w:color w:val="auto"/>
                <w:sz w:val="24"/>
                <w:szCs w:val="24"/>
                <w:highlight w:val="none"/>
                <w:u w:val="single"/>
              </w:rPr>
            </w:pPr>
            <w:r>
              <w:rPr>
                <w:rFonts w:hint="eastAsia" w:ascii="宋体" w:hAnsi="宋体" w:cs="宋体"/>
                <w:bCs/>
                <w:color w:val="auto"/>
                <w:sz w:val="24"/>
                <w:szCs w:val="24"/>
                <w:highlight w:val="none"/>
              </w:rPr>
              <w:t>2.丽水市公共资源交易网（</w:t>
            </w:r>
            <w:r>
              <w:rPr>
                <w:color w:val="auto"/>
                <w:highlight w:val="none"/>
              </w:rPr>
              <w:fldChar w:fldCharType="begin"/>
            </w:r>
            <w:r>
              <w:rPr>
                <w:color w:val="auto"/>
                <w:highlight w:val="none"/>
              </w:rPr>
              <w:instrText xml:space="preserve"> HYPERLINK "http://www.lssggzy.com/" </w:instrText>
            </w:r>
            <w:r>
              <w:rPr>
                <w:color w:val="auto"/>
                <w:highlight w:val="none"/>
              </w:rPr>
              <w:fldChar w:fldCharType="separate"/>
            </w:r>
            <w:r>
              <w:rPr>
                <w:rStyle w:val="29"/>
                <w:rFonts w:hint="eastAsia" w:ascii="宋体" w:hAnsi="宋体" w:cs="宋体"/>
                <w:bCs/>
                <w:color w:val="auto"/>
                <w:sz w:val="24"/>
                <w:szCs w:val="24"/>
                <w:highlight w:val="none"/>
                <w:u w:val="none"/>
              </w:rPr>
              <w:t>lssggzy.lishui.gov.cn</w:t>
            </w:r>
            <w:r>
              <w:rPr>
                <w:rStyle w:val="29"/>
                <w:rFonts w:hint="eastAsia" w:ascii="宋体" w:hAnsi="宋体" w:cs="宋体"/>
                <w:bCs/>
                <w:color w:val="auto"/>
                <w:sz w:val="24"/>
                <w:szCs w:val="24"/>
                <w:highlight w:val="none"/>
                <w:u w:val="none"/>
              </w:rPr>
              <w:fldChar w:fldCharType="end"/>
            </w:r>
            <w:r>
              <w:rPr>
                <w:rFonts w:hint="eastAsia" w:ascii="宋体" w:hAnsi="宋体" w:cs="宋体"/>
                <w:bCs/>
                <w:color w:val="auto"/>
                <w:sz w:val="24"/>
                <w:szCs w:val="24"/>
                <w:highlight w:val="none"/>
              </w:rPr>
              <w:t>）</w:t>
            </w:r>
          </w:p>
        </w:tc>
      </w:tr>
      <w:tr w14:paraId="6BE6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6140A1F2">
            <w:pPr>
              <w:ind w:left="-126" w:leftChars="-60" w:right="-99" w:rightChars="-47"/>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2144" w:type="dxa"/>
            <w:vAlign w:val="center"/>
          </w:tcPr>
          <w:p w14:paraId="64A8B160">
            <w:pPr>
              <w:jc w:val="center"/>
              <w:rPr>
                <w:rFonts w:ascii="宋体" w:hAnsi="宋体" w:cs="宋体"/>
                <w:color w:val="auto"/>
                <w:sz w:val="24"/>
                <w:szCs w:val="24"/>
                <w:highlight w:val="none"/>
              </w:rPr>
            </w:pPr>
            <w:r>
              <w:rPr>
                <w:rFonts w:hint="eastAsia" w:ascii="宋体" w:hAnsi="宋体" w:cs="宋体"/>
                <w:color w:val="auto"/>
                <w:sz w:val="24"/>
                <w:szCs w:val="24"/>
                <w:highlight w:val="none"/>
              </w:rPr>
              <w:t>发放招标文件</w:t>
            </w:r>
          </w:p>
        </w:tc>
        <w:tc>
          <w:tcPr>
            <w:tcW w:w="3969" w:type="dxa"/>
            <w:vAlign w:val="center"/>
          </w:tcPr>
          <w:p w14:paraId="2EE6DA1E">
            <w:pPr>
              <w:jc w:val="left"/>
              <w:rPr>
                <w:rFonts w:ascii="宋体" w:hAnsi="宋体" w:cs="宋体"/>
                <w:color w:val="auto"/>
                <w:sz w:val="24"/>
                <w:szCs w:val="24"/>
                <w:highlight w:val="none"/>
              </w:rPr>
            </w:pPr>
            <w:r>
              <w:rPr>
                <w:rFonts w:hint="eastAsia" w:ascii="宋体" w:hAnsi="宋体" w:cs="宋体"/>
                <w:color w:val="auto"/>
                <w:sz w:val="24"/>
                <w:szCs w:val="24"/>
                <w:highlight w:val="none"/>
                <w:u w:val="single"/>
                <w:lang w:val="en-US" w:eastAsia="zh-CN"/>
              </w:rPr>
              <w:t>同公告发布之日</w:t>
            </w:r>
          </w:p>
        </w:tc>
        <w:tc>
          <w:tcPr>
            <w:tcW w:w="2715" w:type="dxa"/>
            <w:vAlign w:val="center"/>
          </w:tcPr>
          <w:p w14:paraId="02F6871F">
            <w:pPr>
              <w:tabs>
                <w:tab w:val="left" w:pos="2752"/>
              </w:tabs>
              <w:rPr>
                <w:rFonts w:ascii="宋体" w:hAnsi="宋体" w:cs="宋体"/>
                <w:color w:val="auto"/>
                <w:sz w:val="24"/>
                <w:szCs w:val="24"/>
                <w:highlight w:val="none"/>
              </w:rPr>
            </w:pPr>
            <w:r>
              <w:rPr>
                <w:rFonts w:hint="eastAsia" w:ascii="宋体" w:hAnsi="宋体" w:cs="宋体"/>
                <w:color w:val="auto"/>
                <w:sz w:val="24"/>
                <w:szCs w:val="24"/>
                <w:highlight w:val="none"/>
              </w:rPr>
              <w:t>获取方式：招标公告附件自行下载</w:t>
            </w:r>
          </w:p>
        </w:tc>
      </w:tr>
      <w:tr w14:paraId="6821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45B6ABAD">
            <w:pPr>
              <w:ind w:left="-126" w:leftChars="-60" w:right="-99" w:rightChars="-47"/>
              <w:jc w:val="center"/>
              <w:rPr>
                <w:rFonts w:ascii="宋体" w:hAnsi="宋体" w:cs="宋体"/>
                <w:color w:val="auto"/>
                <w:sz w:val="24"/>
                <w:szCs w:val="24"/>
                <w:highlight w:val="none"/>
              </w:rPr>
            </w:pPr>
            <w:r>
              <w:rPr>
                <w:rFonts w:hint="eastAsia" w:ascii="宋体" w:hAnsi="宋体" w:cs="宋体"/>
                <w:color w:val="auto"/>
                <w:sz w:val="24"/>
                <w:szCs w:val="24"/>
                <w:highlight w:val="none"/>
              </w:rPr>
              <w:t>3</w:t>
            </w:r>
          </w:p>
        </w:tc>
        <w:tc>
          <w:tcPr>
            <w:tcW w:w="2144" w:type="dxa"/>
            <w:vAlign w:val="center"/>
          </w:tcPr>
          <w:p w14:paraId="3D2F98A7">
            <w:pPr>
              <w:jc w:val="center"/>
              <w:rPr>
                <w:rFonts w:ascii="宋体" w:hAnsi="宋体" w:cs="宋体"/>
                <w:color w:val="auto"/>
                <w:sz w:val="24"/>
                <w:szCs w:val="24"/>
                <w:highlight w:val="none"/>
              </w:rPr>
            </w:pPr>
            <w:r>
              <w:rPr>
                <w:rFonts w:hint="eastAsia" w:ascii="宋体" w:hAnsi="宋体" w:cs="宋体"/>
                <w:color w:val="auto"/>
                <w:sz w:val="24"/>
                <w:szCs w:val="24"/>
                <w:highlight w:val="none"/>
              </w:rPr>
              <w:t>现场踏勘和地点</w:t>
            </w:r>
          </w:p>
        </w:tc>
        <w:tc>
          <w:tcPr>
            <w:tcW w:w="3969" w:type="dxa"/>
            <w:vAlign w:val="center"/>
          </w:tcPr>
          <w:p w14:paraId="713C3E0B">
            <w:pPr>
              <w:rPr>
                <w:rFonts w:ascii="宋体" w:hAnsi="宋体" w:cs="宋体"/>
                <w:color w:val="auto"/>
                <w:sz w:val="24"/>
                <w:szCs w:val="24"/>
                <w:highlight w:val="none"/>
              </w:rPr>
            </w:pPr>
            <w:r>
              <w:rPr>
                <w:rFonts w:hint="eastAsia" w:ascii="宋体" w:hAnsi="宋体" w:cs="宋体"/>
                <w:color w:val="auto"/>
                <w:sz w:val="24"/>
                <w:szCs w:val="24"/>
                <w:highlight w:val="none"/>
              </w:rPr>
              <w:sym w:font="Wingdings 2" w:char="0052"/>
            </w:r>
            <w:r>
              <w:rPr>
                <w:rFonts w:hint="eastAsia" w:ascii="宋体" w:hAnsi="宋体" w:cs="宋体"/>
                <w:color w:val="auto"/>
                <w:sz w:val="24"/>
                <w:szCs w:val="24"/>
                <w:highlight w:val="none"/>
              </w:rPr>
              <w:t xml:space="preserve"> 无</w:t>
            </w:r>
          </w:p>
          <w:p w14:paraId="726A7090">
            <w:pPr>
              <w:rPr>
                <w:rFonts w:ascii="宋体" w:hAnsi="宋体" w:cs="宋体"/>
                <w:color w:val="auto"/>
                <w:sz w:val="24"/>
                <w:szCs w:val="24"/>
                <w:highlight w:val="none"/>
              </w:rPr>
            </w:pPr>
            <w:r>
              <w:rPr>
                <w:rFonts w:hint="eastAsia" w:ascii="宋体" w:hAnsi="宋体" w:cs="宋体"/>
                <w:color w:val="auto"/>
                <w:sz w:val="24"/>
                <w:szCs w:val="24"/>
                <w:highlight w:val="none"/>
              </w:rPr>
              <w:sym w:font="Wingdings 2" w:char="F0A3"/>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XXXX</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XX</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XX</w:t>
            </w:r>
            <w:r>
              <w:rPr>
                <w:rFonts w:hint="eastAsia" w:ascii="宋体" w:hAnsi="宋体" w:cs="宋体"/>
                <w:color w:val="auto"/>
                <w:sz w:val="24"/>
                <w:szCs w:val="24"/>
                <w:highlight w:val="none"/>
              </w:rPr>
              <w:t>日XX时，</w:t>
            </w:r>
          </w:p>
          <w:p w14:paraId="24DC5435">
            <w:pPr>
              <w:ind w:firstLine="240" w:firstLineChars="100"/>
              <w:rPr>
                <w:rFonts w:ascii="宋体" w:hAnsi="宋体" w:cs="宋体"/>
                <w:color w:val="auto"/>
                <w:sz w:val="24"/>
                <w:szCs w:val="24"/>
                <w:highlight w:val="none"/>
              </w:rPr>
            </w:pPr>
            <w:r>
              <w:rPr>
                <w:rFonts w:hint="eastAsia" w:ascii="宋体" w:hAnsi="宋体" w:cs="宋体"/>
                <w:color w:val="auto"/>
                <w:sz w:val="24"/>
                <w:szCs w:val="24"/>
                <w:highlight w:val="none"/>
              </w:rPr>
              <w:t xml:space="preserve">地点： </w:t>
            </w:r>
          </w:p>
        </w:tc>
        <w:tc>
          <w:tcPr>
            <w:tcW w:w="2715" w:type="dxa"/>
            <w:vAlign w:val="center"/>
          </w:tcPr>
          <w:p w14:paraId="39330ADA">
            <w:pPr>
              <w:rPr>
                <w:rFonts w:ascii="宋体" w:hAnsi="宋体" w:cs="宋体"/>
                <w:color w:val="auto"/>
                <w:sz w:val="24"/>
                <w:szCs w:val="24"/>
                <w:highlight w:val="none"/>
              </w:rPr>
            </w:pPr>
          </w:p>
        </w:tc>
      </w:tr>
      <w:tr w14:paraId="524F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632D2B2B">
            <w:pPr>
              <w:ind w:left="-126" w:leftChars="-60" w:right="-99" w:rightChars="-47"/>
              <w:jc w:val="center"/>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2144" w:type="dxa"/>
            <w:vAlign w:val="center"/>
          </w:tcPr>
          <w:p w14:paraId="67213A6E">
            <w:pPr>
              <w:jc w:val="center"/>
              <w:rPr>
                <w:rFonts w:ascii="宋体" w:hAnsi="宋体" w:cs="宋体"/>
                <w:color w:val="auto"/>
                <w:sz w:val="24"/>
                <w:szCs w:val="24"/>
                <w:highlight w:val="none"/>
              </w:rPr>
            </w:pPr>
            <w:r>
              <w:rPr>
                <w:rFonts w:hint="eastAsia" w:ascii="宋体" w:hAnsi="宋体" w:cs="宋体"/>
                <w:color w:val="auto"/>
                <w:sz w:val="24"/>
                <w:szCs w:val="24"/>
                <w:highlight w:val="none"/>
              </w:rPr>
              <w:t>更正公告</w:t>
            </w:r>
          </w:p>
        </w:tc>
        <w:tc>
          <w:tcPr>
            <w:tcW w:w="3969" w:type="dxa"/>
            <w:vAlign w:val="center"/>
          </w:tcPr>
          <w:p w14:paraId="6EBF4FDC">
            <w:pPr>
              <w:jc w:val="left"/>
              <w:rPr>
                <w:rFonts w:ascii="宋体" w:hAnsi="宋体" w:cs="宋体"/>
                <w:color w:val="auto"/>
                <w:sz w:val="24"/>
                <w:szCs w:val="24"/>
                <w:highlight w:val="none"/>
              </w:rPr>
            </w:pPr>
            <w:r>
              <w:rPr>
                <w:rFonts w:hint="eastAsia" w:ascii="宋体" w:hAnsi="宋体" w:cs="宋体"/>
                <w:color w:val="auto"/>
                <w:sz w:val="24"/>
                <w:szCs w:val="24"/>
                <w:highlight w:val="none"/>
              </w:rPr>
              <w:t>提交投标文件截止时间前</w:t>
            </w:r>
          </w:p>
        </w:tc>
        <w:tc>
          <w:tcPr>
            <w:tcW w:w="2715" w:type="dxa"/>
            <w:vAlign w:val="center"/>
          </w:tcPr>
          <w:p w14:paraId="3DB8FCF3">
            <w:pPr>
              <w:jc w:val="left"/>
              <w:rPr>
                <w:rFonts w:ascii="宋体" w:hAnsi="宋体" w:cs="宋体"/>
                <w:color w:val="auto"/>
                <w:sz w:val="24"/>
                <w:szCs w:val="24"/>
                <w:highlight w:val="none"/>
              </w:rPr>
            </w:pPr>
            <w:r>
              <w:rPr>
                <w:rFonts w:hint="eastAsia" w:ascii="宋体" w:hAnsi="宋体" w:cs="宋体"/>
                <w:color w:val="auto"/>
                <w:sz w:val="24"/>
                <w:szCs w:val="24"/>
                <w:highlight w:val="none"/>
              </w:rPr>
              <w:t>澄清或修改内容获取方式：更正公告</w:t>
            </w:r>
          </w:p>
        </w:tc>
      </w:tr>
      <w:tr w14:paraId="1451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22E89DB1">
            <w:pPr>
              <w:ind w:left="-126" w:leftChars="-60" w:right="-99" w:rightChars="-47"/>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2144" w:type="dxa"/>
            <w:vAlign w:val="center"/>
          </w:tcPr>
          <w:p w14:paraId="010C03A2">
            <w:pPr>
              <w:jc w:val="center"/>
              <w:rPr>
                <w:rFonts w:ascii="宋体" w:hAnsi="宋体" w:cs="宋体"/>
                <w:color w:val="auto"/>
                <w:sz w:val="24"/>
                <w:szCs w:val="24"/>
                <w:highlight w:val="none"/>
              </w:rPr>
            </w:pPr>
            <w:r>
              <w:rPr>
                <w:rFonts w:hint="eastAsia" w:ascii="宋体" w:hAnsi="宋体" w:cs="宋体"/>
                <w:color w:val="auto"/>
                <w:sz w:val="24"/>
                <w:szCs w:val="24"/>
                <w:highlight w:val="none"/>
              </w:rPr>
              <w:t>提交投标文件截止时间</w:t>
            </w:r>
          </w:p>
        </w:tc>
        <w:tc>
          <w:tcPr>
            <w:tcW w:w="3969" w:type="dxa"/>
            <w:vAlign w:val="center"/>
          </w:tcPr>
          <w:p w14:paraId="3081CF54">
            <w:pPr>
              <w:jc w:val="left"/>
              <w:rPr>
                <w:rFonts w:ascii="宋体" w:hAnsi="宋体" w:cs="宋体"/>
                <w:color w:val="auto"/>
                <w:sz w:val="24"/>
                <w:szCs w:val="24"/>
                <w:highlight w:val="none"/>
              </w:rPr>
            </w:pPr>
            <w:r>
              <w:rPr>
                <w:rFonts w:hint="eastAsia" w:ascii="宋体" w:hAnsi="宋体" w:cs="宋体"/>
                <w:bCs/>
                <w:color w:val="auto"/>
                <w:sz w:val="24"/>
                <w:szCs w:val="24"/>
                <w:highlight w:val="none"/>
              </w:rPr>
              <w:t>见第一章招标公告</w:t>
            </w:r>
          </w:p>
        </w:tc>
        <w:tc>
          <w:tcPr>
            <w:tcW w:w="2715" w:type="dxa"/>
            <w:vAlign w:val="center"/>
          </w:tcPr>
          <w:p w14:paraId="6B558D8A">
            <w:pPr>
              <w:rPr>
                <w:rFonts w:ascii="宋体" w:hAnsi="宋体" w:cs="宋体"/>
                <w:color w:val="auto"/>
                <w:sz w:val="24"/>
                <w:szCs w:val="24"/>
                <w:highlight w:val="none"/>
              </w:rPr>
            </w:pPr>
          </w:p>
        </w:tc>
      </w:tr>
      <w:tr w14:paraId="46DD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bottom w:val="single" w:color="auto" w:sz="4" w:space="0"/>
            </w:tcBorders>
            <w:vAlign w:val="center"/>
          </w:tcPr>
          <w:p w14:paraId="294722CE">
            <w:pPr>
              <w:ind w:left="-126" w:leftChars="-60" w:right="-99" w:rightChars="-47"/>
              <w:jc w:val="center"/>
              <w:rPr>
                <w:rFonts w:ascii="宋体" w:hAnsi="宋体" w:cs="宋体"/>
                <w:color w:val="auto"/>
                <w:sz w:val="24"/>
                <w:szCs w:val="24"/>
                <w:highlight w:val="none"/>
              </w:rPr>
            </w:pPr>
            <w:r>
              <w:rPr>
                <w:rFonts w:hint="eastAsia" w:ascii="宋体" w:hAnsi="宋体" w:cs="宋体"/>
                <w:color w:val="auto"/>
                <w:sz w:val="24"/>
                <w:szCs w:val="24"/>
                <w:highlight w:val="none"/>
              </w:rPr>
              <w:t>6</w:t>
            </w:r>
          </w:p>
        </w:tc>
        <w:tc>
          <w:tcPr>
            <w:tcW w:w="2144" w:type="dxa"/>
            <w:tcBorders>
              <w:bottom w:val="single" w:color="auto" w:sz="4" w:space="0"/>
            </w:tcBorders>
            <w:vAlign w:val="center"/>
          </w:tcPr>
          <w:p w14:paraId="53285D35">
            <w:pPr>
              <w:jc w:val="center"/>
              <w:rPr>
                <w:rFonts w:ascii="宋体" w:hAnsi="宋体" w:cs="宋体"/>
                <w:color w:val="auto"/>
                <w:sz w:val="24"/>
                <w:szCs w:val="24"/>
                <w:highlight w:val="none"/>
              </w:rPr>
            </w:pPr>
            <w:r>
              <w:rPr>
                <w:rFonts w:hint="eastAsia" w:ascii="宋体" w:hAnsi="宋体" w:cs="宋体"/>
                <w:color w:val="auto"/>
                <w:sz w:val="24"/>
                <w:szCs w:val="24"/>
                <w:highlight w:val="none"/>
              </w:rPr>
              <w:t>开标时间、地点</w:t>
            </w:r>
          </w:p>
        </w:tc>
        <w:tc>
          <w:tcPr>
            <w:tcW w:w="3969" w:type="dxa"/>
            <w:tcBorders>
              <w:bottom w:val="single" w:color="auto" w:sz="4" w:space="0"/>
            </w:tcBorders>
            <w:vAlign w:val="center"/>
          </w:tcPr>
          <w:p w14:paraId="5BDD2580">
            <w:pPr>
              <w:jc w:val="left"/>
              <w:rPr>
                <w:rFonts w:ascii="宋体" w:hAnsi="宋体" w:cs="宋体"/>
                <w:color w:val="auto"/>
                <w:sz w:val="24"/>
                <w:szCs w:val="24"/>
                <w:highlight w:val="none"/>
              </w:rPr>
            </w:pPr>
            <w:r>
              <w:rPr>
                <w:rFonts w:hint="eastAsia" w:ascii="宋体" w:hAnsi="宋体" w:cs="宋体"/>
                <w:bCs/>
                <w:color w:val="auto"/>
                <w:sz w:val="24"/>
                <w:szCs w:val="24"/>
                <w:highlight w:val="none"/>
              </w:rPr>
              <w:t>见第一章招标公告</w:t>
            </w:r>
          </w:p>
        </w:tc>
        <w:tc>
          <w:tcPr>
            <w:tcW w:w="2715" w:type="dxa"/>
            <w:tcBorders>
              <w:bottom w:val="single" w:color="auto" w:sz="4" w:space="0"/>
            </w:tcBorders>
            <w:vAlign w:val="center"/>
          </w:tcPr>
          <w:p w14:paraId="6088896E">
            <w:pPr>
              <w:rPr>
                <w:rFonts w:ascii="宋体" w:hAnsi="宋体" w:cs="宋体"/>
                <w:color w:val="auto"/>
                <w:sz w:val="24"/>
                <w:szCs w:val="24"/>
                <w:highlight w:val="none"/>
              </w:rPr>
            </w:pPr>
          </w:p>
        </w:tc>
      </w:tr>
      <w:tr w14:paraId="3581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03E96AE7">
            <w:pPr>
              <w:ind w:left="-126" w:leftChars="-60" w:right="-99" w:rightChars="-47"/>
              <w:jc w:val="center"/>
              <w:rPr>
                <w:rFonts w:ascii="宋体" w:hAnsi="宋体" w:cs="宋体"/>
                <w:color w:val="auto"/>
                <w:sz w:val="24"/>
                <w:szCs w:val="24"/>
                <w:highlight w:val="none"/>
              </w:rPr>
            </w:pPr>
            <w:r>
              <w:rPr>
                <w:rFonts w:hint="eastAsia" w:ascii="宋体" w:hAnsi="宋体" w:cs="宋体"/>
                <w:color w:val="auto"/>
                <w:sz w:val="24"/>
                <w:szCs w:val="24"/>
                <w:highlight w:val="none"/>
              </w:rPr>
              <w:t>7</w:t>
            </w:r>
          </w:p>
        </w:tc>
        <w:tc>
          <w:tcPr>
            <w:tcW w:w="2144" w:type="dxa"/>
            <w:tcBorders>
              <w:top w:val="single" w:color="auto" w:sz="4" w:space="0"/>
              <w:left w:val="single" w:color="auto" w:sz="4" w:space="0"/>
              <w:bottom w:val="single" w:color="auto" w:sz="4" w:space="0"/>
              <w:right w:val="single" w:color="auto" w:sz="4" w:space="0"/>
            </w:tcBorders>
            <w:vAlign w:val="center"/>
          </w:tcPr>
          <w:p w14:paraId="1008D85C">
            <w:pPr>
              <w:jc w:val="center"/>
              <w:rPr>
                <w:rFonts w:ascii="宋体" w:hAnsi="宋体" w:cs="宋体"/>
                <w:color w:val="auto"/>
                <w:sz w:val="24"/>
                <w:szCs w:val="24"/>
                <w:highlight w:val="none"/>
              </w:rPr>
            </w:pPr>
            <w:r>
              <w:rPr>
                <w:rFonts w:hint="eastAsia" w:ascii="宋体" w:hAnsi="宋体" w:cs="宋体"/>
                <w:color w:val="auto"/>
                <w:sz w:val="24"/>
                <w:szCs w:val="24"/>
                <w:highlight w:val="none"/>
              </w:rPr>
              <w:t>中标公告及中标通知书</w:t>
            </w:r>
          </w:p>
        </w:tc>
        <w:tc>
          <w:tcPr>
            <w:tcW w:w="3969" w:type="dxa"/>
            <w:tcBorders>
              <w:top w:val="single" w:color="auto" w:sz="4" w:space="0"/>
              <w:left w:val="single" w:color="auto" w:sz="4" w:space="0"/>
              <w:bottom w:val="single" w:color="auto" w:sz="4" w:space="0"/>
              <w:right w:val="single" w:color="auto" w:sz="4" w:space="0"/>
            </w:tcBorders>
            <w:vAlign w:val="center"/>
          </w:tcPr>
          <w:p w14:paraId="74DC8D44">
            <w:pPr>
              <w:jc w:val="left"/>
              <w:rPr>
                <w:rFonts w:ascii="宋体" w:hAnsi="宋体" w:cs="宋体"/>
                <w:color w:val="auto"/>
                <w:sz w:val="24"/>
                <w:szCs w:val="24"/>
                <w:highlight w:val="none"/>
              </w:rPr>
            </w:pPr>
            <w:r>
              <w:rPr>
                <w:rFonts w:hint="eastAsia" w:ascii="宋体" w:hAnsi="宋体" w:cs="宋体"/>
                <w:color w:val="auto"/>
                <w:sz w:val="24"/>
                <w:highlight w:val="none"/>
              </w:rPr>
              <w:t>中标人确定之日起2个工作日内</w:t>
            </w:r>
          </w:p>
        </w:tc>
        <w:tc>
          <w:tcPr>
            <w:tcW w:w="2715" w:type="dxa"/>
            <w:tcBorders>
              <w:top w:val="single" w:color="auto" w:sz="4" w:space="0"/>
              <w:left w:val="single" w:color="auto" w:sz="4" w:space="0"/>
              <w:bottom w:val="single" w:color="auto" w:sz="4" w:space="0"/>
              <w:right w:val="single" w:color="auto" w:sz="4" w:space="0"/>
            </w:tcBorders>
            <w:vAlign w:val="center"/>
          </w:tcPr>
          <w:p w14:paraId="188A90E3">
            <w:pPr>
              <w:rPr>
                <w:rFonts w:ascii="宋体" w:hAnsi="宋体" w:cs="宋体"/>
                <w:color w:val="auto"/>
                <w:sz w:val="24"/>
                <w:szCs w:val="24"/>
                <w:highlight w:val="none"/>
              </w:rPr>
            </w:pPr>
          </w:p>
        </w:tc>
      </w:tr>
      <w:tr w14:paraId="376F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69405DE3">
            <w:pPr>
              <w:ind w:left="-126" w:leftChars="-60" w:right="-99" w:rightChars="-47"/>
              <w:jc w:val="center"/>
              <w:rPr>
                <w:rFonts w:ascii="宋体" w:hAnsi="宋体" w:cs="宋体"/>
                <w:color w:val="auto"/>
                <w:sz w:val="24"/>
                <w:szCs w:val="24"/>
                <w:highlight w:val="none"/>
              </w:rPr>
            </w:pPr>
            <w:r>
              <w:rPr>
                <w:rFonts w:hint="eastAsia" w:ascii="宋体" w:hAnsi="宋体" w:cs="宋体"/>
                <w:color w:val="auto"/>
                <w:sz w:val="24"/>
                <w:szCs w:val="24"/>
                <w:highlight w:val="none"/>
              </w:rPr>
              <w:t>8</w:t>
            </w:r>
          </w:p>
        </w:tc>
        <w:tc>
          <w:tcPr>
            <w:tcW w:w="2144" w:type="dxa"/>
            <w:tcBorders>
              <w:top w:val="single" w:color="auto" w:sz="4" w:space="0"/>
              <w:left w:val="single" w:color="auto" w:sz="4" w:space="0"/>
              <w:bottom w:val="single" w:color="auto" w:sz="4" w:space="0"/>
              <w:right w:val="single" w:color="auto" w:sz="4" w:space="0"/>
            </w:tcBorders>
            <w:vAlign w:val="center"/>
          </w:tcPr>
          <w:p w14:paraId="59663DE6">
            <w:pPr>
              <w:jc w:val="center"/>
              <w:rPr>
                <w:rFonts w:ascii="宋体" w:hAnsi="宋体" w:cs="宋体"/>
                <w:color w:val="auto"/>
                <w:sz w:val="24"/>
                <w:szCs w:val="24"/>
                <w:highlight w:val="none"/>
              </w:rPr>
            </w:pPr>
            <w:r>
              <w:rPr>
                <w:rFonts w:hint="eastAsia" w:ascii="宋体" w:hAnsi="宋体" w:cs="宋体"/>
                <w:color w:val="auto"/>
                <w:sz w:val="24"/>
                <w:szCs w:val="24"/>
                <w:highlight w:val="none"/>
              </w:rPr>
              <w:t>质疑期限</w:t>
            </w:r>
          </w:p>
        </w:tc>
        <w:tc>
          <w:tcPr>
            <w:tcW w:w="3969" w:type="dxa"/>
            <w:tcBorders>
              <w:top w:val="single" w:color="auto" w:sz="4" w:space="0"/>
              <w:left w:val="single" w:color="auto" w:sz="4" w:space="0"/>
              <w:bottom w:val="single" w:color="auto" w:sz="4" w:space="0"/>
              <w:right w:val="single" w:color="auto" w:sz="4" w:space="0"/>
            </w:tcBorders>
            <w:vAlign w:val="center"/>
          </w:tcPr>
          <w:p w14:paraId="359FFBC0">
            <w:pPr>
              <w:jc w:val="left"/>
              <w:rPr>
                <w:rFonts w:ascii="宋体" w:hAnsi="宋体" w:cs="宋体"/>
                <w:color w:val="auto"/>
                <w:sz w:val="24"/>
                <w:szCs w:val="24"/>
                <w:highlight w:val="none"/>
              </w:rPr>
            </w:pPr>
            <w:r>
              <w:rPr>
                <w:rFonts w:hint="eastAsia" w:ascii="宋体" w:hAnsi="宋体" w:cs="宋体"/>
                <w:color w:val="auto"/>
                <w:sz w:val="24"/>
                <w:szCs w:val="24"/>
                <w:highlight w:val="none"/>
                <w:lang w:eastAsia="zh-CN"/>
              </w:rPr>
              <w:t>投标人</w:t>
            </w:r>
            <w:r>
              <w:rPr>
                <w:rFonts w:hint="eastAsia" w:ascii="宋体" w:hAnsi="宋体" w:cs="宋体"/>
                <w:color w:val="auto"/>
                <w:sz w:val="24"/>
                <w:szCs w:val="24"/>
                <w:highlight w:val="none"/>
              </w:rPr>
              <w:t>认为采购文件、采购过程和中标结果使自己的权益受到损害的，可以在知道或者应知其权益受到损害之日起7个工作日内</w:t>
            </w:r>
          </w:p>
        </w:tc>
        <w:tc>
          <w:tcPr>
            <w:tcW w:w="2715" w:type="dxa"/>
            <w:tcBorders>
              <w:top w:val="single" w:color="auto" w:sz="4" w:space="0"/>
              <w:left w:val="single" w:color="auto" w:sz="4" w:space="0"/>
              <w:bottom w:val="single" w:color="auto" w:sz="4" w:space="0"/>
              <w:right w:val="single" w:color="auto" w:sz="4" w:space="0"/>
            </w:tcBorders>
            <w:vAlign w:val="center"/>
          </w:tcPr>
          <w:p w14:paraId="75CF78F9">
            <w:pPr>
              <w:rPr>
                <w:rFonts w:ascii="宋体" w:hAnsi="宋体" w:cs="宋体"/>
                <w:color w:val="auto"/>
                <w:sz w:val="24"/>
                <w:szCs w:val="24"/>
                <w:highlight w:val="none"/>
              </w:rPr>
            </w:pPr>
          </w:p>
        </w:tc>
      </w:tr>
      <w:tr w14:paraId="5034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71E1B1FF">
            <w:pPr>
              <w:ind w:left="-126" w:leftChars="-60" w:right="-99" w:rightChars="-47"/>
              <w:jc w:val="center"/>
              <w:rPr>
                <w:rFonts w:ascii="宋体" w:hAnsi="宋体" w:cs="宋体"/>
                <w:color w:val="auto"/>
                <w:sz w:val="24"/>
                <w:szCs w:val="24"/>
                <w:highlight w:val="none"/>
              </w:rPr>
            </w:pPr>
            <w:r>
              <w:rPr>
                <w:rFonts w:hint="eastAsia" w:ascii="宋体" w:hAnsi="宋体" w:cs="宋体"/>
                <w:color w:val="auto"/>
                <w:sz w:val="24"/>
                <w:szCs w:val="24"/>
                <w:highlight w:val="none"/>
              </w:rPr>
              <w:t>9</w:t>
            </w:r>
          </w:p>
        </w:tc>
        <w:tc>
          <w:tcPr>
            <w:tcW w:w="2144" w:type="dxa"/>
            <w:tcBorders>
              <w:top w:val="single" w:color="auto" w:sz="4" w:space="0"/>
              <w:left w:val="single" w:color="auto" w:sz="4" w:space="0"/>
              <w:bottom w:val="single" w:color="auto" w:sz="4" w:space="0"/>
              <w:right w:val="single" w:color="auto" w:sz="4" w:space="0"/>
            </w:tcBorders>
            <w:vAlign w:val="center"/>
          </w:tcPr>
          <w:p w14:paraId="6FF41B8F">
            <w:pPr>
              <w:jc w:val="center"/>
              <w:rPr>
                <w:rFonts w:ascii="宋体" w:hAnsi="宋体" w:cs="宋体"/>
                <w:color w:val="auto"/>
                <w:sz w:val="24"/>
                <w:szCs w:val="24"/>
                <w:highlight w:val="none"/>
              </w:rPr>
            </w:pPr>
            <w:r>
              <w:rPr>
                <w:rFonts w:hint="eastAsia" w:ascii="宋体" w:hAnsi="宋体" w:cs="宋体"/>
                <w:color w:val="auto"/>
                <w:sz w:val="24"/>
                <w:szCs w:val="24"/>
                <w:highlight w:val="none"/>
              </w:rPr>
              <w:t>投诉期限</w:t>
            </w:r>
          </w:p>
        </w:tc>
        <w:tc>
          <w:tcPr>
            <w:tcW w:w="3969" w:type="dxa"/>
            <w:tcBorders>
              <w:top w:val="single" w:color="auto" w:sz="4" w:space="0"/>
              <w:left w:val="single" w:color="auto" w:sz="4" w:space="0"/>
              <w:bottom w:val="single" w:color="auto" w:sz="4" w:space="0"/>
              <w:right w:val="single" w:color="auto" w:sz="4" w:space="0"/>
            </w:tcBorders>
            <w:vAlign w:val="center"/>
          </w:tcPr>
          <w:p w14:paraId="2DF03B25">
            <w:pPr>
              <w:jc w:val="left"/>
              <w:rPr>
                <w:rFonts w:ascii="宋体" w:hAnsi="宋体" w:cs="宋体"/>
                <w:color w:val="auto"/>
                <w:sz w:val="24"/>
                <w:szCs w:val="24"/>
                <w:highlight w:val="none"/>
              </w:rPr>
            </w:pPr>
            <w:r>
              <w:rPr>
                <w:rFonts w:hint="eastAsia" w:ascii="宋体" w:hAnsi="宋体" w:cs="宋体"/>
                <w:color w:val="auto"/>
                <w:sz w:val="24"/>
                <w:szCs w:val="24"/>
                <w:highlight w:val="none"/>
              </w:rPr>
              <w:t>质疑答复期满后15个工作日内</w:t>
            </w:r>
          </w:p>
        </w:tc>
        <w:tc>
          <w:tcPr>
            <w:tcW w:w="2715" w:type="dxa"/>
            <w:tcBorders>
              <w:top w:val="single" w:color="auto" w:sz="4" w:space="0"/>
              <w:left w:val="single" w:color="auto" w:sz="4" w:space="0"/>
              <w:bottom w:val="single" w:color="auto" w:sz="4" w:space="0"/>
              <w:right w:val="single" w:color="auto" w:sz="4" w:space="0"/>
            </w:tcBorders>
            <w:vAlign w:val="center"/>
          </w:tcPr>
          <w:p w14:paraId="0F098A2D">
            <w:pPr>
              <w:rPr>
                <w:rFonts w:ascii="宋体" w:hAnsi="宋体" w:cs="宋体"/>
                <w:color w:val="auto"/>
                <w:sz w:val="24"/>
                <w:szCs w:val="24"/>
                <w:highlight w:val="none"/>
              </w:rPr>
            </w:pPr>
          </w:p>
        </w:tc>
      </w:tr>
      <w:tr w14:paraId="197C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6EC51D0C">
            <w:pPr>
              <w:ind w:left="-126" w:leftChars="-60" w:right="-99" w:rightChars="-47"/>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2144" w:type="dxa"/>
            <w:tcBorders>
              <w:top w:val="single" w:color="auto" w:sz="4" w:space="0"/>
              <w:left w:val="single" w:color="auto" w:sz="4" w:space="0"/>
              <w:bottom w:val="single" w:color="auto" w:sz="4" w:space="0"/>
              <w:right w:val="single" w:color="auto" w:sz="4" w:space="0"/>
            </w:tcBorders>
            <w:vAlign w:val="center"/>
          </w:tcPr>
          <w:p w14:paraId="4EF171E7">
            <w:pPr>
              <w:jc w:val="center"/>
              <w:rPr>
                <w:rFonts w:ascii="宋体" w:hAnsi="宋体" w:cs="宋体"/>
                <w:color w:val="auto"/>
                <w:sz w:val="24"/>
                <w:szCs w:val="24"/>
                <w:highlight w:val="none"/>
              </w:rPr>
            </w:pPr>
            <w:r>
              <w:rPr>
                <w:rFonts w:hint="eastAsia" w:ascii="宋体" w:hAnsi="宋体" w:cs="宋体"/>
                <w:color w:val="auto"/>
                <w:sz w:val="24"/>
                <w:szCs w:val="24"/>
                <w:highlight w:val="none"/>
              </w:rPr>
              <w:t>签订合同</w:t>
            </w:r>
          </w:p>
        </w:tc>
        <w:tc>
          <w:tcPr>
            <w:tcW w:w="3969" w:type="dxa"/>
            <w:tcBorders>
              <w:top w:val="single" w:color="auto" w:sz="4" w:space="0"/>
              <w:left w:val="single" w:color="auto" w:sz="4" w:space="0"/>
              <w:bottom w:val="single" w:color="auto" w:sz="4" w:space="0"/>
              <w:right w:val="single" w:color="auto" w:sz="4" w:space="0"/>
            </w:tcBorders>
            <w:vAlign w:val="center"/>
          </w:tcPr>
          <w:p w14:paraId="3830C81B">
            <w:pPr>
              <w:rPr>
                <w:rFonts w:ascii="宋体" w:hAnsi="宋体" w:cs="宋体"/>
                <w:color w:val="auto"/>
                <w:sz w:val="24"/>
                <w:szCs w:val="24"/>
                <w:highlight w:val="none"/>
              </w:rPr>
            </w:pPr>
            <w:r>
              <w:rPr>
                <w:rFonts w:hint="eastAsia" w:ascii="宋体" w:hAnsi="宋体" w:cs="宋体"/>
                <w:color w:val="auto"/>
                <w:sz w:val="24"/>
                <w:szCs w:val="24"/>
                <w:highlight w:val="none"/>
              </w:rPr>
              <w:t>采购人应自中标通知书发出之日起30日内，</w:t>
            </w:r>
            <w:r>
              <w:rPr>
                <w:rFonts w:hint="eastAsia" w:ascii="宋体" w:hAnsi="宋体" w:cs="宋体"/>
                <w:color w:val="auto"/>
                <w:sz w:val="24"/>
                <w:highlight w:val="none"/>
              </w:rPr>
              <w:t>按照招标文件和中标人投标文件的规定，与中标人签订政府采购合同。</w:t>
            </w:r>
          </w:p>
        </w:tc>
        <w:tc>
          <w:tcPr>
            <w:tcW w:w="2715" w:type="dxa"/>
            <w:tcBorders>
              <w:top w:val="single" w:color="auto" w:sz="4" w:space="0"/>
              <w:left w:val="single" w:color="auto" w:sz="4" w:space="0"/>
              <w:bottom w:val="single" w:color="auto" w:sz="4" w:space="0"/>
              <w:right w:val="single" w:color="auto" w:sz="4" w:space="0"/>
            </w:tcBorders>
            <w:vAlign w:val="center"/>
          </w:tcPr>
          <w:p w14:paraId="07AD5C0F">
            <w:pPr>
              <w:rPr>
                <w:rFonts w:ascii="宋体" w:hAnsi="宋体" w:cs="宋体"/>
                <w:color w:val="auto"/>
                <w:sz w:val="24"/>
                <w:szCs w:val="24"/>
                <w:highlight w:val="none"/>
              </w:rPr>
            </w:pPr>
          </w:p>
        </w:tc>
      </w:tr>
      <w:bookmarkEnd w:id="87"/>
    </w:tbl>
    <w:p w14:paraId="0A307970">
      <w:pPr>
        <w:pStyle w:val="23"/>
        <w:spacing w:beforeLines="100" w:after="240" w:afterLines="100"/>
        <w:jc w:val="left"/>
        <w:outlineLvl w:val="1"/>
        <w:rPr>
          <w:rFonts w:ascii="宋体" w:hAnsi="宋体" w:cs="宋体"/>
          <w:color w:val="auto"/>
          <w:sz w:val="30"/>
          <w:szCs w:val="30"/>
          <w:highlight w:val="none"/>
        </w:rPr>
        <w:sectPr>
          <w:footerReference r:id="rId14" w:type="even"/>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96" w:name="_Toc530551821"/>
      <w:bookmarkStart w:id="97" w:name="_Toc531358976"/>
    </w:p>
    <w:p w14:paraId="602CD759">
      <w:pPr>
        <w:pStyle w:val="23"/>
        <w:spacing w:beforeLines="100" w:after="240" w:afterLines="100"/>
        <w:jc w:val="left"/>
        <w:outlineLvl w:val="1"/>
        <w:rPr>
          <w:rFonts w:ascii="宋体" w:hAnsi="宋体" w:cs="宋体"/>
          <w:color w:val="auto"/>
          <w:sz w:val="30"/>
          <w:szCs w:val="30"/>
          <w:highlight w:val="none"/>
        </w:rPr>
      </w:pPr>
      <w:bookmarkStart w:id="98" w:name="_Toc27029"/>
      <w:bookmarkStart w:id="99" w:name="_Toc315"/>
      <w:bookmarkStart w:id="100" w:name="_Toc1799"/>
      <w:bookmarkStart w:id="101" w:name="_Toc22779"/>
      <w:bookmarkStart w:id="102" w:name="_Toc97212959"/>
      <w:bookmarkStart w:id="103" w:name="_Toc7731"/>
      <w:r>
        <w:rPr>
          <w:rFonts w:hint="eastAsia" w:ascii="宋体" w:hAnsi="宋体" w:cs="宋体"/>
          <w:color w:val="auto"/>
          <w:sz w:val="30"/>
          <w:szCs w:val="30"/>
          <w:highlight w:val="none"/>
        </w:rPr>
        <w:t>一    总则</w:t>
      </w:r>
      <w:bookmarkEnd w:id="88"/>
      <w:bookmarkEnd w:id="96"/>
      <w:bookmarkEnd w:id="97"/>
      <w:bookmarkEnd w:id="98"/>
      <w:bookmarkEnd w:id="99"/>
      <w:bookmarkEnd w:id="100"/>
      <w:bookmarkEnd w:id="101"/>
      <w:bookmarkEnd w:id="102"/>
      <w:bookmarkEnd w:id="103"/>
    </w:p>
    <w:p w14:paraId="41A7D903">
      <w:pPr>
        <w:pStyle w:val="34"/>
        <w:rPr>
          <w:rFonts w:ascii="宋体" w:eastAsia="宋体"/>
          <w:color w:val="auto"/>
          <w:highlight w:val="none"/>
        </w:rPr>
      </w:pPr>
      <w:bookmarkStart w:id="104" w:name="_Toc97212960"/>
      <w:bookmarkStart w:id="105" w:name="_Toc13905"/>
      <w:bookmarkStart w:id="106" w:name="_Toc28554"/>
      <w:bookmarkStart w:id="107" w:name="_Toc11871"/>
      <w:bookmarkStart w:id="108" w:name="_Toc3424"/>
      <w:bookmarkStart w:id="109" w:name="_Toc531358977"/>
      <w:bookmarkStart w:id="110" w:name="_Toc26465"/>
      <w:bookmarkStart w:id="111" w:name="_Toc530551822"/>
      <w:r>
        <w:rPr>
          <w:rFonts w:hint="eastAsia" w:ascii="宋体" w:eastAsia="宋体"/>
          <w:color w:val="auto"/>
          <w:highlight w:val="none"/>
        </w:rPr>
        <w:t>1.1     适用范围</w:t>
      </w:r>
      <w:bookmarkEnd w:id="104"/>
      <w:bookmarkEnd w:id="105"/>
      <w:bookmarkEnd w:id="106"/>
      <w:bookmarkEnd w:id="107"/>
      <w:bookmarkEnd w:id="108"/>
      <w:bookmarkEnd w:id="109"/>
      <w:bookmarkEnd w:id="110"/>
      <w:bookmarkEnd w:id="111"/>
    </w:p>
    <w:p w14:paraId="646B9391">
      <w:pPr>
        <w:spacing w:line="360" w:lineRule="auto"/>
        <w:ind w:left="638" w:leftChars="304" w:firstLine="319" w:firstLineChars="133"/>
        <w:rPr>
          <w:rFonts w:ascii="宋体" w:hAnsi="宋体" w:cs="宋体"/>
          <w:color w:val="auto"/>
          <w:sz w:val="24"/>
          <w:szCs w:val="24"/>
          <w:highlight w:val="none"/>
        </w:rPr>
      </w:pPr>
      <w:r>
        <w:rPr>
          <w:rFonts w:hint="eastAsia" w:ascii="宋体" w:hAnsi="宋体" w:cs="宋体"/>
          <w:color w:val="auto"/>
          <w:sz w:val="24"/>
          <w:szCs w:val="24"/>
          <w:highlight w:val="none"/>
        </w:rPr>
        <w:t>本招标文件适用于该项目的招标、投标、开标、资格审查及信用信息查询、评标、定标、合同、验收等行为，法律、法规另有规定的，从其规定。</w:t>
      </w:r>
    </w:p>
    <w:p w14:paraId="33A1BB2D">
      <w:pPr>
        <w:pStyle w:val="34"/>
        <w:rPr>
          <w:rFonts w:ascii="宋体" w:eastAsia="宋体"/>
          <w:color w:val="auto"/>
          <w:highlight w:val="none"/>
        </w:rPr>
      </w:pPr>
      <w:bookmarkStart w:id="112" w:name="_Toc16460"/>
      <w:bookmarkStart w:id="113" w:name="_Toc11033"/>
      <w:bookmarkStart w:id="114" w:name="_Toc530551823"/>
      <w:bookmarkStart w:id="115" w:name="_Toc10006"/>
      <w:bookmarkStart w:id="116" w:name="_Toc25052"/>
      <w:bookmarkStart w:id="117" w:name="_Toc97212961"/>
      <w:bookmarkStart w:id="118" w:name="_Toc531358978"/>
      <w:bookmarkStart w:id="119" w:name="_Toc32066"/>
      <w:r>
        <w:rPr>
          <w:rFonts w:hint="eastAsia" w:ascii="宋体" w:eastAsia="宋体"/>
          <w:color w:val="auto"/>
          <w:highlight w:val="none"/>
        </w:rPr>
        <w:t>1.2     定义</w:t>
      </w:r>
      <w:bookmarkEnd w:id="112"/>
      <w:bookmarkEnd w:id="113"/>
      <w:bookmarkEnd w:id="114"/>
      <w:bookmarkEnd w:id="115"/>
      <w:bookmarkEnd w:id="116"/>
      <w:bookmarkEnd w:id="117"/>
      <w:bookmarkEnd w:id="118"/>
      <w:bookmarkEnd w:id="119"/>
    </w:p>
    <w:p w14:paraId="0CEA020C">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1.2.1   “采购人”系指招标公告中载明的本项目的采购人。</w:t>
      </w:r>
    </w:p>
    <w:p w14:paraId="69B5C7D0">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1.2.2   “采购代理机构”系指招标公告中载明的本项目的采购代理机构。</w:t>
      </w:r>
    </w:p>
    <w:p w14:paraId="33223928">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1.2.3   “投标人”系指按照招标文件的规定响应招标，参加并提交投标文件的法人、自然人或其他组织。</w:t>
      </w:r>
    </w:p>
    <w:p w14:paraId="0F7D63AF">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1.2.4   “负责人”系指法人企业的法定代表人，或其他组织为法律、行政法规规定代表单位行使职权的主要负责人或者自然人本人。</w:t>
      </w:r>
    </w:p>
    <w:p w14:paraId="76C4C18B">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1.2.5   “投标人代表”系指负责人或其授权的委托代理人。</w:t>
      </w:r>
    </w:p>
    <w:p w14:paraId="04A5C2C6">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1.2.6  标有“</w:t>
      </w:r>
      <w:r>
        <w:rPr>
          <w:rFonts w:hint="eastAsia" w:ascii="宋体" w:hAnsi="宋体" w:cs="宋体"/>
          <w:color w:val="auto"/>
          <w:sz w:val="24"/>
          <w:highlight w:val="none"/>
        </w:rPr>
        <w:t>▲</w:t>
      </w:r>
      <w:r>
        <w:rPr>
          <w:rFonts w:hint="eastAsia" w:ascii="宋体" w:hAnsi="宋体" w:cs="宋体"/>
          <w:color w:val="auto"/>
          <w:sz w:val="24"/>
          <w:szCs w:val="24"/>
          <w:highlight w:val="none"/>
        </w:rPr>
        <w:t>”符号均属于“实质性条款”，不允许负偏离。</w:t>
      </w:r>
    </w:p>
    <w:p w14:paraId="5E7C47F3">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1.2.7  标有“★”系指项目关键核心产品，作为判断同品牌产品的依据。</w:t>
      </w:r>
    </w:p>
    <w:p w14:paraId="367F9BAF">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1.2.8  标有“</w:t>
      </w:r>
      <w:r>
        <w:rPr>
          <w:rFonts w:hint="eastAsia" w:ascii="仿宋" w:hAnsi="仿宋" w:eastAsia="仿宋" w:cs="仿宋"/>
          <w:color w:val="auto"/>
          <w:sz w:val="24"/>
          <w:szCs w:val="24"/>
          <w:highlight w:val="none"/>
        </w:rPr>
        <w:t>●</w:t>
      </w:r>
      <w:r>
        <w:rPr>
          <w:rFonts w:hint="eastAsia" w:ascii="宋体" w:hAnsi="宋体" w:cs="宋体"/>
          <w:color w:val="auto"/>
          <w:sz w:val="24"/>
          <w:szCs w:val="24"/>
          <w:highlight w:val="none"/>
        </w:rPr>
        <w:t>”系指项目重要参数。</w:t>
      </w:r>
    </w:p>
    <w:p w14:paraId="1EE87B36">
      <w:pPr>
        <w:spacing w:line="360" w:lineRule="auto"/>
        <w:ind w:left="964" w:hanging="964" w:hangingChars="400"/>
        <w:rPr>
          <w:rFonts w:ascii="宋体" w:hAnsi="宋体" w:cs="宋体"/>
          <w:b/>
          <w:color w:val="auto"/>
          <w:sz w:val="24"/>
          <w:szCs w:val="24"/>
          <w:highlight w:val="none"/>
        </w:rPr>
      </w:pPr>
      <w:r>
        <w:rPr>
          <w:rFonts w:hint="eastAsia" w:ascii="宋体" w:hAnsi="宋体" w:cs="宋体"/>
          <w:b/>
          <w:color w:val="auto"/>
          <w:sz w:val="24"/>
          <w:szCs w:val="24"/>
          <w:highlight w:val="none"/>
        </w:rPr>
        <w:t>1.2.9  “电子投标文件”系指投标人通过“政采云平台”编制的数据电文形式的“电子加密投标文件”。</w:t>
      </w:r>
    </w:p>
    <w:p w14:paraId="57713C45">
      <w:pPr>
        <w:spacing w:line="360" w:lineRule="auto"/>
        <w:ind w:left="964" w:hanging="964" w:hangingChars="400"/>
        <w:rPr>
          <w:rFonts w:ascii="宋体" w:hAnsi="宋体" w:cs="宋体"/>
          <w:b/>
          <w:color w:val="auto"/>
          <w:sz w:val="24"/>
          <w:szCs w:val="24"/>
          <w:highlight w:val="none"/>
        </w:rPr>
      </w:pPr>
      <w:r>
        <w:rPr>
          <w:rFonts w:hint="eastAsia" w:ascii="宋体" w:hAnsi="宋体" w:cs="宋体"/>
          <w:b/>
          <w:color w:val="auto"/>
          <w:sz w:val="24"/>
          <w:szCs w:val="24"/>
          <w:highlight w:val="none"/>
        </w:rPr>
        <w:t>1.2.10  “备份投标文件”系指与“电子投标文件”同时生成的数据电文形式的电子文件。</w:t>
      </w:r>
    </w:p>
    <w:p w14:paraId="44836422">
      <w:pPr>
        <w:spacing w:line="360" w:lineRule="auto"/>
        <w:ind w:left="964" w:hanging="964" w:hangingChars="400"/>
        <w:rPr>
          <w:rFonts w:ascii="宋体" w:hAnsi="宋体" w:cs="宋体"/>
          <w:color w:val="auto"/>
          <w:highlight w:val="none"/>
        </w:rPr>
      </w:pPr>
      <w:r>
        <w:rPr>
          <w:rFonts w:hint="eastAsia" w:ascii="宋体" w:hAnsi="宋体" w:cs="宋体"/>
          <w:b/>
          <w:color w:val="auto"/>
          <w:sz w:val="24"/>
          <w:szCs w:val="24"/>
          <w:highlight w:val="none"/>
        </w:rPr>
        <w:t>1.2.11  “电子签名”</w:t>
      </w:r>
      <w:r>
        <w:rPr>
          <w:rFonts w:hint="eastAsia" w:ascii="宋体" w:hAnsi="宋体" w:cs="宋体"/>
          <w:bCs/>
          <w:color w:val="auto"/>
          <w:sz w:val="24"/>
          <w:szCs w:val="24"/>
          <w:highlight w:val="none"/>
        </w:rPr>
        <w:t>系指数据电文中以电子形式所含、所附用于识别签名人身份并表明签名人认可其中内容的数据；“公章”系指单位法定名称章。</w:t>
      </w:r>
    </w:p>
    <w:p w14:paraId="7268EF8E">
      <w:pPr>
        <w:pStyle w:val="34"/>
        <w:rPr>
          <w:rFonts w:ascii="宋体" w:eastAsia="宋体"/>
          <w:color w:val="auto"/>
          <w:highlight w:val="none"/>
        </w:rPr>
      </w:pPr>
      <w:bookmarkStart w:id="120" w:name="_Toc97212962"/>
      <w:bookmarkStart w:id="121" w:name="_Toc28832"/>
      <w:bookmarkStart w:id="122" w:name="_Toc531358980"/>
      <w:bookmarkStart w:id="123" w:name="_Toc1713"/>
      <w:bookmarkStart w:id="124" w:name="_Toc28757"/>
      <w:bookmarkStart w:id="125" w:name="_Toc15091"/>
      <w:bookmarkStart w:id="126" w:name="_Toc530551825"/>
      <w:bookmarkStart w:id="127" w:name="_Toc6287"/>
      <w:r>
        <w:rPr>
          <w:rFonts w:hint="eastAsia" w:ascii="宋体" w:eastAsia="宋体"/>
          <w:color w:val="auto"/>
          <w:highlight w:val="none"/>
        </w:rPr>
        <w:t>1.3     投标人应具备资格条件</w:t>
      </w:r>
      <w:bookmarkEnd w:id="120"/>
      <w:bookmarkEnd w:id="121"/>
      <w:bookmarkEnd w:id="122"/>
      <w:bookmarkEnd w:id="123"/>
      <w:bookmarkEnd w:id="124"/>
      <w:bookmarkEnd w:id="125"/>
      <w:bookmarkEnd w:id="126"/>
      <w:bookmarkEnd w:id="127"/>
    </w:p>
    <w:p w14:paraId="7BCEAE2D">
      <w:pPr>
        <w:spacing w:line="360" w:lineRule="auto"/>
        <w:ind w:left="960" w:hanging="960" w:hangingChars="400"/>
        <w:rPr>
          <w:rFonts w:ascii="宋体" w:hAnsi="宋体" w:cs="宋体"/>
          <w:color w:val="auto"/>
          <w:sz w:val="24"/>
          <w:szCs w:val="24"/>
          <w:highlight w:val="none"/>
        </w:rPr>
      </w:pPr>
      <w:bookmarkStart w:id="128" w:name="_Toc530551826"/>
      <w:r>
        <w:rPr>
          <w:rFonts w:hint="eastAsia" w:ascii="宋体" w:hAnsi="宋体" w:cs="宋体"/>
          <w:color w:val="auto"/>
          <w:sz w:val="24"/>
          <w:szCs w:val="24"/>
          <w:highlight w:val="none"/>
        </w:rPr>
        <w:t>1.3.1   符合本招标公告中载明“申请人的资格要求”的规定。</w:t>
      </w:r>
    </w:p>
    <w:p w14:paraId="718CA6DF">
      <w:pPr>
        <w:pStyle w:val="34"/>
        <w:rPr>
          <w:rFonts w:ascii="宋体" w:eastAsia="宋体"/>
          <w:color w:val="auto"/>
          <w:highlight w:val="none"/>
        </w:rPr>
      </w:pPr>
      <w:bookmarkStart w:id="129" w:name="_Toc5762"/>
      <w:bookmarkStart w:id="130" w:name="_Toc32011"/>
      <w:bookmarkStart w:id="131" w:name="_Toc2894"/>
      <w:bookmarkStart w:id="132" w:name="_Toc97212963"/>
      <w:bookmarkStart w:id="133" w:name="_Toc31118"/>
      <w:bookmarkStart w:id="134" w:name="_Toc25864"/>
      <w:bookmarkStart w:id="135" w:name="_Toc531358981"/>
      <w:r>
        <w:rPr>
          <w:rFonts w:hint="eastAsia" w:ascii="宋体" w:eastAsia="宋体"/>
          <w:color w:val="auto"/>
          <w:highlight w:val="none"/>
        </w:rPr>
        <w:t>1.4     联合体投标</w:t>
      </w:r>
      <w:bookmarkEnd w:id="128"/>
      <w:bookmarkEnd w:id="129"/>
      <w:bookmarkEnd w:id="130"/>
      <w:bookmarkEnd w:id="131"/>
      <w:bookmarkEnd w:id="132"/>
      <w:bookmarkEnd w:id="133"/>
      <w:bookmarkEnd w:id="134"/>
      <w:bookmarkEnd w:id="135"/>
    </w:p>
    <w:p w14:paraId="01824E4B">
      <w:pPr>
        <w:spacing w:line="360" w:lineRule="auto"/>
        <w:ind w:left="720" w:hanging="720" w:hangingChars="300"/>
        <w:rPr>
          <w:rFonts w:ascii="宋体" w:hAnsi="宋体" w:cs="宋体"/>
          <w:color w:val="auto"/>
          <w:sz w:val="24"/>
          <w:szCs w:val="24"/>
          <w:highlight w:val="none"/>
        </w:rPr>
      </w:pPr>
      <w:r>
        <w:rPr>
          <w:rFonts w:hint="eastAsia" w:ascii="宋体" w:hAnsi="宋体" w:cs="宋体"/>
          <w:color w:val="auto"/>
          <w:sz w:val="24"/>
          <w:szCs w:val="24"/>
          <w:highlight w:val="none"/>
        </w:rPr>
        <w:t>1.4.1   联合体：见投标人须知前附表（一）。</w:t>
      </w:r>
    </w:p>
    <w:p w14:paraId="3F2B50F4">
      <w:pPr>
        <w:pStyle w:val="34"/>
        <w:rPr>
          <w:rFonts w:ascii="宋体" w:eastAsia="宋体"/>
          <w:color w:val="auto"/>
          <w:highlight w:val="none"/>
        </w:rPr>
      </w:pPr>
      <w:bookmarkStart w:id="136" w:name="_Toc97212964"/>
      <w:bookmarkStart w:id="137" w:name="_Toc530551827"/>
      <w:bookmarkStart w:id="138" w:name="_Toc28081"/>
      <w:bookmarkStart w:id="139" w:name="_Toc28695"/>
      <w:bookmarkStart w:id="140" w:name="_Toc13735"/>
      <w:bookmarkStart w:id="141" w:name="_Toc10645"/>
      <w:bookmarkStart w:id="142" w:name="_Toc531358982"/>
      <w:bookmarkStart w:id="143" w:name="_Toc21944"/>
      <w:r>
        <w:rPr>
          <w:rFonts w:hint="eastAsia" w:ascii="宋体" w:eastAsia="宋体"/>
          <w:color w:val="auto"/>
          <w:highlight w:val="none"/>
        </w:rPr>
        <w:t>1.5     投标文件的语言及计量</w:t>
      </w:r>
      <w:bookmarkEnd w:id="136"/>
      <w:bookmarkEnd w:id="137"/>
      <w:bookmarkEnd w:id="138"/>
      <w:bookmarkEnd w:id="139"/>
      <w:bookmarkEnd w:id="140"/>
      <w:bookmarkEnd w:id="141"/>
      <w:bookmarkEnd w:id="142"/>
      <w:bookmarkEnd w:id="143"/>
    </w:p>
    <w:p w14:paraId="2A9B8DE1">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1.5.1   投标文件以及投标人、采购人与采购代理机构就有关投标事宜的所有来往函电，均应以简体中文书写，除签名、盖章、专用名称等特殊情形外。</w:t>
      </w:r>
    </w:p>
    <w:p w14:paraId="12B713F0">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1.5.2   投标资料提供外文证书或者外国语视听资料的，应附有中文译本，由翻译机构盖章或者翻译人员签名。</w:t>
      </w:r>
    </w:p>
    <w:p w14:paraId="236CF8FF">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1.5.3   投标计量单位，招标文件已有明确规定的，使用招标文件规定的计量单位；招标文件没有规定的，应采用中华人民共和国法定计量单位。</w:t>
      </w:r>
    </w:p>
    <w:p w14:paraId="4ACDA198">
      <w:pPr>
        <w:pStyle w:val="34"/>
        <w:rPr>
          <w:rFonts w:ascii="宋体" w:eastAsia="宋体"/>
          <w:color w:val="auto"/>
          <w:highlight w:val="none"/>
        </w:rPr>
      </w:pPr>
      <w:bookmarkStart w:id="144" w:name="_Toc97212965"/>
      <w:bookmarkStart w:id="145" w:name="_Toc17523"/>
      <w:bookmarkStart w:id="146" w:name="_Toc530551828"/>
      <w:bookmarkStart w:id="147" w:name="_Toc15549"/>
      <w:bookmarkStart w:id="148" w:name="_Toc531358983"/>
      <w:bookmarkStart w:id="149" w:name="_Toc27848"/>
      <w:bookmarkStart w:id="150" w:name="_Toc18221"/>
      <w:bookmarkStart w:id="151" w:name="_Toc26046"/>
      <w:r>
        <w:rPr>
          <w:rFonts w:hint="eastAsia" w:ascii="宋体" w:eastAsia="宋体"/>
          <w:color w:val="auto"/>
          <w:highlight w:val="none"/>
        </w:rPr>
        <w:t>1.6     投标费用</w:t>
      </w:r>
      <w:bookmarkEnd w:id="144"/>
      <w:bookmarkEnd w:id="145"/>
      <w:bookmarkEnd w:id="146"/>
      <w:bookmarkEnd w:id="147"/>
      <w:bookmarkEnd w:id="148"/>
      <w:bookmarkEnd w:id="149"/>
      <w:bookmarkEnd w:id="150"/>
      <w:bookmarkEnd w:id="151"/>
    </w:p>
    <w:p w14:paraId="3650F7E8">
      <w:pPr>
        <w:spacing w:line="360" w:lineRule="auto"/>
        <w:ind w:firstLine="960" w:firstLineChars="400"/>
        <w:rPr>
          <w:rFonts w:ascii="宋体" w:hAnsi="宋体" w:cs="宋体"/>
          <w:color w:val="auto"/>
          <w:sz w:val="24"/>
          <w:szCs w:val="24"/>
          <w:highlight w:val="none"/>
        </w:rPr>
      </w:pPr>
      <w:r>
        <w:rPr>
          <w:rFonts w:hint="eastAsia" w:ascii="宋体" w:hAnsi="宋体" w:cs="宋体"/>
          <w:color w:val="auto"/>
          <w:sz w:val="24"/>
          <w:szCs w:val="24"/>
          <w:highlight w:val="none"/>
        </w:rPr>
        <w:t>投标人自行承担与本项目投标有关的全所有费用（法律、法规有规定的除外）。</w:t>
      </w:r>
    </w:p>
    <w:p w14:paraId="61C5B961">
      <w:pPr>
        <w:pStyle w:val="34"/>
        <w:rPr>
          <w:rFonts w:ascii="宋体" w:eastAsia="宋体"/>
          <w:color w:val="auto"/>
          <w:highlight w:val="none"/>
        </w:rPr>
      </w:pPr>
      <w:bookmarkStart w:id="152" w:name="_Toc22794"/>
      <w:bookmarkStart w:id="153" w:name="_Toc18696"/>
      <w:bookmarkStart w:id="154" w:name="_Toc20946"/>
      <w:bookmarkStart w:id="155" w:name="_Toc531358984"/>
      <w:bookmarkStart w:id="156" w:name="_Toc530551829"/>
      <w:bookmarkStart w:id="157" w:name="_Toc32276"/>
      <w:bookmarkStart w:id="158" w:name="_Toc97212966"/>
      <w:bookmarkStart w:id="159" w:name="_Toc15174"/>
      <w:r>
        <w:rPr>
          <w:rFonts w:hint="eastAsia" w:ascii="宋体" w:eastAsia="宋体"/>
          <w:color w:val="auto"/>
          <w:highlight w:val="none"/>
        </w:rPr>
        <w:t>1.7     现场踏勘</w:t>
      </w:r>
      <w:bookmarkEnd w:id="152"/>
      <w:bookmarkEnd w:id="153"/>
      <w:bookmarkEnd w:id="154"/>
      <w:bookmarkEnd w:id="155"/>
      <w:bookmarkEnd w:id="156"/>
      <w:bookmarkEnd w:id="157"/>
      <w:bookmarkEnd w:id="158"/>
      <w:bookmarkEnd w:id="159"/>
    </w:p>
    <w:p w14:paraId="1F4A74D5">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1.7.1   现场踏勘：见投标人须知前附表（一）。</w:t>
      </w:r>
    </w:p>
    <w:p w14:paraId="75FD4D68">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1.7.2   投标人踏勘现场发生的费用自行承担。</w:t>
      </w:r>
    </w:p>
    <w:p w14:paraId="24D70E85">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1.7.3   除采购人的原因外，投标人自行负责在踏勘现场中所发生的人员伤亡和财产损失。</w:t>
      </w:r>
    </w:p>
    <w:p w14:paraId="0C275B90">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1.7.4   采购人在现场踏勘中介绍的场地和相关的周边环境情况，供投标人在编制投标文件时参考，采购人不对投标人据此作出的判断和决策负责。</w:t>
      </w:r>
    </w:p>
    <w:p w14:paraId="0DE612F3">
      <w:pPr>
        <w:pStyle w:val="34"/>
        <w:rPr>
          <w:rFonts w:ascii="宋体" w:eastAsia="宋体"/>
          <w:color w:val="auto"/>
          <w:highlight w:val="none"/>
        </w:rPr>
      </w:pPr>
      <w:bookmarkStart w:id="160" w:name="_Toc1136"/>
      <w:bookmarkStart w:id="161" w:name="_Toc97212967"/>
      <w:bookmarkStart w:id="162" w:name="_Toc2484"/>
      <w:bookmarkStart w:id="163" w:name="_Toc31092"/>
      <w:bookmarkStart w:id="164" w:name="_Toc531358985"/>
      <w:bookmarkStart w:id="165" w:name="_Toc530551830"/>
      <w:bookmarkStart w:id="166" w:name="_Toc24969"/>
      <w:bookmarkStart w:id="167" w:name="_Toc17428"/>
      <w:r>
        <w:rPr>
          <w:rFonts w:hint="eastAsia" w:ascii="宋体" w:eastAsia="宋体"/>
          <w:color w:val="auto"/>
          <w:highlight w:val="none"/>
        </w:rPr>
        <w:t>1.8     答疑会</w:t>
      </w:r>
      <w:bookmarkEnd w:id="160"/>
      <w:bookmarkEnd w:id="161"/>
      <w:bookmarkEnd w:id="162"/>
      <w:bookmarkEnd w:id="163"/>
      <w:bookmarkEnd w:id="164"/>
      <w:bookmarkEnd w:id="165"/>
      <w:bookmarkEnd w:id="166"/>
      <w:bookmarkEnd w:id="167"/>
    </w:p>
    <w:p w14:paraId="66199AD2">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1.8.1   答疑会：见投标人须知前附表（一）。</w:t>
      </w:r>
    </w:p>
    <w:p w14:paraId="78EB456F">
      <w:pPr>
        <w:pStyle w:val="34"/>
        <w:rPr>
          <w:rFonts w:ascii="宋体" w:eastAsia="宋体"/>
          <w:color w:val="auto"/>
          <w:highlight w:val="none"/>
        </w:rPr>
      </w:pPr>
      <w:bookmarkStart w:id="168" w:name="_Toc19128"/>
      <w:bookmarkStart w:id="169" w:name="_Toc21920"/>
      <w:bookmarkStart w:id="170" w:name="_Toc531358986"/>
      <w:bookmarkStart w:id="171" w:name="_Toc530551831"/>
      <w:bookmarkStart w:id="172" w:name="_Toc1045"/>
      <w:bookmarkStart w:id="173" w:name="_Toc8841"/>
      <w:bookmarkStart w:id="174" w:name="_Toc1577"/>
      <w:bookmarkStart w:id="175" w:name="_Toc97212968"/>
      <w:r>
        <w:rPr>
          <w:rFonts w:hint="eastAsia" w:ascii="宋体" w:eastAsia="宋体"/>
          <w:color w:val="auto"/>
          <w:highlight w:val="none"/>
        </w:rPr>
        <w:t>1.9     分包</w:t>
      </w:r>
      <w:bookmarkEnd w:id="168"/>
      <w:bookmarkEnd w:id="169"/>
      <w:bookmarkEnd w:id="170"/>
      <w:bookmarkEnd w:id="171"/>
      <w:bookmarkEnd w:id="172"/>
      <w:bookmarkEnd w:id="173"/>
      <w:bookmarkEnd w:id="174"/>
      <w:bookmarkEnd w:id="175"/>
    </w:p>
    <w:p w14:paraId="0639CCAB">
      <w:pPr>
        <w:spacing w:line="360" w:lineRule="auto"/>
        <w:ind w:left="720" w:hanging="720" w:hangingChars="300"/>
        <w:rPr>
          <w:rFonts w:ascii="宋体" w:hAnsi="宋体" w:cs="宋体"/>
          <w:color w:val="auto"/>
          <w:sz w:val="24"/>
          <w:szCs w:val="24"/>
          <w:highlight w:val="none"/>
        </w:rPr>
      </w:pPr>
      <w:r>
        <w:rPr>
          <w:rFonts w:hint="eastAsia" w:ascii="宋体" w:hAnsi="宋体" w:cs="宋体"/>
          <w:color w:val="auto"/>
          <w:sz w:val="24"/>
          <w:szCs w:val="24"/>
          <w:highlight w:val="none"/>
        </w:rPr>
        <w:t>1.9.1   分包：见投标人须知前附表（一）。</w:t>
      </w:r>
    </w:p>
    <w:p w14:paraId="77960A72">
      <w:pPr>
        <w:pStyle w:val="34"/>
        <w:rPr>
          <w:rFonts w:ascii="宋体" w:eastAsia="宋体"/>
          <w:color w:val="auto"/>
          <w:highlight w:val="none"/>
        </w:rPr>
      </w:pPr>
      <w:bookmarkStart w:id="176" w:name="_Toc99"/>
      <w:bookmarkStart w:id="177" w:name="_Toc3651"/>
      <w:bookmarkStart w:id="178" w:name="_Toc97212969"/>
      <w:bookmarkStart w:id="179" w:name="_Toc17341"/>
      <w:bookmarkStart w:id="180" w:name="_Toc531358987"/>
      <w:bookmarkStart w:id="181" w:name="_Toc29621"/>
      <w:bookmarkStart w:id="182" w:name="_Toc530551832"/>
      <w:bookmarkStart w:id="183" w:name="_Toc14617"/>
      <w:r>
        <w:rPr>
          <w:rFonts w:hint="eastAsia" w:ascii="宋体" w:eastAsia="宋体"/>
          <w:color w:val="auto"/>
          <w:highlight w:val="none"/>
        </w:rPr>
        <w:t>1.10    保密</w:t>
      </w:r>
      <w:bookmarkEnd w:id="176"/>
      <w:bookmarkEnd w:id="177"/>
      <w:bookmarkEnd w:id="178"/>
      <w:bookmarkEnd w:id="179"/>
      <w:bookmarkEnd w:id="180"/>
      <w:bookmarkEnd w:id="181"/>
      <w:bookmarkEnd w:id="182"/>
      <w:bookmarkEnd w:id="183"/>
    </w:p>
    <w:p w14:paraId="74E44294">
      <w:pPr>
        <w:spacing w:line="360" w:lineRule="auto"/>
        <w:ind w:left="945" w:leftChars="450"/>
        <w:rPr>
          <w:rFonts w:ascii="宋体" w:hAnsi="宋体" w:cs="宋体"/>
          <w:color w:val="auto"/>
          <w:sz w:val="24"/>
          <w:szCs w:val="24"/>
          <w:highlight w:val="none"/>
        </w:rPr>
      </w:pPr>
      <w:r>
        <w:rPr>
          <w:rFonts w:hint="eastAsia" w:ascii="宋体" w:hAnsi="宋体" w:cs="宋体"/>
          <w:color w:val="auto"/>
          <w:sz w:val="24"/>
          <w:szCs w:val="24"/>
          <w:highlight w:val="none"/>
        </w:rPr>
        <w:t>参与招标投标活动的各方当事人应对投标、评标情况以及在评标过程中获悉的商业秘密、国家秘密等负有保密义务，违者应承担相应的法律责任。</w:t>
      </w:r>
    </w:p>
    <w:p w14:paraId="4C27088C">
      <w:pPr>
        <w:pStyle w:val="34"/>
        <w:rPr>
          <w:rFonts w:ascii="宋体" w:eastAsia="宋体"/>
          <w:color w:val="auto"/>
          <w:highlight w:val="none"/>
        </w:rPr>
      </w:pPr>
      <w:bookmarkStart w:id="184" w:name="_Toc26709"/>
      <w:bookmarkStart w:id="185" w:name="_Toc97212970"/>
      <w:bookmarkStart w:id="186" w:name="_Toc26742"/>
      <w:bookmarkStart w:id="187" w:name="_Toc531358988"/>
      <w:bookmarkStart w:id="188" w:name="_Toc530551833"/>
      <w:bookmarkStart w:id="189" w:name="_Toc3704"/>
      <w:bookmarkStart w:id="190" w:name="_Toc11665"/>
      <w:bookmarkStart w:id="191" w:name="_Toc4901"/>
      <w:r>
        <w:rPr>
          <w:rFonts w:hint="eastAsia" w:ascii="宋体" w:eastAsia="宋体"/>
          <w:color w:val="auto"/>
          <w:highlight w:val="none"/>
        </w:rPr>
        <w:t>1.11    政府采购政策</w:t>
      </w:r>
      <w:bookmarkEnd w:id="184"/>
      <w:bookmarkEnd w:id="185"/>
      <w:bookmarkEnd w:id="186"/>
      <w:bookmarkEnd w:id="187"/>
      <w:bookmarkEnd w:id="188"/>
      <w:bookmarkEnd w:id="189"/>
      <w:bookmarkEnd w:id="190"/>
      <w:bookmarkEnd w:id="191"/>
    </w:p>
    <w:p w14:paraId="57E9D8BB">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1.11.1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w:t>
      </w:r>
      <w:r>
        <w:rPr>
          <w:rFonts w:hint="eastAsia" w:ascii="宋体" w:hAnsi="宋体" w:cs="宋体"/>
          <w:color w:val="auto"/>
          <w:sz w:val="24"/>
          <w:szCs w:val="24"/>
          <w:highlight w:val="none"/>
          <w:lang w:eastAsia="zh-CN"/>
        </w:rPr>
        <w:t>投标人</w:t>
      </w:r>
      <w:r>
        <w:rPr>
          <w:rFonts w:hint="eastAsia" w:ascii="宋体" w:hAnsi="宋体" w:cs="宋体"/>
          <w:color w:val="auto"/>
          <w:sz w:val="24"/>
          <w:szCs w:val="24"/>
          <w:highlight w:val="none"/>
        </w:rPr>
        <w:t>的进口产品。</w:t>
      </w:r>
    </w:p>
    <w:p w14:paraId="5D744D06">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1.11.2支持中小企业发展</w:t>
      </w:r>
    </w:p>
    <w:p w14:paraId="0EF09E14">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1.11.2.1中小企业，是指在中华人民共和国境内依法设立，依据国务院批准的中小企业划分标准确定的中型企业、小型企业和微型企业，但与大企业的负责人为同一人，或者与大企业存在直接控股、管理关系的除外。</w:t>
      </w:r>
    </w:p>
    <w:p w14:paraId="6C742E63">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符合中小企业划分标准的个体工商户，在政府采购活动中视同中小企业。</w:t>
      </w:r>
    </w:p>
    <w:p w14:paraId="0F4A5A82">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1.11.2.2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以联合体形式参加政府采购活动，联合体各方均为中小企业的，联合体视同中小企业。其中，联合体各方均为小微企业的，联合体视同小微企业。</w:t>
      </w:r>
    </w:p>
    <w:p w14:paraId="242B4942">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1.11.2.3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4926B6E2">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1.11.2.4符合《关于促进残疾人就业政府采购政策的通知》（财库〔2017〕141号）规定的条件并提供《残疾人福利性单位声明函》（附件1）的残疾人福利性单位视同小型、微型企业；</w:t>
      </w:r>
    </w:p>
    <w:p w14:paraId="576A8279">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1.11.2.5符合《关于政府采购支持监狱企业发展有关问题的通知》（财库[2014]68号）规定的监狱企业并提供由省级以上监狱管理局、戒毒管理局（含新疆生产建设兵团）出具的属于监狱企业证明文件的，视同为小型、微型企业。</w:t>
      </w:r>
    </w:p>
    <w:p w14:paraId="15FD0885">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1.11.2.6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7859D54C">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1.11.2.7中小企业享受扶持政策获得政府采购合同的，小微企业不得将合同分包给大中型企业，中型企业不得将合同分包给大型企业。</w:t>
      </w:r>
    </w:p>
    <w:p w14:paraId="1ED504E2">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1.11.3支持创新发展</w:t>
      </w:r>
    </w:p>
    <w:p w14:paraId="02B81F19">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1.11.3.1 采购人优先采购被认定为首台套产品和“制造精品”的自主创新产品。</w:t>
      </w:r>
    </w:p>
    <w:p w14:paraId="6711257B">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1.11.3.2对省级以上主管部门认定的首台套产品，自纳入《省推广应用指导目录》起三年内参加政府采购活动，视同已具备相应销售业绩，业绩分为满分，投标文件中提供相应的证明材料。</w:t>
      </w:r>
    </w:p>
    <w:p w14:paraId="391FF84E">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1.11.4平等对待内外资企业和符合条件的破产重整企业</w:t>
      </w:r>
    </w:p>
    <w:p w14:paraId="09C20404">
      <w:pPr>
        <w:spacing w:line="360" w:lineRule="auto"/>
        <w:ind w:left="958" w:leftChars="456"/>
        <w:rPr>
          <w:rFonts w:ascii="宋体" w:hAnsi="宋体" w:cs="宋体"/>
          <w:color w:val="auto"/>
          <w:sz w:val="24"/>
          <w:szCs w:val="24"/>
          <w:highlight w:val="none"/>
        </w:rPr>
      </w:pPr>
      <w:r>
        <w:rPr>
          <w:rFonts w:hint="eastAsia" w:ascii="宋体" w:hAnsi="宋体" w:cs="宋体"/>
          <w:color w:val="auto"/>
          <w:sz w:val="24"/>
          <w:szCs w:val="24"/>
          <w:highlight w:val="none"/>
        </w:rPr>
        <w:t>平等对待内外资企业和符合条件的破产重整企业，切实保障企业公平竞争，平等维护企业的合法利益。</w:t>
      </w:r>
    </w:p>
    <w:p w14:paraId="013BA882">
      <w:pPr>
        <w:pStyle w:val="34"/>
        <w:rPr>
          <w:rFonts w:ascii="宋体" w:eastAsia="宋体"/>
          <w:color w:val="auto"/>
          <w:highlight w:val="none"/>
        </w:rPr>
      </w:pPr>
      <w:bookmarkStart w:id="192" w:name="_Toc12770"/>
      <w:bookmarkStart w:id="193" w:name="_Toc19158"/>
      <w:bookmarkStart w:id="194" w:name="_Toc29536"/>
      <w:bookmarkStart w:id="195" w:name="_Toc531358989"/>
      <w:bookmarkStart w:id="196" w:name="_Toc530551834"/>
      <w:bookmarkStart w:id="197" w:name="_Toc27783"/>
      <w:bookmarkStart w:id="198" w:name="_Toc14002"/>
      <w:bookmarkStart w:id="199" w:name="_Toc97212971"/>
      <w:r>
        <w:rPr>
          <w:rFonts w:hint="eastAsia" w:ascii="宋体" w:eastAsia="宋体"/>
          <w:color w:val="auto"/>
          <w:highlight w:val="none"/>
        </w:rPr>
        <w:t>1.12    相同品牌产品</w:t>
      </w:r>
      <w:bookmarkEnd w:id="192"/>
      <w:bookmarkEnd w:id="193"/>
      <w:bookmarkEnd w:id="194"/>
      <w:bookmarkEnd w:id="195"/>
      <w:bookmarkEnd w:id="196"/>
      <w:bookmarkEnd w:id="197"/>
      <w:bookmarkEnd w:id="198"/>
      <w:bookmarkEnd w:id="199"/>
    </w:p>
    <w:p w14:paraId="43DA993E">
      <w:pPr>
        <w:spacing w:line="360" w:lineRule="auto"/>
        <w:ind w:left="638" w:hanging="638" w:hangingChars="266"/>
        <w:rPr>
          <w:rFonts w:ascii="宋体" w:hAnsi="宋体" w:cs="宋体"/>
          <w:color w:val="auto"/>
          <w:sz w:val="24"/>
          <w:highlight w:val="none"/>
        </w:rPr>
      </w:pPr>
      <w:r>
        <w:rPr>
          <w:rFonts w:hint="eastAsia" w:ascii="宋体" w:hAnsi="宋体" w:cs="宋体"/>
          <w:color w:val="auto"/>
          <w:sz w:val="24"/>
          <w:szCs w:val="24"/>
          <w:highlight w:val="none"/>
        </w:rPr>
        <w:t>1.12.1  采用最低评标价法的采购项目，提供相同品牌产品的不同投标人参加同一项目合同项下投标的，以其中通过资格审查、符合性审查且报价最低的参加评标；报价相同的，</w:t>
      </w:r>
      <w:r>
        <w:rPr>
          <w:rFonts w:hint="eastAsia" w:ascii="宋体" w:hAnsi="宋体" w:cs="宋体"/>
          <w:color w:val="auto"/>
          <w:sz w:val="24"/>
          <w:highlight w:val="none"/>
        </w:rPr>
        <w:t>采取随机抽取方式确定一个参加评标的投标人，其他投标无效。</w:t>
      </w:r>
    </w:p>
    <w:p w14:paraId="2F2D3E23">
      <w:pPr>
        <w:spacing w:line="360" w:lineRule="auto"/>
        <w:ind w:left="718" w:leftChars="342" w:firstLine="324" w:firstLineChars="135"/>
        <w:rPr>
          <w:rFonts w:ascii="宋体" w:hAnsi="宋体" w:cs="宋体"/>
          <w:color w:val="auto"/>
          <w:sz w:val="24"/>
          <w:highlight w:val="none"/>
        </w:rPr>
      </w:pPr>
      <w:r>
        <w:rPr>
          <w:rFonts w:hint="eastAsia" w:ascii="宋体" w:hAnsi="宋体" w:cs="宋体"/>
          <w:color w:val="auto"/>
          <w:sz w:val="24"/>
          <w:szCs w:val="24"/>
          <w:highlight w:val="none"/>
        </w:rPr>
        <w:t>使用综合评分法的采购项目，提供相同品牌产品且通过资格审查、符合性审查的不同投标人参加同一合同项下投标的，按一家投标人计算，评标后得分最高的同品牌投标人获得中标人推荐资格；评标</w:t>
      </w:r>
      <w:r>
        <w:rPr>
          <w:rFonts w:hint="eastAsia" w:ascii="宋体" w:hAnsi="宋体" w:cs="宋体"/>
          <w:color w:val="auto"/>
          <w:sz w:val="24"/>
          <w:highlight w:val="none"/>
        </w:rPr>
        <w:t>得分相同的，取报价最低者；均相同时，采取随机抽取方式确定。其他同品牌投标人不作为中标候选人。</w:t>
      </w:r>
    </w:p>
    <w:p w14:paraId="43680E94">
      <w:pPr>
        <w:spacing w:line="360" w:lineRule="auto"/>
        <w:ind w:left="718" w:leftChars="342" w:firstLine="561" w:firstLineChars="234"/>
        <w:rPr>
          <w:rFonts w:ascii="宋体" w:hAnsi="宋体" w:cs="宋体"/>
          <w:color w:val="auto"/>
          <w:sz w:val="24"/>
          <w:highlight w:val="none"/>
        </w:rPr>
      </w:pPr>
      <w:r>
        <w:rPr>
          <w:rFonts w:hint="eastAsia" w:ascii="宋体" w:hAnsi="宋体" w:cs="宋体"/>
          <w:color w:val="auto"/>
          <w:sz w:val="24"/>
          <w:highlight w:val="none"/>
        </w:rPr>
        <w:t xml:space="preserve">非单一产品采购项目中，招标需求中标注“★”的核心产品，多家投标人提供的核心产品品牌均相同的，按前两款规定处理。 </w:t>
      </w:r>
    </w:p>
    <w:p w14:paraId="578D3B6C">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1.12.2  核心产品：见投标人须知前附表（一）。</w:t>
      </w:r>
    </w:p>
    <w:p w14:paraId="17CA7380">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szCs w:val="24"/>
          <w:highlight w:val="none"/>
        </w:rPr>
        <w:t>1.12.3  因相同品牌产品原因造成实质性响应投标人</w:t>
      </w:r>
      <w:r>
        <w:rPr>
          <w:rFonts w:hint="eastAsia" w:ascii="宋体" w:hAnsi="宋体" w:cs="宋体"/>
          <w:color w:val="auto"/>
          <w:sz w:val="24"/>
          <w:highlight w:val="none"/>
        </w:rPr>
        <w:t>不足三家的，项目应予以废标处理。</w:t>
      </w:r>
    </w:p>
    <w:p w14:paraId="5972A008">
      <w:pPr>
        <w:pStyle w:val="34"/>
        <w:rPr>
          <w:rFonts w:ascii="宋体" w:eastAsia="宋体"/>
          <w:color w:val="auto"/>
          <w:highlight w:val="none"/>
        </w:rPr>
      </w:pPr>
      <w:bookmarkStart w:id="200" w:name="_Toc2814"/>
      <w:bookmarkStart w:id="201" w:name="_Toc32571"/>
      <w:bookmarkStart w:id="202" w:name="_Toc531358990"/>
      <w:bookmarkStart w:id="203" w:name="_Toc18144"/>
      <w:bookmarkStart w:id="204" w:name="_Toc32616"/>
      <w:bookmarkStart w:id="205" w:name="_Toc530551835"/>
      <w:bookmarkStart w:id="206" w:name="_Toc14239"/>
      <w:bookmarkStart w:id="207" w:name="_Toc97212972"/>
      <w:r>
        <w:rPr>
          <w:rFonts w:hint="eastAsia" w:ascii="宋体" w:eastAsia="宋体"/>
          <w:color w:val="auto"/>
          <w:highlight w:val="none"/>
        </w:rPr>
        <w:t>1.13    信用信息记录查询</w:t>
      </w:r>
      <w:bookmarkEnd w:id="200"/>
      <w:bookmarkEnd w:id="201"/>
      <w:bookmarkEnd w:id="202"/>
      <w:bookmarkEnd w:id="203"/>
      <w:bookmarkEnd w:id="204"/>
      <w:bookmarkEnd w:id="205"/>
      <w:bookmarkEnd w:id="206"/>
      <w:bookmarkEnd w:id="207"/>
    </w:p>
    <w:p w14:paraId="474F5AB8">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1.13.1  查询网址：信用中国网站（</w:t>
      </w:r>
      <w:r>
        <w:rPr>
          <w:color w:val="auto"/>
          <w:highlight w:val="none"/>
        </w:rPr>
        <w:fldChar w:fldCharType="begin"/>
      </w:r>
      <w:r>
        <w:rPr>
          <w:color w:val="auto"/>
          <w:highlight w:val="none"/>
        </w:rPr>
        <w:instrText xml:space="preserve"> HYPERLINK "https://www.creditchina.gov.cn/" </w:instrText>
      </w:r>
      <w:r>
        <w:rPr>
          <w:color w:val="auto"/>
          <w:highlight w:val="none"/>
        </w:rPr>
        <w:fldChar w:fldCharType="separate"/>
      </w:r>
      <w:r>
        <w:rPr>
          <w:rStyle w:val="29"/>
          <w:rFonts w:hint="eastAsia" w:ascii="宋体" w:hAnsi="宋体" w:cs="宋体"/>
          <w:color w:val="auto"/>
          <w:sz w:val="24"/>
          <w:szCs w:val="24"/>
          <w:highlight w:val="none"/>
          <w:u w:val="none"/>
        </w:rPr>
        <w:t>www.creditchina.gov.cn</w:t>
      </w:r>
      <w:r>
        <w:rPr>
          <w:rStyle w:val="29"/>
          <w:rFonts w:hint="eastAsia" w:ascii="宋体" w:hAnsi="宋体" w:cs="宋体"/>
          <w:color w:val="auto"/>
          <w:sz w:val="24"/>
          <w:szCs w:val="24"/>
          <w:highlight w:val="none"/>
          <w:u w:val="none"/>
        </w:rPr>
        <w:fldChar w:fldCharType="end"/>
      </w:r>
      <w:r>
        <w:rPr>
          <w:rFonts w:hint="eastAsia" w:ascii="宋体" w:hAnsi="宋体" w:cs="宋体"/>
          <w:color w:val="auto"/>
          <w:sz w:val="24"/>
          <w:szCs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29"/>
          <w:rFonts w:hint="eastAsia" w:ascii="宋体" w:hAnsi="宋体" w:cs="宋体"/>
          <w:color w:val="auto"/>
          <w:sz w:val="24"/>
          <w:szCs w:val="24"/>
          <w:highlight w:val="none"/>
          <w:u w:val="none"/>
        </w:rPr>
        <w:t>www.ccgp.gov.cn</w:t>
      </w:r>
      <w:r>
        <w:rPr>
          <w:rStyle w:val="29"/>
          <w:rFonts w:hint="eastAsia" w:ascii="宋体" w:hAnsi="宋体" w:cs="宋体"/>
          <w:color w:val="auto"/>
          <w:sz w:val="24"/>
          <w:szCs w:val="24"/>
          <w:highlight w:val="none"/>
          <w:u w:val="none"/>
        </w:rPr>
        <w:fldChar w:fldCharType="end"/>
      </w:r>
      <w:r>
        <w:rPr>
          <w:rFonts w:hint="eastAsia" w:ascii="宋体" w:hAnsi="宋体" w:cs="宋体"/>
          <w:color w:val="auto"/>
          <w:sz w:val="24"/>
          <w:szCs w:val="24"/>
          <w:highlight w:val="none"/>
        </w:rPr>
        <w:t>）。</w:t>
      </w:r>
    </w:p>
    <w:p w14:paraId="65615814">
      <w:pPr>
        <w:pStyle w:val="34"/>
        <w:rPr>
          <w:rFonts w:ascii="宋体" w:eastAsia="宋体"/>
          <w:color w:val="auto"/>
          <w:highlight w:val="none"/>
        </w:rPr>
      </w:pPr>
      <w:bookmarkStart w:id="208" w:name="_Toc530551836"/>
      <w:bookmarkStart w:id="209" w:name="_Toc26559"/>
      <w:bookmarkStart w:id="210" w:name="_Toc531358991"/>
      <w:bookmarkStart w:id="211" w:name="_Toc30377"/>
      <w:bookmarkStart w:id="212" w:name="_Toc19509"/>
      <w:bookmarkStart w:id="213" w:name="_Toc24217"/>
      <w:bookmarkStart w:id="214" w:name="_Toc1070"/>
      <w:bookmarkStart w:id="215" w:name="_Toc97212973"/>
      <w:r>
        <w:rPr>
          <w:rFonts w:hint="eastAsia" w:ascii="宋体" w:eastAsia="宋体"/>
          <w:color w:val="auto"/>
          <w:highlight w:val="none"/>
        </w:rPr>
        <w:t>1.14    询问、质疑和投诉</w:t>
      </w:r>
      <w:bookmarkEnd w:id="208"/>
      <w:bookmarkEnd w:id="209"/>
      <w:bookmarkEnd w:id="210"/>
      <w:bookmarkEnd w:id="211"/>
      <w:bookmarkEnd w:id="212"/>
      <w:bookmarkEnd w:id="213"/>
      <w:bookmarkEnd w:id="214"/>
      <w:bookmarkEnd w:id="215"/>
    </w:p>
    <w:p w14:paraId="7C119283">
      <w:pPr>
        <w:pStyle w:val="34"/>
        <w:ind w:left="998" w:leftChars="475"/>
        <w:jc w:val="left"/>
        <w:outlineLvl w:val="9"/>
        <w:rPr>
          <w:rFonts w:ascii="宋体" w:eastAsia="宋体"/>
          <w:b w:val="0"/>
          <w:bCs w:val="0"/>
          <w:color w:val="auto"/>
          <w:szCs w:val="24"/>
          <w:highlight w:val="none"/>
        </w:rPr>
      </w:pPr>
      <w:bookmarkStart w:id="216" w:name="_Toc19074"/>
      <w:bookmarkStart w:id="217" w:name="_Toc5536"/>
      <w:bookmarkStart w:id="218" w:name="_Toc17187"/>
      <w:bookmarkStart w:id="219" w:name="_Toc12377"/>
      <w:bookmarkStart w:id="220" w:name="_Toc4476"/>
      <w:r>
        <w:rPr>
          <w:rFonts w:hint="eastAsia" w:ascii="宋体" w:eastAsia="宋体"/>
          <w:b w:val="0"/>
          <w:bCs w:val="0"/>
          <w:color w:val="auto"/>
          <w:szCs w:val="24"/>
          <w:highlight w:val="none"/>
        </w:rPr>
        <w:t>在线询问、质疑和投诉：根据《浙江省财政厅关于进一步促进政府采购公平竞争打造最优营商环境的通知》（浙财采监（2021）22号）文件关于“健全行政裁决机制”要求，鼓励</w:t>
      </w:r>
      <w:r>
        <w:rPr>
          <w:rFonts w:hint="eastAsia" w:ascii="宋体" w:eastAsia="宋体"/>
          <w:b w:val="0"/>
          <w:bCs w:val="0"/>
          <w:color w:val="auto"/>
          <w:szCs w:val="24"/>
          <w:highlight w:val="none"/>
          <w:lang w:eastAsia="zh-CN"/>
        </w:rPr>
        <w:t>投标人</w:t>
      </w:r>
      <w:r>
        <w:rPr>
          <w:rFonts w:hint="eastAsia" w:ascii="宋体" w:eastAsia="宋体"/>
          <w:b w:val="0"/>
          <w:bCs w:val="0"/>
          <w:color w:val="auto"/>
          <w:szCs w:val="24"/>
          <w:highlight w:val="none"/>
        </w:rPr>
        <w:t>在线提起询问，路径为：政采云-项目采购-询问质疑投诉-询问列表；鼓励</w:t>
      </w:r>
      <w:r>
        <w:rPr>
          <w:rFonts w:hint="eastAsia" w:ascii="宋体" w:eastAsia="宋体"/>
          <w:b w:val="0"/>
          <w:bCs w:val="0"/>
          <w:color w:val="auto"/>
          <w:szCs w:val="24"/>
          <w:highlight w:val="none"/>
          <w:lang w:eastAsia="zh-CN"/>
        </w:rPr>
        <w:t>投标人</w:t>
      </w:r>
      <w:r>
        <w:rPr>
          <w:rFonts w:hint="eastAsia" w:ascii="宋体" w:eastAsia="宋体"/>
          <w:b w:val="0"/>
          <w:bCs w:val="0"/>
          <w:color w:val="auto"/>
          <w:szCs w:val="24"/>
          <w:highlight w:val="none"/>
        </w:rPr>
        <w:t>在线提起质疑，路径为：政采云-项目采购-询问质疑投诉-质疑列表。质疑</w:t>
      </w:r>
      <w:r>
        <w:rPr>
          <w:rFonts w:hint="eastAsia" w:ascii="宋体" w:eastAsia="宋体"/>
          <w:b w:val="0"/>
          <w:bCs w:val="0"/>
          <w:color w:val="auto"/>
          <w:szCs w:val="24"/>
          <w:highlight w:val="none"/>
          <w:lang w:eastAsia="zh-CN"/>
        </w:rPr>
        <w:t>投标人</w:t>
      </w:r>
      <w:r>
        <w:rPr>
          <w:rFonts w:hint="eastAsia" w:ascii="宋体" w:eastAsia="宋体"/>
          <w:b w:val="0"/>
          <w:bCs w:val="0"/>
          <w:color w:val="auto"/>
          <w:szCs w:val="24"/>
          <w:highlight w:val="none"/>
        </w:rPr>
        <w:t>对在线质疑答复不满意的，可在线提起投诉，路径为：浙江政府服务网-政府采购投诉处理-在线办理。</w:t>
      </w:r>
      <w:bookmarkEnd w:id="216"/>
      <w:bookmarkEnd w:id="217"/>
      <w:bookmarkEnd w:id="218"/>
      <w:bookmarkEnd w:id="219"/>
      <w:bookmarkEnd w:id="220"/>
    </w:p>
    <w:p w14:paraId="36112C26">
      <w:pPr>
        <w:spacing w:line="360" w:lineRule="auto"/>
        <w:ind w:left="960" w:hanging="960" w:hangingChars="400"/>
        <w:jc w:val="left"/>
        <w:rPr>
          <w:rFonts w:ascii="宋体" w:hAnsi="宋体" w:cs="宋体"/>
          <w:color w:val="auto"/>
          <w:sz w:val="24"/>
          <w:highlight w:val="none"/>
        </w:rPr>
      </w:pPr>
      <w:r>
        <w:rPr>
          <w:rFonts w:hint="eastAsia" w:ascii="宋体" w:hAnsi="宋体" w:cs="宋体"/>
          <w:color w:val="auto"/>
          <w:sz w:val="24"/>
          <w:highlight w:val="none"/>
        </w:rPr>
        <w:t xml:space="preserve">1.14.1  </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询问</w:t>
      </w:r>
    </w:p>
    <w:p w14:paraId="17257571">
      <w:pPr>
        <w:spacing w:line="360" w:lineRule="auto"/>
        <w:ind w:left="958" w:leftChars="456"/>
        <w:jc w:val="left"/>
        <w:rPr>
          <w:rFonts w:ascii="宋体" w:hAnsi="宋体" w:cs="宋体"/>
          <w:color w:val="auto"/>
          <w:sz w:val="24"/>
          <w:highlight w:val="none"/>
        </w:rPr>
      </w:pPr>
      <w:r>
        <w:rPr>
          <w:rFonts w:hint="eastAsia" w:ascii="宋体" w:hAnsi="宋体" w:cs="宋体"/>
          <w:color w:val="auto"/>
          <w:sz w:val="24"/>
          <w:highlight w:val="none"/>
          <w:lang w:val="zh-CN"/>
        </w:rPr>
        <w:t>投标人对政府采购活动事项有疑问的，可以提出询问，采购人或者采购代理机构应在3个工作日内对投标人依法提出的询问作出答复，但答复的内容不得涉及商业秘密。投标人提出的询问超出采购人对采购代理机构委托授权范围的，采购代理机构应告知投标人向采购人提出。</w:t>
      </w:r>
    </w:p>
    <w:p w14:paraId="56643F2D">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 xml:space="preserve">1.14.2  </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质疑</w:t>
      </w:r>
    </w:p>
    <w:p w14:paraId="1EED8E06">
      <w:pPr>
        <w:spacing w:line="360" w:lineRule="auto"/>
        <w:ind w:left="840" w:hanging="840" w:hangingChars="350"/>
        <w:rPr>
          <w:rFonts w:ascii="宋体" w:hAnsi="宋体" w:cs="宋体"/>
          <w:color w:val="auto"/>
          <w:sz w:val="24"/>
          <w:highlight w:val="none"/>
        </w:rPr>
      </w:pPr>
      <w:r>
        <w:rPr>
          <w:rFonts w:hint="eastAsia" w:ascii="宋体" w:hAnsi="宋体" w:cs="宋体"/>
          <w:color w:val="auto"/>
          <w:sz w:val="24"/>
          <w:highlight w:val="none"/>
        </w:rPr>
        <w:t>1.14.2.1提出质疑的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应当是参与所质疑项目采购活动的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。潜在</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已依法获取其可质疑的招标文件的，可以对该文件提出质疑。</w:t>
      </w:r>
    </w:p>
    <w:p w14:paraId="07D8EB01">
      <w:pPr>
        <w:spacing w:line="360" w:lineRule="auto"/>
        <w:ind w:left="840" w:hanging="840" w:hangingChars="350"/>
        <w:rPr>
          <w:rFonts w:ascii="宋体" w:hAnsi="宋体" w:cs="宋体"/>
          <w:color w:val="auto"/>
          <w:sz w:val="24"/>
          <w:highlight w:val="none"/>
        </w:rPr>
      </w:pPr>
      <w:r>
        <w:rPr>
          <w:rFonts w:hint="eastAsia" w:ascii="宋体" w:hAnsi="宋体" w:cs="宋体"/>
          <w:color w:val="auto"/>
          <w:sz w:val="24"/>
          <w:highlight w:val="none"/>
        </w:rPr>
        <w:t>1.14.2.2</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74C03CD1">
      <w:pPr>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（1）对招标文件提出质疑的，质疑期限为</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获得招标文件之日或者招标文件公告期限届满之日起计算。</w:t>
      </w:r>
    </w:p>
    <w:p w14:paraId="0BD2BE11">
      <w:pPr>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（2）对采购过程提出质疑的，质疑期限为各采购程序环节结束之日起计算。（3）对采购结果提出质疑的，质疑期限自采购结果公告期限届满之日起计算。</w:t>
      </w:r>
    </w:p>
    <w:p w14:paraId="7EF31C4E">
      <w:pPr>
        <w:spacing w:line="360" w:lineRule="auto"/>
        <w:ind w:left="840" w:hanging="840" w:hangingChars="350"/>
        <w:rPr>
          <w:rFonts w:ascii="宋体" w:hAnsi="宋体" w:cs="宋体"/>
          <w:color w:val="auto"/>
          <w:sz w:val="24"/>
          <w:highlight w:val="none"/>
        </w:rPr>
      </w:pPr>
      <w:r>
        <w:rPr>
          <w:rFonts w:hint="eastAsia" w:ascii="宋体" w:hAnsi="宋体" w:cs="宋体"/>
          <w:color w:val="auto"/>
          <w:sz w:val="24"/>
          <w:highlight w:val="none"/>
        </w:rPr>
        <w:t>1.14.2.3 质疑主要内容应符合《政府采购质疑和投诉办法》（财政部94号令）等相关规定。质疑内容涉及保密事项，质疑人应提供有效的信息来源或必要的证明材料。</w:t>
      </w:r>
    </w:p>
    <w:p w14:paraId="746998A8">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1.14.2.4  对同一采购程序环节的质疑，</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须在法定质疑期内一次性提出。</w:t>
      </w:r>
    </w:p>
    <w:p w14:paraId="5C4F19B4">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1.14.2.5  质疑</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可直接提交、传真、邮寄方式或通过政采云系统在线提交质疑函（一式三份以上）。以其他方式提出的质疑，采购人或采购代理机构可不予接受、答复。</w:t>
      </w:r>
    </w:p>
    <w:p w14:paraId="25B502CC">
      <w:pPr>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（1）邮寄方式送达质疑函的，以采购人或采购代理机构实际收到邮件之日作为收到质疑的日期；</w:t>
      </w:r>
    </w:p>
    <w:p w14:paraId="0C9641B7">
      <w:pPr>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（2）传真方式送达质疑函的，质疑人应取得采购人或采购代理机构确认收到传真的意见，并及时将质疑函原件送达采购人或采购代理机构。采购人或采购代理机构以实际收到原件之日作为收到质疑的日期；</w:t>
      </w:r>
    </w:p>
    <w:p w14:paraId="0661C3B8">
      <w:pPr>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（3）通过政采云系统在线提起质疑，路径为：政采云-项目采购-询问质疑投诉-质疑列表；</w:t>
      </w:r>
    </w:p>
    <w:p w14:paraId="6E9BF69F">
      <w:pPr>
        <w:spacing w:line="360" w:lineRule="auto"/>
        <w:ind w:left="1185" w:leftChars="450" w:hanging="240" w:hangingChars="100"/>
        <w:rPr>
          <w:rFonts w:ascii="宋体" w:hAnsi="宋体" w:cs="宋体"/>
          <w:color w:val="auto"/>
          <w:sz w:val="24"/>
          <w:highlight w:val="none"/>
        </w:rPr>
      </w:pPr>
      <w:r>
        <w:rPr>
          <w:rFonts w:hint="eastAsia" w:ascii="宋体" w:hAnsi="宋体" w:cs="宋体"/>
          <w:color w:val="auto"/>
          <w:sz w:val="24"/>
          <w:highlight w:val="none"/>
        </w:rPr>
        <w:t>（4）在质疑期限届满前，质疑函已经邮寄或传真成功的，质疑不视为过期。</w:t>
      </w:r>
    </w:p>
    <w:p w14:paraId="37A9D2C8">
      <w:pPr>
        <w:spacing w:line="360" w:lineRule="auto"/>
        <w:ind w:left="960" w:hanging="960" w:hangingChars="400"/>
        <w:jc w:val="left"/>
        <w:rPr>
          <w:rFonts w:ascii="宋体" w:hAnsi="宋体" w:cs="宋体"/>
          <w:color w:val="auto"/>
          <w:sz w:val="24"/>
          <w:highlight w:val="none"/>
        </w:rPr>
      </w:pPr>
      <w:r>
        <w:rPr>
          <w:rFonts w:hint="eastAsia" w:ascii="宋体" w:hAnsi="宋体" w:cs="宋体"/>
          <w:color w:val="auto"/>
          <w:sz w:val="24"/>
          <w:highlight w:val="none"/>
        </w:rPr>
        <w:t>1.14.2.6  相关当事人提供外文书证或者外国语视听资料的，应附有中文译本，由翻译机构盖章或者翻译人员签名。</w:t>
      </w:r>
    </w:p>
    <w:p w14:paraId="77814D05">
      <w:pPr>
        <w:spacing w:line="360" w:lineRule="auto"/>
        <w:ind w:left="955" w:leftChars="455"/>
        <w:jc w:val="left"/>
        <w:rPr>
          <w:rFonts w:ascii="宋体" w:hAnsi="宋体" w:cs="宋体"/>
          <w:color w:val="auto"/>
          <w:sz w:val="24"/>
          <w:highlight w:val="none"/>
        </w:rPr>
      </w:pPr>
      <w:r>
        <w:rPr>
          <w:rFonts w:hint="eastAsia" w:ascii="宋体" w:hAnsi="宋体" w:cs="宋体"/>
          <w:color w:val="auto"/>
          <w:sz w:val="24"/>
          <w:highlight w:val="none"/>
        </w:rPr>
        <w:t>相关当事人向财政部门提供的在中华人民共和国领域外形成的证据，应说明来源，经所在国公证机关证明，并经中华人民共和国驻该国使领馆认证，或者履行中华人民共和国与证据所在国订立的有关条约中规定的证明手续。</w:t>
      </w:r>
    </w:p>
    <w:p w14:paraId="15F4E280">
      <w:pPr>
        <w:spacing w:line="360" w:lineRule="auto"/>
        <w:ind w:left="955" w:leftChars="455"/>
        <w:jc w:val="left"/>
        <w:rPr>
          <w:rFonts w:ascii="宋体" w:hAnsi="宋体" w:cs="宋体"/>
          <w:color w:val="auto"/>
          <w:sz w:val="24"/>
          <w:highlight w:val="none"/>
        </w:rPr>
      </w:pPr>
      <w:r>
        <w:rPr>
          <w:rFonts w:hint="eastAsia" w:ascii="宋体" w:hAnsi="宋体" w:cs="宋体"/>
          <w:color w:val="auto"/>
          <w:sz w:val="24"/>
          <w:highlight w:val="none"/>
        </w:rPr>
        <w:t>相关当事人提供的在香港特别行政区、澳门特别行政区和</w:t>
      </w:r>
      <w:r>
        <w:rPr>
          <w:rFonts w:hint="eastAsia" w:ascii="宋体" w:hAnsi="宋体" w:cs="宋体"/>
          <w:color w:val="auto"/>
          <w:sz w:val="24"/>
          <w:highlight w:val="none"/>
          <w:lang w:eastAsia="zh-CN"/>
        </w:rPr>
        <w:t>中国台湾地区</w:t>
      </w:r>
      <w:r>
        <w:rPr>
          <w:rFonts w:hint="eastAsia" w:ascii="宋体" w:hAnsi="宋体" w:cs="宋体"/>
          <w:color w:val="auto"/>
          <w:sz w:val="24"/>
          <w:highlight w:val="none"/>
        </w:rPr>
        <w:t>内形成的证据，应履行相关的证明手续；</w:t>
      </w:r>
    </w:p>
    <w:p w14:paraId="25B06BF0">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1.14.2.7  采购人或者采购代理机构应当在收到</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的书面质疑后七个工作日内作出答复，并以书面形式通知质疑</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和其他与质疑处理结果有利害关系的政府采购当事人，但答复的内容不得涉及商业秘密。</w:t>
      </w:r>
    </w:p>
    <w:p w14:paraId="461C80D1">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1.14.2.8  质疑</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捏造事实、提供虚假材料进行质疑的，采购人或采购代理机构报告同级政府采购监督管理部门，由同级政府采购监督管理部门审查，情况属实的，应列入不良行为记录，并在指定的媒体上公告。</w:t>
      </w:r>
    </w:p>
    <w:p w14:paraId="35E1903B">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 xml:space="preserve">1.14.3  </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投诉</w:t>
      </w:r>
    </w:p>
    <w:p w14:paraId="19EC2062">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1.14.3.1 质疑</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对采购人、采购代理机构的答复不满意或者采购人、采购代理机构未在规定时间内答复的，可以在答复期满后15个工作日内向同级政府采购监督管理部门提起投诉。</w:t>
      </w:r>
    </w:p>
    <w:p w14:paraId="67835C6D">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1.14.3.2 同级政府采购监督管理部门：见投标人须知前附表（一）。</w:t>
      </w:r>
    </w:p>
    <w:p w14:paraId="7915D695">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1.14.4 质疑函、投诉书范本在浙江政府采购网（zfcg.czt.zj.gov.cn）-下载专区中下载。</w:t>
      </w:r>
    </w:p>
    <w:p w14:paraId="2B13ED9E">
      <w:pPr>
        <w:pStyle w:val="34"/>
        <w:rPr>
          <w:rFonts w:ascii="宋体" w:eastAsia="宋体"/>
          <w:color w:val="auto"/>
          <w:highlight w:val="none"/>
        </w:rPr>
      </w:pPr>
      <w:bookmarkStart w:id="221" w:name="_Toc12517"/>
      <w:bookmarkStart w:id="222" w:name="_Toc3504"/>
      <w:bookmarkStart w:id="223" w:name="_Toc23355"/>
      <w:bookmarkStart w:id="224" w:name="_Toc26161"/>
      <w:bookmarkStart w:id="225" w:name="_Toc531358992"/>
      <w:bookmarkStart w:id="226" w:name="_Toc530551837"/>
      <w:bookmarkStart w:id="227" w:name="_Toc7535"/>
      <w:bookmarkStart w:id="228" w:name="_Toc97212974"/>
      <w:r>
        <w:rPr>
          <w:rFonts w:hint="eastAsia" w:ascii="宋体" w:eastAsia="宋体"/>
          <w:color w:val="auto"/>
          <w:highlight w:val="none"/>
        </w:rPr>
        <w:t>1.15    特别声明</w:t>
      </w:r>
      <w:bookmarkEnd w:id="221"/>
      <w:bookmarkEnd w:id="222"/>
      <w:bookmarkEnd w:id="223"/>
      <w:bookmarkEnd w:id="224"/>
      <w:bookmarkEnd w:id="225"/>
      <w:bookmarkEnd w:id="226"/>
      <w:bookmarkEnd w:id="227"/>
      <w:bookmarkEnd w:id="228"/>
    </w:p>
    <w:p w14:paraId="028E18CB">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 xml:space="preserve">1.15.1   </w:t>
      </w:r>
      <w:r>
        <w:rPr>
          <w:rFonts w:hint="eastAsia" w:ascii="宋体" w:hAnsi="宋体" w:cs="宋体"/>
          <w:color w:val="auto"/>
          <w:sz w:val="24"/>
          <w:highlight w:val="none"/>
        </w:rPr>
        <w:t>▲</w:t>
      </w:r>
      <w:r>
        <w:rPr>
          <w:rFonts w:hint="eastAsia" w:ascii="宋体" w:hAnsi="宋体" w:cs="宋体"/>
          <w:color w:val="auto"/>
          <w:sz w:val="24"/>
          <w:szCs w:val="24"/>
          <w:highlight w:val="none"/>
        </w:rPr>
        <w:t>单位负责人为同一人或者存在直接控股、管理关系的不同投标人，不得参加同一合同项下的政府采购活动。</w:t>
      </w:r>
    </w:p>
    <w:p w14:paraId="7DAF056C">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 xml:space="preserve">1.15.2   </w:t>
      </w:r>
      <w:r>
        <w:rPr>
          <w:rFonts w:hint="eastAsia" w:ascii="宋体" w:hAnsi="宋体" w:cs="宋体"/>
          <w:color w:val="auto"/>
          <w:sz w:val="24"/>
          <w:highlight w:val="none"/>
        </w:rPr>
        <w:t>▲</w:t>
      </w:r>
      <w:r>
        <w:rPr>
          <w:rFonts w:hint="eastAsia" w:ascii="宋体" w:hAnsi="宋体" w:cs="宋体"/>
          <w:color w:val="auto"/>
          <w:sz w:val="24"/>
          <w:szCs w:val="24"/>
          <w:highlight w:val="none"/>
        </w:rPr>
        <w:t>为采购项目提供整体设计、规范编制或者项目管理、监理、检测等服务的</w:t>
      </w:r>
      <w:r>
        <w:rPr>
          <w:rFonts w:hint="eastAsia" w:ascii="宋体" w:hAnsi="宋体" w:cs="宋体"/>
          <w:color w:val="auto"/>
          <w:sz w:val="24"/>
          <w:szCs w:val="24"/>
          <w:highlight w:val="none"/>
          <w:lang w:eastAsia="zh-CN"/>
        </w:rPr>
        <w:t>投标人</w:t>
      </w:r>
      <w:r>
        <w:rPr>
          <w:rFonts w:hint="eastAsia" w:ascii="宋体" w:hAnsi="宋体" w:cs="宋体"/>
          <w:color w:val="auto"/>
          <w:sz w:val="24"/>
          <w:szCs w:val="24"/>
          <w:highlight w:val="none"/>
        </w:rPr>
        <w:t>，不得再参加该采购项目的其他采购活动。</w:t>
      </w:r>
    </w:p>
    <w:p w14:paraId="1F3527AD">
      <w:pPr>
        <w:pStyle w:val="23"/>
        <w:spacing w:beforeLines="100" w:after="240" w:afterLines="100"/>
        <w:jc w:val="left"/>
        <w:outlineLvl w:val="1"/>
        <w:rPr>
          <w:rFonts w:ascii="宋体" w:hAnsi="宋体" w:cs="宋体"/>
          <w:color w:val="auto"/>
          <w:sz w:val="30"/>
          <w:szCs w:val="30"/>
          <w:highlight w:val="none"/>
        </w:rPr>
      </w:pPr>
      <w:bookmarkStart w:id="229" w:name="_Toc531358993"/>
      <w:bookmarkStart w:id="230" w:name="_Toc493956034"/>
      <w:bookmarkStart w:id="231" w:name="_Toc21053"/>
      <w:bookmarkStart w:id="232" w:name="_Toc718"/>
      <w:bookmarkStart w:id="233" w:name="_Toc27409"/>
      <w:bookmarkStart w:id="234" w:name="_Toc23967"/>
      <w:bookmarkStart w:id="235" w:name="_Toc530551838"/>
      <w:bookmarkStart w:id="236" w:name="_Toc97212975"/>
      <w:bookmarkStart w:id="237" w:name="_Toc18923"/>
      <w:r>
        <w:rPr>
          <w:rFonts w:hint="eastAsia" w:ascii="宋体" w:hAnsi="宋体" w:cs="宋体"/>
          <w:color w:val="auto"/>
          <w:sz w:val="30"/>
          <w:szCs w:val="30"/>
          <w:highlight w:val="none"/>
        </w:rPr>
        <w:t>二    招标文件</w:t>
      </w:r>
      <w:bookmarkEnd w:id="229"/>
      <w:bookmarkEnd w:id="230"/>
      <w:bookmarkEnd w:id="231"/>
      <w:bookmarkEnd w:id="232"/>
      <w:bookmarkEnd w:id="233"/>
      <w:bookmarkEnd w:id="234"/>
      <w:bookmarkEnd w:id="235"/>
      <w:bookmarkEnd w:id="236"/>
      <w:bookmarkEnd w:id="237"/>
    </w:p>
    <w:p w14:paraId="6C03CAF9">
      <w:pPr>
        <w:pStyle w:val="34"/>
        <w:rPr>
          <w:rFonts w:ascii="宋体" w:eastAsia="宋体"/>
          <w:color w:val="auto"/>
          <w:highlight w:val="none"/>
        </w:rPr>
      </w:pPr>
      <w:bookmarkStart w:id="238" w:name="_Toc531358994"/>
      <w:bookmarkStart w:id="239" w:name="_Toc32252"/>
      <w:bookmarkStart w:id="240" w:name="_Toc10540"/>
      <w:bookmarkStart w:id="241" w:name="_Toc530551839"/>
      <w:bookmarkStart w:id="242" w:name="_Toc27201"/>
      <w:bookmarkStart w:id="243" w:name="_Toc25351"/>
      <w:bookmarkStart w:id="244" w:name="_Toc97212976"/>
      <w:bookmarkStart w:id="245" w:name="_Toc32356"/>
      <w:r>
        <w:rPr>
          <w:rFonts w:hint="eastAsia" w:ascii="宋体" w:eastAsia="宋体"/>
          <w:color w:val="auto"/>
          <w:highlight w:val="none"/>
        </w:rPr>
        <w:t>2.1     招标文件的组成</w:t>
      </w:r>
      <w:bookmarkEnd w:id="238"/>
      <w:bookmarkEnd w:id="239"/>
      <w:bookmarkEnd w:id="240"/>
      <w:bookmarkEnd w:id="241"/>
      <w:bookmarkEnd w:id="242"/>
      <w:bookmarkEnd w:id="243"/>
      <w:bookmarkEnd w:id="244"/>
      <w:bookmarkEnd w:id="245"/>
    </w:p>
    <w:p w14:paraId="45F0C6DC">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2.1.1   第一章  招标公告；</w:t>
      </w:r>
    </w:p>
    <w:p w14:paraId="1DFB85E2">
      <w:pPr>
        <w:spacing w:line="360" w:lineRule="auto"/>
        <w:ind w:left="960" w:hanging="960" w:hangingChars="400"/>
        <w:rPr>
          <w:rFonts w:ascii="宋体" w:hAnsi="宋体" w:cs="宋体"/>
          <w:color w:val="auto"/>
          <w:sz w:val="24"/>
          <w:szCs w:val="24"/>
          <w:highlight w:val="none"/>
        </w:rPr>
      </w:pPr>
      <w:bookmarkStart w:id="246" w:name="_Toc301187619"/>
      <w:r>
        <w:rPr>
          <w:rFonts w:hint="eastAsia" w:ascii="宋体" w:hAnsi="宋体" w:cs="宋体"/>
          <w:color w:val="auto"/>
          <w:sz w:val="24"/>
          <w:szCs w:val="24"/>
          <w:highlight w:val="none"/>
        </w:rPr>
        <w:t>2.1.2   第二章  采购需求</w:t>
      </w:r>
      <w:bookmarkEnd w:id="246"/>
      <w:r>
        <w:rPr>
          <w:rFonts w:hint="eastAsia" w:ascii="宋体" w:hAnsi="宋体" w:cs="宋体"/>
          <w:color w:val="auto"/>
          <w:sz w:val="24"/>
          <w:szCs w:val="24"/>
          <w:highlight w:val="none"/>
        </w:rPr>
        <w:t>；</w:t>
      </w:r>
    </w:p>
    <w:p w14:paraId="4DE045F4">
      <w:pPr>
        <w:spacing w:line="360" w:lineRule="auto"/>
        <w:ind w:left="960" w:hanging="960" w:hangingChars="400"/>
        <w:rPr>
          <w:rFonts w:ascii="宋体" w:hAnsi="宋体" w:cs="宋体"/>
          <w:color w:val="auto"/>
          <w:sz w:val="24"/>
          <w:szCs w:val="24"/>
          <w:highlight w:val="none"/>
        </w:rPr>
      </w:pPr>
      <w:bookmarkStart w:id="247" w:name="_Toc301187620"/>
      <w:r>
        <w:rPr>
          <w:rFonts w:hint="eastAsia" w:ascii="宋体" w:hAnsi="宋体" w:cs="宋体"/>
          <w:color w:val="auto"/>
          <w:sz w:val="24"/>
          <w:szCs w:val="24"/>
          <w:highlight w:val="none"/>
        </w:rPr>
        <w:t>2.1.3   第三章  投标人须知</w:t>
      </w:r>
      <w:bookmarkEnd w:id="247"/>
      <w:r>
        <w:rPr>
          <w:rFonts w:hint="eastAsia" w:ascii="宋体" w:hAnsi="宋体" w:cs="宋体"/>
          <w:color w:val="auto"/>
          <w:sz w:val="24"/>
          <w:szCs w:val="24"/>
          <w:highlight w:val="none"/>
        </w:rPr>
        <w:t>；</w:t>
      </w:r>
    </w:p>
    <w:p w14:paraId="251852FB">
      <w:pPr>
        <w:spacing w:line="360" w:lineRule="auto"/>
        <w:ind w:left="960" w:hanging="960" w:hangingChars="400"/>
        <w:rPr>
          <w:rFonts w:ascii="宋体" w:hAnsi="宋体" w:cs="宋体"/>
          <w:color w:val="auto"/>
          <w:sz w:val="24"/>
          <w:szCs w:val="24"/>
          <w:highlight w:val="none"/>
        </w:rPr>
      </w:pPr>
      <w:bookmarkStart w:id="248" w:name="_Toc301187621"/>
      <w:r>
        <w:rPr>
          <w:rFonts w:hint="eastAsia" w:ascii="宋体" w:hAnsi="宋体" w:cs="宋体"/>
          <w:color w:val="auto"/>
          <w:sz w:val="24"/>
          <w:szCs w:val="24"/>
          <w:highlight w:val="none"/>
        </w:rPr>
        <w:t>2.1.4   第四章  拟签订的合同文本；</w:t>
      </w:r>
    </w:p>
    <w:bookmarkEnd w:id="248"/>
    <w:p w14:paraId="10850005">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2.1.5   第五章  投标文件格式；</w:t>
      </w:r>
    </w:p>
    <w:p w14:paraId="2E2C78C8">
      <w:pPr>
        <w:spacing w:line="360" w:lineRule="auto"/>
        <w:ind w:left="960" w:hanging="960" w:hangingChars="400"/>
        <w:rPr>
          <w:rFonts w:ascii="宋体" w:hAnsi="宋体" w:cs="宋体"/>
          <w:color w:val="auto"/>
          <w:sz w:val="24"/>
          <w:szCs w:val="24"/>
          <w:highlight w:val="none"/>
        </w:rPr>
      </w:pPr>
      <w:bookmarkStart w:id="249" w:name="_Toc301187623"/>
      <w:r>
        <w:rPr>
          <w:rFonts w:hint="eastAsia" w:ascii="宋体" w:hAnsi="宋体" w:cs="宋体"/>
          <w:color w:val="auto"/>
          <w:sz w:val="24"/>
          <w:szCs w:val="24"/>
          <w:highlight w:val="none"/>
        </w:rPr>
        <w:t>2.1.6   第六章  评标办法和评标标准</w:t>
      </w:r>
      <w:bookmarkEnd w:id="249"/>
      <w:r>
        <w:rPr>
          <w:rFonts w:hint="eastAsia" w:ascii="宋体" w:hAnsi="宋体" w:cs="宋体"/>
          <w:color w:val="auto"/>
          <w:sz w:val="24"/>
          <w:szCs w:val="24"/>
          <w:highlight w:val="none"/>
        </w:rPr>
        <w:t>；</w:t>
      </w:r>
    </w:p>
    <w:p w14:paraId="5C10AE10">
      <w:pPr>
        <w:spacing w:line="360" w:lineRule="auto"/>
        <w:ind w:left="960" w:hanging="960" w:hangingChars="400"/>
        <w:rPr>
          <w:rFonts w:ascii="宋体" w:hAnsi="宋体" w:cs="宋体"/>
          <w:color w:val="auto"/>
          <w:sz w:val="24"/>
          <w:szCs w:val="24"/>
          <w:highlight w:val="none"/>
        </w:rPr>
      </w:pPr>
      <w:bookmarkStart w:id="250" w:name="_Toc301187624"/>
      <w:r>
        <w:rPr>
          <w:rFonts w:hint="eastAsia" w:ascii="宋体" w:hAnsi="宋体" w:cs="宋体"/>
          <w:color w:val="auto"/>
          <w:sz w:val="24"/>
          <w:szCs w:val="24"/>
          <w:highlight w:val="none"/>
        </w:rPr>
        <w:t>2.1.7   本项目招标文件的澄清、修改的内容</w:t>
      </w:r>
      <w:bookmarkEnd w:id="250"/>
      <w:r>
        <w:rPr>
          <w:rFonts w:hint="eastAsia" w:ascii="宋体" w:hAnsi="宋体" w:cs="宋体"/>
          <w:color w:val="auto"/>
          <w:sz w:val="24"/>
          <w:szCs w:val="24"/>
          <w:highlight w:val="none"/>
        </w:rPr>
        <w:t>。</w:t>
      </w:r>
    </w:p>
    <w:p w14:paraId="57E7D7CE">
      <w:pPr>
        <w:pStyle w:val="34"/>
        <w:rPr>
          <w:rFonts w:ascii="宋体" w:eastAsia="宋体"/>
          <w:color w:val="auto"/>
          <w:highlight w:val="none"/>
        </w:rPr>
      </w:pPr>
      <w:bookmarkStart w:id="251" w:name="_Toc530551841"/>
      <w:bookmarkStart w:id="252" w:name="_Toc11420"/>
      <w:bookmarkStart w:id="253" w:name="_Toc20273"/>
      <w:bookmarkStart w:id="254" w:name="_Toc11270"/>
      <w:bookmarkStart w:id="255" w:name="_Toc7978"/>
      <w:bookmarkStart w:id="256" w:name="_Toc26002"/>
      <w:bookmarkStart w:id="257" w:name="_Toc97212977"/>
      <w:bookmarkStart w:id="258" w:name="_Toc531358996"/>
      <w:r>
        <w:rPr>
          <w:rFonts w:hint="eastAsia" w:ascii="宋体" w:eastAsia="宋体"/>
          <w:color w:val="auto"/>
          <w:highlight w:val="none"/>
        </w:rPr>
        <w:t>2.2     招标文件的澄清、修改</w:t>
      </w:r>
      <w:bookmarkEnd w:id="251"/>
      <w:bookmarkEnd w:id="252"/>
      <w:bookmarkEnd w:id="253"/>
      <w:bookmarkEnd w:id="254"/>
      <w:bookmarkEnd w:id="255"/>
      <w:bookmarkEnd w:id="256"/>
      <w:bookmarkEnd w:id="257"/>
      <w:bookmarkEnd w:id="258"/>
    </w:p>
    <w:p w14:paraId="7D0FAE4D">
      <w:pPr>
        <w:spacing w:line="360" w:lineRule="auto"/>
        <w:ind w:left="960" w:hanging="960" w:hangingChars="400"/>
        <w:rPr>
          <w:rFonts w:ascii="宋体" w:hAnsi="宋体" w:cs="宋体"/>
          <w:bCs/>
          <w:color w:val="auto"/>
          <w:sz w:val="24"/>
          <w:highlight w:val="none"/>
        </w:rPr>
      </w:pPr>
      <w:r>
        <w:rPr>
          <w:rFonts w:hint="eastAsia" w:ascii="宋体" w:hAnsi="宋体" w:cs="宋体"/>
          <w:bCs/>
          <w:color w:val="auto"/>
          <w:sz w:val="24"/>
          <w:highlight w:val="none"/>
        </w:rPr>
        <w:t>2.2.1   采购人或者采购代理机构可以对已发出的招标公告、招标文件进行必要的澄清或者修改，但不得改变采购标的和资格条件。澄清或者修改的内容为招标公告、招标文件的组成部分。</w:t>
      </w:r>
    </w:p>
    <w:p w14:paraId="2E354BE8">
      <w:pPr>
        <w:spacing w:line="360" w:lineRule="auto"/>
        <w:ind w:left="960" w:hanging="960" w:hangingChars="400"/>
        <w:rPr>
          <w:rFonts w:ascii="宋体" w:hAnsi="宋体" w:cs="宋体"/>
          <w:color w:val="auto"/>
          <w:sz w:val="24"/>
          <w:highlight w:val="none"/>
        </w:rPr>
      </w:pPr>
      <w:r>
        <w:rPr>
          <w:rFonts w:hint="eastAsia" w:ascii="宋体" w:hAnsi="宋体" w:cs="宋体"/>
          <w:bCs/>
          <w:color w:val="auto"/>
          <w:sz w:val="24"/>
          <w:highlight w:val="none"/>
        </w:rPr>
        <w:t>2.2.2   澄清或修改内容可能影响投标文件编制的，采购代理机构</w:t>
      </w:r>
      <w:r>
        <w:rPr>
          <w:rFonts w:hint="eastAsia" w:ascii="宋体" w:hAnsi="宋体" w:cs="宋体"/>
          <w:color w:val="auto"/>
          <w:sz w:val="24"/>
          <w:highlight w:val="none"/>
        </w:rPr>
        <w:t>在</w:t>
      </w:r>
      <w:r>
        <w:rPr>
          <w:rFonts w:hint="eastAsia" w:ascii="宋体" w:hAnsi="宋体" w:cs="宋体"/>
          <w:color w:val="auto"/>
          <w:sz w:val="24"/>
          <w:szCs w:val="24"/>
          <w:highlight w:val="none"/>
        </w:rPr>
        <w:t>提交投标文件截止时间至少</w:t>
      </w:r>
      <w:r>
        <w:rPr>
          <w:rFonts w:hint="eastAsia" w:ascii="宋体" w:hAnsi="宋体" w:cs="宋体"/>
          <w:color w:val="auto"/>
          <w:sz w:val="24"/>
          <w:highlight w:val="none"/>
        </w:rPr>
        <w:t>15日前，将以发布更正公告的形式通知潜在投标人。不足15日的，采购代理机构应当顺延</w:t>
      </w:r>
      <w:r>
        <w:rPr>
          <w:rFonts w:hint="eastAsia" w:ascii="宋体" w:hAnsi="宋体" w:cs="宋体"/>
          <w:color w:val="auto"/>
          <w:sz w:val="24"/>
          <w:szCs w:val="24"/>
          <w:highlight w:val="none"/>
        </w:rPr>
        <w:t>提交投标文件截止时间</w:t>
      </w:r>
      <w:r>
        <w:rPr>
          <w:rFonts w:hint="eastAsia" w:ascii="宋体" w:hAnsi="宋体" w:cs="宋体"/>
          <w:color w:val="auto"/>
          <w:sz w:val="24"/>
          <w:highlight w:val="none"/>
        </w:rPr>
        <w:t>。</w:t>
      </w:r>
    </w:p>
    <w:p w14:paraId="2C8B1C12">
      <w:pPr>
        <w:spacing w:line="360" w:lineRule="auto"/>
        <w:ind w:left="960" w:hanging="960" w:hangingChars="400"/>
        <w:rPr>
          <w:rFonts w:ascii="宋体" w:hAnsi="宋体" w:cs="宋体"/>
          <w:color w:val="auto"/>
          <w:sz w:val="24"/>
          <w:szCs w:val="24"/>
          <w:highlight w:val="none"/>
        </w:rPr>
      </w:pPr>
      <w:r>
        <w:rPr>
          <w:rFonts w:hint="eastAsia" w:ascii="宋体" w:hAnsi="宋体" w:cs="宋体"/>
          <w:color w:val="auto"/>
          <w:sz w:val="24"/>
          <w:szCs w:val="24"/>
          <w:highlight w:val="none"/>
        </w:rPr>
        <w:t>2.2.3   澄清、修改等更正内容发布网址：见投标人须知前附表（一）。</w:t>
      </w:r>
    </w:p>
    <w:p w14:paraId="10C8A45B">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2.2.4   招标文件与澄清或修改文件就同一内容表述不一致的，以最后发出的澄清或修改文件为准。</w:t>
      </w:r>
    </w:p>
    <w:p w14:paraId="5C1EE7F5">
      <w:pPr>
        <w:pStyle w:val="23"/>
        <w:spacing w:beforeLines="100" w:after="240" w:afterLines="100"/>
        <w:jc w:val="left"/>
        <w:outlineLvl w:val="1"/>
        <w:rPr>
          <w:rFonts w:ascii="宋体" w:hAnsi="宋体" w:cs="宋体"/>
          <w:color w:val="auto"/>
          <w:sz w:val="30"/>
          <w:szCs w:val="30"/>
          <w:highlight w:val="none"/>
        </w:rPr>
      </w:pPr>
      <w:bookmarkStart w:id="259" w:name="_Toc2497"/>
      <w:bookmarkStart w:id="260" w:name="_Toc530551842"/>
      <w:bookmarkStart w:id="261" w:name="_Toc32301"/>
      <w:bookmarkStart w:id="262" w:name="_Toc32481"/>
      <w:bookmarkStart w:id="263" w:name="_Toc21537"/>
      <w:bookmarkStart w:id="264" w:name="_Toc97212978"/>
      <w:bookmarkStart w:id="265" w:name="_Toc531358997"/>
      <w:bookmarkStart w:id="266" w:name="_Toc2195"/>
      <w:r>
        <w:rPr>
          <w:rFonts w:hint="eastAsia" w:ascii="宋体" w:hAnsi="宋体" w:cs="宋体"/>
          <w:color w:val="auto"/>
          <w:sz w:val="30"/>
          <w:szCs w:val="30"/>
          <w:highlight w:val="none"/>
        </w:rPr>
        <w:t>三    投标文件</w:t>
      </w:r>
      <w:bookmarkEnd w:id="259"/>
      <w:bookmarkEnd w:id="260"/>
      <w:bookmarkEnd w:id="261"/>
      <w:bookmarkEnd w:id="262"/>
      <w:bookmarkEnd w:id="263"/>
      <w:bookmarkEnd w:id="264"/>
      <w:bookmarkEnd w:id="265"/>
      <w:r>
        <w:rPr>
          <w:rFonts w:hint="eastAsia" w:ascii="宋体" w:hAnsi="宋体" w:cs="宋体"/>
          <w:color w:val="auto"/>
          <w:sz w:val="30"/>
          <w:szCs w:val="30"/>
          <w:highlight w:val="none"/>
        </w:rPr>
        <w:t>组成</w:t>
      </w:r>
      <w:bookmarkEnd w:id="266"/>
    </w:p>
    <w:p w14:paraId="4CFABFBC">
      <w:pPr>
        <w:pStyle w:val="34"/>
        <w:rPr>
          <w:rFonts w:ascii="宋体" w:eastAsia="宋体"/>
          <w:color w:val="auto"/>
          <w:highlight w:val="none"/>
        </w:rPr>
      </w:pPr>
      <w:bookmarkStart w:id="267" w:name="_Toc17084"/>
      <w:r>
        <w:rPr>
          <w:rFonts w:hint="eastAsia" w:ascii="宋体" w:eastAsia="宋体"/>
          <w:color w:val="auto"/>
          <w:highlight w:val="none"/>
        </w:rPr>
        <w:t>3.1    投标文件组成</w:t>
      </w:r>
      <w:bookmarkEnd w:id="267"/>
    </w:p>
    <w:p w14:paraId="4D41AAD4">
      <w:pPr>
        <w:spacing w:line="360" w:lineRule="auto"/>
        <w:ind w:left="945" w:leftChars="450"/>
        <w:rPr>
          <w:rFonts w:ascii="宋体" w:hAnsi="宋体" w:cs="宋体"/>
          <w:color w:val="auto"/>
          <w:sz w:val="24"/>
          <w:highlight w:val="none"/>
        </w:rPr>
      </w:pPr>
      <w:r>
        <w:rPr>
          <w:rFonts w:hint="eastAsia" w:ascii="宋体" w:hAnsi="宋体" w:cs="宋体"/>
          <w:color w:val="auto"/>
          <w:sz w:val="24"/>
          <w:highlight w:val="none"/>
        </w:rPr>
        <w:t>投标文件由资格文件、商务技术文件、报价文件三部分组成。</w:t>
      </w:r>
    </w:p>
    <w:p w14:paraId="669602DA">
      <w:pPr>
        <w:pStyle w:val="34"/>
        <w:rPr>
          <w:rFonts w:ascii="宋体" w:eastAsia="宋体"/>
          <w:color w:val="auto"/>
          <w:highlight w:val="none"/>
        </w:rPr>
      </w:pPr>
      <w:bookmarkStart w:id="268" w:name="_Toc388"/>
      <w:r>
        <w:rPr>
          <w:rFonts w:hint="eastAsia" w:ascii="宋体" w:eastAsia="宋体"/>
          <w:color w:val="auto"/>
          <w:highlight w:val="none"/>
        </w:rPr>
        <w:t>3.2    资格文件：详见</w:t>
      </w:r>
      <w:r>
        <w:rPr>
          <w:rFonts w:hint="eastAsia" w:ascii="宋体" w:eastAsia="宋体"/>
          <w:color w:val="auto"/>
          <w:szCs w:val="36"/>
          <w:highlight w:val="none"/>
        </w:rPr>
        <w:t>第五章投标文件格式；</w:t>
      </w:r>
      <w:bookmarkEnd w:id="268"/>
    </w:p>
    <w:p w14:paraId="60707FC6">
      <w:pPr>
        <w:pStyle w:val="34"/>
        <w:rPr>
          <w:rFonts w:ascii="宋体" w:eastAsia="宋体"/>
          <w:color w:val="auto"/>
          <w:highlight w:val="none"/>
          <w:lang w:val="zh-CN"/>
        </w:rPr>
      </w:pPr>
      <w:bookmarkStart w:id="269" w:name="_Toc10070"/>
      <w:r>
        <w:rPr>
          <w:rFonts w:hint="eastAsia" w:ascii="宋体" w:eastAsia="宋体"/>
          <w:color w:val="auto"/>
          <w:highlight w:val="none"/>
        </w:rPr>
        <w:t>3.3</w:t>
      </w:r>
      <w:r>
        <w:rPr>
          <w:rFonts w:hint="eastAsia" w:ascii="宋体" w:eastAsia="宋体"/>
          <w:color w:val="auto"/>
          <w:highlight w:val="none"/>
          <w:lang w:val="zh-CN"/>
        </w:rPr>
        <w:t xml:space="preserve">  </w:t>
      </w:r>
      <w:r>
        <w:rPr>
          <w:rFonts w:hint="eastAsia" w:ascii="宋体" w:eastAsia="宋体"/>
          <w:color w:val="auto"/>
          <w:highlight w:val="none"/>
        </w:rPr>
        <w:t xml:space="preserve">  商务技术</w:t>
      </w:r>
      <w:r>
        <w:rPr>
          <w:rFonts w:hint="eastAsia" w:ascii="宋体" w:eastAsia="宋体"/>
          <w:color w:val="auto"/>
          <w:highlight w:val="none"/>
          <w:lang w:val="zh-CN"/>
        </w:rPr>
        <w:t>文件</w:t>
      </w:r>
      <w:r>
        <w:rPr>
          <w:rFonts w:hint="eastAsia" w:ascii="宋体" w:eastAsia="宋体"/>
          <w:color w:val="auto"/>
          <w:highlight w:val="none"/>
        </w:rPr>
        <w:t>：详见</w:t>
      </w:r>
      <w:r>
        <w:rPr>
          <w:rFonts w:hint="eastAsia" w:ascii="宋体" w:eastAsia="宋体"/>
          <w:color w:val="auto"/>
          <w:szCs w:val="36"/>
          <w:highlight w:val="none"/>
        </w:rPr>
        <w:t>第五章投标文件格式；</w:t>
      </w:r>
      <w:bookmarkEnd w:id="269"/>
    </w:p>
    <w:p w14:paraId="6D7F443E">
      <w:pPr>
        <w:pStyle w:val="34"/>
        <w:rPr>
          <w:rFonts w:ascii="宋体" w:eastAsia="宋体"/>
          <w:color w:val="auto"/>
          <w:highlight w:val="none"/>
          <w:lang w:val="zh-CN"/>
        </w:rPr>
      </w:pPr>
      <w:bookmarkStart w:id="270" w:name="_Toc20878"/>
      <w:r>
        <w:rPr>
          <w:rFonts w:hint="eastAsia" w:ascii="宋体" w:eastAsia="宋体"/>
          <w:color w:val="auto"/>
          <w:highlight w:val="none"/>
        </w:rPr>
        <w:t>3.4    报价文件：详见</w:t>
      </w:r>
      <w:r>
        <w:rPr>
          <w:rFonts w:hint="eastAsia" w:ascii="宋体" w:eastAsia="宋体"/>
          <w:color w:val="auto"/>
          <w:szCs w:val="36"/>
          <w:highlight w:val="none"/>
        </w:rPr>
        <w:t>第五章投标文件格式；</w:t>
      </w:r>
      <w:bookmarkEnd w:id="270"/>
    </w:p>
    <w:p w14:paraId="171DA9F3">
      <w:pPr>
        <w:spacing w:line="360" w:lineRule="auto"/>
        <w:ind w:firstLine="964" w:firstLineChars="4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22A83CC7">
      <w:pPr>
        <w:spacing w:line="360" w:lineRule="auto"/>
        <w:ind w:firstLine="964" w:firstLineChars="4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14:paraId="444E8E15">
      <w:pPr>
        <w:pStyle w:val="34"/>
        <w:rPr>
          <w:rFonts w:ascii="宋体" w:eastAsia="宋体"/>
          <w:color w:val="auto"/>
          <w:highlight w:val="none"/>
        </w:rPr>
      </w:pPr>
      <w:bookmarkStart w:id="271" w:name="_Toc31048"/>
      <w:r>
        <w:rPr>
          <w:rFonts w:hint="eastAsia" w:ascii="宋体" w:eastAsia="宋体"/>
          <w:color w:val="auto"/>
          <w:highlight w:val="none"/>
        </w:rPr>
        <w:t>3.5     投标文件形式</w:t>
      </w:r>
      <w:bookmarkEnd w:id="271"/>
    </w:p>
    <w:p w14:paraId="1837A573">
      <w:pPr>
        <w:spacing w:line="360" w:lineRule="auto"/>
        <w:ind w:left="857" w:hanging="856" w:hangingChars="357"/>
        <w:rPr>
          <w:rFonts w:ascii="宋体" w:hAnsi="宋体" w:cs="宋体"/>
          <w:color w:val="auto"/>
          <w:sz w:val="24"/>
          <w:szCs w:val="24"/>
          <w:highlight w:val="none"/>
        </w:rPr>
      </w:pPr>
      <w:r>
        <w:rPr>
          <w:rFonts w:hint="eastAsia" w:ascii="宋体" w:hAnsi="宋体" w:cs="宋体"/>
          <w:color w:val="auto"/>
          <w:sz w:val="24"/>
          <w:szCs w:val="24"/>
          <w:highlight w:val="none"/>
        </w:rPr>
        <w:t>3.5.1   投标文件以电子投标文件形式提交。包括“电子加密投标文件”和“备份投标文件”，两份文件在投标文件编制完成后同时生成。</w:t>
      </w:r>
    </w:p>
    <w:p w14:paraId="3843CB30">
      <w:pPr>
        <w:spacing w:line="360" w:lineRule="auto"/>
        <w:ind w:left="958" w:leftChars="342" w:hanging="240" w:hangingChars="100"/>
        <w:jc w:val="left"/>
        <w:rPr>
          <w:rFonts w:ascii="宋体" w:hAnsi="宋体" w:cs="宋体"/>
          <w:color w:val="auto"/>
          <w:sz w:val="24"/>
          <w:szCs w:val="24"/>
          <w:highlight w:val="none"/>
        </w:rPr>
      </w:pPr>
      <w:r>
        <w:rPr>
          <w:rFonts w:hint="eastAsia" w:ascii="宋体" w:hAnsi="宋体" w:cs="宋体"/>
          <w:color w:val="auto"/>
          <w:sz w:val="24"/>
          <w:szCs w:val="24"/>
          <w:highlight w:val="none"/>
        </w:rPr>
        <w:t xml:space="preserve">  “电子加密投标文件”和“备份投标文件”具有同等效力，数据电文内容应完全一致。</w:t>
      </w:r>
    </w:p>
    <w:p w14:paraId="3270382A">
      <w:pPr>
        <w:pStyle w:val="23"/>
        <w:spacing w:beforeLines="100" w:after="240" w:afterLines="100"/>
        <w:jc w:val="left"/>
        <w:outlineLvl w:val="1"/>
        <w:rPr>
          <w:rFonts w:ascii="宋体" w:hAnsi="宋体" w:cs="宋体"/>
          <w:color w:val="auto"/>
          <w:sz w:val="30"/>
          <w:szCs w:val="30"/>
          <w:highlight w:val="none"/>
        </w:rPr>
      </w:pPr>
      <w:bookmarkStart w:id="272" w:name="_Toc97212985"/>
      <w:bookmarkStart w:id="273" w:name="_Toc21513"/>
      <w:bookmarkStart w:id="274" w:name="_Toc25792"/>
      <w:bookmarkStart w:id="275" w:name="_Toc530551847"/>
      <w:bookmarkStart w:id="276" w:name="_Toc31848"/>
      <w:bookmarkStart w:id="277" w:name="_Toc531359002"/>
      <w:bookmarkStart w:id="278" w:name="_Toc25256"/>
      <w:bookmarkStart w:id="279" w:name="_Toc25397"/>
      <w:r>
        <w:rPr>
          <w:rFonts w:hint="eastAsia" w:ascii="宋体" w:hAnsi="宋体" w:cs="宋体"/>
          <w:color w:val="auto"/>
          <w:sz w:val="30"/>
          <w:szCs w:val="30"/>
          <w:highlight w:val="none"/>
        </w:rPr>
        <w:t>四    投标文件编制</w:t>
      </w:r>
      <w:bookmarkEnd w:id="272"/>
      <w:bookmarkEnd w:id="273"/>
      <w:bookmarkEnd w:id="274"/>
      <w:bookmarkEnd w:id="275"/>
      <w:bookmarkEnd w:id="276"/>
      <w:bookmarkEnd w:id="277"/>
      <w:bookmarkEnd w:id="278"/>
      <w:bookmarkEnd w:id="279"/>
    </w:p>
    <w:p w14:paraId="67C14D78">
      <w:pPr>
        <w:pStyle w:val="34"/>
        <w:rPr>
          <w:rFonts w:ascii="宋体" w:eastAsia="宋体"/>
          <w:color w:val="auto"/>
          <w:highlight w:val="none"/>
        </w:rPr>
      </w:pPr>
      <w:bookmarkStart w:id="280" w:name="_Toc17321"/>
      <w:bookmarkStart w:id="281" w:name="_Toc531359004"/>
      <w:bookmarkStart w:id="282" w:name="_Toc28795"/>
      <w:bookmarkStart w:id="283" w:name="_Toc530551849"/>
      <w:bookmarkStart w:id="284" w:name="_Toc97212986"/>
      <w:bookmarkStart w:id="285" w:name="_Toc18898"/>
      <w:bookmarkStart w:id="286" w:name="_Toc1275"/>
      <w:bookmarkStart w:id="287" w:name="_Toc14611"/>
      <w:r>
        <w:rPr>
          <w:rFonts w:hint="eastAsia" w:ascii="宋体" w:eastAsia="宋体"/>
          <w:color w:val="auto"/>
          <w:highlight w:val="none"/>
        </w:rPr>
        <w:t>4.1     投标文件编制</w:t>
      </w:r>
      <w:bookmarkEnd w:id="280"/>
      <w:bookmarkEnd w:id="281"/>
      <w:bookmarkEnd w:id="282"/>
      <w:bookmarkEnd w:id="283"/>
      <w:bookmarkEnd w:id="284"/>
      <w:bookmarkEnd w:id="285"/>
      <w:bookmarkEnd w:id="286"/>
      <w:bookmarkEnd w:id="287"/>
    </w:p>
    <w:p w14:paraId="130F8699">
      <w:pPr>
        <w:wordWrap w:val="0"/>
        <w:spacing w:line="360" w:lineRule="auto"/>
        <w:ind w:left="960" w:hanging="960" w:hangingChars="400"/>
        <w:jc w:val="left"/>
        <w:rPr>
          <w:rFonts w:ascii="宋体" w:hAnsi="宋体" w:cs="宋体"/>
          <w:color w:val="auto"/>
          <w:sz w:val="24"/>
          <w:highlight w:val="none"/>
        </w:rPr>
      </w:pPr>
      <w:r>
        <w:rPr>
          <w:rFonts w:hint="eastAsia" w:ascii="宋体" w:hAnsi="宋体" w:cs="宋体"/>
          <w:color w:val="auto"/>
          <w:sz w:val="24"/>
          <w:highlight w:val="none"/>
        </w:rPr>
        <w:t>4.1.1   投标人按招标文件和政采云平台电子投标工具的要求编制电子投标文件，并进行关联定位。</w:t>
      </w:r>
    </w:p>
    <w:p w14:paraId="1C070A0B">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4.1.2   ▲投标人如参与多标项投标的，则按每个标项分别独立编制投标文件。</w:t>
      </w:r>
    </w:p>
    <w:p w14:paraId="0419E39C">
      <w:pPr>
        <w:wordWrap w:val="0"/>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4.1.3   投标人按招标文件的要求提供相关资料，并对招标文件中提出的所有内容要求给予明确响应，确保投标文件真实和准确。</w:t>
      </w:r>
    </w:p>
    <w:p w14:paraId="220B8675">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4.1.4   投标文件编制时应有正确的索引目录及连续页码标注。</w:t>
      </w:r>
    </w:p>
    <w:p w14:paraId="0CCBE7E2">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4.1.5   投标文件应清晰可辨，因模糊不清所引起的不利结果由投标人自行承担。</w:t>
      </w:r>
    </w:p>
    <w:p w14:paraId="227ABA61">
      <w:pPr>
        <w:pStyle w:val="34"/>
        <w:rPr>
          <w:rFonts w:ascii="宋体" w:eastAsia="宋体"/>
          <w:color w:val="auto"/>
          <w:highlight w:val="none"/>
        </w:rPr>
      </w:pPr>
      <w:bookmarkStart w:id="288" w:name="_Toc531359005"/>
      <w:bookmarkStart w:id="289" w:name="_Toc28928"/>
      <w:bookmarkStart w:id="290" w:name="_Toc16312"/>
      <w:bookmarkStart w:id="291" w:name="_Toc16777"/>
      <w:bookmarkStart w:id="292" w:name="_Toc7077"/>
      <w:bookmarkStart w:id="293" w:name="_Toc530551850"/>
      <w:bookmarkStart w:id="294" w:name="_Toc6639"/>
      <w:bookmarkStart w:id="295" w:name="_Toc97212987"/>
      <w:r>
        <w:rPr>
          <w:rFonts w:hint="eastAsia" w:ascii="宋体" w:eastAsia="宋体"/>
          <w:color w:val="auto"/>
          <w:highlight w:val="none"/>
        </w:rPr>
        <w:t>4.2     投标报价要求</w:t>
      </w:r>
      <w:bookmarkEnd w:id="288"/>
      <w:bookmarkEnd w:id="289"/>
      <w:bookmarkEnd w:id="290"/>
      <w:bookmarkEnd w:id="291"/>
      <w:bookmarkEnd w:id="292"/>
      <w:bookmarkEnd w:id="293"/>
      <w:bookmarkEnd w:id="294"/>
      <w:bookmarkEnd w:id="295"/>
    </w:p>
    <w:p w14:paraId="0DB95875">
      <w:pPr>
        <w:spacing w:line="360" w:lineRule="auto"/>
        <w:ind w:left="960" w:hanging="960" w:hangingChars="400"/>
        <w:rPr>
          <w:rFonts w:ascii="宋体" w:hAnsi="宋体" w:cs="宋体"/>
          <w:bCs/>
          <w:color w:val="auto"/>
          <w:sz w:val="24"/>
          <w:highlight w:val="none"/>
        </w:rPr>
      </w:pPr>
      <w:r>
        <w:rPr>
          <w:rFonts w:hint="eastAsia" w:ascii="宋体" w:hAnsi="宋体" w:cs="宋体"/>
          <w:color w:val="auto"/>
          <w:sz w:val="24"/>
          <w:highlight w:val="none"/>
        </w:rPr>
        <w:t>4.2.1   ▲投标报价是履行合同的最终价格，</w:t>
      </w:r>
      <w:r>
        <w:rPr>
          <w:rFonts w:hint="eastAsia" w:ascii="宋体" w:hAnsi="宋体" w:cs="宋体"/>
          <w:bCs/>
          <w:color w:val="auto"/>
          <w:sz w:val="24"/>
          <w:highlight w:val="none"/>
        </w:rPr>
        <w:t>是为实现本项目目标所需的一切费用（含税费）。</w:t>
      </w:r>
      <w:r>
        <w:rPr>
          <w:rFonts w:hint="eastAsia" w:ascii="宋体" w:hAnsi="宋体" w:cs="宋体"/>
          <w:b/>
          <w:color w:val="auto"/>
          <w:sz w:val="24"/>
          <w:highlight w:val="none"/>
        </w:rPr>
        <w:t>投标文件开标一览表（报价表）是报价的唯一载体，如投标人在政府采购云平台填写的投标报价与投标文件报价文件中开标一览表（报价表）不一致的，以报价文件中开标一览表（报价表）为准。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bCs/>
          <w:color w:val="auto"/>
          <w:sz w:val="24"/>
          <w:highlight w:val="none"/>
        </w:rPr>
        <w:t>投标文件中价格全部采用人民币报价。招标文件未列明，而投标人认为必需的费用也需列入报价。</w:t>
      </w:r>
    </w:p>
    <w:p w14:paraId="46CCFDF6">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4.2.2   ▲投标文件只允许有一个报价，有选择的或有条件的报价将不予接受。</w:t>
      </w:r>
    </w:p>
    <w:p w14:paraId="383A4C0C">
      <w:pPr>
        <w:pStyle w:val="34"/>
        <w:rPr>
          <w:rFonts w:ascii="宋体" w:eastAsia="宋体"/>
          <w:color w:val="auto"/>
          <w:highlight w:val="none"/>
        </w:rPr>
      </w:pPr>
      <w:bookmarkStart w:id="296" w:name="_Toc530551853"/>
      <w:bookmarkStart w:id="297" w:name="_Toc531359008"/>
      <w:bookmarkStart w:id="298" w:name="_Toc6994"/>
      <w:bookmarkStart w:id="299" w:name="_Toc18409"/>
      <w:bookmarkStart w:id="300" w:name="_Toc11575"/>
      <w:bookmarkStart w:id="301" w:name="_Toc97212988"/>
      <w:bookmarkStart w:id="302" w:name="_Toc31913"/>
      <w:bookmarkStart w:id="303" w:name="_Toc15643"/>
      <w:r>
        <w:rPr>
          <w:rFonts w:hint="eastAsia" w:ascii="宋体" w:eastAsia="宋体"/>
          <w:color w:val="auto"/>
          <w:highlight w:val="none"/>
        </w:rPr>
        <w:t>4.3     投标有效期</w:t>
      </w:r>
      <w:bookmarkEnd w:id="296"/>
      <w:bookmarkEnd w:id="297"/>
      <w:bookmarkEnd w:id="298"/>
      <w:bookmarkEnd w:id="299"/>
      <w:bookmarkEnd w:id="300"/>
      <w:bookmarkEnd w:id="301"/>
      <w:bookmarkEnd w:id="302"/>
      <w:bookmarkEnd w:id="303"/>
    </w:p>
    <w:p w14:paraId="793CBD39">
      <w:pPr>
        <w:spacing w:line="360" w:lineRule="auto"/>
        <w:ind w:left="960" w:hanging="960" w:hangingChars="400"/>
        <w:rPr>
          <w:rFonts w:ascii="宋体" w:hAnsi="宋体" w:cs="宋体"/>
          <w:color w:val="auto"/>
          <w:sz w:val="24"/>
          <w:highlight w:val="none"/>
        </w:rPr>
      </w:pPr>
      <w:bookmarkStart w:id="304" w:name="_Toc301187640"/>
      <w:r>
        <w:rPr>
          <w:rFonts w:hint="eastAsia" w:ascii="宋体" w:hAnsi="宋体" w:cs="宋体"/>
          <w:color w:val="auto"/>
          <w:sz w:val="24"/>
          <w:highlight w:val="none"/>
        </w:rPr>
        <w:t>4.3.1   ▲投标有效期：见投标人须知前附表（一）。投标有效期从提交投标文件的截止之日起算。投标文件中承诺的投标有效期应不少于招标文件中载明的投标有效期</w:t>
      </w:r>
      <w:bookmarkEnd w:id="304"/>
      <w:r>
        <w:rPr>
          <w:rFonts w:hint="eastAsia" w:ascii="宋体" w:hAnsi="宋体" w:cs="宋体"/>
          <w:color w:val="auto"/>
          <w:sz w:val="24"/>
          <w:highlight w:val="none"/>
        </w:rPr>
        <w:t>。</w:t>
      </w:r>
    </w:p>
    <w:p w14:paraId="00023238">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4.3.2   投标有效期结束前，采购人可与投标人协商延长投标有效期。</w:t>
      </w:r>
    </w:p>
    <w:p w14:paraId="214BBBCD">
      <w:pPr>
        <w:pStyle w:val="34"/>
        <w:rPr>
          <w:rFonts w:ascii="宋体" w:eastAsia="宋体"/>
          <w:color w:val="auto"/>
          <w:highlight w:val="none"/>
        </w:rPr>
      </w:pPr>
      <w:bookmarkStart w:id="305" w:name="_Toc531359009"/>
      <w:bookmarkStart w:id="306" w:name="_Toc97212989"/>
      <w:bookmarkStart w:id="307" w:name="_Toc20690"/>
      <w:bookmarkStart w:id="308" w:name="_Toc530551854"/>
      <w:bookmarkStart w:id="309" w:name="_Toc11700"/>
      <w:bookmarkStart w:id="310" w:name="_Toc20962"/>
      <w:bookmarkStart w:id="311" w:name="_Toc27147"/>
      <w:bookmarkStart w:id="312" w:name="_Toc24912"/>
      <w:r>
        <w:rPr>
          <w:rFonts w:hint="eastAsia" w:ascii="宋体" w:eastAsia="宋体"/>
          <w:color w:val="auto"/>
          <w:highlight w:val="none"/>
        </w:rPr>
        <w:t>4.4     投标文件格式</w:t>
      </w:r>
      <w:bookmarkEnd w:id="305"/>
      <w:bookmarkEnd w:id="306"/>
      <w:bookmarkEnd w:id="307"/>
      <w:bookmarkEnd w:id="308"/>
      <w:bookmarkEnd w:id="309"/>
      <w:bookmarkEnd w:id="310"/>
      <w:bookmarkEnd w:id="311"/>
      <w:bookmarkEnd w:id="312"/>
    </w:p>
    <w:p w14:paraId="150627D5">
      <w:pPr>
        <w:spacing w:line="360" w:lineRule="auto"/>
        <w:ind w:left="945" w:leftChars="450"/>
        <w:rPr>
          <w:rFonts w:ascii="宋体" w:hAnsi="宋体" w:cs="宋体"/>
          <w:color w:val="auto"/>
          <w:sz w:val="24"/>
          <w:highlight w:val="none"/>
        </w:rPr>
      </w:pPr>
      <w:r>
        <w:rPr>
          <w:rFonts w:hint="eastAsia" w:ascii="宋体" w:hAnsi="宋体" w:cs="宋体"/>
          <w:color w:val="auto"/>
          <w:sz w:val="24"/>
          <w:highlight w:val="none"/>
        </w:rPr>
        <w:t>投标文件格式见招标文件“第五章投标文件格式”，投标文件应按照招标文件已提供的格式填写，无格式的可自行设计。</w:t>
      </w:r>
    </w:p>
    <w:p w14:paraId="036CBD54">
      <w:pPr>
        <w:pStyle w:val="34"/>
        <w:rPr>
          <w:rFonts w:ascii="宋体" w:eastAsia="宋体"/>
          <w:color w:val="auto"/>
          <w:highlight w:val="none"/>
        </w:rPr>
      </w:pPr>
      <w:bookmarkStart w:id="313" w:name="_Toc24788"/>
      <w:bookmarkStart w:id="314" w:name="_Toc16045"/>
      <w:bookmarkStart w:id="315" w:name="_Toc97212990"/>
      <w:bookmarkStart w:id="316" w:name="_Toc530551855"/>
      <w:bookmarkStart w:id="317" w:name="_Toc531359010"/>
      <w:bookmarkStart w:id="318" w:name="_Toc19054"/>
      <w:bookmarkStart w:id="319" w:name="_Toc2077"/>
      <w:bookmarkStart w:id="320" w:name="_Toc3183"/>
      <w:r>
        <w:rPr>
          <w:rFonts w:hint="eastAsia" w:ascii="宋体" w:eastAsia="宋体"/>
          <w:color w:val="auto"/>
          <w:highlight w:val="none"/>
        </w:rPr>
        <w:t>4.5     投标文件份数及签署</w:t>
      </w:r>
      <w:bookmarkEnd w:id="313"/>
      <w:bookmarkEnd w:id="314"/>
      <w:bookmarkEnd w:id="315"/>
      <w:bookmarkEnd w:id="316"/>
      <w:bookmarkEnd w:id="317"/>
      <w:bookmarkEnd w:id="318"/>
      <w:bookmarkEnd w:id="319"/>
      <w:bookmarkEnd w:id="320"/>
    </w:p>
    <w:p w14:paraId="0DD6A910">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4.5.1   投标文件份数：见投标人须知前附表（一）；</w:t>
      </w:r>
    </w:p>
    <w:p w14:paraId="5F78820A">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4.5.2   投标文件中所须加盖公章部分均采用CA签章。</w:t>
      </w:r>
    </w:p>
    <w:p w14:paraId="2E418E14">
      <w:pPr>
        <w:spacing w:line="360" w:lineRule="auto"/>
        <w:ind w:left="964" w:hanging="964" w:hangingChars="400"/>
        <w:rPr>
          <w:rFonts w:ascii="宋体" w:hAnsi="宋体" w:cs="宋体"/>
          <w:b/>
          <w:bCs/>
          <w:color w:val="auto"/>
          <w:sz w:val="24"/>
          <w:szCs w:val="20"/>
          <w:highlight w:val="none"/>
        </w:rPr>
      </w:pPr>
      <w:r>
        <w:rPr>
          <w:rFonts w:hint="eastAsia" w:ascii="宋体" w:hAnsi="宋体" w:cs="宋体"/>
          <w:b/>
          <w:bCs/>
          <w:color w:val="auto"/>
          <w:sz w:val="24"/>
          <w:szCs w:val="20"/>
          <w:highlight w:val="none"/>
        </w:rPr>
        <w:t>4.6     注意事项</w:t>
      </w:r>
    </w:p>
    <w:p w14:paraId="036B9A0A">
      <w:pPr>
        <w:spacing w:line="360" w:lineRule="auto"/>
        <w:ind w:left="960" w:hanging="960" w:hangingChars="400"/>
        <w:rPr>
          <w:rFonts w:ascii="宋体" w:hAnsi="宋体" w:cs="宋体"/>
          <w:color w:val="auto"/>
          <w:sz w:val="24"/>
          <w:highlight w:val="none"/>
          <w:lang w:val="zh-CN"/>
        </w:rPr>
      </w:pPr>
      <w:r>
        <w:rPr>
          <w:rFonts w:hint="eastAsia" w:ascii="宋体" w:hAnsi="宋体" w:cs="宋体"/>
          <w:color w:val="auto"/>
          <w:sz w:val="24"/>
          <w:highlight w:val="none"/>
        </w:rPr>
        <w:t xml:space="preserve">4.6.1   </w:t>
      </w:r>
      <w:r>
        <w:rPr>
          <w:rFonts w:hint="eastAsia" w:ascii="宋体" w:hAnsi="宋体" w:cs="宋体"/>
          <w:color w:val="auto"/>
          <w:sz w:val="24"/>
          <w:highlight w:val="none"/>
          <w:lang w:val="zh-CN"/>
        </w:rPr>
        <w:t>投标人进行电子投标应</w:t>
      </w:r>
      <w:r>
        <w:rPr>
          <w:rFonts w:hint="eastAsia" w:ascii="宋体" w:hAnsi="宋体" w:cs="宋体"/>
          <w:color w:val="auto"/>
          <w:sz w:val="24"/>
          <w:highlight w:val="none"/>
        </w:rPr>
        <w:t>提前注册浙江省政府采购网正式</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w:t>
      </w:r>
      <w:r>
        <w:rPr>
          <w:rFonts w:hint="eastAsia" w:ascii="宋体" w:hAnsi="宋体" w:cs="宋体"/>
          <w:color w:val="auto"/>
          <w:sz w:val="24"/>
          <w:highlight w:val="none"/>
          <w:lang w:val="zh-CN"/>
        </w:rPr>
        <w:t>安装客户端软件—“政采云电子交易客户端”，并按照招标文件和电子交易平台的要求编制并加密投标文件。投标人未按规定加密的投标文件，电子交易平台将拒收并提示。</w:t>
      </w:r>
    </w:p>
    <w:p w14:paraId="7B9D0600">
      <w:pPr>
        <w:spacing w:line="360" w:lineRule="auto"/>
        <w:ind w:left="960" w:hanging="960" w:hangingChars="400"/>
        <w:rPr>
          <w:rFonts w:ascii="宋体" w:hAnsi="宋体" w:cs="宋体"/>
          <w:color w:val="auto"/>
          <w:sz w:val="24"/>
          <w:highlight w:val="none"/>
          <w:lang w:val="zh-CN"/>
        </w:rPr>
      </w:pPr>
      <w:r>
        <w:rPr>
          <w:rFonts w:hint="eastAsia" w:ascii="宋体" w:hAnsi="宋体" w:cs="宋体"/>
          <w:color w:val="auto"/>
          <w:sz w:val="24"/>
          <w:highlight w:val="none"/>
        </w:rPr>
        <w:t xml:space="preserve">4.6.2   </w:t>
      </w:r>
      <w:r>
        <w:rPr>
          <w:rFonts w:hint="eastAsia" w:ascii="宋体" w:hAnsi="宋体" w:cs="宋体"/>
          <w:color w:val="auto"/>
          <w:sz w:val="24"/>
          <w:highlight w:val="none"/>
          <w:lang w:val="zh-CN"/>
        </w:rPr>
        <w:t>使用“政采云电子交易客户端”需要提前申领CA数字证书，申领流程请自行前往“浙江政府采购网-下载专区-电子交易客户端-CA驱动和申领流程”进行查阅。</w:t>
      </w:r>
    </w:p>
    <w:p w14:paraId="4DBDF4E2">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4.6.3   投标人在编制电子投标文件过程中，如遇到政采云平台系统使用问题的，可致电政采云平台技术支持热线，</w:t>
      </w:r>
      <w:r>
        <w:rPr>
          <w:rFonts w:hint="eastAsia" w:ascii="宋体" w:hAnsi="宋体" w:cs="宋体"/>
          <w:color w:val="auto"/>
          <w:sz w:val="24"/>
          <w:highlight w:val="none"/>
          <w:lang w:eastAsia="zh-CN"/>
        </w:rPr>
        <w:t>咨询电话</w:t>
      </w:r>
      <w:r>
        <w:rPr>
          <w:rFonts w:hint="eastAsia" w:ascii="宋体" w:hAnsi="宋体" w:cs="宋体"/>
          <w:color w:val="auto"/>
          <w:sz w:val="24"/>
          <w:highlight w:val="none"/>
        </w:rPr>
        <w:t>：95763。</w:t>
      </w:r>
    </w:p>
    <w:p w14:paraId="6A9FB9B3">
      <w:pPr>
        <w:pStyle w:val="23"/>
        <w:spacing w:beforeLines="100" w:after="240" w:afterLines="100"/>
        <w:jc w:val="left"/>
        <w:outlineLvl w:val="1"/>
        <w:rPr>
          <w:rFonts w:ascii="宋体" w:hAnsi="宋体" w:cs="宋体"/>
          <w:color w:val="auto"/>
          <w:sz w:val="30"/>
          <w:szCs w:val="30"/>
          <w:highlight w:val="none"/>
        </w:rPr>
      </w:pPr>
      <w:bookmarkStart w:id="321" w:name="_Toc8421"/>
      <w:bookmarkStart w:id="322" w:name="_Toc17773"/>
      <w:bookmarkStart w:id="323" w:name="_Toc16650"/>
      <w:bookmarkStart w:id="324" w:name="_Toc531359011"/>
      <w:bookmarkStart w:id="325" w:name="_Toc530551856"/>
      <w:bookmarkStart w:id="326" w:name="_Toc25169"/>
      <w:bookmarkStart w:id="327" w:name="_Toc1609"/>
      <w:bookmarkStart w:id="328" w:name="_Toc97212991"/>
      <w:r>
        <w:rPr>
          <w:rFonts w:hint="eastAsia" w:ascii="宋体" w:hAnsi="宋体" w:cs="宋体"/>
          <w:color w:val="auto"/>
          <w:sz w:val="30"/>
          <w:szCs w:val="30"/>
          <w:highlight w:val="none"/>
        </w:rPr>
        <w:t>五    投标文件提交</w:t>
      </w:r>
      <w:bookmarkEnd w:id="321"/>
      <w:bookmarkEnd w:id="322"/>
      <w:bookmarkEnd w:id="323"/>
      <w:bookmarkEnd w:id="324"/>
      <w:bookmarkEnd w:id="325"/>
      <w:bookmarkEnd w:id="326"/>
      <w:bookmarkEnd w:id="327"/>
      <w:bookmarkEnd w:id="328"/>
    </w:p>
    <w:p w14:paraId="45E33EC0">
      <w:pPr>
        <w:pStyle w:val="34"/>
        <w:rPr>
          <w:rFonts w:ascii="宋体" w:eastAsia="宋体"/>
          <w:color w:val="auto"/>
          <w:highlight w:val="none"/>
        </w:rPr>
      </w:pPr>
      <w:bookmarkStart w:id="329" w:name="_Toc530551857"/>
      <w:bookmarkStart w:id="330" w:name="_Toc531359012"/>
      <w:bookmarkStart w:id="331" w:name="_Toc29007"/>
      <w:bookmarkStart w:id="332" w:name="_Toc4800"/>
      <w:bookmarkStart w:id="333" w:name="_Toc97212992"/>
      <w:bookmarkStart w:id="334" w:name="_Toc8096"/>
      <w:bookmarkStart w:id="335" w:name="_Toc18884"/>
      <w:bookmarkStart w:id="336" w:name="_Toc19292"/>
      <w:r>
        <w:rPr>
          <w:rFonts w:hint="eastAsia" w:ascii="宋体" w:eastAsia="宋体"/>
          <w:color w:val="auto"/>
          <w:highlight w:val="none"/>
        </w:rPr>
        <w:t>5.1     投标文件导入</w:t>
      </w:r>
      <w:bookmarkEnd w:id="329"/>
      <w:bookmarkEnd w:id="330"/>
      <w:r>
        <w:rPr>
          <w:rFonts w:hint="eastAsia" w:ascii="宋体" w:eastAsia="宋体"/>
          <w:color w:val="auto"/>
          <w:highlight w:val="none"/>
        </w:rPr>
        <w:t>和加密</w:t>
      </w:r>
      <w:bookmarkEnd w:id="331"/>
      <w:bookmarkEnd w:id="332"/>
      <w:bookmarkEnd w:id="333"/>
      <w:bookmarkEnd w:id="334"/>
      <w:bookmarkEnd w:id="335"/>
      <w:bookmarkEnd w:id="336"/>
    </w:p>
    <w:p w14:paraId="7D5C2715">
      <w:pPr>
        <w:wordWrap w:val="0"/>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5.1.1   投标人应按照资格文件、商务技术文件和报价文件内容分别导入相应位置，各文件之间不得导错位置。</w:t>
      </w:r>
    </w:p>
    <w:p w14:paraId="03EC4FF2">
      <w:pPr>
        <w:wordWrap w:val="0"/>
        <w:spacing w:line="360" w:lineRule="auto"/>
        <w:ind w:left="960" w:hanging="960" w:hangingChars="400"/>
        <w:jc w:val="left"/>
        <w:rPr>
          <w:rFonts w:ascii="宋体" w:hAnsi="宋体" w:cs="宋体"/>
          <w:color w:val="auto"/>
          <w:sz w:val="24"/>
          <w:highlight w:val="none"/>
        </w:rPr>
      </w:pPr>
      <w:r>
        <w:rPr>
          <w:rFonts w:hint="eastAsia" w:ascii="宋体" w:hAnsi="宋体" w:cs="宋体"/>
          <w:color w:val="auto"/>
          <w:sz w:val="24"/>
          <w:highlight w:val="none"/>
        </w:rPr>
        <w:t>5.1.2   投标人按照招标文件和政采云平台的要求编制并加密投标文件，并确认将投标文件提交至政采云平台。</w:t>
      </w:r>
    </w:p>
    <w:p w14:paraId="35299792">
      <w:pPr>
        <w:pStyle w:val="34"/>
        <w:rPr>
          <w:rFonts w:ascii="宋体" w:eastAsia="宋体"/>
          <w:color w:val="auto"/>
          <w:highlight w:val="none"/>
        </w:rPr>
      </w:pPr>
      <w:bookmarkStart w:id="337" w:name="_Toc3997"/>
      <w:bookmarkStart w:id="338" w:name="_Toc530551858"/>
      <w:bookmarkStart w:id="339" w:name="_Toc97212993"/>
      <w:bookmarkStart w:id="340" w:name="_Toc8870"/>
      <w:bookmarkStart w:id="341" w:name="_Toc531359013"/>
      <w:bookmarkStart w:id="342" w:name="_Toc11228"/>
      <w:bookmarkStart w:id="343" w:name="_Toc12009"/>
      <w:bookmarkStart w:id="344" w:name="_Toc31258"/>
      <w:r>
        <w:rPr>
          <w:rFonts w:hint="eastAsia" w:ascii="宋体" w:eastAsia="宋体"/>
          <w:color w:val="auto"/>
          <w:highlight w:val="none"/>
        </w:rPr>
        <w:t>5.2     投标文件提交</w:t>
      </w:r>
      <w:bookmarkEnd w:id="337"/>
      <w:bookmarkEnd w:id="338"/>
      <w:bookmarkEnd w:id="339"/>
      <w:bookmarkEnd w:id="340"/>
      <w:bookmarkEnd w:id="341"/>
      <w:bookmarkEnd w:id="342"/>
      <w:bookmarkEnd w:id="343"/>
      <w:bookmarkEnd w:id="344"/>
    </w:p>
    <w:p w14:paraId="4132EB44">
      <w:pPr>
        <w:spacing w:line="360" w:lineRule="auto"/>
        <w:ind w:left="960" w:hanging="960" w:hangingChars="400"/>
        <w:rPr>
          <w:rFonts w:ascii="宋体" w:hAnsi="宋体" w:cs="宋体"/>
          <w:color w:val="auto"/>
          <w:sz w:val="24"/>
          <w:highlight w:val="none"/>
        </w:rPr>
      </w:pPr>
      <w:bookmarkStart w:id="345" w:name="_Toc301187685"/>
      <w:r>
        <w:rPr>
          <w:rFonts w:hint="eastAsia" w:ascii="宋体" w:hAnsi="宋体" w:cs="宋体"/>
          <w:color w:val="auto"/>
          <w:sz w:val="24"/>
          <w:highlight w:val="none"/>
        </w:rPr>
        <w:t>5.2.1</w:t>
      </w:r>
      <w:bookmarkEnd w:id="345"/>
      <w:r>
        <w:rPr>
          <w:rFonts w:hint="eastAsia" w:ascii="宋体" w:hAnsi="宋体" w:cs="宋体"/>
          <w:color w:val="auto"/>
          <w:sz w:val="24"/>
          <w:highlight w:val="none"/>
        </w:rPr>
        <w:t xml:space="preserve">   提交投标文件截止时间：见第一章招标公告。</w:t>
      </w:r>
    </w:p>
    <w:p w14:paraId="15D67085">
      <w:pPr>
        <w:spacing w:line="360" w:lineRule="auto"/>
        <w:ind w:left="960" w:hanging="960" w:hangingChars="400"/>
        <w:rPr>
          <w:rFonts w:ascii="宋体" w:hAnsi="宋体" w:cs="宋体"/>
          <w:color w:val="auto"/>
          <w:sz w:val="24"/>
          <w:highlight w:val="none"/>
        </w:rPr>
      </w:pPr>
      <w:bookmarkStart w:id="346" w:name="_Toc301187686"/>
      <w:r>
        <w:rPr>
          <w:rFonts w:hint="eastAsia" w:ascii="宋体" w:hAnsi="宋体" w:cs="宋体"/>
          <w:color w:val="auto"/>
          <w:sz w:val="24"/>
          <w:highlight w:val="none"/>
        </w:rPr>
        <w:t xml:space="preserve">5.2.2   </w:t>
      </w:r>
      <w:bookmarkEnd w:id="346"/>
      <w:r>
        <w:rPr>
          <w:rFonts w:hint="eastAsia" w:ascii="宋体" w:hAnsi="宋体" w:cs="宋体"/>
          <w:color w:val="auto"/>
          <w:sz w:val="24"/>
          <w:highlight w:val="none"/>
        </w:rPr>
        <w:t>提交投标文件地点：见第一章招标公告。</w:t>
      </w:r>
    </w:p>
    <w:p w14:paraId="594C0021">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5.2.3   投标人所提交的投标文件将不予退还。</w:t>
      </w:r>
    </w:p>
    <w:p w14:paraId="01AD925C">
      <w:pPr>
        <w:pStyle w:val="34"/>
        <w:rPr>
          <w:rFonts w:ascii="宋体" w:eastAsia="宋体"/>
          <w:color w:val="auto"/>
          <w:highlight w:val="none"/>
        </w:rPr>
      </w:pPr>
      <w:bookmarkStart w:id="347" w:name="_Toc14920"/>
      <w:bookmarkStart w:id="348" w:name="_Toc16110"/>
      <w:bookmarkStart w:id="349" w:name="_Toc530551859"/>
      <w:bookmarkStart w:id="350" w:name="_Toc97212994"/>
      <w:bookmarkStart w:id="351" w:name="_Toc26927"/>
      <w:bookmarkStart w:id="352" w:name="_Toc531359014"/>
      <w:bookmarkStart w:id="353" w:name="_Toc25946"/>
      <w:bookmarkStart w:id="354" w:name="_Toc19130"/>
      <w:r>
        <w:rPr>
          <w:rFonts w:hint="eastAsia" w:ascii="宋体" w:eastAsia="宋体"/>
          <w:color w:val="auto"/>
          <w:highlight w:val="none"/>
        </w:rPr>
        <w:t>5.3     投标文件修改和撤回</w:t>
      </w:r>
      <w:bookmarkEnd w:id="347"/>
      <w:bookmarkEnd w:id="348"/>
      <w:bookmarkEnd w:id="349"/>
      <w:bookmarkEnd w:id="350"/>
      <w:bookmarkEnd w:id="351"/>
      <w:bookmarkEnd w:id="352"/>
      <w:bookmarkEnd w:id="353"/>
      <w:bookmarkEnd w:id="354"/>
    </w:p>
    <w:p w14:paraId="523FE42D">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5.3.1   在</w:t>
      </w:r>
      <w:r>
        <w:rPr>
          <w:rFonts w:hint="eastAsia" w:ascii="宋体" w:hAnsi="宋体" w:cs="宋体"/>
          <w:color w:val="auto"/>
          <w:sz w:val="24"/>
          <w:szCs w:val="24"/>
          <w:highlight w:val="none"/>
        </w:rPr>
        <w:t>提交投标文件截止时间</w:t>
      </w:r>
      <w:r>
        <w:rPr>
          <w:rFonts w:hint="eastAsia" w:ascii="宋体" w:hAnsi="宋体" w:cs="宋体"/>
          <w:color w:val="auto"/>
          <w:sz w:val="24"/>
          <w:highlight w:val="none"/>
        </w:rPr>
        <w:t>前，投标人可对已提交的</w:t>
      </w:r>
      <w:r>
        <w:rPr>
          <w:rFonts w:hint="eastAsia" w:ascii="宋体" w:hAnsi="宋体" w:cs="宋体"/>
          <w:color w:val="auto"/>
          <w:kern w:val="0"/>
          <w:sz w:val="24"/>
          <w:highlight w:val="none"/>
        </w:rPr>
        <w:t>投标文件</w:t>
      </w:r>
      <w:r>
        <w:rPr>
          <w:rFonts w:hint="eastAsia" w:ascii="宋体" w:hAnsi="宋体" w:cs="宋体"/>
          <w:color w:val="auto"/>
          <w:sz w:val="24"/>
          <w:highlight w:val="none"/>
        </w:rPr>
        <w:t>进行补充、修改或撤回。补充、修改投标文件的，应先行撤回原文件，补充、修改后按要求重新生成加密的投标文件并重新上传提交。</w:t>
      </w:r>
    </w:p>
    <w:p w14:paraId="372205D2">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5.3.2   在</w:t>
      </w:r>
      <w:r>
        <w:rPr>
          <w:rFonts w:hint="eastAsia" w:ascii="宋体" w:hAnsi="宋体" w:cs="宋体"/>
          <w:color w:val="auto"/>
          <w:sz w:val="24"/>
          <w:szCs w:val="24"/>
          <w:highlight w:val="none"/>
        </w:rPr>
        <w:t>提交投标文件截止时间</w:t>
      </w:r>
      <w:r>
        <w:rPr>
          <w:rFonts w:hint="eastAsia" w:ascii="宋体" w:hAnsi="宋体" w:cs="宋体"/>
          <w:color w:val="auto"/>
          <w:sz w:val="24"/>
          <w:highlight w:val="none"/>
        </w:rPr>
        <w:t>后，投标人不得修改、撤回已提交的投标文件。</w:t>
      </w:r>
    </w:p>
    <w:p w14:paraId="47BD66DD">
      <w:pPr>
        <w:pStyle w:val="34"/>
        <w:rPr>
          <w:rFonts w:ascii="宋体" w:eastAsia="宋体"/>
          <w:color w:val="auto"/>
          <w:highlight w:val="none"/>
        </w:rPr>
      </w:pPr>
      <w:bookmarkStart w:id="355" w:name="_Toc23672"/>
      <w:r>
        <w:rPr>
          <w:rFonts w:hint="eastAsia" w:ascii="宋体" w:eastAsia="宋体"/>
          <w:color w:val="auto"/>
          <w:highlight w:val="none"/>
        </w:rPr>
        <w:t>5.4     备份投标文件的提交</w:t>
      </w:r>
      <w:bookmarkEnd w:id="355"/>
    </w:p>
    <w:p w14:paraId="1A34873D">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5.4.1   投标人在政采云平台上传提交投标文件后，还可以在投标截止时间前直接提交或者以邮政快递方式递交备份投标文件1份，但采购人、采购代理机构不强制或变相强制投标人提交备份投标文件。</w:t>
      </w:r>
    </w:p>
    <w:p w14:paraId="5D21D727">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5.4.2   备份投标文件须在“政采云投标客户端”制作生成。</w:t>
      </w:r>
    </w:p>
    <w:p w14:paraId="087936B8">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5.4.3   投标人仅提交备份投标文件，未在政采云平台上传提交投标文件的，投标无效。</w:t>
      </w:r>
    </w:p>
    <w:p w14:paraId="0C07E37B">
      <w:pPr>
        <w:pStyle w:val="23"/>
        <w:spacing w:beforeLines="100" w:after="240" w:afterLines="100"/>
        <w:jc w:val="left"/>
        <w:outlineLvl w:val="1"/>
        <w:rPr>
          <w:rFonts w:ascii="宋体" w:hAnsi="宋体" w:cs="宋体"/>
          <w:color w:val="auto"/>
          <w:sz w:val="30"/>
          <w:szCs w:val="30"/>
          <w:highlight w:val="none"/>
        </w:rPr>
      </w:pPr>
      <w:bookmarkStart w:id="356" w:name="_Toc97212997"/>
      <w:bookmarkStart w:id="357" w:name="_Toc25146"/>
      <w:bookmarkStart w:id="358" w:name="_Toc531359017"/>
      <w:bookmarkStart w:id="359" w:name="_Toc16190"/>
      <w:bookmarkStart w:id="360" w:name="_Toc29653"/>
      <w:bookmarkStart w:id="361" w:name="_Toc22147"/>
      <w:bookmarkStart w:id="362" w:name="_Toc23217"/>
      <w:bookmarkStart w:id="363" w:name="_Toc530551861"/>
      <w:r>
        <w:rPr>
          <w:rFonts w:hint="eastAsia" w:ascii="宋体" w:hAnsi="宋体" w:cs="宋体"/>
          <w:color w:val="auto"/>
          <w:sz w:val="30"/>
          <w:szCs w:val="30"/>
          <w:highlight w:val="none"/>
        </w:rPr>
        <w:t>六    开标、资格审查、评标</w:t>
      </w:r>
      <w:bookmarkEnd w:id="356"/>
      <w:bookmarkEnd w:id="357"/>
      <w:bookmarkEnd w:id="358"/>
      <w:bookmarkEnd w:id="359"/>
      <w:bookmarkEnd w:id="360"/>
      <w:bookmarkEnd w:id="361"/>
      <w:bookmarkEnd w:id="362"/>
      <w:bookmarkEnd w:id="363"/>
    </w:p>
    <w:p w14:paraId="5D9287F5">
      <w:pPr>
        <w:pStyle w:val="34"/>
        <w:rPr>
          <w:rFonts w:ascii="宋体" w:eastAsia="宋体"/>
          <w:color w:val="auto"/>
          <w:highlight w:val="none"/>
        </w:rPr>
      </w:pPr>
      <w:bookmarkStart w:id="364" w:name="_Toc3719"/>
      <w:bookmarkStart w:id="365" w:name="_Toc31645"/>
      <w:bookmarkStart w:id="366" w:name="_Toc531359018"/>
      <w:bookmarkStart w:id="367" w:name="_Toc97212998"/>
      <w:bookmarkStart w:id="368" w:name="_Toc4747"/>
      <w:bookmarkStart w:id="369" w:name="_Toc8180"/>
      <w:bookmarkStart w:id="370" w:name="_Toc530551862"/>
      <w:bookmarkStart w:id="371" w:name="_Toc4026"/>
      <w:r>
        <w:rPr>
          <w:rFonts w:hint="eastAsia" w:ascii="宋体" w:eastAsia="宋体"/>
          <w:color w:val="auto"/>
          <w:highlight w:val="none"/>
        </w:rPr>
        <w:t>6.1     开标</w:t>
      </w:r>
      <w:bookmarkEnd w:id="364"/>
      <w:bookmarkEnd w:id="365"/>
      <w:bookmarkEnd w:id="366"/>
      <w:bookmarkEnd w:id="367"/>
      <w:bookmarkEnd w:id="368"/>
      <w:bookmarkEnd w:id="369"/>
      <w:bookmarkEnd w:id="370"/>
      <w:bookmarkEnd w:id="371"/>
    </w:p>
    <w:p w14:paraId="1DCF97C1">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6.1.1   开标时间和地点：见投标人须知前附表（一）。</w:t>
      </w:r>
    </w:p>
    <w:p w14:paraId="523BF76B">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6.1.2   所有投标人应准时参加线上开标，否则视同认可开标结果。</w:t>
      </w:r>
    </w:p>
    <w:p w14:paraId="0432AD34">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6.1.3   采购代理机构按招标文件规定的时间在政采云平台上组织开标。投标人不足三家的，不得开标。</w:t>
      </w:r>
    </w:p>
    <w:p w14:paraId="2D92042A">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6.1.4   开标时，政采云平台按开标时间自动提取所有投标文件。采购代理机构依托政采云平台发起开始解密指令，投标人按照平台提示和招标文件的规定在半小时内完成在线解密</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具体以平台设置时间为准</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14:paraId="518F6489">
      <w:pPr>
        <w:spacing w:line="360" w:lineRule="auto"/>
        <w:ind w:left="960" w:hanging="960" w:hangingChars="400"/>
        <w:jc w:val="left"/>
        <w:rPr>
          <w:rFonts w:ascii="宋体" w:hAnsi="宋体" w:cs="宋体"/>
          <w:color w:val="auto"/>
          <w:sz w:val="24"/>
          <w:szCs w:val="24"/>
          <w:highlight w:val="none"/>
        </w:rPr>
      </w:pPr>
      <w:r>
        <w:rPr>
          <w:rFonts w:hint="eastAsia" w:ascii="宋体" w:hAnsi="宋体" w:cs="宋体"/>
          <w:color w:val="auto"/>
          <w:sz w:val="24"/>
          <w:szCs w:val="24"/>
          <w:highlight w:val="none"/>
        </w:rPr>
        <w:t>6.1.5  ▲电子加密投标文件按时解密成功的，备份投标文件自动失效；电子加密投标文件未按时解密，投标人按招标文件规定提交备份投标文件且有效的，以备份投标文件为准；电子加密投标文件未按时解密，又未提交备份投标文件，视为投标文件撤回。</w:t>
      </w:r>
    </w:p>
    <w:p w14:paraId="7EB9C29D">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6.1.6   主持人开启报价确认指令发出后5分钟内，投标人未按时签字确认的，视同已确认投标报价。</w:t>
      </w:r>
    </w:p>
    <w:p w14:paraId="6ABEB2EC">
      <w:pPr>
        <w:pStyle w:val="34"/>
        <w:rPr>
          <w:rFonts w:ascii="宋体" w:eastAsia="宋体"/>
          <w:color w:val="auto"/>
          <w:highlight w:val="none"/>
        </w:rPr>
      </w:pPr>
      <w:bookmarkStart w:id="372" w:name="_Toc14270"/>
      <w:bookmarkStart w:id="373" w:name="_Toc97212999"/>
      <w:bookmarkStart w:id="374" w:name="_Toc15865"/>
      <w:bookmarkStart w:id="375" w:name="_Toc531359019"/>
      <w:bookmarkStart w:id="376" w:name="_Toc1412"/>
      <w:bookmarkStart w:id="377" w:name="_Toc1746"/>
      <w:bookmarkStart w:id="378" w:name="_Toc12458"/>
      <w:bookmarkStart w:id="379" w:name="_Toc530551863"/>
      <w:r>
        <w:rPr>
          <w:rFonts w:hint="eastAsia" w:ascii="宋体" w:eastAsia="宋体"/>
          <w:color w:val="auto"/>
          <w:highlight w:val="none"/>
        </w:rPr>
        <w:t>6.2     资格审查</w:t>
      </w:r>
      <w:bookmarkEnd w:id="372"/>
      <w:bookmarkEnd w:id="373"/>
      <w:bookmarkEnd w:id="374"/>
      <w:bookmarkEnd w:id="375"/>
      <w:bookmarkEnd w:id="376"/>
      <w:bookmarkEnd w:id="377"/>
      <w:bookmarkEnd w:id="378"/>
      <w:bookmarkEnd w:id="379"/>
    </w:p>
    <w:p w14:paraId="0A46CCE8">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6.2.1   资格审查：采购人或采购代理机构依据法律法规和招标文件的规定，对投标人的资格进行审查。</w:t>
      </w:r>
    </w:p>
    <w:p w14:paraId="68B77789">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 xml:space="preserve">6.2.2   </w:t>
      </w:r>
      <w:r>
        <w:rPr>
          <w:rFonts w:hint="eastAsia" w:ascii="宋体" w:hAnsi="宋体" w:cs="宋体"/>
          <w:color w:val="auto"/>
          <w:sz w:val="24"/>
          <w:szCs w:val="24"/>
          <w:highlight w:val="none"/>
        </w:rPr>
        <w:t>▲</w:t>
      </w:r>
      <w:r>
        <w:rPr>
          <w:rFonts w:hint="eastAsia" w:ascii="宋体" w:hAnsi="宋体" w:cs="宋体"/>
          <w:color w:val="auto"/>
          <w:sz w:val="24"/>
          <w:highlight w:val="none"/>
        </w:rPr>
        <w:t>投标人未按招标文件要求提供完整有效资格证明材料的，其投标无效。</w:t>
      </w:r>
    </w:p>
    <w:p w14:paraId="0E2D7767">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6.2.3   经资格审查，合格投标人不足三家的，采购项目不得进入评标，并按相关规定重新组织采购。</w:t>
      </w:r>
    </w:p>
    <w:p w14:paraId="096A03AA">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6.2.4   信用信息查询。</w:t>
      </w:r>
    </w:p>
    <w:p w14:paraId="2C30D1F0">
      <w:pPr>
        <w:spacing w:line="360" w:lineRule="auto"/>
        <w:ind w:left="955" w:leftChars="455"/>
        <w:rPr>
          <w:rFonts w:ascii="宋体" w:hAnsi="宋体" w:cs="宋体"/>
          <w:color w:val="auto"/>
          <w:sz w:val="24"/>
          <w:highlight w:val="none"/>
        </w:rPr>
      </w:pPr>
      <w:r>
        <w:rPr>
          <w:rFonts w:hint="eastAsia" w:ascii="宋体" w:hAnsi="宋体" w:cs="宋体"/>
          <w:color w:val="auto"/>
          <w:sz w:val="24"/>
          <w:highlight w:val="none"/>
        </w:rPr>
        <w:t>（1）信用信息查询渠道及截止时间：采购代理机构将在资格审查时通过“信用中国”网站(www.creditchina.gov.cn)、中国政府采购网(www.ccgp.gov.cn)渠道查询投标人接受资格审查时的信用记录；</w:t>
      </w:r>
    </w:p>
    <w:p w14:paraId="5AE490EF">
      <w:pPr>
        <w:pStyle w:val="34"/>
        <w:rPr>
          <w:rFonts w:ascii="宋体" w:eastAsia="宋体"/>
          <w:color w:val="auto"/>
          <w:highlight w:val="none"/>
        </w:rPr>
      </w:pPr>
      <w:bookmarkStart w:id="380" w:name="_Toc12102"/>
      <w:bookmarkStart w:id="381" w:name="_Toc531359020"/>
      <w:bookmarkStart w:id="382" w:name="_Toc1338"/>
      <w:bookmarkStart w:id="383" w:name="_Toc7288"/>
      <w:bookmarkStart w:id="384" w:name="_Toc25617"/>
      <w:bookmarkStart w:id="385" w:name="_Toc17549"/>
      <w:bookmarkStart w:id="386" w:name="_Toc97213000"/>
      <w:r>
        <w:rPr>
          <w:rFonts w:hint="eastAsia" w:ascii="宋体" w:eastAsia="宋体"/>
          <w:color w:val="auto"/>
          <w:highlight w:val="none"/>
        </w:rPr>
        <w:t>6.3     评标</w:t>
      </w:r>
      <w:bookmarkEnd w:id="380"/>
      <w:bookmarkEnd w:id="381"/>
      <w:bookmarkEnd w:id="382"/>
      <w:bookmarkEnd w:id="383"/>
      <w:bookmarkEnd w:id="384"/>
      <w:bookmarkEnd w:id="385"/>
      <w:bookmarkEnd w:id="386"/>
    </w:p>
    <w:p w14:paraId="1DE6EE37">
      <w:pPr>
        <w:pStyle w:val="8"/>
        <w:spacing w:line="360" w:lineRule="auto"/>
        <w:ind w:firstLine="0"/>
        <w:rPr>
          <w:rFonts w:ascii="宋体" w:hAnsi="宋体" w:cs="宋体"/>
          <w:color w:val="auto"/>
          <w:highlight w:val="none"/>
        </w:rPr>
      </w:pPr>
      <w:r>
        <w:rPr>
          <w:rFonts w:hint="eastAsia" w:ascii="宋体" w:hAnsi="宋体" w:cs="宋体"/>
          <w:color w:val="auto"/>
          <w:sz w:val="24"/>
          <w:highlight w:val="none"/>
        </w:rPr>
        <w:t>6.3.1   评标办法：见投标人须知前附表（一）。</w:t>
      </w:r>
    </w:p>
    <w:p w14:paraId="03A8EA69">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6.3.2   评标委员会由采购人或采购代理机构组建，评标委员会由采购人代表和评标专家组成，成员人数为5人以上单数，其中评标专家不少于成员总数的三分之二，评标专家按规定从评标专家库中随机抽取。如有特殊情况的，按相关规定组建评标委员会。</w:t>
      </w:r>
    </w:p>
    <w:p w14:paraId="3B92496B">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6.3.3   评标由评标委员会负责。评标委员会应按照客观、公正、审慎的原则，根据招标文件确定评标程序、评标办法和评标标准独立评标。</w:t>
      </w:r>
    </w:p>
    <w:p w14:paraId="5ABCD9B3">
      <w:pPr>
        <w:spacing w:line="360" w:lineRule="auto"/>
        <w:jc w:val="left"/>
        <w:rPr>
          <w:rFonts w:ascii="宋体" w:hAnsi="宋体" w:cs="宋体"/>
          <w:color w:val="auto"/>
          <w:sz w:val="24"/>
          <w:highlight w:val="none"/>
        </w:rPr>
      </w:pPr>
      <w:r>
        <w:rPr>
          <w:rFonts w:hint="eastAsia" w:ascii="宋体" w:hAnsi="宋体" w:cs="宋体"/>
          <w:color w:val="auto"/>
          <w:sz w:val="24"/>
          <w:highlight w:val="none"/>
        </w:rPr>
        <w:t>6.3.4   评标程序：符合性审查、商务技术文件评标、报价文件评标。</w:t>
      </w:r>
    </w:p>
    <w:p w14:paraId="6596B03F">
      <w:pPr>
        <w:spacing w:line="360" w:lineRule="auto"/>
        <w:jc w:val="left"/>
        <w:rPr>
          <w:rFonts w:ascii="宋体" w:hAnsi="宋体" w:cs="宋体"/>
          <w:color w:val="auto"/>
          <w:sz w:val="24"/>
          <w:highlight w:val="none"/>
        </w:rPr>
      </w:pPr>
      <w:r>
        <w:rPr>
          <w:rFonts w:hint="eastAsia" w:ascii="宋体" w:hAnsi="宋体" w:cs="宋体"/>
          <w:color w:val="auto"/>
          <w:sz w:val="24"/>
          <w:highlight w:val="none"/>
        </w:rPr>
        <w:t>6.3.5   符合性审查</w:t>
      </w:r>
    </w:p>
    <w:p w14:paraId="0F13EAF6">
      <w:pPr>
        <w:spacing w:line="360" w:lineRule="auto"/>
        <w:ind w:left="1290" w:leftChars="500" w:hanging="240" w:hangingChars="100"/>
        <w:jc w:val="left"/>
        <w:rPr>
          <w:rFonts w:ascii="宋体" w:hAnsi="宋体" w:cs="宋体"/>
          <w:color w:val="auto"/>
          <w:sz w:val="24"/>
          <w:highlight w:val="none"/>
        </w:rPr>
      </w:pPr>
      <w:r>
        <w:rPr>
          <w:rFonts w:hint="eastAsia" w:ascii="宋体" w:hAnsi="宋体" w:cs="宋体"/>
          <w:color w:val="auto"/>
          <w:sz w:val="24"/>
          <w:highlight w:val="none"/>
        </w:rPr>
        <w:t>（1）评标委员会对投标文件的有效性、完整性以及对招标文件的响应度进行符合性审查，确定是否对招标文件的实质性要求作出响应。实质性响应是指投标文件符合招标文件规定的实质性内容；</w:t>
      </w:r>
    </w:p>
    <w:p w14:paraId="62431BF6">
      <w:pPr>
        <w:spacing w:line="360" w:lineRule="auto"/>
        <w:ind w:left="1290" w:leftChars="500" w:hanging="240" w:hangingChars="100"/>
        <w:jc w:val="left"/>
        <w:rPr>
          <w:rFonts w:ascii="宋体" w:hAnsi="宋体" w:cs="宋体"/>
          <w:color w:val="auto"/>
          <w:sz w:val="24"/>
          <w:highlight w:val="none"/>
        </w:rPr>
      </w:pPr>
      <w:r>
        <w:rPr>
          <w:rFonts w:hint="eastAsia" w:ascii="宋体" w:hAnsi="宋体" w:cs="宋体"/>
          <w:color w:val="auto"/>
          <w:sz w:val="24"/>
          <w:highlight w:val="none"/>
        </w:rPr>
        <w:t>（2）通过符合性审查不足三家的，除采购任务取消情形外，按相关规定重新组织采购。</w:t>
      </w:r>
    </w:p>
    <w:p w14:paraId="06B351A9">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6.3.6   商务技术文件评审</w:t>
      </w:r>
    </w:p>
    <w:p w14:paraId="4623D943">
      <w:pPr>
        <w:spacing w:line="360" w:lineRule="auto"/>
        <w:ind w:left="1050" w:leftChars="500"/>
        <w:rPr>
          <w:rFonts w:ascii="宋体" w:hAnsi="宋体" w:cs="宋体"/>
          <w:color w:val="auto"/>
          <w:sz w:val="24"/>
          <w:highlight w:val="none"/>
        </w:rPr>
      </w:pPr>
      <w:r>
        <w:rPr>
          <w:rFonts w:hint="eastAsia" w:ascii="宋体" w:hAnsi="宋体" w:cs="宋体"/>
          <w:color w:val="auto"/>
          <w:sz w:val="24"/>
          <w:highlight w:val="none"/>
        </w:rPr>
        <w:t>评标委员会依据招标文件的规定，对每个投标人的商务技术文件进行评价。评审过程中，如有样品或演示环节要求的，其和商务技术文件评审同步进行，各投标人演示顺序由政采云系统自动生成。评标委员会成员根据澄清、演示、样品等情况按评标细则进行独立打分；</w:t>
      </w:r>
    </w:p>
    <w:p w14:paraId="1A99E300">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6.3.7   报价文件评审</w:t>
      </w:r>
    </w:p>
    <w:p w14:paraId="1F1CD94F">
      <w:pPr>
        <w:spacing w:line="360" w:lineRule="auto"/>
        <w:ind w:left="1185" w:leftChars="450" w:hanging="240" w:hangingChars="100"/>
        <w:rPr>
          <w:rFonts w:ascii="宋体" w:hAnsi="宋体" w:cs="宋体"/>
          <w:color w:val="auto"/>
          <w:sz w:val="24"/>
          <w:highlight w:val="none"/>
        </w:rPr>
      </w:pPr>
      <w:r>
        <w:rPr>
          <w:rFonts w:hint="eastAsia" w:ascii="宋体" w:hAnsi="宋体" w:cs="宋体"/>
          <w:color w:val="auto"/>
          <w:sz w:val="24"/>
          <w:highlight w:val="none"/>
        </w:rPr>
        <w:t>（1）评标委员会依据招标文件的规定，对各投标报价的完整性、合理性进行审查；</w:t>
      </w:r>
    </w:p>
    <w:p w14:paraId="378FC15F">
      <w:pPr>
        <w:spacing w:line="360" w:lineRule="auto"/>
        <w:ind w:left="945" w:leftChars="450"/>
        <w:rPr>
          <w:rFonts w:ascii="宋体" w:hAnsi="宋体" w:cs="宋体"/>
          <w:color w:val="auto"/>
          <w:sz w:val="24"/>
          <w:highlight w:val="none"/>
        </w:rPr>
      </w:pPr>
      <w:r>
        <w:rPr>
          <w:rFonts w:hint="eastAsia" w:ascii="宋体" w:hAnsi="宋体" w:cs="宋体"/>
          <w:color w:val="auto"/>
          <w:sz w:val="24"/>
          <w:highlight w:val="none"/>
        </w:rPr>
        <w:t>（2）报价修正；</w:t>
      </w:r>
    </w:p>
    <w:p w14:paraId="294CFDEC">
      <w:pPr>
        <w:spacing w:line="360" w:lineRule="auto"/>
        <w:ind w:left="945" w:leftChars="450"/>
        <w:rPr>
          <w:rFonts w:ascii="宋体" w:hAnsi="宋体" w:cs="宋体"/>
          <w:color w:val="auto"/>
          <w:sz w:val="24"/>
          <w:highlight w:val="none"/>
        </w:rPr>
      </w:pPr>
      <w:r>
        <w:rPr>
          <w:rFonts w:hint="eastAsia" w:ascii="宋体" w:hAnsi="宋体" w:cs="宋体"/>
          <w:color w:val="auto"/>
          <w:sz w:val="24"/>
          <w:highlight w:val="none"/>
        </w:rPr>
        <w:t>（3）政府采购政策价格扣除；</w:t>
      </w:r>
    </w:p>
    <w:p w14:paraId="278DDB3E">
      <w:pPr>
        <w:spacing w:line="360" w:lineRule="auto"/>
        <w:ind w:left="945" w:leftChars="450"/>
        <w:rPr>
          <w:rFonts w:ascii="宋体" w:hAnsi="宋体" w:cs="宋体"/>
          <w:color w:val="auto"/>
          <w:sz w:val="24"/>
          <w:highlight w:val="none"/>
        </w:rPr>
      </w:pPr>
      <w:r>
        <w:rPr>
          <w:rFonts w:hint="eastAsia" w:ascii="宋体" w:hAnsi="宋体" w:cs="宋体"/>
          <w:color w:val="auto"/>
          <w:sz w:val="24"/>
          <w:highlight w:val="none"/>
        </w:rPr>
        <w:t>（4）评标委员会根据投标人的报价和评标标准，计算各投标人的报价得分。</w:t>
      </w:r>
    </w:p>
    <w:p w14:paraId="00617CF5">
      <w:pPr>
        <w:pStyle w:val="34"/>
        <w:rPr>
          <w:rFonts w:ascii="宋体" w:eastAsia="宋体"/>
          <w:color w:val="auto"/>
          <w:highlight w:val="none"/>
        </w:rPr>
      </w:pPr>
      <w:bookmarkStart w:id="387" w:name="_Toc7273"/>
      <w:bookmarkStart w:id="388" w:name="_Toc17306"/>
      <w:bookmarkStart w:id="389" w:name="_Toc31994"/>
      <w:bookmarkStart w:id="390" w:name="_Toc4440"/>
      <w:bookmarkStart w:id="391" w:name="_Toc531359021"/>
      <w:bookmarkStart w:id="392" w:name="_Toc97213001"/>
      <w:bookmarkStart w:id="393" w:name="_Toc25557"/>
      <w:r>
        <w:rPr>
          <w:rFonts w:hint="eastAsia" w:ascii="宋体" w:eastAsia="宋体"/>
          <w:color w:val="auto"/>
          <w:highlight w:val="none"/>
        </w:rPr>
        <w:t>6.4     投标文件的澄清、说明或补正</w:t>
      </w:r>
      <w:bookmarkEnd w:id="387"/>
      <w:bookmarkEnd w:id="388"/>
      <w:bookmarkEnd w:id="389"/>
      <w:bookmarkEnd w:id="390"/>
      <w:bookmarkEnd w:id="391"/>
      <w:bookmarkEnd w:id="392"/>
      <w:bookmarkEnd w:id="393"/>
    </w:p>
    <w:p w14:paraId="575E80DA">
      <w:pPr>
        <w:spacing w:line="360" w:lineRule="auto"/>
        <w:ind w:left="1200" w:hanging="1200" w:hangingChars="500"/>
        <w:rPr>
          <w:rFonts w:ascii="宋体" w:hAnsi="宋体" w:cs="宋体"/>
          <w:color w:val="auto"/>
          <w:sz w:val="24"/>
          <w:highlight w:val="none"/>
        </w:rPr>
      </w:pPr>
      <w:r>
        <w:rPr>
          <w:rFonts w:hint="eastAsia" w:ascii="宋体" w:hAnsi="宋体" w:cs="宋体"/>
          <w:color w:val="auto"/>
          <w:sz w:val="24"/>
          <w:highlight w:val="none"/>
        </w:rPr>
        <w:t xml:space="preserve">6.4.1   </w:t>
      </w: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1 \* GB2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⑴</w:t>
      </w:r>
      <w:r>
        <w:rPr>
          <w:rFonts w:hint="eastAsia" w:ascii="宋体" w:hAnsi="宋体" w:cs="宋体"/>
          <w:color w:val="auto"/>
          <w:sz w:val="24"/>
          <w:highlight w:val="none"/>
        </w:rPr>
        <w:fldChar w:fldCharType="end"/>
      </w:r>
      <w:r>
        <w:rPr>
          <w:rFonts w:hint="eastAsia" w:ascii="宋体" w:hAnsi="宋体" w:cs="宋体"/>
          <w:color w:val="auto"/>
          <w:sz w:val="24"/>
          <w:highlight w:val="none"/>
        </w:rPr>
        <w:t>对投标文件中含义不明确、同类问题表述不一致或者有明显文字和计算错误的内容，</w:t>
      </w:r>
      <w:r>
        <w:rPr>
          <w:rFonts w:hint="eastAsia" w:ascii="宋体" w:hAnsi="宋体" w:cs="宋体"/>
          <w:b/>
          <w:color w:val="auto"/>
          <w:sz w:val="24"/>
          <w:highlight w:val="none"/>
        </w:rPr>
        <w:t>评标委员会可以通过政采云平台要求投标人作出必要的澄清、说明或者补正。电子投标文件的澄清、说明或者补正采用政采云平台交换数据电文，投标人应在规定时间内提交的澄清、说明或补正（投标人务必在线等待，留意手机短信，及时在线澄清、说明或补正）。</w:t>
      </w:r>
      <w:r>
        <w:rPr>
          <w:rFonts w:hint="eastAsia" w:ascii="宋体" w:hAnsi="宋体" w:cs="宋体"/>
          <w:color w:val="auto"/>
          <w:sz w:val="24"/>
          <w:highlight w:val="none"/>
        </w:rPr>
        <w:t>投标人的澄清、说明或者补正不得超出投标文件的范围或者改变投标文件的实质性内容；</w:t>
      </w:r>
    </w:p>
    <w:p w14:paraId="21F4C9A5">
      <w:pPr>
        <w:spacing w:line="360" w:lineRule="auto"/>
        <w:ind w:left="840" w:leftChars="400" w:firstLine="120" w:firstLineChars="50"/>
        <w:rPr>
          <w:rFonts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2 \* GB2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⑵</w:t>
      </w:r>
      <w:r>
        <w:rPr>
          <w:rFonts w:hint="eastAsia" w:ascii="宋体" w:hAnsi="宋体" w:cs="宋体"/>
          <w:color w:val="auto"/>
          <w:sz w:val="24"/>
          <w:highlight w:val="none"/>
        </w:rPr>
        <w:fldChar w:fldCharType="end"/>
      </w:r>
      <w:r>
        <w:rPr>
          <w:rFonts w:hint="eastAsia" w:ascii="宋体" w:hAnsi="宋体" w:cs="宋体"/>
          <w:color w:val="auto"/>
          <w:sz w:val="24"/>
          <w:highlight w:val="none"/>
        </w:rPr>
        <w:t xml:space="preserve">投标人的的澄清、说明或补正将作为投标文件的一部分。 </w:t>
      </w:r>
    </w:p>
    <w:p w14:paraId="5BB0E563">
      <w:pPr>
        <w:spacing w:line="360" w:lineRule="auto"/>
        <w:ind w:left="960" w:hanging="960" w:hangingChars="400"/>
        <w:rPr>
          <w:rFonts w:ascii="宋体" w:hAnsi="宋体" w:cs="宋体"/>
          <w:strike/>
          <w:color w:val="auto"/>
          <w:sz w:val="24"/>
          <w:highlight w:val="none"/>
        </w:rPr>
      </w:pPr>
      <w:r>
        <w:rPr>
          <w:rFonts w:hint="eastAsia" w:ascii="宋体" w:hAnsi="宋体" w:cs="宋体"/>
          <w:color w:val="auto"/>
          <w:sz w:val="24"/>
          <w:highlight w:val="none"/>
        </w:rPr>
        <w:t>6.4.2   评标委员会认为投标人的报价明显低于其他通过符合性审查投标人的报价，有可能影响产品质量或者不能诚信履约的，有权要求投标人在合理的时间内提供说明，必要时提交相关证明材料；投标人不能证明其报价合理性的，评标委员会应将其作为无效投标处理。</w:t>
      </w:r>
    </w:p>
    <w:p w14:paraId="48EA8DDA">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6.4.3   不接受投标人主动对投标文件的澄清、说明或者补正。</w:t>
      </w:r>
    </w:p>
    <w:p w14:paraId="3A603878">
      <w:pPr>
        <w:pStyle w:val="34"/>
        <w:rPr>
          <w:rFonts w:ascii="宋体" w:eastAsia="宋体"/>
          <w:color w:val="auto"/>
          <w:highlight w:val="none"/>
        </w:rPr>
      </w:pPr>
      <w:bookmarkStart w:id="394" w:name="_Toc9181"/>
      <w:bookmarkStart w:id="395" w:name="_Toc97213002"/>
      <w:bookmarkStart w:id="396" w:name="_Toc3715"/>
      <w:bookmarkStart w:id="397" w:name="_Toc27621"/>
      <w:bookmarkStart w:id="398" w:name="_Toc531359022"/>
      <w:bookmarkStart w:id="399" w:name="_Toc3281"/>
      <w:bookmarkStart w:id="400" w:name="_Toc1262"/>
      <w:r>
        <w:rPr>
          <w:rFonts w:hint="eastAsia" w:ascii="宋体" w:eastAsia="宋体"/>
          <w:color w:val="auto"/>
          <w:highlight w:val="none"/>
        </w:rPr>
        <w:t>6.5     报价错误修正</w:t>
      </w:r>
      <w:bookmarkEnd w:id="394"/>
      <w:bookmarkEnd w:id="395"/>
      <w:bookmarkEnd w:id="396"/>
      <w:bookmarkEnd w:id="397"/>
      <w:bookmarkEnd w:id="398"/>
      <w:bookmarkEnd w:id="399"/>
      <w:bookmarkEnd w:id="400"/>
    </w:p>
    <w:p w14:paraId="5D817FD7">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6.5.1   评标委员会对投标文件报价出现前后不一致的，按照以下规定修正：</w:t>
      </w:r>
    </w:p>
    <w:p w14:paraId="3407A295">
      <w:pPr>
        <w:spacing w:line="360" w:lineRule="auto"/>
        <w:ind w:left="1185" w:leftChars="450" w:hanging="240" w:hangingChars="1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kern w:val="0"/>
          <w:sz w:val="24"/>
          <w:highlight w:val="none"/>
        </w:rPr>
        <w:t>报价文件</w:t>
      </w:r>
      <w:r>
        <w:rPr>
          <w:rFonts w:hint="eastAsia" w:ascii="宋体" w:hAnsi="宋体" w:cs="宋体"/>
          <w:bCs/>
          <w:color w:val="auto"/>
          <w:sz w:val="24"/>
          <w:highlight w:val="none"/>
        </w:rPr>
        <w:t>中开标一览表（报价表）内容与</w:t>
      </w:r>
      <w:r>
        <w:rPr>
          <w:rFonts w:hint="eastAsia" w:ascii="宋体" w:hAnsi="宋体" w:cs="宋体"/>
          <w:color w:val="auto"/>
          <w:kern w:val="0"/>
          <w:sz w:val="24"/>
          <w:highlight w:val="none"/>
        </w:rPr>
        <w:t>报价</w:t>
      </w:r>
      <w:r>
        <w:rPr>
          <w:rFonts w:hint="eastAsia" w:ascii="宋体" w:hAnsi="宋体" w:cs="宋体"/>
          <w:bCs/>
          <w:color w:val="auto"/>
          <w:sz w:val="24"/>
          <w:highlight w:val="none"/>
        </w:rPr>
        <w:t>明细表相应内容不一致的，以开标一览表（报价表）为准（政采云系统开启报价若与报价文件不一致以报价文件为准）；</w:t>
      </w:r>
    </w:p>
    <w:p w14:paraId="5ACCC72B">
      <w:pPr>
        <w:spacing w:line="360" w:lineRule="auto"/>
        <w:ind w:left="1185" w:leftChars="450" w:hanging="240" w:hangingChars="1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报价文件的大写金额和小写金额不一致的，以大写金额为准；</w:t>
      </w:r>
    </w:p>
    <w:p w14:paraId="7DE1501D">
      <w:pPr>
        <w:spacing w:line="360" w:lineRule="auto"/>
        <w:ind w:left="1185" w:leftChars="450" w:hanging="240" w:hangingChars="100"/>
        <w:rPr>
          <w:rFonts w:ascii="宋体" w:hAnsi="宋体" w:cs="宋体"/>
          <w:bCs/>
          <w:color w:val="auto"/>
          <w:sz w:val="24"/>
          <w:highlight w:val="none"/>
        </w:rPr>
      </w:pPr>
      <w:r>
        <w:rPr>
          <w:rFonts w:hint="eastAsia" w:ascii="宋体" w:hAnsi="宋体" w:cs="宋体"/>
          <w:bCs/>
          <w:color w:val="auto"/>
          <w:sz w:val="24"/>
          <w:highlight w:val="none"/>
        </w:rPr>
        <w:t>（3）单价金额小数点或者百分比有明显错位的，以开标一览表（报价表）的总价为准，并修改单价；</w:t>
      </w:r>
    </w:p>
    <w:p w14:paraId="340944BE">
      <w:pPr>
        <w:spacing w:line="360" w:lineRule="auto"/>
        <w:ind w:left="1185" w:leftChars="450" w:hanging="240" w:hangingChars="100"/>
        <w:rPr>
          <w:rFonts w:ascii="宋体" w:hAnsi="宋体" w:cs="宋体"/>
          <w:bCs/>
          <w:color w:val="auto"/>
          <w:sz w:val="24"/>
          <w:highlight w:val="none"/>
        </w:rPr>
      </w:pPr>
      <w:r>
        <w:rPr>
          <w:rFonts w:hint="eastAsia" w:ascii="宋体" w:hAnsi="宋体" w:cs="宋体"/>
          <w:bCs/>
          <w:color w:val="auto"/>
          <w:sz w:val="24"/>
          <w:highlight w:val="none"/>
        </w:rPr>
        <w:t>（4）总价金额与按单价汇总金额不一致的，以单价金额计算结果为准；</w:t>
      </w:r>
    </w:p>
    <w:p w14:paraId="04A88C86">
      <w:pPr>
        <w:spacing w:line="360" w:lineRule="auto"/>
        <w:ind w:left="840" w:leftChars="400" w:firstLine="120" w:firstLineChars="50"/>
        <w:rPr>
          <w:rFonts w:ascii="宋体" w:hAnsi="宋体" w:cs="宋体"/>
          <w:bCs/>
          <w:color w:val="auto"/>
          <w:sz w:val="24"/>
          <w:highlight w:val="none"/>
        </w:rPr>
      </w:pPr>
      <w:r>
        <w:rPr>
          <w:rFonts w:hint="eastAsia" w:ascii="宋体" w:hAnsi="宋体" w:cs="宋体"/>
          <w:bCs/>
          <w:color w:val="auto"/>
          <w:sz w:val="24"/>
          <w:highlight w:val="none"/>
        </w:rPr>
        <w:t>（5）同时出现两种以上不一致的，按上述顺序修正；</w:t>
      </w:r>
    </w:p>
    <w:p w14:paraId="5A571F93">
      <w:pPr>
        <w:spacing w:line="360" w:lineRule="auto"/>
        <w:ind w:left="1185" w:leftChars="450" w:hanging="240" w:hangingChars="100"/>
        <w:rPr>
          <w:rFonts w:ascii="宋体" w:hAnsi="宋体" w:cs="宋体"/>
          <w:color w:val="auto"/>
          <w:sz w:val="24"/>
          <w:highlight w:val="none"/>
        </w:rPr>
      </w:pPr>
      <w:r>
        <w:rPr>
          <w:rFonts w:hint="eastAsia" w:ascii="宋体" w:hAnsi="宋体" w:cs="宋体"/>
          <w:bCs/>
          <w:color w:val="auto"/>
          <w:sz w:val="24"/>
          <w:highlight w:val="none"/>
        </w:rPr>
        <w:t>（6）</w:t>
      </w:r>
      <w:r>
        <w:rPr>
          <w:rFonts w:hint="eastAsia" w:ascii="宋体" w:hAnsi="宋体" w:cs="宋体"/>
          <w:color w:val="auto"/>
          <w:sz w:val="24"/>
          <w:highlight w:val="none"/>
        </w:rPr>
        <w:t>修正错误后的投标报价，经投标人确认后产生约束力。如投标人不接受修正后的投标报价，则其投标无效。</w:t>
      </w:r>
    </w:p>
    <w:p w14:paraId="1D859CD8">
      <w:pPr>
        <w:pStyle w:val="34"/>
        <w:rPr>
          <w:rFonts w:ascii="宋体" w:eastAsia="宋体"/>
          <w:color w:val="auto"/>
          <w:highlight w:val="none"/>
        </w:rPr>
      </w:pPr>
      <w:bookmarkStart w:id="401" w:name="_Toc14955"/>
      <w:bookmarkStart w:id="402" w:name="_Toc531359024"/>
      <w:bookmarkStart w:id="403" w:name="_Toc29978"/>
      <w:bookmarkStart w:id="404" w:name="_Toc31299"/>
      <w:bookmarkStart w:id="405" w:name="_Toc23987"/>
      <w:bookmarkStart w:id="406" w:name="_Toc97213003"/>
      <w:bookmarkStart w:id="407" w:name="_Toc19106"/>
      <w:r>
        <w:rPr>
          <w:rFonts w:hint="eastAsia" w:ascii="宋体" w:eastAsia="宋体"/>
          <w:color w:val="auto"/>
          <w:highlight w:val="none"/>
        </w:rPr>
        <w:t>6.6     评标报告</w:t>
      </w:r>
      <w:bookmarkEnd w:id="401"/>
      <w:bookmarkEnd w:id="402"/>
      <w:bookmarkEnd w:id="403"/>
      <w:bookmarkEnd w:id="404"/>
      <w:bookmarkEnd w:id="405"/>
      <w:bookmarkEnd w:id="406"/>
      <w:bookmarkEnd w:id="407"/>
    </w:p>
    <w:p w14:paraId="36A41503">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6.6.1   评标结果汇总，同品牌投标人的确定，投标人结果排序。</w:t>
      </w:r>
    </w:p>
    <w:p w14:paraId="55105A1F">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6.6.2   评标委员会根据全体评标成员签字的原始评标记录和评标结果编写评标报告，并推荐中标候选人。</w:t>
      </w:r>
    </w:p>
    <w:p w14:paraId="301D8399">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6.6.3   评标报告由评标委员会成员签字确认生效，持不同意见的评标委员会成员应在评标报告上签署不同意见及理由，否则视为同意评标报告。</w:t>
      </w:r>
    </w:p>
    <w:p w14:paraId="5C87176D">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6.6.4   评标结束后，采购代理机构通过中标公告的形式宣布评标结果。</w:t>
      </w:r>
    </w:p>
    <w:p w14:paraId="28FCB74B">
      <w:pPr>
        <w:pStyle w:val="23"/>
        <w:spacing w:beforeLines="100" w:after="240" w:afterLines="100"/>
        <w:jc w:val="left"/>
        <w:outlineLvl w:val="1"/>
        <w:rPr>
          <w:rFonts w:ascii="宋体" w:hAnsi="宋体" w:cs="宋体"/>
          <w:color w:val="auto"/>
          <w:sz w:val="30"/>
          <w:szCs w:val="30"/>
          <w:highlight w:val="none"/>
        </w:rPr>
      </w:pPr>
      <w:bookmarkStart w:id="408" w:name="_Toc97213004"/>
      <w:bookmarkStart w:id="409" w:name="_Toc531359025"/>
      <w:bookmarkStart w:id="410" w:name="_Toc31104"/>
      <w:bookmarkStart w:id="411" w:name="_Toc20785"/>
      <w:bookmarkStart w:id="412" w:name="_Toc5574"/>
      <w:bookmarkStart w:id="413" w:name="_Toc523398512"/>
      <w:bookmarkStart w:id="414" w:name="_Toc8796"/>
      <w:bookmarkStart w:id="415" w:name="_Toc7874"/>
      <w:r>
        <w:rPr>
          <w:rFonts w:hint="eastAsia" w:ascii="宋体" w:hAnsi="宋体" w:cs="宋体"/>
          <w:color w:val="auto"/>
          <w:sz w:val="30"/>
          <w:szCs w:val="30"/>
          <w:highlight w:val="none"/>
        </w:rPr>
        <w:t xml:space="preserve">七    </w:t>
      </w:r>
      <w:r>
        <w:rPr>
          <w:rFonts w:hint="eastAsia" w:ascii="宋体" w:hAnsi="宋体" w:cs="宋体"/>
          <w:color w:val="auto"/>
          <w:sz w:val="24"/>
          <w:szCs w:val="24"/>
          <w:highlight w:val="none"/>
        </w:rPr>
        <w:t>▲</w:t>
      </w:r>
      <w:r>
        <w:rPr>
          <w:rFonts w:hint="eastAsia" w:ascii="宋体" w:hAnsi="宋体" w:cs="宋体"/>
          <w:color w:val="auto"/>
          <w:sz w:val="30"/>
          <w:szCs w:val="30"/>
          <w:highlight w:val="none"/>
        </w:rPr>
        <w:t>投标无效的情形</w:t>
      </w:r>
      <w:bookmarkEnd w:id="408"/>
      <w:bookmarkEnd w:id="409"/>
      <w:bookmarkEnd w:id="410"/>
      <w:bookmarkEnd w:id="411"/>
      <w:bookmarkEnd w:id="412"/>
      <w:bookmarkEnd w:id="413"/>
      <w:bookmarkEnd w:id="414"/>
      <w:bookmarkEnd w:id="415"/>
    </w:p>
    <w:p w14:paraId="3656733F">
      <w:pPr>
        <w:spacing w:line="360" w:lineRule="auto"/>
        <w:ind w:left="964" w:hanging="964" w:hangingChars="400"/>
        <w:rPr>
          <w:rFonts w:ascii="宋体" w:hAnsi="宋体" w:cs="宋体"/>
          <w:b/>
          <w:bCs/>
          <w:color w:val="auto"/>
          <w:sz w:val="24"/>
          <w:highlight w:val="none"/>
        </w:rPr>
      </w:pPr>
      <w:bookmarkStart w:id="416" w:name="_Toc30756"/>
      <w:bookmarkStart w:id="417" w:name="_Toc97213005"/>
      <w:bookmarkStart w:id="418" w:name="_Toc25835"/>
      <w:bookmarkStart w:id="419" w:name="_Toc12129"/>
      <w:bookmarkStart w:id="420" w:name="_Toc19293"/>
      <w:r>
        <w:rPr>
          <w:rFonts w:hint="eastAsia" w:ascii="宋体" w:hAnsi="宋体" w:cs="宋体"/>
          <w:b/>
          <w:bCs/>
          <w:color w:val="auto"/>
          <w:sz w:val="24"/>
          <w:highlight w:val="none"/>
        </w:rPr>
        <w:t>7.1     如有以下情形之一的，其投标无效</w:t>
      </w:r>
      <w:bookmarkEnd w:id="416"/>
      <w:bookmarkEnd w:id="417"/>
      <w:bookmarkEnd w:id="418"/>
      <w:bookmarkEnd w:id="419"/>
      <w:r>
        <w:rPr>
          <w:rFonts w:hint="eastAsia" w:ascii="宋体" w:hAnsi="宋体" w:cs="宋体"/>
          <w:b/>
          <w:bCs/>
          <w:color w:val="auto"/>
          <w:sz w:val="24"/>
          <w:highlight w:val="none"/>
        </w:rPr>
        <w:t>：</w:t>
      </w:r>
      <w:bookmarkEnd w:id="420"/>
    </w:p>
    <w:p w14:paraId="5F16AA5F">
      <w:pPr>
        <w:spacing w:line="360" w:lineRule="auto"/>
        <w:ind w:left="636" w:leftChars="303" w:firstLine="196" w:firstLineChars="82"/>
        <w:rPr>
          <w:rFonts w:ascii="宋体" w:hAnsi="宋体" w:cs="宋体"/>
          <w:color w:val="auto"/>
          <w:sz w:val="24"/>
          <w:highlight w:val="none"/>
        </w:rPr>
      </w:pPr>
      <w:bookmarkStart w:id="421" w:name="_Toc515526193"/>
      <w:bookmarkStart w:id="422" w:name="_Toc303756400"/>
      <w:bookmarkStart w:id="423" w:name="_Toc25520"/>
      <w:bookmarkStart w:id="424" w:name="_Toc97213011"/>
      <w:bookmarkStart w:id="425" w:name="_Toc4288"/>
      <w:bookmarkStart w:id="426" w:name="_Toc26534"/>
      <w:bookmarkStart w:id="427" w:name="_Toc301187772"/>
      <w:bookmarkStart w:id="428" w:name="_Toc359934597"/>
      <w:bookmarkStart w:id="429" w:name="_Toc17667"/>
      <w:bookmarkStart w:id="430" w:name="_Toc531359026"/>
      <w:r>
        <w:rPr>
          <w:rFonts w:hint="eastAsia" w:ascii="宋体" w:hAnsi="宋体" w:cs="宋体"/>
          <w:color w:val="auto"/>
          <w:sz w:val="24"/>
          <w:highlight w:val="none"/>
        </w:rPr>
        <w:t>（1）投标人仅提交备份投标文件，未在电子交易平台传输递交投标文件的，投标无效；</w:t>
      </w:r>
    </w:p>
    <w:p w14:paraId="04C9976A">
      <w:pPr>
        <w:spacing w:line="360" w:lineRule="auto"/>
        <w:ind w:left="636" w:leftChars="303" w:firstLine="196" w:firstLineChars="82"/>
        <w:rPr>
          <w:rFonts w:ascii="宋体" w:hAnsi="宋体" w:cs="宋体"/>
          <w:color w:val="auto"/>
          <w:sz w:val="24"/>
          <w:highlight w:val="none"/>
        </w:rPr>
      </w:pPr>
      <w:r>
        <w:rPr>
          <w:rFonts w:hint="eastAsia" w:ascii="宋体" w:hAnsi="宋体" w:cs="宋体"/>
          <w:color w:val="auto"/>
          <w:sz w:val="24"/>
          <w:highlight w:val="none"/>
        </w:rPr>
        <w:t>（2）投标人（含联合体成员、分包承接主体）不具备招标文件中规定的资格要求的（投标人未提供有效的资格文件的，视为投标人不具备招标文件中规定的资格要求）；</w:t>
      </w:r>
    </w:p>
    <w:p w14:paraId="520518ED">
      <w:pPr>
        <w:spacing w:line="360" w:lineRule="auto"/>
        <w:ind w:left="636" w:leftChars="303" w:firstLine="196" w:firstLineChars="82"/>
        <w:rPr>
          <w:rFonts w:ascii="宋体" w:hAnsi="宋体" w:cs="宋体"/>
          <w:color w:val="auto"/>
          <w:sz w:val="24"/>
          <w:highlight w:val="none"/>
        </w:rPr>
      </w:pPr>
      <w:r>
        <w:rPr>
          <w:rFonts w:hint="eastAsia" w:ascii="宋体" w:hAnsi="宋体" w:cs="宋体"/>
          <w:color w:val="auto"/>
          <w:sz w:val="24"/>
          <w:highlight w:val="none"/>
        </w:rPr>
        <w:t>（3）投标文件未按照招标文件要求签署、盖章的；</w:t>
      </w:r>
    </w:p>
    <w:p w14:paraId="13E39456">
      <w:pPr>
        <w:spacing w:line="360" w:lineRule="auto"/>
        <w:ind w:left="636" w:leftChars="303" w:firstLine="196" w:firstLineChars="82"/>
        <w:rPr>
          <w:rFonts w:ascii="宋体" w:hAnsi="宋体" w:cs="宋体"/>
          <w:color w:val="auto"/>
          <w:sz w:val="24"/>
          <w:highlight w:val="none"/>
        </w:rPr>
      </w:pPr>
      <w:r>
        <w:rPr>
          <w:rFonts w:hint="eastAsia" w:ascii="宋体" w:hAnsi="宋体" w:cs="宋体"/>
          <w:color w:val="auto"/>
          <w:sz w:val="24"/>
          <w:highlight w:val="none"/>
        </w:rPr>
        <w:t>（4）采购人拟采购的产品属于政府强制采购的节能产品品目清单范围的，投标人相应的投标产品未获得国家确定的认证机构出具的、处于有效期之内的节能产品认证证书的；</w:t>
      </w:r>
    </w:p>
    <w:p w14:paraId="2E6A082C">
      <w:pPr>
        <w:spacing w:line="360" w:lineRule="auto"/>
        <w:ind w:left="636" w:leftChars="303" w:firstLine="196" w:firstLineChars="82"/>
        <w:rPr>
          <w:rFonts w:ascii="宋体" w:hAnsi="宋体" w:cs="宋体"/>
          <w:color w:val="auto"/>
          <w:sz w:val="24"/>
          <w:highlight w:val="none"/>
        </w:rPr>
      </w:pPr>
      <w:r>
        <w:rPr>
          <w:rFonts w:hint="eastAsia" w:ascii="宋体" w:hAnsi="宋体" w:cs="宋体"/>
          <w:color w:val="auto"/>
          <w:sz w:val="24"/>
          <w:highlight w:val="none"/>
        </w:rPr>
        <w:t>（5）投标文件含有采购人不能接受的附加条件的；</w:t>
      </w:r>
    </w:p>
    <w:p w14:paraId="73B0C927">
      <w:pPr>
        <w:spacing w:line="360" w:lineRule="auto"/>
        <w:ind w:left="636" w:leftChars="303" w:firstLine="196" w:firstLineChars="82"/>
        <w:rPr>
          <w:rFonts w:ascii="宋体" w:hAnsi="宋体" w:cs="宋体"/>
          <w:color w:val="auto"/>
          <w:sz w:val="24"/>
          <w:highlight w:val="none"/>
        </w:rPr>
      </w:pPr>
      <w:r>
        <w:rPr>
          <w:rFonts w:hint="eastAsia" w:ascii="宋体" w:hAnsi="宋体" w:cs="宋体"/>
          <w:color w:val="auto"/>
          <w:sz w:val="24"/>
          <w:highlight w:val="none"/>
        </w:rPr>
        <w:t>（6）投标文件中承诺的投标有效期少于招标文件中载明的投标有效期的；</w:t>
      </w:r>
    </w:p>
    <w:p w14:paraId="274732BE">
      <w:pPr>
        <w:spacing w:line="360" w:lineRule="auto"/>
        <w:ind w:left="636" w:leftChars="303" w:firstLine="196" w:firstLineChars="82"/>
        <w:rPr>
          <w:rFonts w:ascii="宋体" w:hAnsi="宋体" w:cs="宋体"/>
          <w:color w:val="auto"/>
          <w:sz w:val="24"/>
          <w:highlight w:val="none"/>
        </w:rPr>
      </w:pPr>
      <w:r>
        <w:rPr>
          <w:rFonts w:hint="eastAsia" w:ascii="宋体" w:hAnsi="宋体" w:cs="宋体"/>
          <w:color w:val="auto"/>
          <w:sz w:val="24"/>
          <w:highlight w:val="none"/>
        </w:rPr>
        <w:t>（7）投标文件出现不是唯一的、有选择性投标报价或投标方案，且未声明哪一份有效的;</w:t>
      </w:r>
    </w:p>
    <w:p w14:paraId="5C730284">
      <w:pPr>
        <w:spacing w:line="360" w:lineRule="auto"/>
        <w:ind w:left="636" w:leftChars="303" w:firstLine="196" w:firstLineChars="82"/>
        <w:rPr>
          <w:rFonts w:ascii="宋体" w:hAnsi="宋体" w:cs="宋体"/>
          <w:color w:val="auto"/>
          <w:sz w:val="24"/>
          <w:highlight w:val="none"/>
        </w:rPr>
      </w:pPr>
      <w:r>
        <w:rPr>
          <w:rFonts w:hint="eastAsia" w:ascii="宋体" w:hAnsi="宋体" w:cs="宋体"/>
          <w:color w:val="auto"/>
          <w:sz w:val="24"/>
          <w:highlight w:val="none"/>
        </w:rPr>
        <w:t>（8）投标报价超过招标文件中规定的预算金额或者最高限价的;</w:t>
      </w:r>
    </w:p>
    <w:p w14:paraId="396BE9A8">
      <w:pPr>
        <w:spacing w:line="360" w:lineRule="auto"/>
        <w:ind w:left="636" w:leftChars="303" w:firstLine="196" w:firstLineChars="82"/>
        <w:rPr>
          <w:rFonts w:ascii="宋体" w:hAnsi="宋体" w:cs="宋体"/>
          <w:color w:val="auto"/>
          <w:sz w:val="24"/>
          <w:highlight w:val="none"/>
        </w:rPr>
      </w:pPr>
      <w:r>
        <w:rPr>
          <w:rFonts w:hint="eastAsia" w:ascii="宋体" w:hAnsi="宋体" w:cs="宋体"/>
          <w:color w:val="auto"/>
          <w:sz w:val="24"/>
          <w:highlight w:val="none"/>
        </w:rPr>
        <w:t>（9）报价明显低于其他通过符合性审查投标人的报价，有可能影响产品质量或者不能诚信履约的，未能按要求提供书面说明或者提交相关证明材料，不能证明其报价合理性的;</w:t>
      </w:r>
    </w:p>
    <w:p w14:paraId="3F9CD222">
      <w:pPr>
        <w:spacing w:line="360" w:lineRule="auto"/>
        <w:ind w:left="636" w:leftChars="303" w:firstLine="196" w:firstLineChars="82"/>
        <w:rPr>
          <w:rFonts w:hint="eastAsia" w:ascii="宋体" w:hAnsi="宋体" w:cs="宋体"/>
          <w:color w:val="auto"/>
          <w:sz w:val="24"/>
          <w:highlight w:val="none"/>
        </w:rPr>
      </w:pPr>
      <w:r>
        <w:rPr>
          <w:rFonts w:hint="eastAsia" w:ascii="宋体" w:hAnsi="宋体" w:cs="宋体"/>
          <w:color w:val="auto"/>
          <w:sz w:val="24"/>
          <w:highlight w:val="none"/>
        </w:rPr>
        <w:t>（10）投标人对根据修正原则修正后的报价不确认的；</w:t>
      </w:r>
    </w:p>
    <w:p w14:paraId="16D04A6F">
      <w:pPr>
        <w:spacing w:line="360" w:lineRule="auto"/>
        <w:ind w:left="636" w:leftChars="303" w:firstLine="196" w:firstLineChars="82"/>
        <w:rPr>
          <w:rFonts w:hint="eastAsia" w:ascii="宋体" w:hAnsi="宋体" w:cs="宋体"/>
          <w:color w:val="auto"/>
          <w:sz w:val="24"/>
          <w:highlight w:val="none"/>
        </w:rPr>
      </w:pPr>
      <w:r>
        <w:rPr>
          <w:rFonts w:hint="eastAsia" w:ascii="宋体" w:hAnsi="宋体" w:cs="宋体"/>
          <w:color w:val="auto"/>
          <w:sz w:val="24"/>
          <w:highlight w:val="none"/>
        </w:rPr>
        <w:t>（11）评标委员会评定有非实质性条款负偏离超过招标文件规定项数的，项数要求见投标人须知前附表（一）；</w:t>
      </w:r>
    </w:p>
    <w:p w14:paraId="565750F3">
      <w:pPr>
        <w:spacing w:line="360" w:lineRule="auto"/>
        <w:ind w:left="636" w:leftChars="303" w:firstLine="196" w:firstLineChars="82"/>
        <w:rPr>
          <w:rFonts w:hint="eastAsia" w:ascii="宋体" w:hAnsi="宋体" w:cs="宋体"/>
          <w:color w:val="auto"/>
          <w:sz w:val="24"/>
          <w:highlight w:val="none"/>
        </w:rPr>
      </w:pPr>
      <w:r>
        <w:rPr>
          <w:rFonts w:hint="eastAsia" w:ascii="宋体" w:hAnsi="宋体" w:cs="宋体"/>
          <w:color w:val="auto"/>
          <w:sz w:val="24"/>
          <w:highlight w:val="none"/>
        </w:rPr>
        <w:t>（12）投标人提供虚假材料投标的；</w:t>
      </w:r>
    </w:p>
    <w:p w14:paraId="3F107A24">
      <w:pPr>
        <w:spacing w:line="360" w:lineRule="auto"/>
        <w:ind w:left="636" w:leftChars="303" w:firstLine="196" w:firstLineChars="82"/>
        <w:rPr>
          <w:rFonts w:hint="eastAsia" w:ascii="宋体" w:hAnsi="宋体" w:cs="宋体"/>
          <w:color w:val="auto"/>
          <w:sz w:val="24"/>
          <w:highlight w:val="none"/>
        </w:rPr>
      </w:pPr>
      <w:r>
        <w:rPr>
          <w:rFonts w:hint="eastAsia" w:ascii="宋体" w:hAnsi="宋体" w:cs="宋体"/>
          <w:color w:val="auto"/>
          <w:sz w:val="24"/>
          <w:highlight w:val="none"/>
        </w:rPr>
        <w:t>（13）投标人有恶意串通、妨碍其他投标人的竞争行为、损害采购人或者其他投标人的合法权益情形的；</w:t>
      </w:r>
    </w:p>
    <w:p w14:paraId="7F0086FB">
      <w:pPr>
        <w:spacing w:line="360" w:lineRule="auto"/>
        <w:ind w:left="636" w:leftChars="303" w:firstLine="196" w:firstLineChars="82"/>
        <w:rPr>
          <w:rFonts w:hint="eastAsia" w:ascii="宋体" w:hAnsi="宋体" w:cs="宋体"/>
          <w:color w:val="auto"/>
          <w:sz w:val="24"/>
          <w:highlight w:val="none"/>
        </w:rPr>
      </w:pPr>
      <w:r>
        <w:rPr>
          <w:rFonts w:hint="eastAsia" w:ascii="宋体" w:hAnsi="宋体" w:cs="宋体"/>
          <w:color w:val="auto"/>
          <w:sz w:val="24"/>
          <w:highlight w:val="none"/>
        </w:rPr>
        <w:t>（14） 投标文件不满足招标文件的其它实质性要求的；</w:t>
      </w:r>
    </w:p>
    <w:p w14:paraId="0E1CE0A3">
      <w:pPr>
        <w:spacing w:line="360" w:lineRule="auto"/>
        <w:ind w:left="636" w:leftChars="303" w:firstLine="196" w:firstLineChars="82"/>
        <w:rPr>
          <w:rFonts w:hint="eastAsia" w:ascii="宋体" w:hAnsi="宋体" w:eastAsia="宋体" w:cs="宋体"/>
          <w:color w:val="auto"/>
          <w:sz w:val="24"/>
          <w:highlight w:val="none"/>
          <w:lang w:eastAsia="zh-CN"/>
        </w:rPr>
      </w:pPr>
      <w:r>
        <w:rPr>
          <w:rFonts w:hint="eastAsia" w:ascii="宋体" w:hAnsi="宋体" w:cs="宋体"/>
          <w:color w:val="auto"/>
          <w:sz w:val="24"/>
          <w:highlight w:val="none"/>
        </w:rPr>
        <w:t>（15）法律、法规、规章、规范性文件及招标文件等规定的其他无效情形</w:t>
      </w:r>
      <w:r>
        <w:rPr>
          <w:rFonts w:hint="eastAsia" w:ascii="宋体" w:hAnsi="宋体" w:cs="宋体"/>
          <w:color w:val="auto"/>
          <w:sz w:val="24"/>
          <w:highlight w:val="none"/>
          <w:lang w:eastAsia="zh-CN"/>
        </w:rPr>
        <w:t>；</w:t>
      </w:r>
    </w:p>
    <w:p w14:paraId="6A1B17B1">
      <w:pPr>
        <w:spacing w:line="360" w:lineRule="auto"/>
        <w:ind w:left="636" w:leftChars="303" w:firstLine="196" w:firstLineChars="82"/>
        <w:rPr>
          <w:rFonts w:hint="eastAsia" w:ascii="宋体" w:hAnsi="宋体" w:cs="宋体"/>
          <w:color w:val="auto"/>
          <w:sz w:val="24"/>
          <w:highlight w:val="none"/>
        </w:rPr>
      </w:pPr>
      <w:bookmarkStart w:id="431" w:name="OLE_LINK31"/>
      <w:r>
        <w:rPr>
          <w:rFonts w:hint="eastAsia" w:ascii="宋体" w:hAnsi="宋体" w:cs="宋体"/>
          <w:color w:val="auto"/>
          <w:sz w:val="24"/>
          <w:highlight w:val="none"/>
        </w:rPr>
        <w:t>（</w:t>
      </w:r>
      <w:r>
        <w:rPr>
          <w:rFonts w:hint="eastAsia" w:ascii="宋体" w:hAnsi="宋体" w:cs="宋体"/>
          <w:color w:val="auto"/>
          <w:sz w:val="24"/>
          <w:highlight w:val="none"/>
          <w:lang w:val="en-US" w:eastAsia="zh-CN"/>
        </w:rPr>
        <w:t>16</w:t>
      </w:r>
      <w:r>
        <w:rPr>
          <w:rFonts w:hint="eastAsia" w:ascii="宋体" w:hAnsi="宋体" w:cs="宋体"/>
          <w:color w:val="auto"/>
          <w:sz w:val="24"/>
          <w:highlight w:val="none"/>
        </w:rPr>
        <w:t>）不同</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IP地址相同的，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未作合理说明，或理由不充分的，作无效响应处理；</w:t>
      </w:r>
    </w:p>
    <w:p w14:paraId="49FE1612">
      <w:pPr>
        <w:spacing w:line="360" w:lineRule="auto"/>
        <w:ind w:left="636" w:leftChars="303" w:firstLine="196" w:firstLineChars="82"/>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）不同</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MAC、设备硬件信息相同的，作无效响应处理，经核实存在串围标情形的，由财政部门按规定处理；</w:t>
      </w:r>
    </w:p>
    <w:p w14:paraId="090769F3">
      <w:pPr>
        <w:spacing w:line="360" w:lineRule="auto"/>
        <w:ind w:left="636" w:leftChars="303" w:firstLine="196" w:firstLineChars="82"/>
        <w:rPr>
          <w:rFonts w:hint="eastAsia" w:ascii="宋体" w:hAnsi="宋体" w:cs="宋体"/>
          <w:color w:val="auto"/>
          <w:sz w:val="24"/>
          <w:highlight w:val="none"/>
          <w:lang w:eastAsia="zh"/>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18</w:t>
      </w:r>
      <w:r>
        <w:rPr>
          <w:rFonts w:hint="eastAsia" w:ascii="宋体" w:hAnsi="宋体" w:cs="宋体"/>
          <w:color w:val="auto"/>
          <w:sz w:val="24"/>
          <w:highlight w:val="none"/>
        </w:rPr>
        <w:t>）不同</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的投标（响应）文件的内容存在</w:t>
      </w:r>
      <w:r>
        <w:rPr>
          <w:rFonts w:hint="eastAsia" w:ascii="宋体" w:hAnsi="宋体" w:cs="宋体"/>
          <w:color w:val="auto"/>
          <w:sz w:val="24"/>
          <w:highlight w:val="none"/>
          <w:lang w:eastAsia="zh"/>
        </w:rPr>
        <w:t>3</w:t>
      </w:r>
      <w:r>
        <w:rPr>
          <w:rFonts w:hint="eastAsia" w:ascii="宋体" w:hAnsi="宋体" w:cs="宋体"/>
          <w:color w:val="auto"/>
          <w:sz w:val="24"/>
          <w:highlight w:val="none"/>
        </w:rPr>
        <w:t>处（含）以上错误一致的，且无法提供合理解释的；</w:t>
      </w:r>
    </w:p>
    <w:p w14:paraId="0230E875">
      <w:pPr>
        <w:spacing w:line="360" w:lineRule="auto"/>
        <w:ind w:left="636" w:leftChars="303" w:firstLine="196" w:firstLineChars="82"/>
        <w:rPr>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19</w:t>
      </w:r>
      <w:r>
        <w:rPr>
          <w:rFonts w:hint="eastAsia" w:ascii="宋体" w:hAnsi="宋体" w:cs="宋体"/>
          <w:color w:val="auto"/>
          <w:sz w:val="24"/>
          <w:highlight w:val="none"/>
        </w:rPr>
        <w:t>）不同</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联系人为同一人或不同联系人的联系电话一致的，且无法提供合理解释的</w:t>
      </w:r>
      <w:r>
        <w:rPr>
          <w:rFonts w:hint="eastAsia" w:ascii="宋体" w:hAnsi="宋体" w:cs="宋体"/>
          <w:color w:val="auto"/>
          <w:sz w:val="24"/>
          <w:highlight w:val="none"/>
          <w:lang w:eastAsia="zh-CN"/>
        </w:rPr>
        <w:t>。</w:t>
      </w:r>
      <w:bookmarkEnd w:id="431"/>
    </w:p>
    <w:p w14:paraId="5CC1ECF1">
      <w:pPr>
        <w:pStyle w:val="23"/>
        <w:spacing w:beforeLines="100" w:after="240" w:afterLines="100"/>
        <w:jc w:val="left"/>
        <w:outlineLvl w:val="1"/>
        <w:rPr>
          <w:rFonts w:ascii="宋体" w:hAnsi="宋体" w:cs="宋体"/>
          <w:color w:val="auto"/>
          <w:sz w:val="30"/>
          <w:szCs w:val="30"/>
          <w:highlight w:val="none"/>
        </w:rPr>
      </w:pPr>
      <w:bookmarkStart w:id="432" w:name="_Toc16376"/>
      <w:r>
        <w:rPr>
          <w:rFonts w:hint="eastAsia" w:ascii="宋体" w:hAnsi="宋体" w:cs="宋体"/>
          <w:color w:val="auto"/>
          <w:sz w:val="30"/>
          <w:szCs w:val="30"/>
          <w:highlight w:val="none"/>
        </w:rPr>
        <w:t>八    中标和合同</w:t>
      </w:r>
      <w:bookmarkEnd w:id="421"/>
      <w:bookmarkEnd w:id="422"/>
      <w:bookmarkEnd w:id="423"/>
      <w:bookmarkEnd w:id="424"/>
      <w:bookmarkEnd w:id="425"/>
      <w:bookmarkEnd w:id="426"/>
      <w:bookmarkEnd w:id="427"/>
      <w:bookmarkEnd w:id="428"/>
      <w:bookmarkEnd w:id="429"/>
      <w:bookmarkEnd w:id="430"/>
      <w:bookmarkEnd w:id="432"/>
    </w:p>
    <w:p w14:paraId="24449896">
      <w:pPr>
        <w:pStyle w:val="34"/>
        <w:rPr>
          <w:rFonts w:ascii="宋体" w:eastAsia="宋体"/>
          <w:color w:val="auto"/>
          <w:highlight w:val="none"/>
        </w:rPr>
      </w:pPr>
      <w:bookmarkStart w:id="433" w:name="_Toc303756402"/>
      <w:bookmarkStart w:id="434" w:name="_Toc359934599"/>
      <w:bookmarkStart w:id="435" w:name="_Toc301187776"/>
      <w:bookmarkStart w:id="436" w:name="_Toc19508"/>
      <w:bookmarkStart w:id="437" w:name="_Toc10097"/>
      <w:bookmarkStart w:id="438" w:name="_Toc515526194"/>
      <w:bookmarkStart w:id="439" w:name="_Toc97213012"/>
      <w:bookmarkStart w:id="440" w:name="_Toc23947"/>
      <w:bookmarkStart w:id="441" w:name="_Toc19603"/>
      <w:bookmarkStart w:id="442" w:name="_Toc20745"/>
      <w:bookmarkStart w:id="443" w:name="_Toc531359027"/>
      <w:r>
        <w:rPr>
          <w:rFonts w:hint="eastAsia" w:ascii="宋体" w:eastAsia="宋体"/>
          <w:color w:val="auto"/>
          <w:highlight w:val="none"/>
        </w:rPr>
        <w:t>8.1</w:t>
      </w:r>
      <w:bookmarkEnd w:id="433"/>
      <w:bookmarkEnd w:id="434"/>
      <w:bookmarkEnd w:id="435"/>
      <w:r>
        <w:rPr>
          <w:rFonts w:hint="eastAsia" w:ascii="宋体" w:eastAsia="宋体"/>
          <w:color w:val="auto"/>
          <w:highlight w:val="none"/>
        </w:rPr>
        <w:t xml:space="preserve">     中标</w:t>
      </w:r>
      <w:bookmarkEnd w:id="436"/>
      <w:bookmarkEnd w:id="437"/>
      <w:bookmarkEnd w:id="438"/>
      <w:bookmarkEnd w:id="439"/>
      <w:bookmarkEnd w:id="440"/>
      <w:bookmarkEnd w:id="441"/>
      <w:bookmarkEnd w:id="442"/>
      <w:bookmarkEnd w:id="443"/>
    </w:p>
    <w:p w14:paraId="60167D16">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8.1.1   采购代理机构在评标结束后2个工作日内将评标报告提交采购人确认。</w:t>
      </w:r>
    </w:p>
    <w:p w14:paraId="55C345D0">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8.1.2   采购人应自收到评标报告之日起5个工作日内，在评标报告确定的中标候选人名单中按顺序确定中标人。</w:t>
      </w:r>
    </w:p>
    <w:p w14:paraId="6CEC8E9B">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8.1.3   中标人拒绝与采购人签订合同的，采购人可以按照评标报告推荐的中标人名单排序，确定下一候选人为中标人，也可以重新开展政府采购活动。</w:t>
      </w:r>
    </w:p>
    <w:p w14:paraId="58BEA94F">
      <w:pPr>
        <w:pStyle w:val="34"/>
        <w:rPr>
          <w:rFonts w:ascii="宋体" w:eastAsia="宋体"/>
          <w:color w:val="auto"/>
          <w:highlight w:val="none"/>
        </w:rPr>
      </w:pPr>
      <w:bookmarkStart w:id="444" w:name="_Toc531359028"/>
      <w:bookmarkStart w:id="445" w:name="_Toc97213013"/>
      <w:bookmarkStart w:id="446" w:name="_Toc25918"/>
      <w:bookmarkStart w:id="447" w:name="_Toc16529"/>
      <w:bookmarkStart w:id="448" w:name="_Toc25685"/>
      <w:bookmarkStart w:id="449" w:name="_Toc32142"/>
      <w:bookmarkStart w:id="450" w:name="_Toc15890"/>
      <w:r>
        <w:rPr>
          <w:rFonts w:hint="eastAsia" w:ascii="宋体" w:eastAsia="宋体"/>
          <w:color w:val="auto"/>
          <w:highlight w:val="none"/>
        </w:rPr>
        <w:t>8.2     中标公告和中标通知书</w:t>
      </w:r>
      <w:bookmarkEnd w:id="444"/>
      <w:bookmarkEnd w:id="445"/>
      <w:bookmarkEnd w:id="446"/>
      <w:bookmarkEnd w:id="447"/>
      <w:bookmarkEnd w:id="448"/>
      <w:bookmarkEnd w:id="449"/>
      <w:bookmarkEnd w:id="450"/>
    </w:p>
    <w:p w14:paraId="415053A5">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8.2.1   采购代理机构在投标人须知前附表（一）规定的网址发布中标结果。</w:t>
      </w:r>
    </w:p>
    <w:p w14:paraId="4C5B9A7D">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8.2.2   中标结果公告内容包括采购人和采购代理机构的名称、地址、联系方式，项目名称和项目编号，中标人名称、地址和中标金额，主要中标标的的名称、规格型号、数量、单价、服务要求，中标公告期限以及评标专家名单，但不包括国家秘密或商业秘密。</w:t>
      </w:r>
    </w:p>
    <w:p w14:paraId="4B46097C">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8.2.3   中标公告期限为1个工作日。</w:t>
      </w:r>
    </w:p>
    <w:p w14:paraId="02F97A74">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8.2.4   采购代理机构</w:t>
      </w:r>
      <w:r>
        <w:rPr>
          <w:rFonts w:hint="eastAsia" w:ascii="宋体" w:hAnsi="宋体" w:cs="宋体"/>
          <w:color w:val="auto"/>
          <w:sz w:val="24"/>
          <w:highlight w:val="none"/>
          <w:lang w:val="en-US" w:eastAsia="zh-CN"/>
        </w:rPr>
        <w:t>发布</w:t>
      </w:r>
      <w:r>
        <w:rPr>
          <w:rFonts w:hint="eastAsia" w:ascii="宋体" w:hAnsi="宋体" w:cs="宋体"/>
          <w:color w:val="auto"/>
          <w:sz w:val="24"/>
          <w:highlight w:val="none"/>
        </w:rPr>
        <w:t>中标结果公告，视同向中标人发出中标通知书。</w:t>
      </w:r>
    </w:p>
    <w:p w14:paraId="370198E2">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8.2.5   中标通知书发出后，采购人不得违法改变中标结果，中标人无正当理由不得放弃中标。</w:t>
      </w:r>
    </w:p>
    <w:p w14:paraId="67D68D85">
      <w:pPr>
        <w:pStyle w:val="34"/>
        <w:rPr>
          <w:rFonts w:ascii="宋体" w:eastAsia="宋体"/>
          <w:color w:val="auto"/>
          <w:highlight w:val="none"/>
        </w:rPr>
      </w:pPr>
      <w:bookmarkStart w:id="451" w:name="_Toc531359029"/>
      <w:bookmarkStart w:id="452" w:name="_Toc3078"/>
      <w:bookmarkStart w:id="453" w:name="_Toc97213014"/>
      <w:bookmarkStart w:id="454" w:name="_Toc24446"/>
      <w:bookmarkStart w:id="455" w:name="_Toc29878"/>
      <w:bookmarkStart w:id="456" w:name="_Toc24543"/>
      <w:bookmarkStart w:id="457" w:name="_Toc24370"/>
      <w:r>
        <w:rPr>
          <w:rFonts w:hint="eastAsia" w:ascii="宋体" w:eastAsia="宋体"/>
          <w:color w:val="auto"/>
          <w:highlight w:val="none"/>
        </w:rPr>
        <w:t>8.3     履约保证金</w:t>
      </w:r>
      <w:bookmarkEnd w:id="451"/>
      <w:bookmarkEnd w:id="452"/>
      <w:bookmarkEnd w:id="453"/>
      <w:bookmarkEnd w:id="454"/>
      <w:bookmarkEnd w:id="455"/>
      <w:bookmarkEnd w:id="456"/>
      <w:bookmarkEnd w:id="457"/>
    </w:p>
    <w:p w14:paraId="7C65977C">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8.3.1   履约保证金：见投标人须知前附表（一）。</w:t>
      </w:r>
    </w:p>
    <w:p w14:paraId="291BC1F9">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8.3.2   验收合格的项目，采购人应根据采购合同的约定及时向</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支付采购资金、退还履约保证金。</w:t>
      </w:r>
    </w:p>
    <w:p w14:paraId="06920A8E">
      <w:pPr>
        <w:pStyle w:val="34"/>
        <w:rPr>
          <w:rFonts w:ascii="宋体" w:eastAsia="宋体"/>
          <w:color w:val="auto"/>
          <w:highlight w:val="none"/>
        </w:rPr>
      </w:pPr>
      <w:bookmarkStart w:id="458" w:name="_Toc97213015"/>
      <w:bookmarkStart w:id="459" w:name="_Toc6434"/>
      <w:bookmarkStart w:id="460" w:name="_Toc531359030"/>
      <w:bookmarkStart w:id="461" w:name="_Toc12084"/>
      <w:bookmarkStart w:id="462" w:name="_Toc5030"/>
      <w:bookmarkStart w:id="463" w:name="_Toc10253"/>
      <w:bookmarkStart w:id="464" w:name="_Toc5774"/>
      <w:r>
        <w:rPr>
          <w:rFonts w:hint="eastAsia" w:ascii="宋体" w:eastAsia="宋体"/>
          <w:color w:val="auto"/>
          <w:highlight w:val="none"/>
        </w:rPr>
        <w:t>8.4     合同</w:t>
      </w:r>
      <w:bookmarkEnd w:id="458"/>
      <w:bookmarkEnd w:id="459"/>
      <w:bookmarkEnd w:id="460"/>
      <w:bookmarkEnd w:id="461"/>
      <w:bookmarkEnd w:id="462"/>
      <w:bookmarkEnd w:id="463"/>
      <w:bookmarkEnd w:id="464"/>
    </w:p>
    <w:p w14:paraId="2523FE84">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8.4.1   采购人应自中标通知书发出之日起30日内，按照招标文件和中标人投标文件的规定，与中标人签订书面合同。所签订的合同不得对招标文件确定的事项和中标人投标文件作实质性修改。</w:t>
      </w:r>
    </w:p>
    <w:p w14:paraId="7474E1C7">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8.4.2   询问或者质疑事项可能影响中标结果的，采购人应暂停签订合同，已经签订合同的，应中止履行合同。</w:t>
      </w:r>
    </w:p>
    <w:p w14:paraId="6C073B60">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8.4.3   采购人应自政府采购合同签订之日起2个工作日内，将政府采购合同在浙江省政府采购网（zfcg.czt.zj.gov.cn）上公告，但政府采购合同中涉及国家秘密、商业秘密的内容除外。</w:t>
      </w:r>
    </w:p>
    <w:p w14:paraId="500881C2">
      <w:pPr>
        <w:pStyle w:val="23"/>
        <w:spacing w:beforeLines="100" w:after="240" w:afterLines="100"/>
        <w:jc w:val="left"/>
        <w:outlineLvl w:val="1"/>
        <w:rPr>
          <w:rFonts w:ascii="宋体" w:hAnsi="宋体" w:cs="宋体"/>
          <w:color w:val="auto"/>
          <w:sz w:val="30"/>
          <w:szCs w:val="30"/>
          <w:highlight w:val="none"/>
        </w:rPr>
      </w:pPr>
      <w:bookmarkStart w:id="465" w:name="_Toc47756031"/>
      <w:bookmarkStart w:id="466" w:name="_Toc334087240"/>
      <w:bookmarkStart w:id="467" w:name="_Toc493956048"/>
      <w:bookmarkStart w:id="468" w:name="_Toc107820052"/>
      <w:bookmarkStart w:id="469" w:name="_Toc15813254"/>
      <w:bookmarkStart w:id="470" w:name="_Toc10865"/>
      <w:bookmarkStart w:id="471" w:name="_Toc15805937"/>
      <w:bookmarkStart w:id="472" w:name="_Toc97213016"/>
      <w:bookmarkStart w:id="473" w:name="_Toc530551873"/>
      <w:bookmarkStart w:id="474" w:name="_Toc30295"/>
      <w:bookmarkStart w:id="475" w:name="_Toc531359032"/>
      <w:bookmarkStart w:id="476" w:name="_Toc335664282"/>
      <w:bookmarkStart w:id="477" w:name="_Toc45506731"/>
      <w:bookmarkStart w:id="478" w:name="_Toc20300"/>
      <w:bookmarkStart w:id="479" w:name="_Toc27947"/>
      <w:bookmarkStart w:id="480" w:name="_Toc25471"/>
      <w:r>
        <w:rPr>
          <w:rFonts w:hint="eastAsia" w:ascii="宋体" w:hAnsi="宋体" w:cs="宋体"/>
          <w:color w:val="auto"/>
          <w:sz w:val="30"/>
          <w:szCs w:val="30"/>
          <w:highlight w:val="none"/>
        </w:rPr>
        <w:t>九    其他事项</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Start w:id="481" w:name="_Toc24514"/>
      <w:bookmarkStart w:id="482" w:name="_Toc16415"/>
      <w:bookmarkStart w:id="483" w:name="_Toc15245"/>
    </w:p>
    <w:p w14:paraId="71DF19C7">
      <w:pPr>
        <w:pStyle w:val="23"/>
        <w:spacing w:beforeLines="100" w:after="240" w:afterLines="100"/>
        <w:jc w:val="left"/>
        <w:outlineLvl w:val="1"/>
        <w:rPr>
          <w:rFonts w:ascii="宋体" w:hAnsi="宋体" w:cs="宋体"/>
          <w:color w:val="auto"/>
          <w:sz w:val="24"/>
          <w:szCs w:val="20"/>
          <w:highlight w:val="none"/>
        </w:rPr>
      </w:pPr>
      <w:bookmarkStart w:id="484" w:name="_Toc31825"/>
      <w:bookmarkStart w:id="485" w:name="_Toc17132"/>
      <w:r>
        <w:rPr>
          <w:rFonts w:hint="eastAsia" w:ascii="宋体" w:hAnsi="宋体" w:cs="宋体"/>
          <w:color w:val="auto"/>
          <w:sz w:val="24"/>
          <w:szCs w:val="20"/>
          <w:highlight w:val="none"/>
        </w:rPr>
        <w:t xml:space="preserve">9.1    </w:t>
      </w:r>
      <w:bookmarkEnd w:id="481"/>
      <w:bookmarkEnd w:id="482"/>
      <w:bookmarkEnd w:id="483"/>
      <w:r>
        <w:rPr>
          <w:rFonts w:hint="eastAsia" w:ascii="宋体" w:hAnsi="宋体" w:cs="宋体"/>
          <w:color w:val="auto"/>
          <w:sz w:val="24"/>
          <w:szCs w:val="20"/>
          <w:highlight w:val="none"/>
        </w:rPr>
        <w:t>废标</w:t>
      </w:r>
      <w:bookmarkEnd w:id="484"/>
      <w:bookmarkEnd w:id="485"/>
    </w:p>
    <w:p w14:paraId="57738741">
      <w:pPr>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根据《中华人民共和国政府采购法》第三十六条之规定，在采购中，出现下列情形之一的，应予废标：</w:t>
      </w:r>
    </w:p>
    <w:p w14:paraId="4E135803">
      <w:pPr>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（1）符合专业条件的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或者对招标文件作实质响应的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不足3家的；</w:t>
      </w:r>
    </w:p>
    <w:p w14:paraId="577D30E5">
      <w:pPr>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（2）出现影响采购公正的违法、违规行为的；</w:t>
      </w:r>
    </w:p>
    <w:p w14:paraId="23F1F85C">
      <w:pPr>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（3）投标人的报价均超过了采购预算，采购人不能支付的；</w:t>
      </w:r>
    </w:p>
    <w:p w14:paraId="5B7ECF48">
      <w:pPr>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（4）因重大变故，采购任务取消的。</w:t>
      </w:r>
    </w:p>
    <w:p w14:paraId="06830E67">
      <w:pPr>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废标后，采购代理机构应当将废标理由通知所有投标人。</w:t>
      </w:r>
    </w:p>
    <w:p w14:paraId="73E6B3D1">
      <w:pPr>
        <w:pStyle w:val="23"/>
        <w:spacing w:beforeLines="100" w:after="240" w:afterLines="100"/>
        <w:jc w:val="left"/>
        <w:outlineLvl w:val="1"/>
        <w:rPr>
          <w:rFonts w:ascii="宋体" w:hAnsi="宋体" w:cs="宋体"/>
          <w:color w:val="auto"/>
          <w:sz w:val="24"/>
          <w:szCs w:val="20"/>
          <w:highlight w:val="none"/>
        </w:rPr>
      </w:pPr>
      <w:bookmarkStart w:id="486" w:name="_Toc3562"/>
      <w:bookmarkStart w:id="487" w:name="_Toc8481"/>
      <w:r>
        <w:rPr>
          <w:rFonts w:hint="eastAsia" w:ascii="宋体" w:hAnsi="宋体" w:cs="宋体"/>
          <w:color w:val="auto"/>
          <w:sz w:val="24"/>
          <w:szCs w:val="20"/>
          <w:highlight w:val="none"/>
        </w:rPr>
        <w:t>9.2    修改招标文件，重新组织采购活动</w:t>
      </w:r>
      <w:bookmarkEnd w:id="486"/>
      <w:bookmarkEnd w:id="487"/>
    </w:p>
    <w:p w14:paraId="06EA8093">
      <w:pPr>
        <w:spacing w:line="360" w:lineRule="auto"/>
        <w:ind w:left="655" w:leftChars="312" w:firstLine="297" w:firstLineChars="124"/>
        <w:rPr>
          <w:rFonts w:ascii="宋体" w:hAnsi="宋体" w:cs="宋体"/>
          <w:color w:val="auto"/>
          <w:sz w:val="24"/>
          <w:highlight w:val="none"/>
        </w:rPr>
      </w:pPr>
      <w:r>
        <w:rPr>
          <w:rFonts w:hint="eastAsia" w:ascii="宋体" w:hAnsi="宋体" w:cs="宋体"/>
          <w:color w:val="auto"/>
          <w:sz w:val="24"/>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2F9992D3">
      <w:pPr>
        <w:pStyle w:val="23"/>
        <w:spacing w:beforeLines="100" w:after="240" w:afterLines="100"/>
        <w:jc w:val="left"/>
        <w:outlineLvl w:val="1"/>
        <w:rPr>
          <w:rFonts w:ascii="宋体" w:hAnsi="宋体" w:cs="宋体"/>
          <w:color w:val="auto"/>
          <w:sz w:val="24"/>
          <w:szCs w:val="20"/>
          <w:highlight w:val="none"/>
        </w:rPr>
      </w:pPr>
      <w:bookmarkStart w:id="488" w:name="_Toc5790"/>
      <w:bookmarkStart w:id="489" w:name="_Toc17367"/>
      <w:r>
        <w:rPr>
          <w:rFonts w:hint="eastAsia" w:ascii="宋体" w:hAnsi="宋体" w:cs="宋体"/>
          <w:color w:val="auto"/>
          <w:sz w:val="24"/>
          <w:szCs w:val="20"/>
          <w:highlight w:val="none"/>
        </w:rPr>
        <w:t>9.3    重新开展采购</w:t>
      </w:r>
      <w:bookmarkEnd w:id="488"/>
      <w:bookmarkEnd w:id="489"/>
    </w:p>
    <w:p w14:paraId="479ED13E">
      <w:pPr>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有政府采购法第七十一条、第七十二条规定的违法行为之一，影响或者可能影响中标结果的，依照下列规定处理：</w:t>
      </w:r>
    </w:p>
    <w:p w14:paraId="6073205C">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9.3.1   未确定中标</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的，终止本次政府采购活动，重新开展政府采购活动。</w:t>
      </w:r>
    </w:p>
    <w:p w14:paraId="0D9AC4A2">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9.3.2   已确定中标</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但尚未签订政府采购合同的，中标结果无效，从合格的中标候选人中另行确定中标</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；没有合格的中标候选人的，重新开展政府采购活动。</w:t>
      </w:r>
    </w:p>
    <w:p w14:paraId="19126813">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9.3.3   政府采购合同已签订但尚未履行的，撤销合同，从合格的中标候选人中另行确定中标</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；没有合格的中标候选人的，重新开展政府采购活动。</w:t>
      </w:r>
    </w:p>
    <w:p w14:paraId="5FA58D89">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9.3.4   政府采购合同已经履行，给采购人、</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造成损失的，由责任人承担赔偿责任。</w:t>
      </w:r>
    </w:p>
    <w:p w14:paraId="4EDE30B2">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9.3.4   政府采购当事人有其他违反政府采购法或者政府采购法实施条例等法律法规规定的行为，经改正后仍然影响或者可能影响中标结果或者依法被认定为中标无效的，依照9.3.1-9.3.4规定处理。</w:t>
      </w:r>
    </w:p>
    <w:p w14:paraId="1A62B32A">
      <w:pPr>
        <w:pStyle w:val="23"/>
        <w:spacing w:beforeLines="100" w:after="240" w:afterLines="100"/>
        <w:jc w:val="left"/>
        <w:outlineLvl w:val="1"/>
        <w:rPr>
          <w:rFonts w:ascii="宋体" w:hAnsi="宋体" w:cs="宋体"/>
          <w:color w:val="auto"/>
          <w:sz w:val="24"/>
          <w:szCs w:val="20"/>
          <w:highlight w:val="none"/>
        </w:rPr>
      </w:pPr>
      <w:bookmarkStart w:id="490" w:name="_Toc10422"/>
      <w:bookmarkStart w:id="491" w:name="_Toc5162"/>
      <w:r>
        <w:rPr>
          <w:rFonts w:hint="eastAsia" w:ascii="宋体" w:hAnsi="宋体" w:cs="宋体"/>
          <w:color w:val="auto"/>
          <w:sz w:val="24"/>
          <w:szCs w:val="20"/>
          <w:highlight w:val="none"/>
        </w:rPr>
        <w:t>9.4    电子交易活动的中止</w:t>
      </w:r>
      <w:bookmarkEnd w:id="490"/>
      <w:bookmarkEnd w:id="491"/>
    </w:p>
    <w:p w14:paraId="6A3874E5">
      <w:pPr>
        <w:spacing w:line="360" w:lineRule="auto"/>
        <w:ind w:left="958" w:leftChars="456"/>
        <w:jc w:val="left"/>
        <w:rPr>
          <w:rFonts w:ascii="宋体" w:hAnsi="宋体" w:cs="宋体"/>
          <w:color w:val="auto"/>
          <w:sz w:val="24"/>
          <w:highlight w:val="none"/>
        </w:rPr>
      </w:pPr>
      <w:r>
        <w:rPr>
          <w:rFonts w:hint="eastAsia" w:ascii="宋体" w:hAnsi="宋体" w:cs="宋体"/>
          <w:color w:val="auto"/>
          <w:sz w:val="24"/>
          <w:highlight w:val="none"/>
        </w:rPr>
        <w:t>招标过程中出现以下情形，导致政采云平台无法正常运行，或者无法保证电子交易公平、公正和安全时，采购代理机构将中止电子交易活动：</w:t>
      </w:r>
    </w:p>
    <w:p w14:paraId="76D279EB">
      <w:pPr>
        <w:spacing w:line="360" w:lineRule="auto"/>
        <w:ind w:left="840" w:leftChars="400" w:firstLine="120" w:firstLineChars="50"/>
        <w:jc w:val="left"/>
        <w:rPr>
          <w:rFonts w:ascii="宋体" w:hAnsi="宋体" w:cs="宋体"/>
          <w:color w:val="auto"/>
          <w:sz w:val="24"/>
          <w:highlight w:val="none"/>
        </w:rPr>
      </w:pPr>
      <w:r>
        <w:rPr>
          <w:rFonts w:hint="eastAsia" w:ascii="宋体" w:hAnsi="宋体" w:cs="宋体"/>
          <w:color w:val="auto"/>
          <w:sz w:val="24"/>
          <w:highlight w:val="none"/>
        </w:rPr>
        <w:t>（1）电子交易平台发生故障而无法登录访问的；</w:t>
      </w:r>
    </w:p>
    <w:p w14:paraId="2385898D">
      <w:pPr>
        <w:spacing w:line="360" w:lineRule="auto"/>
        <w:ind w:left="840" w:leftChars="400" w:firstLine="120" w:firstLineChars="50"/>
        <w:jc w:val="left"/>
        <w:rPr>
          <w:rFonts w:ascii="宋体" w:hAnsi="宋体" w:cs="宋体"/>
          <w:color w:val="auto"/>
          <w:sz w:val="24"/>
          <w:highlight w:val="none"/>
        </w:rPr>
      </w:pPr>
      <w:r>
        <w:rPr>
          <w:rFonts w:hint="eastAsia" w:ascii="宋体" w:hAnsi="宋体" w:cs="宋体"/>
          <w:color w:val="auto"/>
          <w:sz w:val="24"/>
          <w:highlight w:val="none"/>
        </w:rPr>
        <w:t>（2）电子交易平台应用或数据库出现错误，不能进行正常操作的；</w:t>
      </w:r>
    </w:p>
    <w:p w14:paraId="7A7A39E8">
      <w:pPr>
        <w:spacing w:line="360" w:lineRule="auto"/>
        <w:ind w:left="945" w:leftChars="450"/>
        <w:rPr>
          <w:rFonts w:ascii="宋体" w:hAnsi="宋体" w:cs="宋体"/>
          <w:color w:val="auto"/>
          <w:sz w:val="24"/>
          <w:highlight w:val="none"/>
        </w:rPr>
      </w:pPr>
      <w:r>
        <w:rPr>
          <w:rFonts w:hint="eastAsia" w:ascii="宋体" w:hAnsi="宋体" w:cs="宋体"/>
          <w:color w:val="auto"/>
          <w:sz w:val="24"/>
          <w:highlight w:val="none"/>
        </w:rPr>
        <w:t>（3）电子交易平台发现严重安全漏洞，有潜在泄密危险的；</w:t>
      </w:r>
    </w:p>
    <w:p w14:paraId="0217B824">
      <w:pPr>
        <w:spacing w:line="360" w:lineRule="auto"/>
        <w:ind w:left="945" w:leftChars="450"/>
        <w:rPr>
          <w:rFonts w:ascii="宋体" w:hAnsi="宋体" w:cs="宋体"/>
          <w:color w:val="auto"/>
          <w:sz w:val="24"/>
          <w:highlight w:val="none"/>
        </w:rPr>
      </w:pPr>
      <w:r>
        <w:rPr>
          <w:rFonts w:hint="eastAsia" w:ascii="宋体" w:hAnsi="宋体" w:cs="宋体"/>
          <w:color w:val="auto"/>
          <w:sz w:val="24"/>
          <w:highlight w:val="none"/>
        </w:rPr>
        <w:t xml:space="preserve">（4）病毒发作导致不能进行正常操作的； </w:t>
      </w:r>
    </w:p>
    <w:p w14:paraId="595C92FE">
      <w:pPr>
        <w:spacing w:line="360" w:lineRule="auto"/>
        <w:ind w:left="945" w:leftChars="450"/>
        <w:rPr>
          <w:rFonts w:ascii="宋体" w:hAnsi="宋体" w:cs="宋体"/>
          <w:color w:val="auto"/>
          <w:sz w:val="24"/>
          <w:highlight w:val="none"/>
        </w:rPr>
      </w:pPr>
      <w:r>
        <w:rPr>
          <w:rFonts w:hint="eastAsia" w:ascii="宋体" w:hAnsi="宋体" w:cs="宋体"/>
          <w:color w:val="auto"/>
          <w:sz w:val="24"/>
          <w:highlight w:val="none"/>
        </w:rPr>
        <w:t>（5）其他无法保证电子交易的公平、公正和安全的情况</w:t>
      </w:r>
    </w:p>
    <w:p w14:paraId="6A722EC9">
      <w:pPr>
        <w:spacing w:line="360" w:lineRule="auto"/>
        <w:ind w:left="945" w:leftChars="450"/>
        <w:rPr>
          <w:rFonts w:ascii="宋体" w:hAnsi="宋体" w:cs="宋体"/>
          <w:color w:val="auto"/>
          <w:sz w:val="24"/>
          <w:highlight w:val="none"/>
        </w:rPr>
      </w:pPr>
      <w:r>
        <w:rPr>
          <w:rFonts w:hint="eastAsia" w:ascii="宋体" w:hAnsi="宋体" w:cs="宋体"/>
          <w:color w:val="auto"/>
          <w:sz w:val="24"/>
          <w:highlight w:val="none"/>
        </w:rPr>
        <w:t>出现上述规定情形，不影响采购公平、公正性的，采购代理机构可以待上述情形消除后继续组织电子交易活动；影响或可能影响采购公平、公正性的，应重新组织采购。</w:t>
      </w:r>
    </w:p>
    <w:p w14:paraId="3CAE22A3">
      <w:pPr>
        <w:pStyle w:val="23"/>
        <w:spacing w:beforeLines="100" w:after="240" w:afterLines="100"/>
        <w:jc w:val="left"/>
        <w:outlineLvl w:val="1"/>
        <w:rPr>
          <w:rFonts w:ascii="宋体" w:hAnsi="宋体" w:cs="宋体"/>
          <w:color w:val="auto"/>
          <w:sz w:val="24"/>
          <w:szCs w:val="20"/>
          <w:highlight w:val="none"/>
        </w:rPr>
      </w:pPr>
      <w:bookmarkStart w:id="492" w:name="_Toc20936"/>
      <w:bookmarkStart w:id="493" w:name="_Toc32645"/>
      <w:bookmarkStart w:id="494" w:name="_Toc28402"/>
      <w:bookmarkStart w:id="495" w:name="_Toc26606"/>
      <w:bookmarkStart w:id="496" w:name="_Toc5759"/>
      <w:r>
        <w:rPr>
          <w:rFonts w:hint="eastAsia" w:ascii="宋体" w:hAnsi="宋体" w:cs="宋体"/>
          <w:color w:val="auto"/>
          <w:sz w:val="24"/>
          <w:szCs w:val="20"/>
          <w:highlight w:val="none"/>
        </w:rPr>
        <w:t>9.5    解释权</w:t>
      </w:r>
      <w:bookmarkEnd w:id="492"/>
      <w:bookmarkEnd w:id="493"/>
      <w:bookmarkEnd w:id="494"/>
      <w:bookmarkEnd w:id="495"/>
      <w:bookmarkEnd w:id="496"/>
      <w:r>
        <w:rPr>
          <w:rFonts w:hint="eastAsia" w:ascii="宋体" w:hAnsi="宋体" w:cs="宋体"/>
          <w:color w:val="auto"/>
          <w:sz w:val="24"/>
          <w:szCs w:val="20"/>
          <w:highlight w:val="none"/>
        </w:rPr>
        <w:t xml:space="preserve"> </w:t>
      </w:r>
    </w:p>
    <w:p w14:paraId="2FAAA1A8">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9.5.1   本招标文件解释权属采购代理机构；</w:t>
      </w:r>
    </w:p>
    <w:p w14:paraId="2E8EB7B7">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9.5.2   未尽事宜按有关政府采购法律法规和规章制度的规定执行。</w:t>
      </w:r>
    </w:p>
    <w:p w14:paraId="66F8368D">
      <w:pPr>
        <w:spacing w:line="360" w:lineRule="auto"/>
        <w:ind w:left="960" w:hanging="960" w:hangingChars="400"/>
        <w:rPr>
          <w:rFonts w:ascii="宋体" w:hAnsi="宋体" w:cs="宋体"/>
          <w:color w:val="auto"/>
          <w:sz w:val="24"/>
          <w:highlight w:val="none"/>
        </w:rPr>
      </w:pPr>
      <w:r>
        <w:rPr>
          <w:rFonts w:hint="eastAsia" w:ascii="宋体" w:hAnsi="宋体" w:cs="宋体"/>
          <w:color w:val="auto"/>
          <w:sz w:val="24"/>
          <w:highlight w:val="none"/>
        </w:rPr>
        <w:t>9.5.3   代理服务费标准：由中标（成交）单位支付代理服务费，按下表</w:t>
      </w:r>
      <w:r>
        <w:rPr>
          <w:rFonts w:hint="eastAsia" w:ascii="宋体" w:hAnsi="宋体" w:cs="宋体"/>
          <w:color w:val="auto"/>
          <w:sz w:val="24"/>
          <w:highlight w:val="none"/>
          <w:lang w:val="en-US" w:eastAsia="zh-CN"/>
        </w:rPr>
        <w:t>服务</w:t>
      </w:r>
      <w:r>
        <w:rPr>
          <w:rFonts w:hint="eastAsia" w:ascii="宋体" w:hAnsi="宋体" w:cs="宋体"/>
          <w:color w:val="auto"/>
          <w:sz w:val="24"/>
          <w:highlight w:val="none"/>
        </w:rPr>
        <w:t>招标收费标准的70%收取，代理服务费不足</w:t>
      </w:r>
      <w:r>
        <w:rPr>
          <w:rFonts w:hint="eastAsia" w:ascii="宋体" w:hAnsi="宋体" w:cs="宋体"/>
          <w:color w:val="auto"/>
          <w:sz w:val="24"/>
          <w:highlight w:val="none"/>
          <w:lang w:val="en-US" w:eastAsia="zh-CN"/>
        </w:rPr>
        <w:t>3000</w:t>
      </w:r>
      <w:r>
        <w:rPr>
          <w:rFonts w:hint="eastAsia" w:ascii="宋体" w:hAnsi="宋体" w:cs="宋体"/>
          <w:color w:val="auto"/>
          <w:sz w:val="24"/>
          <w:highlight w:val="none"/>
        </w:rPr>
        <w:t>元的按3000元收取。</w:t>
      </w:r>
    </w:p>
    <w:tbl>
      <w:tblPr>
        <w:tblStyle w:val="24"/>
        <w:tblW w:w="83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48"/>
        <w:gridCol w:w="1980"/>
        <w:gridCol w:w="1980"/>
        <w:gridCol w:w="1980"/>
      </w:tblGrid>
      <w:tr w14:paraId="1C9770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448" w:type="dxa"/>
          </w:tcPr>
          <w:p w14:paraId="099162BF">
            <w:pPr>
              <w:ind w:firstLine="1275"/>
              <w:rPr>
                <w:rFonts w:ascii="宋体" w:hAnsi="宋体" w:cs="宋体"/>
                <w:b/>
                <w:color w:val="auto"/>
                <w:highlight w:val="none"/>
              </w:rPr>
            </w:pPr>
            <w:r>
              <w:rPr>
                <w:rFonts w:ascii="宋体" w:hAnsi="宋体" w:cs="宋体"/>
                <w:b/>
                <w:color w:val="auto"/>
                <w:sz w:val="20"/>
                <w:highlight w:val="none"/>
              </w:rPr>
              <mc:AlternateContent>
                <mc:Choice Requires="wps">
                  <w:drawing>
                    <wp:anchor distT="0" distB="0" distL="114300" distR="114300" simplePos="0" relativeHeight="251661312" behindDoc="0" locked="0" layoutInCell="0" allowOverlap="1">
                      <wp:simplePos x="0" y="0"/>
                      <wp:positionH relativeFrom="column">
                        <wp:posOffset>200025</wp:posOffset>
                      </wp:positionH>
                      <wp:positionV relativeFrom="paragraph">
                        <wp:posOffset>13970</wp:posOffset>
                      </wp:positionV>
                      <wp:extent cx="1524000" cy="1181100"/>
                      <wp:effectExtent l="3175" t="3810" r="15875" b="15240"/>
                      <wp:wrapNone/>
                      <wp:docPr id="1" name="任意多边形 1"/>
                      <wp:cNvGraphicFramePr/>
                      <a:graphic xmlns:a="http://schemas.openxmlformats.org/drawingml/2006/main">
                        <a:graphicData uri="http://schemas.microsoft.com/office/word/2010/wordprocessingShape">
                          <wps:wsp>
                            <wps:cNvSpPr/>
                            <wps:spPr>
                              <a:xfrm>
                                <a:off x="0" y="0"/>
                                <a:ext cx="1524000" cy="1181100"/>
                              </a:xfrm>
                              <a:custGeom>
                                <a:avLst/>
                                <a:gdLst>
                                  <a:gd name="txL" fmla="*/ 0 w 2400"/>
                                  <a:gd name="txT" fmla="*/ 0 h 1860"/>
                                  <a:gd name="txR" fmla="*/ 2400 w 2400"/>
                                  <a:gd name="txB" fmla="*/ 1860 h 1860"/>
                                </a:gdLst>
                                <a:ahLst/>
                                <a:cxnLst/>
                                <a:rect l="txL" t="txT" r="txR" b="txB"/>
                                <a:pathLst>
                                  <a:path w="2400" h="1860">
                                    <a:moveTo>
                                      <a:pt x="2400" y="1860"/>
                                    </a:moveTo>
                                    <a:lnTo>
                                      <a:pt x="0" y="0"/>
                                    </a:lnTo>
                                  </a:path>
                                </a:pathLst>
                              </a:custGeom>
                              <a:noFill/>
                              <a:ln w="9525" cap="flat" cmpd="sng">
                                <a:solidFill>
                                  <a:srgbClr val="000000"/>
                                </a:solidFill>
                                <a:prstDash val="solid"/>
                                <a:headEnd type="none" w="med" len="med"/>
                                <a:tailEnd type="none" w="med" len="med"/>
                              </a:ln>
                            </wps:spPr>
                            <wps:bodyPr wrap="square" anchor="t" anchorCtr="0" upright="1"/>
                          </wps:wsp>
                        </a:graphicData>
                      </a:graphic>
                    </wp:anchor>
                  </w:drawing>
                </mc:Choice>
                <mc:Fallback>
                  <w:pict>
                    <v:shape id="_x0000_s1026" o:spid="_x0000_s1026" o:spt="100" style="position:absolute;left:0pt;margin-left:15.75pt;margin-top:1.1pt;height:93pt;width:120pt;z-index:251661312;mso-width-relative:page;mso-height-relative:page;" filled="f" stroked="t" coordsize="2400,1860" o:allowincell="f" o:gfxdata="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VtDeN1gAAAAgBAAAPAAAAAAAAAAEAIAAAACIAAABkcnMvZG93bnJldi54bWxQSwECFAAUAAAA&#10;CACHTuJAfiJCfJsCAACHBQAADgAAAAAAAAABACAAAAAlAQAAZHJzL2Uyb0RvYy54bWxQSwUGAAAA&#10;AAYABgBZAQAAMgYAAAAA&#10;" path="m2400,1860l0,0e">
                      <v:fill on="f" focussize="0,0"/>
                      <v:stroke color="#000000" joinstyle="round"/>
                      <v:imagedata o:title=""/>
                      <o:lock v:ext="edit" aspectratio="f"/>
                    </v:shape>
                  </w:pict>
                </mc:Fallback>
              </mc:AlternateContent>
            </w:r>
            <w:r>
              <w:rPr>
                <w:rFonts w:ascii="宋体" w:hAnsi="宋体" w:cs="宋体"/>
                <w:b/>
                <w:color w:val="auto"/>
                <w:sz w:val="20"/>
                <w:highlight w:val="none"/>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-6350</wp:posOffset>
                      </wp:positionV>
                      <wp:extent cx="635" cy="0"/>
                      <wp:effectExtent l="0" t="4445" r="0" b="5080"/>
                      <wp:wrapNone/>
                      <wp:docPr id="7" name="直接连接符 7"/>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0.5pt;height:0pt;width:0.05pt;z-index:251660288;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r&#10;kdN+1QAAAAkBAAAPAAAAAAAAAAEAIAAAACIAAABkcnMvZG93bnJldi54bWxQSwECFAAUAAAACACH&#10;TuJA2MWT8+4BAADiAwAADgAAAAAAAAABACAAAAAkAQAAZHJzL2Uyb0RvYy54bWxQSwUGAAAAAAYA&#10;BgBZAQAAhAUAAAAA&#10;">
                      <v:fill on="f" focussize="0,0"/>
                      <v:stroke color="#000000" joinstyle="round"/>
                      <v:imagedata o:title=""/>
                      <o:lock v:ext="edit" aspectratio="f"/>
                    </v:line>
                  </w:pict>
                </mc:Fallback>
              </mc:AlternateContent>
            </w:r>
            <w:r>
              <w:rPr>
                <w:rFonts w:hint="eastAsia" w:ascii="宋体" w:hAnsi="宋体" w:cs="宋体"/>
                <w:b/>
                <w:color w:val="auto"/>
                <w:highlight w:val="none"/>
              </w:rPr>
              <w:t>服</w:t>
            </w:r>
          </w:p>
          <w:p w14:paraId="00BEEA78">
            <w:pPr>
              <w:ind w:firstLine="211"/>
              <w:rPr>
                <w:rFonts w:ascii="宋体" w:hAnsi="宋体" w:cs="宋体"/>
                <w:b/>
                <w:color w:val="auto"/>
                <w:highlight w:val="none"/>
              </w:rPr>
            </w:pPr>
            <w:r>
              <w:rPr>
                <w:rFonts w:hint="eastAsia" w:ascii="宋体" w:hAnsi="宋体" w:cs="宋体"/>
                <w:b/>
                <w:color w:val="auto"/>
                <w:highlight w:val="none"/>
              </w:rPr>
              <w:t>费　　　　　务</w:t>
            </w:r>
          </w:p>
          <w:p w14:paraId="12F25C22">
            <w:pPr>
              <w:ind w:firstLine="1004"/>
              <w:rPr>
                <w:rFonts w:ascii="宋体" w:hAnsi="宋体" w:cs="宋体"/>
                <w:b/>
                <w:color w:val="auto"/>
                <w:highlight w:val="none"/>
              </w:rPr>
            </w:pPr>
            <w:r>
              <w:rPr>
                <w:rFonts w:ascii="宋体" w:hAnsi="宋体" w:cs="宋体"/>
                <w:b/>
                <w:color w:val="auto"/>
                <w:sz w:val="20"/>
                <w:highlight w:val="none"/>
              </w:rPr>
              <mc:AlternateContent>
                <mc:Choice Requires="wps">
                  <w:drawing>
                    <wp:anchor distT="0" distB="0" distL="114300" distR="114300" simplePos="0" relativeHeight="251662336" behindDoc="0" locked="0" layoutInCell="1" allowOverlap="1">
                      <wp:simplePos x="0" y="0"/>
                      <wp:positionH relativeFrom="column">
                        <wp:posOffset>-78740</wp:posOffset>
                      </wp:positionH>
                      <wp:positionV relativeFrom="paragraph">
                        <wp:posOffset>68580</wp:posOffset>
                      </wp:positionV>
                      <wp:extent cx="1555115" cy="725170"/>
                      <wp:effectExtent l="1905" t="4445" r="5080" b="13335"/>
                      <wp:wrapNone/>
                      <wp:docPr id="2" name="任意多边形 2"/>
                      <wp:cNvGraphicFramePr/>
                      <a:graphic xmlns:a="http://schemas.openxmlformats.org/drawingml/2006/main">
                        <a:graphicData uri="http://schemas.microsoft.com/office/word/2010/wordprocessingShape">
                          <wps:wsp>
                            <wps:cNvSpPr/>
                            <wps:spPr>
                              <a:xfrm>
                                <a:off x="0" y="0"/>
                                <a:ext cx="1555115" cy="725170"/>
                              </a:xfrm>
                              <a:custGeom>
                                <a:avLst/>
                                <a:gdLst>
                                  <a:gd name="txL" fmla="*/ 0 w 2449"/>
                                  <a:gd name="txT" fmla="*/ 0 h 1142"/>
                                  <a:gd name="txR" fmla="*/ 2449 w 2449"/>
                                  <a:gd name="txB" fmla="*/ 1142 h 1142"/>
                                </a:gdLst>
                                <a:ahLst/>
                                <a:cxnLst/>
                                <a:rect l="txL" t="txT" r="txR" b="txB"/>
                                <a:pathLst>
                                  <a:path w="2449" h="1142">
                                    <a:moveTo>
                                      <a:pt x="2449" y="1142"/>
                                    </a:moveTo>
                                    <a:lnTo>
                                      <a:pt x="0" y="0"/>
                                    </a:lnTo>
                                  </a:path>
                                </a:pathLst>
                              </a:custGeom>
                              <a:noFill/>
                              <a:ln w="9525" cap="flat" cmpd="sng">
                                <a:solidFill>
                                  <a:srgbClr val="000000"/>
                                </a:solidFill>
                                <a:prstDash val="solid"/>
                                <a:headEnd type="none" w="med" len="med"/>
                                <a:tailEnd type="none" w="med" len="med"/>
                              </a:ln>
                            </wps:spPr>
                            <wps:bodyPr wrap="square" anchor="t" anchorCtr="0" upright="1"/>
                          </wps:wsp>
                        </a:graphicData>
                      </a:graphic>
                    </wp:anchor>
                  </w:drawing>
                </mc:Choice>
                <mc:Fallback>
                  <w:pict>
                    <v:shape id="_x0000_s1026" o:spid="_x0000_s1026" o:spt="100" style="position:absolute;left:0pt;margin-left:-6.2pt;margin-top:5.4pt;height:57.1pt;width:122.45pt;z-index:251662336;mso-width-relative:page;mso-height-relative:page;" filled="f" stroked="t" coordsize="2449,1142" o:gfxdata="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y+hkLWAAAACgEAAA8AAAAAAAAAAQAgAAAAIgAAAGRycy9kb3ducmV2LnhtbFBL&#10;AQIUABQAAAAIAIdO4kDN+mE0owIAAIYFAAAOAAAAAAAAAAEAIAAAACUBAABkcnMvZTJvRG9jLnht&#10;bFBLBQYAAAAABgAGAFkBAAA6BgAAAAA=&#10;" path="m2449,1142l0,0e">
                      <v:fill on="f" focussize="0,0"/>
                      <v:stroke color="#000000" joinstyle="round"/>
                      <v:imagedata o:title=""/>
                      <o:lock v:ext="edit" aspectratio="f"/>
                    </v:shape>
                  </w:pict>
                </mc:Fallback>
              </mc:AlternateContent>
            </w:r>
            <w:r>
              <w:rPr>
                <w:rFonts w:hint="eastAsia" w:ascii="宋体" w:hAnsi="宋体" w:cs="宋体"/>
                <w:b/>
                <w:color w:val="auto"/>
                <w:highlight w:val="none"/>
              </w:rPr>
              <w:t>　　　类</w:t>
            </w:r>
          </w:p>
          <w:p w14:paraId="368AF1DE">
            <w:pPr>
              <w:ind w:firstLine="1054"/>
              <w:rPr>
                <w:rFonts w:ascii="宋体" w:hAnsi="宋体" w:cs="宋体"/>
                <w:b/>
                <w:color w:val="auto"/>
                <w:highlight w:val="none"/>
              </w:rPr>
            </w:pPr>
            <w:r>
              <w:rPr>
                <w:rFonts w:hint="eastAsia" w:ascii="宋体" w:hAnsi="宋体" w:cs="宋体"/>
                <w:b/>
                <w:color w:val="auto"/>
                <w:highlight w:val="none"/>
              </w:rPr>
              <w:t>率　　　型</w:t>
            </w:r>
          </w:p>
          <w:p w14:paraId="6D7E4512">
            <w:pPr>
              <w:ind w:firstLine="1054"/>
              <w:rPr>
                <w:rFonts w:ascii="宋体" w:hAnsi="宋体" w:cs="宋体"/>
                <w:b/>
                <w:color w:val="auto"/>
                <w:highlight w:val="none"/>
              </w:rPr>
            </w:pPr>
            <w:r>
              <w:rPr>
                <w:rFonts w:hint="eastAsia" w:ascii="宋体" w:hAnsi="宋体" w:cs="宋体"/>
                <w:b/>
                <w:color w:val="auto"/>
                <w:highlight w:val="none"/>
              </w:rPr>
              <w:t>　　　　</w:t>
            </w:r>
          </w:p>
          <w:p w14:paraId="54BAB215">
            <w:pPr>
              <w:rPr>
                <w:rFonts w:ascii="宋体" w:hAnsi="宋体" w:cs="宋体"/>
                <w:b/>
                <w:color w:val="auto"/>
                <w:highlight w:val="none"/>
              </w:rPr>
            </w:pPr>
            <w:r>
              <w:rPr>
                <w:rFonts w:hint="eastAsia" w:ascii="宋体" w:hAnsi="宋体" w:cs="宋体"/>
                <w:b/>
                <w:color w:val="auto"/>
                <w:highlight w:val="none"/>
              </w:rPr>
              <w:t>中标金额（万元）</w:t>
            </w:r>
          </w:p>
        </w:tc>
        <w:tc>
          <w:tcPr>
            <w:tcW w:w="1980" w:type="dxa"/>
            <w:vAlign w:val="center"/>
          </w:tcPr>
          <w:p w14:paraId="4E02EEF7">
            <w:pPr>
              <w:jc w:val="center"/>
              <w:rPr>
                <w:rFonts w:ascii="宋体" w:hAnsi="宋体" w:cs="宋体"/>
                <w:b/>
                <w:color w:val="auto"/>
                <w:highlight w:val="none"/>
              </w:rPr>
            </w:pPr>
            <w:r>
              <w:rPr>
                <w:rFonts w:hint="eastAsia" w:ascii="宋体" w:hAnsi="宋体" w:cs="宋体"/>
                <w:b/>
                <w:color w:val="auto"/>
                <w:highlight w:val="none"/>
              </w:rPr>
              <w:t>货物招标</w:t>
            </w:r>
          </w:p>
        </w:tc>
        <w:tc>
          <w:tcPr>
            <w:tcW w:w="1980" w:type="dxa"/>
            <w:vAlign w:val="center"/>
          </w:tcPr>
          <w:p w14:paraId="663554B3">
            <w:pPr>
              <w:jc w:val="center"/>
              <w:rPr>
                <w:rFonts w:ascii="宋体" w:hAnsi="宋体" w:cs="宋体"/>
                <w:b/>
                <w:color w:val="auto"/>
                <w:highlight w:val="none"/>
              </w:rPr>
            </w:pPr>
            <w:r>
              <w:rPr>
                <w:rFonts w:hint="eastAsia" w:ascii="宋体" w:hAnsi="宋体" w:cs="宋体"/>
                <w:b/>
                <w:color w:val="auto"/>
                <w:highlight w:val="none"/>
              </w:rPr>
              <w:t>服务招标</w:t>
            </w:r>
          </w:p>
        </w:tc>
        <w:tc>
          <w:tcPr>
            <w:tcW w:w="1980" w:type="dxa"/>
            <w:vAlign w:val="center"/>
          </w:tcPr>
          <w:p w14:paraId="0C5D09A0">
            <w:pPr>
              <w:jc w:val="center"/>
              <w:rPr>
                <w:rFonts w:ascii="宋体" w:hAnsi="宋体" w:cs="宋体"/>
                <w:b/>
                <w:color w:val="auto"/>
                <w:highlight w:val="none"/>
              </w:rPr>
            </w:pPr>
            <w:r>
              <w:rPr>
                <w:rFonts w:hint="eastAsia" w:ascii="宋体" w:hAnsi="宋体" w:cs="宋体"/>
                <w:b/>
                <w:color w:val="auto"/>
                <w:highlight w:val="none"/>
              </w:rPr>
              <w:t>工程招标</w:t>
            </w:r>
          </w:p>
        </w:tc>
      </w:tr>
      <w:tr w14:paraId="26F70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357633C7">
            <w:pPr>
              <w:jc w:val="center"/>
              <w:rPr>
                <w:rFonts w:ascii="宋体" w:hAnsi="宋体" w:cs="宋体"/>
                <w:color w:val="auto"/>
                <w:highlight w:val="none"/>
              </w:rPr>
            </w:pPr>
            <w:r>
              <w:rPr>
                <w:rFonts w:hint="eastAsia" w:ascii="宋体" w:hAnsi="宋体" w:cs="宋体"/>
                <w:color w:val="auto"/>
                <w:highlight w:val="none"/>
              </w:rPr>
              <w:t>100以下</w:t>
            </w:r>
          </w:p>
        </w:tc>
        <w:tc>
          <w:tcPr>
            <w:tcW w:w="1980" w:type="dxa"/>
          </w:tcPr>
          <w:p w14:paraId="2A40F257">
            <w:pPr>
              <w:jc w:val="center"/>
              <w:rPr>
                <w:rFonts w:ascii="宋体" w:hAnsi="宋体" w:cs="宋体"/>
                <w:color w:val="auto"/>
                <w:highlight w:val="none"/>
              </w:rPr>
            </w:pPr>
            <w:r>
              <w:rPr>
                <w:rFonts w:hint="eastAsia" w:ascii="宋体" w:hAnsi="宋体" w:cs="宋体"/>
                <w:color w:val="auto"/>
                <w:highlight w:val="none"/>
              </w:rPr>
              <w:t>1.5%</w:t>
            </w:r>
          </w:p>
        </w:tc>
        <w:tc>
          <w:tcPr>
            <w:tcW w:w="1980" w:type="dxa"/>
          </w:tcPr>
          <w:p w14:paraId="3EE85AD3">
            <w:pPr>
              <w:jc w:val="center"/>
              <w:rPr>
                <w:rFonts w:ascii="宋体" w:hAnsi="宋体" w:cs="宋体"/>
                <w:color w:val="auto"/>
                <w:highlight w:val="none"/>
              </w:rPr>
            </w:pPr>
            <w:r>
              <w:rPr>
                <w:rFonts w:hint="eastAsia" w:ascii="宋体" w:hAnsi="宋体" w:cs="宋体"/>
                <w:color w:val="auto"/>
                <w:highlight w:val="none"/>
              </w:rPr>
              <w:t>1.5%</w:t>
            </w:r>
          </w:p>
        </w:tc>
        <w:tc>
          <w:tcPr>
            <w:tcW w:w="1980" w:type="dxa"/>
          </w:tcPr>
          <w:p w14:paraId="6817367B">
            <w:pPr>
              <w:jc w:val="center"/>
              <w:rPr>
                <w:rFonts w:ascii="宋体" w:hAnsi="宋体" w:cs="宋体"/>
                <w:color w:val="auto"/>
                <w:highlight w:val="none"/>
              </w:rPr>
            </w:pPr>
            <w:r>
              <w:rPr>
                <w:rFonts w:hint="eastAsia" w:ascii="宋体" w:hAnsi="宋体" w:cs="宋体"/>
                <w:color w:val="auto"/>
                <w:highlight w:val="none"/>
              </w:rPr>
              <w:t>1.0%</w:t>
            </w:r>
          </w:p>
        </w:tc>
      </w:tr>
      <w:tr w14:paraId="254E1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0C787043">
            <w:pPr>
              <w:jc w:val="center"/>
              <w:rPr>
                <w:rFonts w:ascii="宋体" w:hAnsi="宋体" w:cs="宋体"/>
                <w:color w:val="auto"/>
                <w:highlight w:val="none"/>
              </w:rPr>
            </w:pPr>
            <w:r>
              <w:rPr>
                <w:rFonts w:hint="eastAsia" w:ascii="宋体" w:hAnsi="宋体" w:cs="宋体"/>
                <w:color w:val="auto"/>
                <w:highlight w:val="none"/>
              </w:rPr>
              <w:t>100-500</w:t>
            </w:r>
          </w:p>
        </w:tc>
        <w:tc>
          <w:tcPr>
            <w:tcW w:w="1980" w:type="dxa"/>
          </w:tcPr>
          <w:p w14:paraId="03C51338">
            <w:pPr>
              <w:jc w:val="center"/>
              <w:rPr>
                <w:rFonts w:ascii="宋体" w:hAnsi="宋体" w:cs="宋体"/>
                <w:color w:val="auto"/>
                <w:highlight w:val="none"/>
              </w:rPr>
            </w:pPr>
            <w:r>
              <w:rPr>
                <w:rFonts w:hint="eastAsia" w:ascii="宋体" w:hAnsi="宋体" w:cs="宋体"/>
                <w:color w:val="auto"/>
                <w:highlight w:val="none"/>
              </w:rPr>
              <w:t>1.1%</w:t>
            </w:r>
          </w:p>
        </w:tc>
        <w:tc>
          <w:tcPr>
            <w:tcW w:w="1980" w:type="dxa"/>
          </w:tcPr>
          <w:p w14:paraId="462F344A">
            <w:pPr>
              <w:jc w:val="center"/>
              <w:rPr>
                <w:rFonts w:ascii="宋体" w:hAnsi="宋体" w:cs="宋体"/>
                <w:color w:val="auto"/>
                <w:highlight w:val="none"/>
              </w:rPr>
            </w:pPr>
            <w:r>
              <w:rPr>
                <w:rFonts w:hint="eastAsia" w:ascii="宋体" w:hAnsi="宋体" w:cs="宋体"/>
                <w:color w:val="auto"/>
                <w:highlight w:val="none"/>
              </w:rPr>
              <w:t>0.8%</w:t>
            </w:r>
          </w:p>
        </w:tc>
        <w:tc>
          <w:tcPr>
            <w:tcW w:w="1980" w:type="dxa"/>
          </w:tcPr>
          <w:p w14:paraId="17D5E4F3">
            <w:pPr>
              <w:jc w:val="center"/>
              <w:rPr>
                <w:rFonts w:ascii="宋体" w:hAnsi="宋体" w:cs="宋体"/>
                <w:color w:val="auto"/>
                <w:highlight w:val="none"/>
              </w:rPr>
            </w:pPr>
            <w:r>
              <w:rPr>
                <w:rFonts w:hint="eastAsia" w:ascii="宋体" w:hAnsi="宋体" w:cs="宋体"/>
                <w:color w:val="auto"/>
                <w:highlight w:val="none"/>
              </w:rPr>
              <w:t>0.7%</w:t>
            </w:r>
          </w:p>
        </w:tc>
      </w:tr>
      <w:tr w14:paraId="52D84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36E5A1E4">
            <w:pPr>
              <w:jc w:val="center"/>
              <w:rPr>
                <w:rFonts w:ascii="宋体" w:hAnsi="宋体" w:cs="宋体"/>
                <w:color w:val="auto"/>
                <w:highlight w:val="none"/>
              </w:rPr>
            </w:pPr>
            <w:r>
              <w:rPr>
                <w:rFonts w:hint="eastAsia" w:ascii="宋体" w:hAnsi="宋体" w:cs="宋体"/>
                <w:color w:val="auto"/>
                <w:highlight w:val="none"/>
              </w:rPr>
              <w:t>500-1000</w:t>
            </w:r>
          </w:p>
        </w:tc>
        <w:tc>
          <w:tcPr>
            <w:tcW w:w="1980" w:type="dxa"/>
          </w:tcPr>
          <w:p w14:paraId="059EB4C4">
            <w:pPr>
              <w:jc w:val="center"/>
              <w:rPr>
                <w:rFonts w:ascii="宋体" w:hAnsi="宋体" w:cs="宋体"/>
                <w:color w:val="auto"/>
                <w:highlight w:val="none"/>
              </w:rPr>
            </w:pPr>
            <w:r>
              <w:rPr>
                <w:rFonts w:hint="eastAsia" w:ascii="宋体" w:hAnsi="宋体" w:cs="宋体"/>
                <w:color w:val="auto"/>
                <w:highlight w:val="none"/>
              </w:rPr>
              <w:t>0.8%</w:t>
            </w:r>
          </w:p>
        </w:tc>
        <w:tc>
          <w:tcPr>
            <w:tcW w:w="1980" w:type="dxa"/>
          </w:tcPr>
          <w:p w14:paraId="3E831CE3">
            <w:pPr>
              <w:jc w:val="center"/>
              <w:rPr>
                <w:rFonts w:ascii="宋体" w:hAnsi="宋体" w:cs="宋体"/>
                <w:color w:val="auto"/>
                <w:highlight w:val="none"/>
              </w:rPr>
            </w:pPr>
            <w:r>
              <w:rPr>
                <w:rFonts w:hint="eastAsia" w:ascii="宋体" w:hAnsi="宋体" w:cs="宋体"/>
                <w:color w:val="auto"/>
                <w:highlight w:val="none"/>
              </w:rPr>
              <w:t>0.45%</w:t>
            </w:r>
          </w:p>
        </w:tc>
        <w:tc>
          <w:tcPr>
            <w:tcW w:w="1980" w:type="dxa"/>
          </w:tcPr>
          <w:p w14:paraId="01FB679B">
            <w:pPr>
              <w:jc w:val="center"/>
              <w:rPr>
                <w:rFonts w:ascii="宋体" w:hAnsi="宋体" w:cs="宋体"/>
                <w:color w:val="auto"/>
                <w:highlight w:val="none"/>
              </w:rPr>
            </w:pPr>
            <w:r>
              <w:rPr>
                <w:rFonts w:hint="eastAsia" w:ascii="宋体" w:hAnsi="宋体" w:cs="宋体"/>
                <w:color w:val="auto"/>
                <w:highlight w:val="none"/>
              </w:rPr>
              <w:t>0.55%</w:t>
            </w:r>
          </w:p>
        </w:tc>
      </w:tr>
      <w:tr w14:paraId="3891B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325DDD65">
            <w:pPr>
              <w:jc w:val="center"/>
              <w:rPr>
                <w:rFonts w:ascii="宋体" w:hAnsi="宋体" w:cs="宋体"/>
                <w:color w:val="auto"/>
                <w:highlight w:val="none"/>
              </w:rPr>
            </w:pPr>
            <w:r>
              <w:rPr>
                <w:rFonts w:hint="eastAsia" w:ascii="宋体" w:hAnsi="宋体" w:cs="宋体"/>
                <w:color w:val="auto"/>
                <w:highlight w:val="none"/>
              </w:rPr>
              <w:t>1000-5000</w:t>
            </w:r>
          </w:p>
        </w:tc>
        <w:tc>
          <w:tcPr>
            <w:tcW w:w="1980" w:type="dxa"/>
          </w:tcPr>
          <w:p w14:paraId="1BF0F4B8">
            <w:pPr>
              <w:jc w:val="center"/>
              <w:rPr>
                <w:rFonts w:ascii="宋体" w:hAnsi="宋体" w:cs="宋体"/>
                <w:color w:val="auto"/>
                <w:highlight w:val="none"/>
              </w:rPr>
            </w:pPr>
            <w:r>
              <w:rPr>
                <w:rFonts w:hint="eastAsia" w:ascii="宋体" w:hAnsi="宋体" w:cs="宋体"/>
                <w:color w:val="auto"/>
                <w:highlight w:val="none"/>
              </w:rPr>
              <w:t>0.5%</w:t>
            </w:r>
          </w:p>
        </w:tc>
        <w:tc>
          <w:tcPr>
            <w:tcW w:w="1980" w:type="dxa"/>
          </w:tcPr>
          <w:p w14:paraId="4FDF0C55">
            <w:pPr>
              <w:jc w:val="center"/>
              <w:rPr>
                <w:rFonts w:ascii="宋体" w:hAnsi="宋体" w:cs="宋体"/>
                <w:color w:val="auto"/>
                <w:highlight w:val="none"/>
              </w:rPr>
            </w:pPr>
            <w:r>
              <w:rPr>
                <w:rFonts w:hint="eastAsia" w:ascii="宋体" w:hAnsi="宋体" w:cs="宋体"/>
                <w:color w:val="auto"/>
                <w:highlight w:val="none"/>
              </w:rPr>
              <w:t>0.25%</w:t>
            </w:r>
          </w:p>
        </w:tc>
        <w:tc>
          <w:tcPr>
            <w:tcW w:w="1980" w:type="dxa"/>
          </w:tcPr>
          <w:p w14:paraId="3A607C9B">
            <w:pPr>
              <w:jc w:val="center"/>
              <w:rPr>
                <w:rFonts w:ascii="宋体" w:hAnsi="宋体" w:cs="宋体"/>
                <w:color w:val="auto"/>
                <w:highlight w:val="none"/>
              </w:rPr>
            </w:pPr>
            <w:r>
              <w:rPr>
                <w:rFonts w:hint="eastAsia" w:ascii="宋体" w:hAnsi="宋体" w:cs="宋体"/>
                <w:color w:val="auto"/>
                <w:highlight w:val="none"/>
              </w:rPr>
              <w:t>0.35%</w:t>
            </w:r>
          </w:p>
        </w:tc>
      </w:tr>
      <w:tr w14:paraId="2AFCC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7908822D">
            <w:pPr>
              <w:jc w:val="center"/>
              <w:rPr>
                <w:rFonts w:ascii="宋体" w:hAnsi="宋体" w:cs="宋体"/>
                <w:color w:val="auto"/>
                <w:highlight w:val="none"/>
              </w:rPr>
            </w:pPr>
            <w:r>
              <w:rPr>
                <w:rFonts w:hint="eastAsia" w:ascii="宋体" w:hAnsi="宋体" w:cs="宋体"/>
                <w:color w:val="auto"/>
                <w:highlight w:val="none"/>
              </w:rPr>
              <w:t>5000-10000</w:t>
            </w:r>
          </w:p>
        </w:tc>
        <w:tc>
          <w:tcPr>
            <w:tcW w:w="1980" w:type="dxa"/>
          </w:tcPr>
          <w:p w14:paraId="081DA143">
            <w:pPr>
              <w:jc w:val="center"/>
              <w:rPr>
                <w:rFonts w:ascii="宋体" w:hAnsi="宋体" w:cs="宋体"/>
                <w:color w:val="auto"/>
                <w:highlight w:val="none"/>
              </w:rPr>
            </w:pPr>
            <w:r>
              <w:rPr>
                <w:rFonts w:hint="eastAsia" w:ascii="宋体" w:hAnsi="宋体" w:cs="宋体"/>
                <w:color w:val="auto"/>
                <w:highlight w:val="none"/>
              </w:rPr>
              <w:t>0.25%</w:t>
            </w:r>
          </w:p>
        </w:tc>
        <w:tc>
          <w:tcPr>
            <w:tcW w:w="1980" w:type="dxa"/>
          </w:tcPr>
          <w:p w14:paraId="7DB15F7D">
            <w:pPr>
              <w:jc w:val="center"/>
              <w:rPr>
                <w:rFonts w:ascii="宋体" w:hAnsi="宋体" w:cs="宋体"/>
                <w:color w:val="auto"/>
                <w:highlight w:val="none"/>
              </w:rPr>
            </w:pPr>
            <w:r>
              <w:rPr>
                <w:rFonts w:hint="eastAsia" w:ascii="宋体" w:hAnsi="宋体" w:cs="宋体"/>
                <w:color w:val="auto"/>
                <w:highlight w:val="none"/>
              </w:rPr>
              <w:t>0.1%</w:t>
            </w:r>
          </w:p>
        </w:tc>
        <w:tc>
          <w:tcPr>
            <w:tcW w:w="1980" w:type="dxa"/>
          </w:tcPr>
          <w:p w14:paraId="49873D1B">
            <w:pPr>
              <w:jc w:val="center"/>
              <w:rPr>
                <w:rFonts w:ascii="宋体" w:hAnsi="宋体" w:cs="宋体"/>
                <w:color w:val="auto"/>
                <w:highlight w:val="none"/>
              </w:rPr>
            </w:pPr>
            <w:r>
              <w:rPr>
                <w:rFonts w:hint="eastAsia" w:ascii="宋体" w:hAnsi="宋体" w:cs="宋体"/>
                <w:color w:val="auto"/>
                <w:highlight w:val="none"/>
              </w:rPr>
              <w:t>0.2%</w:t>
            </w:r>
          </w:p>
        </w:tc>
      </w:tr>
      <w:tr w14:paraId="765B7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29D7AE9B">
            <w:pPr>
              <w:jc w:val="center"/>
              <w:rPr>
                <w:rFonts w:ascii="宋体" w:hAnsi="宋体" w:cs="宋体"/>
                <w:color w:val="auto"/>
                <w:highlight w:val="none"/>
              </w:rPr>
            </w:pPr>
            <w:r>
              <w:rPr>
                <w:rFonts w:hint="eastAsia" w:ascii="宋体" w:hAnsi="宋体" w:cs="宋体"/>
                <w:color w:val="auto"/>
                <w:highlight w:val="none"/>
              </w:rPr>
              <w:t>10000-100000</w:t>
            </w:r>
          </w:p>
        </w:tc>
        <w:tc>
          <w:tcPr>
            <w:tcW w:w="1980" w:type="dxa"/>
          </w:tcPr>
          <w:p w14:paraId="1408A2E3">
            <w:pPr>
              <w:jc w:val="center"/>
              <w:rPr>
                <w:rFonts w:ascii="宋体" w:hAnsi="宋体" w:cs="宋体"/>
                <w:color w:val="auto"/>
                <w:highlight w:val="none"/>
              </w:rPr>
            </w:pPr>
            <w:r>
              <w:rPr>
                <w:rFonts w:hint="eastAsia" w:ascii="宋体" w:hAnsi="宋体" w:cs="宋体"/>
                <w:color w:val="auto"/>
                <w:highlight w:val="none"/>
              </w:rPr>
              <w:t>0.05%</w:t>
            </w:r>
          </w:p>
        </w:tc>
        <w:tc>
          <w:tcPr>
            <w:tcW w:w="1980" w:type="dxa"/>
          </w:tcPr>
          <w:p w14:paraId="177A91B1">
            <w:pPr>
              <w:jc w:val="center"/>
              <w:rPr>
                <w:rFonts w:ascii="宋体" w:hAnsi="宋体" w:cs="宋体"/>
                <w:color w:val="auto"/>
                <w:highlight w:val="none"/>
              </w:rPr>
            </w:pPr>
            <w:r>
              <w:rPr>
                <w:rFonts w:hint="eastAsia" w:ascii="宋体" w:hAnsi="宋体" w:cs="宋体"/>
                <w:color w:val="auto"/>
                <w:highlight w:val="none"/>
              </w:rPr>
              <w:t>0.05%</w:t>
            </w:r>
          </w:p>
        </w:tc>
        <w:tc>
          <w:tcPr>
            <w:tcW w:w="1980" w:type="dxa"/>
          </w:tcPr>
          <w:p w14:paraId="6483FF3C">
            <w:pPr>
              <w:jc w:val="center"/>
              <w:rPr>
                <w:rFonts w:ascii="宋体" w:hAnsi="宋体" w:cs="宋体"/>
                <w:color w:val="auto"/>
                <w:highlight w:val="none"/>
              </w:rPr>
            </w:pPr>
            <w:r>
              <w:rPr>
                <w:rFonts w:hint="eastAsia" w:ascii="宋体" w:hAnsi="宋体" w:cs="宋体"/>
                <w:color w:val="auto"/>
                <w:highlight w:val="none"/>
              </w:rPr>
              <w:t>0.05%</w:t>
            </w:r>
          </w:p>
        </w:tc>
      </w:tr>
      <w:tr w14:paraId="18CF4C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8" w:type="dxa"/>
          </w:tcPr>
          <w:p w14:paraId="3828FE03">
            <w:pPr>
              <w:jc w:val="center"/>
              <w:rPr>
                <w:rFonts w:ascii="宋体" w:hAnsi="宋体" w:cs="宋体"/>
                <w:color w:val="auto"/>
                <w:highlight w:val="none"/>
              </w:rPr>
            </w:pPr>
            <w:r>
              <w:rPr>
                <w:rFonts w:hint="eastAsia" w:ascii="宋体" w:hAnsi="宋体" w:cs="宋体"/>
                <w:color w:val="auto"/>
                <w:highlight w:val="none"/>
              </w:rPr>
              <w:t>1000000以上</w:t>
            </w:r>
          </w:p>
        </w:tc>
        <w:tc>
          <w:tcPr>
            <w:tcW w:w="1980" w:type="dxa"/>
          </w:tcPr>
          <w:p w14:paraId="31F4C1BC">
            <w:pPr>
              <w:jc w:val="center"/>
              <w:rPr>
                <w:rFonts w:ascii="宋体" w:hAnsi="宋体" w:cs="宋体"/>
                <w:color w:val="auto"/>
                <w:highlight w:val="none"/>
              </w:rPr>
            </w:pPr>
            <w:r>
              <w:rPr>
                <w:rFonts w:hint="eastAsia" w:ascii="宋体" w:hAnsi="宋体" w:cs="宋体"/>
                <w:color w:val="auto"/>
                <w:highlight w:val="none"/>
              </w:rPr>
              <w:t>0.01%</w:t>
            </w:r>
          </w:p>
        </w:tc>
        <w:tc>
          <w:tcPr>
            <w:tcW w:w="1980" w:type="dxa"/>
          </w:tcPr>
          <w:p w14:paraId="3F231E2B">
            <w:pPr>
              <w:jc w:val="center"/>
              <w:rPr>
                <w:rFonts w:ascii="宋体" w:hAnsi="宋体" w:cs="宋体"/>
                <w:color w:val="auto"/>
                <w:highlight w:val="none"/>
              </w:rPr>
            </w:pPr>
            <w:r>
              <w:rPr>
                <w:rFonts w:hint="eastAsia" w:ascii="宋体" w:hAnsi="宋体" w:cs="宋体"/>
                <w:color w:val="auto"/>
                <w:highlight w:val="none"/>
              </w:rPr>
              <w:t>0.01%</w:t>
            </w:r>
          </w:p>
        </w:tc>
        <w:tc>
          <w:tcPr>
            <w:tcW w:w="1980" w:type="dxa"/>
          </w:tcPr>
          <w:p w14:paraId="0D728549">
            <w:pPr>
              <w:jc w:val="center"/>
              <w:rPr>
                <w:rFonts w:ascii="宋体" w:hAnsi="宋体" w:cs="宋体"/>
                <w:color w:val="auto"/>
                <w:highlight w:val="none"/>
              </w:rPr>
            </w:pPr>
            <w:r>
              <w:rPr>
                <w:rFonts w:hint="eastAsia" w:ascii="宋体" w:hAnsi="宋体" w:cs="宋体"/>
                <w:color w:val="auto"/>
                <w:highlight w:val="none"/>
              </w:rPr>
              <w:t>0.01%</w:t>
            </w:r>
          </w:p>
        </w:tc>
      </w:tr>
    </w:tbl>
    <w:p w14:paraId="6285899E">
      <w:pPr>
        <w:spacing w:line="360" w:lineRule="auto"/>
        <w:ind w:left="960" w:hanging="960" w:hangingChars="400"/>
        <w:rPr>
          <w:rFonts w:ascii="宋体" w:hAnsi="宋体" w:cs="宋体"/>
          <w:color w:val="auto"/>
          <w:sz w:val="24"/>
          <w:highlight w:val="none"/>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14:paraId="419BFF4B">
      <w:pPr>
        <w:pStyle w:val="23"/>
        <w:spacing w:before="0" w:after="0" w:line="360" w:lineRule="auto"/>
        <w:rPr>
          <w:rFonts w:ascii="宋体" w:hAnsi="宋体" w:cs="宋体"/>
          <w:color w:val="auto"/>
          <w:sz w:val="36"/>
          <w:szCs w:val="36"/>
          <w:highlight w:val="none"/>
        </w:rPr>
      </w:pPr>
      <w:bookmarkStart w:id="497" w:name="_Toc18544"/>
      <w:bookmarkStart w:id="498" w:name="_Toc6341"/>
      <w:bookmarkStart w:id="499" w:name="_Toc531359036"/>
      <w:bookmarkStart w:id="500" w:name="_Toc11335"/>
      <w:bookmarkStart w:id="501" w:name="_Toc530551874"/>
      <w:bookmarkStart w:id="502" w:name="_Toc493956049"/>
      <w:bookmarkStart w:id="503" w:name="_Toc8252"/>
      <w:bookmarkStart w:id="504" w:name="_Toc97213018"/>
      <w:bookmarkStart w:id="505" w:name="_Toc31109"/>
      <w:r>
        <w:rPr>
          <w:rFonts w:hint="eastAsia" w:ascii="宋体" w:hAnsi="宋体" w:cs="宋体"/>
          <w:color w:val="auto"/>
          <w:sz w:val="36"/>
          <w:szCs w:val="36"/>
          <w:highlight w:val="none"/>
        </w:rPr>
        <w:t>第四章  拟签订的合同文本</w:t>
      </w:r>
      <w:bookmarkEnd w:id="497"/>
      <w:bookmarkEnd w:id="498"/>
      <w:bookmarkEnd w:id="499"/>
      <w:bookmarkEnd w:id="500"/>
      <w:bookmarkEnd w:id="501"/>
      <w:bookmarkEnd w:id="502"/>
      <w:bookmarkEnd w:id="503"/>
      <w:bookmarkEnd w:id="504"/>
      <w:bookmarkEnd w:id="505"/>
    </w:p>
    <w:p w14:paraId="5BE4076E">
      <w:pPr>
        <w:pStyle w:val="35"/>
        <w:ind w:firstLine="2843" w:firstLineChars="1180"/>
        <w:rPr>
          <w:rFonts w:ascii="宋体" w:hAnsi="宋体" w:cs="宋体"/>
          <w:b/>
          <w:color w:val="auto"/>
          <w:szCs w:val="24"/>
          <w:highlight w:val="none"/>
        </w:rPr>
      </w:pPr>
    </w:p>
    <w:p w14:paraId="083E8465">
      <w:pPr>
        <w:pStyle w:val="3"/>
        <w:rPr>
          <w:rFonts w:ascii="宋体" w:hAnsi="宋体" w:cs="宋体"/>
          <w:color w:val="auto"/>
          <w:highlight w:val="none"/>
        </w:rPr>
      </w:pPr>
    </w:p>
    <w:p w14:paraId="326839A3">
      <w:pPr>
        <w:widowControl/>
        <w:spacing w:line="360" w:lineRule="auto"/>
        <w:ind w:firstLine="5760" w:firstLineChars="2400"/>
        <w:rPr>
          <w:rFonts w:hint="eastAsia" w:ascii="宋体" w:hAnsi="宋体" w:eastAsia="宋体" w:cs="宋体"/>
          <w:kern w:val="0"/>
          <w:sz w:val="24"/>
          <w:szCs w:val="24"/>
          <w:highlight w:val="none"/>
        </w:rPr>
      </w:pPr>
      <w:bookmarkStart w:id="506" w:name="_Toc97213019"/>
      <w:bookmarkStart w:id="507" w:name="_Toc24980"/>
      <w:bookmarkStart w:id="508" w:name="_Toc2757"/>
      <w:bookmarkStart w:id="509" w:name="_Toc9523"/>
      <w:bookmarkStart w:id="510" w:name="_Toc530551875"/>
      <w:bookmarkStart w:id="511" w:name="_Toc6535"/>
      <w:bookmarkStart w:id="512" w:name="_Toc493956050"/>
      <w:bookmarkStart w:id="513" w:name="_Toc531359037"/>
      <w:r>
        <w:rPr>
          <w:rFonts w:hint="eastAsia" w:ascii="宋体" w:hAnsi="宋体" w:eastAsia="宋体" w:cs="宋体"/>
          <w:kern w:val="0"/>
          <w:sz w:val="24"/>
          <w:szCs w:val="24"/>
          <w:highlight w:val="none"/>
        </w:rPr>
        <w:t>合同编号：_________</w:t>
      </w:r>
    </w:p>
    <w:p w14:paraId="762CD483">
      <w:pPr>
        <w:pStyle w:val="35"/>
        <w:spacing w:line="360" w:lineRule="auto"/>
        <w:ind w:firstLine="0"/>
        <w:rPr>
          <w:rFonts w:hint="eastAsia" w:ascii="宋体" w:hAnsi="宋体" w:eastAsia="宋体" w:cs="宋体"/>
          <w:sz w:val="24"/>
          <w:szCs w:val="24"/>
          <w:highlight w:val="none"/>
        </w:rPr>
      </w:pPr>
    </w:p>
    <w:p w14:paraId="57B39AB0">
      <w:pPr>
        <w:pStyle w:val="35"/>
        <w:spacing w:line="360" w:lineRule="auto"/>
        <w:ind w:firstLine="0"/>
        <w:rPr>
          <w:rFonts w:hint="eastAsia" w:ascii="宋体" w:hAnsi="宋体" w:eastAsia="宋体" w:cs="宋体"/>
          <w:sz w:val="24"/>
          <w:szCs w:val="24"/>
          <w:highlight w:val="none"/>
        </w:rPr>
      </w:pPr>
    </w:p>
    <w:p w14:paraId="5F4C7D15">
      <w:pPr>
        <w:pStyle w:val="35"/>
        <w:spacing w:line="360" w:lineRule="auto"/>
        <w:ind w:firstLine="2891" w:firstLineChars="1200"/>
        <w:jc w:val="both"/>
        <w:rPr>
          <w:rFonts w:hint="eastAsia" w:ascii="宋体" w:hAnsi="宋体" w:eastAsia="宋体" w:cs="宋体"/>
          <w:b/>
          <w:sz w:val="24"/>
          <w:szCs w:val="24"/>
          <w:highlight w:val="none"/>
        </w:rPr>
      </w:pPr>
      <w:r>
        <w:rPr>
          <w:rFonts w:hint="eastAsia" w:ascii="宋体" w:hAnsi="宋体" w:eastAsia="宋体" w:cs="宋体"/>
          <w:b/>
          <w:sz w:val="24"/>
          <w:szCs w:val="24"/>
          <w:highlight w:val="none"/>
        </w:rPr>
        <w:t>第一部分 合同书</w:t>
      </w:r>
    </w:p>
    <w:p w14:paraId="483D10D8">
      <w:pPr>
        <w:pStyle w:val="35"/>
        <w:spacing w:line="360" w:lineRule="auto"/>
        <w:ind w:firstLine="0"/>
        <w:rPr>
          <w:rFonts w:hint="eastAsia" w:ascii="宋体" w:hAnsi="宋体" w:eastAsia="宋体" w:cs="宋体"/>
          <w:sz w:val="24"/>
          <w:szCs w:val="24"/>
          <w:highlight w:val="none"/>
        </w:rPr>
      </w:pPr>
    </w:p>
    <w:p w14:paraId="448BB590">
      <w:pPr>
        <w:pStyle w:val="35"/>
        <w:spacing w:line="360" w:lineRule="auto"/>
        <w:rPr>
          <w:rFonts w:hint="eastAsia" w:ascii="宋体" w:hAnsi="宋体" w:eastAsia="宋体" w:cs="宋体"/>
          <w:sz w:val="24"/>
          <w:szCs w:val="24"/>
          <w:highlight w:val="none"/>
        </w:rPr>
      </w:pPr>
    </w:p>
    <w:p w14:paraId="782BA077">
      <w:pPr>
        <w:spacing w:line="360" w:lineRule="auto"/>
        <w:rPr>
          <w:rFonts w:hint="eastAsia" w:ascii="宋体" w:hAnsi="宋体" w:eastAsia="宋体" w:cs="宋体"/>
          <w:sz w:val="24"/>
          <w:szCs w:val="24"/>
          <w:highlight w:val="none"/>
        </w:rPr>
      </w:pPr>
    </w:p>
    <w:p w14:paraId="38E57FCA">
      <w:pPr>
        <w:spacing w:line="360" w:lineRule="auto"/>
        <w:ind w:left="960"/>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rPr>
        <w:t xml:space="preserve">                                   </w:t>
      </w:r>
    </w:p>
    <w:p w14:paraId="6A0DD342">
      <w:pPr>
        <w:spacing w:line="360" w:lineRule="auto"/>
        <w:rPr>
          <w:rFonts w:hint="eastAsia" w:ascii="宋体" w:hAnsi="宋体" w:eastAsia="宋体" w:cs="宋体"/>
          <w:sz w:val="24"/>
          <w:szCs w:val="24"/>
          <w:highlight w:val="none"/>
        </w:rPr>
      </w:pPr>
    </w:p>
    <w:p w14:paraId="229ECA45">
      <w:pPr>
        <w:spacing w:line="360" w:lineRule="auto"/>
        <w:ind w:left="96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u w:val="single"/>
        </w:rPr>
        <w:t xml:space="preserve">                                       </w:t>
      </w:r>
    </w:p>
    <w:p w14:paraId="269F88A1">
      <w:pPr>
        <w:spacing w:line="360" w:lineRule="auto"/>
        <w:rPr>
          <w:rFonts w:hint="eastAsia" w:ascii="宋体" w:hAnsi="宋体" w:eastAsia="宋体" w:cs="宋体"/>
          <w:sz w:val="24"/>
          <w:szCs w:val="24"/>
          <w:highlight w:val="none"/>
        </w:rPr>
      </w:pPr>
    </w:p>
    <w:p w14:paraId="3EB07DC5">
      <w:pPr>
        <w:spacing w:line="360" w:lineRule="auto"/>
        <w:ind w:left="96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乙方：</w:t>
      </w:r>
      <w:r>
        <w:rPr>
          <w:rFonts w:hint="eastAsia" w:ascii="宋体" w:hAnsi="宋体" w:eastAsia="宋体" w:cs="宋体"/>
          <w:sz w:val="24"/>
          <w:szCs w:val="24"/>
          <w:highlight w:val="none"/>
          <w:u w:val="single"/>
        </w:rPr>
        <w:t xml:space="preserve">                                       </w:t>
      </w:r>
    </w:p>
    <w:p w14:paraId="0679F301">
      <w:pPr>
        <w:spacing w:line="360" w:lineRule="auto"/>
        <w:rPr>
          <w:rFonts w:hint="eastAsia" w:ascii="宋体" w:hAnsi="宋体" w:eastAsia="宋体" w:cs="宋体"/>
          <w:sz w:val="24"/>
          <w:szCs w:val="24"/>
          <w:highlight w:val="none"/>
        </w:rPr>
      </w:pPr>
    </w:p>
    <w:p w14:paraId="57553786">
      <w:pPr>
        <w:spacing w:line="360" w:lineRule="auto"/>
        <w:ind w:firstLine="960" w:firstLineChars="4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签订地：</w:t>
      </w:r>
      <w:r>
        <w:rPr>
          <w:rFonts w:hint="eastAsia" w:ascii="宋体" w:hAnsi="宋体" w:eastAsia="宋体" w:cs="宋体"/>
          <w:sz w:val="24"/>
          <w:szCs w:val="24"/>
          <w:highlight w:val="none"/>
          <w:u w:val="single"/>
        </w:rPr>
        <w:t xml:space="preserve">                                     </w:t>
      </w:r>
    </w:p>
    <w:p w14:paraId="6876E457">
      <w:pPr>
        <w:spacing w:line="360" w:lineRule="auto"/>
        <w:rPr>
          <w:rFonts w:hint="eastAsia" w:ascii="宋体" w:hAnsi="宋体" w:eastAsia="宋体" w:cs="宋体"/>
          <w:sz w:val="24"/>
          <w:szCs w:val="24"/>
          <w:highlight w:val="none"/>
        </w:rPr>
      </w:pPr>
    </w:p>
    <w:p w14:paraId="0B68DF47">
      <w:pPr>
        <w:spacing w:line="360" w:lineRule="auto"/>
        <w:ind w:firstLine="960" w:firstLineChars="400"/>
        <w:rPr>
          <w:rFonts w:hint="eastAsia" w:ascii="宋体" w:hAnsi="宋体" w:eastAsia="宋体" w:cs="宋体"/>
          <w:sz w:val="24"/>
          <w:szCs w:val="24"/>
          <w:highlight w:val="none"/>
        </w:rPr>
      </w:pPr>
      <w:r>
        <w:rPr>
          <w:rFonts w:hint="eastAsia" w:ascii="宋体" w:hAnsi="宋体" w:eastAsia="宋体" w:cs="宋体"/>
          <w:sz w:val="24"/>
          <w:szCs w:val="24"/>
          <w:highlight w:val="none"/>
        </w:rPr>
        <w:t>签订日期：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7043AEDB">
      <w:pPr>
        <w:spacing w:line="360" w:lineRule="auto"/>
        <w:rPr>
          <w:rFonts w:hint="eastAsia" w:ascii="宋体" w:hAnsi="宋体" w:eastAsia="宋体" w:cs="宋体"/>
          <w:sz w:val="24"/>
          <w:szCs w:val="24"/>
          <w:highlight w:val="none"/>
          <w:u w:val="single"/>
        </w:rPr>
      </w:pPr>
    </w:p>
    <w:p w14:paraId="07C82350">
      <w:pPr>
        <w:autoSpaceDE w:val="0"/>
        <w:autoSpaceDN w:val="0"/>
        <w:adjustRightInd w:val="0"/>
        <w:spacing w:line="360" w:lineRule="auto"/>
        <w:ind w:firstLine="640"/>
        <w:jc w:val="center"/>
        <w:rPr>
          <w:rFonts w:hint="eastAsia" w:ascii="宋体" w:hAnsi="宋体" w:eastAsia="宋体" w:cs="宋体"/>
          <w:sz w:val="24"/>
          <w:szCs w:val="24"/>
          <w:highlight w:val="none"/>
        </w:rPr>
        <w:sectPr>
          <w:pgSz w:w="11907" w:h="16840"/>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462" w:charSpace="0"/>
        </w:sectPr>
      </w:pPr>
    </w:p>
    <w:p w14:paraId="5A671DC3">
      <w:pPr>
        <w:widowControl/>
        <w:spacing w:line="360" w:lineRule="auto"/>
        <w:ind w:firstLine="5760" w:firstLineChars="24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合同编号：_________</w:t>
      </w:r>
    </w:p>
    <w:p w14:paraId="0B16E0C1">
      <w:pPr>
        <w:widowControl/>
        <w:spacing w:line="36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采购人：（以下称甲方）</w:t>
      </w:r>
      <w:r>
        <w:rPr>
          <w:rFonts w:hint="eastAsia" w:ascii="宋体" w:hAnsi="宋体" w:eastAsia="宋体" w:cs="宋体"/>
          <w:kern w:val="0"/>
          <w:sz w:val="24"/>
          <w:szCs w:val="24"/>
          <w:highlight w:val="none"/>
          <w:u w:val="single"/>
        </w:rPr>
        <w:t xml:space="preserve">               </w:t>
      </w:r>
    </w:p>
    <w:p w14:paraId="7333BCF4">
      <w:pPr>
        <w:widowControl/>
        <w:spacing w:line="36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中标人：（以下称乙方）</w:t>
      </w:r>
      <w:r>
        <w:rPr>
          <w:rFonts w:hint="eastAsia" w:ascii="宋体" w:hAnsi="宋体" w:eastAsia="宋体" w:cs="宋体"/>
          <w:kern w:val="0"/>
          <w:sz w:val="24"/>
          <w:szCs w:val="24"/>
          <w:highlight w:val="none"/>
          <w:u w:val="single"/>
        </w:rPr>
        <w:t xml:space="preserve">               </w:t>
      </w:r>
    </w:p>
    <w:p w14:paraId="39447DD9">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根据招标文件</w:t>
      </w:r>
      <w:r>
        <w:rPr>
          <w:rFonts w:hint="eastAsia" w:ascii="宋体" w:hAnsi="宋体" w:eastAsia="宋体" w:cs="宋体"/>
          <w:kern w:val="0"/>
          <w:sz w:val="24"/>
          <w:szCs w:val="24"/>
          <w:highlight w:val="none"/>
          <w:u w:val="single"/>
        </w:rPr>
        <w:t>（项目）（采购编号）</w:t>
      </w:r>
      <w:r>
        <w:rPr>
          <w:rFonts w:hint="eastAsia" w:ascii="宋体" w:hAnsi="宋体" w:eastAsia="宋体" w:cs="宋体"/>
          <w:kern w:val="0"/>
          <w:sz w:val="24"/>
          <w:szCs w:val="24"/>
          <w:highlight w:val="none"/>
        </w:rPr>
        <w:t>在</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日开标会上，经评审委员会评定</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 xml:space="preserve"> (乙方)为中标人。甲乙双方依据《中华人民共和国政府采购法》、《中华人民共和国民法典》等相关法律法规和招标文件的要求，在平等自愿的基础上，同意按照下面的条款和条件，签署本合同。</w:t>
      </w:r>
    </w:p>
    <w:p w14:paraId="7AF22037">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第一条　合同标的</w:t>
      </w:r>
    </w:p>
    <w:p w14:paraId="638B8EAC">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1.1乙方根据甲方需求提供下列货物：</w:t>
      </w:r>
      <w:r>
        <w:rPr>
          <w:rFonts w:hint="eastAsia" w:ascii="宋体" w:hAnsi="宋体" w:eastAsia="宋体" w:cs="宋体"/>
          <w:kern w:val="0"/>
          <w:sz w:val="24"/>
          <w:szCs w:val="24"/>
          <w:highlight w:val="none"/>
          <w:u w:val="single"/>
        </w:rPr>
        <w:t xml:space="preserve">           </w:t>
      </w:r>
    </w:p>
    <w:p w14:paraId="72CE842C">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1.2货物名称、规格及数量详见“货物一览表”。</w:t>
      </w:r>
    </w:p>
    <w:p w14:paraId="4B0DAB97">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合同总价款</w:t>
      </w:r>
    </w:p>
    <w:p w14:paraId="41923585">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2.1本合同项下货物总价款为人民币</w:t>
      </w:r>
      <w:r>
        <w:rPr>
          <w:rFonts w:hint="eastAsia" w:ascii="宋体" w:hAnsi="宋体" w:eastAsia="宋体" w:cs="宋体"/>
          <w:kern w:val="0"/>
          <w:sz w:val="24"/>
          <w:szCs w:val="24"/>
          <w:highlight w:val="none"/>
          <w:u w:val="single"/>
        </w:rPr>
        <w:t>（大写）（￥：）</w:t>
      </w:r>
      <w:r>
        <w:rPr>
          <w:rFonts w:hint="eastAsia" w:ascii="宋体" w:hAnsi="宋体" w:eastAsia="宋体" w:cs="宋体"/>
          <w:kern w:val="0"/>
          <w:sz w:val="24"/>
          <w:szCs w:val="24"/>
          <w:highlight w:val="none"/>
        </w:rPr>
        <w:t>，分项价款在“投标报价表”中有明确规定。</w:t>
      </w:r>
    </w:p>
    <w:p w14:paraId="299BF784">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2.2合同总价为本工程包干价，本合同总价款包括货物、标准附件、备品备件、专用工具、图纸资料、技术服务，包装、运输、装卸、保险、税金，货到就位以及安装、调试、培训、保修等验收合格之前和质保期内的售后服务一切税金和费用，验收合格前的所有费用、操作维修费用及质保期内设备的维修保养费用，成品仓储费及二次搬运费等。</w:t>
      </w:r>
    </w:p>
    <w:p w14:paraId="00977F81">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2.3本合同总价款还包含乙方应当提供的伴随服务/售后服务费用。</w:t>
      </w:r>
    </w:p>
    <w:p w14:paraId="29D7D54F">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2.4本合同执行期间合同总价款不变。</w:t>
      </w:r>
    </w:p>
    <w:p w14:paraId="724DBD88">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2.5产品清单</w:t>
      </w:r>
    </w:p>
    <w:tbl>
      <w:tblPr>
        <w:tblStyle w:val="24"/>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092"/>
        <w:gridCol w:w="1454"/>
        <w:gridCol w:w="810"/>
        <w:gridCol w:w="1315"/>
        <w:gridCol w:w="1700"/>
      </w:tblGrid>
      <w:tr w14:paraId="5140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14:paraId="3E244214">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序号</w:t>
            </w:r>
          </w:p>
        </w:tc>
        <w:tc>
          <w:tcPr>
            <w:tcW w:w="2092" w:type="dxa"/>
            <w:noWrap w:val="0"/>
            <w:vAlign w:val="center"/>
          </w:tcPr>
          <w:p w14:paraId="6BBDA25A">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设备名称</w:t>
            </w:r>
          </w:p>
        </w:tc>
        <w:tc>
          <w:tcPr>
            <w:tcW w:w="1454" w:type="dxa"/>
            <w:noWrap w:val="0"/>
            <w:vAlign w:val="center"/>
          </w:tcPr>
          <w:p w14:paraId="64C4F8BE">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规格型号</w:t>
            </w:r>
          </w:p>
        </w:tc>
        <w:tc>
          <w:tcPr>
            <w:tcW w:w="810" w:type="dxa"/>
            <w:noWrap w:val="0"/>
            <w:vAlign w:val="center"/>
          </w:tcPr>
          <w:p w14:paraId="5A9E1118">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数量</w:t>
            </w:r>
          </w:p>
        </w:tc>
        <w:tc>
          <w:tcPr>
            <w:tcW w:w="1315" w:type="dxa"/>
            <w:noWrap w:val="0"/>
            <w:vAlign w:val="center"/>
          </w:tcPr>
          <w:p w14:paraId="7A743B16">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单价（元）</w:t>
            </w:r>
          </w:p>
        </w:tc>
        <w:tc>
          <w:tcPr>
            <w:tcW w:w="1700" w:type="dxa"/>
            <w:noWrap w:val="0"/>
            <w:vAlign w:val="center"/>
          </w:tcPr>
          <w:p w14:paraId="19D51DFC">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合价（元）</w:t>
            </w:r>
          </w:p>
        </w:tc>
      </w:tr>
      <w:tr w14:paraId="5408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14:paraId="7F29C8EE">
            <w:pPr>
              <w:widowControl/>
              <w:jc w:val="center"/>
              <w:rPr>
                <w:rFonts w:hint="eastAsia" w:ascii="宋体" w:hAnsi="宋体" w:eastAsia="宋体" w:cs="宋体"/>
                <w:kern w:val="0"/>
                <w:sz w:val="24"/>
                <w:szCs w:val="24"/>
                <w:highlight w:val="none"/>
              </w:rPr>
            </w:pPr>
          </w:p>
        </w:tc>
        <w:tc>
          <w:tcPr>
            <w:tcW w:w="2092" w:type="dxa"/>
            <w:noWrap w:val="0"/>
            <w:vAlign w:val="center"/>
          </w:tcPr>
          <w:p w14:paraId="44B23F4B">
            <w:pPr>
              <w:widowControl/>
              <w:jc w:val="center"/>
              <w:rPr>
                <w:rFonts w:hint="eastAsia" w:ascii="宋体" w:hAnsi="宋体" w:eastAsia="宋体" w:cs="宋体"/>
                <w:kern w:val="0"/>
                <w:sz w:val="24"/>
                <w:szCs w:val="24"/>
                <w:highlight w:val="none"/>
              </w:rPr>
            </w:pPr>
          </w:p>
        </w:tc>
        <w:tc>
          <w:tcPr>
            <w:tcW w:w="1454" w:type="dxa"/>
            <w:noWrap w:val="0"/>
            <w:vAlign w:val="center"/>
          </w:tcPr>
          <w:p w14:paraId="2470EB3F">
            <w:pPr>
              <w:widowControl/>
              <w:jc w:val="center"/>
              <w:rPr>
                <w:rFonts w:hint="eastAsia" w:ascii="宋体" w:hAnsi="宋体" w:eastAsia="宋体" w:cs="宋体"/>
                <w:kern w:val="0"/>
                <w:sz w:val="24"/>
                <w:szCs w:val="24"/>
                <w:highlight w:val="none"/>
              </w:rPr>
            </w:pPr>
          </w:p>
        </w:tc>
        <w:tc>
          <w:tcPr>
            <w:tcW w:w="810" w:type="dxa"/>
            <w:noWrap w:val="0"/>
            <w:vAlign w:val="center"/>
          </w:tcPr>
          <w:p w14:paraId="09D37942">
            <w:pPr>
              <w:widowControl/>
              <w:jc w:val="center"/>
              <w:rPr>
                <w:rFonts w:hint="eastAsia" w:ascii="宋体" w:hAnsi="宋体" w:eastAsia="宋体" w:cs="宋体"/>
                <w:kern w:val="0"/>
                <w:sz w:val="24"/>
                <w:szCs w:val="24"/>
                <w:highlight w:val="none"/>
              </w:rPr>
            </w:pPr>
          </w:p>
        </w:tc>
        <w:tc>
          <w:tcPr>
            <w:tcW w:w="1315" w:type="dxa"/>
            <w:noWrap w:val="0"/>
            <w:vAlign w:val="center"/>
          </w:tcPr>
          <w:p w14:paraId="2EAFAF51">
            <w:pPr>
              <w:widowControl/>
              <w:jc w:val="center"/>
              <w:rPr>
                <w:rFonts w:hint="eastAsia" w:ascii="宋体" w:hAnsi="宋体" w:eastAsia="宋体" w:cs="宋体"/>
                <w:kern w:val="0"/>
                <w:sz w:val="24"/>
                <w:szCs w:val="24"/>
                <w:highlight w:val="none"/>
              </w:rPr>
            </w:pPr>
          </w:p>
        </w:tc>
        <w:tc>
          <w:tcPr>
            <w:tcW w:w="1700" w:type="dxa"/>
            <w:noWrap w:val="0"/>
            <w:vAlign w:val="center"/>
          </w:tcPr>
          <w:p w14:paraId="50E036D5">
            <w:pPr>
              <w:widowControl/>
              <w:jc w:val="center"/>
              <w:rPr>
                <w:rFonts w:hint="eastAsia" w:ascii="宋体" w:hAnsi="宋体" w:eastAsia="宋体" w:cs="宋体"/>
                <w:kern w:val="0"/>
                <w:sz w:val="24"/>
                <w:szCs w:val="24"/>
                <w:highlight w:val="none"/>
              </w:rPr>
            </w:pPr>
          </w:p>
        </w:tc>
      </w:tr>
      <w:tr w14:paraId="6464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14:paraId="30807BAB">
            <w:pPr>
              <w:widowControl/>
              <w:jc w:val="center"/>
              <w:rPr>
                <w:rFonts w:hint="eastAsia" w:ascii="宋体" w:hAnsi="宋体" w:eastAsia="宋体" w:cs="宋体"/>
                <w:kern w:val="0"/>
                <w:sz w:val="24"/>
                <w:szCs w:val="24"/>
                <w:highlight w:val="none"/>
              </w:rPr>
            </w:pPr>
          </w:p>
        </w:tc>
        <w:tc>
          <w:tcPr>
            <w:tcW w:w="2092" w:type="dxa"/>
            <w:noWrap w:val="0"/>
            <w:vAlign w:val="center"/>
          </w:tcPr>
          <w:p w14:paraId="02F23B64">
            <w:pPr>
              <w:widowControl/>
              <w:jc w:val="center"/>
              <w:rPr>
                <w:rFonts w:hint="eastAsia" w:ascii="宋体" w:hAnsi="宋体" w:eastAsia="宋体" w:cs="宋体"/>
                <w:kern w:val="0"/>
                <w:sz w:val="24"/>
                <w:szCs w:val="24"/>
                <w:highlight w:val="none"/>
              </w:rPr>
            </w:pPr>
          </w:p>
        </w:tc>
        <w:tc>
          <w:tcPr>
            <w:tcW w:w="1454" w:type="dxa"/>
            <w:noWrap w:val="0"/>
            <w:vAlign w:val="center"/>
          </w:tcPr>
          <w:p w14:paraId="5EE0D950">
            <w:pPr>
              <w:widowControl/>
              <w:jc w:val="center"/>
              <w:rPr>
                <w:rFonts w:hint="eastAsia" w:ascii="宋体" w:hAnsi="宋体" w:eastAsia="宋体" w:cs="宋体"/>
                <w:kern w:val="0"/>
                <w:sz w:val="24"/>
                <w:szCs w:val="24"/>
                <w:highlight w:val="none"/>
              </w:rPr>
            </w:pPr>
          </w:p>
        </w:tc>
        <w:tc>
          <w:tcPr>
            <w:tcW w:w="810" w:type="dxa"/>
            <w:noWrap w:val="0"/>
            <w:vAlign w:val="center"/>
          </w:tcPr>
          <w:p w14:paraId="558ECEAF">
            <w:pPr>
              <w:widowControl/>
              <w:jc w:val="center"/>
              <w:rPr>
                <w:rFonts w:hint="eastAsia" w:ascii="宋体" w:hAnsi="宋体" w:eastAsia="宋体" w:cs="宋体"/>
                <w:kern w:val="0"/>
                <w:sz w:val="24"/>
                <w:szCs w:val="24"/>
                <w:highlight w:val="none"/>
              </w:rPr>
            </w:pPr>
          </w:p>
        </w:tc>
        <w:tc>
          <w:tcPr>
            <w:tcW w:w="1315" w:type="dxa"/>
            <w:noWrap w:val="0"/>
            <w:vAlign w:val="center"/>
          </w:tcPr>
          <w:p w14:paraId="2CADE1A0">
            <w:pPr>
              <w:widowControl/>
              <w:jc w:val="center"/>
              <w:rPr>
                <w:rFonts w:hint="eastAsia" w:ascii="宋体" w:hAnsi="宋体" w:eastAsia="宋体" w:cs="宋体"/>
                <w:kern w:val="0"/>
                <w:sz w:val="24"/>
                <w:szCs w:val="24"/>
                <w:highlight w:val="none"/>
              </w:rPr>
            </w:pPr>
          </w:p>
        </w:tc>
        <w:tc>
          <w:tcPr>
            <w:tcW w:w="1700" w:type="dxa"/>
            <w:noWrap w:val="0"/>
            <w:vAlign w:val="center"/>
          </w:tcPr>
          <w:p w14:paraId="06B260CC">
            <w:pPr>
              <w:widowControl/>
              <w:jc w:val="center"/>
              <w:rPr>
                <w:rFonts w:hint="eastAsia" w:ascii="宋体" w:hAnsi="宋体" w:eastAsia="宋体" w:cs="宋体"/>
                <w:kern w:val="0"/>
                <w:sz w:val="24"/>
                <w:szCs w:val="24"/>
                <w:highlight w:val="none"/>
              </w:rPr>
            </w:pPr>
          </w:p>
        </w:tc>
      </w:tr>
      <w:tr w14:paraId="3152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14:paraId="5AA4D04C">
            <w:pPr>
              <w:widowControl/>
              <w:jc w:val="center"/>
              <w:rPr>
                <w:rFonts w:hint="eastAsia" w:ascii="宋体" w:hAnsi="宋体" w:eastAsia="宋体" w:cs="宋体"/>
                <w:kern w:val="0"/>
                <w:sz w:val="24"/>
                <w:szCs w:val="24"/>
                <w:highlight w:val="none"/>
              </w:rPr>
            </w:pPr>
          </w:p>
        </w:tc>
        <w:tc>
          <w:tcPr>
            <w:tcW w:w="2092" w:type="dxa"/>
            <w:noWrap w:val="0"/>
            <w:vAlign w:val="center"/>
          </w:tcPr>
          <w:p w14:paraId="376BDBEE">
            <w:pPr>
              <w:widowControl/>
              <w:jc w:val="center"/>
              <w:rPr>
                <w:rFonts w:hint="eastAsia" w:ascii="宋体" w:hAnsi="宋体" w:eastAsia="宋体" w:cs="宋体"/>
                <w:kern w:val="0"/>
                <w:sz w:val="24"/>
                <w:szCs w:val="24"/>
                <w:highlight w:val="none"/>
              </w:rPr>
            </w:pPr>
          </w:p>
        </w:tc>
        <w:tc>
          <w:tcPr>
            <w:tcW w:w="1454" w:type="dxa"/>
            <w:noWrap w:val="0"/>
            <w:vAlign w:val="center"/>
          </w:tcPr>
          <w:p w14:paraId="53C180A5">
            <w:pPr>
              <w:widowControl/>
              <w:jc w:val="center"/>
              <w:rPr>
                <w:rFonts w:hint="eastAsia" w:ascii="宋体" w:hAnsi="宋体" w:eastAsia="宋体" w:cs="宋体"/>
                <w:kern w:val="0"/>
                <w:sz w:val="24"/>
                <w:szCs w:val="24"/>
                <w:highlight w:val="none"/>
              </w:rPr>
            </w:pPr>
          </w:p>
        </w:tc>
        <w:tc>
          <w:tcPr>
            <w:tcW w:w="810" w:type="dxa"/>
            <w:noWrap w:val="0"/>
            <w:vAlign w:val="center"/>
          </w:tcPr>
          <w:p w14:paraId="6412570A">
            <w:pPr>
              <w:widowControl/>
              <w:jc w:val="center"/>
              <w:rPr>
                <w:rFonts w:hint="eastAsia" w:ascii="宋体" w:hAnsi="宋体" w:eastAsia="宋体" w:cs="宋体"/>
                <w:kern w:val="0"/>
                <w:sz w:val="24"/>
                <w:szCs w:val="24"/>
                <w:highlight w:val="none"/>
              </w:rPr>
            </w:pPr>
          </w:p>
        </w:tc>
        <w:tc>
          <w:tcPr>
            <w:tcW w:w="1315" w:type="dxa"/>
            <w:noWrap w:val="0"/>
            <w:vAlign w:val="center"/>
          </w:tcPr>
          <w:p w14:paraId="0286D27E">
            <w:pPr>
              <w:widowControl/>
              <w:jc w:val="center"/>
              <w:rPr>
                <w:rFonts w:hint="eastAsia" w:ascii="宋体" w:hAnsi="宋体" w:eastAsia="宋体" w:cs="宋体"/>
                <w:kern w:val="0"/>
                <w:sz w:val="24"/>
                <w:szCs w:val="24"/>
                <w:highlight w:val="none"/>
              </w:rPr>
            </w:pPr>
          </w:p>
        </w:tc>
        <w:tc>
          <w:tcPr>
            <w:tcW w:w="1700" w:type="dxa"/>
            <w:noWrap w:val="0"/>
            <w:vAlign w:val="center"/>
          </w:tcPr>
          <w:p w14:paraId="4BD4BE9F">
            <w:pPr>
              <w:widowControl/>
              <w:jc w:val="center"/>
              <w:rPr>
                <w:rFonts w:hint="eastAsia" w:ascii="宋体" w:hAnsi="宋体" w:eastAsia="宋体" w:cs="宋体"/>
                <w:kern w:val="0"/>
                <w:sz w:val="24"/>
                <w:szCs w:val="24"/>
                <w:highlight w:val="none"/>
              </w:rPr>
            </w:pPr>
          </w:p>
        </w:tc>
      </w:tr>
      <w:tr w14:paraId="6236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noWrap w:val="0"/>
            <w:vAlign w:val="center"/>
          </w:tcPr>
          <w:p w14:paraId="448DFA3E">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合计</w:t>
            </w:r>
          </w:p>
        </w:tc>
        <w:tc>
          <w:tcPr>
            <w:tcW w:w="5279" w:type="dxa"/>
            <w:gridSpan w:val="4"/>
            <w:noWrap w:val="0"/>
            <w:vAlign w:val="center"/>
          </w:tcPr>
          <w:p w14:paraId="2F3240D3">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（大写）（￥：）</w:t>
            </w:r>
          </w:p>
        </w:tc>
      </w:tr>
    </w:tbl>
    <w:p w14:paraId="2EE77278">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组成本合同的有关文件</w:t>
      </w:r>
    </w:p>
    <w:p w14:paraId="323DF37D">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3.1.下列文件构成本合同的组成部分，应该认为是一个整体，彼此相互解释，相互补充。组成合同的多个文件的优先支配地位的次序如下：</w:t>
      </w:r>
    </w:p>
    <w:p w14:paraId="4F891035">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3.1.1本合同书　</w:t>
      </w:r>
    </w:p>
    <w:p w14:paraId="4BABFFDD">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3.1.2中标通知书</w:t>
      </w:r>
      <w:r>
        <w:rPr>
          <w:rFonts w:hint="eastAsia" w:ascii="宋体" w:hAnsi="宋体" w:eastAsia="宋体" w:cs="宋体"/>
          <w:kern w:val="0"/>
          <w:sz w:val="24"/>
          <w:szCs w:val="24"/>
          <w:highlight w:val="none"/>
        </w:rPr>
        <w:tab/>
      </w:r>
    </w:p>
    <w:p w14:paraId="6C574648">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3.1.3中标供应商澄清修改文件</w:t>
      </w:r>
    </w:p>
    <w:p w14:paraId="4D532E90">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3.1.4中标供应商投标文件</w:t>
      </w:r>
    </w:p>
    <w:p w14:paraId="3BFDF7FC">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3.1.5招标文件澄清修改文件</w:t>
      </w:r>
    </w:p>
    <w:p w14:paraId="6155D71B">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3.1.6招标文件</w:t>
      </w:r>
    </w:p>
    <w:p w14:paraId="04F21FF4">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第四条　权利保证</w:t>
      </w:r>
    </w:p>
    <w:p w14:paraId="0CF20235">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乙方保证提供的货物不存在对任何第三方侵权行为（包括商标、专利、版权、知识产权等）。若发生侵权行为，由乙方负全责，应承担由此发生的一切经济和法律责任，并赔偿甲方</w:t>
      </w:r>
      <w:r>
        <w:rPr>
          <w:rFonts w:hint="eastAsia" w:ascii="宋体" w:hAnsi="宋体" w:eastAsia="宋体" w:cs="宋体"/>
          <w:kern w:val="0"/>
          <w:sz w:val="24"/>
          <w:szCs w:val="24"/>
          <w:highlight w:val="none"/>
          <w:u w:val="single"/>
        </w:rPr>
        <w:t xml:space="preserve"> 30% </w:t>
      </w:r>
      <w:r>
        <w:rPr>
          <w:rFonts w:hint="eastAsia" w:ascii="宋体" w:hAnsi="宋体" w:eastAsia="宋体" w:cs="宋体"/>
          <w:kern w:val="0"/>
          <w:sz w:val="24"/>
          <w:szCs w:val="24"/>
          <w:highlight w:val="none"/>
        </w:rPr>
        <w:t>的合同货款。</w:t>
      </w:r>
    </w:p>
    <w:p w14:paraId="2C5F1CD7">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第五条　质量保证</w:t>
      </w:r>
    </w:p>
    <w:p w14:paraId="2D4A7E29">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5.1乙方须保证货物与响应文件相一致，货物是原厂生产的、全新、未使用过的；货物完全符合国家有关法律、法规、规章的规定，如：中国强制性产品认证制度；货物完全符合国家有关部门最新颁布强制性技术质量规范的；货物符合合同规定的质量、规格、性能和技术规范等的要求。</w:t>
      </w:r>
    </w:p>
    <w:p w14:paraId="4AF6783E">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5.2乙方须保证所提供的货物经正确安装、正常运转和保养，在其使用寿命期内须具有符合质量要求和产品说明书的性能。在货物质量保证期之内，乙方须对由于设计、工艺或材料的缺陷而发生的故障负责，由此引发的风险和费用将由乙方承担。</w:t>
      </w:r>
    </w:p>
    <w:p w14:paraId="43EA9BF7">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5.3根据甲方按检验标准自己检验结果或委托有资质的相关质检机构的检验结果，发现货物的数量、质量、规格与合同不符；或者在质量保证期内，证实货物存在缺陷，包括潜在的缺陷或使用不符合要求的材料等，甲方应尽快以书面形式通知乙方。乙方在收到通知后</w:t>
      </w:r>
      <w:r>
        <w:rPr>
          <w:rFonts w:hint="eastAsia" w:ascii="宋体" w:hAnsi="宋体" w:eastAsia="宋体" w:cs="宋体"/>
          <w:kern w:val="0"/>
          <w:sz w:val="24"/>
          <w:szCs w:val="24"/>
          <w:highlight w:val="none"/>
          <w:u w:val="single"/>
        </w:rPr>
        <w:t xml:space="preserve">  3 </w:t>
      </w:r>
      <w:r>
        <w:rPr>
          <w:rFonts w:hint="eastAsia" w:ascii="宋体" w:hAnsi="宋体" w:eastAsia="宋体" w:cs="宋体"/>
          <w:kern w:val="0"/>
          <w:sz w:val="24"/>
          <w:szCs w:val="24"/>
          <w:highlight w:val="none"/>
        </w:rPr>
        <w:t>天内应维修或更换有缺陷的货物或部件。</w:t>
      </w:r>
    </w:p>
    <w:p w14:paraId="3A9FF7EB">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5.4如果乙方在收到通知后</w:t>
      </w:r>
      <w:r>
        <w:rPr>
          <w:rFonts w:hint="eastAsia" w:ascii="宋体" w:hAnsi="宋体" w:eastAsia="宋体" w:cs="宋体"/>
          <w:kern w:val="0"/>
          <w:sz w:val="24"/>
          <w:szCs w:val="24"/>
          <w:highlight w:val="none"/>
          <w:u w:val="single"/>
        </w:rPr>
        <w:t xml:space="preserve"> 7  </w:t>
      </w:r>
      <w:r>
        <w:rPr>
          <w:rFonts w:hint="eastAsia" w:ascii="宋体" w:hAnsi="宋体" w:eastAsia="宋体" w:cs="宋体"/>
          <w:kern w:val="0"/>
          <w:sz w:val="24"/>
          <w:szCs w:val="24"/>
          <w:highlight w:val="none"/>
        </w:rPr>
        <w:t>天内没有弥补缺陷，甲方可采取必要的补救措施，但由此引发的风险和费用将由乙方承担。</w:t>
      </w:r>
    </w:p>
    <w:p w14:paraId="0FBA18AD">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第六条  技术资料</w:t>
      </w:r>
    </w:p>
    <w:p w14:paraId="4602823D">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6.1乙方应将每台设备和仪器的中文技术资料完整一套，如目录索引、图纸、操作手册、使用指南、维修指南和／或服务手册和示意图等随同每批货物一起发运。</w:t>
      </w:r>
    </w:p>
    <w:p w14:paraId="4A6C0F77">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6.2如果甲方确认乙方提供的技术资料不完整或在运输过程中丢失，乙方将在收到甲方通知后</w:t>
      </w:r>
      <w:r>
        <w:rPr>
          <w:rFonts w:hint="eastAsia" w:ascii="宋体" w:hAnsi="宋体" w:eastAsia="宋体" w:cs="宋体"/>
          <w:kern w:val="0"/>
          <w:sz w:val="24"/>
          <w:szCs w:val="24"/>
          <w:highlight w:val="none"/>
          <w:u w:val="single"/>
        </w:rPr>
        <w:t xml:space="preserve">  3  </w:t>
      </w:r>
      <w:r>
        <w:rPr>
          <w:rFonts w:hint="eastAsia" w:ascii="宋体" w:hAnsi="宋体" w:eastAsia="宋体" w:cs="宋体"/>
          <w:kern w:val="0"/>
          <w:sz w:val="24"/>
          <w:szCs w:val="24"/>
          <w:highlight w:val="none"/>
        </w:rPr>
        <w:t>天内将这些资料寄给甲方。</w:t>
      </w:r>
    </w:p>
    <w:p w14:paraId="4F596E8B">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第七条　包装要求</w:t>
      </w:r>
    </w:p>
    <w:p w14:paraId="77BEC05D">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7.1 除合同另有规定外，乙方提供的全部货物均应按标准保护措施进行包装。该包装应适应于远距离运输、防潮、防震、防锈和防野蛮装卸，以确保货物安全无损运抵指定地点。由于包装不善所引起的货物损失均由乙方承担。</w:t>
      </w:r>
    </w:p>
    <w:p w14:paraId="05355864">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7.2 每一包装单元内应附详细的装箱单和质量合格凭证。</w:t>
      </w:r>
    </w:p>
    <w:p w14:paraId="0528A035">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第八条　交货时间、方式、地点</w:t>
      </w:r>
    </w:p>
    <w:p w14:paraId="05F37F9E">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8.1 乙方应按照本合同或招标文件规定的时间和方式向甲方交付货物，交货地点为</w:t>
      </w:r>
      <w:r>
        <w:rPr>
          <w:rFonts w:hint="eastAsia" w:ascii="宋体" w:hAnsi="宋体" w:eastAsia="宋体" w:cs="宋体"/>
          <w:kern w:val="0"/>
          <w:sz w:val="24"/>
          <w:szCs w:val="24"/>
          <w:highlight w:val="none"/>
          <w:u w:val="single"/>
        </w:rPr>
        <w:t xml:space="preserve"> 丽水学院校内-职教中心大楼 </w:t>
      </w:r>
      <w:r>
        <w:rPr>
          <w:rFonts w:hint="eastAsia" w:ascii="宋体" w:hAnsi="宋体" w:eastAsia="宋体" w:cs="宋体"/>
          <w:kern w:val="0"/>
          <w:sz w:val="24"/>
          <w:szCs w:val="24"/>
          <w:highlight w:val="none"/>
        </w:rPr>
        <w:t>；</w:t>
      </w:r>
    </w:p>
    <w:p w14:paraId="6875EB12">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8.2乙方交付的货物应当完全符合本合同或者招标文件所规定的货物、数量和规格要求。乙方不得少交或多交货物。乙方提供的货物不符合招标文件和合同规定的，甲方有权拒收货物，由此引起的风险，由乙方承担。</w:t>
      </w:r>
    </w:p>
    <w:p w14:paraId="3FBABEDB">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第九条  检验和验收</w:t>
      </w:r>
    </w:p>
    <w:p w14:paraId="08C1345F">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9.1 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14:paraId="783BA720">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9.2 货物的到货验收包括：型号、规格、数量、外观质量、及货物包装是否完好；甲方须按照采购合同规定或招标文件的技术、服务等要求组织对供应商履约的验收，并出具验收书，验收书应当包括每一项技术、服务等要求的履约情况。验收方成员应当在验收书上签字，并承担相应的法律责任。</w:t>
      </w:r>
    </w:p>
    <w:p w14:paraId="03BF457B">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大型或者复杂的项目，甲方应当邀请国家认可的质量检测机构参加验收。</w:t>
      </w:r>
    </w:p>
    <w:p w14:paraId="4EEB4412">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9.3 甲方应当在到货后的</w:t>
      </w:r>
      <w:r>
        <w:rPr>
          <w:rFonts w:hint="eastAsia" w:ascii="宋体" w:hAnsi="宋体" w:eastAsia="宋体" w:cs="宋体"/>
          <w:kern w:val="0"/>
          <w:sz w:val="24"/>
          <w:szCs w:val="24"/>
          <w:highlight w:val="none"/>
          <w:u w:val="single"/>
        </w:rPr>
        <w:t xml:space="preserve"> 3 </w:t>
      </w:r>
      <w:r>
        <w:rPr>
          <w:rFonts w:hint="eastAsia" w:ascii="宋体" w:hAnsi="宋体" w:eastAsia="宋体" w:cs="宋体"/>
          <w:kern w:val="0"/>
          <w:sz w:val="24"/>
          <w:szCs w:val="24"/>
          <w:highlight w:val="none"/>
        </w:rPr>
        <w:t>个工作日内对货物进行验收；需要乙方对货物或系统进行安装调试的，甲方应在货物安装调试完毕</w:t>
      </w:r>
      <w:r>
        <w:rPr>
          <w:rFonts w:hint="eastAsia" w:ascii="宋体" w:hAnsi="宋体" w:eastAsia="宋体" w:cs="宋体"/>
          <w:kern w:val="0"/>
          <w:sz w:val="24"/>
          <w:szCs w:val="24"/>
          <w:highlight w:val="none"/>
          <w:lang w:val="en-US" w:eastAsia="zh-CN"/>
        </w:rPr>
        <w:t>投入使用</w:t>
      </w:r>
      <w:r>
        <w:rPr>
          <w:rFonts w:hint="eastAsia" w:ascii="宋体" w:hAnsi="宋体" w:eastAsia="宋体" w:cs="宋体"/>
          <w:kern w:val="0"/>
          <w:sz w:val="24"/>
          <w:szCs w:val="24"/>
          <w:highlight w:val="none"/>
        </w:rPr>
        <w:t>后的</w:t>
      </w:r>
      <w:r>
        <w:rPr>
          <w:rFonts w:hint="eastAsia" w:ascii="宋体" w:hAnsi="宋体" w:eastAsia="宋体" w:cs="宋体"/>
          <w:kern w:val="0"/>
          <w:sz w:val="24"/>
          <w:szCs w:val="24"/>
          <w:highlight w:val="none"/>
          <w:u w:val="single"/>
        </w:rPr>
        <w:t xml:space="preserve"> 15 </w:t>
      </w:r>
      <w:r>
        <w:rPr>
          <w:rFonts w:hint="eastAsia" w:ascii="宋体" w:hAnsi="宋体" w:eastAsia="宋体" w:cs="宋体"/>
          <w:kern w:val="0"/>
          <w:sz w:val="24"/>
          <w:szCs w:val="24"/>
          <w:highlight w:val="none"/>
        </w:rPr>
        <w:t>个工作日内进行质量验收。验收合格的，由甲方签署验收单并加盖单位公章。招标文件对检验期限另有规定的，从其规定。</w:t>
      </w:r>
    </w:p>
    <w:p w14:paraId="2B8BB379">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9.4 货物和系统调试验收的标准：按行业通行标准、厂方出厂标准和乙方投标文件的承诺（详见合同附件载明的标准，并不低于国家相关标准）。</w:t>
      </w:r>
    </w:p>
    <w:p w14:paraId="1F519765">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9.5 甲方有在货物制造过程中派员监造的权利， 乙方有义务为甲方监造人员行使该权利提供方便。</w:t>
      </w:r>
    </w:p>
    <w:p w14:paraId="46586C44">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9.6 制造厂对所供货物进行机械运转试验和性能试验时，乙方必须提前通知甲方。</w:t>
      </w:r>
    </w:p>
    <w:p w14:paraId="464AB1A0">
      <w:pPr>
        <w:widowControl/>
        <w:spacing w:line="360" w:lineRule="auto"/>
        <w:ind w:firstLine="480" w:firstLineChars="200"/>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9.7 本项目第三方参与验收：</w:t>
      </w:r>
      <w:r>
        <w:rPr>
          <w:rFonts w:hint="eastAsia" w:ascii="宋体" w:hAnsi="宋体" w:eastAsia="宋体" w:cs="宋体"/>
          <w:kern w:val="0"/>
          <w:sz w:val="24"/>
          <w:szCs w:val="24"/>
          <w:highlight w:val="none"/>
          <w:u w:val="single"/>
        </w:rPr>
        <w:t xml:space="preserve">                                               </w:t>
      </w:r>
    </w:p>
    <w:p w14:paraId="40433138">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其他</w:t>
      </w:r>
      <w:r>
        <w:rPr>
          <w:rFonts w:hint="eastAsia" w:ascii="宋体" w:hAnsi="宋体" w:eastAsia="宋体" w:cs="宋体"/>
          <w:kern w:val="0"/>
          <w:sz w:val="24"/>
          <w:szCs w:val="24"/>
          <w:highlight w:val="none"/>
          <w:u w:val="single"/>
        </w:rPr>
        <w:t xml:space="preserve">                                                                    </w:t>
      </w:r>
    </w:p>
    <w:p w14:paraId="1883FF33">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第十条　伴随服务／售后服务</w:t>
      </w:r>
    </w:p>
    <w:p w14:paraId="6DF20072">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10.1 乙方应按照国家有关法律法规规章和“三包”规定以及合同所附的“服务承诺”提供服务。</w:t>
      </w:r>
    </w:p>
    <w:p w14:paraId="1B2867BA">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10.2 除前款规定外，乙方还应提供下列服务：</w:t>
      </w:r>
    </w:p>
    <w:p w14:paraId="226D65D3">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10.2.1 货物的现场安装、调试和/或启动监督；</w:t>
      </w:r>
    </w:p>
    <w:p w14:paraId="627E0D6E">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10.2.2 就货物的安装、启动、运行及维护等对甲方人员进行培训。</w:t>
      </w:r>
    </w:p>
    <w:p w14:paraId="21653273">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10.2.3 若招标文件中不包含有关伴随服务或售后服务的承诺，双方作如下约定：</w:t>
      </w:r>
    </w:p>
    <w:p w14:paraId="56805FD0">
      <w:pPr>
        <w:widowControl/>
        <w:spacing w:line="360" w:lineRule="auto"/>
        <w:ind w:firstLine="480" w:firstLineChars="200"/>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u w:val="single"/>
        </w:rPr>
        <w:t xml:space="preserve">                      </w:t>
      </w:r>
    </w:p>
    <w:p w14:paraId="720EBB51">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10.3 乙方应为甲方提供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14:paraId="2BA8AB3A">
      <w:pPr>
        <w:widowControl/>
        <w:spacing w:line="360" w:lineRule="auto"/>
        <w:ind w:firstLine="480" w:firstLineChars="200"/>
        <w:rPr>
          <w:rFonts w:hint="eastAsia" w:ascii="宋体" w:hAnsi="宋体" w:eastAsia="宋体" w:cs="宋体"/>
          <w:sz w:val="32"/>
          <w:szCs w:val="24"/>
          <w:highlight w:val="none"/>
        </w:rPr>
      </w:pPr>
      <w:r>
        <w:rPr>
          <w:rFonts w:hint="eastAsia" w:ascii="宋体" w:hAnsi="宋体" w:eastAsia="宋体" w:cs="宋体"/>
          <w:kern w:val="0"/>
          <w:sz w:val="24"/>
          <w:szCs w:val="24"/>
          <w:highlight w:val="none"/>
        </w:rPr>
        <w:t xml:space="preserve">10.4 </w:t>
      </w:r>
      <w:r>
        <w:rPr>
          <w:rFonts w:hint="eastAsia" w:ascii="宋体" w:hAnsi="宋体" w:eastAsia="宋体" w:cs="宋体"/>
          <w:kern w:val="0"/>
          <w:sz w:val="24"/>
          <w:szCs w:val="24"/>
          <w:highlight w:val="none"/>
          <w:u w:val="single"/>
        </w:rPr>
        <w:t>本项目整体原厂质保</w:t>
      </w:r>
      <w:r>
        <w:rPr>
          <w:rFonts w:hint="eastAsia" w:ascii="宋体" w:hAnsi="宋体" w:eastAsia="宋体" w:cs="宋体"/>
          <w:kern w:val="0"/>
          <w:sz w:val="24"/>
          <w:szCs w:val="24"/>
          <w:highlight w:val="none"/>
          <w:u w:val="single"/>
          <w:lang w:val="en-US" w:eastAsia="zh-CN"/>
        </w:rPr>
        <w:t>5</w:t>
      </w:r>
      <w:r>
        <w:rPr>
          <w:rFonts w:hint="eastAsia" w:ascii="宋体" w:hAnsi="宋体" w:eastAsia="宋体" w:cs="宋体"/>
          <w:kern w:val="0"/>
          <w:sz w:val="24"/>
          <w:szCs w:val="24"/>
          <w:highlight w:val="none"/>
          <w:u w:val="single"/>
        </w:rPr>
        <w:t>年</w:t>
      </w:r>
      <w:r>
        <w:rPr>
          <w:rFonts w:hint="eastAsia" w:ascii="宋体" w:hAnsi="宋体" w:eastAsia="宋体" w:cs="宋体"/>
          <w:kern w:val="0"/>
          <w:sz w:val="24"/>
          <w:szCs w:val="24"/>
          <w:highlight w:val="none"/>
        </w:rPr>
        <w:t>，保修期自甲方在货物质量验收单上签字之日起计算，保修费用计入总价。质保期内，在正常使用过程中出现的质量问题，全部由供应商负责维修或调换，质保期内被更换的零部件质保期再延续1年。</w:t>
      </w:r>
    </w:p>
    <w:p w14:paraId="16843C79">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10.5 保修期内，乙方负责对其提供的货物进行维修和维护，不再收取任何费用，但不可抗力（如火灾、雷击等）造成的故障除外。</w:t>
      </w:r>
    </w:p>
    <w:p w14:paraId="7297BC98">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10.6 保修期内，供应商需提供</w:t>
      </w:r>
      <w:r>
        <w:rPr>
          <w:rFonts w:hint="eastAsia" w:ascii="宋体" w:hAnsi="宋体" w:eastAsia="宋体" w:cs="宋体"/>
          <w:bCs/>
          <w:kern w:val="0"/>
          <w:sz w:val="24"/>
          <w:szCs w:val="24"/>
          <w:highlight w:val="none"/>
          <w:u w:val="single"/>
        </w:rPr>
        <w:t xml:space="preserve"> </w:t>
      </w:r>
      <w:r>
        <w:rPr>
          <w:rFonts w:hint="eastAsia" w:ascii="宋体" w:hAnsi="宋体" w:cs="宋体"/>
          <w:bCs/>
          <w:kern w:val="0"/>
          <w:sz w:val="24"/>
          <w:szCs w:val="24"/>
          <w:highlight w:val="none"/>
          <w:u w:val="single"/>
          <w:lang w:val="en-US" w:eastAsia="zh-CN"/>
        </w:rPr>
        <w:t>7*24</w:t>
      </w:r>
      <w:r>
        <w:rPr>
          <w:rFonts w:hint="eastAsia" w:ascii="宋体" w:hAnsi="宋体" w:eastAsia="宋体" w:cs="宋体"/>
          <w:bCs/>
          <w:kern w:val="0"/>
          <w:sz w:val="24"/>
          <w:szCs w:val="24"/>
          <w:highlight w:val="none"/>
          <w:u w:val="single"/>
        </w:rPr>
        <w:t xml:space="preserve">  小时</w:t>
      </w:r>
      <w:r>
        <w:rPr>
          <w:rFonts w:hint="eastAsia" w:ascii="宋体" w:hAnsi="宋体" w:eastAsia="宋体" w:cs="宋体"/>
          <w:kern w:val="0"/>
          <w:sz w:val="24"/>
          <w:szCs w:val="24"/>
          <w:highlight w:val="none"/>
          <w:u w:val="single"/>
        </w:rPr>
        <w:t>的技术支持服务，且维修人员须在接到维修电话后</w:t>
      </w:r>
      <w:r>
        <w:rPr>
          <w:rFonts w:hint="eastAsia" w:ascii="宋体" w:hAnsi="宋体" w:eastAsia="宋体" w:cs="宋体"/>
          <w:bCs/>
          <w:kern w:val="0"/>
          <w:sz w:val="24"/>
          <w:szCs w:val="24"/>
          <w:highlight w:val="none"/>
          <w:u w:val="single"/>
        </w:rPr>
        <w:t xml:space="preserve"> </w:t>
      </w:r>
      <w:r>
        <w:rPr>
          <w:rFonts w:hint="eastAsia" w:ascii="宋体" w:hAnsi="宋体" w:cs="宋体"/>
          <w:bCs/>
          <w:kern w:val="0"/>
          <w:sz w:val="24"/>
          <w:szCs w:val="24"/>
          <w:highlight w:val="none"/>
          <w:u w:val="single"/>
          <w:lang w:val="en-US" w:eastAsia="zh-CN"/>
        </w:rPr>
        <w:t>1</w:t>
      </w:r>
      <w:r>
        <w:rPr>
          <w:rFonts w:hint="eastAsia" w:ascii="宋体" w:hAnsi="宋体" w:eastAsia="宋体" w:cs="宋体"/>
          <w:bCs/>
          <w:kern w:val="0"/>
          <w:sz w:val="24"/>
          <w:szCs w:val="24"/>
          <w:highlight w:val="none"/>
          <w:u w:val="single"/>
        </w:rPr>
        <w:t xml:space="preserve"> 小时内响应， </w:t>
      </w:r>
      <w:r>
        <w:rPr>
          <w:rFonts w:hint="eastAsia" w:ascii="宋体" w:hAnsi="宋体" w:cs="宋体"/>
          <w:bCs/>
          <w:kern w:val="0"/>
          <w:sz w:val="24"/>
          <w:szCs w:val="24"/>
          <w:highlight w:val="none"/>
          <w:u w:val="single"/>
          <w:lang w:val="en-US" w:eastAsia="zh-CN"/>
        </w:rPr>
        <w:t>8</w:t>
      </w:r>
      <w:r>
        <w:rPr>
          <w:rFonts w:hint="eastAsia" w:ascii="宋体" w:hAnsi="宋体" w:eastAsia="宋体" w:cs="宋体"/>
          <w:bCs/>
          <w:kern w:val="0"/>
          <w:sz w:val="24"/>
          <w:szCs w:val="24"/>
          <w:highlight w:val="none"/>
          <w:u w:val="single"/>
        </w:rPr>
        <w:t xml:space="preserve"> 小时内</w:t>
      </w:r>
      <w:r>
        <w:rPr>
          <w:rFonts w:hint="eastAsia" w:ascii="宋体" w:hAnsi="宋体" w:eastAsia="宋体" w:cs="宋体"/>
          <w:kern w:val="0"/>
          <w:sz w:val="24"/>
          <w:szCs w:val="24"/>
          <w:highlight w:val="none"/>
          <w:u w:val="single"/>
        </w:rPr>
        <w:t>赶到现场解决问题，最迟在</w:t>
      </w:r>
      <w:r>
        <w:rPr>
          <w:rFonts w:hint="eastAsia" w:ascii="宋体" w:hAnsi="宋体" w:cs="宋体"/>
          <w:kern w:val="0"/>
          <w:sz w:val="24"/>
          <w:szCs w:val="24"/>
          <w:highlight w:val="none"/>
          <w:u w:val="single"/>
          <w:lang w:val="en-US" w:eastAsia="zh-CN"/>
        </w:rPr>
        <w:t>24个小时</w:t>
      </w:r>
      <w:r>
        <w:rPr>
          <w:rFonts w:hint="eastAsia" w:ascii="宋体" w:hAnsi="宋体" w:eastAsia="宋体" w:cs="宋体"/>
          <w:kern w:val="0"/>
          <w:sz w:val="24"/>
          <w:szCs w:val="24"/>
          <w:highlight w:val="none"/>
          <w:u w:val="single"/>
        </w:rPr>
        <w:t>内修复</w:t>
      </w:r>
      <w:r>
        <w:rPr>
          <w:rFonts w:hint="eastAsia" w:ascii="宋体" w:hAnsi="宋体" w:eastAsia="宋体" w:cs="宋体"/>
          <w:kern w:val="0"/>
          <w:sz w:val="24"/>
          <w:szCs w:val="24"/>
          <w:highlight w:val="none"/>
        </w:rPr>
        <w:t>，如不能修复应采取补救措施，以保证使用方的正常工作，中标单位有其它服务承诺的一并履行。</w:t>
      </w:r>
    </w:p>
    <w:p w14:paraId="4C7C8030">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10.7</w:t>
      </w:r>
      <w:r>
        <w:rPr>
          <w:rFonts w:hint="eastAsia" w:ascii="宋体" w:hAnsi="宋体" w:eastAsia="宋体" w:cs="宋体"/>
          <w:kern w:val="0"/>
          <w:sz w:val="24"/>
          <w:szCs w:val="20"/>
          <w:highlight w:val="none"/>
        </w:rPr>
        <w:t>乙方按甲方实际需求，提供成品仓储及二次搬运服务，费用包含在本次报价中。</w:t>
      </w:r>
    </w:p>
    <w:p w14:paraId="48EAD3BF">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10.8 本项目</w:t>
      </w:r>
      <w:r>
        <w:rPr>
          <w:rFonts w:hint="eastAsia" w:ascii="宋体" w:hAnsi="宋体" w:eastAsia="宋体" w:cs="宋体"/>
          <w:kern w:val="0"/>
          <w:sz w:val="24"/>
          <w:szCs w:val="24"/>
          <w:highlight w:val="none"/>
          <w:u w:val="single"/>
        </w:rPr>
        <w:t>甲方负责人：，联系电话：；乙方负责人：，联系电话：</w:t>
      </w:r>
      <w:r>
        <w:rPr>
          <w:rFonts w:hint="eastAsia" w:ascii="宋体" w:hAnsi="宋体" w:eastAsia="宋体" w:cs="宋体"/>
          <w:kern w:val="0"/>
          <w:sz w:val="24"/>
          <w:szCs w:val="24"/>
          <w:highlight w:val="none"/>
        </w:rPr>
        <w:t>。</w:t>
      </w:r>
    </w:p>
    <w:p w14:paraId="759052A5">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10.9 所有货物保修服务方式均为乙方上门保修，即由乙方派员到货物使用现场维修，由此产生的一切费用均由乙方承担。</w:t>
      </w:r>
    </w:p>
    <w:p w14:paraId="494E09F5">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第十一条　履约保证</w:t>
      </w:r>
    </w:p>
    <w:p w14:paraId="44476CED">
      <w:pPr>
        <w:widowControl/>
        <w:spacing w:line="360" w:lineRule="auto"/>
        <w:ind w:firstLine="480" w:firstLineChars="200"/>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11.1 履约保证金：</w:t>
      </w:r>
      <w:r>
        <w:rPr>
          <w:rFonts w:hint="eastAsia" w:ascii="宋体" w:hAnsi="宋体" w:cs="宋体"/>
          <w:kern w:val="0"/>
          <w:sz w:val="24"/>
          <w:szCs w:val="24"/>
          <w:highlight w:val="none"/>
          <w:lang w:val="en-US" w:eastAsia="zh-CN"/>
        </w:rPr>
        <w:t>本项目不设履约保证金</w:t>
      </w:r>
    </w:p>
    <w:p w14:paraId="449AAD92">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第十二条　货款支付</w:t>
      </w:r>
    </w:p>
    <w:p w14:paraId="267AD1CE">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12.1 本合同项下所有款项均以人民币支付。</w:t>
      </w:r>
    </w:p>
    <w:p w14:paraId="137484B4">
      <w:pPr>
        <w:snapToGrid w:val="0"/>
        <w:spacing w:line="360" w:lineRule="auto"/>
        <w:ind w:firstLine="480" w:firstLineChars="200"/>
        <w:rPr>
          <w:rFonts w:hint="default" w:ascii="宋体" w:hAnsi="宋体" w:eastAsia="宋体" w:cs="Times New Roman"/>
          <w:bCs/>
          <w:sz w:val="24"/>
          <w:highlight w:val="none"/>
          <w:lang w:eastAsia="zh-CN"/>
        </w:rPr>
      </w:pPr>
      <w:r>
        <w:rPr>
          <w:rFonts w:hint="eastAsia" w:ascii="宋体" w:hAnsi="宋体" w:eastAsia="宋体" w:cs="宋体"/>
          <w:kern w:val="0"/>
          <w:sz w:val="24"/>
          <w:szCs w:val="24"/>
          <w:highlight w:val="none"/>
        </w:rPr>
        <w:t>12.2 货款支付方法：</w:t>
      </w:r>
      <w:r>
        <w:rPr>
          <w:rFonts w:hint="eastAsia" w:ascii="宋体" w:hAnsi="宋体" w:eastAsia="宋体" w:cs="宋体"/>
          <w:color w:val="auto"/>
          <w:kern w:val="0"/>
          <w:sz w:val="24"/>
          <w:szCs w:val="24"/>
          <w:highlight w:val="none"/>
          <w:lang w:eastAsia="zh-CN"/>
        </w:rPr>
        <w:t>签订合同后</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sz w:val="24"/>
          <w:szCs w:val="24"/>
          <w:highlight w:val="none"/>
        </w:rPr>
        <w:t>个工作日内，</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eastAsia="zh-CN"/>
        </w:rPr>
        <w:t>向</w:t>
      </w:r>
      <w:r>
        <w:rPr>
          <w:rFonts w:hint="eastAsia" w:ascii="宋体" w:hAnsi="宋体" w:cs="宋体"/>
          <w:sz w:val="24"/>
          <w:szCs w:val="24"/>
          <w:highlight w:val="none"/>
          <w:lang w:val="en-US" w:eastAsia="zh-CN"/>
        </w:rPr>
        <w:t>乙方</w:t>
      </w:r>
      <w:r>
        <w:rPr>
          <w:rFonts w:hint="eastAsia" w:ascii="宋体" w:hAnsi="宋体" w:eastAsia="宋体" w:cs="宋体"/>
          <w:color w:val="auto"/>
          <w:kern w:val="0"/>
          <w:sz w:val="24"/>
          <w:szCs w:val="24"/>
          <w:highlight w:val="none"/>
          <w:lang w:val="en-US" w:eastAsia="zh-CN"/>
        </w:rPr>
        <w:t>支付合同总价的</w:t>
      </w:r>
      <w:r>
        <w:rPr>
          <w:rFonts w:hint="eastAsia" w:ascii="宋体" w:hAnsi="宋体" w:cs="宋体"/>
          <w:color w:val="auto"/>
          <w:kern w:val="0"/>
          <w:sz w:val="24"/>
          <w:szCs w:val="24"/>
          <w:highlight w:val="none"/>
          <w:lang w:val="en-US" w:eastAsia="zh-CN"/>
        </w:rPr>
        <w:t>40</w:t>
      </w:r>
      <w:r>
        <w:rPr>
          <w:rFonts w:hint="eastAsia" w:ascii="宋体" w:hAnsi="宋体" w:eastAsia="宋体" w:cs="宋体"/>
          <w:color w:val="auto"/>
          <w:kern w:val="0"/>
          <w:sz w:val="24"/>
          <w:szCs w:val="24"/>
          <w:highlight w:val="none"/>
          <w:lang w:val="en-US" w:eastAsia="zh-CN"/>
        </w:rPr>
        <w:t>%作为预付款；</w:t>
      </w:r>
      <w:r>
        <w:rPr>
          <w:rFonts w:hint="eastAsia" w:ascii="宋体" w:hAnsi="宋体" w:eastAsia="宋体" w:cs="宋体"/>
          <w:color w:val="auto"/>
          <w:kern w:val="0"/>
          <w:sz w:val="24"/>
          <w:szCs w:val="24"/>
          <w:highlight w:val="none"/>
          <w:lang w:eastAsia="zh-CN"/>
        </w:rPr>
        <w:t>待设备安装完成并经调试验收合格</w:t>
      </w:r>
      <w:r>
        <w:rPr>
          <w:rFonts w:hint="eastAsia" w:ascii="宋体" w:hAnsi="宋体" w:cs="宋体"/>
          <w:sz w:val="24"/>
          <w:szCs w:val="24"/>
          <w:highlight w:val="none"/>
          <w:lang w:val="en-US" w:eastAsia="zh-CN"/>
        </w:rPr>
        <w:t>后</w:t>
      </w:r>
      <w:r>
        <w:rPr>
          <w:rFonts w:hint="eastAsia" w:ascii="宋体" w:hAnsi="宋体" w:cs="宋体"/>
          <w:color w:val="auto"/>
          <w:kern w:val="0"/>
          <w:sz w:val="24"/>
          <w:szCs w:val="24"/>
          <w:highlight w:val="none"/>
          <w:lang w:val="en-US" w:eastAsia="zh-CN"/>
        </w:rPr>
        <w:t>7</w:t>
      </w:r>
      <w:r>
        <w:rPr>
          <w:rFonts w:hint="eastAsia" w:ascii="宋体" w:hAnsi="宋体" w:eastAsia="宋体" w:cs="宋体"/>
          <w:sz w:val="24"/>
          <w:szCs w:val="24"/>
          <w:highlight w:val="none"/>
        </w:rPr>
        <w:t>个工作日内</w:t>
      </w:r>
      <w:r>
        <w:rPr>
          <w:rFonts w:hint="eastAsia" w:ascii="宋体" w:hAnsi="宋体" w:eastAsia="宋体" w:cs="宋体"/>
          <w:color w:val="auto"/>
          <w:kern w:val="0"/>
          <w:sz w:val="24"/>
          <w:szCs w:val="24"/>
          <w:highlight w:val="none"/>
          <w:lang w:eastAsia="zh-CN"/>
        </w:rPr>
        <w:t>支付</w:t>
      </w:r>
      <w:r>
        <w:rPr>
          <w:rFonts w:hint="eastAsia" w:ascii="宋体" w:hAnsi="宋体" w:cs="宋体"/>
          <w:color w:val="auto"/>
          <w:kern w:val="0"/>
          <w:sz w:val="24"/>
          <w:szCs w:val="24"/>
          <w:highlight w:val="none"/>
          <w:lang w:val="en-US" w:eastAsia="zh-CN"/>
        </w:rPr>
        <w:t>60%，以上款项需在付款前</w:t>
      </w:r>
      <w:r>
        <w:rPr>
          <w:rFonts w:hint="eastAsia" w:ascii="宋体" w:hAnsi="宋体" w:cs="宋体"/>
          <w:sz w:val="24"/>
          <w:szCs w:val="24"/>
          <w:highlight w:val="none"/>
          <w:lang w:val="en-US" w:eastAsia="zh-CN"/>
        </w:rPr>
        <w:t>乙方</w:t>
      </w:r>
      <w:r>
        <w:rPr>
          <w:rFonts w:hint="eastAsia" w:ascii="宋体" w:hAnsi="宋体" w:cs="宋体"/>
          <w:color w:val="auto"/>
          <w:kern w:val="0"/>
          <w:sz w:val="24"/>
          <w:szCs w:val="24"/>
          <w:highlight w:val="none"/>
          <w:lang w:val="en-US" w:eastAsia="zh-CN"/>
        </w:rPr>
        <w:t>提供正式的税务发票。</w:t>
      </w:r>
    </w:p>
    <w:p w14:paraId="03EFC798">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第十三条　违约责任</w:t>
      </w:r>
    </w:p>
    <w:p w14:paraId="3EEED835">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13.1 甲方无正当理由拒收货物、拒付货物款的，由甲方向乙方偿付合同总价的</w:t>
      </w:r>
      <w:r>
        <w:rPr>
          <w:rFonts w:hint="eastAsia" w:ascii="宋体" w:hAnsi="宋体" w:eastAsia="宋体" w:cs="宋体"/>
          <w:kern w:val="0"/>
          <w:sz w:val="24"/>
          <w:szCs w:val="24"/>
          <w:highlight w:val="none"/>
          <w:u w:val="single"/>
        </w:rPr>
        <w:t>3%</w:t>
      </w:r>
      <w:r>
        <w:rPr>
          <w:rFonts w:hint="eastAsia" w:ascii="宋体" w:hAnsi="宋体" w:eastAsia="宋体" w:cs="宋体"/>
          <w:kern w:val="0"/>
          <w:sz w:val="24"/>
          <w:szCs w:val="24"/>
          <w:highlight w:val="none"/>
        </w:rPr>
        <w:t>违约金。</w:t>
      </w:r>
    </w:p>
    <w:p w14:paraId="3BA0775D">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13.2 甲方未按合同规定的期限向乙方支付货款的，每逾期</w:t>
      </w:r>
      <w:r>
        <w:rPr>
          <w:rFonts w:hint="eastAsia" w:ascii="宋体" w:hAnsi="宋体" w:eastAsia="宋体" w:cs="宋体"/>
          <w:kern w:val="0"/>
          <w:sz w:val="24"/>
          <w:szCs w:val="24"/>
          <w:highlight w:val="none"/>
          <w:u w:val="single"/>
        </w:rPr>
        <w:t>1</w:t>
      </w:r>
      <w:r>
        <w:rPr>
          <w:rFonts w:hint="eastAsia" w:ascii="宋体" w:hAnsi="宋体" w:eastAsia="宋体" w:cs="宋体"/>
          <w:kern w:val="0"/>
          <w:sz w:val="24"/>
          <w:szCs w:val="24"/>
          <w:highlight w:val="none"/>
        </w:rPr>
        <w:t>天甲方向乙方偿付欠款总额的</w:t>
      </w:r>
      <w:r>
        <w:rPr>
          <w:rFonts w:hint="eastAsia" w:ascii="宋体" w:hAnsi="宋体" w:eastAsia="宋体" w:cs="宋体"/>
          <w:kern w:val="0"/>
          <w:sz w:val="24"/>
          <w:szCs w:val="24"/>
          <w:highlight w:val="none"/>
          <w:u w:val="single"/>
        </w:rPr>
        <w:t>5‰</w:t>
      </w:r>
      <w:r>
        <w:rPr>
          <w:rFonts w:hint="eastAsia" w:ascii="宋体" w:hAnsi="宋体" w:eastAsia="宋体" w:cs="宋体"/>
          <w:kern w:val="0"/>
          <w:sz w:val="24"/>
          <w:szCs w:val="24"/>
          <w:highlight w:val="none"/>
        </w:rPr>
        <w:t>滞纳金，但累计滞纳金总额不超过欠款总额的</w:t>
      </w:r>
      <w:r>
        <w:rPr>
          <w:rFonts w:hint="eastAsia" w:ascii="宋体" w:hAnsi="宋体" w:eastAsia="宋体" w:cs="宋体"/>
          <w:kern w:val="0"/>
          <w:sz w:val="24"/>
          <w:szCs w:val="24"/>
          <w:highlight w:val="none"/>
          <w:u w:val="single"/>
        </w:rPr>
        <w:t>3%</w:t>
      </w:r>
      <w:r>
        <w:rPr>
          <w:rFonts w:hint="eastAsia" w:ascii="宋体" w:hAnsi="宋体" w:eastAsia="宋体" w:cs="宋体"/>
          <w:kern w:val="0"/>
          <w:sz w:val="24"/>
          <w:szCs w:val="24"/>
          <w:highlight w:val="none"/>
        </w:rPr>
        <w:t>。</w:t>
      </w:r>
    </w:p>
    <w:p w14:paraId="580721B3">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13.3 如乙方不能交付货物，甲方有权扣留全部履约保证金；同时乙方应向甲方支付合同总价</w:t>
      </w:r>
      <w:r>
        <w:rPr>
          <w:rFonts w:hint="eastAsia" w:ascii="宋体" w:hAnsi="宋体" w:eastAsia="宋体" w:cs="宋体"/>
          <w:kern w:val="0"/>
          <w:sz w:val="24"/>
          <w:szCs w:val="24"/>
          <w:highlight w:val="none"/>
          <w:u w:val="single"/>
        </w:rPr>
        <w:t>3％</w:t>
      </w:r>
      <w:r>
        <w:rPr>
          <w:rFonts w:hint="eastAsia" w:ascii="宋体" w:hAnsi="宋体" w:eastAsia="宋体" w:cs="宋体"/>
          <w:kern w:val="0"/>
          <w:sz w:val="24"/>
          <w:szCs w:val="24"/>
          <w:highlight w:val="none"/>
        </w:rPr>
        <w:t>的违约金。</w:t>
      </w:r>
    </w:p>
    <w:p w14:paraId="476C4733">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13.4 乙方逾期交付货物的，每逾期</w:t>
      </w:r>
      <w:r>
        <w:rPr>
          <w:rFonts w:hint="eastAsia" w:ascii="宋体" w:hAnsi="宋体" w:eastAsia="宋体" w:cs="宋体"/>
          <w:kern w:val="0"/>
          <w:sz w:val="24"/>
          <w:szCs w:val="24"/>
          <w:highlight w:val="none"/>
          <w:u w:val="single"/>
        </w:rPr>
        <w:t>1</w:t>
      </w:r>
      <w:r>
        <w:rPr>
          <w:rFonts w:hint="eastAsia" w:ascii="宋体" w:hAnsi="宋体" w:eastAsia="宋体" w:cs="宋体"/>
          <w:kern w:val="0"/>
          <w:sz w:val="24"/>
          <w:szCs w:val="24"/>
          <w:highlight w:val="none"/>
        </w:rPr>
        <w:t>天，乙方向甲方偿付逾期交货部分货款总额的</w:t>
      </w:r>
      <w:r>
        <w:rPr>
          <w:rFonts w:hint="eastAsia" w:ascii="宋体" w:hAnsi="宋体" w:eastAsia="宋体" w:cs="宋体"/>
          <w:kern w:val="0"/>
          <w:sz w:val="24"/>
          <w:szCs w:val="24"/>
          <w:highlight w:val="none"/>
          <w:u w:val="single"/>
        </w:rPr>
        <w:t>5‰</w:t>
      </w:r>
      <w:r>
        <w:rPr>
          <w:rFonts w:hint="eastAsia" w:ascii="宋体" w:hAnsi="宋体" w:eastAsia="宋体" w:cs="宋体"/>
          <w:kern w:val="0"/>
          <w:sz w:val="24"/>
          <w:szCs w:val="24"/>
          <w:highlight w:val="none"/>
        </w:rPr>
        <w:t>的滞纳金。如乙方逾期交货达</w:t>
      </w:r>
      <w:r>
        <w:rPr>
          <w:rFonts w:hint="eastAsia" w:ascii="宋体" w:hAnsi="宋体" w:eastAsia="宋体" w:cs="宋体"/>
          <w:kern w:val="0"/>
          <w:sz w:val="24"/>
          <w:szCs w:val="24"/>
          <w:highlight w:val="none"/>
          <w:u w:val="single"/>
        </w:rPr>
        <w:t>10</w:t>
      </w:r>
      <w:r>
        <w:rPr>
          <w:rFonts w:hint="eastAsia" w:ascii="宋体" w:hAnsi="宋体" w:eastAsia="宋体" w:cs="宋体"/>
          <w:kern w:val="0"/>
          <w:sz w:val="24"/>
          <w:szCs w:val="24"/>
          <w:highlight w:val="none"/>
        </w:rPr>
        <w:t>天，甲方有权解除合同，解除合同的通知自到达乙方时生效。</w:t>
      </w:r>
    </w:p>
    <w:p w14:paraId="0564361D">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在履行合同过程中，如果乙方遇到不能按时交货情况，应及时以书面形式将不能按时交货的理由、预期延误时间通知甲方。甲方收到乙方通知后，认为其理由正当的，可酌情延长交货时间；不认可乙方不能按时交货理由的，按逾期交付货物处理。</w:t>
      </w:r>
    </w:p>
    <w:p w14:paraId="175BE45A">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13.5 乙方所交付的货物品种、型号、规格、技术指标不符合合同规定的，甲方有权拒收。甲方拒收的，乙方应向甲方支付货款总额</w:t>
      </w:r>
      <w:r>
        <w:rPr>
          <w:rFonts w:hint="eastAsia" w:ascii="宋体" w:hAnsi="宋体" w:eastAsia="宋体" w:cs="宋体"/>
          <w:kern w:val="0"/>
          <w:sz w:val="24"/>
          <w:szCs w:val="24"/>
          <w:highlight w:val="none"/>
          <w:u w:val="single"/>
        </w:rPr>
        <w:t>3</w:t>
      </w:r>
      <w:r>
        <w:rPr>
          <w:rFonts w:hint="eastAsia" w:ascii="宋体" w:hAnsi="宋体" w:eastAsia="宋体" w:cs="宋体"/>
          <w:kern w:val="0"/>
          <w:sz w:val="24"/>
          <w:szCs w:val="24"/>
          <w:highlight w:val="none"/>
        </w:rPr>
        <w:t>%的违约金。</w:t>
      </w:r>
    </w:p>
    <w:p w14:paraId="5FF1750C">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13.6 在乙方承诺的或国家规定的质量保证期内（取两者中最长的期限），如经乙方两次维修或更换，货物仍不能达到合同约定的质量标准，甲方有权退货，乙方应退回全部货款，并按第13.3款处理，同时，乙方还须赔偿甲方因此遭受的损失。</w:t>
      </w:r>
    </w:p>
    <w:p w14:paraId="62C9BE51">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13.7 乙方未按本合同的规定和“服务承诺”提供伴随服务/售后服务的，应按合同总价款的</w:t>
      </w:r>
      <w:r>
        <w:rPr>
          <w:rFonts w:hint="eastAsia" w:ascii="宋体" w:hAnsi="宋体" w:eastAsia="宋体" w:cs="宋体"/>
          <w:kern w:val="0"/>
          <w:sz w:val="24"/>
          <w:szCs w:val="24"/>
          <w:highlight w:val="none"/>
          <w:u w:val="single"/>
        </w:rPr>
        <w:t>3%</w:t>
      </w:r>
      <w:r>
        <w:rPr>
          <w:rFonts w:hint="eastAsia" w:ascii="宋体" w:hAnsi="宋体" w:eastAsia="宋体" w:cs="宋体"/>
          <w:kern w:val="0"/>
          <w:sz w:val="24"/>
          <w:szCs w:val="24"/>
          <w:highlight w:val="none"/>
        </w:rPr>
        <w:t>向甲方承担违约责任。</w:t>
      </w:r>
    </w:p>
    <w:p w14:paraId="5529D6E6">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13.8 乙方在承担上述13.3～13.7款一项或多项违约责任后，仍应继续履行合同规定的义务（甲方解除合同的除外）。甲方未能及时追究乙方的任何一项违约责任并不表明甲方放弃追究乙方该项或其他违约责任。</w:t>
      </w:r>
    </w:p>
    <w:p w14:paraId="5D897CE2">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第十四条　合同的转让和分包</w:t>
      </w:r>
    </w:p>
    <w:p w14:paraId="5B8FFD9A">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乙方不得擅自分包其应履行的合同义务。须将项目的非主体、非关键性工作分包的，应当在投标文件中载明分包承担主体，分包承担主体应当具备相应资质条件且不得再次分包。</w:t>
      </w:r>
    </w:p>
    <w:p w14:paraId="458977EE">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第十五条　合同的变更和终止</w:t>
      </w:r>
    </w:p>
    <w:p w14:paraId="7FA1606D">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除《政府采购法》第50条第二款规定的情形外，本合同一经签订，双方不得擅自变更、中止或终止合同。</w:t>
      </w:r>
    </w:p>
    <w:p w14:paraId="7A10E61E">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第十六条　不可抗力</w:t>
      </w:r>
    </w:p>
    <w:p w14:paraId="1CF67B2C">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16.1 如果双方中任何一方遭遇法律规定的不可抗力，致使合同履行受阻时，履行合同的期限应予延长，延长的期限应相当于不可抗力所影响的时间。</w:t>
      </w:r>
    </w:p>
    <w:p w14:paraId="3A28B924">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16.2 受事故影响的一方应在不可抗力的事故发生后尽快书面形式通知另一方，并尽快将有关部门出具的证明文件送达另一方。</w:t>
      </w:r>
    </w:p>
    <w:p w14:paraId="1B0E646C">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16.3 不可抗力使合同的某些内容有变更必要的， 双方应通过协商达成进一步履行合同的协议，因不可抗力致使合同不能履行的，合同终止。</w:t>
      </w:r>
    </w:p>
    <w:p w14:paraId="3CA19A8B">
      <w:pPr>
        <w:widowControl/>
        <w:spacing w:line="360" w:lineRule="auto"/>
        <w:ind w:firstLine="482" w:firstLineChars="20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第十七条　争议的解决</w:t>
      </w:r>
    </w:p>
    <w:p w14:paraId="04C769D4">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17.1 因货物的质量问题发生争议的，应当邀请国家认可的质量检测机构对货物质量进行鉴定。货物符合标准的，鉴定费由甲方承担；货物不符合质量标准的，鉴定费由乙方承担。</w:t>
      </w:r>
    </w:p>
    <w:p w14:paraId="79843654">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17.2 因履行本合同引起的或与本合同有关的争议，甲、乙双方应首先通过友好协商解决，如果协商不能解决争议，则采取以下第</w:t>
      </w:r>
      <w:r>
        <w:rPr>
          <w:rFonts w:hint="eastAsia" w:ascii="宋体" w:hAnsi="宋体" w:eastAsia="宋体" w:cs="宋体"/>
          <w:kern w:val="0"/>
          <w:sz w:val="24"/>
          <w:szCs w:val="24"/>
          <w:highlight w:val="none"/>
          <w:u w:val="single"/>
        </w:rPr>
        <w:t xml:space="preserve"> 17.2.</w:t>
      </w:r>
      <w:r>
        <w:rPr>
          <w:rFonts w:hint="eastAsia" w:ascii="宋体" w:hAnsi="宋体" w:eastAsia="宋体" w:cs="宋体"/>
          <w:kern w:val="0"/>
          <w:sz w:val="24"/>
          <w:szCs w:val="24"/>
          <w:highlight w:val="none"/>
          <w:u w:val="single"/>
          <w:lang w:val="en-US" w:eastAsia="zh-CN"/>
        </w:rPr>
        <w:t>1</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种方式解决争议：</w:t>
      </w:r>
    </w:p>
    <w:p w14:paraId="15DDFF5C">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17.2.1 向甲方所在地有管辖权的人民法院提起诉讼；</w:t>
      </w:r>
    </w:p>
    <w:p w14:paraId="6D45B9D2">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17.2.2 向丽水仲裁委员会按其仲裁规则申请仲裁。</w:t>
      </w:r>
    </w:p>
    <w:p w14:paraId="3B4BD3B0">
      <w:pPr>
        <w:widowControl/>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17.3 在仲裁期间，本合同应继续履行。</w:t>
      </w:r>
    </w:p>
    <w:p w14:paraId="0B9E0B44">
      <w:pPr>
        <w:widowControl/>
        <w:spacing w:line="360" w:lineRule="auto"/>
        <w:ind w:firstLine="482"/>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第十八条　合同生效及其他</w:t>
      </w:r>
    </w:p>
    <w:p w14:paraId="66E23277">
      <w:pPr>
        <w:widowControl/>
        <w:spacing w:line="360" w:lineRule="auto"/>
        <w:ind w:firstLine="482"/>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18.1 合同经双方负责人或被委托人签字并加盖单位公章。</w:t>
      </w:r>
    </w:p>
    <w:p w14:paraId="12089966">
      <w:pPr>
        <w:widowControl/>
        <w:spacing w:line="360" w:lineRule="auto"/>
        <w:ind w:firstLine="482"/>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18.2 合同执行中涉及采购资金和采购内容修改或补充的，须经财政部门批准，并签书面补充协议报政府采购监督管理部门备案，方可作为合同不可分割的一部分。</w:t>
      </w:r>
    </w:p>
    <w:p w14:paraId="5E7FE9F2">
      <w:pPr>
        <w:widowControl/>
        <w:spacing w:line="360" w:lineRule="auto"/>
        <w:ind w:firstLine="482"/>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18.3 本合同自签订之日起生效。</w:t>
      </w:r>
    </w:p>
    <w:p w14:paraId="47C9146C">
      <w:pPr>
        <w:widowControl/>
        <w:spacing w:line="360" w:lineRule="auto"/>
        <w:ind w:firstLine="482"/>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18.4 本合同一式六份，甲乙双方各执三份。</w:t>
      </w:r>
    </w:p>
    <w:p w14:paraId="0CD29CBD">
      <w:pPr>
        <w:widowControl/>
        <w:spacing w:line="360" w:lineRule="auto"/>
        <w:ind w:firstLine="482"/>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18.5本合同应按照中华人民共和国的现行法律进行解释。</w:t>
      </w:r>
    </w:p>
    <w:tbl>
      <w:tblPr>
        <w:tblStyle w:val="24"/>
        <w:tblW w:w="9070" w:type="dxa"/>
        <w:jc w:val="center"/>
        <w:tblLayout w:type="fixed"/>
        <w:tblCellMar>
          <w:top w:w="0" w:type="dxa"/>
          <w:left w:w="108" w:type="dxa"/>
          <w:bottom w:w="0" w:type="dxa"/>
          <w:right w:w="108" w:type="dxa"/>
        </w:tblCellMar>
      </w:tblPr>
      <w:tblGrid>
        <w:gridCol w:w="1418"/>
        <w:gridCol w:w="1134"/>
        <w:gridCol w:w="1960"/>
        <w:gridCol w:w="1442"/>
        <w:gridCol w:w="1134"/>
        <w:gridCol w:w="1982"/>
      </w:tblGrid>
      <w:tr w14:paraId="2414A9B0">
        <w:tblPrEx>
          <w:tblCellMar>
            <w:top w:w="0" w:type="dxa"/>
            <w:left w:w="108" w:type="dxa"/>
            <w:bottom w:w="0" w:type="dxa"/>
            <w:right w:w="108" w:type="dxa"/>
          </w:tblCellMar>
        </w:tblPrEx>
        <w:trPr>
          <w:trHeight w:val="1699" w:hRule="atLeast"/>
          <w:jc w:val="center"/>
        </w:trPr>
        <w:tc>
          <w:tcPr>
            <w:tcW w:w="4512" w:type="dxa"/>
            <w:gridSpan w:val="3"/>
            <w:noWrap w:val="0"/>
            <w:vAlign w:val="center"/>
          </w:tcPr>
          <w:p w14:paraId="6A971247">
            <w:pPr>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甲方（公章）</w:t>
            </w:r>
          </w:p>
        </w:tc>
        <w:tc>
          <w:tcPr>
            <w:tcW w:w="4558" w:type="dxa"/>
            <w:gridSpan w:val="3"/>
            <w:noWrap w:val="0"/>
            <w:vAlign w:val="center"/>
          </w:tcPr>
          <w:p w14:paraId="0EE92FEC">
            <w:pPr>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乙方（公章）</w:t>
            </w:r>
          </w:p>
        </w:tc>
      </w:tr>
      <w:tr w14:paraId="5834C526">
        <w:tblPrEx>
          <w:tblCellMar>
            <w:top w:w="0" w:type="dxa"/>
            <w:left w:w="108" w:type="dxa"/>
            <w:bottom w:w="0" w:type="dxa"/>
            <w:right w:w="108" w:type="dxa"/>
          </w:tblCellMar>
        </w:tblPrEx>
        <w:trPr>
          <w:trHeight w:val="454" w:hRule="atLeast"/>
          <w:jc w:val="center"/>
        </w:trPr>
        <w:tc>
          <w:tcPr>
            <w:tcW w:w="1418" w:type="dxa"/>
            <w:noWrap w:val="0"/>
            <w:vAlign w:val="center"/>
          </w:tcPr>
          <w:p w14:paraId="40374552">
            <w:pPr>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w:t>
            </w:r>
          </w:p>
        </w:tc>
        <w:tc>
          <w:tcPr>
            <w:tcW w:w="1134" w:type="dxa"/>
            <w:vMerge w:val="restart"/>
            <w:noWrap w:val="0"/>
            <w:vAlign w:val="center"/>
          </w:tcPr>
          <w:p w14:paraId="4452070E">
            <w:pPr>
              <w:widowControl/>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(签字):</w:t>
            </w:r>
          </w:p>
        </w:tc>
        <w:tc>
          <w:tcPr>
            <w:tcW w:w="1960" w:type="dxa"/>
            <w:vMerge w:val="restart"/>
            <w:noWrap w:val="0"/>
            <w:vAlign w:val="center"/>
          </w:tcPr>
          <w:p w14:paraId="55C2CA1E">
            <w:pPr>
              <w:snapToGrid w:val="0"/>
              <w:jc w:val="center"/>
              <w:rPr>
                <w:rFonts w:hint="eastAsia" w:ascii="宋体" w:hAnsi="宋体" w:eastAsia="宋体" w:cs="宋体"/>
                <w:sz w:val="24"/>
                <w:szCs w:val="24"/>
                <w:highlight w:val="none"/>
              </w:rPr>
            </w:pPr>
          </w:p>
        </w:tc>
        <w:tc>
          <w:tcPr>
            <w:tcW w:w="1442" w:type="dxa"/>
            <w:noWrap w:val="0"/>
            <w:vAlign w:val="center"/>
          </w:tcPr>
          <w:p w14:paraId="1E2D37BE">
            <w:pPr>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w:t>
            </w:r>
          </w:p>
        </w:tc>
        <w:tc>
          <w:tcPr>
            <w:tcW w:w="1134" w:type="dxa"/>
            <w:vMerge w:val="restart"/>
            <w:noWrap w:val="0"/>
            <w:vAlign w:val="center"/>
          </w:tcPr>
          <w:p w14:paraId="02A0420C">
            <w:pPr>
              <w:widowControl/>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(签字):</w:t>
            </w:r>
          </w:p>
        </w:tc>
        <w:tc>
          <w:tcPr>
            <w:tcW w:w="1982" w:type="dxa"/>
            <w:vMerge w:val="restart"/>
            <w:noWrap w:val="0"/>
            <w:vAlign w:val="center"/>
          </w:tcPr>
          <w:p w14:paraId="26DD1EED">
            <w:pPr>
              <w:snapToGrid w:val="0"/>
              <w:jc w:val="center"/>
              <w:rPr>
                <w:rFonts w:hint="eastAsia" w:ascii="宋体" w:hAnsi="宋体" w:eastAsia="宋体" w:cs="宋体"/>
                <w:sz w:val="24"/>
                <w:szCs w:val="24"/>
                <w:highlight w:val="none"/>
              </w:rPr>
            </w:pPr>
          </w:p>
        </w:tc>
      </w:tr>
      <w:tr w14:paraId="3230BA77">
        <w:tblPrEx>
          <w:tblCellMar>
            <w:top w:w="0" w:type="dxa"/>
            <w:left w:w="108" w:type="dxa"/>
            <w:bottom w:w="0" w:type="dxa"/>
            <w:right w:w="108" w:type="dxa"/>
          </w:tblCellMar>
        </w:tblPrEx>
        <w:trPr>
          <w:trHeight w:val="492" w:hRule="atLeast"/>
          <w:jc w:val="center"/>
        </w:trPr>
        <w:tc>
          <w:tcPr>
            <w:tcW w:w="1418" w:type="dxa"/>
            <w:noWrap w:val="0"/>
            <w:vAlign w:val="center"/>
          </w:tcPr>
          <w:p w14:paraId="7EA297AE">
            <w:pPr>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或被委托入</w:t>
            </w:r>
          </w:p>
        </w:tc>
        <w:tc>
          <w:tcPr>
            <w:tcW w:w="1134" w:type="dxa"/>
            <w:vMerge w:val="continue"/>
            <w:noWrap w:val="0"/>
            <w:vAlign w:val="center"/>
          </w:tcPr>
          <w:p w14:paraId="1475C27C">
            <w:pPr>
              <w:snapToGrid w:val="0"/>
              <w:jc w:val="center"/>
              <w:rPr>
                <w:rFonts w:hint="eastAsia" w:ascii="宋体" w:hAnsi="宋体" w:eastAsia="宋体" w:cs="宋体"/>
                <w:sz w:val="24"/>
                <w:szCs w:val="24"/>
                <w:highlight w:val="none"/>
              </w:rPr>
            </w:pPr>
          </w:p>
        </w:tc>
        <w:tc>
          <w:tcPr>
            <w:tcW w:w="1960" w:type="dxa"/>
            <w:vMerge w:val="continue"/>
            <w:noWrap w:val="0"/>
            <w:vAlign w:val="center"/>
          </w:tcPr>
          <w:p w14:paraId="3295EA8E">
            <w:pPr>
              <w:snapToGrid w:val="0"/>
              <w:jc w:val="center"/>
              <w:rPr>
                <w:rFonts w:hint="eastAsia" w:ascii="宋体" w:hAnsi="宋体" w:eastAsia="宋体" w:cs="宋体"/>
                <w:sz w:val="24"/>
                <w:szCs w:val="24"/>
                <w:highlight w:val="none"/>
              </w:rPr>
            </w:pPr>
          </w:p>
        </w:tc>
        <w:tc>
          <w:tcPr>
            <w:tcW w:w="1442" w:type="dxa"/>
            <w:noWrap w:val="0"/>
            <w:vAlign w:val="center"/>
          </w:tcPr>
          <w:p w14:paraId="582D2E3E">
            <w:pPr>
              <w:rPr>
                <w:rFonts w:hint="eastAsia" w:ascii="宋体" w:hAnsi="宋体" w:eastAsia="宋体" w:cs="宋体"/>
                <w:sz w:val="24"/>
                <w:szCs w:val="24"/>
                <w:highlight w:val="none"/>
              </w:rPr>
            </w:pPr>
            <w:r>
              <w:rPr>
                <w:rFonts w:hint="eastAsia" w:ascii="宋体" w:hAnsi="宋体" w:eastAsia="宋体" w:cs="宋体"/>
                <w:sz w:val="24"/>
                <w:szCs w:val="24"/>
                <w:highlight w:val="none"/>
              </w:rPr>
              <w:t>或被委托入</w:t>
            </w:r>
          </w:p>
        </w:tc>
        <w:tc>
          <w:tcPr>
            <w:tcW w:w="1134" w:type="dxa"/>
            <w:vMerge w:val="continue"/>
            <w:noWrap w:val="0"/>
            <w:vAlign w:val="center"/>
          </w:tcPr>
          <w:p w14:paraId="05D216B0">
            <w:pPr>
              <w:snapToGrid w:val="0"/>
              <w:jc w:val="center"/>
              <w:rPr>
                <w:rFonts w:hint="eastAsia" w:ascii="宋体" w:hAnsi="宋体" w:eastAsia="宋体" w:cs="宋体"/>
                <w:sz w:val="24"/>
                <w:szCs w:val="24"/>
                <w:highlight w:val="none"/>
              </w:rPr>
            </w:pPr>
          </w:p>
        </w:tc>
        <w:tc>
          <w:tcPr>
            <w:tcW w:w="1982" w:type="dxa"/>
            <w:vMerge w:val="continue"/>
            <w:noWrap w:val="0"/>
            <w:vAlign w:val="center"/>
          </w:tcPr>
          <w:p w14:paraId="3B3E88F4">
            <w:pPr>
              <w:snapToGrid w:val="0"/>
              <w:jc w:val="center"/>
              <w:rPr>
                <w:rFonts w:hint="eastAsia" w:ascii="宋体" w:hAnsi="宋体" w:eastAsia="宋体" w:cs="宋体"/>
                <w:sz w:val="24"/>
                <w:szCs w:val="24"/>
                <w:highlight w:val="none"/>
              </w:rPr>
            </w:pPr>
          </w:p>
        </w:tc>
      </w:tr>
      <w:tr w14:paraId="29CB1609">
        <w:tblPrEx>
          <w:tblCellMar>
            <w:top w:w="0" w:type="dxa"/>
            <w:left w:w="108" w:type="dxa"/>
            <w:bottom w:w="0" w:type="dxa"/>
            <w:right w:w="108" w:type="dxa"/>
          </w:tblCellMar>
        </w:tblPrEx>
        <w:trPr>
          <w:trHeight w:val="454" w:hRule="atLeast"/>
          <w:jc w:val="center"/>
        </w:trPr>
        <w:tc>
          <w:tcPr>
            <w:tcW w:w="1418" w:type="dxa"/>
            <w:noWrap w:val="0"/>
            <w:vAlign w:val="center"/>
          </w:tcPr>
          <w:p w14:paraId="4A843E7B">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地    址：</w:t>
            </w:r>
          </w:p>
        </w:tc>
        <w:tc>
          <w:tcPr>
            <w:tcW w:w="3094" w:type="dxa"/>
            <w:gridSpan w:val="2"/>
            <w:noWrap w:val="0"/>
            <w:vAlign w:val="center"/>
          </w:tcPr>
          <w:p w14:paraId="4A3AF2E1">
            <w:pPr>
              <w:snapToGrid w:val="0"/>
              <w:rPr>
                <w:rFonts w:hint="eastAsia" w:ascii="宋体" w:hAnsi="宋体" w:eastAsia="宋体" w:cs="宋体"/>
                <w:sz w:val="24"/>
                <w:szCs w:val="24"/>
                <w:highlight w:val="none"/>
              </w:rPr>
            </w:pPr>
          </w:p>
        </w:tc>
        <w:tc>
          <w:tcPr>
            <w:tcW w:w="1442" w:type="dxa"/>
            <w:noWrap w:val="0"/>
            <w:vAlign w:val="center"/>
          </w:tcPr>
          <w:p w14:paraId="390D052F">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地    址：</w:t>
            </w:r>
          </w:p>
        </w:tc>
        <w:tc>
          <w:tcPr>
            <w:tcW w:w="3116" w:type="dxa"/>
            <w:gridSpan w:val="2"/>
            <w:noWrap w:val="0"/>
            <w:vAlign w:val="center"/>
          </w:tcPr>
          <w:p w14:paraId="3C174AC4">
            <w:pPr>
              <w:snapToGrid w:val="0"/>
              <w:rPr>
                <w:rFonts w:hint="eastAsia" w:ascii="宋体" w:hAnsi="宋体" w:eastAsia="宋体" w:cs="宋体"/>
                <w:sz w:val="24"/>
                <w:szCs w:val="24"/>
                <w:highlight w:val="none"/>
              </w:rPr>
            </w:pPr>
          </w:p>
        </w:tc>
      </w:tr>
      <w:tr w14:paraId="23BEB9B9">
        <w:tblPrEx>
          <w:tblCellMar>
            <w:top w:w="0" w:type="dxa"/>
            <w:left w:w="108" w:type="dxa"/>
            <w:bottom w:w="0" w:type="dxa"/>
            <w:right w:w="108" w:type="dxa"/>
          </w:tblCellMar>
        </w:tblPrEx>
        <w:trPr>
          <w:trHeight w:val="454" w:hRule="atLeast"/>
          <w:jc w:val="center"/>
        </w:trPr>
        <w:tc>
          <w:tcPr>
            <w:tcW w:w="1418" w:type="dxa"/>
            <w:noWrap w:val="0"/>
            <w:vAlign w:val="center"/>
          </w:tcPr>
          <w:p w14:paraId="08198DD3">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联 系 人：</w:t>
            </w:r>
          </w:p>
        </w:tc>
        <w:tc>
          <w:tcPr>
            <w:tcW w:w="3094" w:type="dxa"/>
            <w:gridSpan w:val="2"/>
            <w:noWrap w:val="0"/>
            <w:vAlign w:val="center"/>
          </w:tcPr>
          <w:p w14:paraId="594047F8">
            <w:pPr>
              <w:snapToGrid w:val="0"/>
              <w:rPr>
                <w:rFonts w:hint="eastAsia" w:ascii="宋体" w:hAnsi="宋体" w:eastAsia="宋体" w:cs="宋体"/>
                <w:sz w:val="24"/>
                <w:szCs w:val="24"/>
                <w:highlight w:val="none"/>
              </w:rPr>
            </w:pPr>
          </w:p>
        </w:tc>
        <w:tc>
          <w:tcPr>
            <w:tcW w:w="1442" w:type="dxa"/>
            <w:noWrap w:val="0"/>
            <w:vAlign w:val="center"/>
          </w:tcPr>
          <w:p w14:paraId="66A311BF">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联 系 人：</w:t>
            </w:r>
          </w:p>
        </w:tc>
        <w:tc>
          <w:tcPr>
            <w:tcW w:w="3116" w:type="dxa"/>
            <w:gridSpan w:val="2"/>
            <w:noWrap w:val="0"/>
            <w:vAlign w:val="center"/>
          </w:tcPr>
          <w:p w14:paraId="3E0E527A">
            <w:pPr>
              <w:snapToGrid w:val="0"/>
              <w:rPr>
                <w:rFonts w:hint="eastAsia" w:ascii="宋体" w:hAnsi="宋体" w:eastAsia="宋体" w:cs="宋体"/>
                <w:sz w:val="24"/>
                <w:szCs w:val="24"/>
                <w:highlight w:val="none"/>
              </w:rPr>
            </w:pPr>
          </w:p>
        </w:tc>
      </w:tr>
      <w:tr w14:paraId="584AC193">
        <w:trPr>
          <w:trHeight w:val="454" w:hRule="atLeast"/>
          <w:jc w:val="center"/>
        </w:trPr>
        <w:tc>
          <w:tcPr>
            <w:tcW w:w="1418" w:type="dxa"/>
            <w:noWrap w:val="0"/>
            <w:vAlign w:val="center"/>
          </w:tcPr>
          <w:p w14:paraId="05E31C2E">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电    话：</w:t>
            </w:r>
          </w:p>
        </w:tc>
        <w:tc>
          <w:tcPr>
            <w:tcW w:w="3094" w:type="dxa"/>
            <w:gridSpan w:val="2"/>
            <w:noWrap w:val="0"/>
            <w:vAlign w:val="center"/>
          </w:tcPr>
          <w:p w14:paraId="682B6A6F">
            <w:pPr>
              <w:snapToGrid w:val="0"/>
              <w:rPr>
                <w:rFonts w:hint="eastAsia" w:ascii="宋体" w:hAnsi="宋体" w:eastAsia="宋体" w:cs="宋体"/>
                <w:sz w:val="24"/>
                <w:szCs w:val="24"/>
                <w:highlight w:val="none"/>
              </w:rPr>
            </w:pPr>
          </w:p>
        </w:tc>
        <w:tc>
          <w:tcPr>
            <w:tcW w:w="1442" w:type="dxa"/>
            <w:noWrap w:val="0"/>
            <w:vAlign w:val="center"/>
          </w:tcPr>
          <w:p w14:paraId="4C4C4EB2">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电    话：</w:t>
            </w:r>
          </w:p>
        </w:tc>
        <w:tc>
          <w:tcPr>
            <w:tcW w:w="3116" w:type="dxa"/>
            <w:gridSpan w:val="2"/>
            <w:noWrap w:val="0"/>
            <w:vAlign w:val="center"/>
          </w:tcPr>
          <w:p w14:paraId="7A70CD5D">
            <w:pPr>
              <w:snapToGrid w:val="0"/>
              <w:rPr>
                <w:rFonts w:hint="eastAsia" w:ascii="宋体" w:hAnsi="宋体" w:eastAsia="宋体" w:cs="宋体"/>
                <w:sz w:val="24"/>
                <w:szCs w:val="24"/>
                <w:highlight w:val="none"/>
              </w:rPr>
            </w:pPr>
          </w:p>
        </w:tc>
      </w:tr>
      <w:tr w14:paraId="237EC607">
        <w:tblPrEx>
          <w:tblCellMar>
            <w:top w:w="0" w:type="dxa"/>
            <w:left w:w="108" w:type="dxa"/>
            <w:bottom w:w="0" w:type="dxa"/>
            <w:right w:w="108" w:type="dxa"/>
          </w:tblCellMar>
        </w:tblPrEx>
        <w:trPr>
          <w:trHeight w:val="454" w:hRule="atLeast"/>
          <w:jc w:val="center"/>
        </w:trPr>
        <w:tc>
          <w:tcPr>
            <w:tcW w:w="1418" w:type="dxa"/>
            <w:noWrap w:val="0"/>
            <w:vAlign w:val="center"/>
          </w:tcPr>
          <w:p w14:paraId="5D6CB53E">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传    真：</w:t>
            </w:r>
          </w:p>
        </w:tc>
        <w:tc>
          <w:tcPr>
            <w:tcW w:w="3094" w:type="dxa"/>
            <w:gridSpan w:val="2"/>
            <w:noWrap w:val="0"/>
            <w:vAlign w:val="center"/>
          </w:tcPr>
          <w:p w14:paraId="40FCD3E7">
            <w:pPr>
              <w:snapToGrid w:val="0"/>
              <w:rPr>
                <w:rFonts w:hint="eastAsia" w:ascii="宋体" w:hAnsi="宋体" w:eastAsia="宋体" w:cs="宋体"/>
                <w:sz w:val="24"/>
                <w:szCs w:val="24"/>
                <w:highlight w:val="none"/>
              </w:rPr>
            </w:pPr>
          </w:p>
        </w:tc>
        <w:tc>
          <w:tcPr>
            <w:tcW w:w="1442" w:type="dxa"/>
            <w:noWrap w:val="0"/>
            <w:vAlign w:val="center"/>
          </w:tcPr>
          <w:p w14:paraId="5F885621">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传    真：</w:t>
            </w:r>
          </w:p>
        </w:tc>
        <w:tc>
          <w:tcPr>
            <w:tcW w:w="3116" w:type="dxa"/>
            <w:gridSpan w:val="2"/>
            <w:noWrap w:val="0"/>
            <w:vAlign w:val="center"/>
          </w:tcPr>
          <w:p w14:paraId="67D0CCAC">
            <w:pPr>
              <w:snapToGrid w:val="0"/>
              <w:rPr>
                <w:rFonts w:hint="eastAsia" w:ascii="宋体" w:hAnsi="宋体" w:eastAsia="宋体" w:cs="宋体"/>
                <w:sz w:val="24"/>
                <w:szCs w:val="24"/>
                <w:highlight w:val="none"/>
              </w:rPr>
            </w:pPr>
          </w:p>
        </w:tc>
      </w:tr>
      <w:tr w14:paraId="66BDE472">
        <w:tblPrEx>
          <w:tblCellMar>
            <w:top w:w="0" w:type="dxa"/>
            <w:left w:w="108" w:type="dxa"/>
            <w:bottom w:w="0" w:type="dxa"/>
            <w:right w:w="108" w:type="dxa"/>
          </w:tblCellMar>
        </w:tblPrEx>
        <w:trPr>
          <w:trHeight w:val="454" w:hRule="atLeast"/>
          <w:jc w:val="center"/>
        </w:trPr>
        <w:tc>
          <w:tcPr>
            <w:tcW w:w="1418" w:type="dxa"/>
            <w:noWrap w:val="0"/>
            <w:vAlign w:val="center"/>
          </w:tcPr>
          <w:p w14:paraId="07D69419">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邮政编码：</w:t>
            </w:r>
          </w:p>
        </w:tc>
        <w:tc>
          <w:tcPr>
            <w:tcW w:w="3094" w:type="dxa"/>
            <w:gridSpan w:val="2"/>
            <w:noWrap w:val="0"/>
            <w:vAlign w:val="center"/>
          </w:tcPr>
          <w:p w14:paraId="35188F45">
            <w:pPr>
              <w:snapToGrid w:val="0"/>
              <w:rPr>
                <w:rFonts w:hint="eastAsia" w:ascii="宋体" w:hAnsi="宋体" w:eastAsia="宋体" w:cs="宋体"/>
                <w:sz w:val="24"/>
                <w:szCs w:val="24"/>
                <w:highlight w:val="none"/>
              </w:rPr>
            </w:pPr>
          </w:p>
        </w:tc>
        <w:tc>
          <w:tcPr>
            <w:tcW w:w="1442" w:type="dxa"/>
            <w:noWrap w:val="0"/>
            <w:vAlign w:val="center"/>
          </w:tcPr>
          <w:p w14:paraId="3A474DC5">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邮政编码：</w:t>
            </w:r>
          </w:p>
        </w:tc>
        <w:tc>
          <w:tcPr>
            <w:tcW w:w="3116" w:type="dxa"/>
            <w:gridSpan w:val="2"/>
            <w:noWrap w:val="0"/>
            <w:vAlign w:val="center"/>
          </w:tcPr>
          <w:p w14:paraId="493CE015">
            <w:pPr>
              <w:snapToGrid w:val="0"/>
              <w:rPr>
                <w:rFonts w:hint="eastAsia" w:ascii="宋体" w:hAnsi="宋体" w:eastAsia="宋体" w:cs="宋体"/>
                <w:sz w:val="24"/>
                <w:szCs w:val="24"/>
                <w:highlight w:val="none"/>
              </w:rPr>
            </w:pPr>
          </w:p>
        </w:tc>
      </w:tr>
      <w:tr w14:paraId="080A780B">
        <w:tblPrEx>
          <w:tblCellMar>
            <w:top w:w="0" w:type="dxa"/>
            <w:left w:w="108" w:type="dxa"/>
            <w:bottom w:w="0" w:type="dxa"/>
            <w:right w:w="108" w:type="dxa"/>
          </w:tblCellMar>
        </w:tblPrEx>
        <w:trPr>
          <w:trHeight w:val="454" w:hRule="atLeast"/>
          <w:jc w:val="center"/>
        </w:trPr>
        <w:tc>
          <w:tcPr>
            <w:tcW w:w="1418" w:type="dxa"/>
            <w:noWrap w:val="0"/>
            <w:vAlign w:val="center"/>
          </w:tcPr>
          <w:p w14:paraId="08278036">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p>
        </w:tc>
        <w:tc>
          <w:tcPr>
            <w:tcW w:w="3094" w:type="dxa"/>
            <w:gridSpan w:val="2"/>
            <w:noWrap w:val="0"/>
            <w:vAlign w:val="center"/>
          </w:tcPr>
          <w:p w14:paraId="20A5A181">
            <w:pPr>
              <w:snapToGrid w:val="0"/>
              <w:rPr>
                <w:rFonts w:hint="eastAsia" w:ascii="宋体" w:hAnsi="宋体" w:eastAsia="宋体" w:cs="宋体"/>
                <w:sz w:val="24"/>
                <w:szCs w:val="24"/>
                <w:highlight w:val="none"/>
              </w:rPr>
            </w:pPr>
          </w:p>
        </w:tc>
        <w:tc>
          <w:tcPr>
            <w:tcW w:w="1442" w:type="dxa"/>
            <w:noWrap w:val="0"/>
            <w:vAlign w:val="center"/>
          </w:tcPr>
          <w:p w14:paraId="2617EFEB">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p>
        </w:tc>
        <w:tc>
          <w:tcPr>
            <w:tcW w:w="3116" w:type="dxa"/>
            <w:gridSpan w:val="2"/>
            <w:noWrap w:val="0"/>
            <w:vAlign w:val="center"/>
          </w:tcPr>
          <w:p w14:paraId="7B64F014">
            <w:pPr>
              <w:snapToGrid w:val="0"/>
              <w:rPr>
                <w:rFonts w:hint="eastAsia" w:ascii="宋体" w:hAnsi="宋体" w:eastAsia="宋体" w:cs="宋体"/>
                <w:sz w:val="24"/>
                <w:szCs w:val="24"/>
                <w:highlight w:val="none"/>
              </w:rPr>
            </w:pPr>
          </w:p>
        </w:tc>
      </w:tr>
      <w:tr w14:paraId="4DA26371">
        <w:tblPrEx>
          <w:tblCellMar>
            <w:top w:w="0" w:type="dxa"/>
            <w:left w:w="108" w:type="dxa"/>
            <w:bottom w:w="0" w:type="dxa"/>
            <w:right w:w="108" w:type="dxa"/>
          </w:tblCellMar>
        </w:tblPrEx>
        <w:trPr>
          <w:trHeight w:val="454" w:hRule="atLeast"/>
          <w:jc w:val="center"/>
        </w:trPr>
        <w:tc>
          <w:tcPr>
            <w:tcW w:w="1418" w:type="dxa"/>
            <w:noWrap w:val="0"/>
            <w:vAlign w:val="center"/>
          </w:tcPr>
          <w:p w14:paraId="79832187">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账    号：</w:t>
            </w:r>
          </w:p>
        </w:tc>
        <w:tc>
          <w:tcPr>
            <w:tcW w:w="3094" w:type="dxa"/>
            <w:gridSpan w:val="2"/>
            <w:noWrap w:val="0"/>
            <w:vAlign w:val="center"/>
          </w:tcPr>
          <w:p w14:paraId="388E3043">
            <w:pPr>
              <w:snapToGrid w:val="0"/>
              <w:rPr>
                <w:rFonts w:hint="eastAsia" w:ascii="宋体" w:hAnsi="宋体" w:eastAsia="宋体" w:cs="宋体"/>
                <w:sz w:val="24"/>
                <w:szCs w:val="24"/>
                <w:highlight w:val="none"/>
              </w:rPr>
            </w:pPr>
          </w:p>
        </w:tc>
        <w:tc>
          <w:tcPr>
            <w:tcW w:w="1442" w:type="dxa"/>
            <w:noWrap w:val="0"/>
            <w:vAlign w:val="center"/>
          </w:tcPr>
          <w:p w14:paraId="4ADAB847">
            <w:pPr>
              <w:snapToGrid w:val="0"/>
              <w:jc w:val="distribute"/>
              <w:rPr>
                <w:rFonts w:hint="eastAsia" w:ascii="宋体" w:hAnsi="宋体" w:eastAsia="宋体" w:cs="宋体"/>
                <w:sz w:val="24"/>
                <w:szCs w:val="24"/>
                <w:highlight w:val="none"/>
              </w:rPr>
            </w:pPr>
            <w:r>
              <w:rPr>
                <w:rFonts w:hint="eastAsia" w:ascii="宋体" w:hAnsi="宋体" w:eastAsia="宋体" w:cs="宋体"/>
                <w:sz w:val="24"/>
                <w:szCs w:val="24"/>
                <w:highlight w:val="none"/>
              </w:rPr>
              <w:t>账    号：</w:t>
            </w:r>
          </w:p>
        </w:tc>
        <w:tc>
          <w:tcPr>
            <w:tcW w:w="3116" w:type="dxa"/>
            <w:gridSpan w:val="2"/>
            <w:noWrap w:val="0"/>
            <w:vAlign w:val="center"/>
          </w:tcPr>
          <w:p w14:paraId="2694D0F5">
            <w:pPr>
              <w:snapToGrid w:val="0"/>
              <w:rPr>
                <w:rFonts w:hint="eastAsia" w:ascii="宋体" w:hAnsi="宋体" w:eastAsia="宋体" w:cs="宋体"/>
                <w:sz w:val="24"/>
                <w:szCs w:val="24"/>
                <w:highlight w:val="none"/>
              </w:rPr>
            </w:pPr>
          </w:p>
        </w:tc>
      </w:tr>
      <w:tr w14:paraId="0A7E6495">
        <w:tblPrEx>
          <w:tblCellMar>
            <w:top w:w="0" w:type="dxa"/>
            <w:left w:w="108" w:type="dxa"/>
            <w:bottom w:w="0" w:type="dxa"/>
            <w:right w:w="108" w:type="dxa"/>
          </w:tblCellMar>
        </w:tblPrEx>
        <w:trPr>
          <w:trHeight w:val="454" w:hRule="atLeast"/>
          <w:jc w:val="center"/>
        </w:trPr>
        <w:tc>
          <w:tcPr>
            <w:tcW w:w="4512" w:type="dxa"/>
            <w:gridSpan w:val="3"/>
            <w:noWrap w:val="0"/>
            <w:vAlign w:val="center"/>
          </w:tcPr>
          <w:p w14:paraId="353ECBB8">
            <w:pPr>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签约日期：       年  月   日</w:t>
            </w:r>
          </w:p>
        </w:tc>
        <w:tc>
          <w:tcPr>
            <w:tcW w:w="4558" w:type="dxa"/>
            <w:gridSpan w:val="3"/>
            <w:noWrap w:val="0"/>
            <w:vAlign w:val="center"/>
          </w:tcPr>
          <w:p w14:paraId="704C70E1">
            <w:pPr>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签约日期：       年  月   日</w:t>
            </w:r>
          </w:p>
        </w:tc>
      </w:tr>
    </w:tbl>
    <w:p w14:paraId="60E20A5D">
      <w:pPr>
        <w:pStyle w:val="23"/>
        <w:spacing w:before="0" w:after="0" w:line="360" w:lineRule="auto"/>
        <w:jc w:val="both"/>
        <w:rPr>
          <w:rFonts w:ascii="宋体" w:hAnsi="宋体" w:cs="宋体"/>
          <w:color w:val="auto"/>
          <w:sz w:val="36"/>
          <w:szCs w:val="36"/>
          <w:highlight w:val="none"/>
        </w:rPr>
      </w:pPr>
    </w:p>
    <w:p w14:paraId="0A9F2018">
      <w:pPr>
        <w:pStyle w:val="23"/>
        <w:spacing w:before="0" w:after="0" w:line="360" w:lineRule="auto"/>
        <w:jc w:val="both"/>
        <w:rPr>
          <w:rFonts w:ascii="宋体" w:hAnsi="宋体" w:cs="宋体"/>
          <w:color w:val="auto"/>
          <w:sz w:val="36"/>
          <w:szCs w:val="36"/>
          <w:highlight w:val="none"/>
        </w:rPr>
      </w:pPr>
    </w:p>
    <w:p w14:paraId="391B3481">
      <w:pPr>
        <w:pStyle w:val="23"/>
        <w:spacing w:before="0" w:after="0" w:line="360" w:lineRule="auto"/>
        <w:rPr>
          <w:rFonts w:hint="eastAsia" w:ascii="宋体" w:hAnsi="宋体" w:cs="宋体"/>
          <w:color w:val="auto"/>
          <w:sz w:val="36"/>
          <w:szCs w:val="36"/>
          <w:highlight w:val="none"/>
        </w:rPr>
      </w:pPr>
      <w:bookmarkStart w:id="514" w:name="_Toc18321"/>
    </w:p>
    <w:p w14:paraId="72F019E8">
      <w:pPr>
        <w:pStyle w:val="23"/>
        <w:spacing w:before="0" w:after="0" w:line="360" w:lineRule="auto"/>
        <w:rPr>
          <w:rFonts w:hint="eastAsia" w:ascii="宋体" w:hAnsi="宋体" w:cs="宋体"/>
          <w:color w:val="auto"/>
          <w:sz w:val="36"/>
          <w:szCs w:val="36"/>
          <w:highlight w:val="none"/>
        </w:rPr>
      </w:pPr>
    </w:p>
    <w:p w14:paraId="3213E056">
      <w:pPr>
        <w:pStyle w:val="23"/>
        <w:spacing w:before="0" w:after="0" w:line="360" w:lineRule="auto"/>
        <w:rPr>
          <w:rFonts w:hint="eastAsia" w:ascii="宋体" w:hAnsi="宋体" w:cs="宋体"/>
          <w:color w:val="auto"/>
          <w:sz w:val="36"/>
          <w:szCs w:val="36"/>
          <w:highlight w:val="none"/>
        </w:rPr>
      </w:pPr>
    </w:p>
    <w:p w14:paraId="1570937E">
      <w:pPr>
        <w:pStyle w:val="23"/>
        <w:spacing w:before="0" w:after="0" w:line="360" w:lineRule="auto"/>
        <w:rPr>
          <w:rFonts w:hint="eastAsia" w:ascii="宋体" w:hAnsi="宋体" w:cs="宋体"/>
          <w:color w:val="auto"/>
          <w:sz w:val="36"/>
          <w:szCs w:val="36"/>
          <w:highlight w:val="none"/>
        </w:rPr>
      </w:pPr>
    </w:p>
    <w:p w14:paraId="5C1E08FD">
      <w:pPr>
        <w:pStyle w:val="23"/>
        <w:spacing w:before="0" w:after="0" w:line="360" w:lineRule="auto"/>
        <w:rPr>
          <w:rFonts w:hint="eastAsia" w:ascii="宋体" w:hAnsi="宋体" w:cs="宋体"/>
          <w:color w:val="auto"/>
          <w:sz w:val="36"/>
          <w:szCs w:val="36"/>
          <w:highlight w:val="none"/>
        </w:rPr>
      </w:pPr>
    </w:p>
    <w:p w14:paraId="201A9B39">
      <w:pPr>
        <w:pStyle w:val="23"/>
        <w:spacing w:before="0" w:after="0" w:line="360" w:lineRule="auto"/>
        <w:rPr>
          <w:rFonts w:hint="eastAsia" w:ascii="宋体" w:hAnsi="宋体" w:cs="宋体"/>
          <w:color w:val="auto"/>
          <w:sz w:val="36"/>
          <w:szCs w:val="36"/>
          <w:highlight w:val="none"/>
        </w:rPr>
      </w:pPr>
    </w:p>
    <w:p w14:paraId="19569D53">
      <w:pPr>
        <w:pStyle w:val="23"/>
        <w:spacing w:before="0" w:after="0" w:line="360" w:lineRule="auto"/>
        <w:rPr>
          <w:rFonts w:hint="eastAsia" w:ascii="宋体" w:hAnsi="宋体" w:cs="宋体"/>
          <w:color w:val="auto"/>
          <w:sz w:val="36"/>
          <w:szCs w:val="36"/>
          <w:highlight w:val="none"/>
        </w:rPr>
      </w:pPr>
    </w:p>
    <w:p w14:paraId="59FEC5FD">
      <w:pPr>
        <w:pStyle w:val="23"/>
        <w:spacing w:before="0" w:after="0" w:line="360" w:lineRule="auto"/>
        <w:rPr>
          <w:rFonts w:hint="eastAsia" w:ascii="宋体" w:hAnsi="宋体" w:cs="宋体"/>
          <w:color w:val="auto"/>
          <w:sz w:val="36"/>
          <w:szCs w:val="36"/>
          <w:highlight w:val="none"/>
        </w:rPr>
      </w:pPr>
    </w:p>
    <w:p w14:paraId="2AE14B9F">
      <w:pPr>
        <w:pStyle w:val="23"/>
        <w:spacing w:before="0" w:after="0" w:line="360" w:lineRule="auto"/>
        <w:rPr>
          <w:rFonts w:hint="eastAsia" w:ascii="宋体" w:hAnsi="宋体" w:cs="宋体"/>
          <w:color w:val="auto"/>
          <w:sz w:val="36"/>
          <w:szCs w:val="36"/>
          <w:highlight w:val="none"/>
        </w:rPr>
      </w:pPr>
    </w:p>
    <w:p w14:paraId="36A6123D">
      <w:pPr>
        <w:pStyle w:val="23"/>
        <w:spacing w:before="0" w:after="0" w:line="360" w:lineRule="auto"/>
        <w:rPr>
          <w:rFonts w:ascii="宋体" w:hAnsi="宋体" w:cs="宋体"/>
          <w:color w:val="auto"/>
          <w:sz w:val="36"/>
          <w:szCs w:val="36"/>
          <w:highlight w:val="none"/>
        </w:rPr>
      </w:pPr>
      <w:r>
        <w:rPr>
          <w:rFonts w:hint="eastAsia" w:ascii="宋体" w:hAnsi="宋体" w:cs="宋体"/>
          <w:color w:val="auto"/>
          <w:sz w:val="36"/>
          <w:szCs w:val="36"/>
          <w:highlight w:val="none"/>
        </w:rPr>
        <w:t>第五章  投标文件格式</w:t>
      </w:r>
      <w:bookmarkEnd w:id="506"/>
      <w:bookmarkEnd w:id="507"/>
      <w:bookmarkEnd w:id="508"/>
      <w:bookmarkEnd w:id="509"/>
      <w:bookmarkEnd w:id="510"/>
      <w:bookmarkEnd w:id="511"/>
      <w:bookmarkEnd w:id="512"/>
      <w:bookmarkEnd w:id="513"/>
      <w:bookmarkEnd w:id="514"/>
      <w:bookmarkStart w:id="515" w:name="_Toc15805942"/>
    </w:p>
    <w:p w14:paraId="2910C148">
      <w:pPr>
        <w:pStyle w:val="23"/>
        <w:spacing w:beforeLines="100" w:after="240" w:afterLines="100"/>
        <w:outlineLvl w:val="1"/>
        <w:rPr>
          <w:rFonts w:ascii="宋体" w:hAnsi="宋体" w:cs="宋体"/>
          <w:color w:val="auto"/>
          <w:sz w:val="44"/>
          <w:szCs w:val="44"/>
          <w:highlight w:val="none"/>
        </w:rPr>
      </w:pPr>
      <w:bookmarkStart w:id="516" w:name="_Toc26114"/>
      <w:bookmarkStart w:id="517" w:name="_Toc21218"/>
      <w:bookmarkStart w:id="518" w:name="_Toc493956051"/>
      <w:bookmarkStart w:id="519" w:name="_Toc97213020"/>
      <w:bookmarkStart w:id="520" w:name="_Toc530551876"/>
      <w:bookmarkStart w:id="521" w:name="_Toc22949"/>
      <w:bookmarkStart w:id="522" w:name="_Toc531359038"/>
      <w:bookmarkStart w:id="523" w:name="_Toc27495"/>
      <w:bookmarkStart w:id="524" w:name="_Toc10612"/>
      <w:r>
        <w:rPr>
          <w:rFonts w:hint="eastAsia" w:ascii="宋体" w:hAnsi="宋体" w:cs="宋体"/>
          <w:color w:val="auto"/>
          <w:sz w:val="44"/>
          <w:szCs w:val="44"/>
          <w:highlight w:val="none"/>
        </w:rPr>
        <w:t>一  资格文件格式</w:t>
      </w:r>
      <w:bookmarkEnd w:id="516"/>
      <w:bookmarkEnd w:id="517"/>
      <w:bookmarkEnd w:id="518"/>
      <w:bookmarkEnd w:id="519"/>
      <w:bookmarkEnd w:id="520"/>
      <w:bookmarkEnd w:id="521"/>
      <w:bookmarkEnd w:id="522"/>
      <w:bookmarkEnd w:id="523"/>
      <w:bookmarkEnd w:id="524"/>
    </w:p>
    <w:p w14:paraId="7DCCA578">
      <w:pPr>
        <w:spacing w:line="360" w:lineRule="auto"/>
        <w:rPr>
          <w:rFonts w:ascii="宋体" w:hAnsi="宋体" w:cs="宋体"/>
          <w:color w:val="auto"/>
          <w:sz w:val="24"/>
          <w:szCs w:val="24"/>
          <w:highlight w:val="none"/>
        </w:rPr>
      </w:pPr>
    </w:p>
    <w:p w14:paraId="796046B3">
      <w:pPr>
        <w:pStyle w:val="7"/>
        <w:spacing w:before="0" w:after="0"/>
        <w:ind w:firstLine="0" w:firstLineChars="0"/>
        <w:jc w:val="left"/>
        <w:rPr>
          <w:rFonts w:ascii="宋体" w:hAnsi="宋体" w:eastAsia="宋体" w:cs="宋体"/>
          <w:color w:val="auto"/>
          <w:sz w:val="24"/>
          <w:szCs w:val="24"/>
          <w:highlight w:val="none"/>
        </w:rPr>
      </w:pPr>
      <w:bookmarkStart w:id="525" w:name="_Toc531359039"/>
      <w:bookmarkStart w:id="526" w:name="_Toc97213021"/>
      <w:bookmarkStart w:id="527" w:name="_Toc2428"/>
      <w:bookmarkStart w:id="528" w:name="_Toc6578"/>
      <w:bookmarkStart w:id="529" w:name="_Toc16094"/>
      <w:bookmarkStart w:id="530" w:name="_Toc6420"/>
      <w:bookmarkStart w:id="531" w:name="_Toc26408"/>
      <w:r>
        <w:rPr>
          <w:rFonts w:hint="eastAsia" w:ascii="宋体" w:hAnsi="宋体" w:eastAsia="宋体" w:cs="宋体"/>
          <w:color w:val="auto"/>
          <w:sz w:val="24"/>
          <w:szCs w:val="24"/>
          <w:highlight w:val="none"/>
        </w:rPr>
        <w:t xml:space="preserve">1.1   </w:t>
      </w:r>
      <w:bookmarkEnd w:id="525"/>
      <w:bookmarkStart w:id="532" w:name="_Toc531359040"/>
      <w:r>
        <w:rPr>
          <w:rFonts w:hint="eastAsia" w:ascii="宋体" w:hAnsi="宋体" w:eastAsia="宋体" w:cs="宋体"/>
          <w:color w:val="auto"/>
          <w:sz w:val="24"/>
          <w:szCs w:val="24"/>
          <w:highlight w:val="none"/>
        </w:rPr>
        <w:t xml:space="preserve"> 资格文件封面</w:t>
      </w:r>
      <w:bookmarkEnd w:id="532"/>
      <w:r>
        <w:rPr>
          <w:rFonts w:hint="eastAsia" w:ascii="宋体" w:hAnsi="宋体" w:eastAsia="宋体" w:cs="宋体"/>
          <w:color w:val="auto"/>
          <w:sz w:val="24"/>
          <w:szCs w:val="24"/>
          <w:highlight w:val="none"/>
        </w:rPr>
        <w:t>格式</w:t>
      </w:r>
      <w:bookmarkEnd w:id="526"/>
      <w:bookmarkEnd w:id="527"/>
      <w:bookmarkEnd w:id="528"/>
      <w:bookmarkEnd w:id="529"/>
      <w:bookmarkEnd w:id="530"/>
      <w:bookmarkEnd w:id="531"/>
    </w:p>
    <w:p w14:paraId="07A0A4F9">
      <w:pPr>
        <w:pStyle w:val="8"/>
        <w:spacing w:line="360" w:lineRule="auto"/>
        <w:ind w:firstLine="0"/>
        <w:jc w:val="left"/>
        <w:rPr>
          <w:rFonts w:ascii="宋体" w:hAnsi="宋体" w:cs="宋体"/>
          <w:color w:val="auto"/>
          <w:highlight w:val="none"/>
        </w:rPr>
      </w:pPr>
    </w:p>
    <w:p w14:paraId="0B2B992E">
      <w:pPr>
        <w:pStyle w:val="8"/>
        <w:spacing w:line="360" w:lineRule="auto"/>
        <w:ind w:firstLine="0"/>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投标文件</w:t>
      </w:r>
    </w:p>
    <w:tbl>
      <w:tblPr>
        <w:tblStyle w:val="24"/>
        <w:tblW w:w="7054" w:type="dxa"/>
        <w:jc w:val="center"/>
        <w:tblLayout w:type="fixed"/>
        <w:tblCellMar>
          <w:top w:w="0" w:type="dxa"/>
          <w:left w:w="108" w:type="dxa"/>
          <w:bottom w:w="0" w:type="dxa"/>
          <w:right w:w="108" w:type="dxa"/>
        </w:tblCellMar>
      </w:tblPr>
      <w:tblGrid>
        <w:gridCol w:w="2518"/>
        <w:gridCol w:w="4536"/>
      </w:tblGrid>
      <w:tr w14:paraId="29E81CB2">
        <w:trPr>
          <w:trHeight w:val="850" w:hRule="atLeast"/>
          <w:jc w:val="center"/>
        </w:trPr>
        <w:tc>
          <w:tcPr>
            <w:tcW w:w="2518" w:type="dxa"/>
            <w:vAlign w:val="center"/>
          </w:tcPr>
          <w:p w14:paraId="2BF8C8FC">
            <w:pPr>
              <w:jc w:val="distribute"/>
              <w:rPr>
                <w:rFonts w:ascii="宋体" w:hAnsi="宋体" w:cs="宋体"/>
                <w:color w:val="auto"/>
                <w:sz w:val="24"/>
                <w:szCs w:val="24"/>
                <w:highlight w:val="none"/>
              </w:rPr>
            </w:pPr>
            <w:r>
              <w:rPr>
                <w:rFonts w:hint="eastAsia" w:ascii="宋体" w:hAnsi="宋体" w:cs="宋体"/>
                <w:color w:val="auto"/>
                <w:sz w:val="24"/>
                <w:szCs w:val="24"/>
                <w:highlight w:val="none"/>
              </w:rPr>
              <w:t>投标文件名称：</w:t>
            </w:r>
          </w:p>
        </w:tc>
        <w:tc>
          <w:tcPr>
            <w:tcW w:w="4536" w:type="dxa"/>
            <w:vAlign w:val="center"/>
          </w:tcPr>
          <w:p w14:paraId="04A66B1A">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资格文件                           </w:t>
            </w:r>
          </w:p>
        </w:tc>
      </w:tr>
      <w:tr w14:paraId="728EEC53">
        <w:tblPrEx>
          <w:tblCellMar>
            <w:top w:w="0" w:type="dxa"/>
            <w:left w:w="108" w:type="dxa"/>
            <w:bottom w:w="0" w:type="dxa"/>
            <w:right w:w="108" w:type="dxa"/>
          </w:tblCellMar>
        </w:tblPrEx>
        <w:trPr>
          <w:trHeight w:val="850" w:hRule="atLeast"/>
          <w:jc w:val="center"/>
        </w:trPr>
        <w:tc>
          <w:tcPr>
            <w:tcW w:w="2518" w:type="dxa"/>
            <w:vAlign w:val="center"/>
          </w:tcPr>
          <w:p w14:paraId="4B00A43A">
            <w:pPr>
              <w:jc w:val="distribute"/>
              <w:rPr>
                <w:rFonts w:ascii="宋体" w:hAnsi="宋体" w:cs="宋体"/>
                <w:color w:val="auto"/>
                <w:sz w:val="24"/>
                <w:szCs w:val="24"/>
                <w:highlight w:val="none"/>
              </w:rPr>
            </w:pPr>
            <w:r>
              <w:rPr>
                <w:rFonts w:hint="eastAsia" w:ascii="宋体" w:hAnsi="宋体" w:cs="宋体"/>
                <w:color w:val="auto"/>
                <w:sz w:val="24"/>
                <w:szCs w:val="24"/>
                <w:highlight w:val="none"/>
              </w:rPr>
              <w:t>项 目 编 号：</w:t>
            </w:r>
          </w:p>
        </w:tc>
        <w:tc>
          <w:tcPr>
            <w:tcW w:w="4536" w:type="dxa"/>
            <w:vAlign w:val="center"/>
          </w:tcPr>
          <w:p w14:paraId="7E76A1C2">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p>
        </w:tc>
      </w:tr>
      <w:tr w14:paraId="78073063">
        <w:tblPrEx>
          <w:tblCellMar>
            <w:top w:w="0" w:type="dxa"/>
            <w:left w:w="108" w:type="dxa"/>
            <w:bottom w:w="0" w:type="dxa"/>
            <w:right w:w="108" w:type="dxa"/>
          </w:tblCellMar>
        </w:tblPrEx>
        <w:trPr>
          <w:trHeight w:val="850" w:hRule="atLeast"/>
          <w:jc w:val="center"/>
        </w:trPr>
        <w:tc>
          <w:tcPr>
            <w:tcW w:w="2518" w:type="dxa"/>
            <w:vAlign w:val="center"/>
          </w:tcPr>
          <w:p w14:paraId="49C61650">
            <w:pPr>
              <w:jc w:val="distribute"/>
              <w:rPr>
                <w:rFonts w:ascii="宋体" w:hAnsi="宋体" w:cs="宋体"/>
                <w:color w:val="auto"/>
                <w:sz w:val="24"/>
                <w:szCs w:val="24"/>
                <w:highlight w:val="none"/>
              </w:rPr>
            </w:pPr>
            <w:r>
              <w:rPr>
                <w:rFonts w:hint="eastAsia" w:ascii="宋体" w:hAnsi="宋体" w:cs="宋体"/>
                <w:color w:val="auto"/>
                <w:sz w:val="24"/>
                <w:szCs w:val="24"/>
                <w:highlight w:val="none"/>
              </w:rPr>
              <w:t>项 目 名 称：</w:t>
            </w:r>
          </w:p>
        </w:tc>
        <w:tc>
          <w:tcPr>
            <w:tcW w:w="4536" w:type="dxa"/>
            <w:vAlign w:val="center"/>
          </w:tcPr>
          <w:p w14:paraId="3FFC9BD8">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p>
        </w:tc>
      </w:tr>
      <w:tr w14:paraId="210C1B6D">
        <w:tblPrEx>
          <w:tblCellMar>
            <w:top w:w="0" w:type="dxa"/>
            <w:left w:w="108" w:type="dxa"/>
            <w:bottom w:w="0" w:type="dxa"/>
            <w:right w:w="108" w:type="dxa"/>
          </w:tblCellMar>
        </w:tblPrEx>
        <w:trPr>
          <w:trHeight w:val="850" w:hRule="atLeast"/>
          <w:jc w:val="center"/>
        </w:trPr>
        <w:tc>
          <w:tcPr>
            <w:tcW w:w="2518" w:type="dxa"/>
            <w:vAlign w:val="center"/>
          </w:tcPr>
          <w:p w14:paraId="2BDBE847">
            <w:pPr>
              <w:jc w:val="distribute"/>
              <w:rPr>
                <w:rFonts w:ascii="宋体" w:hAnsi="宋体" w:cs="宋体"/>
                <w:color w:val="auto"/>
                <w:sz w:val="24"/>
                <w:szCs w:val="24"/>
                <w:highlight w:val="none"/>
              </w:rPr>
            </w:pPr>
            <w:r>
              <w:rPr>
                <w:rFonts w:hint="eastAsia" w:ascii="宋体" w:hAnsi="宋体" w:cs="宋体"/>
                <w:color w:val="auto"/>
                <w:sz w:val="24"/>
                <w:szCs w:val="24"/>
                <w:highlight w:val="none"/>
              </w:rPr>
              <w:t>标      项：</w:t>
            </w:r>
          </w:p>
        </w:tc>
        <w:tc>
          <w:tcPr>
            <w:tcW w:w="4536" w:type="dxa"/>
            <w:vAlign w:val="center"/>
          </w:tcPr>
          <w:p w14:paraId="6DE9CC96">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（如有）                            </w:t>
            </w:r>
          </w:p>
        </w:tc>
      </w:tr>
      <w:tr w14:paraId="32C70079">
        <w:tblPrEx>
          <w:tblCellMar>
            <w:top w:w="0" w:type="dxa"/>
            <w:left w:w="108" w:type="dxa"/>
            <w:bottom w:w="0" w:type="dxa"/>
            <w:right w:w="108" w:type="dxa"/>
          </w:tblCellMar>
        </w:tblPrEx>
        <w:trPr>
          <w:trHeight w:val="850" w:hRule="atLeast"/>
          <w:jc w:val="center"/>
        </w:trPr>
        <w:tc>
          <w:tcPr>
            <w:tcW w:w="2518" w:type="dxa"/>
            <w:vAlign w:val="center"/>
          </w:tcPr>
          <w:p w14:paraId="0371E2E6">
            <w:pPr>
              <w:jc w:val="distribute"/>
              <w:rPr>
                <w:rFonts w:ascii="宋体" w:hAnsi="宋体" w:cs="宋体"/>
                <w:color w:val="auto"/>
                <w:sz w:val="24"/>
                <w:szCs w:val="24"/>
                <w:highlight w:val="none"/>
              </w:rPr>
            </w:pPr>
          </w:p>
        </w:tc>
        <w:tc>
          <w:tcPr>
            <w:tcW w:w="4536" w:type="dxa"/>
            <w:vAlign w:val="center"/>
          </w:tcPr>
          <w:p w14:paraId="7ACAF339">
            <w:pPr>
              <w:jc w:val="left"/>
              <w:rPr>
                <w:rFonts w:ascii="宋体" w:hAnsi="宋体" w:cs="宋体"/>
                <w:color w:val="auto"/>
                <w:sz w:val="24"/>
                <w:szCs w:val="24"/>
                <w:highlight w:val="none"/>
              </w:rPr>
            </w:pPr>
          </w:p>
        </w:tc>
      </w:tr>
      <w:tr w14:paraId="308605F7">
        <w:tblPrEx>
          <w:tblCellMar>
            <w:top w:w="0" w:type="dxa"/>
            <w:left w:w="108" w:type="dxa"/>
            <w:bottom w:w="0" w:type="dxa"/>
            <w:right w:w="108" w:type="dxa"/>
          </w:tblCellMar>
        </w:tblPrEx>
        <w:trPr>
          <w:trHeight w:val="850" w:hRule="atLeast"/>
          <w:jc w:val="center"/>
        </w:trPr>
        <w:tc>
          <w:tcPr>
            <w:tcW w:w="2518" w:type="dxa"/>
            <w:vAlign w:val="center"/>
          </w:tcPr>
          <w:p w14:paraId="7BAB7DA3">
            <w:pPr>
              <w:jc w:val="distribute"/>
              <w:rPr>
                <w:rFonts w:ascii="宋体" w:hAnsi="宋体" w:cs="宋体"/>
                <w:color w:val="auto"/>
                <w:sz w:val="24"/>
                <w:szCs w:val="24"/>
                <w:highlight w:val="none"/>
              </w:rPr>
            </w:pPr>
            <w:r>
              <w:rPr>
                <w:rFonts w:hint="eastAsia" w:ascii="宋体" w:hAnsi="宋体" w:cs="宋体"/>
                <w:color w:val="auto"/>
                <w:sz w:val="24"/>
                <w:szCs w:val="24"/>
                <w:highlight w:val="none"/>
              </w:rPr>
              <w:t>投标人全称（盖章）：</w:t>
            </w:r>
          </w:p>
        </w:tc>
        <w:tc>
          <w:tcPr>
            <w:tcW w:w="4536" w:type="dxa"/>
            <w:vAlign w:val="center"/>
          </w:tcPr>
          <w:p w14:paraId="6CB61723">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p>
        </w:tc>
      </w:tr>
      <w:tr w14:paraId="3A87D0DB">
        <w:tblPrEx>
          <w:tblCellMar>
            <w:top w:w="0" w:type="dxa"/>
            <w:left w:w="108" w:type="dxa"/>
            <w:bottom w:w="0" w:type="dxa"/>
            <w:right w:w="108" w:type="dxa"/>
          </w:tblCellMar>
        </w:tblPrEx>
        <w:trPr>
          <w:trHeight w:val="850" w:hRule="atLeast"/>
          <w:jc w:val="center"/>
        </w:trPr>
        <w:tc>
          <w:tcPr>
            <w:tcW w:w="2518" w:type="dxa"/>
            <w:vAlign w:val="center"/>
          </w:tcPr>
          <w:p w14:paraId="35DDDD68">
            <w:pPr>
              <w:jc w:val="distribute"/>
              <w:rPr>
                <w:rFonts w:ascii="宋体" w:hAnsi="宋体" w:cs="宋体"/>
                <w:color w:val="auto"/>
                <w:sz w:val="24"/>
                <w:szCs w:val="24"/>
                <w:highlight w:val="none"/>
              </w:rPr>
            </w:pPr>
            <w:r>
              <w:rPr>
                <w:rFonts w:hint="eastAsia" w:ascii="宋体" w:hAnsi="宋体" w:cs="宋体"/>
                <w:color w:val="auto"/>
                <w:sz w:val="24"/>
                <w:szCs w:val="24"/>
                <w:highlight w:val="none"/>
              </w:rPr>
              <w:t>投标人地址：</w:t>
            </w:r>
          </w:p>
        </w:tc>
        <w:tc>
          <w:tcPr>
            <w:tcW w:w="4536" w:type="dxa"/>
            <w:vAlign w:val="center"/>
          </w:tcPr>
          <w:p w14:paraId="4E0BF486">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p>
        </w:tc>
      </w:tr>
      <w:tr w14:paraId="2DC9E33A">
        <w:tblPrEx>
          <w:tblCellMar>
            <w:top w:w="0" w:type="dxa"/>
            <w:left w:w="108" w:type="dxa"/>
            <w:bottom w:w="0" w:type="dxa"/>
            <w:right w:w="108" w:type="dxa"/>
          </w:tblCellMar>
        </w:tblPrEx>
        <w:trPr>
          <w:trHeight w:val="850" w:hRule="atLeast"/>
          <w:jc w:val="center"/>
        </w:trPr>
        <w:tc>
          <w:tcPr>
            <w:tcW w:w="7054" w:type="dxa"/>
            <w:gridSpan w:val="2"/>
            <w:vAlign w:val="center"/>
          </w:tcPr>
          <w:p w14:paraId="6D79AF81">
            <w:pPr>
              <w:jc w:val="left"/>
              <w:rPr>
                <w:rFonts w:ascii="宋体" w:hAnsi="宋体" w:cs="宋体"/>
                <w:color w:val="auto"/>
                <w:sz w:val="24"/>
                <w:szCs w:val="24"/>
                <w:highlight w:val="none"/>
                <w:u w:val="single"/>
              </w:rPr>
            </w:pPr>
          </w:p>
        </w:tc>
      </w:tr>
      <w:tr w14:paraId="3CF87622">
        <w:tblPrEx>
          <w:tblCellMar>
            <w:top w:w="0" w:type="dxa"/>
            <w:left w:w="108" w:type="dxa"/>
            <w:bottom w:w="0" w:type="dxa"/>
            <w:right w:w="108" w:type="dxa"/>
          </w:tblCellMar>
        </w:tblPrEx>
        <w:trPr>
          <w:trHeight w:val="850" w:hRule="atLeast"/>
          <w:jc w:val="center"/>
        </w:trPr>
        <w:tc>
          <w:tcPr>
            <w:tcW w:w="7054" w:type="dxa"/>
            <w:gridSpan w:val="2"/>
            <w:vAlign w:val="center"/>
          </w:tcPr>
          <w:p w14:paraId="345A66D9">
            <w:pPr>
              <w:jc w:val="center"/>
              <w:rPr>
                <w:rFonts w:ascii="宋体" w:hAnsi="宋体" w:cs="宋体"/>
                <w:color w:val="auto"/>
                <w:sz w:val="24"/>
                <w:szCs w:val="24"/>
                <w:highlight w:val="none"/>
              </w:rPr>
            </w:pPr>
            <w:r>
              <w:rPr>
                <w:rFonts w:hint="eastAsia" w:ascii="宋体" w:hAnsi="宋体" w:cs="宋体"/>
                <w:color w:val="auto"/>
                <w:sz w:val="24"/>
                <w:szCs w:val="24"/>
                <w:highlight w:val="none"/>
              </w:rPr>
              <w:t>年  月  日</w:t>
            </w:r>
          </w:p>
        </w:tc>
      </w:tr>
    </w:tbl>
    <w:p w14:paraId="0DBECB7A">
      <w:pPr>
        <w:pStyle w:val="8"/>
        <w:spacing w:line="360" w:lineRule="auto"/>
        <w:ind w:firstLine="0"/>
        <w:jc w:val="left"/>
        <w:rPr>
          <w:rFonts w:ascii="宋体" w:hAnsi="宋体" w:cs="宋体"/>
          <w:color w:val="auto"/>
          <w:sz w:val="24"/>
          <w:szCs w:val="24"/>
          <w:highlight w:val="none"/>
        </w:rPr>
      </w:pPr>
      <w:bookmarkStart w:id="533" w:name="_Toc531359041"/>
      <w:bookmarkStart w:id="534" w:name="_Toc493956052"/>
      <w:bookmarkStart w:id="535" w:name="_Toc523398524"/>
      <w:bookmarkStart w:id="536" w:name="_Toc493956053"/>
      <w:bookmarkStart w:id="537" w:name="_Toc530551878"/>
    </w:p>
    <w:p w14:paraId="4F74AAD3">
      <w:pPr>
        <w:pStyle w:val="7"/>
        <w:spacing w:before="0" w:after="0"/>
        <w:ind w:firstLine="0" w:firstLineChars="0"/>
        <w:jc w:val="left"/>
        <w:rPr>
          <w:rFonts w:ascii="宋体" w:hAnsi="宋体" w:eastAsia="宋体" w:cs="宋体"/>
          <w:color w:val="auto"/>
          <w:sz w:val="24"/>
          <w:szCs w:val="24"/>
          <w:highlight w:val="none"/>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245F8704">
      <w:pPr>
        <w:pStyle w:val="7"/>
        <w:spacing w:before="0" w:after="0"/>
        <w:ind w:firstLine="0" w:firstLineChars="0"/>
        <w:jc w:val="left"/>
        <w:rPr>
          <w:rFonts w:ascii="宋体" w:hAnsi="宋体" w:eastAsia="宋体" w:cs="宋体"/>
          <w:color w:val="auto"/>
          <w:sz w:val="24"/>
          <w:szCs w:val="24"/>
          <w:highlight w:val="none"/>
        </w:rPr>
      </w:pPr>
      <w:bookmarkStart w:id="538" w:name="_Toc97213022"/>
      <w:bookmarkStart w:id="539" w:name="_Toc20999"/>
      <w:bookmarkStart w:id="540" w:name="_Toc30588"/>
      <w:bookmarkStart w:id="541" w:name="_Toc17986"/>
      <w:bookmarkStart w:id="542" w:name="_Toc28310"/>
      <w:bookmarkStart w:id="543" w:name="_Toc3586"/>
      <w:r>
        <w:rPr>
          <w:rFonts w:hint="eastAsia" w:ascii="宋体" w:hAnsi="宋体" w:eastAsia="宋体" w:cs="宋体"/>
          <w:color w:val="auto"/>
          <w:sz w:val="24"/>
          <w:szCs w:val="24"/>
          <w:highlight w:val="none"/>
        </w:rPr>
        <w:t>1.2    资格文件目录</w:t>
      </w:r>
      <w:bookmarkEnd w:id="533"/>
      <w:bookmarkEnd w:id="538"/>
      <w:bookmarkEnd w:id="539"/>
      <w:bookmarkEnd w:id="540"/>
      <w:bookmarkEnd w:id="541"/>
      <w:bookmarkEnd w:id="542"/>
      <w:bookmarkEnd w:id="543"/>
    </w:p>
    <w:p w14:paraId="3FA09E20">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highlight w:val="none"/>
        </w:rPr>
        <w:t>格式自行设计</w:t>
      </w:r>
      <w:r>
        <w:rPr>
          <w:rFonts w:hint="eastAsia" w:ascii="宋体" w:hAnsi="宋体" w:cs="宋体"/>
          <w:color w:val="auto"/>
          <w:sz w:val="24"/>
          <w:szCs w:val="24"/>
          <w:highlight w:val="none"/>
        </w:rPr>
        <w:t>）</w:t>
      </w:r>
    </w:p>
    <w:p w14:paraId="18D5C5FD">
      <w:pPr>
        <w:pStyle w:val="8"/>
        <w:spacing w:line="360" w:lineRule="auto"/>
        <w:ind w:firstLine="0"/>
        <w:jc w:val="left"/>
        <w:rPr>
          <w:rFonts w:ascii="宋体" w:hAnsi="宋体" w:cs="宋体"/>
          <w:color w:val="auto"/>
          <w:sz w:val="24"/>
          <w:szCs w:val="24"/>
          <w:highlight w:val="none"/>
        </w:rPr>
      </w:pPr>
    </w:p>
    <w:p w14:paraId="1D170EA0">
      <w:pPr>
        <w:pStyle w:val="7"/>
        <w:spacing w:before="0" w:after="0"/>
        <w:ind w:firstLine="0" w:firstLineChars="0"/>
        <w:jc w:val="left"/>
        <w:rPr>
          <w:rFonts w:ascii="宋体" w:hAnsi="宋体" w:eastAsia="宋体" w:cs="宋体"/>
          <w:color w:val="auto"/>
          <w:sz w:val="24"/>
          <w:szCs w:val="24"/>
          <w:highlight w:val="none"/>
        </w:rPr>
      </w:pPr>
      <w:bookmarkStart w:id="544" w:name="_Toc20381"/>
      <w:bookmarkStart w:id="545" w:name="_Toc20386"/>
      <w:bookmarkStart w:id="546" w:name="_Toc531359042"/>
      <w:bookmarkStart w:id="547" w:name="_Toc3774"/>
      <w:bookmarkStart w:id="548" w:name="_Toc7550"/>
      <w:bookmarkStart w:id="549" w:name="_Toc97213023"/>
      <w:bookmarkStart w:id="550" w:name="_Toc11775"/>
      <w:r>
        <w:rPr>
          <w:rFonts w:hint="eastAsia" w:ascii="宋体" w:hAnsi="宋体" w:eastAsia="宋体" w:cs="宋体"/>
          <w:color w:val="auto"/>
          <w:sz w:val="24"/>
          <w:szCs w:val="24"/>
          <w:highlight w:val="none"/>
        </w:rPr>
        <w:t>1.3    有效营业执照电子文档</w:t>
      </w:r>
      <w:bookmarkEnd w:id="534"/>
      <w:bookmarkEnd w:id="535"/>
      <w:bookmarkEnd w:id="544"/>
      <w:bookmarkEnd w:id="545"/>
      <w:bookmarkEnd w:id="546"/>
      <w:bookmarkEnd w:id="547"/>
      <w:bookmarkEnd w:id="548"/>
      <w:bookmarkEnd w:id="549"/>
      <w:bookmarkEnd w:id="550"/>
    </w:p>
    <w:p w14:paraId="2DD2A56F">
      <w:pPr>
        <w:pStyle w:val="8"/>
        <w:spacing w:line="360" w:lineRule="auto"/>
        <w:ind w:firstLine="0"/>
        <w:jc w:val="left"/>
        <w:rPr>
          <w:rFonts w:ascii="宋体" w:hAnsi="宋体" w:cs="宋体"/>
          <w:color w:val="auto"/>
          <w:highlight w:val="none"/>
        </w:rPr>
      </w:pPr>
    </w:p>
    <w:p w14:paraId="10B6E9B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内容要求：</w:t>
      </w:r>
    </w:p>
    <w:p w14:paraId="7DD01C5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提供有效的营业执照电子文档并加盖公司公章；事业单位的，则提供有效的《事业单位法人证书》副本电子文档并加盖单位公章；自然人的，则提供有效的身份证电子文档。</w:t>
      </w:r>
    </w:p>
    <w:p w14:paraId="4F5E7B91">
      <w:pPr>
        <w:spacing w:line="360" w:lineRule="auto"/>
        <w:rPr>
          <w:rFonts w:ascii="宋体" w:hAnsi="宋体" w:cs="宋体"/>
          <w:color w:val="auto"/>
          <w:sz w:val="24"/>
          <w:highlight w:val="none"/>
        </w:rPr>
      </w:pPr>
    </w:p>
    <w:p w14:paraId="364BD4CE">
      <w:pPr>
        <w:pStyle w:val="7"/>
        <w:spacing w:before="0" w:after="0"/>
        <w:ind w:firstLine="0" w:firstLineChars="0"/>
        <w:jc w:val="left"/>
        <w:rPr>
          <w:rFonts w:ascii="宋体" w:hAnsi="宋体" w:eastAsia="宋体" w:cs="宋体"/>
          <w:color w:val="auto"/>
          <w:sz w:val="24"/>
          <w:szCs w:val="24"/>
          <w:highlight w:val="none"/>
        </w:rPr>
      </w:pPr>
      <w:bookmarkStart w:id="551" w:name="_Toc7826"/>
      <w:bookmarkStart w:id="552" w:name="_Toc26811"/>
      <w:bookmarkStart w:id="553" w:name="_Toc531359043"/>
      <w:bookmarkStart w:id="554" w:name="_Toc97213024"/>
      <w:bookmarkStart w:id="555" w:name="_Toc9789"/>
      <w:bookmarkStart w:id="556" w:name="_Toc29388"/>
      <w:bookmarkStart w:id="557" w:name="_Toc5958"/>
      <w:r>
        <w:rPr>
          <w:rFonts w:hint="eastAsia" w:ascii="宋体" w:hAnsi="宋体" w:eastAsia="宋体" w:cs="宋体"/>
          <w:color w:val="auto"/>
          <w:sz w:val="24"/>
          <w:szCs w:val="24"/>
          <w:highlight w:val="none"/>
        </w:rPr>
        <w:t>1.</w:t>
      </w:r>
      <w:bookmarkEnd w:id="536"/>
      <w:bookmarkEnd w:id="537"/>
      <w:r>
        <w:rPr>
          <w:rFonts w:hint="eastAsia" w:ascii="宋体" w:hAnsi="宋体" w:eastAsia="宋体" w:cs="宋体"/>
          <w:color w:val="auto"/>
          <w:sz w:val="24"/>
          <w:szCs w:val="24"/>
          <w:highlight w:val="none"/>
        </w:rPr>
        <w:t>4    法定代表人身份证电子文档</w:t>
      </w:r>
      <w:bookmarkEnd w:id="551"/>
      <w:bookmarkEnd w:id="552"/>
      <w:bookmarkEnd w:id="553"/>
      <w:bookmarkEnd w:id="554"/>
      <w:bookmarkEnd w:id="555"/>
      <w:bookmarkEnd w:id="556"/>
      <w:bookmarkEnd w:id="557"/>
    </w:p>
    <w:p w14:paraId="5E5F51B1">
      <w:pPr>
        <w:pStyle w:val="8"/>
        <w:ind w:firstLine="0"/>
        <w:rPr>
          <w:rFonts w:ascii="宋体" w:hAnsi="宋体" w:cs="宋体"/>
          <w:color w:val="auto"/>
          <w:highlight w:val="none"/>
        </w:rPr>
      </w:pPr>
    </w:p>
    <w:p w14:paraId="2EB490C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内容要求：</w:t>
      </w:r>
    </w:p>
    <w:p w14:paraId="6841723C">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1.投标人法定代表人身份证正、反面电子文档。</w:t>
      </w:r>
    </w:p>
    <w:p w14:paraId="1610EF8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2.如有委托代理人的，则还应提供授权委托书及委托代理人的身份证电子文档。</w:t>
      </w:r>
    </w:p>
    <w:p w14:paraId="68967990">
      <w:pPr>
        <w:pStyle w:val="8"/>
        <w:rPr>
          <w:rFonts w:ascii="宋体" w:hAnsi="宋体" w:cs="宋体"/>
          <w:color w:val="auto"/>
          <w:highlight w:val="none"/>
        </w:rPr>
      </w:pPr>
    </w:p>
    <w:p w14:paraId="76D4D0FC">
      <w:pPr>
        <w:pStyle w:val="8"/>
        <w:rPr>
          <w:rFonts w:ascii="宋体" w:hAnsi="宋体" w:cs="宋体"/>
          <w:color w:val="auto"/>
          <w:highlight w:val="none"/>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0765E87F">
      <w:pPr>
        <w:pStyle w:val="7"/>
        <w:spacing w:before="0" w:after="0"/>
        <w:ind w:firstLine="0" w:firstLineChars="0"/>
        <w:jc w:val="left"/>
        <w:rPr>
          <w:rFonts w:ascii="宋体" w:hAnsi="宋体" w:eastAsia="宋体" w:cs="宋体"/>
          <w:color w:val="auto"/>
          <w:sz w:val="24"/>
          <w:szCs w:val="24"/>
          <w:highlight w:val="none"/>
        </w:rPr>
      </w:pPr>
      <w:bookmarkStart w:id="558" w:name="_Toc531359044"/>
      <w:bookmarkStart w:id="559" w:name="_Toc7658"/>
      <w:bookmarkStart w:id="560" w:name="_Toc5014"/>
      <w:bookmarkStart w:id="561" w:name="_Toc97213025"/>
      <w:bookmarkStart w:id="562" w:name="_Toc30080"/>
      <w:bookmarkStart w:id="563" w:name="_Toc29713"/>
      <w:bookmarkStart w:id="564" w:name="_Toc4174"/>
      <w:r>
        <w:rPr>
          <w:rFonts w:hint="eastAsia" w:ascii="宋体" w:hAnsi="宋体" w:eastAsia="宋体" w:cs="宋体"/>
          <w:color w:val="auto"/>
          <w:sz w:val="24"/>
          <w:szCs w:val="24"/>
          <w:highlight w:val="none"/>
        </w:rPr>
        <w:t>1.5    授权委托书</w:t>
      </w:r>
      <w:bookmarkEnd w:id="558"/>
      <w:r>
        <w:rPr>
          <w:rFonts w:hint="eastAsia" w:ascii="宋体" w:hAnsi="宋体" w:eastAsia="宋体" w:cs="宋体"/>
          <w:color w:val="auto"/>
          <w:sz w:val="24"/>
          <w:szCs w:val="24"/>
          <w:highlight w:val="none"/>
        </w:rPr>
        <w:t>格式</w:t>
      </w:r>
      <w:bookmarkEnd w:id="559"/>
      <w:bookmarkEnd w:id="560"/>
      <w:bookmarkEnd w:id="561"/>
      <w:bookmarkEnd w:id="562"/>
      <w:bookmarkEnd w:id="563"/>
      <w:bookmarkEnd w:id="564"/>
    </w:p>
    <w:p w14:paraId="59F3BE63">
      <w:pPr>
        <w:pStyle w:val="8"/>
        <w:ind w:firstLine="0"/>
        <w:rPr>
          <w:rFonts w:ascii="宋体" w:hAnsi="宋体" w:cs="宋体"/>
          <w:color w:val="auto"/>
          <w:highlight w:val="none"/>
        </w:rPr>
      </w:pPr>
    </w:p>
    <w:p w14:paraId="30CC9D05">
      <w:pPr>
        <w:pStyle w:val="8"/>
        <w:spacing w:line="360" w:lineRule="auto"/>
        <w:ind w:firstLine="0"/>
        <w:jc w:val="center"/>
        <w:rPr>
          <w:rFonts w:ascii="宋体" w:hAnsi="宋体" w:cs="宋体"/>
          <w:b/>
          <w:color w:val="auto"/>
          <w:sz w:val="32"/>
          <w:szCs w:val="32"/>
          <w:highlight w:val="none"/>
        </w:rPr>
      </w:pPr>
      <w:r>
        <w:rPr>
          <w:rFonts w:hint="eastAsia" w:ascii="宋体" w:hAnsi="宋体" w:cs="宋体"/>
          <w:b/>
          <w:color w:val="auto"/>
          <w:sz w:val="32"/>
          <w:szCs w:val="32"/>
          <w:highlight w:val="none"/>
        </w:rPr>
        <w:t>授权委托书</w:t>
      </w:r>
    </w:p>
    <w:p w14:paraId="49EFDB74">
      <w:pPr>
        <w:pStyle w:val="37"/>
        <w:spacing w:line="360" w:lineRule="auto"/>
        <w:rPr>
          <w:rFonts w:ascii="宋体" w:hAnsi="宋体" w:cs="宋体"/>
          <w:b/>
          <w:color w:val="auto"/>
          <w:sz w:val="24"/>
          <w:szCs w:val="21"/>
          <w:highlight w:val="none"/>
        </w:rPr>
      </w:pPr>
      <w:r>
        <w:rPr>
          <w:rFonts w:hint="eastAsia" w:ascii="宋体" w:hAnsi="宋体" w:cs="宋体"/>
          <w:i/>
          <w:color w:val="auto"/>
          <w:sz w:val="24"/>
          <w:szCs w:val="20"/>
          <w:highlight w:val="none"/>
          <w:u w:val="single"/>
        </w:rPr>
        <w:t>丽水学院</w:t>
      </w:r>
      <w:r>
        <w:rPr>
          <w:rFonts w:hint="eastAsia" w:ascii="宋体" w:hAnsi="宋体" w:cs="宋体"/>
          <w:color w:val="auto"/>
          <w:sz w:val="24"/>
          <w:szCs w:val="21"/>
          <w:highlight w:val="none"/>
        </w:rPr>
        <w:t>：</w:t>
      </w:r>
    </w:p>
    <w:p w14:paraId="16488552">
      <w:pPr>
        <w:pStyle w:val="37"/>
        <w:autoSpaceDE w:val="0"/>
        <w:autoSpaceDN w:val="0"/>
        <w:spacing w:line="360" w:lineRule="auto"/>
        <w:ind w:firstLine="480" w:firstLineChars="200"/>
        <w:textAlignment w:val="bottom"/>
        <w:rPr>
          <w:rFonts w:ascii="宋体" w:hAnsi="宋体" w:cs="宋体"/>
          <w:color w:val="auto"/>
          <w:sz w:val="24"/>
          <w:szCs w:val="20"/>
          <w:highlight w:val="none"/>
        </w:rPr>
      </w:pPr>
      <w:r>
        <w:rPr>
          <w:rFonts w:hint="eastAsia" w:ascii="宋体" w:hAnsi="宋体" w:cs="宋体"/>
          <w:color w:val="auto"/>
          <w:sz w:val="24"/>
          <w:szCs w:val="20"/>
          <w:highlight w:val="none"/>
        </w:rPr>
        <w:t>我</w:t>
      </w:r>
      <w:r>
        <w:rPr>
          <w:rFonts w:hint="eastAsia" w:ascii="宋体" w:hAnsi="宋体" w:cs="宋体"/>
          <w:color w:val="auto"/>
          <w:sz w:val="24"/>
          <w:szCs w:val="20"/>
          <w:highlight w:val="none"/>
          <w:u w:val="single"/>
        </w:rPr>
        <w:t xml:space="preserve"> </w:t>
      </w:r>
      <w:r>
        <w:rPr>
          <w:rFonts w:hint="eastAsia" w:ascii="宋体" w:hAnsi="宋体" w:cs="宋体"/>
          <w:i/>
          <w:color w:val="auto"/>
          <w:sz w:val="24"/>
          <w:szCs w:val="20"/>
          <w:highlight w:val="none"/>
          <w:u w:val="single"/>
        </w:rPr>
        <w:t>法定代表人（负责人）</w:t>
      </w:r>
      <w:r>
        <w:rPr>
          <w:rFonts w:hint="eastAsia" w:ascii="宋体" w:hAnsi="宋体" w:cs="宋体"/>
          <w:color w:val="auto"/>
          <w:sz w:val="24"/>
          <w:szCs w:val="20"/>
          <w:highlight w:val="none"/>
        </w:rPr>
        <w:t>系</w:t>
      </w:r>
      <w:r>
        <w:rPr>
          <w:rFonts w:hint="eastAsia" w:ascii="宋体" w:hAnsi="宋体" w:cs="宋体"/>
          <w:color w:val="auto"/>
          <w:sz w:val="24"/>
          <w:szCs w:val="20"/>
          <w:highlight w:val="none"/>
          <w:u w:val="single"/>
        </w:rPr>
        <w:t xml:space="preserve"> </w:t>
      </w:r>
      <w:r>
        <w:rPr>
          <w:rFonts w:hint="eastAsia" w:ascii="宋体" w:hAnsi="宋体" w:cs="宋体"/>
          <w:i/>
          <w:color w:val="auto"/>
          <w:sz w:val="24"/>
          <w:szCs w:val="20"/>
          <w:highlight w:val="none"/>
          <w:u w:val="single"/>
        </w:rPr>
        <w:t>（投标人全称）</w:t>
      </w:r>
      <w:r>
        <w:rPr>
          <w:rFonts w:hint="eastAsia" w:ascii="宋体" w:hAnsi="宋体" w:cs="宋体"/>
          <w:color w:val="auto"/>
          <w:sz w:val="24"/>
          <w:szCs w:val="20"/>
          <w:highlight w:val="none"/>
          <w:u w:val="single"/>
        </w:rPr>
        <w:t xml:space="preserve"> </w:t>
      </w:r>
      <w:r>
        <w:rPr>
          <w:rFonts w:hint="eastAsia" w:ascii="宋体" w:hAnsi="宋体" w:cs="宋体"/>
          <w:color w:val="auto"/>
          <w:sz w:val="24"/>
          <w:szCs w:val="20"/>
          <w:highlight w:val="none"/>
        </w:rPr>
        <w:t>的法定代表人（或负责人），现授权委托本单位在职职工</w:t>
      </w:r>
      <w:r>
        <w:rPr>
          <w:rFonts w:hint="eastAsia" w:ascii="宋体" w:hAnsi="宋体" w:cs="宋体"/>
          <w:color w:val="auto"/>
          <w:sz w:val="24"/>
          <w:szCs w:val="20"/>
          <w:highlight w:val="none"/>
          <w:u w:val="single"/>
        </w:rPr>
        <w:t xml:space="preserve">   </w:t>
      </w:r>
      <w:r>
        <w:rPr>
          <w:rFonts w:hint="eastAsia" w:ascii="宋体" w:hAnsi="宋体" w:cs="宋体"/>
          <w:i/>
          <w:color w:val="auto"/>
          <w:sz w:val="24"/>
          <w:szCs w:val="20"/>
          <w:highlight w:val="none"/>
          <w:u w:val="single"/>
        </w:rPr>
        <w:t>（姓名）</w:t>
      </w:r>
      <w:r>
        <w:rPr>
          <w:rFonts w:hint="eastAsia" w:ascii="宋体" w:hAnsi="宋体" w:cs="宋体"/>
          <w:color w:val="auto"/>
          <w:sz w:val="24"/>
          <w:szCs w:val="20"/>
          <w:highlight w:val="none"/>
          <w:u w:val="single"/>
        </w:rPr>
        <w:t xml:space="preserve">  </w:t>
      </w:r>
      <w:r>
        <w:rPr>
          <w:rFonts w:hint="eastAsia" w:ascii="宋体" w:hAnsi="宋体" w:cs="宋体"/>
          <w:color w:val="auto"/>
          <w:sz w:val="24"/>
          <w:szCs w:val="20"/>
          <w:highlight w:val="none"/>
        </w:rPr>
        <w:t>以我方的名义参加就贵方组织的</w:t>
      </w:r>
      <w:r>
        <w:rPr>
          <w:rFonts w:hint="eastAsia" w:ascii="宋体" w:hAnsi="宋体" w:cs="宋体"/>
          <w:color w:val="auto"/>
          <w:sz w:val="24"/>
          <w:szCs w:val="20"/>
          <w:highlight w:val="none"/>
          <w:u w:val="single"/>
        </w:rPr>
        <w:t xml:space="preserve">  </w:t>
      </w:r>
      <w:r>
        <w:rPr>
          <w:rFonts w:hint="eastAsia" w:ascii="宋体" w:hAnsi="宋体" w:cs="宋体"/>
          <w:color w:val="auto"/>
          <w:spacing w:val="6"/>
          <w:sz w:val="24"/>
          <w:highlight w:val="none"/>
          <w:u w:val="single"/>
        </w:rPr>
        <w:t xml:space="preserve"> </w:t>
      </w:r>
      <w:r>
        <w:rPr>
          <w:rFonts w:hint="eastAsia" w:ascii="宋体" w:hAnsi="宋体" w:cs="宋体"/>
          <w:i/>
          <w:color w:val="auto"/>
          <w:sz w:val="24"/>
          <w:highlight w:val="none"/>
          <w:u w:val="single"/>
          <w:lang w:eastAsia="zh-CN"/>
        </w:rPr>
        <w:t>（</w:t>
      </w:r>
      <w:r>
        <w:rPr>
          <w:rFonts w:hint="eastAsia" w:ascii="宋体" w:hAnsi="宋体" w:cs="宋体"/>
          <w:i/>
          <w:color w:val="auto"/>
          <w:sz w:val="24"/>
          <w:highlight w:val="none"/>
          <w:u w:val="single"/>
          <w:lang w:val="en-US" w:eastAsia="zh-CN"/>
        </w:rPr>
        <w:t xml:space="preserve">项目名称）（项目编号）  </w:t>
      </w:r>
      <w:r>
        <w:rPr>
          <w:rFonts w:hint="eastAsia" w:ascii="宋体" w:hAnsi="宋体" w:cs="宋体"/>
          <w:color w:val="auto"/>
          <w:sz w:val="24"/>
          <w:szCs w:val="20"/>
          <w:highlight w:val="none"/>
        </w:rPr>
        <w:t>的投标活动，并代表我方全权办理针对上述项目的投标、开标、评标、签约等具体事务和签署相关文件。</w:t>
      </w:r>
    </w:p>
    <w:p w14:paraId="2395F09B">
      <w:pPr>
        <w:pStyle w:val="37"/>
        <w:autoSpaceDE w:val="0"/>
        <w:autoSpaceDN w:val="0"/>
        <w:spacing w:line="360" w:lineRule="auto"/>
        <w:ind w:firstLine="480" w:firstLineChars="200"/>
        <w:textAlignment w:val="bottom"/>
        <w:rPr>
          <w:rFonts w:ascii="宋体" w:hAnsi="宋体" w:cs="宋体"/>
          <w:color w:val="auto"/>
          <w:sz w:val="24"/>
          <w:szCs w:val="20"/>
          <w:highlight w:val="none"/>
        </w:rPr>
      </w:pPr>
      <w:r>
        <w:rPr>
          <w:rFonts w:hint="eastAsia" w:ascii="宋体" w:hAnsi="宋体" w:cs="宋体"/>
          <w:color w:val="auto"/>
          <w:sz w:val="24"/>
          <w:szCs w:val="20"/>
          <w:highlight w:val="none"/>
        </w:rPr>
        <w:t>我方对委托代理人的签字或盖章事项负全部责任。</w:t>
      </w:r>
    </w:p>
    <w:p w14:paraId="595A0F09">
      <w:pPr>
        <w:pStyle w:val="37"/>
        <w:spacing w:line="360" w:lineRule="auto"/>
        <w:ind w:firstLine="480"/>
        <w:rPr>
          <w:rFonts w:ascii="宋体" w:hAnsi="宋体" w:cs="宋体"/>
          <w:color w:val="auto"/>
          <w:sz w:val="24"/>
          <w:szCs w:val="21"/>
          <w:highlight w:val="none"/>
        </w:rPr>
      </w:pPr>
      <w:r>
        <w:rPr>
          <w:rFonts w:hint="eastAsia" w:ascii="宋体" w:hAnsi="宋体" w:cs="宋体"/>
          <w:color w:val="auto"/>
          <w:sz w:val="24"/>
          <w:szCs w:val="21"/>
          <w:highlight w:val="none"/>
        </w:rPr>
        <w:t>本授权书自签署之日起生效，在撤销授权的书面通知送达贵方以前，本授权委托书一直有效。委托代理人在授权书有效期内签署的所有文件不因授权的撤销而失效。</w:t>
      </w:r>
    </w:p>
    <w:p w14:paraId="739EBECC">
      <w:pPr>
        <w:pStyle w:val="37"/>
        <w:spacing w:line="360" w:lineRule="auto"/>
        <w:ind w:firstLine="480"/>
        <w:rPr>
          <w:rFonts w:ascii="宋体" w:hAnsi="宋体" w:cs="宋体"/>
          <w:color w:val="auto"/>
          <w:sz w:val="24"/>
          <w:szCs w:val="21"/>
          <w:highlight w:val="none"/>
        </w:rPr>
      </w:pPr>
      <w:r>
        <w:rPr>
          <w:rFonts w:hint="eastAsia" w:ascii="宋体" w:hAnsi="宋体" w:cs="宋体"/>
          <w:color w:val="auto"/>
          <w:sz w:val="24"/>
          <w:szCs w:val="21"/>
          <w:highlight w:val="none"/>
        </w:rPr>
        <w:t>委托代理人无转委托权，特此声明。</w:t>
      </w:r>
    </w:p>
    <w:p w14:paraId="0032A775">
      <w:pPr>
        <w:pStyle w:val="37"/>
        <w:spacing w:line="360" w:lineRule="auto"/>
        <w:ind w:firstLine="480"/>
        <w:rPr>
          <w:rFonts w:ascii="宋体" w:hAnsi="宋体" w:cs="宋体"/>
          <w:color w:val="auto"/>
          <w:sz w:val="24"/>
          <w:szCs w:val="21"/>
          <w:highlight w:val="none"/>
        </w:rPr>
      </w:pPr>
    </w:p>
    <w:p w14:paraId="4DD310D5">
      <w:pPr>
        <w:pStyle w:val="37"/>
        <w:spacing w:line="360" w:lineRule="auto"/>
        <w:ind w:firstLine="480"/>
        <w:rPr>
          <w:rFonts w:ascii="宋体" w:hAnsi="宋体" w:cs="宋体"/>
          <w:color w:val="auto"/>
          <w:sz w:val="24"/>
          <w:szCs w:val="21"/>
          <w:highlight w:val="none"/>
        </w:rPr>
      </w:pPr>
    </w:p>
    <w:p w14:paraId="693E3537">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投标人盖章：</w:t>
      </w:r>
      <w:r>
        <w:rPr>
          <w:rFonts w:hint="eastAsia" w:ascii="宋体" w:hAnsi="宋体" w:cs="宋体"/>
          <w:color w:val="auto"/>
          <w:sz w:val="24"/>
          <w:szCs w:val="21"/>
          <w:highlight w:val="none"/>
          <w:u w:val="single"/>
        </w:rPr>
        <w:t xml:space="preserve">                </w:t>
      </w:r>
    </w:p>
    <w:p w14:paraId="29BBE292">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日      期：</w:t>
      </w:r>
      <w:r>
        <w:rPr>
          <w:rFonts w:hint="eastAsia" w:ascii="宋体" w:hAnsi="宋体" w:cs="宋体"/>
          <w:color w:val="auto"/>
          <w:sz w:val="24"/>
          <w:szCs w:val="21"/>
          <w:highlight w:val="none"/>
          <w:u w:val="single"/>
        </w:rPr>
        <w:t xml:space="preserve">                </w:t>
      </w:r>
    </w:p>
    <w:p w14:paraId="7F066C1C">
      <w:pPr>
        <w:pStyle w:val="37"/>
        <w:spacing w:line="440" w:lineRule="exact"/>
        <w:rPr>
          <w:rFonts w:ascii="宋体" w:hAnsi="宋体" w:cs="宋体"/>
          <w:color w:val="auto"/>
          <w:sz w:val="24"/>
          <w:szCs w:val="21"/>
          <w:highlight w:val="none"/>
        </w:rPr>
      </w:pPr>
      <w:r>
        <w:rPr>
          <w:rFonts w:ascii="宋体" w:hAnsi="宋体" w:cs="宋体"/>
          <w:color w:val="auto"/>
          <w:sz w:val="24"/>
          <w:szCs w:val="21"/>
          <w:highlight w:val="none"/>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133350</wp:posOffset>
                </wp:positionV>
                <wp:extent cx="6067425" cy="0"/>
                <wp:effectExtent l="0" t="4445" r="0" b="5080"/>
                <wp:wrapNone/>
                <wp:docPr id="3" name="直接箭头连接符 3"/>
                <wp:cNvGraphicFramePr/>
                <a:graphic xmlns:a="http://schemas.openxmlformats.org/drawingml/2006/main">
                  <a:graphicData uri="http://schemas.microsoft.com/office/word/2010/wordprocessingShape">
                    <wps:wsp>
                      <wps:cNvCnPr/>
                      <wps:spPr>
                        <a:xfrm>
                          <a:off x="0" y="0"/>
                          <a:ext cx="6067425" cy="0"/>
                        </a:xfrm>
                        <a:prstGeom prst="straightConnector1">
                          <a:avLst/>
                        </a:prstGeom>
                        <a:ln w="9525" cap="flat" cmpd="sng">
                          <a:solidFill>
                            <a:srgbClr val="000000"/>
                          </a:solidFill>
                          <a:prstDash val="lgDash"/>
                          <a:headEnd type="none" w="med" len="med"/>
                          <a:tailEnd type="none" w="med" len="med"/>
                        </a:ln>
                        <a:effectLst/>
                      </wps:spPr>
                      <wps:bodyPr/>
                    </wps:wsp>
                  </a:graphicData>
                </a:graphic>
              </wp:anchor>
            </w:drawing>
          </mc:Choice>
          <mc:Fallback>
            <w:pict>
              <v:shape id="_x0000_s1026" o:spid="_x0000_s1026" o:spt="32" type="#_x0000_t32" style="position:absolute;left:0pt;margin-left:-16.5pt;margin-top:10.5pt;height:0pt;width:477.75pt;z-index:251659264;mso-width-relative:page;mso-height-relative:page;" filled="f" stroked="t" coordsize="21600,21600" o:gfxdata="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Qwsg2AAAAAkBAAAPAAAAAAAAAAEAIAAAACIAAABkcnMv&#10;ZG93bnJldi54bWxQSwECFAAUAAAACACHTuJA58gFfAMCAAD7AwAADgAAAAAAAAABACAAAAAnAQAA&#10;ZHJzL2Uyb0RvYy54bWxQSwUGAAAAAAYABgBZAQAAnAUAAAAA&#10;">
                <v:fill on="f" focussize="0,0"/>
                <v:stroke color="#000000" joinstyle="round" dashstyle="longDash"/>
                <v:imagedata o:title=""/>
                <o:lock v:ext="edit" aspectratio="f"/>
              </v:shape>
            </w:pict>
          </mc:Fallback>
        </mc:AlternateContent>
      </w:r>
    </w:p>
    <w:p w14:paraId="69A1633D">
      <w:pPr>
        <w:pStyle w:val="37"/>
        <w:spacing w:line="440" w:lineRule="exact"/>
        <w:rPr>
          <w:rFonts w:ascii="宋体" w:hAnsi="宋体" w:cs="宋体"/>
          <w:color w:val="auto"/>
          <w:sz w:val="24"/>
          <w:szCs w:val="21"/>
          <w:highlight w:val="none"/>
        </w:rPr>
      </w:pPr>
      <w:r>
        <w:rPr>
          <w:rFonts w:hint="eastAsia" w:ascii="宋体" w:hAnsi="宋体" w:cs="宋体"/>
          <w:color w:val="auto"/>
          <w:sz w:val="24"/>
          <w:szCs w:val="21"/>
          <w:highlight w:val="none"/>
        </w:rPr>
        <w:t xml:space="preserve">附：1.委托代理人工作单位：                     职务： </w:t>
      </w:r>
    </w:p>
    <w:p w14:paraId="22B22748">
      <w:pPr>
        <w:pStyle w:val="37"/>
        <w:spacing w:line="440" w:lineRule="exact"/>
        <w:ind w:firstLine="840" w:firstLineChars="350"/>
        <w:rPr>
          <w:rFonts w:ascii="宋体" w:hAnsi="宋体" w:cs="宋体"/>
          <w:color w:val="auto"/>
          <w:sz w:val="24"/>
          <w:szCs w:val="21"/>
          <w:highlight w:val="none"/>
        </w:rPr>
      </w:pPr>
      <w:r>
        <w:rPr>
          <w:rFonts w:hint="eastAsia" w:ascii="宋体" w:hAnsi="宋体" w:cs="宋体"/>
          <w:color w:val="auto"/>
          <w:sz w:val="24"/>
          <w:szCs w:val="21"/>
          <w:highlight w:val="none"/>
        </w:rPr>
        <w:t xml:space="preserve">身份证号码：                             性别： </w:t>
      </w:r>
    </w:p>
    <w:p w14:paraId="1CC242BC">
      <w:pPr>
        <w:pStyle w:val="37"/>
        <w:spacing w:line="440" w:lineRule="exact"/>
        <w:ind w:firstLine="480"/>
        <w:rPr>
          <w:rFonts w:ascii="宋体" w:hAnsi="宋体" w:cs="宋体"/>
          <w:color w:val="auto"/>
          <w:spacing w:val="20"/>
          <w:sz w:val="24"/>
          <w:highlight w:val="none"/>
          <w:u w:val="single"/>
        </w:rPr>
      </w:pPr>
      <w:r>
        <w:rPr>
          <w:rFonts w:hint="eastAsia" w:ascii="宋体" w:hAnsi="宋体" w:cs="宋体"/>
          <w:color w:val="auto"/>
          <w:sz w:val="24"/>
          <w:szCs w:val="21"/>
          <w:highlight w:val="none"/>
        </w:rPr>
        <w:t>2.</w:t>
      </w:r>
      <w:r>
        <w:rPr>
          <w:rFonts w:hint="eastAsia" w:ascii="宋体" w:hAnsi="宋体" w:cs="宋体"/>
          <w:bCs/>
          <w:color w:val="auto"/>
          <w:sz w:val="24"/>
          <w:highlight w:val="none"/>
        </w:rPr>
        <w:t>委托代理人身份证正、反面电子文档：</w:t>
      </w:r>
    </w:p>
    <w:tbl>
      <w:tblPr>
        <w:tblStyle w:val="24"/>
        <w:tblW w:w="9242" w:type="dxa"/>
        <w:tblInd w:w="0" w:type="dxa"/>
        <w:tblLayout w:type="fixed"/>
        <w:tblCellMar>
          <w:top w:w="0" w:type="dxa"/>
          <w:left w:w="108" w:type="dxa"/>
          <w:bottom w:w="0" w:type="dxa"/>
          <w:right w:w="108" w:type="dxa"/>
        </w:tblCellMar>
      </w:tblPr>
      <w:tblGrid>
        <w:gridCol w:w="4621"/>
        <w:gridCol w:w="4621"/>
      </w:tblGrid>
      <w:tr w14:paraId="57A51309">
        <w:tblPrEx>
          <w:tblCellMar>
            <w:top w:w="0" w:type="dxa"/>
            <w:left w:w="108" w:type="dxa"/>
            <w:bottom w:w="0" w:type="dxa"/>
            <w:right w:w="108" w:type="dxa"/>
          </w:tblCellMar>
        </w:tblPrEx>
        <w:trPr>
          <w:trHeight w:val="2733" w:hRule="atLeast"/>
        </w:trPr>
        <w:tc>
          <w:tcPr>
            <w:tcW w:w="4621" w:type="dxa"/>
          </w:tcPr>
          <w:p w14:paraId="6B1C581C">
            <w:pPr>
              <w:pStyle w:val="37"/>
              <w:spacing w:line="440" w:lineRule="exact"/>
              <w:rPr>
                <w:rFonts w:ascii="宋体" w:hAnsi="宋体" w:cs="宋体"/>
                <w:color w:val="auto"/>
                <w:spacing w:val="20"/>
                <w:sz w:val="24"/>
                <w:highlight w:val="none"/>
              </w:rPr>
            </w:pPr>
            <w:r>
              <w:rPr>
                <w:rFonts w:hint="eastAsia" w:ascii="宋体" w:hAnsi="宋体" w:cs="宋体"/>
                <w:color w:val="auto"/>
                <w:spacing w:val="20"/>
                <w:sz w:val="24"/>
                <w:highlight w:val="none"/>
              </w:rPr>
              <w:t>正面：</w:t>
            </w:r>
          </w:p>
          <w:p w14:paraId="35DCF1DB">
            <w:pPr>
              <w:pStyle w:val="37"/>
              <w:spacing w:line="440" w:lineRule="exact"/>
              <w:rPr>
                <w:rFonts w:ascii="宋体" w:hAnsi="宋体" w:cs="宋体"/>
                <w:color w:val="auto"/>
                <w:spacing w:val="20"/>
                <w:sz w:val="24"/>
                <w:highlight w:val="none"/>
              </w:rPr>
            </w:pPr>
          </w:p>
        </w:tc>
        <w:tc>
          <w:tcPr>
            <w:tcW w:w="4621" w:type="dxa"/>
          </w:tcPr>
          <w:p w14:paraId="096FF4AD">
            <w:pPr>
              <w:pStyle w:val="37"/>
              <w:spacing w:line="440" w:lineRule="exact"/>
              <w:rPr>
                <w:rFonts w:ascii="宋体" w:hAnsi="宋体" w:cs="宋体"/>
                <w:color w:val="auto"/>
                <w:spacing w:val="20"/>
                <w:sz w:val="24"/>
                <w:highlight w:val="none"/>
              </w:rPr>
            </w:pPr>
            <w:r>
              <w:rPr>
                <w:rFonts w:hint="eastAsia" w:ascii="宋体" w:hAnsi="宋体" w:cs="宋体"/>
                <w:color w:val="auto"/>
                <w:spacing w:val="20"/>
                <w:sz w:val="24"/>
                <w:highlight w:val="none"/>
              </w:rPr>
              <w:t>反面：</w:t>
            </w:r>
          </w:p>
          <w:p w14:paraId="6F4267BC">
            <w:pPr>
              <w:pStyle w:val="37"/>
              <w:spacing w:line="440" w:lineRule="exact"/>
              <w:rPr>
                <w:rFonts w:ascii="宋体" w:hAnsi="宋体" w:cs="宋体"/>
                <w:color w:val="auto"/>
                <w:spacing w:val="20"/>
                <w:sz w:val="24"/>
                <w:highlight w:val="none"/>
                <w:u w:val="single"/>
              </w:rPr>
            </w:pPr>
          </w:p>
        </w:tc>
      </w:tr>
    </w:tbl>
    <w:p w14:paraId="01642315">
      <w:pPr>
        <w:pStyle w:val="37"/>
        <w:ind w:left="587" w:leftChars="50" w:hanging="482" w:hangingChars="200"/>
        <w:rPr>
          <w:rFonts w:ascii="宋体" w:hAnsi="宋体" w:cs="宋体"/>
          <w:color w:val="auto"/>
          <w:sz w:val="24"/>
          <w:szCs w:val="21"/>
          <w:highlight w:val="none"/>
        </w:rPr>
      </w:pPr>
      <w:r>
        <w:rPr>
          <w:rFonts w:hint="eastAsia" w:ascii="宋体" w:hAnsi="宋体" w:cs="宋体"/>
          <w:b/>
          <w:color w:val="auto"/>
          <w:sz w:val="24"/>
          <w:szCs w:val="21"/>
          <w:highlight w:val="none"/>
        </w:rPr>
        <w:t>注：</w:t>
      </w:r>
      <w:r>
        <w:rPr>
          <w:rFonts w:hint="eastAsia" w:ascii="宋体" w:hAnsi="宋体" w:cs="宋体"/>
          <w:color w:val="auto"/>
          <w:sz w:val="24"/>
          <w:szCs w:val="21"/>
          <w:highlight w:val="none"/>
        </w:rPr>
        <w:t>1. 投标人为法人企业的，其负责人为其法定代表人；投标人为其他组织的，其负责人为法律、行政法规规定代表单位行使职权的主要负责人；投标人为自然人的，其负责人为自然人本人。</w:t>
      </w:r>
    </w:p>
    <w:p w14:paraId="226679AC">
      <w:pPr>
        <w:pStyle w:val="37"/>
        <w:ind w:left="588" w:leftChars="280"/>
        <w:rPr>
          <w:rFonts w:ascii="宋体" w:hAnsi="宋体" w:cs="宋体"/>
          <w:color w:val="auto"/>
          <w:sz w:val="24"/>
          <w:szCs w:val="21"/>
          <w:highlight w:val="none"/>
        </w:rPr>
      </w:pPr>
      <w:r>
        <w:rPr>
          <w:rFonts w:hint="eastAsia" w:ascii="宋体" w:hAnsi="宋体" w:cs="宋体"/>
          <w:color w:val="auto"/>
          <w:sz w:val="24"/>
          <w:szCs w:val="21"/>
          <w:highlight w:val="none"/>
        </w:rPr>
        <w:t>2. 若是负责人参会的，不需要提供此授权委托书。</w:t>
      </w:r>
    </w:p>
    <w:p w14:paraId="1FEAE361">
      <w:pPr>
        <w:pStyle w:val="8"/>
        <w:spacing w:line="360" w:lineRule="auto"/>
        <w:ind w:firstLine="0"/>
        <w:jc w:val="center"/>
        <w:rPr>
          <w:rFonts w:hint="eastAsia" w:ascii="宋体" w:hAnsi="宋体" w:eastAsia="宋体" w:cs="宋体"/>
          <w:b/>
          <w:i w:val="0"/>
          <w:iCs w:val="0"/>
          <w:color w:val="auto"/>
          <w:sz w:val="32"/>
          <w:szCs w:val="32"/>
          <w:highlight w:val="none"/>
        </w:rPr>
      </w:pPr>
    </w:p>
    <w:p w14:paraId="42F7F82C">
      <w:pPr>
        <w:pStyle w:val="7"/>
        <w:spacing w:before="0" w:after="0"/>
        <w:ind w:firstLine="0" w:firstLineChars="0"/>
        <w:jc w:val="left"/>
        <w:rPr>
          <w:rFonts w:ascii="宋体" w:hAnsi="宋体" w:eastAsia="宋体" w:cs="宋体"/>
          <w:color w:val="auto"/>
          <w:sz w:val="24"/>
          <w:szCs w:val="24"/>
          <w:highlight w:val="none"/>
        </w:rPr>
      </w:pPr>
      <w:bookmarkStart w:id="565" w:name="_Toc530551879"/>
      <w:bookmarkStart w:id="566" w:name="_Toc531359045"/>
      <w:bookmarkStart w:id="567" w:name="_Toc493956054"/>
      <w:bookmarkStart w:id="568" w:name="_Toc5903"/>
      <w:bookmarkStart w:id="569" w:name="_Toc97213026"/>
      <w:bookmarkStart w:id="570" w:name="_Toc27678"/>
      <w:bookmarkStart w:id="571" w:name="_Toc20980"/>
      <w:bookmarkStart w:id="572" w:name="_Toc24613"/>
      <w:bookmarkStart w:id="573" w:name="_Toc5817"/>
      <w:r>
        <w:rPr>
          <w:rFonts w:hint="eastAsia" w:ascii="宋体" w:hAnsi="宋体" w:eastAsia="宋体" w:cs="宋体"/>
          <w:color w:val="auto"/>
          <w:sz w:val="24"/>
          <w:szCs w:val="24"/>
          <w:highlight w:val="none"/>
        </w:rPr>
        <w:t xml:space="preserve">1.6    </w:t>
      </w:r>
      <w:bookmarkEnd w:id="565"/>
      <w:bookmarkEnd w:id="566"/>
      <w:bookmarkEnd w:id="567"/>
      <w:r>
        <w:rPr>
          <w:rFonts w:hint="eastAsia" w:ascii="宋体" w:hAnsi="宋体" w:eastAsia="宋体" w:cs="宋体"/>
          <w:color w:val="auto"/>
          <w:sz w:val="24"/>
          <w:szCs w:val="24"/>
          <w:highlight w:val="none"/>
        </w:rPr>
        <w:t>符合参加政府采购活动应当具备的一般条件的承诺函格式</w:t>
      </w:r>
      <w:bookmarkEnd w:id="568"/>
      <w:bookmarkEnd w:id="569"/>
      <w:bookmarkEnd w:id="570"/>
      <w:bookmarkEnd w:id="571"/>
      <w:bookmarkEnd w:id="572"/>
      <w:bookmarkEnd w:id="573"/>
    </w:p>
    <w:p w14:paraId="6084DB96">
      <w:pPr>
        <w:pStyle w:val="8"/>
        <w:spacing w:line="360" w:lineRule="auto"/>
        <w:ind w:firstLine="0"/>
        <w:rPr>
          <w:rFonts w:ascii="宋体" w:hAnsi="宋体" w:cs="宋体"/>
          <w:color w:val="auto"/>
          <w:highlight w:val="none"/>
        </w:rPr>
      </w:pPr>
    </w:p>
    <w:p w14:paraId="587B3F71">
      <w:pPr>
        <w:pStyle w:val="8"/>
        <w:ind w:left="630" w:leftChars="300" w:right="630" w:rightChars="300" w:firstLine="0"/>
        <w:jc w:val="center"/>
        <w:rPr>
          <w:rFonts w:ascii="宋体" w:hAnsi="宋体" w:cs="宋体"/>
          <w:b/>
          <w:color w:val="auto"/>
          <w:sz w:val="32"/>
          <w:szCs w:val="32"/>
          <w:highlight w:val="none"/>
        </w:rPr>
      </w:pPr>
      <w:r>
        <w:rPr>
          <w:rFonts w:hint="eastAsia" w:ascii="宋体" w:hAnsi="宋体" w:cs="宋体"/>
          <w:b/>
          <w:color w:val="auto"/>
          <w:sz w:val="32"/>
          <w:szCs w:val="32"/>
          <w:highlight w:val="none"/>
        </w:rPr>
        <w:t>符合参加政府采购活动应当具备的一般条件的承诺函</w:t>
      </w:r>
    </w:p>
    <w:p w14:paraId="12156DCA">
      <w:pPr>
        <w:pStyle w:val="38"/>
        <w:spacing w:line="360" w:lineRule="auto"/>
        <w:rPr>
          <w:rFonts w:ascii="宋体" w:hAnsi="宋体" w:cs="宋体"/>
          <w:color w:val="auto"/>
          <w:sz w:val="24"/>
          <w:highlight w:val="none"/>
          <w:u w:val="single"/>
        </w:rPr>
      </w:pPr>
    </w:p>
    <w:p w14:paraId="7695D1D8">
      <w:pPr>
        <w:pStyle w:val="38"/>
        <w:spacing w:line="360" w:lineRule="auto"/>
        <w:rPr>
          <w:rFonts w:ascii="宋体" w:hAnsi="宋体" w:cs="宋体"/>
          <w:i/>
          <w:color w:val="auto"/>
          <w:sz w:val="24"/>
          <w:szCs w:val="20"/>
          <w:highlight w:val="none"/>
          <w:u w:val="single"/>
        </w:rPr>
      </w:pPr>
      <w:r>
        <w:rPr>
          <w:rFonts w:hint="eastAsia" w:ascii="宋体" w:hAnsi="宋体" w:cs="宋体"/>
          <w:i/>
          <w:color w:val="auto"/>
          <w:sz w:val="24"/>
          <w:szCs w:val="20"/>
          <w:highlight w:val="none"/>
          <w:u w:val="single"/>
        </w:rPr>
        <w:t>丽水学院</w:t>
      </w:r>
      <w:r>
        <w:rPr>
          <w:rFonts w:hint="eastAsia" w:ascii="宋体" w:hAnsi="宋体" w:cs="宋体"/>
          <w:color w:val="auto"/>
          <w:sz w:val="24"/>
          <w:szCs w:val="20"/>
          <w:highlight w:val="none"/>
          <w:u w:val="single"/>
        </w:rPr>
        <w:t>：</w:t>
      </w:r>
    </w:p>
    <w:p w14:paraId="6D143FA6">
      <w:pPr>
        <w:pStyle w:val="8"/>
        <w:spacing w:line="360" w:lineRule="auto"/>
        <w:ind w:firstLine="504"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我方参与的</w:t>
      </w:r>
      <w:r>
        <w:rPr>
          <w:rFonts w:hint="eastAsia" w:ascii="宋体" w:hAnsi="宋体" w:cs="宋体"/>
          <w:color w:val="auto"/>
          <w:spacing w:val="6"/>
          <w:sz w:val="24"/>
          <w:highlight w:val="none"/>
          <w:u w:val="single"/>
        </w:rPr>
        <w:t xml:space="preserve"> </w:t>
      </w:r>
      <w:r>
        <w:rPr>
          <w:rFonts w:hint="eastAsia" w:ascii="宋体" w:hAnsi="宋体" w:cs="宋体"/>
          <w:i/>
          <w:color w:val="auto"/>
          <w:sz w:val="24"/>
          <w:highlight w:val="none"/>
          <w:u w:val="single"/>
          <w:lang w:eastAsia="zh-CN"/>
        </w:rPr>
        <w:t>（</w:t>
      </w:r>
      <w:r>
        <w:rPr>
          <w:rFonts w:hint="eastAsia" w:ascii="宋体" w:hAnsi="宋体" w:cs="宋体"/>
          <w:i/>
          <w:color w:val="auto"/>
          <w:sz w:val="24"/>
          <w:highlight w:val="none"/>
          <w:u w:val="single"/>
          <w:lang w:val="en-US" w:eastAsia="zh-CN"/>
        </w:rPr>
        <w:t xml:space="preserve">项目名称）（项目编号） </w:t>
      </w:r>
      <w:r>
        <w:rPr>
          <w:rFonts w:hint="eastAsia" w:ascii="宋体" w:hAnsi="宋体" w:cs="宋体"/>
          <w:color w:val="auto"/>
          <w:spacing w:val="6"/>
          <w:sz w:val="24"/>
          <w:highlight w:val="none"/>
        </w:rPr>
        <w:t>的政府采购活动，我方郑重承诺：</w:t>
      </w:r>
    </w:p>
    <w:p w14:paraId="62AEF829">
      <w:pPr>
        <w:pStyle w:val="8"/>
        <w:spacing w:line="360" w:lineRule="auto"/>
        <w:ind w:firstLine="504"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（一）具备《中华人民共和国政府采购法》第二十二条第一款规定的条件：</w:t>
      </w:r>
    </w:p>
    <w:p w14:paraId="47915A23">
      <w:pPr>
        <w:pStyle w:val="8"/>
        <w:spacing w:line="360" w:lineRule="auto"/>
        <w:ind w:firstLine="504"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1、具有独立承担民事责任的能力；</w:t>
      </w:r>
    </w:p>
    <w:p w14:paraId="0F12D6EE">
      <w:pPr>
        <w:pStyle w:val="8"/>
        <w:spacing w:line="360" w:lineRule="auto"/>
        <w:ind w:firstLine="504"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 xml:space="preserve">2、具有良好的商业信誉和健全的财务会计制度； </w:t>
      </w:r>
    </w:p>
    <w:p w14:paraId="1E836883">
      <w:pPr>
        <w:pStyle w:val="8"/>
        <w:spacing w:line="360" w:lineRule="auto"/>
        <w:ind w:firstLine="504"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3、具有履行合同所必需的设备和专业技术能力；</w:t>
      </w:r>
    </w:p>
    <w:p w14:paraId="44C6FEA4">
      <w:pPr>
        <w:pStyle w:val="8"/>
        <w:spacing w:line="360" w:lineRule="auto"/>
        <w:ind w:firstLine="504"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4、有依法缴纳税收和社会保障资金的良好记录；</w:t>
      </w:r>
    </w:p>
    <w:p w14:paraId="7E6CCF9F">
      <w:pPr>
        <w:pStyle w:val="8"/>
        <w:spacing w:line="360" w:lineRule="auto"/>
        <w:ind w:firstLine="504"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5、参加政府采购活动前三年内，在经营活动中没有重大违法记录；</w:t>
      </w:r>
    </w:p>
    <w:p w14:paraId="5A57A737">
      <w:pPr>
        <w:pStyle w:val="8"/>
        <w:spacing w:line="360" w:lineRule="auto"/>
        <w:ind w:firstLine="504"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6、具有法律、行政法规规定的其他条件。</w:t>
      </w:r>
    </w:p>
    <w:p w14:paraId="087FB9F0">
      <w:pPr>
        <w:pStyle w:val="8"/>
        <w:spacing w:line="360" w:lineRule="auto"/>
        <w:ind w:firstLine="504"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（二）未被信用中国（www.creditchina.gov.cn)、中国政府采购网（www.ccgp.gov.cn）列入失信被执行人、重大税收违法案件当事人名单、政府采购严重违法失信行为记录名单。</w:t>
      </w:r>
    </w:p>
    <w:p w14:paraId="210A9983">
      <w:pPr>
        <w:pStyle w:val="8"/>
        <w:spacing w:line="360" w:lineRule="auto"/>
        <w:ind w:firstLine="504"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（三）不存在以下情况：</w:t>
      </w:r>
    </w:p>
    <w:p w14:paraId="1413C683">
      <w:pPr>
        <w:pStyle w:val="8"/>
        <w:spacing w:line="360" w:lineRule="auto"/>
        <w:ind w:firstLine="504" w:firstLineChars="200"/>
        <w:jc w:val="left"/>
        <w:rPr>
          <w:rFonts w:ascii="宋体" w:hAnsi="宋体" w:cs="宋体"/>
          <w:color w:val="auto"/>
          <w:spacing w:val="6"/>
          <w:sz w:val="24"/>
          <w:highlight w:val="none"/>
        </w:rPr>
      </w:pPr>
      <w:r>
        <w:rPr>
          <w:rFonts w:hint="eastAsia" w:ascii="宋体" w:hAnsi="宋体" w:cs="宋体"/>
          <w:color w:val="auto"/>
          <w:spacing w:val="6"/>
          <w:sz w:val="24"/>
          <w:highlight w:val="none"/>
        </w:rPr>
        <w:t>1、单位负责人为同一人或者存在直接控股、管理关系的不同</w:t>
      </w:r>
      <w:r>
        <w:rPr>
          <w:rFonts w:hint="eastAsia" w:ascii="宋体" w:hAnsi="宋体" w:cs="宋体"/>
          <w:color w:val="auto"/>
          <w:spacing w:val="6"/>
          <w:sz w:val="24"/>
          <w:highlight w:val="none"/>
          <w:lang w:eastAsia="zh-CN"/>
        </w:rPr>
        <w:t>投标人</w:t>
      </w:r>
      <w:r>
        <w:rPr>
          <w:rFonts w:hint="eastAsia" w:ascii="宋体" w:hAnsi="宋体" w:cs="宋体"/>
          <w:color w:val="auto"/>
          <w:spacing w:val="6"/>
          <w:sz w:val="24"/>
          <w:highlight w:val="none"/>
        </w:rPr>
        <w:t>参加同一合同项下的政府采购活动的；</w:t>
      </w:r>
    </w:p>
    <w:p w14:paraId="77A71F51">
      <w:pPr>
        <w:pStyle w:val="8"/>
        <w:spacing w:line="360" w:lineRule="auto"/>
        <w:ind w:firstLine="504" w:firstLineChars="200"/>
        <w:jc w:val="left"/>
        <w:rPr>
          <w:rFonts w:ascii="宋体" w:hAnsi="宋体" w:cs="宋体"/>
          <w:color w:val="auto"/>
          <w:sz w:val="24"/>
          <w:highlight w:val="none"/>
        </w:rPr>
      </w:pPr>
      <w:r>
        <w:rPr>
          <w:rFonts w:hint="eastAsia" w:ascii="宋体" w:hAnsi="宋体" w:cs="宋体"/>
          <w:color w:val="auto"/>
          <w:spacing w:val="6"/>
          <w:sz w:val="24"/>
          <w:highlight w:val="none"/>
        </w:rPr>
        <w:t>2、为采购项目提供整体设计、规范编制或者项目管理、监理、检测等服务后再参加该采购项目的其他采购活动的。</w:t>
      </w:r>
    </w:p>
    <w:p w14:paraId="452F01F4">
      <w:pPr>
        <w:pStyle w:val="8"/>
        <w:spacing w:line="360" w:lineRule="auto"/>
        <w:ind w:firstLine="504" w:firstLineChars="200"/>
        <w:jc w:val="left"/>
        <w:rPr>
          <w:rFonts w:ascii="宋体" w:hAnsi="宋体" w:cs="宋体"/>
          <w:color w:val="auto"/>
          <w:spacing w:val="6"/>
          <w:sz w:val="24"/>
          <w:highlight w:val="none"/>
        </w:rPr>
      </w:pPr>
    </w:p>
    <w:p w14:paraId="0DCC3B1A">
      <w:pPr>
        <w:pStyle w:val="8"/>
        <w:spacing w:line="360" w:lineRule="auto"/>
        <w:ind w:firstLine="504" w:firstLineChars="200"/>
        <w:jc w:val="left"/>
        <w:rPr>
          <w:rFonts w:ascii="宋体" w:hAnsi="宋体" w:cs="宋体"/>
          <w:color w:val="auto"/>
          <w:highlight w:val="none"/>
        </w:rPr>
      </w:pPr>
      <w:r>
        <w:rPr>
          <w:rFonts w:hint="eastAsia" w:ascii="宋体" w:hAnsi="宋体" w:cs="宋体"/>
          <w:color w:val="auto"/>
          <w:spacing w:val="6"/>
          <w:sz w:val="24"/>
          <w:highlight w:val="none"/>
        </w:rPr>
        <w:t>如有虚假，采购人可取消我方任何资格（投标/中标/签订合同），我方对此无任何异议。</w:t>
      </w:r>
    </w:p>
    <w:p w14:paraId="0060C790">
      <w:pPr>
        <w:pStyle w:val="38"/>
        <w:spacing w:line="360" w:lineRule="auto"/>
        <w:ind w:firstLine="504" w:firstLineChars="200"/>
        <w:rPr>
          <w:rFonts w:ascii="宋体" w:hAnsi="宋体" w:cs="宋体"/>
          <w:color w:val="auto"/>
          <w:spacing w:val="6"/>
          <w:sz w:val="24"/>
          <w:highlight w:val="none"/>
        </w:rPr>
      </w:pPr>
    </w:p>
    <w:p w14:paraId="7A05A642">
      <w:pPr>
        <w:pStyle w:val="38"/>
        <w:spacing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特此承诺！</w:t>
      </w:r>
    </w:p>
    <w:p w14:paraId="0CE019C7">
      <w:pPr>
        <w:pStyle w:val="38"/>
        <w:spacing w:line="360" w:lineRule="auto"/>
        <w:ind w:firstLine="504" w:firstLineChars="200"/>
        <w:rPr>
          <w:rFonts w:ascii="宋体" w:hAnsi="宋体" w:cs="宋体"/>
          <w:color w:val="auto"/>
          <w:spacing w:val="6"/>
          <w:sz w:val="24"/>
          <w:highlight w:val="none"/>
        </w:rPr>
      </w:pPr>
    </w:p>
    <w:p w14:paraId="432A277B">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投标人盖章：</w:t>
      </w:r>
      <w:r>
        <w:rPr>
          <w:rFonts w:hint="eastAsia" w:ascii="宋体" w:hAnsi="宋体" w:cs="宋体"/>
          <w:color w:val="auto"/>
          <w:sz w:val="24"/>
          <w:szCs w:val="21"/>
          <w:highlight w:val="none"/>
          <w:u w:val="single"/>
        </w:rPr>
        <w:t xml:space="preserve">                </w:t>
      </w:r>
    </w:p>
    <w:p w14:paraId="323DCE60">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日      期：</w:t>
      </w:r>
      <w:r>
        <w:rPr>
          <w:rFonts w:hint="eastAsia" w:ascii="宋体" w:hAnsi="宋体" w:cs="宋体"/>
          <w:color w:val="auto"/>
          <w:sz w:val="24"/>
          <w:szCs w:val="21"/>
          <w:highlight w:val="none"/>
          <w:u w:val="single"/>
        </w:rPr>
        <w:t xml:space="preserve">                </w:t>
      </w:r>
    </w:p>
    <w:p w14:paraId="0555DAB3">
      <w:pPr>
        <w:pStyle w:val="7"/>
        <w:spacing w:before="0" w:after="0"/>
        <w:ind w:firstLine="0" w:firstLineChars="0"/>
        <w:jc w:val="left"/>
        <w:rPr>
          <w:rFonts w:ascii="宋体" w:hAnsi="宋体" w:eastAsia="宋体" w:cs="宋体"/>
          <w:color w:val="auto"/>
          <w:sz w:val="24"/>
          <w:szCs w:val="24"/>
          <w:highlight w:val="none"/>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574" w:name="_Toc500333505"/>
      <w:bookmarkStart w:id="575" w:name="_Toc531359051"/>
      <w:bookmarkStart w:id="576" w:name="_Toc523398458"/>
    </w:p>
    <w:bookmarkEnd w:id="574"/>
    <w:bookmarkEnd w:id="575"/>
    <w:bookmarkEnd w:id="576"/>
    <w:p w14:paraId="0D810CA2">
      <w:pPr>
        <w:pStyle w:val="7"/>
        <w:spacing w:before="0" w:after="0"/>
        <w:ind w:firstLine="0" w:firstLineChars="0"/>
        <w:rPr>
          <w:rFonts w:ascii="宋体" w:hAnsi="宋体" w:eastAsia="宋体" w:cs="宋体"/>
          <w:color w:val="auto"/>
          <w:sz w:val="24"/>
          <w:szCs w:val="24"/>
          <w:highlight w:val="none"/>
        </w:rPr>
      </w:pPr>
      <w:bookmarkStart w:id="577" w:name="_Toc97213032"/>
      <w:bookmarkStart w:id="578" w:name="_Toc26352"/>
      <w:bookmarkStart w:id="579" w:name="_Toc8469"/>
      <w:bookmarkStart w:id="580" w:name="_Toc7132"/>
      <w:bookmarkStart w:id="581" w:name="_Toc3209"/>
      <w:bookmarkStart w:id="582" w:name="_Toc9828"/>
      <w:bookmarkStart w:id="583" w:name="_Toc7094"/>
      <w:bookmarkStart w:id="584" w:name="_Toc97213033"/>
      <w:r>
        <w:rPr>
          <w:rFonts w:hint="eastAsia" w:ascii="宋体" w:hAnsi="宋体" w:eastAsia="宋体" w:cs="宋体"/>
          <w:color w:val="auto"/>
          <w:sz w:val="24"/>
          <w:szCs w:val="24"/>
          <w:highlight w:val="none"/>
        </w:rPr>
        <w:t>1.7    落实政府采购政策需满足的资格要求相关声明函格式</w:t>
      </w:r>
      <w:bookmarkEnd w:id="577"/>
      <w:bookmarkEnd w:id="578"/>
      <w:bookmarkEnd w:id="579"/>
      <w:bookmarkEnd w:id="580"/>
      <w:bookmarkEnd w:id="581"/>
      <w:bookmarkEnd w:id="582"/>
      <w:bookmarkEnd w:id="583"/>
    </w:p>
    <w:p w14:paraId="48A5433D">
      <w:pPr>
        <w:pStyle w:val="8"/>
        <w:spacing w:line="360" w:lineRule="auto"/>
        <w:ind w:left="421" w:hanging="421" w:hangingChars="131"/>
        <w:jc w:val="center"/>
        <w:rPr>
          <w:rFonts w:hint="default" w:ascii="宋体" w:hAnsi="宋体" w:eastAsia="宋体" w:cs="宋体"/>
          <w:b/>
          <w:color w:val="auto"/>
          <w:sz w:val="32"/>
          <w:szCs w:val="32"/>
          <w:highlight w:val="none"/>
          <w:lang w:val="en-US" w:eastAsia="zh-CN"/>
        </w:rPr>
      </w:pPr>
      <w:r>
        <w:rPr>
          <w:rFonts w:hint="eastAsia" w:ascii="宋体" w:hAnsi="宋体" w:cs="宋体"/>
          <w:b/>
          <w:color w:val="auto"/>
          <w:sz w:val="32"/>
          <w:szCs w:val="32"/>
          <w:highlight w:val="none"/>
        </w:rPr>
        <w:t>中小企业声明函</w:t>
      </w:r>
      <w:r>
        <w:rPr>
          <w:rFonts w:hint="eastAsia" w:ascii="宋体" w:hAnsi="宋体" w:cs="宋体"/>
          <w:b/>
          <w:color w:val="auto"/>
          <w:sz w:val="32"/>
          <w:szCs w:val="32"/>
          <w:highlight w:val="none"/>
          <w:lang w:eastAsia="zh-CN"/>
        </w:rPr>
        <w:t>（</w:t>
      </w:r>
      <w:r>
        <w:rPr>
          <w:rFonts w:hint="eastAsia" w:ascii="宋体" w:hAnsi="宋体" w:cs="宋体"/>
          <w:b/>
          <w:color w:val="auto"/>
          <w:sz w:val="32"/>
          <w:szCs w:val="32"/>
          <w:highlight w:val="none"/>
          <w:lang w:val="en-US" w:eastAsia="zh-CN"/>
        </w:rPr>
        <w:t>货物）</w:t>
      </w:r>
    </w:p>
    <w:p w14:paraId="39A6BB84">
      <w:pPr>
        <w:pStyle w:val="8"/>
        <w:spacing w:line="360" w:lineRule="auto"/>
        <w:ind w:firstLine="643" w:firstLineChars="200"/>
        <w:jc w:val="center"/>
        <w:rPr>
          <w:rFonts w:ascii="宋体" w:hAnsi="宋体" w:cs="宋体"/>
          <w:b/>
          <w:color w:val="auto"/>
          <w:sz w:val="32"/>
          <w:szCs w:val="32"/>
          <w:highlight w:val="none"/>
        </w:rPr>
      </w:pPr>
    </w:p>
    <w:p w14:paraId="676DCF5D">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本公司（联合体）郑重声明，根据《政府采购促进中小企业发展管理办法》（财库〔2020〕46号）的规定，本公司（联合体）参加</w:t>
      </w:r>
      <w:r>
        <w:rPr>
          <w:rFonts w:hint="eastAsia" w:ascii="宋体" w:hAnsi="宋体" w:eastAsia="宋体" w:cs="宋体"/>
          <w:i/>
          <w:color w:val="auto"/>
          <w:sz w:val="28"/>
          <w:szCs w:val="28"/>
          <w:highlight w:val="none"/>
          <w:u w:val="single"/>
        </w:rPr>
        <w:t>（采购人名称）</w:t>
      </w:r>
      <w:r>
        <w:rPr>
          <w:rFonts w:hint="eastAsia" w:ascii="宋体" w:hAnsi="宋体" w:eastAsia="宋体" w:cs="宋体"/>
          <w:color w:val="auto"/>
          <w:sz w:val="28"/>
          <w:szCs w:val="28"/>
          <w:highlight w:val="none"/>
        </w:rPr>
        <w:t>的</w:t>
      </w:r>
      <w:r>
        <w:rPr>
          <w:rFonts w:hint="eastAsia" w:ascii="宋体" w:hAnsi="宋体" w:eastAsia="宋体" w:cs="宋体"/>
          <w:i/>
          <w:color w:val="auto"/>
          <w:sz w:val="28"/>
          <w:szCs w:val="28"/>
          <w:highlight w:val="none"/>
          <w:u w:val="single"/>
        </w:rPr>
        <w:t>（项目名称）</w:t>
      </w:r>
      <w:r>
        <w:rPr>
          <w:rFonts w:hint="eastAsia" w:ascii="宋体" w:hAnsi="宋体" w:eastAsia="宋体" w:cs="宋体"/>
          <w:color w:val="auto"/>
          <w:sz w:val="28"/>
          <w:szCs w:val="28"/>
          <w:highlight w:val="none"/>
        </w:rPr>
        <w:t>采购活动，提供的货物全部由符合政策要求的中小企业制造。相关企业（含联合体中的中小企业、签订分包意向协议的中小企业）的具体情况如下：</w:t>
      </w:r>
    </w:p>
    <w:p w14:paraId="7CCD858D">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w:t>
      </w:r>
      <w:r>
        <w:rPr>
          <w:rFonts w:hint="eastAsia" w:ascii="宋体" w:hAnsi="宋体" w:eastAsia="宋体" w:cs="宋体"/>
          <w:i/>
          <w:color w:val="auto"/>
          <w:sz w:val="28"/>
          <w:szCs w:val="28"/>
          <w:highlight w:val="none"/>
          <w:u w:val="single"/>
        </w:rPr>
        <w:t xml:space="preserve"> （标的名称） </w:t>
      </w:r>
      <w:r>
        <w:rPr>
          <w:rFonts w:hint="eastAsia" w:ascii="宋体" w:hAnsi="宋体" w:eastAsia="宋体" w:cs="宋体"/>
          <w:color w:val="auto"/>
          <w:sz w:val="28"/>
          <w:szCs w:val="28"/>
          <w:highlight w:val="none"/>
        </w:rPr>
        <w:t>，属于</w:t>
      </w:r>
      <w:r>
        <w:rPr>
          <w:rFonts w:hint="eastAsia" w:ascii="宋体" w:hAnsi="宋体" w:eastAsia="宋体" w:cs="宋体"/>
          <w:b/>
          <w:i/>
          <w:color w:val="auto"/>
          <w:sz w:val="28"/>
          <w:szCs w:val="28"/>
          <w:highlight w:val="none"/>
          <w:u w:val="single"/>
        </w:rPr>
        <w:t>（采购文件中明确的所属行业）</w:t>
      </w:r>
      <w:r>
        <w:rPr>
          <w:rFonts w:hint="eastAsia" w:ascii="宋体" w:hAnsi="宋体" w:eastAsia="宋体" w:cs="宋体"/>
          <w:color w:val="auto"/>
          <w:sz w:val="28"/>
          <w:szCs w:val="28"/>
          <w:highlight w:val="none"/>
        </w:rPr>
        <w:t>行业；</w:t>
      </w:r>
      <w:r>
        <w:rPr>
          <w:rFonts w:hint="eastAsia" w:ascii="宋体" w:hAnsi="宋体" w:eastAsia="宋体" w:cs="宋体"/>
          <w:b/>
          <w:color w:val="auto"/>
          <w:sz w:val="28"/>
          <w:szCs w:val="28"/>
          <w:highlight w:val="none"/>
        </w:rPr>
        <w:t>制造商</w:t>
      </w:r>
      <w:r>
        <w:rPr>
          <w:rFonts w:hint="eastAsia" w:ascii="宋体" w:hAnsi="宋体" w:eastAsia="宋体" w:cs="宋体"/>
          <w:color w:val="auto"/>
          <w:sz w:val="28"/>
          <w:szCs w:val="28"/>
          <w:highlight w:val="none"/>
        </w:rPr>
        <w:t>为</w:t>
      </w:r>
      <w:r>
        <w:rPr>
          <w:rFonts w:hint="eastAsia" w:ascii="宋体" w:hAnsi="宋体" w:eastAsia="宋体" w:cs="宋体"/>
          <w:i/>
          <w:color w:val="auto"/>
          <w:sz w:val="28"/>
          <w:szCs w:val="28"/>
          <w:highlight w:val="none"/>
          <w:u w:val="single"/>
        </w:rPr>
        <w:t>（企业名称）</w:t>
      </w:r>
      <w:r>
        <w:rPr>
          <w:rFonts w:hint="eastAsia" w:ascii="宋体" w:hAnsi="宋体" w:eastAsia="宋体" w:cs="宋体"/>
          <w:color w:val="auto"/>
          <w:sz w:val="28"/>
          <w:szCs w:val="28"/>
          <w:highlight w:val="none"/>
        </w:rPr>
        <w:t>，从业人员</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人，营业收入为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万元，资产总额为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万元</w:t>
      </w:r>
      <w:r>
        <w:rPr>
          <w:rFonts w:hint="eastAsia" w:ascii="宋体" w:hAnsi="宋体" w:eastAsia="宋体" w:cs="宋体"/>
          <w:color w:val="auto"/>
          <w:sz w:val="32"/>
          <w:szCs w:val="28"/>
          <w:highlight w:val="none"/>
          <w:vertAlign w:val="superscript"/>
        </w:rPr>
        <w:fldChar w:fldCharType="begin"/>
      </w:r>
      <w:r>
        <w:rPr>
          <w:rFonts w:hint="eastAsia" w:ascii="宋体" w:hAnsi="宋体" w:eastAsia="宋体" w:cs="宋体"/>
          <w:color w:val="auto"/>
          <w:sz w:val="32"/>
          <w:szCs w:val="28"/>
          <w:highlight w:val="none"/>
          <w:vertAlign w:val="superscript"/>
        </w:rPr>
        <w:instrText xml:space="preserve"> = 1 \* GB3 </w:instrText>
      </w:r>
      <w:r>
        <w:rPr>
          <w:rFonts w:hint="eastAsia" w:ascii="宋体" w:hAnsi="宋体" w:eastAsia="宋体" w:cs="宋体"/>
          <w:color w:val="auto"/>
          <w:sz w:val="32"/>
          <w:szCs w:val="28"/>
          <w:highlight w:val="none"/>
          <w:vertAlign w:val="superscript"/>
        </w:rPr>
        <w:fldChar w:fldCharType="separate"/>
      </w:r>
      <w:r>
        <w:rPr>
          <w:rFonts w:hint="eastAsia" w:ascii="宋体" w:hAnsi="宋体" w:eastAsia="宋体" w:cs="宋体"/>
          <w:color w:val="auto"/>
          <w:sz w:val="32"/>
          <w:szCs w:val="28"/>
          <w:highlight w:val="none"/>
          <w:vertAlign w:val="superscript"/>
        </w:rPr>
        <w:t>①</w:t>
      </w:r>
      <w:r>
        <w:rPr>
          <w:rFonts w:hint="eastAsia" w:ascii="宋体" w:hAnsi="宋体" w:eastAsia="宋体" w:cs="宋体"/>
          <w:color w:val="auto"/>
          <w:sz w:val="32"/>
          <w:szCs w:val="28"/>
          <w:highlight w:val="none"/>
          <w:vertAlign w:val="superscript"/>
        </w:rPr>
        <w:fldChar w:fldCharType="end"/>
      </w:r>
      <w:r>
        <w:rPr>
          <w:rFonts w:hint="eastAsia" w:ascii="宋体" w:hAnsi="宋体" w:eastAsia="宋体" w:cs="宋体"/>
          <w:color w:val="auto"/>
          <w:sz w:val="28"/>
          <w:szCs w:val="28"/>
          <w:highlight w:val="none"/>
        </w:rPr>
        <w:t>，属于（中型企业、小型企业、微型企业）；</w:t>
      </w:r>
    </w:p>
    <w:p w14:paraId="62311F01">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w:t>
      </w:r>
      <w:r>
        <w:rPr>
          <w:rFonts w:hint="eastAsia" w:ascii="宋体" w:hAnsi="宋体" w:eastAsia="宋体" w:cs="宋体"/>
          <w:i/>
          <w:color w:val="auto"/>
          <w:sz w:val="28"/>
          <w:szCs w:val="28"/>
          <w:highlight w:val="none"/>
          <w:u w:val="single"/>
        </w:rPr>
        <w:t xml:space="preserve"> （标的名称） </w:t>
      </w:r>
      <w:r>
        <w:rPr>
          <w:rFonts w:hint="eastAsia" w:ascii="宋体" w:hAnsi="宋体" w:eastAsia="宋体" w:cs="宋体"/>
          <w:color w:val="auto"/>
          <w:sz w:val="28"/>
          <w:szCs w:val="28"/>
          <w:highlight w:val="none"/>
        </w:rPr>
        <w:t>，属于</w:t>
      </w:r>
      <w:r>
        <w:rPr>
          <w:rFonts w:hint="eastAsia" w:ascii="宋体" w:hAnsi="宋体" w:eastAsia="宋体" w:cs="宋体"/>
          <w:i/>
          <w:color w:val="auto"/>
          <w:sz w:val="28"/>
          <w:szCs w:val="28"/>
          <w:highlight w:val="none"/>
          <w:u w:val="single"/>
        </w:rPr>
        <w:t>（采购文件中明确的所属行业）</w:t>
      </w:r>
      <w:r>
        <w:rPr>
          <w:rFonts w:hint="eastAsia" w:ascii="宋体" w:hAnsi="宋体" w:eastAsia="宋体" w:cs="宋体"/>
          <w:color w:val="auto"/>
          <w:sz w:val="28"/>
          <w:szCs w:val="28"/>
          <w:highlight w:val="none"/>
        </w:rPr>
        <w:t>行业；制造商为</w:t>
      </w:r>
      <w:r>
        <w:rPr>
          <w:rFonts w:hint="eastAsia" w:ascii="宋体" w:hAnsi="宋体" w:eastAsia="宋体" w:cs="宋体"/>
          <w:i/>
          <w:color w:val="auto"/>
          <w:sz w:val="28"/>
          <w:szCs w:val="28"/>
          <w:highlight w:val="none"/>
          <w:u w:val="single"/>
        </w:rPr>
        <w:t>（企业名称）</w:t>
      </w:r>
      <w:r>
        <w:rPr>
          <w:rFonts w:hint="eastAsia" w:ascii="宋体" w:hAnsi="宋体" w:eastAsia="宋体" w:cs="宋体"/>
          <w:color w:val="auto"/>
          <w:sz w:val="28"/>
          <w:szCs w:val="28"/>
          <w:highlight w:val="none"/>
        </w:rPr>
        <w:t>，从业人员</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人，营业收入为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万元，资产总额为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万元，属于（中型企业、小型企业、微型企业）；</w:t>
      </w:r>
    </w:p>
    <w:p w14:paraId="2B972EA1">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w:t>
      </w:r>
    </w:p>
    <w:p w14:paraId="1081DAA6">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以上企业，不属于大企业的分支机构，不存在控股股东为大企业的情形，也不存在与大企业的负责人为同一人的情形。</w:t>
      </w:r>
    </w:p>
    <w:p w14:paraId="7E8816CD">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本企业对上述声明内容的真实性负责。如有虚假，将依法承担相应责任。</w:t>
      </w:r>
    </w:p>
    <w:p w14:paraId="7CB1C63C">
      <w:pPr>
        <w:spacing w:line="360" w:lineRule="auto"/>
        <w:ind w:firstLine="560" w:firstLineChars="200"/>
        <w:rPr>
          <w:rFonts w:hint="eastAsia" w:ascii="宋体" w:hAnsi="宋体" w:eastAsia="宋体" w:cs="宋体"/>
          <w:color w:val="auto"/>
          <w:sz w:val="28"/>
          <w:szCs w:val="28"/>
          <w:highlight w:val="none"/>
        </w:rPr>
      </w:pPr>
    </w:p>
    <w:p w14:paraId="4C4670F9">
      <w:pPr>
        <w:wordWrap w:val="0"/>
        <w:spacing w:line="360" w:lineRule="auto"/>
        <w:ind w:firstLine="560" w:firstLineChars="200"/>
        <w:jc w:val="righ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企业名称（盖章）：        </w:t>
      </w:r>
    </w:p>
    <w:p w14:paraId="5CC07E07">
      <w:pPr>
        <w:wordWrap w:val="0"/>
        <w:spacing w:line="360" w:lineRule="auto"/>
        <w:ind w:firstLine="560" w:firstLineChars="200"/>
        <w:jc w:val="right"/>
        <w:rPr>
          <w:rFonts w:hint="eastAsia" w:ascii="仿宋" w:hAnsi="仿宋" w:eastAsia="仿宋"/>
          <w:sz w:val="28"/>
          <w:szCs w:val="28"/>
          <w:highlight w:val="none"/>
        </w:rPr>
      </w:pPr>
      <w:r>
        <w:rPr>
          <w:rFonts w:hint="eastAsia" w:ascii="宋体" w:hAnsi="宋体" w:eastAsia="宋体" w:cs="宋体"/>
          <w:color w:val="auto"/>
          <w:sz w:val="28"/>
          <w:szCs w:val="28"/>
          <w:highlight w:val="none"/>
        </w:rPr>
        <w:t xml:space="preserve">日 期：  </w:t>
      </w:r>
      <w:r>
        <w:rPr>
          <w:rFonts w:ascii="仿宋" w:hAnsi="仿宋" w:eastAsia="仿宋"/>
          <w:sz w:val="28"/>
          <w:szCs w:val="28"/>
          <w:highlight w:val="none"/>
        </w:rPr>
        <w:t xml:space="preserve">                </w:t>
      </w:r>
    </w:p>
    <w:p w14:paraId="2F90266E">
      <w:pPr>
        <w:spacing w:line="360" w:lineRule="auto"/>
        <w:jc w:val="left"/>
        <w:rPr>
          <w:rFonts w:hint="eastAsia" w:ascii="仿宋" w:hAnsi="仿宋" w:eastAsia="仿宋"/>
          <w:color w:val="000000"/>
          <w:sz w:val="28"/>
          <w:szCs w:val="28"/>
          <w:highlight w:val="none"/>
        </w:rPr>
      </w:pPr>
    </w:p>
    <w:p w14:paraId="00195976">
      <w:pPr>
        <w:spacing w:line="360" w:lineRule="auto"/>
        <w:jc w:val="left"/>
        <w:rPr>
          <w:rFonts w:hint="eastAsia" w:ascii="仿宋" w:hAnsi="仿宋" w:eastAsia="仿宋"/>
          <w:color w:val="000000"/>
          <w:sz w:val="28"/>
          <w:szCs w:val="28"/>
          <w:highlight w:val="none"/>
        </w:rPr>
      </w:pPr>
    </w:p>
    <w:p w14:paraId="2498FEB9">
      <w:pPr>
        <w:spacing w:line="360" w:lineRule="auto"/>
        <w:jc w:val="left"/>
        <w:rPr>
          <w:rFonts w:hint="eastAsia" w:ascii="仿宋" w:hAnsi="仿宋" w:eastAsia="仿宋"/>
          <w:color w:val="000000"/>
          <w:sz w:val="28"/>
          <w:szCs w:val="28"/>
          <w:highlight w:val="none"/>
        </w:rPr>
      </w:pPr>
    </w:p>
    <w:p w14:paraId="5FE5E468">
      <w:pPr>
        <w:spacing w:line="360" w:lineRule="auto"/>
        <w:jc w:val="left"/>
        <w:rPr>
          <w:rFonts w:ascii="宋体" w:hAnsi="宋体" w:cs="宋体"/>
          <w:b/>
          <w:color w:val="auto"/>
          <w:szCs w:val="21"/>
          <w:highlight w:val="none"/>
        </w:rPr>
      </w:pPr>
    </w:p>
    <w:p w14:paraId="2D9CC988">
      <w:pPr>
        <w:ind w:right="420"/>
        <w:rPr>
          <w:rFonts w:ascii="宋体" w:hAnsi="宋体" w:cs="宋体"/>
          <w:color w:val="auto"/>
          <w:szCs w:val="21"/>
          <w:highlight w:val="none"/>
        </w:rPr>
      </w:pPr>
      <w:r>
        <w:rPr>
          <w:rFonts w:hint="eastAsia" w:ascii="宋体" w:hAnsi="宋体" w:cs="宋体"/>
          <w:color w:val="auto"/>
          <w:sz w:val="24"/>
          <w:highlight w:val="none"/>
        </w:rPr>
        <w:t xml:space="preserve"> </w:t>
      </w:r>
      <w:r>
        <w:rPr>
          <w:rFonts w:hint="eastAsia" w:ascii="宋体" w:hAnsi="宋体" w:cs="宋体"/>
          <w:color w:val="auto"/>
          <w:szCs w:val="21"/>
          <w:highlight w:val="none"/>
        </w:rPr>
        <w:t>注：</w:t>
      </w:r>
    </w:p>
    <w:p w14:paraId="6ED5D765">
      <w:pPr>
        <w:ind w:left="10" w:leftChars="5" w:firstLine="298" w:firstLineChars="142"/>
        <w:jc w:val="left"/>
        <w:rPr>
          <w:rFonts w:ascii="宋体" w:hAnsi="宋体" w:cs="宋体"/>
          <w:bCs/>
          <w:color w:val="auto"/>
          <w:szCs w:val="21"/>
          <w:highlight w:val="none"/>
        </w:rPr>
      </w:pPr>
      <w:r>
        <w:rPr>
          <w:rFonts w:hint="eastAsia" w:ascii="宋体" w:hAnsi="宋体" w:cs="宋体"/>
          <w:bCs/>
          <w:color w:val="auto"/>
          <w:szCs w:val="21"/>
          <w:highlight w:val="none"/>
        </w:rPr>
        <w:t>1、从业人员、营业收入、资产总额填报上一年度数据，无上一年度数据的新成立企业可不填。</w:t>
      </w:r>
    </w:p>
    <w:p w14:paraId="65C247C9">
      <w:pPr>
        <w:ind w:left="10" w:leftChars="5" w:firstLine="298" w:firstLineChars="142"/>
        <w:jc w:val="left"/>
        <w:rPr>
          <w:rFonts w:ascii="宋体" w:hAnsi="宋体" w:cs="宋体"/>
          <w:bCs/>
          <w:color w:val="auto"/>
          <w:szCs w:val="21"/>
          <w:highlight w:val="none"/>
        </w:rPr>
      </w:pPr>
      <w:r>
        <w:rPr>
          <w:rFonts w:hint="eastAsia" w:ascii="宋体" w:hAnsi="宋体" w:cs="宋体"/>
          <w:bCs/>
          <w:color w:val="auto"/>
          <w:szCs w:val="21"/>
          <w:highlight w:val="none"/>
        </w:rPr>
        <w:t>2、填写要求：①“标的名称”、“采购文件中明确的所属行业”依据招标文件第三章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E3DB46">
      <w:pPr>
        <w:ind w:left="10" w:leftChars="5" w:firstLine="298" w:firstLineChars="142"/>
        <w:jc w:val="left"/>
        <w:rPr>
          <w:rFonts w:hint="eastAsia" w:ascii="宋体" w:hAnsi="宋体" w:cs="宋体"/>
          <w:bCs/>
          <w:color w:val="auto"/>
          <w:szCs w:val="21"/>
          <w:highlight w:val="none"/>
        </w:rPr>
      </w:pPr>
      <w:r>
        <w:rPr>
          <w:rFonts w:hint="eastAsia" w:ascii="宋体" w:hAnsi="宋体" w:cs="宋体"/>
          <w:bCs/>
          <w:color w:val="auto"/>
          <w:szCs w:val="21"/>
          <w:highlight w:val="none"/>
        </w:rPr>
        <w:t>3、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1A561DA">
      <w:pPr>
        <w:ind w:firstLine="211" w:firstLineChars="100"/>
        <w:jc w:val="left"/>
        <w:rPr>
          <w:rFonts w:hint="default" w:ascii="宋体" w:hAnsi="宋体" w:cs="宋体"/>
          <w:b/>
          <w:bCs w:val="0"/>
          <w:color w:val="auto"/>
          <w:szCs w:val="21"/>
          <w:highlight w:val="none"/>
          <w:lang w:val="en-US" w:eastAsia="zh-CN"/>
        </w:rPr>
      </w:pPr>
      <w:r>
        <w:rPr>
          <w:rFonts w:hint="eastAsia" w:ascii="宋体" w:hAnsi="宋体" w:cs="宋体"/>
          <w:b/>
          <w:bCs w:val="0"/>
          <w:color w:val="auto"/>
          <w:szCs w:val="21"/>
          <w:highlight w:val="none"/>
          <w:lang w:val="en-US" w:eastAsia="zh-CN"/>
        </w:rPr>
        <w:t xml:space="preserve"> 4、中小企业声明函中每样产品均要列明是否属于中小企业制造。</w:t>
      </w:r>
    </w:p>
    <w:p w14:paraId="0C2B7A30">
      <w:pPr>
        <w:widowControl/>
        <w:spacing w:line="360" w:lineRule="auto"/>
        <w:rPr>
          <w:rFonts w:ascii="宋体" w:hAnsi="宋体" w:cs="宋体"/>
          <w:b/>
          <w:color w:val="auto"/>
          <w:sz w:val="32"/>
          <w:szCs w:val="32"/>
          <w:highlight w:val="none"/>
        </w:rPr>
      </w:pPr>
      <w:r>
        <w:rPr>
          <w:highlight w:val="none"/>
        </w:rPr>
        <w:drawing>
          <wp:inline distT="0" distB="0" distL="114300" distR="114300">
            <wp:extent cx="5600700" cy="77628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7"/>
                    <a:stretch>
                      <a:fillRect/>
                    </a:stretch>
                  </pic:blipFill>
                  <pic:spPr>
                    <a:xfrm>
                      <a:off x="0" y="0"/>
                      <a:ext cx="5600700" cy="7762875"/>
                    </a:xfrm>
                    <a:prstGeom prst="rect">
                      <a:avLst/>
                    </a:prstGeom>
                    <a:noFill/>
                    <a:ln>
                      <a:noFill/>
                    </a:ln>
                  </pic:spPr>
                </pic:pic>
              </a:graphicData>
            </a:graphic>
          </wp:inline>
        </w:drawing>
      </w:r>
      <w:r>
        <w:rPr>
          <w:highlight w:val="none"/>
        </w:rPr>
        <w:drawing>
          <wp:inline distT="0" distB="0" distL="114300" distR="114300">
            <wp:extent cx="5857875" cy="77914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8"/>
                    <a:stretch>
                      <a:fillRect/>
                    </a:stretch>
                  </pic:blipFill>
                  <pic:spPr>
                    <a:xfrm>
                      <a:off x="0" y="0"/>
                      <a:ext cx="5857875" cy="7791450"/>
                    </a:xfrm>
                    <a:prstGeom prst="rect">
                      <a:avLst/>
                    </a:prstGeom>
                    <a:noFill/>
                    <a:ln>
                      <a:noFill/>
                    </a:ln>
                  </pic:spPr>
                </pic:pic>
              </a:graphicData>
            </a:graphic>
          </wp:inline>
        </w:drawing>
      </w:r>
      <w:r>
        <w:rPr>
          <w:highlight w:val="none"/>
        </w:rPr>
        <w:drawing>
          <wp:inline distT="0" distB="0" distL="114300" distR="114300">
            <wp:extent cx="5772150" cy="7886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9"/>
                    <a:stretch>
                      <a:fillRect/>
                    </a:stretch>
                  </pic:blipFill>
                  <pic:spPr>
                    <a:xfrm>
                      <a:off x="0" y="0"/>
                      <a:ext cx="5772150" cy="7886700"/>
                    </a:xfrm>
                    <a:prstGeom prst="rect">
                      <a:avLst/>
                    </a:prstGeom>
                    <a:noFill/>
                    <a:ln>
                      <a:noFill/>
                    </a:ln>
                  </pic:spPr>
                </pic:pic>
              </a:graphicData>
            </a:graphic>
          </wp:inline>
        </w:drawing>
      </w:r>
      <w:r>
        <w:rPr>
          <w:highlight w:val="none"/>
        </w:rPr>
        <w:drawing>
          <wp:inline distT="0" distB="0" distL="114300" distR="114300">
            <wp:extent cx="5848350" cy="24479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0"/>
                    <a:stretch>
                      <a:fillRect/>
                    </a:stretch>
                  </pic:blipFill>
                  <pic:spPr>
                    <a:xfrm>
                      <a:off x="0" y="0"/>
                      <a:ext cx="5848350" cy="2447925"/>
                    </a:xfrm>
                    <a:prstGeom prst="rect">
                      <a:avLst/>
                    </a:prstGeom>
                    <a:noFill/>
                    <a:ln>
                      <a:noFill/>
                    </a:ln>
                  </pic:spPr>
                </pic:pic>
              </a:graphicData>
            </a:graphic>
          </wp:inline>
        </w:drawing>
      </w:r>
      <w:r>
        <w:rPr>
          <w:rFonts w:hint="eastAsia" w:ascii="宋体" w:hAnsi="宋体" w:cs="宋体"/>
          <w:b/>
          <w:color w:val="auto"/>
          <w:sz w:val="32"/>
          <w:szCs w:val="32"/>
          <w:highlight w:val="none"/>
        </w:rPr>
        <w:br w:type="page"/>
      </w:r>
      <w:bookmarkEnd w:id="584"/>
    </w:p>
    <w:p w14:paraId="60E9207B">
      <w:pPr>
        <w:widowControl/>
        <w:spacing w:line="360" w:lineRule="auto"/>
        <w:jc w:val="center"/>
        <w:rPr>
          <w:rFonts w:ascii="宋体" w:hAnsi="宋体" w:cs="宋体"/>
          <w:b/>
          <w:bCs/>
          <w:color w:val="auto"/>
          <w:spacing w:val="6"/>
          <w:kern w:val="0"/>
          <w:sz w:val="32"/>
          <w:szCs w:val="32"/>
          <w:highlight w:val="none"/>
        </w:rPr>
      </w:pPr>
      <w:r>
        <w:rPr>
          <w:rFonts w:hint="eastAsia" w:ascii="宋体" w:hAnsi="宋体" w:cs="宋体"/>
          <w:b/>
          <w:bCs/>
          <w:color w:val="auto"/>
          <w:spacing w:val="6"/>
          <w:kern w:val="0"/>
          <w:sz w:val="32"/>
          <w:szCs w:val="32"/>
          <w:highlight w:val="none"/>
        </w:rPr>
        <w:t>残疾人福利性单位声明函</w:t>
      </w:r>
    </w:p>
    <w:p w14:paraId="5DEAE926">
      <w:pPr>
        <w:widowControl/>
        <w:spacing w:line="360" w:lineRule="auto"/>
        <w:jc w:val="center"/>
        <w:rPr>
          <w:rFonts w:ascii="宋体" w:hAnsi="宋体" w:cs="宋体"/>
          <w:bCs/>
          <w:color w:val="auto"/>
          <w:spacing w:val="6"/>
          <w:kern w:val="0"/>
          <w:sz w:val="36"/>
          <w:szCs w:val="36"/>
          <w:highlight w:val="none"/>
        </w:rPr>
      </w:pPr>
    </w:p>
    <w:p w14:paraId="6E0FD054">
      <w:pPr>
        <w:widowControl/>
        <w:spacing w:line="360" w:lineRule="auto"/>
        <w:ind w:firstLine="601"/>
        <w:rPr>
          <w:rFonts w:ascii="宋体" w:hAnsi="宋体" w:cs="宋体"/>
          <w:color w:val="auto"/>
          <w:sz w:val="24"/>
          <w:szCs w:val="24"/>
          <w:highlight w:val="none"/>
        </w:rPr>
      </w:pPr>
      <w:r>
        <w:rPr>
          <w:rFonts w:hint="eastAsia" w:ascii="宋体" w:hAnsi="宋体" w:cs="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szCs w:val="24"/>
          <w:highlight w:val="none"/>
          <w:u w:val="single"/>
        </w:rPr>
        <w:t xml:space="preserve">  </w:t>
      </w:r>
      <w:r>
        <w:rPr>
          <w:rFonts w:hint="eastAsia" w:ascii="宋体" w:hAnsi="宋体" w:cs="宋体"/>
          <w:i/>
          <w:color w:val="auto"/>
          <w:sz w:val="24"/>
          <w:szCs w:val="24"/>
          <w:highlight w:val="none"/>
          <w:u w:val="single"/>
        </w:rPr>
        <w:t xml:space="preserve"> 丽水学院    </w:t>
      </w:r>
      <w:r>
        <w:rPr>
          <w:rFonts w:hint="eastAsia" w:ascii="宋体" w:hAnsi="宋体" w:cs="宋体"/>
          <w:color w:val="auto"/>
          <w:sz w:val="24"/>
          <w:szCs w:val="24"/>
          <w:highlight w:val="none"/>
        </w:rPr>
        <w:t>的项目采购活动提供本单位制造的货物（由本单位承担工程/提供服务），或者提供其他残疾人福利性单位制造的货物（不包括使用非残疾人福利性单位注册商标的货物）。</w:t>
      </w:r>
    </w:p>
    <w:p w14:paraId="26F3B803">
      <w:pPr>
        <w:widowControl/>
        <w:spacing w:line="360" w:lineRule="auto"/>
        <w:ind w:firstLine="600"/>
        <w:rPr>
          <w:rFonts w:ascii="宋体" w:hAnsi="宋体" w:cs="宋体"/>
          <w:color w:val="auto"/>
          <w:sz w:val="24"/>
          <w:szCs w:val="24"/>
          <w:highlight w:val="none"/>
        </w:rPr>
      </w:pPr>
      <w:r>
        <w:rPr>
          <w:rFonts w:hint="eastAsia" w:ascii="宋体" w:hAnsi="宋体" w:cs="宋体"/>
          <w:color w:val="auto"/>
          <w:sz w:val="24"/>
          <w:szCs w:val="24"/>
          <w:highlight w:val="none"/>
        </w:rPr>
        <w:t>本单位对上述声明的真实性负责。如有虚假，将依法承担相应责任。</w:t>
      </w:r>
    </w:p>
    <w:p w14:paraId="6EB1DE52">
      <w:pPr>
        <w:widowControl/>
        <w:spacing w:line="360" w:lineRule="auto"/>
        <w:rPr>
          <w:rFonts w:ascii="宋体" w:hAnsi="宋体" w:cs="宋体"/>
          <w:color w:val="auto"/>
          <w:spacing w:val="6"/>
          <w:kern w:val="0"/>
          <w:sz w:val="24"/>
          <w:szCs w:val="24"/>
          <w:highlight w:val="none"/>
        </w:rPr>
      </w:pPr>
    </w:p>
    <w:p w14:paraId="4C13B43E">
      <w:pPr>
        <w:widowControl/>
        <w:spacing w:line="360" w:lineRule="auto"/>
        <w:ind w:right="1420" w:firstLine="600"/>
        <w:jc w:val="right"/>
        <w:rPr>
          <w:rFonts w:ascii="宋体" w:hAnsi="宋体" w:cs="宋体"/>
          <w:color w:val="auto"/>
          <w:sz w:val="24"/>
          <w:szCs w:val="24"/>
          <w:highlight w:val="none"/>
        </w:rPr>
      </w:pPr>
      <w:r>
        <w:rPr>
          <w:rFonts w:hint="eastAsia" w:ascii="宋体" w:hAnsi="宋体" w:cs="宋体"/>
          <w:color w:val="auto"/>
          <w:sz w:val="24"/>
          <w:szCs w:val="24"/>
          <w:highlight w:val="none"/>
        </w:rPr>
        <w:t>单位名称（盖章）：</w:t>
      </w:r>
    </w:p>
    <w:p w14:paraId="38C91849">
      <w:pPr>
        <w:widowControl/>
        <w:spacing w:line="360" w:lineRule="auto"/>
        <w:ind w:right="2680" w:firstLine="600"/>
        <w:jc w:val="right"/>
        <w:rPr>
          <w:rFonts w:ascii="宋体" w:hAnsi="宋体" w:cs="宋体"/>
          <w:color w:val="auto"/>
          <w:sz w:val="24"/>
          <w:szCs w:val="24"/>
          <w:highlight w:val="none"/>
        </w:rPr>
      </w:pPr>
      <w:r>
        <w:rPr>
          <w:rFonts w:hint="eastAsia" w:ascii="宋体" w:hAnsi="宋体" w:cs="宋体"/>
          <w:color w:val="auto"/>
          <w:sz w:val="24"/>
          <w:szCs w:val="24"/>
          <w:highlight w:val="none"/>
        </w:rPr>
        <w:t>日  期：</w:t>
      </w:r>
    </w:p>
    <w:p w14:paraId="6AD46BB1">
      <w:pPr>
        <w:widowControl/>
        <w:spacing w:line="360" w:lineRule="auto"/>
        <w:ind w:right="2960"/>
        <w:jc w:val="left"/>
        <w:rPr>
          <w:rFonts w:ascii="宋体" w:hAnsi="宋体" w:cs="宋体"/>
          <w:color w:val="auto"/>
          <w:kern w:val="0"/>
          <w:sz w:val="28"/>
          <w:szCs w:val="28"/>
          <w:highlight w:val="none"/>
        </w:rPr>
      </w:pPr>
    </w:p>
    <w:p w14:paraId="58625C0D">
      <w:pPr>
        <w:spacing w:line="360" w:lineRule="auto"/>
        <w:jc w:val="center"/>
        <w:rPr>
          <w:rFonts w:ascii="宋体" w:hAnsi="宋体" w:cs="宋体"/>
          <w:b/>
          <w:color w:val="auto"/>
          <w:sz w:val="32"/>
          <w:szCs w:val="32"/>
          <w:highlight w:val="none"/>
        </w:rPr>
      </w:pPr>
    </w:p>
    <w:p w14:paraId="797DC31C">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监狱企业证明</w:t>
      </w:r>
    </w:p>
    <w:p w14:paraId="26C310CE">
      <w:pPr>
        <w:spacing w:line="360" w:lineRule="auto"/>
        <w:jc w:val="center"/>
        <w:rPr>
          <w:rFonts w:ascii="宋体" w:hAnsi="宋体" w:cs="宋体"/>
          <w:color w:val="auto"/>
          <w:sz w:val="24"/>
          <w:szCs w:val="24"/>
          <w:highlight w:val="none"/>
        </w:rPr>
      </w:pPr>
    </w:p>
    <w:p w14:paraId="1525D8CB">
      <w:pPr>
        <w:spacing w:line="360" w:lineRule="auto"/>
        <w:ind w:firstLine="482" w:firstLineChars="200"/>
        <w:jc w:val="left"/>
        <w:rPr>
          <w:rFonts w:ascii="宋体" w:hAnsi="宋体" w:cs="宋体"/>
          <w:color w:val="auto"/>
          <w:sz w:val="24"/>
          <w:szCs w:val="24"/>
          <w:highlight w:val="none"/>
        </w:rPr>
      </w:pPr>
      <w:r>
        <w:rPr>
          <w:rFonts w:hint="eastAsia" w:ascii="宋体" w:hAnsi="宋体" w:cs="宋体"/>
          <w:b/>
          <w:color w:val="auto"/>
          <w:sz w:val="24"/>
          <w:szCs w:val="24"/>
          <w:highlight w:val="none"/>
        </w:rPr>
        <w:t>注：</w:t>
      </w:r>
      <w:r>
        <w:rPr>
          <w:rFonts w:hint="eastAsia" w:ascii="宋体" w:hAnsi="宋体" w:cs="宋体"/>
          <w:color w:val="auto"/>
          <w:sz w:val="24"/>
          <w:szCs w:val="24"/>
          <w:highlight w:val="none"/>
        </w:rPr>
        <w:t>须提供省级以上监狱管理局、戒毒管理局（含新疆生产建设兵团）出具的属于监狱企业的证明文件</w:t>
      </w:r>
    </w:p>
    <w:p w14:paraId="18EDA24E">
      <w:pPr>
        <w:rPr>
          <w:rFonts w:ascii="宋体" w:hAnsi="宋体" w:cs="宋体"/>
          <w:color w:val="auto"/>
          <w:highlight w:val="none"/>
        </w:rPr>
      </w:pPr>
      <w:bookmarkStart w:id="585" w:name="_Toc4894"/>
      <w:bookmarkStart w:id="586" w:name="_Toc531359053"/>
      <w:bookmarkStart w:id="587" w:name="_Toc12907"/>
      <w:bookmarkStart w:id="588" w:name="_Toc4067"/>
      <w:bookmarkStart w:id="589" w:name="_Toc97213035"/>
      <w:bookmarkStart w:id="590" w:name="_Toc28922"/>
    </w:p>
    <w:p w14:paraId="2B3B16C6">
      <w:pPr>
        <w:rPr>
          <w:rFonts w:ascii="宋体" w:hAnsi="宋体" w:cs="宋体"/>
          <w:color w:val="auto"/>
          <w:highlight w:val="none"/>
        </w:rPr>
      </w:pPr>
    </w:p>
    <w:p w14:paraId="0739FDC4">
      <w:pPr>
        <w:rPr>
          <w:rFonts w:ascii="宋体" w:hAnsi="宋体" w:cs="宋体"/>
          <w:color w:val="auto"/>
          <w:highlight w:val="none"/>
        </w:rPr>
      </w:pPr>
    </w:p>
    <w:p w14:paraId="689A666B">
      <w:pPr>
        <w:rPr>
          <w:rFonts w:ascii="宋体" w:hAnsi="宋体" w:cs="宋体"/>
          <w:color w:val="auto"/>
          <w:highlight w:val="none"/>
        </w:rPr>
      </w:pPr>
    </w:p>
    <w:p w14:paraId="7AFF103F">
      <w:pPr>
        <w:rPr>
          <w:rFonts w:ascii="宋体" w:hAnsi="宋体" w:cs="宋体"/>
          <w:color w:val="auto"/>
          <w:highlight w:val="none"/>
        </w:rPr>
      </w:pPr>
    </w:p>
    <w:p w14:paraId="68B57616">
      <w:pPr>
        <w:rPr>
          <w:rFonts w:ascii="宋体" w:hAnsi="宋体" w:cs="宋体"/>
          <w:color w:val="auto"/>
          <w:highlight w:val="none"/>
        </w:rPr>
      </w:pPr>
    </w:p>
    <w:p w14:paraId="5E60D218">
      <w:pPr>
        <w:rPr>
          <w:rFonts w:ascii="宋体" w:hAnsi="宋体" w:cs="宋体"/>
          <w:color w:val="auto"/>
          <w:highlight w:val="none"/>
        </w:rPr>
      </w:pPr>
    </w:p>
    <w:p w14:paraId="17C43F15">
      <w:pPr>
        <w:rPr>
          <w:rFonts w:ascii="宋体" w:hAnsi="宋体" w:cs="宋体"/>
          <w:color w:val="auto"/>
          <w:highlight w:val="none"/>
        </w:rPr>
      </w:pPr>
    </w:p>
    <w:p w14:paraId="1CC009C4">
      <w:pPr>
        <w:rPr>
          <w:rFonts w:ascii="宋体" w:hAnsi="宋体" w:cs="宋体"/>
          <w:color w:val="auto"/>
          <w:highlight w:val="none"/>
        </w:rPr>
      </w:pPr>
    </w:p>
    <w:p w14:paraId="78267865">
      <w:pPr>
        <w:rPr>
          <w:rFonts w:ascii="宋体" w:hAnsi="宋体" w:cs="宋体"/>
          <w:color w:val="auto"/>
          <w:highlight w:val="none"/>
        </w:rPr>
      </w:pPr>
    </w:p>
    <w:p w14:paraId="26037735">
      <w:pPr>
        <w:rPr>
          <w:rFonts w:ascii="宋体" w:hAnsi="宋体" w:cs="宋体"/>
          <w:color w:val="auto"/>
          <w:highlight w:val="none"/>
        </w:rPr>
      </w:pPr>
    </w:p>
    <w:p w14:paraId="18FC55E5">
      <w:pPr>
        <w:rPr>
          <w:rFonts w:ascii="宋体" w:hAnsi="宋体" w:cs="宋体"/>
          <w:color w:val="auto"/>
          <w:highlight w:val="none"/>
        </w:rPr>
      </w:pPr>
    </w:p>
    <w:p w14:paraId="2DCB937E">
      <w:pPr>
        <w:rPr>
          <w:rFonts w:ascii="宋体" w:hAnsi="宋体" w:cs="宋体"/>
          <w:color w:val="auto"/>
          <w:highlight w:val="none"/>
        </w:rPr>
      </w:pPr>
    </w:p>
    <w:p w14:paraId="0B69D845">
      <w:pPr>
        <w:rPr>
          <w:rFonts w:ascii="宋体" w:hAnsi="宋体" w:cs="宋体"/>
          <w:color w:val="auto"/>
          <w:highlight w:val="none"/>
        </w:rPr>
      </w:pPr>
    </w:p>
    <w:p w14:paraId="4D58F77A">
      <w:pPr>
        <w:rPr>
          <w:rFonts w:ascii="宋体" w:hAnsi="宋体" w:cs="宋体"/>
          <w:color w:val="auto"/>
          <w:highlight w:val="none"/>
        </w:rPr>
      </w:pPr>
    </w:p>
    <w:bookmarkEnd w:id="585"/>
    <w:bookmarkEnd w:id="586"/>
    <w:bookmarkEnd w:id="587"/>
    <w:bookmarkEnd w:id="588"/>
    <w:bookmarkEnd w:id="589"/>
    <w:bookmarkEnd w:id="590"/>
    <w:p w14:paraId="6C28744E">
      <w:pPr>
        <w:pStyle w:val="38"/>
        <w:spacing w:line="360" w:lineRule="auto"/>
        <w:jc w:val="left"/>
        <w:rPr>
          <w:rFonts w:ascii="宋体" w:hAnsi="宋体" w:cs="宋体"/>
          <w:color w:val="auto"/>
          <w:spacing w:val="6"/>
          <w:sz w:val="24"/>
          <w:highlight w:val="none"/>
        </w:rPr>
      </w:pPr>
    </w:p>
    <w:p w14:paraId="5920A3ED">
      <w:pPr>
        <w:pStyle w:val="23"/>
        <w:spacing w:beforeLines="100" w:after="240" w:afterLines="100"/>
        <w:outlineLvl w:val="1"/>
        <w:rPr>
          <w:rFonts w:ascii="宋体" w:hAnsi="宋体" w:cs="宋体"/>
          <w:color w:val="auto"/>
          <w:sz w:val="44"/>
          <w:szCs w:val="44"/>
          <w:highlight w:val="none"/>
        </w:rPr>
      </w:pPr>
      <w:bookmarkStart w:id="591" w:name="_Toc2292"/>
      <w:bookmarkStart w:id="592" w:name="_Toc15977"/>
      <w:bookmarkStart w:id="593" w:name="_Toc13676"/>
      <w:bookmarkStart w:id="594" w:name="_Toc493956058"/>
      <w:bookmarkStart w:id="595" w:name="_Toc531359054"/>
      <w:bookmarkStart w:id="596" w:name="_Toc25512"/>
      <w:bookmarkStart w:id="597" w:name="_Toc97213036"/>
      <w:bookmarkStart w:id="598" w:name="_Toc530551883"/>
      <w:bookmarkStart w:id="599" w:name="_Toc20767"/>
      <w:r>
        <w:rPr>
          <w:rFonts w:hint="eastAsia" w:ascii="宋体" w:hAnsi="宋体" w:cs="宋体"/>
          <w:color w:val="auto"/>
          <w:sz w:val="44"/>
          <w:szCs w:val="44"/>
          <w:highlight w:val="none"/>
        </w:rPr>
        <w:t>二  商务技术文件格式</w:t>
      </w:r>
      <w:bookmarkEnd w:id="591"/>
      <w:bookmarkEnd w:id="592"/>
      <w:bookmarkEnd w:id="593"/>
      <w:bookmarkEnd w:id="594"/>
      <w:bookmarkEnd w:id="595"/>
      <w:bookmarkEnd w:id="596"/>
      <w:bookmarkEnd w:id="597"/>
      <w:bookmarkEnd w:id="598"/>
      <w:bookmarkEnd w:id="599"/>
    </w:p>
    <w:p w14:paraId="2A63C99C">
      <w:pPr>
        <w:pStyle w:val="40"/>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（根据具体实施项目调整相关格式）</w:t>
      </w:r>
      <w:bookmarkStart w:id="600" w:name="_Toc531359055"/>
      <w:bookmarkStart w:id="601" w:name="_Toc530551884"/>
      <w:bookmarkStart w:id="602" w:name="_Toc493956059"/>
    </w:p>
    <w:p w14:paraId="58F1A572">
      <w:pPr>
        <w:pStyle w:val="40"/>
        <w:jc w:val="left"/>
        <w:rPr>
          <w:rFonts w:ascii="宋体" w:hAnsi="宋体" w:cs="宋体"/>
          <w:color w:val="auto"/>
          <w:sz w:val="28"/>
          <w:szCs w:val="28"/>
          <w:highlight w:val="none"/>
        </w:rPr>
      </w:pPr>
    </w:p>
    <w:bookmarkEnd w:id="600"/>
    <w:p w14:paraId="55D61A26">
      <w:pPr>
        <w:pStyle w:val="7"/>
        <w:spacing w:before="0" w:after="0"/>
        <w:ind w:firstLine="0" w:firstLineChars="0"/>
        <w:jc w:val="left"/>
        <w:rPr>
          <w:rFonts w:ascii="宋体" w:hAnsi="宋体" w:eastAsia="宋体" w:cs="宋体"/>
          <w:color w:val="auto"/>
          <w:sz w:val="24"/>
          <w:szCs w:val="24"/>
          <w:highlight w:val="none"/>
        </w:rPr>
      </w:pPr>
      <w:bookmarkStart w:id="603" w:name="_Toc531359056"/>
      <w:bookmarkStart w:id="604" w:name="_Toc3572"/>
      <w:bookmarkStart w:id="605" w:name="_Toc28080"/>
      <w:bookmarkStart w:id="606" w:name="_Toc97213037"/>
      <w:bookmarkStart w:id="607" w:name="_Toc11425"/>
      <w:bookmarkStart w:id="608" w:name="_Toc1087"/>
      <w:bookmarkStart w:id="609" w:name="_Toc29811"/>
      <w:r>
        <w:rPr>
          <w:rFonts w:hint="eastAsia" w:ascii="宋体" w:hAnsi="宋体" w:eastAsia="宋体" w:cs="宋体"/>
          <w:color w:val="auto"/>
          <w:sz w:val="24"/>
          <w:szCs w:val="24"/>
          <w:highlight w:val="none"/>
        </w:rPr>
        <w:t>2.1    资信及商务文件封面</w:t>
      </w:r>
      <w:bookmarkEnd w:id="603"/>
      <w:r>
        <w:rPr>
          <w:rFonts w:hint="eastAsia" w:ascii="宋体" w:hAnsi="宋体" w:eastAsia="宋体" w:cs="宋体"/>
          <w:color w:val="auto"/>
          <w:sz w:val="24"/>
          <w:szCs w:val="24"/>
          <w:highlight w:val="none"/>
        </w:rPr>
        <w:t>格式</w:t>
      </w:r>
      <w:bookmarkEnd w:id="604"/>
      <w:bookmarkEnd w:id="605"/>
      <w:bookmarkEnd w:id="606"/>
      <w:bookmarkEnd w:id="607"/>
      <w:bookmarkEnd w:id="608"/>
      <w:bookmarkEnd w:id="609"/>
    </w:p>
    <w:p w14:paraId="2262DAAC">
      <w:pPr>
        <w:snapToGrid w:val="0"/>
        <w:jc w:val="center"/>
        <w:rPr>
          <w:rFonts w:ascii="宋体" w:hAnsi="宋体" w:cs="宋体"/>
          <w:bCs/>
          <w:color w:val="auto"/>
          <w:sz w:val="24"/>
          <w:szCs w:val="20"/>
          <w:highlight w:val="none"/>
        </w:rPr>
      </w:pPr>
      <w:r>
        <w:rPr>
          <w:rFonts w:hint="eastAsia" w:ascii="宋体" w:hAnsi="宋体" w:cs="宋体"/>
          <w:b/>
          <w:color w:val="auto"/>
          <w:sz w:val="32"/>
          <w:szCs w:val="32"/>
          <w:highlight w:val="none"/>
        </w:rPr>
        <w:t>投标文件</w:t>
      </w:r>
    </w:p>
    <w:p w14:paraId="112AAFEC">
      <w:pPr>
        <w:pStyle w:val="8"/>
        <w:spacing w:line="360" w:lineRule="auto"/>
        <w:ind w:firstLine="0"/>
        <w:jc w:val="center"/>
        <w:rPr>
          <w:rFonts w:ascii="宋体" w:hAnsi="宋体" w:cs="宋体"/>
          <w:b/>
          <w:color w:val="auto"/>
          <w:sz w:val="32"/>
          <w:szCs w:val="32"/>
          <w:highlight w:val="none"/>
        </w:rPr>
      </w:pPr>
    </w:p>
    <w:tbl>
      <w:tblPr>
        <w:tblStyle w:val="24"/>
        <w:tblW w:w="7054" w:type="dxa"/>
        <w:jc w:val="center"/>
        <w:tblLayout w:type="fixed"/>
        <w:tblCellMar>
          <w:top w:w="0" w:type="dxa"/>
          <w:left w:w="108" w:type="dxa"/>
          <w:bottom w:w="0" w:type="dxa"/>
          <w:right w:w="108" w:type="dxa"/>
        </w:tblCellMar>
      </w:tblPr>
      <w:tblGrid>
        <w:gridCol w:w="2518"/>
        <w:gridCol w:w="4536"/>
      </w:tblGrid>
      <w:tr w14:paraId="2294D480">
        <w:tblPrEx>
          <w:tblCellMar>
            <w:top w:w="0" w:type="dxa"/>
            <w:left w:w="108" w:type="dxa"/>
            <w:bottom w:w="0" w:type="dxa"/>
            <w:right w:w="108" w:type="dxa"/>
          </w:tblCellMar>
        </w:tblPrEx>
        <w:trPr>
          <w:trHeight w:val="794" w:hRule="atLeast"/>
          <w:jc w:val="center"/>
        </w:trPr>
        <w:tc>
          <w:tcPr>
            <w:tcW w:w="2518" w:type="dxa"/>
            <w:vAlign w:val="center"/>
          </w:tcPr>
          <w:p w14:paraId="64D65BEF">
            <w:pPr>
              <w:jc w:val="distribute"/>
              <w:rPr>
                <w:rFonts w:ascii="宋体" w:hAnsi="宋体" w:cs="宋体"/>
                <w:color w:val="auto"/>
                <w:sz w:val="24"/>
                <w:szCs w:val="24"/>
                <w:highlight w:val="none"/>
              </w:rPr>
            </w:pPr>
            <w:r>
              <w:rPr>
                <w:rFonts w:hint="eastAsia" w:ascii="宋体" w:hAnsi="宋体" w:cs="宋体"/>
                <w:color w:val="auto"/>
                <w:sz w:val="24"/>
                <w:szCs w:val="24"/>
                <w:highlight w:val="none"/>
              </w:rPr>
              <w:t>投标文件名称：</w:t>
            </w:r>
          </w:p>
        </w:tc>
        <w:tc>
          <w:tcPr>
            <w:tcW w:w="4536" w:type="dxa"/>
            <w:vAlign w:val="center"/>
          </w:tcPr>
          <w:p w14:paraId="0D5E62C5">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商务技术文件           </w:t>
            </w:r>
          </w:p>
        </w:tc>
      </w:tr>
      <w:tr w14:paraId="5A986E23">
        <w:tblPrEx>
          <w:tblCellMar>
            <w:top w:w="0" w:type="dxa"/>
            <w:left w:w="108" w:type="dxa"/>
            <w:bottom w:w="0" w:type="dxa"/>
            <w:right w:w="108" w:type="dxa"/>
          </w:tblCellMar>
        </w:tblPrEx>
        <w:trPr>
          <w:trHeight w:val="794" w:hRule="atLeast"/>
          <w:jc w:val="center"/>
        </w:trPr>
        <w:tc>
          <w:tcPr>
            <w:tcW w:w="2518" w:type="dxa"/>
            <w:vAlign w:val="center"/>
          </w:tcPr>
          <w:p w14:paraId="20608082">
            <w:pPr>
              <w:jc w:val="distribute"/>
              <w:rPr>
                <w:rFonts w:ascii="宋体" w:hAnsi="宋体" w:cs="宋体"/>
                <w:color w:val="auto"/>
                <w:sz w:val="24"/>
                <w:szCs w:val="24"/>
                <w:highlight w:val="none"/>
              </w:rPr>
            </w:pPr>
            <w:r>
              <w:rPr>
                <w:rFonts w:hint="eastAsia" w:ascii="宋体" w:hAnsi="宋体" w:cs="宋体"/>
                <w:color w:val="auto"/>
                <w:sz w:val="24"/>
                <w:szCs w:val="24"/>
                <w:highlight w:val="none"/>
              </w:rPr>
              <w:t>项 目 编 号：</w:t>
            </w:r>
          </w:p>
        </w:tc>
        <w:tc>
          <w:tcPr>
            <w:tcW w:w="4536" w:type="dxa"/>
            <w:vAlign w:val="center"/>
          </w:tcPr>
          <w:p w14:paraId="654B71E3">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p>
        </w:tc>
      </w:tr>
      <w:tr w14:paraId="1A0657F5">
        <w:tblPrEx>
          <w:tblCellMar>
            <w:top w:w="0" w:type="dxa"/>
            <w:left w:w="108" w:type="dxa"/>
            <w:bottom w:w="0" w:type="dxa"/>
            <w:right w:w="108" w:type="dxa"/>
          </w:tblCellMar>
        </w:tblPrEx>
        <w:trPr>
          <w:trHeight w:val="794" w:hRule="atLeast"/>
          <w:jc w:val="center"/>
        </w:trPr>
        <w:tc>
          <w:tcPr>
            <w:tcW w:w="2518" w:type="dxa"/>
            <w:vAlign w:val="center"/>
          </w:tcPr>
          <w:p w14:paraId="0505BA0F">
            <w:pPr>
              <w:jc w:val="distribute"/>
              <w:rPr>
                <w:rFonts w:ascii="宋体" w:hAnsi="宋体" w:cs="宋体"/>
                <w:color w:val="auto"/>
                <w:sz w:val="24"/>
                <w:szCs w:val="24"/>
                <w:highlight w:val="none"/>
              </w:rPr>
            </w:pPr>
            <w:r>
              <w:rPr>
                <w:rFonts w:hint="eastAsia" w:ascii="宋体" w:hAnsi="宋体" w:cs="宋体"/>
                <w:color w:val="auto"/>
                <w:sz w:val="24"/>
                <w:szCs w:val="24"/>
                <w:highlight w:val="none"/>
              </w:rPr>
              <w:t>项 目 名 称：</w:t>
            </w:r>
          </w:p>
        </w:tc>
        <w:tc>
          <w:tcPr>
            <w:tcW w:w="4536" w:type="dxa"/>
            <w:vAlign w:val="center"/>
          </w:tcPr>
          <w:p w14:paraId="3804F6A9">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p>
        </w:tc>
      </w:tr>
      <w:tr w14:paraId="74E2381A">
        <w:tblPrEx>
          <w:tblCellMar>
            <w:top w:w="0" w:type="dxa"/>
            <w:left w:w="108" w:type="dxa"/>
            <w:bottom w:w="0" w:type="dxa"/>
            <w:right w:w="108" w:type="dxa"/>
          </w:tblCellMar>
        </w:tblPrEx>
        <w:trPr>
          <w:trHeight w:val="794" w:hRule="atLeast"/>
          <w:jc w:val="center"/>
        </w:trPr>
        <w:tc>
          <w:tcPr>
            <w:tcW w:w="2518" w:type="dxa"/>
            <w:vAlign w:val="center"/>
          </w:tcPr>
          <w:p w14:paraId="3E580E59">
            <w:pPr>
              <w:jc w:val="distribute"/>
              <w:rPr>
                <w:rFonts w:ascii="宋体" w:hAnsi="宋体" w:cs="宋体"/>
                <w:color w:val="auto"/>
                <w:sz w:val="24"/>
                <w:szCs w:val="24"/>
                <w:highlight w:val="none"/>
              </w:rPr>
            </w:pPr>
            <w:r>
              <w:rPr>
                <w:rFonts w:hint="eastAsia" w:ascii="宋体" w:hAnsi="宋体" w:cs="宋体"/>
                <w:color w:val="auto"/>
                <w:sz w:val="24"/>
                <w:szCs w:val="24"/>
                <w:highlight w:val="none"/>
              </w:rPr>
              <w:t>标      项：</w:t>
            </w:r>
          </w:p>
        </w:tc>
        <w:tc>
          <w:tcPr>
            <w:tcW w:w="4536" w:type="dxa"/>
            <w:vAlign w:val="center"/>
          </w:tcPr>
          <w:p w14:paraId="43B7B90E">
            <w:pPr>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（如有）                            </w:t>
            </w:r>
          </w:p>
        </w:tc>
      </w:tr>
      <w:tr w14:paraId="1915B833">
        <w:tblPrEx>
          <w:tblCellMar>
            <w:top w:w="0" w:type="dxa"/>
            <w:left w:w="108" w:type="dxa"/>
            <w:bottom w:w="0" w:type="dxa"/>
            <w:right w:w="108" w:type="dxa"/>
          </w:tblCellMar>
        </w:tblPrEx>
        <w:trPr>
          <w:trHeight w:val="794" w:hRule="atLeast"/>
          <w:jc w:val="center"/>
        </w:trPr>
        <w:tc>
          <w:tcPr>
            <w:tcW w:w="2518" w:type="dxa"/>
            <w:vAlign w:val="center"/>
          </w:tcPr>
          <w:p w14:paraId="55567F40">
            <w:pPr>
              <w:jc w:val="distribute"/>
              <w:rPr>
                <w:rFonts w:ascii="宋体" w:hAnsi="宋体" w:cs="宋体"/>
                <w:color w:val="auto"/>
                <w:sz w:val="24"/>
                <w:szCs w:val="24"/>
                <w:highlight w:val="none"/>
              </w:rPr>
            </w:pPr>
          </w:p>
        </w:tc>
        <w:tc>
          <w:tcPr>
            <w:tcW w:w="4536" w:type="dxa"/>
            <w:vAlign w:val="center"/>
          </w:tcPr>
          <w:p w14:paraId="344FD10F">
            <w:pPr>
              <w:jc w:val="left"/>
              <w:rPr>
                <w:rFonts w:ascii="宋体" w:hAnsi="宋体" w:cs="宋体"/>
                <w:color w:val="auto"/>
                <w:sz w:val="24"/>
                <w:szCs w:val="24"/>
                <w:highlight w:val="none"/>
              </w:rPr>
            </w:pPr>
          </w:p>
        </w:tc>
      </w:tr>
      <w:tr w14:paraId="38561D25">
        <w:tblPrEx>
          <w:tblCellMar>
            <w:top w:w="0" w:type="dxa"/>
            <w:left w:w="108" w:type="dxa"/>
            <w:bottom w:w="0" w:type="dxa"/>
            <w:right w:w="108" w:type="dxa"/>
          </w:tblCellMar>
        </w:tblPrEx>
        <w:trPr>
          <w:trHeight w:val="794" w:hRule="atLeast"/>
          <w:jc w:val="center"/>
        </w:trPr>
        <w:tc>
          <w:tcPr>
            <w:tcW w:w="2518" w:type="dxa"/>
            <w:vAlign w:val="center"/>
          </w:tcPr>
          <w:p w14:paraId="563D5DE6">
            <w:pPr>
              <w:jc w:val="distribute"/>
              <w:rPr>
                <w:rFonts w:ascii="宋体" w:hAnsi="宋体" w:cs="宋体"/>
                <w:color w:val="auto"/>
                <w:sz w:val="24"/>
                <w:szCs w:val="24"/>
                <w:highlight w:val="none"/>
              </w:rPr>
            </w:pPr>
            <w:r>
              <w:rPr>
                <w:rFonts w:hint="eastAsia" w:ascii="宋体" w:hAnsi="宋体" w:cs="宋体"/>
                <w:color w:val="auto"/>
                <w:sz w:val="24"/>
                <w:szCs w:val="24"/>
                <w:highlight w:val="none"/>
              </w:rPr>
              <w:t>投标人全称（盖章）：</w:t>
            </w:r>
          </w:p>
        </w:tc>
        <w:tc>
          <w:tcPr>
            <w:tcW w:w="4536" w:type="dxa"/>
            <w:vAlign w:val="center"/>
          </w:tcPr>
          <w:p w14:paraId="6637ABCF">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p>
        </w:tc>
      </w:tr>
      <w:tr w14:paraId="18F76ECC">
        <w:tblPrEx>
          <w:tblCellMar>
            <w:top w:w="0" w:type="dxa"/>
            <w:left w:w="108" w:type="dxa"/>
            <w:bottom w:w="0" w:type="dxa"/>
            <w:right w:w="108" w:type="dxa"/>
          </w:tblCellMar>
        </w:tblPrEx>
        <w:trPr>
          <w:trHeight w:val="794" w:hRule="atLeast"/>
          <w:jc w:val="center"/>
        </w:trPr>
        <w:tc>
          <w:tcPr>
            <w:tcW w:w="2518" w:type="dxa"/>
            <w:vAlign w:val="center"/>
          </w:tcPr>
          <w:p w14:paraId="04EE3F79">
            <w:pPr>
              <w:jc w:val="distribute"/>
              <w:rPr>
                <w:rFonts w:ascii="宋体" w:hAnsi="宋体" w:cs="宋体"/>
                <w:color w:val="auto"/>
                <w:sz w:val="24"/>
                <w:szCs w:val="24"/>
                <w:highlight w:val="none"/>
              </w:rPr>
            </w:pPr>
            <w:r>
              <w:rPr>
                <w:rFonts w:hint="eastAsia" w:ascii="宋体" w:hAnsi="宋体" w:cs="宋体"/>
                <w:color w:val="auto"/>
                <w:sz w:val="24"/>
                <w:szCs w:val="24"/>
                <w:highlight w:val="none"/>
              </w:rPr>
              <w:t>投标人地址：</w:t>
            </w:r>
          </w:p>
        </w:tc>
        <w:tc>
          <w:tcPr>
            <w:tcW w:w="4536" w:type="dxa"/>
            <w:vAlign w:val="center"/>
          </w:tcPr>
          <w:p w14:paraId="2DCF64D3">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p>
        </w:tc>
      </w:tr>
      <w:tr w14:paraId="45ABA3F0">
        <w:tblPrEx>
          <w:tblCellMar>
            <w:top w:w="0" w:type="dxa"/>
            <w:left w:w="108" w:type="dxa"/>
            <w:bottom w:w="0" w:type="dxa"/>
            <w:right w:w="108" w:type="dxa"/>
          </w:tblCellMar>
        </w:tblPrEx>
        <w:trPr>
          <w:trHeight w:val="794" w:hRule="atLeast"/>
          <w:jc w:val="center"/>
        </w:trPr>
        <w:tc>
          <w:tcPr>
            <w:tcW w:w="7054" w:type="dxa"/>
            <w:gridSpan w:val="2"/>
            <w:vAlign w:val="center"/>
          </w:tcPr>
          <w:p w14:paraId="62EEAC9B">
            <w:pPr>
              <w:jc w:val="left"/>
              <w:rPr>
                <w:rFonts w:ascii="宋体" w:hAnsi="宋体" w:cs="宋体"/>
                <w:color w:val="auto"/>
                <w:sz w:val="24"/>
                <w:szCs w:val="24"/>
                <w:highlight w:val="none"/>
                <w:u w:val="single"/>
              </w:rPr>
            </w:pPr>
          </w:p>
        </w:tc>
      </w:tr>
      <w:tr w14:paraId="327D05B2">
        <w:tblPrEx>
          <w:tblCellMar>
            <w:top w:w="0" w:type="dxa"/>
            <w:left w:w="108" w:type="dxa"/>
            <w:bottom w:w="0" w:type="dxa"/>
            <w:right w:w="108" w:type="dxa"/>
          </w:tblCellMar>
        </w:tblPrEx>
        <w:trPr>
          <w:trHeight w:val="794" w:hRule="atLeast"/>
          <w:jc w:val="center"/>
        </w:trPr>
        <w:tc>
          <w:tcPr>
            <w:tcW w:w="7054" w:type="dxa"/>
            <w:gridSpan w:val="2"/>
            <w:vAlign w:val="center"/>
          </w:tcPr>
          <w:p w14:paraId="0D6AF52D">
            <w:pPr>
              <w:jc w:val="center"/>
              <w:rPr>
                <w:rFonts w:ascii="宋体" w:hAnsi="宋体" w:cs="宋体"/>
                <w:color w:val="auto"/>
                <w:sz w:val="24"/>
                <w:szCs w:val="24"/>
                <w:highlight w:val="none"/>
              </w:rPr>
            </w:pPr>
            <w:r>
              <w:rPr>
                <w:rFonts w:hint="eastAsia" w:ascii="宋体" w:hAnsi="宋体" w:cs="宋体"/>
                <w:color w:val="auto"/>
                <w:sz w:val="24"/>
                <w:szCs w:val="24"/>
                <w:highlight w:val="none"/>
              </w:rPr>
              <w:t>年  月  日</w:t>
            </w:r>
          </w:p>
        </w:tc>
      </w:tr>
    </w:tbl>
    <w:p w14:paraId="2F50162F">
      <w:pPr>
        <w:pStyle w:val="8"/>
        <w:spacing w:line="360" w:lineRule="auto"/>
        <w:ind w:firstLine="0"/>
        <w:jc w:val="center"/>
        <w:rPr>
          <w:rFonts w:ascii="宋体" w:hAnsi="宋体" w:cs="宋体"/>
          <w:bCs/>
          <w:color w:val="auto"/>
          <w:sz w:val="24"/>
          <w:highlight w:val="none"/>
        </w:rPr>
      </w:pPr>
    </w:p>
    <w:p w14:paraId="5C05D56B">
      <w:pPr>
        <w:pStyle w:val="7"/>
        <w:spacing w:before="0" w:after="0"/>
        <w:ind w:firstLine="0" w:firstLineChars="0"/>
        <w:jc w:val="left"/>
        <w:rPr>
          <w:rFonts w:ascii="宋体" w:hAnsi="宋体" w:eastAsia="宋体" w:cs="宋体"/>
          <w:color w:val="auto"/>
          <w:sz w:val="24"/>
          <w:szCs w:val="24"/>
          <w:highlight w:val="none"/>
        </w:rPr>
      </w:pPr>
      <w:bookmarkStart w:id="610" w:name="_Toc97213038"/>
      <w:bookmarkStart w:id="611" w:name="_Toc4219"/>
      <w:bookmarkStart w:id="612" w:name="_Toc16792"/>
      <w:bookmarkStart w:id="613" w:name="_Toc531359057"/>
      <w:bookmarkStart w:id="614" w:name="_Toc5535"/>
      <w:bookmarkStart w:id="615" w:name="_Toc16951"/>
      <w:bookmarkStart w:id="616" w:name="_Toc20913"/>
      <w:r>
        <w:rPr>
          <w:rFonts w:hint="eastAsia" w:ascii="宋体" w:hAnsi="宋体" w:eastAsia="宋体" w:cs="宋体"/>
          <w:color w:val="auto"/>
          <w:sz w:val="24"/>
          <w:szCs w:val="24"/>
          <w:highlight w:val="none"/>
        </w:rPr>
        <w:t>2.2    商务技术文件目录</w:t>
      </w:r>
      <w:bookmarkEnd w:id="610"/>
      <w:bookmarkEnd w:id="611"/>
      <w:bookmarkEnd w:id="612"/>
      <w:bookmarkEnd w:id="613"/>
      <w:bookmarkEnd w:id="614"/>
      <w:bookmarkEnd w:id="615"/>
      <w:bookmarkEnd w:id="616"/>
    </w:p>
    <w:p w14:paraId="138EB515">
      <w:pPr>
        <w:pStyle w:val="8"/>
        <w:spacing w:line="360" w:lineRule="auto"/>
        <w:ind w:firstLine="0"/>
        <w:rPr>
          <w:rFonts w:ascii="宋体" w:hAnsi="宋体" w:cs="宋体"/>
          <w:color w:val="auto"/>
          <w:sz w:val="24"/>
          <w:highlight w:val="none"/>
        </w:rPr>
      </w:pPr>
    </w:p>
    <w:p w14:paraId="0ED81408">
      <w:pPr>
        <w:pStyle w:val="8"/>
        <w:ind w:firstLine="0"/>
        <w:jc w:val="center"/>
        <w:rPr>
          <w:rFonts w:ascii="宋体" w:hAnsi="宋体" w:cs="宋体"/>
          <w:color w:val="auto"/>
          <w:sz w:val="24"/>
          <w:highlight w:val="none"/>
        </w:rPr>
      </w:pPr>
      <w:r>
        <w:rPr>
          <w:rFonts w:hint="eastAsia" w:ascii="宋体" w:hAnsi="宋体" w:cs="宋体"/>
          <w:color w:val="auto"/>
          <w:sz w:val="24"/>
          <w:szCs w:val="24"/>
          <w:highlight w:val="none"/>
        </w:rPr>
        <w:t>（</w:t>
      </w:r>
      <w:r>
        <w:rPr>
          <w:rFonts w:hint="eastAsia" w:ascii="宋体" w:hAnsi="宋体" w:cs="宋体"/>
          <w:color w:val="auto"/>
          <w:sz w:val="24"/>
          <w:highlight w:val="none"/>
        </w:rPr>
        <w:t>格式自行设计）</w:t>
      </w:r>
      <w:bookmarkStart w:id="617" w:name="_Toc531359058"/>
    </w:p>
    <w:p w14:paraId="0F1F21D3">
      <w:pPr>
        <w:pStyle w:val="8"/>
        <w:spacing w:line="360" w:lineRule="auto"/>
        <w:ind w:firstLine="0"/>
        <w:rPr>
          <w:rFonts w:ascii="宋体" w:hAnsi="宋体" w:cs="宋体"/>
          <w:color w:val="auto"/>
          <w:sz w:val="24"/>
          <w:highlight w:val="none"/>
        </w:rPr>
      </w:pPr>
    </w:p>
    <w:p w14:paraId="1DDD4223">
      <w:pPr>
        <w:pStyle w:val="7"/>
        <w:spacing w:before="0" w:after="0"/>
        <w:ind w:firstLine="0" w:firstLineChars="0"/>
        <w:jc w:val="left"/>
        <w:rPr>
          <w:rFonts w:ascii="宋体" w:hAnsi="宋体" w:eastAsia="宋体" w:cs="宋体"/>
          <w:color w:val="auto"/>
          <w:sz w:val="24"/>
          <w:szCs w:val="24"/>
          <w:highlight w:val="none"/>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4C94706E">
      <w:pPr>
        <w:pStyle w:val="7"/>
        <w:spacing w:before="0" w:after="0"/>
        <w:ind w:firstLine="0" w:firstLineChars="0"/>
        <w:jc w:val="left"/>
        <w:rPr>
          <w:rFonts w:ascii="宋体" w:hAnsi="宋体" w:eastAsia="宋体" w:cs="宋体"/>
          <w:color w:val="auto"/>
          <w:sz w:val="24"/>
          <w:szCs w:val="24"/>
          <w:highlight w:val="none"/>
        </w:rPr>
      </w:pPr>
      <w:bookmarkStart w:id="618" w:name="_Toc14152"/>
      <w:bookmarkStart w:id="619" w:name="_Toc29017"/>
      <w:bookmarkStart w:id="620" w:name="_Toc19797"/>
      <w:bookmarkStart w:id="621" w:name="_Toc24687"/>
      <w:bookmarkStart w:id="622" w:name="_Toc97213039"/>
      <w:bookmarkStart w:id="623" w:name="_Toc7344"/>
      <w:r>
        <w:rPr>
          <w:rFonts w:hint="eastAsia" w:ascii="宋体" w:hAnsi="宋体" w:eastAsia="宋体" w:cs="宋体"/>
          <w:color w:val="auto"/>
          <w:sz w:val="24"/>
          <w:szCs w:val="24"/>
          <w:highlight w:val="none"/>
        </w:rPr>
        <w:t>2.3    投标</w:t>
      </w:r>
      <w:bookmarkEnd w:id="601"/>
      <w:bookmarkEnd w:id="602"/>
      <w:r>
        <w:rPr>
          <w:rFonts w:hint="eastAsia" w:ascii="宋体" w:hAnsi="宋体" w:eastAsia="宋体" w:cs="宋体"/>
          <w:color w:val="auto"/>
          <w:sz w:val="24"/>
          <w:szCs w:val="24"/>
          <w:highlight w:val="none"/>
        </w:rPr>
        <w:t>函</w:t>
      </w:r>
      <w:bookmarkEnd w:id="617"/>
      <w:r>
        <w:rPr>
          <w:rFonts w:hint="eastAsia" w:ascii="宋体" w:hAnsi="宋体" w:eastAsia="宋体" w:cs="宋体"/>
          <w:color w:val="auto"/>
          <w:sz w:val="24"/>
          <w:szCs w:val="24"/>
          <w:highlight w:val="none"/>
        </w:rPr>
        <w:t>格式</w:t>
      </w:r>
      <w:bookmarkEnd w:id="618"/>
      <w:bookmarkEnd w:id="619"/>
      <w:bookmarkEnd w:id="620"/>
      <w:bookmarkEnd w:id="621"/>
      <w:bookmarkEnd w:id="622"/>
      <w:bookmarkEnd w:id="623"/>
    </w:p>
    <w:p w14:paraId="5D3BA5A0">
      <w:pPr>
        <w:pStyle w:val="8"/>
        <w:spacing w:line="360" w:lineRule="auto"/>
        <w:ind w:firstLine="0"/>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投标函</w:t>
      </w:r>
    </w:p>
    <w:p w14:paraId="69838D54">
      <w:pPr>
        <w:pStyle w:val="41"/>
        <w:tabs>
          <w:tab w:val="left" w:pos="0"/>
        </w:tabs>
        <w:spacing w:line="360" w:lineRule="auto"/>
        <w:rPr>
          <w:rFonts w:hAnsi="宋体" w:cs="宋体"/>
          <w:color w:val="auto"/>
          <w:sz w:val="24"/>
          <w:highlight w:val="none"/>
        </w:rPr>
      </w:pPr>
      <w:r>
        <w:rPr>
          <w:rFonts w:hint="eastAsia" w:hAnsi="宋体" w:cs="宋体"/>
          <w:color w:val="auto"/>
          <w:sz w:val="24"/>
          <w:highlight w:val="none"/>
        </w:rPr>
        <w:t>致：</w:t>
      </w:r>
      <w:r>
        <w:rPr>
          <w:rFonts w:hint="eastAsia" w:hAnsi="宋体" w:cs="宋体"/>
          <w:i/>
          <w:color w:val="auto"/>
          <w:kern w:val="2"/>
          <w:sz w:val="24"/>
          <w:szCs w:val="24"/>
          <w:highlight w:val="none"/>
          <w:u w:val="single"/>
        </w:rPr>
        <w:t>丽水学院</w:t>
      </w:r>
      <w:r>
        <w:rPr>
          <w:rFonts w:hint="eastAsia" w:hAnsi="宋体" w:cs="宋体"/>
          <w:color w:val="auto"/>
          <w:sz w:val="24"/>
          <w:highlight w:val="none"/>
        </w:rPr>
        <w:t>：</w:t>
      </w:r>
    </w:p>
    <w:p w14:paraId="3903EAC2">
      <w:pPr>
        <w:pStyle w:val="41"/>
        <w:tabs>
          <w:tab w:val="left" w:pos="0"/>
        </w:tabs>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根据贵方</w:t>
      </w:r>
      <w:r>
        <w:rPr>
          <w:rFonts w:hint="eastAsia" w:hAnsi="宋体" w:cs="宋体"/>
          <w:i/>
          <w:color w:val="auto"/>
          <w:kern w:val="2"/>
          <w:sz w:val="24"/>
          <w:szCs w:val="24"/>
          <w:highlight w:val="none"/>
          <w:u w:val="single"/>
          <w:lang w:eastAsia="zh-CN"/>
        </w:rPr>
        <w:t>（</w:t>
      </w:r>
      <w:r>
        <w:rPr>
          <w:rFonts w:hint="eastAsia" w:hAnsi="宋体" w:cs="宋体"/>
          <w:i/>
          <w:color w:val="auto"/>
          <w:kern w:val="2"/>
          <w:sz w:val="24"/>
          <w:szCs w:val="24"/>
          <w:highlight w:val="none"/>
          <w:u w:val="single"/>
          <w:lang w:val="en-US" w:eastAsia="zh-CN"/>
        </w:rPr>
        <w:t>项目名称）(项目编号）</w:t>
      </w:r>
      <w:r>
        <w:rPr>
          <w:rFonts w:hint="eastAsia" w:hAnsi="宋体" w:cs="宋体"/>
          <w:color w:val="auto"/>
          <w:sz w:val="24"/>
          <w:szCs w:val="21"/>
          <w:highlight w:val="none"/>
          <w:u w:val="single"/>
        </w:rPr>
        <w:t xml:space="preserve"> </w:t>
      </w:r>
      <w:r>
        <w:rPr>
          <w:rFonts w:hint="eastAsia" w:hAnsi="宋体" w:cs="宋体"/>
          <w:color w:val="auto"/>
          <w:sz w:val="24"/>
          <w:szCs w:val="21"/>
          <w:highlight w:val="none"/>
        </w:rPr>
        <w:t>的招标文件要求，正式授权下述签字人</w:t>
      </w:r>
      <w:r>
        <w:rPr>
          <w:rFonts w:hint="eastAsia" w:hAnsi="宋体" w:cs="宋体"/>
          <w:i/>
          <w:color w:val="auto"/>
          <w:kern w:val="2"/>
          <w:sz w:val="24"/>
          <w:szCs w:val="24"/>
          <w:highlight w:val="none"/>
          <w:u w:val="single"/>
        </w:rPr>
        <w:t>（姓名和职务）</w:t>
      </w:r>
      <w:r>
        <w:rPr>
          <w:rFonts w:hint="eastAsia" w:hAnsi="宋体" w:cs="宋体"/>
          <w:color w:val="auto"/>
          <w:sz w:val="24"/>
          <w:szCs w:val="21"/>
          <w:highlight w:val="none"/>
        </w:rPr>
        <w:t>全权代表投标人</w:t>
      </w:r>
      <w:r>
        <w:rPr>
          <w:rFonts w:hint="eastAsia" w:hAnsi="宋体" w:cs="宋体"/>
          <w:i/>
          <w:color w:val="auto"/>
          <w:kern w:val="2"/>
          <w:sz w:val="24"/>
          <w:szCs w:val="24"/>
          <w:highlight w:val="none"/>
          <w:u w:val="single"/>
        </w:rPr>
        <w:t>（投标人全称）</w:t>
      </w:r>
      <w:r>
        <w:rPr>
          <w:rFonts w:hint="eastAsia" w:hAnsi="宋体" w:cs="宋体"/>
          <w:color w:val="auto"/>
          <w:sz w:val="24"/>
          <w:szCs w:val="21"/>
          <w:highlight w:val="none"/>
        </w:rPr>
        <w:t>参加贵方组织的有关招标活动，并提交下述文件：</w:t>
      </w:r>
    </w:p>
    <w:p w14:paraId="63DE144B">
      <w:pPr>
        <w:pStyle w:val="41"/>
        <w:tabs>
          <w:tab w:val="left" w:pos="0"/>
        </w:tabs>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政采云系统提交电子加密投标文件</w:t>
      </w:r>
      <w:r>
        <w:rPr>
          <w:rFonts w:hint="eastAsia" w:hAnsi="宋体" w:cs="宋体"/>
          <w:color w:val="auto"/>
          <w:sz w:val="24"/>
          <w:szCs w:val="21"/>
          <w:highlight w:val="none"/>
          <w:u w:val="single"/>
        </w:rPr>
        <w:t xml:space="preserve">   </w:t>
      </w:r>
      <w:r>
        <w:rPr>
          <w:rFonts w:hint="eastAsia" w:hAnsi="宋体" w:cs="宋体"/>
          <w:color w:val="auto"/>
          <w:sz w:val="24"/>
          <w:szCs w:val="21"/>
          <w:highlight w:val="none"/>
        </w:rPr>
        <w:t>份；</w:t>
      </w:r>
    </w:p>
    <w:p w14:paraId="17D71CB7">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4"/>
          <w:highlight w:val="none"/>
        </w:rPr>
        <w:t>提交备份电子投标文件</w:t>
      </w:r>
      <w:r>
        <w:rPr>
          <w:rFonts w:hint="eastAsia" w:hAnsi="宋体" w:cs="宋体"/>
          <w:color w:val="auto"/>
          <w:sz w:val="24"/>
          <w:szCs w:val="21"/>
          <w:highlight w:val="none"/>
          <w:u w:val="single"/>
        </w:rPr>
        <w:t xml:space="preserve">   </w:t>
      </w:r>
      <w:r>
        <w:rPr>
          <w:rFonts w:hint="eastAsia" w:hAnsi="宋体" w:cs="宋体"/>
          <w:color w:val="auto"/>
          <w:sz w:val="24"/>
          <w:szCs w:val="21"/>
          <w:highlight w:val="none"/>
        </w:rPr>
        <w:t>份；</w:t>
      </w:r>
    </w:p>
    <w:p w14:paraId="587A0070">
      <w:pPr>
        <w:pStyle w:val="41"/>
        <w:tabs>
          <w:tab w:val="left" w:pos="0"/>
        </w:tabs>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据此函我方就本次投标有关事项郑重承诺如下：</w:t>
      </w:r>
    </w:p>
    <w:p w14:paraId="360112C7">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1.我方向贵方提交的所有投标文件、资料都是准确的和真实的。</w:t>
      </w:r>
    </w:p>
    <w:p w14:paraId="75DDA599">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2.我方承诺已经具备《中华人民共和国政府采购法》、《中华人民共和国政府采购法实施条例》中规定的参加政府采购活动的投标人应具备的条件，并真实提供相关材料。</w:t>
      </w:r>
    </w:p>
    <w:p w14:paraId="261F2ACA">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3.如果我方中标，将派出</w:t>
      </w:r>
      <w:r>
        <w:rPr>
          <w:rFonts w:hint="eastAsia" w:hAnsi="宋体" w:cs="宋体"/>
          <w:i/>
          <w:color w:val="auto"/>
          <w:kern w:val="2"/>
          <w:sz w:val="24"/>
          <w:szCs w:val="24"/>
          <w:highlight w:val="none"/>
          <w:u w:val="single"/>
        </w:rPr>
        <w:t>（姓名及身份证号码）</w:t>
      </w:r>
      <w:r>
        <w:rPr>
          <w:rFonts w:hint="eastAsia" w:hAnsi="宋体" w:cs="宋体"/>
          <w:color w:val="auto"/>
          <w:sz w:val="24"/>
          <w:szCs w:val="21"/>
          <w:highlight w:val="none"/>
          <w:u w:val="single"/>
        </w:rPr>
        <w:t>，</w:t>
      </w:r>
      <w:r>
        <w:rPr>
          <w:rFonts w:hint="eastAsia" w:hAnsi="宋体" w:cs="宋体"/>
          <w:color w:val="auto"/>
          <w:sz w:val="24"/>
          <w:szCs w:val="21"/>
          <w:highlight w:val="none"/>
        </w:rPr>
        <w:t>作为本项目与采购单位联系的项目实施负责人，联系手机号码：</w:t>
      </w:r>
      <w:r>
        <w:rPr>
          <w:rFonts w:hint="eastAsia" w:hAnsi="宋体" w:cs="宋体"/>
          <w:color w:val="auto"/>
          <w:sz w:val="24"/>
          <w:szCs w:val="21"/>
          <w:highlight w:val="none"/>
          <w:u w:val="single"/>
        </w:rPr>
        <w:t xml:space="preserve">            </w:t>
      </w:r>
      <w:r>
        <w:rPr>
          <w:rFonts w:hint="eastAsia" w:hAnsi="宋体" w:cs="宋体"/>
          <w:color w:val="auto"/>
          <w:sz w:val="24"/>
          <w:szCs w:val="21"/>
          <w:highlight w:val="none"/>
        </w:rPr>
        <w:t>。在项目实施过程中，并承诺项目实施负责人不更换，若确需要更换的，书面征得采购人同意后才准予更换。</w:t>
      </w:r>
    </w:p>
    <w:p w14:paraId="2F390A1D">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4、我方的投标有效期自在开标日起</w:t>
      </w:r>
      <w:r>
        <w:rPr>
          <w:rFonts w:hint="eastAsia" w:hAnsi="宋体" w:cs="宋体"/>
          <w:color w:val="auto"/>
          <w:sz w:val="24"/>
          <w:szCs w:val="21"/>
          <w:highlight w:val="none"/>
          <w:u w:val="single"/>
        </w:rPr>
        <w:t xml:space="preserve">     </w:t>
      </w:r>
      <w:r>
        <w:rPr>
          <w:rFonts w:hint="eastAsia" w:hAnsi="宋体" w:cs="宋体"/>
          <w:color w:val="auto"/>
          <w:sz w:val="24"/>
          <w:szCs w:val="21"/>
          <w:highlight w:val="none"/>
        </w:rPr>
        <w:t>天内有效。本投标文件在投标有效期满之前均具有约束力。</w:t>
      </w:r>
    </w:p>
    <w:p w14:paraId="4E4E59BC">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5.我方完全理解并接受招标文件的各项规定和要求，对招标文件的合理性、合法性不再有异议。</w:t>
      </w:r>
    </w:p>
    <w:p w14:paraId="7504AC34">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我方愿意向贵方提供真实完整的任何与该项投标有关的数据、情况和技术资料。若贵方需要，我方愿意提供我方作出的一切承诺的证明材料。</w:t>
      </w:r>
    </w:p>
    <w:p w14:paraId="7D9AFECA">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6.我方已详细审核全部招标文件，包括招标文件的澄清或修改文件（如有的话）、参考资料及有关附件，已经了解我方对于招标文件、采购过程、采购结果有依法进行询问、质疑、投诉的权利及相关渠道和要求。</w:t>
      </w:r>
    </w:p>
    <w:p w14:paraId="679C5602">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7.我方不是采购人的附属机构，并未为本项目提供整体设计、规范编制或者项目管理、监理、监测等服务。</w:t>
      </w:r>
    </w:p>
    <w:p w14:paraId="0EAFC6AD">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8.我方承诺除商务技术偏离表列出的偏离外，我方响应招标文件的全部要求。</w:t>
      </w:r>
    </w:p>
    <w:p w14:paraId="0B21BDF0">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9.如中标，我方承诺：</w:t>
      </w:r>
    </w:p>
    <w:p w14:paraId="1ECE0121">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 xml:space="preserve">（1）在收到中标通知书后，在中标通知书规定的期限内与你方签订合同； </w:t>
      </w:r>
    </w:p>
    <w:p w14:paraId="1B1C910C">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 xml:space="preserve">（2）在签订合同时不向你方提出附加条件； </w:t>
      </w:r>
    </w:p>
    <w:p w14:paraId="49772B20">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 xml:space="preserve">（3）在合同约定的期限内完成合同规定的全部义务。 </w:t>
      </w:r>
    </w:p>
    <w:p w14:paraId="4231EAB6">
      <w:pPr>
        <w:pStyle w:val="41"/>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10.以上事项如有虚假或隐瞒，我方愿意承担一切不利后果，并不再寻求任何旨在减轻或免除法律责任。</w:t>
      </w:r>
    </w:p>
    <w:p w14:paraId="637E962D">
      <w:pPr>
        <w:pStyle w:val="41"/>
        <w:spacing w:line="360" w:lineRule="auto"/>
        <w:ind w:firstLine="480"/>
        <w:rPr>
          <w:rFonts w:hAnsi="宋体" w:cs="宋体"/>
          <w:color w:val="auto"/>
          <w:sz w:val="24"/>
          <w:szCs w:val="21"/>
          <w:highlight w:val="none"/>
        </w:rPr>
      </w:pPr>
      <w:r>
        <w:rPr>
          <w:rFonts w:hint="eastAsia" w:hAnsi="宋体" w:cs="宋体"/>
          <w:color w:val="auto"/>
          <w:sz w:val="24"/>
          <w:szCs w:val="21"/>
          <w:highlight w:val="none"/>
        </w:rPr>
        <w:t>与本次投标有关的一切正式往来信函请寄：</w:t>
      </w:r>
    </w:p>
    <w:p w14:paraId="2EBD1715">
      <w:pPr>
        <w:pStyle w:val="41"/>
        <w:spacing w:line="360" w:lineRule="auto"/>
        <w:ind w:firstLine="480"/>
        <w:rPr>
          <w:rFonts w:hAnsi="宋体" w:cs="宋体"/>
          <w:color w:val="auto"/>
          <w:sz w:val="24"/>
          <w:szCs w:val="21"/>
          <w:highlight w:val="none"/>
        </w:rPr>
      </w:pPr>
      <w:r>
        <w:rPr>
          <w:rFonts w:hint="eastAsia" w:hAnsi="宋体" w:cs="宋体"/>
          <w:color w:val="auto"/>
          <w:sz w:val="24"/>
          <w:szCs w:val="21"/>
          <w:highlight w:val="none"/>
        </w:rPr>
        <w:t>地址：</w:t>
      </w:r>
      <w:r>
        <w:rPr>
          <w:rFonts w:hint="eastAsia" w:hAnsi="宋体" w:cs="宋体"/>
          <w:color w:val="auto"/>
          <w:spacing w:val="20"/>
          <w:sz w:val="24"/>
          <w:highlight w:val="none"/>
          <w:u w:val="single"/>
        </w:rPr>
        <w:t xml:space="preserve">             </w:t>
      </w:r>
      <w:r>
        <w:rPr>
          <w:rFonts w:hint="eastAsia" w:hAnsi="宋体" w:cs="宋体"/>
          <w:color w:val="auto"/>
          <w:sz w:val="24"/>
          <w:szCs w:val="21"/>
          <w:highlight w:val="none"/>
        </w:rPr>
        <w:t xml:space="preserve">     邮编：</w:t>
      </w:r>
      <w:r>
        <w:rPr>
          <w:rFonts w:hint="eastAsia" w:hAnsi="宋体" w:cs="宋体"/>
          <w:color w:val="auto"/>
          <w:spacing w:val="20"/>
          <w:sz w:val="24"/>
          <w:highlight w:val="none"/>
          <w:u w:val="single"/>
        </w:rPr>
        <w:t xml:space="preserve">           </w:t>
      </w:r>
    </w:p>
    <w:p w14:paraId="32DD4B14">
      <w:pPr>
        <w:pStyle w:val="14"/>
        <w:spacing w:line="360" w:lineRule="auto"/>
        <w:ind w:firstLine="480" w:firstLineChars="200"/>
        <w:rPr>
          <w:rFonts w:hAnsi="宋体" w:cs="宋体"/>
          <w:color w:val="auto"/>
          <w:sz w:val="24"/>
          <w:szCs w:val="21"/>
          <w:highlight w:val="none"/>
        </w:rPr>
      </w:pPr>
      <w:r>
        <w:rPr>
          <w:rFonts w:hint="eastAsia" w:hAnsi="宋体" w:cs="宋体"/>
          <w:color w:val="auto"/>
          <w:sz w:val="24"/>
          <w:szCs w:val="21"/>
          <w:highlight w:val="none"/>
        </w:rPr>
        <w:t>电话：</w:t>
      </w:r>
      <w:r>
        <w:rPr>
          <w:rFonts w:hint="eastAsia" w:hAnsi="宋体" w:cs="宋体"/>
          <w:color w:val="auto"/>
          <w:spacing w:val="20"/>
          <w:sz w:val="24"/>
          <w:highlight w:val="none"/>
          <w:u w:val="single"/>
        </w:rPr>
        <w:t xml:space="preserve">             </w:t>
      </w:r>
      <w:r>
        <w:rPr>
          <w:rFonts w:hint="eastAsia" w:hAnsi="宋体" w:cs="宋体"/>
          <w:color w:val="auto"/>
          <w:sz w:val="24"/>
          <w:szCs w:val="21"/>
          <w:highlight w:val="none"/>
        </w:rPr>
        <w:t xml:space="preserve">     传真：</w:t>
      </w:r>
      <w:r>
        <w:rPr>
          <w:rFonts w:hint="eastAsia" w:hAnsi="宋体" w:cs="宋体"/>
          <w:color w:val="auto"/>
          <w:spacing w:val="20"/>
          <w:sz w:val="24"/>
          <w:highlight w:val="none"/>
          <w:u w:val="single"/>
        </w:rPr>
        <w:t xml:space="preserve">           </w:t>
      </w:r>
    </w:p>
    <w:p w14:paraId="2F0AF00C">
      <w:pPr>
        <w:pStyle w:val="43"/>
        <w:spacing w:line="360" w:lineRule="auto"/>
        <w:rPr>
          <w:rFonts w:ascii="宋体" w:hAnsi="宋体" w:cs="宋体"/>
          <w:bCs/>
          <w:color w:val="auto"/>
          <w:sz w:val="24"/>
          <w:highlight w:val="none"/>
        </w:rPr>
      </w:pPr>
    </w:p>
    <w:p w14:paraId="2225C3D9">
      <w:pPr>
        <w:pStyle w:val="44"/>
        <w:spacing w:line="360" w:lineRule="auto"/>
        <w:rPr>
          <w:rFonts w:hAnsi="宋体" w:cs="宋体"/>
          <w:color w:val="auto"/>
          <w:sz w:val="24"/>
          <w:szCs w:val="21"/>
          <w:highlight w:val="none"/>
        </w:rPr>
      </w:pPr>
    </w:p>
    <w:p w14:paraId="2326D9E5">
      <w:pPr>
        <w:pStyle w:val="37"/>
        <w:wordWrap w:val="0"/>
        <w:spacing w:line="360" w:lineRule="auto"/>
        <w:ind w:firstLine="480"/>
        <w:jc w:val="right"/>
        <w:rPr>
          <w:rFonts w:ascii="宋体" w:hAnsi="宋体" w:cs="宋体"/>
          <w:color w:val="auto"/>
          <w:spacing w:val="20"/>
          <w:sz w:val="24"/>
          <w:szCs w:val="21"/>
          <w:highlight w:val="none"/>
          <w:u w:val="single"/>
        </w:rPr>
      </w:pPr>
    </w:p>
    <w:p w14:paraId="73247327">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投标人盖章：</w:t>
      </w:r>
      <w:r>
        <w:rPr>
          <w:rFonts w:hint="eastAsia" w:ascii="宋体" w:hAnsi="宋体" w:cs="宋体"/>
          <w:color w:val="auto"/>
          <w:sz w:val="24"/>
          <w:szCs w:val="21"/>
          <w:highlight w:val="none"/>
          <w:u w:val="single"/>
        </w:rPr>
        <w:t xml:space="preserve">                </w:t>
      </w:r>
    </w:p>
    <w:p w14:paraId="0DB28034">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日      期：</w:t>
      </w:r>
      <w:r>
        <w:rPr>
          <w:rFonts w:hint="eastAsia" w:ascii="宋体" w:hAnsi="宋体" w:cs="宋体"/>
          <w:color w:val="auto"/>
          <w:sz w:val="24"/>
          <w:szCs w:val="21"/>
          <w:highlight w:val="none"/>
          <w:u w:val="single"/>
        </w:rPr>
        <w:t xml:space="preserve">                </w:t>
      </w:r>
    </w:p>
    <w:p w14:paraId="2F4B617F">
      <w:pPr>
        <w:pStyle w:val="37"/>
        <w:spacing w:line="360" w:lineRule="auto"/>
        <w:jc w:val="left"/>
        <w:rPr>
          <w:rFonts w:ascii="宋体" w:hAnsi="宋体" w:cs="宋体"/>
          <w:color w:val="auto"/>
          <w:spacing w:val="20"/>
          <w:sz w:val="24"/>
          <w:szCs w:val="21"/>
          <w:highlight w:val="none"/>
          <w:u w:val="single"/>
        </w:rPr>
      </w:pPr>
    </w:p>
    <w:p w14:paraId="67DDC5C4">
      <w:pPr>
        <w:pStyle w:val="41"/>
        <w:spacing w:line="360" w:lineRule="auto"/>
        <w:rPr>
          <w:rFonts w:hAnsi="宋体" w:cs="宋体"/>
          <w:color w:val="auto"/>
          <w:sz w:val="24"/>
          <w:szCs w:val="21"/>
          <w:highlight w:val="none"/>
        </w:rPr>
      </w:pPr>
    </w:p>
    <w:p w14:paraId="1AA0FA95">
      <w:pPr>
        <w:pStyle w:val="41"/>
        <w:spacing w:line="360" w:lineRule="auto"/>
        <w:rPr>
          <w:rFonts w:hAnsi="宋体" w:cs="宋体"/>
          <w:color w:val="auto"/>
          <w:sz w:val="24"/>
          <w:szCs w:val="21"/>
          <w:highlight w:val="none"/>
        </w:rPr>
      </w:pPr>
      <w:r>
        <w:rPr>
          <w:rFonts w:hint="eastAsia" w:hAnsi="宋体" w:cs="宋体"/>
          <w:color w:val="auto"/>
          <w:sz w:val="24"/>
          <w:szCs w:val="21"/>
          <w:highlight w:val="none"/>
        </w:rPr>
        <w:t>注：按照本声明书要求填报。</w:t>
      </w:r>
    </w:p>
    <w:p w14:paraId="3458482D">
      <w:pPr>
        <w:pStyle w:val="7"/>
        <w:spacing w:before="0" w:after="0"/>
        <w:ind w:firstLine="0" w:firstLineChars="0"/>
        <w:jc w:val="left"/>
        <w:rPr>
          <w:rFonts w:ascii="宋体" w:hAnsi="宋体" w:eastAsia="宋体" w:cs="宋体"/>
          <w:color w:val="auto"/>
          <w:sz w:val="24"/>
          <w:szCs w:val="24"/>
          <w:highlight w:val="none"/>
        </w:rPr>
      </w:pPr>
      <w:r>
        <w:rPr>
          <w:rFonts w:hint="eastAsia" w:ascii="宋体" w:hAnsi="宋体" w:eastAsia="宋体" w:cs="宋体"/>
          <w:color w:val="auto"/>
          <w:kern w:val="0"/>
          <w:sz w:val="32"/>
          <w:szCs w:val="32"/>
          <w:highlight w:val="none"/>
          <w:lang w:val="zh-CN"/>
        </w:rPr>
        <w:br w:type="page"/>
      </w:r>
      <w:bookmarkStart w:id="624" w:name="_Toc11671"/>
      <w:r>
        <w:rPr>
          <w:rFonts w:hint="eastAsia" w:ascii="宋体" w:hAnsi="宋体" w:eastAsia="宋体" w:cs="宋体"/>
          <w:color w:val="auto"/>
          <w:sz w:val="24"/>
          <w:szCs w:val="24"/>
          <w:highlight w:val="none"/>
        </w:rPr>
        <w:t>2.4    廉洁自律承诺书格式</w:t>
      </w:r>
      <w:bookmarkEnd w:id="624"/>
    </w:p>
    <w:p w14:paraId="149BC3FF">
      <w:pPr>
        <w:ind w:firstLine="2551" w:firstLineChars="794"/>
        <w:rPr>
          <w:rFonts w:ascii="宋体" w:hAnsi="宋体" w:cs="宋体"/>
          <w:b/>
          <w:color w:val="auto"/>
          <w:kern w:val="0"/>
          <w:sz w:val="32"/>
          <w:szCs w:val="32"/>
          <w:highlight w:val="none"/>
        </w:rPr>
      </w:pPr>
      <w:r>
        <w:rPr>
          <w:rFonts w:hint="eastAsia" w:ascii="宋体" w:hAnsi="宋体" w:cs="宋体"/>
          <w:b/>
          <w:color w:val="auto"/>
          <w:sz w:val="32"/>
          <w:szCs w:val="32"/>
          <w:highlight w:val="none"/>
          <w:lang w:val="zh-CN"/>
        </w:rPr>
        <w:t>政府采购投标人廉洁自律承诺书</w:t>
      </w:r>
    </w:p>
    <w:p w14:paraId="62632DF9">
      <w:pPr>
        <w:snapToGrid w:val="0"/>
        <w:spacing w:line="360" w:lineRule="auto"/>
        <w:rPr>
          <w:rFonts w:ascii="宋体" w:hAnsi="宋体" w:cs="宋体"/>
          <w:color w:val="auto"/>
          <w:sz w:val="24"/>
          <w:highlight w:val="none"/>
        </w:rPr>
      </w:pPr>
    </w:p>
    <w:p w14:paraId="5B273720">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u w:val="single"/>
        </w:rPr>
        <w:t>丽水学院</w:t>
      </w:r>
      <w:r>
        <w:rPr>
          <w:rFonts w:hint="eastAsia" w:ascii="宋体" w:hAnsi="宋体" w:cs="宋体"/>
          <w:color w:val="auto"/>
          <w:kern w:val="0"/>
          <w:sz w:val="24"/>
          <w:highlight w:val="none"/>
          <w:lang w:val="zh-CN"/>
        </w:rPr>
        <w:t>：</w:t>
      </w:r>
    </w:p>
    <w:p w14:paraId="1EB781D2">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w:t>
      </w:r>
      <w:r>
        <w:rPr>
          <w:rFonts w:hint="eastAsia" w:ascii="宋体" w:hAnsi="宋体" w:cs="宋体"/>
          <w:color w:val="auto"/>
          <w:kern w:val="0"/>
          <w:sz w:val="24"/>
          <w:highlight w:val="none"/>
        </w:rPr>
        <w:t>采购</w:t>
      </w:r>
      <w:r>
        <w:rPr>
          <w:rFonts w:hint="eastAsia" w:ascii="宋体" w:hAnsi="宋体" w:cs="宋体"/>
          <w:color w:val="auto"/>
          <w:kern w:val="0"/>
          <w:sz w:val="24"/>
          <w:highlight w:val="none"/>
          <w:lang w:val="zh-CN"/>
        </w:rPr>
        <w:t>要求参加投标。在这次投标过程中和中标后，我们将严格遵守国家法律法规要求，并郑重承诺：</w:t>
      </w:r>
    </w:p>
    <w:p w14:paraId="32C6695D">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00FC2F2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733B5B4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3067CB63">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2080B95C">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4C060EC8">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2815CAF1">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5EE4E904">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w:t>
      </w:r>
      <w:r>
        <w:rPr>
          <w:rFonts w:hint="eastAsia" w:ascii="宋体" w:hAnsi="宋体" w:cs="宋体"/>
          <w:color w:val="auto"/>
          <w:kern w:val="0"/>
          <w:sz w:val="24"/>
          <w:highlight w:val="none"/>
        </w:rPr>
        <w:t>实施</w:t>
      </w:r>
      <w:r>
        <w:rPr>
          <w:rFonts w:hint="eastAsia" w:ascii="宋体" w:hAnsi="宋体" w:cs="宋体"/>
          <w:color w:val="auto"/>
          <w:kern w:val="0"/>
          <w:sz w:val="24"/>
          <w:highlight w:val="none"/>
          <w:lang w:val="zh-CN"/>
        </w:rPr>
        <w:t>项目的</w:t>
      </w:r>
      <w:r>
        <w:rPr>
          <w:rFonts w:hint="eastAsia" w:ascii="宋体" w:hAnsi="宋体" w:cs="宋体"/>
          <w:color w:val="auto"/>
          <w:kern w:val="0"/>
          <w:sz w:val="24"/>
          <w:highlight w:val="none"/>
        </w:rPr>
        <w:t>承接</w:t>
      </w:r>
      <w:r>
        <w:rPr>
          <w:rFonts w:hint="eastAsia" w:ascii="宋体" w:hAnsi="宋体" w:cs="宋体"/>
          <w:color w:val="auto"/>
          <w:kern w:val="0"/>
          <w:sz w:val="24"/>
          <w:highlight w:val="none"/>
          <w:lang w:val="zh-CN"/>
        </w:rPr>
        <w:t>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w:t>
      </w:r>
      <w:r>
        <w:rPr>
          <w:rFonts w:hint="eastAsia" w:ascii="宋体" w:hAnsi="宋体" w:cs="宋体"/>
          <w:color w:val="auto"/>
          <w:kern w:val="0"/>
          <w:sz w:val="24"/>
          <w:highlight w:val="none"/>
        </w:rPr>
        <w:t>承接</w:t>
      </w:r>
      <w:r>
        <w:rPr>
          <w:rFonts w:hint="eastAsia" w:ascii="宋体" w:hAnsi="宋体" w:cs="宋体"/>
          <w:color w:val="auto"/>
          <w:kern w:val="0"/>
          <w:sz w:val="24"/>
          <w:highlight w:val="none"/>
          <w:lang w:val="zh-CN"/>
        </w:rPr>
        <w:t>或其他经营活动，并通报市财政局。由此引起的相应损失均由我单位承担。</w:t>
      </w:r>
    </w:p>
    <w:p w14:paraId="4918926B">
      <w:pPr>
        <w:autoSpaceDE w:val="0"/>
        <w:autoSpaceDN w:val="0"/>
        <w:spacing w:line="360" w:lineRule="auto"/>
        <w:ind w:left="2"/>
        <w:jc w:val="left"/>
        <w:rPr>
          <w:rFonts w:ascii="宋体" w:hAnsi="宋体" w:cs="宋体"/>
          <w:color w:val="auto"/>
          <w:kern w:val="0"/>
          <w:sz w:val="24"/>
          <w:highlight w:val="none"/>
          <w:lang w:val="zh-CN"/>
        </w:rPr>
      </w:pPr>
    </w:p>
    <w:p w14:paraId="038D4393">
      <w:pPr>
        <w:autoSpaceDE w:val="0"/>
        <w:autoSpaceDN w:val="0"/>
        <w:spacing w:line="360" w:lineRule="auto"/>
        <w:ind w:left="2"/>
        <w:jc w:val="left"/>
        <w:rPr>
          <w:rFonts w:ascii="宋体" w:hAnsi="宋体" w:cs="宋体"/>
          <w:color w:val="auto"/>
          <w:kern w:val="0"/>
          <w:sz w:val="24"/>
          <w:highlight w:val="none"/>
          <w:lang w:val="zh-CN"/>
        </w:rPr>
      </w:pPr>
    </w:p>
    <w:p w14:paraId="40433326">
      <w:pPr>
        <w:autoSpaceDE w:val="0"/>
        <w:autoSpaceDN w:val="0"/>
        <w:spacing w:line="360" w:lineRule="auto"/>
        <w:ind w:left="2"/>
        <w:jc w:val="left"/>
        <w:rPr>
          <w:rFonts w:ascii="宋体" w:hAnsi="宋体" w:cs="宋体"/>
          <w:color w:val="auto"/>
          <w:kern w:val="0"/>
          <w:sz w:val="24"/>
          <w:highlight w:val="none"/>
          <w:lang w:val="zh-CN"/>
        </w:rPr>
      </w:pPr>
    </w:p>
    <w:p w14:paraId="4E56538B">
      <w:pPr>
        <w:pStyle w:val="37"/>
        <w:wordWrap w:val="0"/>
        <w:spacing w:line="360" w:lineRule="auto"/>
        <w:ind w:firstLine="480"/>
        <w:jc w:val="right"/>
        <w:rPr>
          <w:rFonts w:hint="eastAsia" w:ascii="宋体" w:hAnsi="宋体" w:eastAsia="宋体" w:cs="宋体"/>
          <w:sz w:val="24"/>
          <w:szCs w:val="21"/>
          <w:highlight w:val="none"/>
          <w:u w:val="single"/>
        </w:rPr>
      </w:pPr>
      <w:r>
        <w:rPr>
          <w:rFonts w:hint="eastAsia" w:ascii="宋体" w:hAnsi="宋体" w:eastAsia="宋体" w:cs="宋体"/>
          <w:sz w:val="24"/>
          <w:szCs w:val="21"/>
          <w:highlight w:val="none"/>
          <w:lang w:eastAsia="zh-CN"/>
        </w:rPr>
        <w:t>投标人</w:t>
      </w:r>
      <w:r>
        <w:rPr>
          <w:rFonts w:hint="eastAsia" w:ascii="宋体" w:hAnsi="宋体" w:eastAsia="宋体" w:cs="宋体"/>
          <w:sz w:val="24"/>
          <w:szCs w:val="21"/>
          <w:highlight w:val="none"/>
        </w:rPr>
        <w:t>盖章：</w:t>
      </w:r>
      <w:r>
        <w:rPr>
          <w:rFonts w:hint="eastAsia" w:ascii="宋体" w:hAnsi="宋体" w:eastAsia="宋体" w:cs="宋体"/>
          <w:sz w:val="24"/>
          <w:szCs w:val="21"/>
          <w:highlight w:val="none"/>
          <w:u w:val="single"/>
        </w:rPr>
        <w:t xml:space="preserve">               </w:t>
      </w:r>
    </w:p>
    <w:p w14:paraId="68C6AF0D">
      <w:pPr>
        <w:pStyle w:val="37"/>
        <w:wordWrap w:val="0"/>
        <w:spacing w:line="360" w:lineRule="auto"/>
        <w:ind w:firstLine="480"/>
        <w:jc w:val="right"/>
        <w:rPr>
          <w:rFonts w:hint="eastAsia" w:ascii="宋体" w:hAnsi="宋体" w:eastAsia="宋体" w:cs="宋体"/>
          <w:sz w:val="24"/>
          <w:szCs w:val="21"/>
          <w:highlight w:val="none"/>
          <w:u w:val="single"/>
        </w:rPr>
      </w:pPr>
      <w:r>
        <w:rPr>
          <w:rFonts w:hint="eastAsia" w:ascii="宋体" w:hAnsi="宋体" w:eastAsia="宋体" w:cs="宋体"/>
          <w:sz w:val="24"/>
          <w:szCs w:val="21"/>
          <w:highlight w:val="none"/>
        </w:rPr>
        <w:t>日      期：</w:t>
      </w:r>
      <w:r>
        <w:rPr>
          <w:rFonts w:hint="eastAsia" w:ascii="宋体" w:hAnsi="宋体" w:eastAsia="宋体" w:cs="宋体"/>
          <w:sz w:val="24"/>
          <w:szCs w:val="21"/>
          <w:highlight w:val="none"/>
          <w:u w:val="single"/>
        </w:rPr>
        <w:t xml:space="preserve">               </w:t>
      </w:r>
    </w:p>
    <w:p w14:paraId="6191B6C5">
      <w:pPr>
        <w:spacing w:line="360" w:lineRule="auto"/>
        <w:jc w:val="center"/>
        <w:rPr>
          <w:rFonts w:ascii="宋体" w:hAnsi="宋体" w:cs="宋体"/>
          <w:b/>
          <w:bCs/>
          <w:color w:val="auto"/>
          <w:sz w:val="24"/>
          <w:highlight w:val="none"/>
        </w:rPr>
      </w:pPr>
    </w:p>
    <w:p w14:paraId="3434F99D">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788BFCA0">
      <w:pPr>
        <w:pStyle w:val="2"/>
        <w:rPr>
          <w:rFonts w:hint="eastAsia" w:ascii="宋体" w:hAnsi="宋体" w:cs="宋体"/>
          <w:color w:val="auto"/>
          <w:sz w:val="24"/>
          <w:highlight w:val="none"/>
        </w:rPr>
      </w:pPr>
    </w:p>
    <w:p w14:paraId="1DCC3C73">
      <w:pPr>
        <w:pStyle w:val="11"/>
        <w:rPr>
          <w:rFonts w:hint="eastAsia" w:ascii="宋体" w:hAnsi="宋体" w:cs="宋体"/>
          <w:color w:val="auto"/>
          <w:sz w:val="24"/>
          <w:highlight w:val="none"/>
        </w:rPr>
      </w:pPr>
    </w:p>
    <w:p w14:paraId="0A04C06E">
      <w:pPr>
        <w:pStyle w:val="12"/>
        <w:rPr>
          <w:rFonts w:hint="eastAsia" w:ascii="宋体" w:hAnsi="宋体" w:cs="宋体"/>
          <w:color w:val="auto"/>
          <w:sz w:val="24"/>
          <w:highlight w:val="none"/>
        </w:rPr>
      </w:pPr>
    </w:p>
    <w:p w14:paraId="18AB0187">
      <w:pPr>
        <w:rPr>
          <w:rFonts w:hint="eastAsia" w:ascii="宋体" w:hAnsi="宋体" w:cs="宋体"/>
          <w:color w:val="auto"/>
          <w:sz w:val="24"/>
          <w:highlight w:val="none"/>
        </w:rPr>
      </w:pPr>
    </w:p>
    <w:p w14:paraId="13164F83">
      <w:pPr>
        <w:pStyle w:val="2"/>
        <w:rPr>
          <w:rFonts w:hint="eastAsia" w:ascii="宋体" w:hAnsi="宋体" w:cs="宋体"/>
          <w:color w:val="auto"/>
          <w:sz w:val="24"/>
          <w:highlight w:val="none"/>
        </w:rPr>
      </w:pPr>
    </w:p>
    <w:p w14:paraId="751ADD7A">
      <w:pPr>
        <w:pStyle w:val="11"/>
        <w:rPr>
          <w:rFonts w:hint="eastAsia" w:ascii="宋体" w:hAnsi="宋体" w:cs="宋体"/>
          <w:color w:val="auto"/>
          <w:sz w:val="24"/>
          <w:highlight w:val="none"/>
        </w:rPr>
      </w:pPr>
    </w:p>
    <w:p w14:paraId="324CE25D">
      <w:pPr>
        <w:pStyle w:val="7"/>
        <w:spacing w:before="0" w:after="0"/>
        <w:ind w:firstLine="0" w:firstLineChars="0"/>
        <w:jc w:val="left"/>
        <w:rPr>
          <w:rFonts w:hint="eastAsia" w:ascii="宋体" w:hAnsi="宋体" w:eastAsia="宋体" w:cs="宋体"/>
          <w:b/>
          <w:bCs/>
          <w:sz w:val="24"/>
          <w:szCs w:val="24"/>
          <w:highlight w:val="none"/>
        </w:rPr>
      </w:pPr>
      <w:bookmarkStart w:id="625" w:name="_Toc14571"/>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 xml:space="preserve">    </w:t>
      </w:r>
      <w:r>
        <w:rPr>
          <w:rFonts w:hint="eastAsia" w:ascii="宋体" w:hAnsi="宋体" w:eastAsia="宋体" w:cs="宋体"/>
          <w:b/>
          <w:bCs/>
          <w:sz w:val="24"/>
          <w:szCs w:val="24"/>
          <w:highlight w:val="none"/>
        </w:rPr>
        <w:t>代理服务费支付承诺书</w:t>
      </w:r>
      <w:bookmarkEnd w:id="625"/>
    </w:p>
    <w:p w14:paraId="24C9BFD4">
      <w:pPr>
        <w:spacing w:line="360" w:lineRule="auto"/>
        <w:jc w:val="left"/>
        <w:rPr>
          <w:rFonts w:hint="eastAsia" w:ascii="宋体" w:hAnsi="宋体" w:eastAsia="宋体" w:cs="宋体"/>
          <w:sz w:val="28"/>
          <w:szCs w:val="28"/>
          <w:highlight w:val="none"/>
        </w:rPr>
      </w:pPr>
    </w:p>
    <w:p w14:paraId="6C02ED67">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浙江鼎峰工程咨询有限公司</w:t>
      </w:r>
      <w:r>
        <w:rPr>
          <w:rFonts w:hint="eastAsia" w:ascii="宋体" w:hAnsi="宋体" w:eastAsia="宋体" w:cs="宋体"/>
          <w:sz w:val="24"/>
          <w:szCs w:val="24"/>
          <w:highlight w:val="none"/>
        </w:rPr>
        <w:t>：</w:t>
      </w:r>
    </w:p>
    <w:p w14:paraId="7CDBEC0C">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如确定我公司为该项目成交人，我公司承诺在成交公告发布之日起5个工作日</w:t>
      </w:r>
      <w:r>
        <w:rPr>
          <w:rFonts w:hint="eastAsia" w:ascii="宋体" w:hAnsi="宋体" w:eastAsia="宋体" w:cs="宋体"/>
          <w:sz w:val="24"/>
          <w:szCs w:val="24"/>
          <w:highlight w:val="none"/>
          <w:lang w:eastAsia="zh-CN"/>
        </w:rPr>
        <w:t>内</w:t>
      </w:r>
      <w:r>
        <w:rPr>
          <w:rFonts w:hint="eastAsia" w:ascii="宋体" w:hAnsi="宋体" w:eastAsia="宋体" w:cs="宋体"/>
          <w:sz w:val="24"/>
          <w:szCs w:val="24"/>
          <w:highlight w:val="none"/>
        </w:rPr>
        <w:t>向贵公司按</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文件约定一次性支付代理服务费。逾期未支付的，贵公司有权就此事项向我公司提出赔偿，我公司</w:t>
      </w:r>
      <w:r>
        <w:rPr>
          <w:rFonts w:hint="eastAsia" w:ascii="宋体" w:hAnsi="宋体" w:eastAsia="宋体" w:cs="宋体"/>
          <w:sz w:val="24"/>
          <w:szCs w:val="24"/>
          <w:highlight w:val="none"/>
          <w:lang w:eastAsia="zh-CN"/>
        </w:rPr>
        <w:t>愿意</w:t>
      </w:r>
      <w:r>
        <w:rPr>
          <w:rFonts w:hint="eastAsia" w:ascii="宋体" w:hAnsi="宋体" w:eastAsia="宋体" w:cs="宋体"/>
          <w:sz w:val="24"/>
          <w:szCs w:val="24"/>
          <w:highlight w:val="none"/>
        </w:rPr>
        <w:t>承担由此产生的全部赔偿责任。</w:t>
      </w:r>
    </w:p>
    <w:p w14:paraId="395587DC">
      <w:pPr>
        <w:spacing w:line="360" w:lineRule="auto"/>
        <w:ind w:firstLine="480" w:firstLineChars="200"/>
        <w:jc w:val="left"/>
        <w:rPr>
          <w:rFonts w:hint="eastAsia" w:ascii="宋体" w:hAnsi="宋体" w:eastAsia="宋体" w:cs="宋体"/>
          <w:sz w:val="24"/>
          <w:szCs w:val="24"/>
          <w:highlight w:val="none"/>
        </w:rPr>
      </w:pPr>
    </w:p>
    <w:p w14:paraId="6B029C81">
      <w:pPr>
        <w:spacing w:line="360" w:lineRule="auto"/>
        <w:ind w:firstLine="480" w:firstLineChars="200"/>
        <w:jc w:val="left"/>
        <w:rPr>
          <w:rFonts w:hint="eastAsia" w:ascii="宋体" w:hAnsi="宋体" w:eastAsia="宋体" w:cs="宋体"/>
          <w:sz w:val="24"/>
          <w:szCs w:val="24"/>
          <w:highlight w:val="none"/>
        </w:rPr>
      </w:pPr>
    </w:p>
    <w:p w14:paraId="33BE94D1">
      <w:pPr>
        <w:spacing w:line="360" w:lineRule="auto"/>
        <w:ind w:firstLine="480" w:firstLineChars="200"/>
        <w:jc w:val="left"/>
        <w:rPr>
          <w:rFonts w:hint="eastAsia" w:ascii="宋体" w:hAnsi="宋体" w:eastAsia="宋体" w:cs="宋体"/>
          <w:sz w:val="24"/>
          <w:szCs w:val="24"/>
          <w:highlight w:val="none"/>
        </w:rPr>
      </w:pPr>
    </w:p>
    <w:p w14:paraId="377BEF93">
      <w:pPr>
        <w:spacing w:line="360" w:lineRule="auto"/>
        <w:ind w:firstLine="480" w:firstLineChars="200"/>
        <w:jc w:val="left"/>
        <w:rPr>
          <w:rFonts w:hint="eastAsia" w:ascii="宋体" w:hAnsi="宋体" w:eastAsia="宋体" w:cs="宋体"/>
          <w:sz w:val="24"/>
          <w:szCs w:val="24"/>
          <w:highlight w:val="none"/>
        </w:rPr>
      </w:pPr>
    </w:p>
    <w:p w14:paraId="5D3672E0">
      <w:pPr>
        <w:pStyle w:val="37"/>
        <w:wordWrap w:val="0"/>
        <w:spacing w:line="360" w:lineRule="auto"/>
        <w:ind w:firstLine="480"/>
        <w:jc w:val="right"/>
        <w:rPr>
          <w:rFonts w:hint="eastAsia" w:ascii="宋体" w:hAnsi="宋体" w:eastAsia="宋体" w:cs="宋体"/>
          <w:sz w:val="24"/>
          <w:szCs w:val="21"/>
          <w:highlight w:val="none"/>
          <w:u w:val="single"/>
        </w:rPr>
      </w:pPr>
      <w:r>
        <w:rPr>
          <w:rFonts w:hint="eastAsia" w:ascii="宋体" w:hAnsi="宋体" w:eastAsia="宋体" w:cs="宋体"/>
          <w:sz w:val="24"/>
          <w:szCs w:val="21"/>
          <w:highlight w:val="none"/>
          <w:lang w:eastAsia="zh-CN"/>
        </w:rPr>
        <w:t>投标人</w:t>
      </w:r>
      <w:r>
        <w:rPr>
          <w:rFonts w:hint="eastAsia" w:ascii="宋体" w:hAnsi="宋体" w:eastAsia="宋体" w:cs="宋体"/>
          <w:sz w:val="24"/>
          <w:szCs w:val="21"/>
          <w:highlight w:val="none"/>
        </w:rPr>
        <w:t>盖章：</w:t>
      </w:r>
      <w:r>
        <w:rPr>
          <w:rFonts w:hint="eastAsia" w:ascii="宋体" w:hAnsi="宋体" w:eastAsia="宋体" w:cs="宋体"/>
          <w:sz w:val="24"/>
          <w:szCs w:val="21"/>
          <w:highlight w:val="none"/>
          <w:u w:val="single"/>
        </w:rPr>
        <w:t xml:space="preserve">               </w:t>
      </w:r>
    </w:p>
    <w:p w14:paraId="7512B998">
      <w:pPr>
        <w:pStyle w:val="37"/>
        <w:wordWrap w:val="0"/>
        <w:spacing w:line="360" w:lineRule="auto"/>
        <w:ind w:firstLine="480"/>
        <w:jc w:val="right"/>
        <w:rPr>
          <w:rFonts w:hint="eastAsia" w:ascii="宋体" w:hAnsi="宋体" w:eastAsia="宋体" w:cs="宋体"/>
          <w:sz w:val="24"/>
          <w:szCs w:val="21"/>
          <w:highlight w:val="none"/>
          <w:u w:val="single"/>
        </w:rPr>
      </w:pPr>
      <w:r>
        <w:rPr>
          <w:rFonts w:hint="eastAsia" w:ascii="宋体" w:hAnsi="宋体" w:eastAsia="宋体" w:cs="宋体"/>
          <w:sz w:val="24"/>
          <w:szCs w:val="21"/>
          <w:highlight w:val="none"/>
        </w:rPr>
        <w:t>日      期：</w:t>
      </w:r>
      <w:r>
        <w:rPr>
          <w:rFonts w:hint="eastAsia" w:ascii="宋体" w:hAnsi="宋体" w:eastAsia="宋体" w:cs="宋体"/>
          <w:sz w:val="24"/>
          <w:szCs w:val="21"/>
          <w:highlight w:val="none"/>
          <w:u w:val="single"/>
        </w:rPr>
        <w:t xml:space="preserve">               </w:t>
      </w:r>
    </w:p>
    <w:p w14:paraId="5C7FE571">
      <w:pPr>
        <w:spacing w:line="360" w:lineRule="auto"/>
        <w:ind w:firstLine="480" w:firstLineChars="200"/>
        <w:jc w:val="left"/>
        <w:rPr>
          <w:rFonts w:hint="eastAsia" w:ascii="宋体" w:hAnsi="宋体" w:eastAsia="宋体" w:cs="宋体"/>
          <w:sz w:val="24"/>
          <w:szCs w:val="24"/>
          <w:highlight w:val="none"/>
        </w:rPr>
      </w:pPr>
    </w:p>
    <w:p w14:paraId="795797E1">
      <w:pPr>
        <w:spacing w:line="360" w:lineRule="auto"/>
        <w:jc w:val="left"/>
        <w:rPr>
          <w:rFonts w:hint="eastAsia" w:ascii="宋体" w:hAnsi="宋体" w:eastAsia="宋体" w:cs="宋体"/>
          <w:sz w:val="24"/>
          <w:szCs w:val="24"/>
          <w:highlight w:val="none"/>
        </w:rPr>
      </w:pPr>
    </w:p>
    <w:p w14:paraId="117A5725">
      <w:pPr>
        <w:spacing w:line="360" w:lineRule="auto"/>
        <w:jc w:val="left"/>
        <w:rPr>
          <w:rFonts w:hint="eastAsia" w:ascii="宋体" w:hAnsi="宋体" w:eastAsia="宋体" w:cs="宋体"/>
          <w:b/>
          <w:sz w:val="24"/>
          <w:szCs w:val="24"/>
          <w:highlight w:val="none"/>
        </w:rPr>
      </w:pPr>
    </w:p>
    <w:p w14:paraId="5004CF11">
      <w:pPr>
        <w:spacing w:line="360" w:lineRule="auto"/>
        <w:jc w:val="left"/>
        <w:rPr>
          <w:rFonts w:hint="eastAsia" w:ascii="宋体" w:hAnsi="宋体" w:eastAsia="宋体" w:cs="宋体"/>
          <w:b/>
          <w:sz w:val="24"/>
          <w:szCs w:val="24"/>
          <w:highlight w:val="none"/>
        </w:rPr>
      </w:pPr>
    </w:p>
    <w:p w14:paraId="098D42B4">
      <w:pPr>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w:t>
      </w:r>
    </w:p>
    <w:p w14:paraId="17B168A8">
      <w:pPr>
        <w:spacing w:line="360" w:lineRule="auto"/>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代理服务费</w:t>
      </w:r>
      <w:r>
        <w:rPr>
          <w:rFonts w:hint="eastAsia" w:ascii="宋体" w:hAnsi="宋体" w:eastAsia="宋体" w:cs="宋体"/>
          <w:sz w:val="24"/>
          <w:szCs w:val="24"/>
          <w:highlight w:val="none"/>
          <w:lang w:val="en-US" w:eastAsia="zh-CN"/>
        </w:rPr>
        <w:t>收款</w:t>
      </w:r>
      <w:r>
        <w:rPr>
          <w:rFonts w:hint="eastAsia" w:ascii="宋体" w:hAnsi="宋体" w:eastAsia="宋体" w:cs="宋体"/>
          <w:sz w:val="24"/>
          <w:szCs w:val="24"/>
          <w:highlight w:val="none"/>
        </w:rPr>
        <w:t>账户信息</w:t>
      </w:r>
      <w:r>
        <w:rPr>
          <w:rFonts w:hint="eastAsia" w:ascii="宋体" w:hAnsi="宋体" w:eastAsia="宋体" w:cs="宋体"/>
          <w:sz w:val="24"/>
          <w:szCs w:val="24"/>
          <w:highlight w:val="none"/>
          <w:lang w:eastAsia="zh-CN"/>
        </w:rPr>
        <w:t>：</w:t>
      </w:r>
    </w:p>
    <w:p w14:paraId="1CB75942">
      <w:pPr>
        <w:spacing w:line="360" w:lineRule="auto"/>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户名：</w:t>
      </w:r>
      <w:r>
        <w:rPr>
          <w:rFonts w:hint="eastAsia" w:ascii="宋体" w:hAnsi="宋体" w:eastAsia="宋体" w:cs="宋体"/>
          <w:sz w:val="24"/>
          <w:szCs w:val="24"/>
          <w:highlight w:val="none"/>
          <w:lang w:eastAsia="zh-CN"/>
        </w:rPr>
        <w:t>浙江鼎峰工程咨询有限公司丽水分公司</w:t>
      </w:r>
    </w:p>
    <w:p w14:paraId="7C7EB15A">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账号：201000096498297</w:t>
      </w:r>
    </w:p>
    <w:p w14:paraId="3D2BED5A">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开户行：浙江丽水莲都农村商业银行股份有限公司营业部</w:t>
      </w:r>
    </w:p>
    <w:p w14:paraId="2F63D9F7">
      <w:pPr>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财务电话：0578-2531111</w:t>
      </w:r>
    </w:p>
    <w:p w14:paraId="64BD647E">
      <w:pPr>
        <w:pStyle w:val="7"/>
        <w:spacing w:before="0" w:after="0"/>
        <w:ind w:firstLine="0" w:firstLineChars="0"/>
        <w:jc w:val="left"/>
        <w:rPr>
          <w:rFonts w:hint="eastAsia" w:ascii="仿宋_GB2312" w:hAnsi="仿宋_GB2312" w:eastAsia="仿宋_GB2312" w:cs="仿宋_GB2312"/>
          <w:sz w:val="24"/>
          <w:szCs w:val="24"/>
          <w:highlight w:val="none"/>
        </w:rPr>
      </w:pPr>
      <w:bookmarkStart w:id="626" w:name="_Toc28834"/>
    </w:p>
    <w:p w14:paraId="08CC1A31">
      <w:pPr>
        <w:pStyle w:val="7"/>
        <w:spacing w:before="0" w:after="0"/>
        <w:ind w:firstLine="0" w:firstLineChars="0"/>
        <w:jc w:val="left"/>
        <w:rPr>
          <w:rFonts w:hint="eastAsia" w:ascii="仿宋_GB2312" w:hAnsi="仿宋_GB2312" w:eastAsia="仿宋_GB2312" w:cs="仿宋_GB2312"/>
          <w:sz w:val="24"/>
          <w:szCs w:val="24"/>
          <w:highlight w:val="none"/>
        </w:rPr>
      </w:pPr>
    </w:p>
    <w:p w14:paraId="4DC9F964">
      <w:pPr>
        <w:pStyle w:val="8"/>
        <w:rPr>
          <w:rFonts w:hint="eastAsia" w:ascii="仿宋_GB2312" w:hAnsi="仿宋_GB2312" w:eastAsia="仿宋_GB2312" w:cs="仿宋_GB2312"/>
          <w:sz w:val="24"/>
          <w:szCs w:val="24"/>
          <w:highlight w:val="none"/>
        </w:rPr>
      </w:pPr>
    </w:p>
    <w:p w14:paraId="3802F06A">
      <w:pPr>
        <w:pStyle w:val="8"/>
        <w:rPr>
          <w:rFonts w:hint="eastAsia" w:ascii="仿宋_GB2312" w:hAnsi="仿宋_GB2312" w:eastAsia="仿宋_GB2312" w:cs="仿宋_GB2312"/>
          <w:sz w:val="24"/>
          <w:szCs w:val="24"/>
          <w:highlight w:val="none"/>
        </w:rPr>
      </w:pPr>
    </w:p>
    <w:p w14:paraId="7AB1B045">
      <w:pPr>
        <w:pStyle w:val="8"/>
        <w:rPr>
          <w:rFonts w:hint="eastAsia" w:ascii="仿宋_GB2312" w:hAnsi="仿宋_GB2312" w:eastAsia="仿宋_GB2312" w:cs="仿宋_GB2312"/>
          <w:sz w:val="24"/>
          <w:szCs w:val="24"/>
          <w:highlight w:val="none"/>
        </w:rPr>
      </w:pPr>
    </w:p>
    <w:p w14:paraId="23574A88">
      <w:pPr>
        <w:pStyle w:val="8"/>
        <w:rPr>
          <w:rFonts w:hint="eastAsia" w:ascii="仿宋_GB2312" w:hAnsi="仿宋_GB2312" w:eastAsia="仿宋_GB2312" w:cs="仿宋_GB2312"/>
          <w:sz w:val="24"/>
          <w:szCs w:val="24"/>
          <w:highlight w:val="none"/>
        </w:rPr>
      </w:pPr>
    </w:p>
    <w:p w14:paraId="345F5EC2">
      <w:pPr>
        <w:pStyle w:val="8"/>
        <w:rPr>
          <w:rFonts w:hint="eastAsia" w:ascii="仿宋_GB2312" w:hAnsi="仿宋_GB2312" w:eastAsia="仿宋_GB2312" w:cs="仿宋_GB2312"/>
          <w:sz w:val="24"/>
          <w:szCs w:val="24"/>
          <w:highlight w:val="none"/>
        </w:rPr>
      </w:pPr>
    </w:p>
    <w:p w14:paraId="51377437">
      <w:pPr>
        <w:pStyle w:val="8"/>
        <w:rPr>
          <w:rFonts w:hint="eastAsia" w:ascii="仿宋_GB2312" w:hAnsi="仿宋_GB2312" w:eastAsia="仿宋_GB2312" w:cs="仿宋_GB2312"/>
          <w:sz w:val="24"/>
          <w:szCs w:val="24"/>
          <w:highlight w:val="none"/>
        </w:rPr>
      </w:pPr>
    </w:p>
    <w:p w14:paraId="0FB7670D">
      <w:pPr>
        <w:pStyle w:val="8"/>
        <w:rPr>
          <w:rFonts w:hint="eastAsia" w:ascii="仿宋_GB2312" w:hAnsi="仿宋_GB2312" w:eastAsia="仿宋_GB2312" w:cs="仿宋_GB2312"/>
          <w:sz w:val="24"/>
          <w:szCs w:val="24"/>
          <w:highlight w:val="none"/>
        </w:rPr>
      </w:pPr>
    </w:p>
    <w:p w14:paraId="22125568">
      <w:pPr>
        <w:pStyle w:val="8"/>
        <w:rPr>
          <w:rFonts w:hint="eastAsia" w:ascii="仿宋_GB2312" w:hAnsi="仿宋_GB2312" w:eastAsia="仿宋_GB2312" w:cs="仿宋_GB2312"/>
          <w:sz w:val="24"/>
          <w:szCs w:val="24"/>
          <w:highlight w:val="none"/>
        </w:rPr>
      </w:pPr>
    </w:p>
    <w:bookmarkEnd w:id="626"/>
    <w:p w14:paraId="146F011D">
      <w:pPr>
        <w:pStyle w:val="32"/>
        <w:rPr>
          <w:highlight w:val="none"/>
        </w:rPr>
        <w:sectPr>
          <w:headerReference r:id="rId16" w:type="first"/>
          <w:footerReference r:id="rId18" w:type="first"/>
          <w:headerReference r:id="rId15" w:type="default"/>
          <w:footerReference r:id="rId17"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4D04EB74">
      <w:pPr>
        <w:pStyle w:val="7"/>
        <w:spacing w:before="0" w:after="0"/>
        <w:ind w:firstLine="0" w:firstLineChars="0"/>
        <w:jc w:val="left"/>
        <w:rPr>
          <w:rFonts w:ascii="宋体" w:hAnsi="宋体" w:eastAsia="宋体" w:cs="宋体"/>
          <w:color w:val="auto"/>
          <w:sz w:val="24"/>
          <w:szCs w:val="24"/>
          <w:highlight w:val="none"/>
        </w:rPr>
      </w:pPr>
      <w:bookmarkStart w:id="627" w:name="_Toc27788"/>
      <w:bookmarkStart w:id="628" w:name="_Toc50"/>
      <w:bookmarkStart w:id="629" w:name="_Toc531359059"/>
      <w:bookmarkStart w:id="630" w:name="_Toc24180"/>
      <w:bookmarkStart w:id="631" w:name="_Toc28632"/>
      <w:bookmarkStart w:id="632" w:name="_Toc13442"/>
      <w:bookmarkStart w:id="633" w:name="_Toc530551888"/>
      <w:bookmarkStart w:id="634" w:name="_Toc97213040"/>
      <w:bookmarkStart w:id="635" w:name="_Toc493956064"/>
      <w:bookmarkStart w:id="636" w:name="_Toc493956063"/>
      <w:bookmarkStart w:id="637" w:name="_Toc530551887"/>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符合性审查资料</w:t>
      </w:r>
      <w:bookmarkEnd w:id="627"/>
    </w:p>
    <w:p w14:paraId="6CD2DD62">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符合性审查表</w:t>
      </w:r>
    </w:p>
    <w:p w14:paraId="7101FE62">
      <w:pPr>
        <w:rPr>
          <w:rFonts w:ascii="宋体" w:hAnsi="宋体" w:cs="宋体"/>
          <w:color w:val="auto"/>
          <w:highlight w:val="none"/>
        </w:rPr>
      </w:pPr>
    </w:p>
    <w:tbl>
      <w:tblPr>
        <w:tblStyle w:val="24"/>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4688"/>
        <w:gridCol w:w="2263"/>
        <w:gridCol w:w="1465"/>
      </w:tblGrid>
      <w:tr w14:paraId="7B98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607" w:type="dxa"/>
            <w:vAlign w:val="center"/>
          </w:tcPr>
          <w:p w14:paraId="52B876EA">
            <w:pPr>
              <w:snapToGrid w:val="0"/>
              <w:spacing w:line="240" w:lineRule="atLeast"/>
              <w:jc w:val="center"/>
              <w:rPr>
                <w:rFonts w:ascii="宋体" w:hAnsi="宋体" w:cs="宋体"/>
                <w:b/>
                <w:color w:val="auto"/>
                <w:sz w:val="24"/>
                <w:szCs w:val="24"/>
                <w:highlight w:val="none"/>
              </w:rPr>
            </w:pPr>
            <w:r>
              <w:rPr>
                <w:rFonts w:hint="eastAsia" w:ascii="宋体" w:hAnsi="宋体" w:cs="宋体"/>
                <w:b/>
                <w:color w:val="auto"/>
                <w:sz w:val="24"/>
                <w:szCs w:val="24"/>
                <w:highlight w:val="none"/>
              </w:rPr>
              <w:t>序号</w:t>
            </w:r>
          </w:p>
        </w:tc>
        <w:tc>
          <w:tcPr>
            <w:tcW w:w="4688" w:type="dxa"/>
            <w:vAlign w:val="center"/>
          </w:tcPr>
          <w:p w14:paraId="4F51C0DC">
            <w:pPr>
              <w:snapToGrid w:val="0"/>
              <w:spacing w:line="240" w:lineRule="atLeast"/>
              <w:jc w:val="center"/>
              <w:rPr>
                <w:rFonts w:ascii="宋体" w:hAnsi="宋体" w:cs="宋体"/>
                <w:b/>
                <w:color w:val="auto"/>
                <w:sz w:val="24"/>
                <w:szCs w:val="24"/>
                <w:highlight w:val="none"/>
              </w:rPr>
            </w:pPr>
            <w:r>
              <w:rPr>
                <w:rFonts w:hint="eastAsia" w:ascii="宋体" w:hAnsi="宋体" w:cs="宋体"/>
                <w:b/>
                <w:color w:val="auto"/>
                <w:sz w:val="24"/>
                <w:szCs w:val="24"/>
                <w:highlight w:val="none"/>
              </w:rPr>
              <w:t>实质性要求</w:t>
            </w:r>
          </w:p>
        </w:tc>
        <w:tc>
          <w:tcPr>
            <w:tcW w:w="2263" w:type="dxa"/>
            <w:vAlign w:val="center"/>
          </w:tcPr>
          <w:p w14:paraId="07F923E4">
            <w:pPr>
              <w:snapToGrid w:val="0"/>
              <w:spacing w:line="240" w:lineRule="atLeast"/>
              <w:jc w:val="center"/>
              <w:rPr>
                <w:rFonts w:ascii="宋体" w:hAnsi="宋体" w:cs="宋体"/>
                <w:b/>
                <w:color w:val="auto"/>
                <w:sz w:val="24"/>
                <w:szCs w:val="24"/>
                <w:highlight w:val="none"/>
              </w:rPr>
            </w:pPr>
            <w:r>
              <w:rPr>
                <w:rFonts w:hint="eastAsia" w:ascii="宋体" w:hAnsi="宋体" w:cs="宋体"/>
                <w:b/>
                <w:color w:val="auto"/>
                <w:sz w:val="24"/>
                <w:szCs w:val="24"/>
                <w:highlight w:val="none"/>
              </w:rPr>
              <w:t>需要提供的符合性审查资料</w:t>
            </w:r>
          </w:p>
        </w:tc>
        <w:tc>
          <w:tcPr>
            <w:tcW w:w="1465" w:type="dxa"/>
            <w:vAlign w:val="center"/>
          </w:tcPr>
          <w:p w14:paraId="231F9608">
            <w:pPr>
              <w:snapToGrid w:val="0"/>
              <w:spacing w:line="240" w:lineRule="atLeast"/>
              <w:jc w:val="center"/>
              <w:rPr>
                <w:rFonts w:ascii="宋体" w:hAnsi="宋体" w:cs="宋体"/>
                <w:b/>
                <w:color w:val="auto"/>
                <w:sz w:val="24"/>
                <w:szCs w:val="24"/>
                <w:highlight w:val="none"/>
              </w:rPr>
            </w:pPr>
            <w:r>
              <w:rPr>
                <w:rFonts w:hint="eastAsia" w:ascii="宋体" w:hAnsi="宋体" w:cs="宋体"/>
                <w:b/>
                <w:color w:val="auto"/>
                <w:sz w:val="24"/>
                <w:szCs w:val="24"/>
                <w:highlight w:val="none"/>
              </w:rPr>
              <w:t>投标文件中的</w:t>
            </w:r>
          </w:p>
          <w:p w14:paraId="6E2562CF">
            <w:pPr>
              <w:snapToGrid w:val="0"/>
              <w:spacing w:line="240" w:lineRule="atLeast"/>
              <w:jc w:val="center"/>
              <w:rPr>
                <w:rFonts w:ascii="宋体" w:hAnsi="宋体" w:cs="宋体"/>
                <w:b/>
                <w:color w:val="auto"/>
                <w:sz w:val="24"/>
                <w:szCs w:val="24"/>
                <w:highlight w:val="none"/>
              </w:rPr>
            </w:pPr>
            <w:r>
              <w:rPr>
                <w:rFonts w:hint="eastAsia" w:ascii="宋体" w:hAnsi="宋体" w:cs="宋体"/>
                <w:b/>
                <w:color w:val="auto"/>
                <w:sz w:val="24"/>
                <w:szCs w:val="24"/>
                <w:highlight w:val="none"/>
              </w:rPr>
              <w:t>页码位置</w:t>
            </w:r>
          </w:p>
        </w:tc>
      </w:tr>
      <w:tr w14:paraId="781B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607" w:type="dxa"/>
            <w:vAlign w:val="center"/>
          </w:tcPr>
          <w:p w14:paraId="0A036071">
            <w:pPr>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4688" w:type="dxa"/>
          </w:tcPr>
          <w:p w14:paraId="6B20DE60">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投标文件按照招标文件要求签署、盖章。</w:t>
            </w:r>
          </w:p>
        </w:tc>
        <w:tc>
          <w:tcPr>
            <w:tcW w:w="2263" w:type="dxa"/>
            <w:vAlign w:val="center"/>
          </w:tcPr>
          <w:p w14:paraId="66FD6ABF">
            <w:pPr>
              <w:rPr>
                <w:rFonts w:ascii="宋体" w:hAnsi="宋体" w:cs="宋体"/>
                <w:color w:val="auto"/>
                <w:sz w:val="24"/>
                <w:szCs w:val="24"/>
                <w:highlight w:val="none"/>
              </w:rPr>
            </w:pPr>
            <w:r>
              <w:rPr>
                <w:rFonts w:hint="eastAsia" w:ascii="宋体" w:hAnsi="宋体" w:cs="宋体"/>
                <w:color w:val="auto"/>
                <w:sz w:val="24"/>
                <w:szCs w:val="24"/>
                <w:highlight w:val="none"/>
              </w:rPr>
              <w:t>需要使用电子签名或者签字盖章的投标文件的组成部分</w:t>
            </w:r>
          </w:p>
        </w:tc>
        <w:tc>
          <w:tcPr>
            <w:tcW w:w="1465" w:type="dxa"/>
          </w:tcPr>
          <w:p w14:paraId="31FD598E">
            <w:pPr>
              <w:rPr>
                <w:rFonts w:ascii="宋体" w:hAnsi="宋体" w:cs="宋体"/>
                <w:color w:val="auto"/>
                <w:sz w:val="24"/>
                <w:szCs w:val="24"/>
                <w:highlight w:val="none"/>
              </w:rPr>
            </w:pPr>
          </w:p>
          <w:p w14:paraId="769DCC1D">
            <w:pPr>
              <w:rPr>
                <w:rFonts w:ascii="宋体" w:hAnsi="宋体" w:cs="宋体"/>
                <w:color w:val="auto"/>
                <w:sz w:val="24"/>
                <w:szCs w:val="24"/>
                <w:highlight w:val="none"/>
              </w:rPr>
            </w:pPr>
            <w:r>
              <w:rPr>
                <w:rFonts w:hint="eastAsia" w:ascii="宋体" w:hAnsi="宋体" w:cs="宋体"/>
                <w:color w:val="auto"/>
                <w:sz w:val="24"/>
                <w:szCs w:val="24"/>
                <w:highlight w:val="none"/>
              </w:rPr>
              <w:t>投标文件</w:t>
            </w:r>
          </w:p>
          <w:p w14:paraId="2346E854">
            <w:pPr>
              <w:rPr>
                <w:rFonts w:ascii="宋体" w:hAnsi="宋体" w:cs="宋体"/>
                <w:color w:val="auto"/>
                <w:sz w:val="24"/>
                <w:szCs w:val="24"/>
                <w:highlight w:val="none"/>
              </w:rPr>
            </w:pPr>
          </w:p>
        </w:tc>
      </w:tr>
      <w:tr w14:paraId="2B33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607" w:type="dxa"/>
            <w:vAlign w:val="center"/>
          </w:tcPr>
          <w:p w14:paraId="614B6CCE">
            <w:pPr>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4688" w:type="dxa"/>
          </w:tcPr>
          <w:p w14:paraId="406858A7">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投标文件中承诺的投标有效期不少于招标文件中载明的投标有效期。</w:t>
            </w:r>
          </w:p>
        </w:tc>
        <w:tc>
          <w:tcPr>
            <w:tcW w:w="2263" w:type="dxa"/>
            <w:vAlign w:val="center"/>
          </w:tcPr>
          <w:p w14:paraId="1F5E64E5">
            <w:pPr>
              <w:rPr>
                <w:rFonts w:ascii="宋体" w:hAnsi="宋体" w:cs="宋体"/>
                <w:color w:val="auto"/>
                <w:sz w:val="24"/>
                <w:szCs w:val="24"/>
                <w:highlight w:val="none"/>
              </w:rPr>
            </w:pPr>
            <w:r>
              <w:rPr>
                <w:rFonts w:hint="eastAsia" w:ascii="宋体" w:hAnsi="宋体" w:cs="宋体"/>
                <w:color w:val="auto"/>
                <w:sz w:val="24"/>
                <w:szCs w:val="24"/>
                <w:highlight w:val="none"/>
              </w:rPr>
              <w:t>投标函</w:t>
            </w:r>
          </w:p>
        </w:tc>
        <w:tc>
          <w:tcPr>
            <w:tcW w:w="1465" w:type="dxa"/>
          </w:tcPr>
          <w:p w14:paraId="2734C7BE">
            <w:pPr>
              <w:rPr>
                <w:rFonts w:ascii="宋体" w:hAnsi="宋体" w:cs="宋体"/>
                <w:color w:val="auto"/>
                <w:sz w:val="24"/>
                <w:szCs w:val="24"/>
                <w:highlight w:val="none"/>
              </w:rPr>
            </w:pPr>
            <w:r>
              <w:rPr>
                <w:rFonts w:hint="eastAsia" w:ascii="宋体" w:hAnsi="宋体" w:cs="宋体"/>
                <w:color w:val="auto"/>
                <w:sz w:val="24"/>
                <w:szCs w:val="24"/>
                <w:highlight w:val="none"/>
              </w:rPr>
              <w:t>见投标文件第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页</w:t>
            </w:r>
          </w:p>
        </w:tc>
      </w:tr>
      <w:tr w14:paraId="232D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607" w:type="dxa"/>
            <w:vAlign w:val="center"/>
          </w:tcPr>
          <w:p w14:paraId="2C9BE581">
            <w:pPr>
              <w:jc w:val="center"/>
              <w:rPr>
                <w:rFonts w:ascii="宋体" w:hAnsi="宋体" w:cs="宋体"/>
                <w:color w:val="auto"/>
                <w:sz w:val="24"/>
                <w:szCs w:val="24"/>
                <w:highlight w:val="none"/>
              </w:rPr>
            </w:pPr>
            <w:r>
              <w:rPr>
                <w:rFonts w:hint="eastAsia" w:ascii="宋体" w:hAnsi="宋体" w:cs="宋体"/>
                <w:color w:val="auto"/>
                <w:sz w:val="24"/>
                <w:szCs w:val="24"/>
                <w:highlight w:val="none"/>
              </w:rPr>
              <w:t>3</w:t>
            </w:r>
          </w:p>
        </w:tc>
        <w:tc>
          <w:tcPr>
            <w:tcW w:w="4688" w:type="dxa"/>
          </w:tcPr>
          <w:p w14:paraId="0B872839">
            <w:pPr>
              <w:spacing w:line="360" w:lineRule="auto"/>
              <w:rPr>
                <w:rFonts w:ascii="宋体" w:hAnsi="宋体" w:cs="宋体"/>
                <w:color w:val="auto"/>
                <w:sz w:val="24"/>
                <w:szCs w:val="24"/>
                <w:highlight w:val="none"/>
              </w:rPr>
            </w:pPr>
          </w:p>
          <w:p w14:paraId="1C06EA53">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投标文件中针对“▲”的响应</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如有</w:t>
            </w:r>
            <w:r>
              <w:rPr>
                <w:rFonts w:hint="eastAsia" w:ascii="宋体" w:hAnsi="宋体" w:cs="宋体"/>
                <w:color w:val="auto"/>
                <w:sz w:val="24"/>
                <w:szCs w:val="24"/>
                <w:highlight w:val="none"/>
                <w:lang w:eastAsia="zh-CN"/>
              </w:rPr>
              <w:t>）</w:t>
            </w:r>
          </w:p>
        </w:tc>
        <w:tc>
          <w:tcPr>
            <w:tcW w:w="2263" w:type="dxa"/>
            <w:vAlign w:val="center"/>
          </w:tcPr>
          <w:p w14:paraId="78E1E9CC">
            <w:pP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商务</w:t>
            </w:r>
            <w:r>
              <w:rPr>
                <w:rFonts w:hint="eastAsia" w:ascii="宋体" w:hAnsi="宋体" w:cs="宋体"/>
                <w:color w:val="auto"/>
                <w:sz w:val="24"/>
                <w:szCs w:val="24"/>
                <w:highlight w:val="none"/>
              </w:rPr>
              <w:t>技术偏离表</w:t>
            </w:r>
          </w:p>
        </w:tc>
        <w:tc>
          <w:tcPr>
            <w:tcW w:w="1465" w:type="dxa"/>
          </w:tcPr>
          <w:p w14:paraId="023C40BB">
            <w:pPr>
              <w:rPr>
                <w:rFonts w:ascii="宋体" w:hAnsi="宋体" w:cs="宋体"/>
                <w:color w:val="auto"/>
                <w:sz w:val="24"/>
                <w:szCs w:val="24"/>
                <w:highlight w:val="none"/>
              </w:rPr>
            </w:pPr>
            <w:r>
              <w:rPr>
                <w:rFonts w:hint="eastAsia" w:ascii="宋体" w:hAnsi="宋体" w:cs="宋体"/>
                <w:color w:val="auto"/>
                <w:sz w:val="24"/>
                <w:szCs w:val="24"/>
                <w:highlight w:val="none"/>
              </w:rPr>
              <w:t>见投标文件第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页</w:t>
            </w:r>
          </w:p>
        </w:tc>
      </w:tr>
    </w:tbl>
    <w:p w14:paraId="23339A68">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注：按本格式和要求提供，行数不足</w:t>
      </w:r>
      <w:r>
        <w:rPr>
          <w:rFonts w:hint="eastAsia" w:ascii="宋体" w:hAnsi="宋体" w:cs="宋体"/>
          <w:color w:val="auto"/>
          <w:sz w:val="24"/>
          <w:highlight w:val="none"/>
          <w:lang w:eastAsia="zh-CN"/>
        </w:rPr>
        <w:t>可添加</w:t>
      </w:r>
      <w:r>
        <w:rPr>
          <w:rFonts w:hint="eastAsia" w:ascii="宋体" w:hAnsi="宋体" w:cs="宋体"/>
          <w:color w:val="auto"/>
          <w:sz w:val="24"/>
          <w:highlight w:val="none"/>
        </w:rPr>
        <w:t>。</w:t>
      </w:r>
    </w:p>
    <w:p w14:paraId="64EE11F7">
      <w:pPr>
        <w:pStyle w:val="37"/>
        <w:wordWrap w:val="0"/>
        <w:spacing w:line="360" w:lineRule="auto"/>
        <w:ind w:firstLine="480"/>
        <w:jc w:val="right"/>
        <w:rPr>
          <w:rFonts w:ascii="宋体" w:hAnsi="宋体" w:cs="宋体"/>
          <w:color w:val="auto"/>
          <w:sz w:val="24"/>
          <w:szCs w:val="21"/>
          <w:highlight w:val="none"/>
        </w:rPr>
      </w:pPr>
    </w:p>
    <w:p w14:paraId="0AE3AB21">
      <w:pPr>
        <w:pStyle w:val="37"/>
        <w:wordWrap w:val="0"/>
        <w:spacing w:line="360" w:lineRule="auto"/>
        <w:ind w:firstLine="480"/>
        <w:jc w:val="right"/>
        <w:rPr>
          <w:rFonts w:ascii="宋体" w:hAnsi="宋体" w:cs="宋体"/>
          <w:color w:val="auto"/>
          <w:sz w:val="24"/>
          <w:szCs w:val="21"/>
          <w:highlight w:val="none"/>
        </w:rPr>
      </w:pPr>
    </w:p>
    <w:p w14:paraId="170A0213">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投标人盖章：</w:t>
      </w:r>
      <w:r>
        <w:rPr>
          <w:rFonts w:hint="eastAsia" w:ascii="宋体" w:hAnsi="宋体" w:cs="宋体"/>
          <w:color w:val="auto"/>
          <w:sz w:val="24"/>
          <w:szCs w:val="21"/>
          <w:highlight w:val="none"/>
          <w:u w:val="single"/>
        </w:rPr>
        <w:t xml:space="preserve">                </w:t>
      </w:r>
    </w:p>
    <w:p w14:paraId="1192664E">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日      期：</w:t>
      </w:r>
      <w:r>
        <w:rPr>
          <w:rFonts w:hint="eastAsia" w:ascii="宋体" w:hAnsi="宋体" w:cs="宋体"/>
          <w:color w:val="auto"/>
          <w:sz w:val="24"/>
          <w:szCs w:val="21"/>
          <w:highlight w:val="none"/>
          <w:u w:val="single"/>
        </w:rPr>
        <w:t xml:space="preserve">                </w:t>
      </w:r>
    </w:p>
    <w:p w14:paraId="5891CEFE">
      <w:pPr>
        <w:snapToGrid w:val="0"/>
        <w:spacing w:before="120" w:beforeLines="50"/>
        <w:rPr>
          <w:rFonts w:ascii="宋体" w:hAnsi="宋体" w:cs="宋体"/>
          <w:color w:val="auto"/>
          <w:sz w:val="30"/>
          <w:szCs w:val="30"/>
          <w:highlight w:val="none"/>
        </w:rPr>
      </w:pPr>
    </w:p>
    <w:p w14:paraId="762993DA">
      <w:pPr>
        <w:snapToGrid w:val="0"/>
        <w:spacing w:before="120" w:beforeLines="50"/>
        <w:rPr>
          <w:rFonts w:ascii="宋体" w:hAnsi="宋体" w:cs="宋体"/>
          <w:color w:val="auto"/>
          <w:sz w:val="30"/>
          <w:szCs w:val="30"/>
          <w:highlight w:val="none"/>
        </w:rPr>
      </w:pPr>
    </w:p>
    <w:p w14:paraId="6EBB4719">
      <w:pPr>
        <w:pStyle w:val="6"/>
        <w:rPr>
          <w:rFonts w:ascii="宋体" w:hAnsi="宋体" w:cs="宋体"/>
          <w:color w:val="auto"/>
          <w:sz w:val="30"/>
          <w:szCs w:val="30"/>
          <w:highlight w:val="none"/>
        </w:rPr>
      </w:pPr>
    </w:p>
    <w:p w14:paraId="1DA72F7E">
      <w:pPr>
        <w:rPr>
          <w:rFonts w:ascii="宋体" w:hAnsi="宋体" w:cs="宋体"/>
          <w:color w:val="auto"/>
          <w:sz w:val="30"/>
          <w:szCs w:val="30"/>
          <w:highlight w:val="none"/>
        </w:rPr>
      </w:pPr>
    </w:p>
    <w:p w14:paraId="14B92001">
      <w:pPr>
        <w:pStyle w:val="6"/>
        <w:rPr>
          <w:rFonts w:ascii="宋体" w:hAnsi="宋体" w:cs="宋体"/>
          <w:color w:val="auto"/>
          <w:sz w:val="30"/>
          <w:szCs w:val="30"/>
          <w:highlight w:val="none"/>
        </w:rPr>
      </w:pPr>
    </w:p>
    <w:p w14:paraId="41F3B379">
      <w:pPr>
        <w:rPr>
          <w:rFonts w:ascii="宋体" w:hAnsi="宋体" w:cs="宋体"/>
          <w:color w:val="auto"/>
          <w:sz w:val="30"/>
          <w:szCs w:val="30"/>
          <w:highlight w:val="none"/>
        </w:rPr>
      </w:pPr>
    </w:p>
    <w:p w14:paraId="361F0D78">
      <w:pPr>
        <w:pStyle w:val="6"/>
        <w:rPr>
          <w:rFonts w:ascii="宋体" w:hAnsi="宋体" w:cs="宋体"/>
          <w:color w:val="auto"/>
          <w:sz w:val="30"/>
          <w:szCs w:val="30"/>
          <w:highlight w:val="none"/>
        </w:rPr>
      </w:pPr>
    </w:p>
    <w:p w14:paraId="61375A0A">
      <w:pPr>
        <w:rPr>
          <w:rFonts w:ascii="宋体" w:hAnsi="宋体" w:cs="宋体"/>
          <w:color w:val="auto"/>
          <w:sz w:val="30"/>
          <w:szCs w:val="30"/>
          <w:highlight w:val="none"/>
        </w:rPr>
      </w:pPr>
    </w:p>
    <w:p w14:paraId="461DF267">
      <w:pPr>
        <w:pStyle w:val="10"/>
        <w:rPr>
          <w:rFonts w:ascii="宋体" w:hAnsi="宋体" w:cs="宋体"/>
          <w:color w:val="auto"/>
          <w:sz w:val="30"/>
          <w:szCs w:val="30"/>
          <w:highlight w:val="none"/>
        </w:rPr>
      </w:pPr>
    </w:p>
    <w:p w14:paraId="3485D913">
      <w:pPr>
        <w:pStyle w:val="11"/>
        <w:rPr>
          <w:highlight w:val="none"/>
        </w:rPr>
      </w:pPr>
    </w:p>
    <w:p w14:paraId="636008C1">
      <w:pPr>
        <w:pStyle w:val="7"/>
        <w:spacing w:before="0" w:after="0"/>
        <w:ind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 xml:space="preserve">    投标项目明细清单</w:t>
      </w:r>
    </w:p>
    <w:p w14:paraId="0B60A292">
      <w:pPr>
        <w:pStyle w:val="8"/>
        <w:spacing w:line="360" w:lineRule="auto"/>
        <w:ind w:firstLine="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投标项目明细清单（货物类）</w:t>
      </w:r>
    </w:p>
    <w:tbl>
      <w:tblPr>
        <w:tblStyle w:val="2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3"/>
        <w:gridCol w:w="1681"/>
        <w:gridCol w:w="839"/>
        <w:gridCol w:w="1281"/>
        <w:gridCol w:w="1419"/>
        <w:gridCol w:w="2227"/>
        <w:gridCol w:w="1080"/>
      </w:tblGrid>
      <w:tr w14:paraId="746F60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19250A13">
            <w:pPr>
              <w:snapToGrid w:val="0"/>
              <w:spacing w:before="50" w:after="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681" w:type="dxa"/>
            <w:tcBorders>
              <w:top w:val="single" w:color="auto" w:sz="4" w:space="0"/>
              <w:left w:val="single" w:color="auto" w:sz="4" w:space="0"/>
              <w:bottom w:val="single" w:color="auto" w:sz="4" w:space="0"/>
              <w:right w:val="single" w:color="auto" w:sz="4" w:space="0"/>
            </w:tcBorders>
            <w:noWrap w:val="0"/>
            <w:vAlign w:val="center"/>
          </w:tcPr>
          <w:p w14:paraId="606EE245">
            <w:pPr>
              <w:snapToGrid w:val="0"/>
              <w:spacing w:before="50" w:after="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货物名称</w:t>
            </w:r>
          </w:p>
        </w:tc>
        <w:tc>
          <w:tcPr>
            <w:tcW w:w="839" w:type="dxa"/>
            <w:tcBorders>
              <w:top w:val="single" w:color="auto" w:sz="4" w:space="0"/>
              <w:left w:val="single" w:color="auto" w:sz="4" w:space="0"/>
              <w:bottom w:val="single" w:color="auto" w:sz="4" w:space="0"/>
              <w:right w:val="single" w:color="auto" w:sz="4" w:space="0"/>
            </w:tcBorders>
            <w:noWrap w:val="0"/>
            <w:vAlign w:val="center"/>
          </w:tcPr>
          <w:p w14:paraId="1926F117">
            <w:pPr>
              <w:snapToGrid w:val="0"/>
              <w:spacing w:before="50" w:after="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品牌</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3622DAEA">
            <w:pPr>
              <w:snapToGrid w:val="0"/>
              <w:spacing w:before="50" w:after="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规格</w:t>
            </w:r>
          </w:p>
          <w:p w14:paraId="6C3D7BCB">
            <w:pPr>
              <w:snapToGrid w:val="0"/>
              <w:spacing w:before="50" w:after="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型号</w:t>
            </w:r>
          </w:p>
        </w:tc>
        <w:tc>
          <w:tcPr>
            <w:tcW w:w="1419" w:type="dxa"/>
            <w:tcBorders>
              <w:top w:val="single" w:color="auto" w:sz="4" w:space="0"/>
              <w:left w:val="single" w:color="auto" w:sz="4" w:space="0"/>
              <w:bottom w:val="single" w:color="auto" w:sz="4" w:space="0"/>
              <w:right w:val="single" w:color="auto" w:sz="4" w:space="0"/>
            </w:tcBorders>
            <w:noWrap w:val="0"/>
            <w:vAlign w:val="center"/>
          </w:tcPr>
          <w:p w14:paraId="68C01B0C">
            <w:pPr>
              <w:snapToGrid w:val="0"/>
              <w:spacing w:before="50" w:after="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单位及</w:t>
            </w:r>
          </w:p>
          <w:p w14:paraId="0EB69BC3">
            <w:pPr>
              <w:snapToGrid w:val="0"/>
              <w:spacing w:before="50" w:after="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2227" w:type="dxa"/>
            <w:tcBorders>
              <w:top w:val="single" w:color="auto" w:sz="4" w:space="0"/>
              <w:left w:val="single" w:color="auto" w:sz="4" w:space="0"/>
              <w:bottom w:val="single" w:color="auto" w:sz="4" w:space="0"/>
              <w:right w:val="single" w:color="auto" w:sz="4" w:space="0"/>
            </w:tcBorders>
            <w:noWrap w:val="0"/>
            <w:vAlign w:val="center"/>
          </w:tcPr>
          <w:p w14:paraId="1B9C1E6E">
            <w:pPr>
              <w:snapToGrid w:val="0"/>
              <w:spacing w:before="50" w:after="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258DFEB">
            <w:pPr>
              <w:snapToGrid w:val="0"/>
              <w:spacing w:before="50" w:after="5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产地</w:t>
            </w:r>
          </w:p>
        </w:tc>
      </w:tr>
      <w:tr w14:paraId="35A7F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3AB6271B">
            <w:pPr>
              <w:snapToGrid w:val="0"/>
              <w:spacing w:before="50" w:after="50"/>
              <w:jc w:val="center"/>
              <w:rPr>
                <w:rFonts w:hint="eastAsia" w:ascii="宋体" w:hAnsi="宋体" w:eastAsia="宋体" w:cs="宋体"/>
                <w:sz w:val="24"/>
                <w:szCs w:val="24"/>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455E625C">
            <w:pPr>
              <w:snapToGrid w:val="0"/>
              <w:spacing w:before="50" w:after="50"/>
              <w:jc w:val="center"/>
              <w:rPr>
                <w:rFonts w:hint="eastAsia" w:ascii="宋体" w:hAnsi="宋体" w:eastAsia="宋体" w:cs="宋体"/>
                <w:sz w:val="24"/>
                <w:szCs w:val="24"/>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44FC257">
            <w:pPr>
              <w:snapToGrid w:val="0"/>
              <w:spacing w:before="50" w:after="50"/>
              <w:ind w:left="480" w:hanging="480"/>
              <w:jc w:val="center"/>
              <w:rPr>
                <w:rFonts w:hint="eastAsia" w:ascii="宋体" w:hAnsi="宋体" w:eastAsia="宋体" w:cs="宋体"/>
                <w:sz w:val="24"/>
                <w:szCs w:val="24"/>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13FB67DA">
            <w:pPr>
              <w:snapToGrid w:val="0"/>
              <w:spacing w:before="50" w:after="50"/>
              <w:jc w:val="center"/>
              <w:rPr>
                <w:rFonts w:hint="eastAsia" w:ascii="宋体" w:hAnsi="宋体" w:eastAsia="宋体" w:cs="宋体"/>
                <w:sz w:val="24"/>
                <w:szCs w:val="24"/>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03F1743A">
            <w:pPr>
              <w:snapToGrid w:val="0"/>
              <w:spacing w:before="50" w:after="50"/>
              <w:jc w:val="center"/>
              <w:rPr>
                <w:rFonts w:hint="eastAsia" w:ascii="宋体" w:hAnsi="宋体" w:eastAsia="宋体" w:cs="宋体"/>
                <w:sz w:val="24"/>
                <w:szCs w:val="24"/>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3F78199A">
            <w:pPr>
              <w:snapToGrid w:val="0"/>
              <w:spacing w:before="50" w:after="50"/>
              <w:jc w:val="center"/>
              <w:rPr>
                <w:rFonts w:hint="eastAsia" w:ascii="宋体" w:hAnsi="宋体" w:eastAsia="宋体" w:cs="宋体"/>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43ACA13">
            <w:pPr>
              <w:snapToGrid w:val="0"/>
              <w:spacing w:before="50" w:after="50"/>
              <w:jc w:val="center"/>
              <w:rPr>
                <w:rFonts w:hint="eastAsia" w:ascii="宋体" w:hAnsi="宋体" w:eastAsia="宋体" w:cs="宋体"/>
                <w:sz w:val="24"/>
                <w:szCs w:val="24"/>
                <w:highlight w:val="none"/>
              </w:rPr>
            </w:pPr>
          </w:p>
        </w:tc>
      </w:tr>
      <w:tr w14:paraId="37D2DF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3" w:type="dxa"/>
            <w:tcBorders>
              <w:top w:val="single" w:color="auto" w:sz="4" w:space="0"/>
              <w:left w:val="single" w:color="auto" w:sz="4" w:space="0"/>
              <w:bottom w:val="single" w:color="auto" w:sz="4" w:space="0"/>
              <w:right w:val="single" w:color="auto" w:sz="4" w:space="0"/>
            </w:tcBorders>
            <w:noWrap w:val="0"/>
            <w:vAlign w:val="center"/>
          </w:tcPr>
          <w:p w14:paraId="725F0649">
            <w:pPr>
              <w:snapToGrid w:val="0"/>
              <w:spacing w:before="50" w:after="50"/>
              <w:jc w:val="center"/>
              <w:rPr>
                <w:rFonts w:hint="eastAsia" w:ascii="宋体" w:hAnsi="宋体" w:eastAsia="宋体" w:cs="宋体"/>
                <w:sz w:val="24"/>
                <w:szCs w:val="24"/>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5A61ED03">
            <w:pPr>
              <w:snapToGrid w:val="0"/>
              <w:spacing w:before="50" w:after="50"/>
              <w:jc w:val="center"/>
              <w:rPr>
                <w:rFonts w:hint="eastAsia" w:ascii="宋体" w:hAnsi="宋体" w:eastAsia="宋体" w:cs="宋体"/>
                <w:sz w:val="24"/>
                <w:szCs w:val="24"/>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6734EDC">
            <w:pPr>
              <w:snapToGrid w:val="0"/>
              <w:spacing w:before="50" w:after="50"/>
              <w:ind w:left="480" w:hanging="480"/>
              <w:jc w:val="center"/>
              <w:rPr>
                <w:rFonts w:hint="eastAsia" w:ascii="宋体" w:hAnsi="宋体" w:eastAsia="宋体" w:cs="宋体"/>
                <w:sz w:val="24"/>
                <w:szCs w:val="24"/>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33C2C7F0">
            <w:pPr>
              <w:snapToGrid w:val="0"/>
              <w:spacing w:before="50" w:after="50"/>
              <w:jc w:val="center"/>
              <w:rPr>
                <w:rFonts w:hint="eastAsia" w:ascii="宋体" w:hAnsi="宋体" w:eastAsia="宋体" w:cs="宋体"/>
                <w:sz w:val="24"/>
                <w:szCs w:val="24"/>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2036AEF5">
            <w:pPr>
              <w:snapToGrid w:val="0"/>
              <w:spacing w:before="50" w:after="50"/>
              <w:jc w:val="center"/>
              <w:rPr>
                <w:rFonts w:hint="eastAsia" w:ascii="宋体" w:hAnsi="宋体" w:eastAsia="宋体" w:cs="宋体"/>
                <w:sz w:val="24"/>
                <w:szCs w:val="24"/>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6B477724">
            <w:pPr>
              <w:snapToGrid w:val="0"/>
              <w:spacing w:before="50" w:after="50"/>
              <w:jc w:val="center"/>
              <w:rPr>
                <w:rFonts w:hint="eastAsia" w:ascii="宋体" w:hAnsi="宋体" w:eastAsia="宋体" w:cs="宋体"/>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6815611">
            <w:pPr>
              <w:snapToGrid w:val="0"/>
              <w:spacing w:before="50" w:after="50"/>
              <w:jc w:val="center"/>
              <w:rPr>
                <w:rFonts w:hint="eastAsia" w:ascii="宋体" w:hAnsi="宋体" w:eastAsia="宋体" w:cs="宋体"/>
                <w:sz w:val="24"/>
                <w:szCs w:val="24"/>
                <w:highlight w:val="none"/>
              </w:rPr>
            </w:pPr>
          </w:p>
        </w:tc>
      </w:tr>
    </w:tbl>
    <w:p w14:paraId="54DA9529">
      <w:pPr>
        <w:pStyle w:val="37"/>
        <w:spacing w:line="360" w:lineRule="auto"/>
        <w:ind w:firstLine="480"/>
        <w:jc w:val="left"/>
        <w:rPr>
          <w:rFonts w:hint="eastAsia" w:ascii="宋体" w:hAnsi="宋体" w:eastAsia="宋体" w:cs="宋体"/>
          <w:sz w:val="24"/>
          <w:szCs w:val="21"/>
          <w:highlight w:val="none"/>
        </w:rPr>
      </w:pPr>
      <w:r>
        <w:rPr>
          <w:rFonts w:hint="eastAsia" w:ascii="宋体" w:hAnsi="宋体" w:eastAsia="宋体" w:cs="宋体"/>
          <w:sz w:val="24"/>
          <w:highlight w:val="none"/>
        </w:rPr>
        <w:t>注：在填写时，如上表不适合本项目的实际情况，可在确保投标明细内容完整的情况下，根据上表格式自行划表填写。</w:t>
      </w:r>
    </w:p>
    <w:p w14:paraId="530D7B5C">
      <w:pPr>
        <w:pStyle w:val="37"/>
        <w:wordWrap w:val="0"/>
        <w:spacing w:line="360" w:lineRule="auto"/>
        <w:ind w:firstLine="480"/>
        <w:jc w:val="right"/>
        <w:rPr>
          <w:rFonts w:hint="eastAsia" w:ascii="宋体" w:hAnsi="宋体" w:eastAsia="宋体" w:cs="宋体"/>
          <w:sz w:val="24"/>
          <w:szCs w:val="21"/>
          <w:highlight w:val="none"/>
        </w:rPr>
      </w:pPr>
    </w:p>
    <w:p w14:paraId="5EEF7153">
      <w:pPr>
        <w:pStyle w:val="37"/>
        <w:wordWrap w:val="0"/>
        <w:spacing w:line="360" w:lineRule="auto"/>
        <w:ind w:firstLine="480"/>
        <w:jc w:val="right"/>
        <w:rPr>
          <w:rFonts w:hint="eastAsia" w:ascii="宋体" w:hAnsi="宋体" w:eastAsia="宋体" w:cs="宋体"/>
          <w:sz w:val="24"/>
          <w:szCs w:val="21"/>
          <w:highlight w:val="none"/>
          <w:u w:val="single"/>
        </w:rPr>
      </w:pPr>
      <w:r>
        <w:rPr>
          <w:rFonts w:hint="eastAsia" w:ascii="宋体" w:hAnsi="宋体" w:eastAsia="宋体" w:cs="宋体"/>
          <w:sz w:val="24"/>
          <w:szCs w:val="21"/>
          <w:highlight w:val="none"/>
        </w:rPr>
        <w:t>投标人盖章：</w:t>
      </w:r>
      <w:r>
        <w:rPr>
          <w:rFonts w:hint="eastAsia" w:ascii="宋体" w:hAnsi="宋体" w:eastAsia="宋体" w:cs="宋体"/>
          <w:sz w:val="24"/>
          <w:szCs w:val="21"/>
          <w:highlight w:val="none"/>
          <w:u w:val="single"/>
        </w:rPr>
        <w:t xml:space="preserve">                </w:t>
      </w:r>
    </w:p>
    <w:p w14:paraId="0FD9A077">
      <w:pPr>
        <w:pStyle w:val="37"/>
        <w:wordWrap w:val="0"/>
        <w:spacing w:line="360" w:lineRule="auto"/>
        <w:ind w:firstLine="480"/>
        <w:jc w:val="right"/>
        <w:rPr>
          <w:rFonts w:hint="eastAsia" w:ascii="宋体" w:hAnsi="宋体" w:eastAsia="宋体" w:cs="宋体"/>
          <w:sz w:val="24"/>
          <w:szCs w:val="21"/>
          <w:highlight w:val="none"/>
          <w:u w:val="single"/>
        </w:rPr>
      </w:pPr>
      <w:r>
        <w:rPr>
          <w:rFonts w:hint="eastAsia" w:ascii="宋体" w:hAnsi="宋体" w:eastAsia="宋体" w:cs="宋体"/>
          <w:sz w:val="24"/>
          <w:szCs w:val="21"/>
          <w:highlight w:val="none"/>
        </w:rPr>
        <w:t>日      期：</w:t>
      </w:r>
      <w:r>
        <w:rPr>
          <w:rFonts w:hint="eastAsia" w:ascii="宋体" w:hAnsi="宋体" w:eastAsia="宋体" w:cs="宋体"/>
          <w:sz w:val="24"/>
          <w:szCs w:val="21"/>
          <w:highlight w:val="none"/>
          <w:u w:val="single"/>
        </w:rPr>
        <w:t xml:space="preserve">                </w:t>
      </w:r>
    </w:p>
    <w:p w14:paraId="19BAA904">
      <w:pPr>
        <w:rPr>
          <w:rFonts w:ascii="宋体" w:hAnsi="宋体" w:cs="宋体"/>
          <w:color w:val="auto"/>
          <w:sz w:val="30"/>
          <w:szCs w:val="30"/>
          <w:highlight w:val="none"/>
        </w:rPr>
      </w:pPr>
    </w:p>
    <w:p w14:paraId="66DBC6C6">
      <w:pPr>
        <w:pStyle w:val="7"/>
        <w:spacing w:before="0" w:after="0"/>
        <w:ind w:firstLine="0" w:firstLineChars="0"/>
        <w:jc w:val="left"/>
        <w:rPr>
          <w:rFonts w:hint="eastAsia" w:ascii="宋体" w:hAnsi="宋体" w:eastAsia="宋体" w:cs="宋体"/>
          <w:color w:val="auto"/>
          <w:sz w:val="24"/>
          <w:szCs w:val="24"/>
          <w:highlight w:val="none"/>
        </w:rPr>
      </w:pPr>
      <w:bookmarkStart w:id="638" w:name="_Toc546"/>
    </w:p>
    <w:p w14:paraId="78ACA70D">
      <w:pPr>
        <w:rPr>
          <w:rFonts w:hint="eastAsia" w:ascii="宋体" w:hAnsi="宋体" w:eastAsia="宋体" w:cs="宋体"/>
          <w:color w:val="auto"/>
          <w:sz w:val="24"/>
          <w:szCs w:val="24"/>
          <w:highlight w:val="none"/>
        </w:rPr>
      </w:pPr>
    </w:p>
    <w:p w14:paraId="354A153C">
      <w:pPr>
        <w:pStyle w:val="10"/>
        <w:rPr>
          <w:rFonts w:hint="eastAsia" w:ascii="宋体" w:hAnsi="宋体" w:eastAsia="宋体" w:cs="宋体"/>
          <w:color w:val="auto"/>
          <w:sz w:val="24"/>
          <w:szCs w:val="24"/>
          <w:highlight w:val="none"/>
        </w:rPr>
      </w:pPr>
    </w:p>
    <w:p w14:paraId="623BC627">
      <w:pPr>
        <w:pStyle w:val="11"/>
        <w:rPr>
          <w:rFonts w:hint="eastAsia" w:ascii="宋体" w:hAnsi="宋体" w:eastAsia="宋体" w:cs="宋体"/>
          <w:color w:val="auto"/>
          <w:sz w:val="24"/>
          <w:szCs w:val="24"/>
          <w:highlight w:val="none"/>
        </w:rPr>
      </w:pPr>
    </w:p>
    <w:p w14:paraId="70E2E6B0">
      <w:pPr>
        <w:pStyle w:val="12"/>
        <w:rPr>
          <w:rFonts w:hint="eastAsia" w:ascii="宋体" w:hAnsi="宋体" w:eastAsia="宋体" w:cs="宋体"/>
          <w:color w:val="auto"/>
          <w:sz w:val="24"/>
          <w:szCs w:val="24"/>
          <w:highlight w:val="none"/>
        </w:rPr>
      </w:pPr>
    </w:p>
    <w:p w14:paraId="6ABE6BCE">
      <w:pPr>
        <w:rPr>
          <w:rFonts w:hint="eastAsia" w:ascii="宋体" w:hAnsi="宋体" w:eastAsia="宋体" w:cs="宋体"/>
          <w:color w:val="auto"/>
          <w:sz w:val="24"/>
          <w:szCs w:val="24"/>
          <w:highlight w:val="none"/>
        </w:rPr>
      </w:pPr>
    </w:p>
    <w:p w14:paraId="635A4BF5">
      <w:pPr>
        <w:pStyle w:val="10"/>
        <w:rPr>
          <w:rFonts w:hint="eastAsia" w:ascii="宋体" w:hAnsi="宋体" w:eastAsia="宋体" w:cs="宋体"/>
          <w:color w:val="auto"/>
          <w:sz w:val="24"/>
          <w:szCs w:val="24"/>
          <w:highlight w:val="none"/>
        </w:rPr>
      </w:pPr>
    </w:p>
    <w:p w14:paraId="08D2E2EE">
      <w:pPr>
        <w:pStyle w:val="11"/>
        <w:rPr>
          <w:rFonts w:hint="eastAsia" w:ascii="宋体" w:hAnsi="宋体" w:eastAsia="宋体" w:cs="宋体"/>
          <w:color w:val="auto"/>
          <w:sz w:val="24"/>
          <w:szCs w:val="24"/>
          <w:highlight w:val="none"/>
        </w:rPr>
      </w:pPr>
    </w:p>
    <w:p w14:paraId="4CF822F1">
      <w:pPr>
        <w:pStyle w:val="12"/>
        <w:rPr>
          <w:rFonts w:hint="eastAsia" w:ascii="宋体" w:hAnsi="宋体" w:eastAsia="宋体" w:cs="宋体"/>
          <w:color w:val="auto"/>
          <w:sz w:val="24"/>
          <w:szCs w:val="24"/>
          <w:highlight w:val="none"/>
        </w:rPr>
      </w:pPr>
    </w:p>
    <w:p w14:paraId="74AF22AB">
      <w:pPr>
        <w:rPr>
          <w:rFonts w:hint="eastAsia" w:ascii="宋体" w:hAnsi="宋体" w:eastAsia="宋体" w:cs="宋体"/>
          <w:color w:val="auto"/>
          <w:sz w:val="24"/>
          <w:szCs w:val="24"/>
          <w:highlight w:val="none"/>
        </w:rPr>
      </w:pPr>
    </w:p>
    <w:p w14:paraId="65854524">
      <w:pPr>
        <w:pStyle w:val="10"/>
        <w:rPr>
          <w:rFonts w:hint="eastAsia" w:ascii="宋体" w:hAnsi="宋体" w:eastAsia="宋体" w:cs="宋体"/>
          <w:color w:val="auto"/>
          <w:sz w:val="24"/>
          <w:szCs w:val="24"/>
          <w:highlight w:val="none"/>
        </w:rPr>
      </w:pPr>
    </w:p>
    <w:p w14:paraId="2E729D6D">
      <w:pPr>
        <w:pStyle w:val="11"/>
        <w:rPr>
          <w:rFonts w:hint="eastAsia" w:ascii="宋体" w:hAnsi="宋体" w:eastAsia="宋体" w:cs="宋体"/>
          <w:color w:val="auto"/>
          <w:sz w:val="24"/>
          <w:szCs w:val="24"/>
          <w:highlight w:val="none"/>
        </w:rPr>
      </w:pPr>
    </w:p>
    <w:p w14:paraId="69F9C3E7">
      <w:pPr>
        <w:pStyle w:val="12"/>
        <w:rPr>
          <w:rFonts w:hint="eastAsia" w:ascii="宋体" w:hAnsi="宋体" w:eastAsia="宋体" w:cs="宋体"/>
          <w:color w:val="auto"/>
          <w:sz w:val="24"/>
          <w:szCs w:val="24"/>
          <w:highlight w:val="none"/>
        </w:rPr>
      </w:pPr>
    </w:p>
    <w:p w14:paraId="141D78F1">
      <w:pPr>
        <w:rPr>
          <w:rFonts w:hint="eastAsia" w:ascii="宋体" w:hAnsi="宋体" w:eastAsia="宋体" w:cs="宋体"/>
          <w:color w:val="auto"/>
          <w:sz w:val="24"/>
          <w:szCs w:val="24"/>
          <w:highlight w:val="none"/>
        </w:rPr>
      </w:pPr>
    </w:p>
    <w:p w14:paraId="4AF5C8F3">
      <w:pPr>
        <w:pStyle w:val="10"/>
        <w:rPr>
          <w:rFonts w:hint="eastAsia" w:ascii="宋体" w:hAnsi="宋体" w:eastAsia="宋体" w:cs="宋体"/>
          <w:color w:val="auto"/>
          <w:sz w:val="24"/>
          <w:szCs w:val="24"/>
          <w:highlight w:val="none"/>
        </w:rPr>
      </w:pPr>
    </w:p>
    <w:p w14:paraId="0ED838D5">
      <w:pPr>
        <w:pStyle w:val="11"/>
        <w:rPr>
          <w:rFonts w:hint="eastAsia"/>
          <w:highlight w:val="none"/>
        </w:rPr>
      </w:pPr>
    </w:p>
    <w:p w14:paraId="1430F22D">
      <w:pPr>
        <w:pStyle w:val="2"/>
        <w:rPr>
          <w:rFonts w:hint="eastAsia"/>
          <w:highlight w:val="none"/>
        </w:rPr>
      </w:pPr>
    </w:p>
    <w:p w14:paraId="0E40BACF">
      <w:pPr>
        <w:pStyle w:val="7"/>
        <w:spacing w:before="0" w:after="0"/>
        <w:ind w:firstLine="0" w:firstLineChars="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商务</w:t>
      </w:r>
      <w:r>
        <w:rPr>
          <w:rFonts w:hint="eastAsia" w:ascii="宋体" w:hAnsi="宋体" w:eastAsia="宋体" w:cs="宋体"/>
          <w:color w:val="auto"/>
          <w:sz w:val="24"/>
          <w:szCs w:val="24"/>
          <w:highlight w:val="none"/>
        </w:rPr>
        <w:t>技术偏离表格式</w:t>
      </w:r>
      <w:bookmarkEnd w:id="638"/>
    </w:p>
    <w:p w14:paraId="0BB8714C">
      <w:pPr>
        <w:pStyle w:val="8"/>
        <w:spacing w:line="360" w:lineRule="auto"/>
        <w:ind w:firstLine="0"/>
        <w:jc w:val="center"/>
        <w:rPr>
          <w:rFonts w:ascii="宋体" w:hAnsi="宋体" w:cs="宋体"/>
          <w:b/>
          <w:color w:val="auto"/>
          <w:sz w:val="32"/>
          <w:szCs w:val="32"/>
          <w:highlight w:val="none"/>
        </w:rPr>
      </w:pPr>
      <w:r>
        <w:rPr>
          <w:rFonts w:hint="eastAsia" w:ascii="宋体" w:hAnsi="宋体" w:eastAsia="宋体" w:cs="宋体"/>
          <w:b/>
          <w:sz w:val="32"/>
          <w:szCs w:val="32"/>
          <w:highlight w:val="none"/>
        </w:rPr>
        <w:t>商务技术偏离表</w:t>
      </w:r>
    </w:p>
    <w:p w14:paraId="612321C7">
      <w:pPr>
        <w:pStyle w:val="46"/>
        <w:spacing w:line="560" w:lineRule="exact"/>
        <w:rPr>
          <w:rFonts w:ascii="宋体" w:hAnsi="宋体" w:cs="宋体"/>
          <w:color w:val="auto"/>
          <w:sz w:val="24"/>
          <w:highlight w:val="none"/>
        </w:rPr>
      </w:pPr>
      <w:r>
        <w:rPr>
          <w:rFonts w:hint="eastAsia" w:ascii="宋体" w:hAnsi="宋体" w:cs="宋体"/>
          <w:color w:val="auto"/>
          <w:sz w:val="24"/>
          <w:highlight w:val="none"/>
        </w:rPr>
        <w:t>项目编号：</w:t>
      </w:r>
    </w:p>
    <w:p w14:paraId="49786E59">
      <w:pPr>
        <w:pStyle w:val="46"/>
        <w:spacing w:line="560" w:lineRule="exact"/>
        <w:rPr>
          <w:rFonts w:ascii="宋体" w:hAnsi="宋体" w:cs="宋体"/>
          <w:color w:val="auto"/>
          <w:sz w:val="24"/>
          <w:highlight w:val="none"/>
        </w:rPr>
      </w:pPr>
      <w:r>
        <w:rPr>
          <w:rFonts w:hint="eastAsia" w:ascii="宋体" w:hAnsi="宋体" w:cs="宋体"/>
          <w:color w:val="auto"/>
          <w:sz w:val="24"/>
          <w:highlight w:val="none"/>
        </w:rPr>
        <w:t>项目名称：                               标项（如有）：</w:t>
      </w:r>
    </w:p>
    <w:tbl>
      <w:tblPr>
        <w:tblStyle w:val="24"/>
        <w:tblW w:w="9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2489"/>
        <w:gridCol w:w="2489"/>
        <w:gridCol w:w="2073"/>
        <w:gridCol w:w="1514"/>
      </w:tblGrid>
      <w:tr w14:paraId="405D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8" w:type="dxa"/>
            <w:vAlign w:val="center"/>
          </w:tcPr>
          <w:p w14:paraId="170DD7B4">
            <w:pPr>
              <w:pStyle w:val="46"/>
              <w:jc w:val="center"/>
              <w:rPr>
                <w:rFonts w:ascii="宋体" w:hAnsi="宋体" w:cs="宋体"/>
                <w:color w:val="auto"/>
                <w:sz w:val="24"/>
                <w:highlight w:val="none"/>
              </w:rPr>
            </w:pPr>
            <w:r>
              <w:rPr>
                <w:rFonts w:hint="eastAsia" w:ascii="宋体" w:hAnsi="宋体" w:cs="宋体"/>
                <w:color w:val="auto"/>
                <w:sz w:val="24"/>
                <w:highlight w:val="none"/>
              </w:rPr>
              <w:t>序号</w:t>
            </w:r>
          </w:p>
        </w:tc>
        <w:tc>
          <w:tcPr>
            <w:tcW w:w="2489" w:type="dxa"/>
            <w:vAlign w:val="center"/>
          </w:tcPr>
          <w:p w14:paraId="02969C09">
            <w:pPr>
              <w:jc w:val="center"/>
              <w:rPr>
                <w:rFonts w:ascii="宋体" w:hAnsi="宋体" w:cs="宋体"/>
                <w:color w:val="auto"/>
                <w:sz w:val="24"/>
                <w:highlight w:val="none"/>
              </w:rPr>
            </w:pPr>
            <w:r>
              <w:rPr>
                <w:rFonts w:hint="eastAsia" w:ascii="宋体" w:hAnsi="宋体" w:cs="宋体"/>
                <w:color w:val="auto"/>
                <w:sz w:val="24"/>
                <w:highlight w:val="none"/>
              </w:rPr>
              <w:t>招标文件章节及具体内容或具体设备</w:t>
            </w:r>
          </w:p>
        </w:tc>
        <w:tc>
          <w:tcPr>
            <w:tcW w:w="2489" w:type="dxa"/>
            <w:vAlign w:val="center"/>
          </w:tcPr>
          <w:p w14:paraId="29952330">
            <w:pPr>
              <w:jc w:val="center"/>
              <w:rPr>
                <w:rFonts w:ascii="宋体" w:hAnsi="宋体" w:cs="宋体"/>
                <w:color w:val="auto"/>
                <w:sz w:val="24"/>
                <w:highlight w:val="none"/>
              </w:rPr>
            </w:pPr>
            <w:r>
              <w:rPr>
                <w:rFonts w:hint="eastAsia" w:ascii="宋体" w:hAnsi="宋体" w:cs="宋体"/>
                <w:color w:val="auto"/>
                <w:sz w:val="24"/>
                <w:highlight w:val="none"/>
              </w:rPr>
              <w:t>投标文件章节及具体内容或具体设备</w:t>
            </w:r>
          </w:p>
        </w:tc>
        <w:tc>
          <w:tcPr>
            <w:tcW w:w="2073" w:type="dxa"/>
            <w:vAlign w:val="center"/>
          </w:tcPr>
          <w:p w14:paraId="7EE510E6">
            <w:pPr>
              <w:jc w:val="center"/>
              <w:rPr>
                <w:rFonts w:ascii="宋体" w:hAnsi="宋体" w:cs="宋体"/>
                <w:color w:val="auto"/>
                <w:sz w:val="24"/>
                <w:highlight w:val="none"/>
              </w:rPr>
            </w:pPr>
            <w:r>
              <w:rPr>
                <w:rFonts w:hint="eastAsia" w:ascii="宋体" w:hAnsi="宋体" w:cs="宋体"/>
                <w:color w:val="auto"/>
                <w:sz w:val="24"/>
                <w:highlight w:val="none"/>
              </w:rPr>
              <w:t>偏离指标及说明</w:t>
            </w:r>
          </w:p>
        </w:tc>
        <w:tc>
          <w:tcPr>
            <w:tcW w:w="1514" w:type="dxa"/>
            <w:vAlign w:val="center"/>
          </w:tcPr>
          <w:p w14:paraId="710C4DF8">
            <w:pPr>
              <w:jc w:val="center"/>
              <w:rPr>
                <w:rFonts w:ascii="宋体" w:hAnsi="宋体" w:cs="宋体"/>
                <w:color w:val="auto"/>
                <w:sz w:val="24"/>
                <w:highlight w:val="none"/>
              </w:rPr>
            </w:pPr>
            <w:r>
              <w:rPr>
                <w:rFonts w:hint="eastAsia" w:ascii="宋体" w:hAnsi="宋体" w:cs="宋体"/>
                <w:color w:val="auto"/>
                <w:sz w:val="24"/>
                <w:highlight w:val="none"/>
              </w:rPr>
              <w:t>备注</w:t>
            </w:r>
          </w:p>
        </w:tc>
      </w:tr>
      <w:tr w14:paraId="4405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8" w:type="dxa"/>
            <w:vAlign w:val="center"/>
          </w:tcPr>
          <w:p w14:paraId="4692BBEB">
            <w:pPr>
              <w:pStyle w:val="46"/>
              <w:jc w:val="center"/>
              <w:rPr>
                <w:rFonts w:ascii="宋体" w:hAnsi="宋体" w:cs="宋体"/>
                <w:color w:val="auto"/>
                <w:sz w:val="24"/>
                <w:highlight w:val="none"/>
              </w:rPr>
            </w:pPr>
            <w:r>
              <w:rPr>
                <w:rFonts w:hint="eastAsia" w:ascii="宋体" w:hAnsi="宋体" w:cs="宋体"/>
                <w:color w:val="auto"/>
                <w:sz w:val="24"/>
                <w:highlight w:val="none"/>
              </w:rPr>
              <w:t>1</w:t>
            </w:r>
          </w:p>
        </w:tc>
        <w:tc>
          <w:tcPr>
            <w:tcW w:w="2489" w:type="dxa"/>
            <w:vAlign w:val="center"/>
          </w:tcPr>
          <w:p w14:paraId="6426C49A">
            <w:pPr>
              <w:pStyle w:val="46"/>
              <w:jc w:val="center"/>
              <w:rPr>
                <w:rFonts w:ascii="宋体" w:hAnsi="宋体" w:cs="宋体"/>
                <w:color w:val="auto"/>
                <w:sz w:val="24"/>
                <w:highlight w:val="none"/>
              </w:rPr>
            </w:pPr>
          </w:p>
        </w:tc>
        <w:tc>
          <w:tcPr>
            <w:tcW w:w="2489" w:type="dxa"/>
            <w:vAlign w:val="center"/>
          </w:tcPr>
          <w:p w14:paraId="10CEC2D6">
            <w:pPr>
              <w:pStyle w:val="46"/>
              <w:jc w:val="center"/>
              <w:rPr>
                <w:rFonts w:ascii="宋体" w:hAnsi="宋体" w:cs="宋体"/>
                <w:color w:val="auto"/>
                <w:sz w:val="24"/>
                <w:highlight w:val="none"/>
              </w:rPr>
            </w:pPr>
          </w:p>
        </w:tc>
        <w:tc>
          <w:tcPr>
            <w:tcW w:w="2073" w:type="dxa"/>
            <w:vAlign w:val="center"/>
          </w:tcPr>
          <w:p w14:paraId="79BEF503">
            <w:pPr>
              <w:pStyle w:val="46"/>
              <w:jc w:val="center"/>
              <w:rPr>
                <w:rFonts w:ascii="宋体" w:hAnsi="宋体" w:cs="宋体"/>
                <w:color w:val="auto"/>
                <w:sz w:val="24"/>
                <w:highlight w:val="none"/>
              </w:rPr>
            </w:pPr>
          </w:p>
        </w:tc>
        <w:tc>
          <w:tcPr>
            <w:tcW w:w="1514" w:type="dxa"/>
            <w:vAlign w:val="center"/>
          </w:tcPr>
          <w:p w14:paraId="3AF2CB5F">
            <w:pPr>
              <w:pStyle w:val="46"/>
              <w:jc w:val="center"/>
              <w:rPr>
                <w:rFonts w:ascii="宋体" w:hAnsi="宋体" w:cs="宋体"/>
                <w:color w:val="auto"/>
                <w:sz w:val="24"/>
                <w:highlight w:val="none"/>
              </w:rPr>
            </w:pPr>
          </w:p>
        </w:tc>
      </w:tr>
      <w:tr w14:paraId="3511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8" w:type="dxa"/>
            <w:vAlign w:val="center"/>
          </w:tcPr>
          <w:p w14:paraId="4E81142C">
            <w:pPr>
              <w:pStyle w:val="46"/>
              <w:jc w:val="center"/>
              <w:rPr>
                <w:rFonts w:ascii="宋体" w:hAnsi="宋体" w:cs="宋体"/>
                <w:color w:val="auto"/>
                <w:sz w:val="24"/>
                <w:highlight w:val="none"/>
              </w:rPr>
            </w:pPr>
            <w:r>
              <w:rPr>
                <w:rFonts w:hint="eastAsia" w:ascii="宋体" w:hAnsi="宋体" w:cs="宋体"/>
                <w:color w:val="auto"/>
                <w:sz w:val="24"/>
                <w:highlight w:val="none"/>
              </w:rPr>
              <w:t>2</w:t>
            </w:r>
          </w:p>
        </w:tc>
        <w:tc>
          <w:tcPr>
            <w:tcW w:w="2489" w:type="dxa"/>
            <w:vAlign w:val="center"/>
          </w:tcPr>
          <w:p w14:paraId="432F7F41">
            <w:pPr>
              <w:pStyle w:val="46"/>
              <w:jc w:val="center"/>
              <w:rPr>
                <w:rFonts w:ascii="宋体" w:hAnsi="宋体" w:cs="宋体"/>
                <w:color w:val="auto"/>
                <w:sz w:val="24"/>
                <w:highlight w:val="none"/>
              </w:rPr>
            </w:pPr>
          </w:p>
        </w:tc>
        <w:tc>
          <w:tcPr>
            <w:tcW w:w="2489" w:type="dxa"/>
            <w:vAlign w:val="center"/>
          </w:tcPr>
          <w:p w14:paraId="09C856C4">
            <w:pPr>
              <w:pStyle w:val="46"/>
              <w:jc w:val="center"/>
              <w:rPr>
                <w:rFonts w:ascii="宋体" w:hAnsi="宋体" w:cs="宋体"/>
                <w:color w:val="auto"/>
                <w:sz w:val="24"/>
                <w:highlight w:val="none"/>
              </w:rPr>
            </w:pPr>
          </w:p>
        </w:tc>
        <w:tc>
          <w:tcPr>
            <w:tcW w:w="2073" w:type="dxa"/>
            <w:vAlign w:val="center"/>
          </w:tcPr>
          <w:p w14:paraId="79BCEBD1">
            <w:pPr>
              <w:pStyle w:val="46"/>
              <w:jc w:val="center"/>
              <w:rPr>
                <w:rFonts w:ascii="宋体" w:hAnsi="宋体" w:cs="宋体"/>
                <w:color w:val="auto"/>
                <w:sz w:val="24"/>
                <w:highlight w:val="none"/>
              </w:rPr>
            </w:pPr>
          </w:p>
        </w:tc>
        <w:tc>
          <w:tcPr>
            <w:tcW w:w="1514" w:type="dxa"/>
            <w:vAlign w:val="center"/>
          </w:tcPr>
          <w:p w14:paraId="22DC18A9">
            <w:pPr>
              <w:pStyle w:val="46"/>
              <w:jc w:val="center"/>
              <w:rPr>
                <w:rFonts w:ascii="宋体" w:hAnsi="宋体" w:cs="宋体"/>
                <w:color w:val="auto"/>
                <w:sz w:val="24"/>
                <w:highlight w:val="none"/>
              </w:rPr>
            </w:pPr>
          </w:p>
        </w:tc>
      </w:tr>
      <w:tr w14:paraId="7223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8" w:type="dxa"/>
            <w:vAlign w:val="center"/>
          </w:tcPr>
          <w:p w14:paraId="501108FF">
            <w:pPr>
              <w:pStyle w:val="46"/>
              <w:jc w:val="center"/>
              <w:rPr>
                <w:rFonts w:ascii="宋体" w:hAnsi="宋体" w:cs="宋体"/>
                <w:color w:val="auto"/>
                <w:sz w:val="24"/>
                <w:highlight w:val="none"/>
              </w:rPr>
            </w:pPr>
            <w:r>
              <w:rPr>
                <w:rFonts w:hint="eastAsia" w:ascii="宋体" w:hAnsi="宋体" w:cs="宋体"/>
                <w:color w:val="auto"/>
                <w:sz w:val="24"/>
                <w:highlight w:val="none"/>
              </w:rPr>
              <w:t>3</w:t>
            </w:r>
          </w:p>
        </w:tc>
        <w:tc>
          <w:tcPr>
            <w:tcW w:w="2489" w:type="dxa"/>
            <w:vAlign w:val="center"/>
          </w:tcPr>
          <w:p w14:paraId="1AEB8787">
            <w:pPr>
              <w:pStyle w:val="46"/>
              <w:jc w:val="center"/>
              <w:rPr>
                <w:rFonts w:ascii="宋体" w:hAnsi="宋体" w:cs="宋体"/>
                <w:color w:val="auto"/>
                <w:sz w:val="24"/>
                <w:highlight w:val="none"/>
              </w:rPr>
            </w:pPr>
          </w:p>
        </w:tc>
        <w:tc>
          <w:tcPr>
            <w:tcW w:w="2489" w:type="dxa"/>
            <w:vAlign w:val="center"/>
          </w:tcPr>
          <w:p w14:paraId="42EC8F22">
            <w:pPr>
              <w:pStyle w:val="46"/>
              <w:jc w:val="center"/>
              <w:rPr>
                <w:rFonts w:ascii="宋体" w:hAnsi="宋体" w:cs="宋体"/>
                <w:color w:val="auto"/>
                <w:sz w:val="24"/>
                <w:highlight w:val="none"/>
              </w:rPr>
            </w:pPr>
          </w:p>
        </w:tc>
        <w:tc>
          <w:tcPr>
            <w:tcW w:w="2073" w:type="dxa"/>
            <w:vAlign w:val="center"/>
          </w:tcPr>
          <w:p w14:paraId="5181A600">
            <w:pPr>
              <w:pStyle w:val="46"/>
              <w:jc w:val="center"/>
              <w:rPr>
                <w:rFonts w:ascii="宋体" w:hAnsi="宋体" w:cs="宋体"/>
                <w:color w:val="auto"/>
                <w:sz w:val="24"/>
                <w:highlight w:val="none"/>
              </w:rPr>
            </w:pPr>
          </w:p>
        </w:tc>
        <w:tc>
          <w:tcPr>
            <w:tcW w:w="1514" w:type="dxa"/>
            <w:vAlign w:val="center"/>
          </w:tcPr>
          <w:p w14:paraId="41A576CC">
            <w:pPr>
              <w:pStyle w:val="46"/>
              <w:jc w:val="center"/>
              <w:rPr>
                <w:rFonts w:ascii="宋体" w:hAnsi="宋体" w:cs="宋体"/>
                <w:color w:val="auto"/>
                <w:sz w:val="24"/>
                <w:highlight w:val="none"/>
              </w:rPr>
            </w:pPr>
          </w:p>
        </w:tc>
      </w:tr>
      <w:tr w14:paraId="0A65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8" w:type="dxa"/>
            <w:vAlign w:val="center"/>
          </w:tcPr>
          <w:p w14:paraId="3A147A96">
            <w:pPr>
              <w:pStyle w:val="46"/>
              <w:jc w:val="center"/>
              <w:rPr>
                <w:rFonts w:ascii="宋体" w:hAnsi="宋体" w:cs="宋体"/>
                <w:color w:val="auto"/>
                <w:sz w:val="24"/>
                <w:highlight w:val="none"/>
              </w:rPr>
            </w:pPr>
            <w:r>
              <w:rPr>
                <w:rFonts w:hint="eastAsia" w:ascii="宋体" w:hAnsi="宋体" w:cs="宋体"/>
                <w:color w:val="auto"/>
                <w:sz w:val="24"/>
                <w:highlight w:val="none"/>
              </w:rPr>
              <w:t>……</w:t>
            </w:r>
          </w:p>
        </w:tc>
        <w:tc>
          <w:tcPr>
            <w:tcW w:w="2489" w:type="dxa"/>
            <w:vAlign w:val="center"/>
          </w:tcPr>
          <w:p w14:paraId="378CC2ED">
            <w:pPr>
              <w:pStyle w:val="46"/>
              <w:jc w:val="center"/>
              <w:rPr>
                <w:rFonts w:ascii="宋体" w:hAnsi="宋体" w:cs="宋体"/>
                <w:color w:val="auto"/>
                <w:sz w:val="24"/>
                <w:highlight w:val="none"/>
              </w:rPr>
            </w:pPr>
          </w:p>
        </w:tc>
        <w:tc>
          <w:tcPr>
            <w:tcW w:w="2489" w:type="dxa"/>
            <w:vAlign w:val="center"/>
          </w:tcPr>
          <w:p w14:paraId="27E6EFDF">
            <w:pPr>
              <w:pStyle w:val="46"/>
              <w:jc w:val="center"/>
              <w:rPr>
                <w:rFonts w:ascii="宋体" w:hAnsi="宋体" w:cs="宋体"/>
                <w:color w:val="auto"/>
                <w:sz w:val="24"/>
                <w:highlight w:val="none"/>
              </w:rPr>
            </w:pPr>
          </w:p>
        </w:tc>
        <w:tc>
          <w:tcPr>
            <w:tcW w:w="2073" w:type="dxa"/>
            <w:vAlign w:val="center"/>
          </w:tcPr>
          <w:p w14:paraId="026260C3">
            <w:pPr>
              <w:pStyle w:val="46"/>
              <w:jc w:val="center"/>
              <w:rPr>
                <w:rFonts w:ascii="宋体" w:hAnsi="宋体" w:cs="宋体"/>
                <w:color w:val="auto"/>
                <w:sz w:val="24"/>
                <w:highlight w:val="none"/>
              </w:rPr>
            </w:pPr>
          </w:p>
        </w:tc>
        <w:tc>
          <w:tcPr>
            <w:tcW w:w="1514" w:type="dxa"/>
            <w:vAlign w:val="center"/>
          </w:tcPr>
          <w:p w14:paraId="3B272A82">
            <w:pPr>
              <w:pStyle w:val="46"/>
              <w:jc w:val="center"/>
              <w:rPr>
                <w:rFonts w:ascii="宋体" w:hAnsi="宋体" w:cs="宋体"/>
                <w:color w:val="auto"/>
                <w:sz w:val="24"/>
                <w:highlight w:val="none"/>
              </w:rPr>
            </w:pPr>
          </w:p>
        </w:tc>
      </w:tr>
    </w:tbl>
    <w:p w14:paraId="342590C7">
      <w:pPr>
        <w:pStyle w:val="21"/>
        <w:snapToGrid w:val="0"/>
        <w:ind w:left="480" w:hanging="480"/>
        <w:jc w:val="left"/>
        <w:rPr>
          <w:rFonts w:ascii="宋体" w:hAnsi="宋体" w:cs="宋体"/>
          <w:color w:val="auto"/>
          <w:sz w:val="24"/>
          <w:highlight w:val="none"/>
        </w:rPr>
      </w:pPr>
    </w:p>
    <w:p w14:paraId="40E95EC0">
      <w:pPr>
        <w:ind w:firstLine="241" w:firstLineChars="100"/>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投标人承诺：除</w:t>
      </w:r>
      <w:r>
        <w:rPr>
          <w:rFonts w:hint="eastAsia" w:ascii="宋体" w:hAnsi="宋体" w:cs="宋体"/>
          <w:b/>
          <w:bCs/>
          <w:color w:val="auto"/>
          <w:kern w:val="0"/>
          <w:sz w:val="24"/>
          <w:highlight w:val="none"/>
          <w:lang w:val="en-US" w:eastAsia="zh-CN"/>
        </w:rPr>
        <w:t>商务</w:t>
      </w:r>
      <w:r>
        <w:rPr>
          <w:rFonts w:hint="eastAsia" w:ascii="宋体" w:hAnsi="宋体" w:cs="宋体"/>
          <w:b/>
          <w:bCs/>
          <w:color w:val="auto"/>
          <w:kern w:val="0"/>
          <w:sz w:val="24"/>
          <w:highlight w:val="none"/>
        </w:rPr>
        <w:t>技术偏离表列出的偏离外，投标人响应招标文件的全部要求。</w:t>
      </w:r>
    </w:p>
    <w:p w14:paraId="1A20E285">
      <w:pPr>
        <w:spacing w:line="360" w:lineRule="auto"/>
        <w:ind w:right="420"/>
        <w:rPr>
          <w:rFonts w:ascii="宋体" w:hAnsi="宋体" w:cs="宋体"/>
          <w:color w:val="auto"/>
          <w:sz w:val="24"/>
          <w:highlight w:val="none"/>
        </w:rPr>
      </w:pPr>
    </w:p>
    <w:p w14:paraId="14D54C2F">
      <w:pPr>
        <w:pStyle w:val="47"/>
        <w:spacing w:line="400" w:lineRule="exact"/>
        <w:rPr>
          <w:rFonts w:ascii="宋体" w:hAnsi="宋体" w:cs="宋体"/>
          <w:color w:val="auto"/>
          <w:sz w:val="24"/>
          <w:highlight w:val="none"/>
          <w:lang w:val="en-GB"/>
        </w:rPr>
      </w:pPr>
      <w:r>
        <w:rPr>
          <w:rFonts w:hint="eastAsia" w:ascii="宋体" w:hAnsi="宋体" w:cs="宋体"/>
          <w:color w:val="auto"/>
          <w:sz w:val="24"/>
          <w:highlight w:val="none"/>
        </w:rPr>
        <w:t>注：</w:t>
      </w:r>
      <w:r>
        <w:rPr>
          <w:rFonts w:hint="eastAsia" w:ascii="宋体" w:hAnsi="宋体" w:cs="宋体"/>
          <w:color w:val="auto"/>
          <w:sz w:val="24"/>
          <w:highlight w:val="none"/>
          <w:lang w:val="en-GB"/>
        </w:rPr>
        <w:t>请各投标人参照招标文件严格按以下要求认真填写偏离表：</w:t>
      </w:r>
    </w:p>
    <w:p w14:paraId="34958576">
      <w:pPr>
        <w:pStyle w:val="47"/>
        <w:spacing w:line="400" w:lineRule="exact"/>
        <w:ind w:firstLine="480" w:firstLineChars="200"/>
        <w:rPr>
          <w:rFonts w:ascii="宋体" w:hAnsi="宋体" w:cs="宋体"/>
          <w:color w:val="auto"/>
          <w:sz w:val="24"/>
          <w:highlight w:val="none"/>
          <w:lang w:val="en-GB"/>
        </w:rPr>
      </w:pPr>
      <w:r>
        <w:rPr>
          <w:rFonts w:hint="eastAsia" w:ascii="宋体" w:hAnsi="宋体" w:cs="宋体"/>
          <w:color w:val="auto"/>
          <w:sz w:val="24"/>
          <w:highlight w:val="none"/>
          <w:lang w:val="en-GB"/>
        </w:rPr>
        <w:t>1. 投标人应根据投标产品的实际</w:t>
      </w:r>
      <w:r>
        <w:rPr>
          <w:rFonts w:hint="eastAsia" w:ascii="宋体" w:hAnsi="宋体" w:cs="宋体"/>
          <w:color w:val="auto"/>
          <w:sz w:val="24"/>
          <w:highlight w:val="none"/>
        </w:rPr>
        <w:t>商务</w:t>
      </w:r>
      <w:r>
        <w:rPr>
          <w:rFonts w:hint="eastAsia" w:ascii="宋体" w:hAnsi="宋体" w:cs="宋体"/>
          <w:color w:val="auto"/>
          <w:sz w:val="24"/>
          <w:highlight w:val="none"/>
          <w:lang w:val="en-GB"/>
        </w:rPr>
        <w:t>技术规格，并对照招标文件要求，对确实存在投标产品（</w:t>
      </w:r>
      <w:r>
        <w:rPr>
          <w:rFonts w:hint="eastAsia" w:ascii="宋体" w:hAnsi="宋体" w:cs="宋体"/>
          <w:color w:val="auto"/>
          <w:sz w:val="24"/>
          <w:highlight w:val="none"/>
        </w:rPr>
        <w:t>或服务）</w:t>
      </w:r>
      <w:r>
        <w:rPr>
          <w:rFonts w:hint="eastAsia" w:ascii="宋体" w:hAnsi="宋体" w:cs="宋体"/>
          <w:color w:val="auto"/>
          <w:sz w:val="24"/>
          <w:highlight w:val="none"/>
          <w:lang w:val="en-GB"/>
        </w:rPr>
        <w:t>要求与招标文件要求有偏离的情况，应如实填写本表。“偏离指标及说明”栏注明偏离情况；“备注”栏注明此项偏离为“正偏离”或“负偏离”；投标人</w:t>
      </w:r>
      <w:r>
        <w:rPr>
          <w:rFonts w:hint="eastAsia" w:ascii="宋体" w:hAnsi="宋体" w:cs="宋体"/>
          <w:color w:val="auto"/>
          <w:sz w:val="24"/>
          <w:highlight w:val="none"/>
          <w:lang w:val="en-GB" w:eastAsia="zh-CN"/>
        </w:rPr>
        <w:t>因</w:t>
      </w:r>
      <w:r>
        <w:rPr>
          <w:rFonts w:hint="eastAsia" w:ascii="宋体" w:hAnsi="宋体" w:cs="宋体"/>
          <w:color w:val="auto"/>
          <w:sz w:val="24"/>
          <w:highlight w:val="none"/>
          <w:lang w:val="en-GB"/>
        </w:rPr>
        <w:t>任何原因漏写或缺项或填写不正确的，后果由投标人自行承担。</w:t>
      </w:r>
    </w:p>
    <w:p w14:paraId="659B2329">
      <w:pPr>
        <w:pStyle w:val="47"/>
        <w:tabs>
          <w:tab w:val="left" w:pos="1267"/>
        </w:tabs>
        <w:spacing w:line="400" w:lineRule="exact"/>
        <w:ind w:firstLine="480" w:firstLineChars="200"/>
        <w:rPr>
          <w:rFonts w:ascii="宋体" w:hAnsi="宋体" w:cs="宋体"/>
          <w:strike/>
          <w:color w:val="auto"/>
          <w:sz w:val="24"/>
          <w:highlight w:val="none"/>
          <w:lang w:val="en-GB"/>
        </w:rPr>
      </w:pPr>
      <w:r>
        <w:rPr>
          <w:rFonts w:hint="eastAsia" w:ascii="宋体" w:hAnsi="宋体" w:cs="宋体"/>
          <w:color w:val="auto"/>
          <w:sz w:val="24"/>
          <w:highlight w:val="none"/>
          <w:lang w:val="en-GB"/>
        </w:rPr>
        <w:t>2. 投标人如实填写本表，并对其真实性负责。</w:t>
      </w:r>
      <w:r>
        <w:rPr>
          <w:rFonts w:hint="eastAsia" w:ascii="宋体" w:hAnsi="宋体" w:cs="宋体"/>
          <w:color w:val="auto"/>
          <w:sz w:val="24"/>
          <w:highlight w:val="none"/>
        </w:rPr>
        <w:t>评标委员会</w:t>
      </w:r>
      <w:r>
        <w:rPr>
          <w:rFonts w:hint="eastAsia" w:ascii="宋体" w:hAnsi="宋体" w:cs="宋体"/>
          <w:color w:val="auto"/>
          <w:sz w:val="24"/>
          <w:highlight w:val="none"/>
          <w:lang w:val="en-GB"/>
        </w:rPr>
        <w:t>将根据评标办法和细则进行打分。</w:t>
      </w:r>
    </w:p>
    <w:p w14:paraId="3938E2FF">
      <w:pPr>
        <w:pStyle w:val="47"/>
        <w:spacing w:line="400" w:lineRule="exact"/>
        <w:ind w:firstLine="480" w:firstLineChars="200"/>
        <w:rPr>
          <w:rFonts w:ascii="宋体" w:hAnsi="宋体" w:cs="宋体"/>
          <w:color w:val="auto"/>
          <w:sz w:val="24"/>
          <w:highlight w:val="none"/>
          <w:lang w:val="en-GB"/>
        </w:rPr>
      </w:pPr>
      <w:r>
        <w:rPr>
          <w:rFonts w:hint="eastAsia" w:ascii="宋体" w:hAnsi="宋体" w:cs="宋体"/>
          <w:color w:val="auto"/>
          <w:sz w:val="24"/>
          <w:highlight w:val="none"/>
          <w:lang w:val="en-GB"/>
        </w:rPr>
        <w:t>3. 投标人注明的偏离情况只作为评标专家评定的参考，最终是否构成偏离或实质性偏离情况应由</w:t>
      </w:r>
      <w:r>
        <w:rPr>
          <w:rFonts w:hint="eastAsia" w:ascii="宋体" w:hAnsi="宋体" w:cs="宋体"/>
          <w:color w:val="auto"/>
          <w:sz w:val="24"/>
          <w:highlight w:val="none"/>
        </w:rPr>
        <w:t>评标委员会</w:t>
      </w:r>
      <w:r>
        <w:rPr>
          <w:rFonts w:hint="eastAsia" w:ascii="宋体" w:hAnsi="宋体" w:cs="宋体"/>
          <w:color w:val="auto"/>
          <w:sz w:val="24"/>
          <w:highlight w:val="none"/>
          <w:lang w:val="en-GB"/>
        </w:rPr>
        <w:t>决定。</w:t>
      </w:r>
    </w:p>
    <w:p w14:paraId="05354530">
      <w:pPr>
        <w:pStyle w:val="47"/>
        <w:spacing w:line="400" w:lineRule="exact"/>
        <w:ind w:firstLine="480" w:firstLineChars="200"/>
        <w:rPr>
          <w:rFonts w:ascii="宋体" w:hAnsi="宋体" w:cs="宋体"/>
          <w:color w:val="auto"/>
          <w:sz w:val="24"/>
          <w:szCs w:val="20"/>
          <w:highlight w:val="none"/>
        </w:rPr>
      </w:pPr>
      <w:r>
        <w:rPr>
          <w:rFonts w:hint="eastAsia" w:ascii="宋体" w:hAnsi="宋体" w:cs="宋体"/>
          <w:color w:val="auto"/>
          <w:sz w:val="24"/>
          <w:highlight w:val="none"/>
          <w:lang w:val="en-GB"/>
        </w:rPr>
        <w:t>4. 不允许存在实质性负偏离。非实质性负偏离超过招标文件规定的项数，投标文件无效；（招标文件中标注</w:t>
      </w:r>
      <w:r>
        <w:rPr>
          <w:rFonts w:hint="eastAsia" w:ascii="宋体" w:hAnsi="宋体" w:cs="宋体"/>
          <w:color w:val="auto"/>
          <w:sz w:val="24"/>
          <w:szCs w:val="20"/>
          <w:highlight w:val="none"/>
        </w:rPr>
        <w:t>“▲”条款为实质性条款）。</w:t>
      </w:r>
    </w:p>
    <w:p w14:paraId="48C3A3F9">
      <w:pPr>
        <w:pStyle w:val="47"/>
        <w:spacing w:line="400" w:lineRule="exact"/>
        <w:ind w:firstLine="480" w:firstLineChars="200"/>
        <w:rPr>
          <w:rFonts w:ascii="宋体" w:hAnsi="宋体" w:cs="宋体"/>
          <w:b/>
          <w:bCs/>
          <w:color w:val="auto"/>
          <w:sz w:val="24"/>
          <w:highlight w:val="none"/>
        </w:rPr>
      </w:pPr>
      <w:r>
        <w:rPr>
          <w:rFonts w:hint="eastAsia" w:ascii="宋体" w:hAnsi="宋体" w:cs="宋体"/>
          <w:color w:val="auto"/>
          <w:sz w:val="24"/>
          <w:highlight w:val="none"/>
          <w:lang w:val="en-GB"/>
        </w:rPr>
        <w:t>5. 投标规格的实际偏离情况以</w:t>
      </w:r>
      <w:r>
        <w:rPr>
          <w:rFonts w:hint="eastAsia" w:ascii="宋体" w:hAnsi="宋体" w:cs="宋体"/>
          <w:color w:val="auto"/>
          <w:sz w:val="24"/>
          <w:highlight w:val="none"/>
        </w:rPr>
        <w:t>评标委员会</w:t>
      </w:r>
      <w:r>
        <w:rPr>
          <w:rFonts w:hint="eastAsia" w:ascii="宋体" w:hAnsi="宋体" w:cs="宋体"/>
          <w:color w:val="auto"/>
          <w:sz w:val="24"/>
          <w:highlight w:val="none"/>
          <w:lang w:val="en-GB"/>
        </w:rPr>
        <w:t>综合评价为准，</w:t>
      </w:r>
      <w:r>
        <w:rPr>
          <w:rFonts w:hint="eastAsia" w:ascii="宋体" w:hAnsi="宋体" w:cs="宋体"/>
          <w:bCs/>
          <w:color w:val="auto"/>
          <w:sz w:val="24"/>
          <w:highlight w:val="none"/>
        </w:rPr>
        <w:t>解释权属</w:t>
      </w:r>
      <w:r>
        <w:rPr>
          <w:rFonts w:hint="eastAsia" w:ascii="宋体" w:hAnsi="宋体" w:cs="宋体"/>
          <w:color w:val="auto"/>
          <w:sz w:val="24"/>
          <w:highlight w:val="none"/>
        </w:rPr>
        <w:t>评标委员会</w:t>
      </w:r>
      <w:r>
        <w:rPr>
          <w:rFonts w:hint="eastAsia" w:ascii="宋体" w:hAnsi="宋体" w:cs="宋体"/>
          <w:bCs/>
          <w:color w:val="auto"/>
          <w:sz w:val="24"/>
          <w:highlight w:val="none"/>
        </w:rPr>
        <w:t>。</w:t>
      </w:r>
    </w:p>
    <w:p w14:paraId="7C15A9FC">
      <w:pPr>
        <w:pStyle w:val="37"/>
        <w:wordWrap w:val="0"/>
        <w:spacing w:line="360" w:lineRule="auto"/>
        <w:ind w:firstLine="480"/>
        <w:jc w:val="right"/>
        <w:rPr>
          <w:rFonts w:ascii="宋体" w:hAnsi="宋体" w:cs="宋体"/>
          <w:color w:val="auto"/>
          <w:sz w:val="24"/>
          <w:szCs w:val="21"/>
          <w:highlight w:val="none"/>
        </w:rPr>
      </w:pPr>
    </w:p>
    <w:p w14:paraId="45222172">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投标人盖章：</w:t>
      </w:r>
      <w:r>
        <w:rPr>
          <w:rFonts w:hint="eastAsia" w:ascii="宋体" w:hAnsi="宋体" w:cs="宋体"/>
          <w:color w:val="auto"/>
          <w:sz w:val="24"/>
          <w:szCs w:val="21"/>
          <w:highlight w:val="none"/>
          <w:u w:val="single"/>
        </w:rPr>
        <w:t xml:space="preserve">                </w:t>
      </w:r>
    </w:p>
    <w:p w14:paraId="3A94480E">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日      期：</w:t>
      </w:r>
      <w:r>
        <w:rPr>
          <w:rFonts w:hint="eastAsia" w:ascii="宋体" w:hAnsi="宋体" w:cs="宋体"/>
          <w:color w:val="auto"/>
          <w:sz w:val="24"/>
          <w:szCs w:val="21"/>
          <w:highlight w:val="none"/>
          <w:u w:val="single"/>
        </w:rPr>
        <w:t xml:space="preserve">                </w:t>
      </w:r>
    </w:p>
    <w:p w14:paraId="4F94882E">
      <w:pPr>
        <w:pStyle w:val="7"/>
        <w:spacing w:before="0" w:after="0"/>
        <w:ind w:firstLine="0" w:firstLineChars="0"/>
        <w:jc w:val="left"/>
        <w:rPr>
          <w:rFonts w:hint="eastAsia" w:ascii="宋体" w:hAnsi="宋体" w:eastAsia="宋体" w:cs="宋体"/>
          <w:color w:val="auto"/>
          <w:sz w:val="24"/>
          <w:szCs w:val="24"/>
          <w:highlight w:val="none"/>
        </w:rPr>
      </w:pPr>
      <w:bookmarkStart w:id="639" w:name="_Toc14607"/>
    </w:p>
    <w:p w14:paraId="583E32E9">
      <w:pPr>
        <w:rPr>
          <w:rFonts w:hint="eastAsia"/>
          <w:highlight w:val="none"/>
        </w:rPr>
      </w:pPr>
    </w:p>
    <w:p w14:paraId="440C7780">
      <w:pPr>
        <w:pStyle w:val="7"/>
        <w:spacing w:before="0" w:after="0"/>
        <w:ind w:firstLine="0" w:firstLineChars="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    评标标准相应的商务技术资料</w:t>
      </w:r>
      <w:bookmarkEnd w:id="639"/>
    </w:p>
    <w:p w14:paraId="34E8C80A">
      <w:pPr>
        <w:pStyle w:val="8"/>
        <w:rPr>
          <w:rFonts w:ascii="宋体" w:hAnsi="宋体" w:cs="宋体"/>
          <w:b/>
          <w:color w:val="auto"/>
          <w:sz w:val="24"/>
          <w:highlight w:val="none"/>
        </w:rPr>
      </w:pPr>
    </w:p>
    <w:p w14:paraId="572A70B1">
      <w:pPr>
        <w:pStyle w:val="8"/>
        <w:rPr>
          <w:rFonts w:ascii="宋体" w:hAnsi="宋体" w:cs="宋体"/>
          <w:b/>
          <w:color w:val="auto"/>
          <w:sz w:val="24"/>
          <w:highlight w:val="none"/>
        </w:rPr>
      </w:pPr>
      <w:r>
        <w:rPr>
          <w:rFonts w:hint="eastAsia" w:ascii="宋体" w:hAnsi="宋体" w:cs="宋体"/>
          <w:b/>
          <w:color w:val="auto"/>
          <w:sz w:val="24"/>
          <w:highlight w:val="none"/>
        </w:rPr>
        <w:t>（按招标文件第六章评标办法和评标标准中“评标内容及标准”要求提供资料，投标文件应按照招标文件已提供的格式填写，无格式的可自行设计。）</w:t>
      </w:r>
    </w:p>
    <w:p w14:paraId="473ECAD3">
      <w:pPr>
        <w:pStyle w:val="8"/>
        <w:rPr>
          <w:rFonts w:ascii="宋体" w:hAnsi="宋体" w:cs="宋体"/>
          <w:b/>
          <w:color w:val="auto"/>
          <w:sz w:val="24"/>
          <w:highlight w:val="none"/>
        </w:rPr>
      </w:pPr>
    </w:p>
    <w:bookmarkEnd w:id="628"/>
    <w:bookmarkEnd w:id="629"/>
    <w:bookmarkEnd w:id="630"/>
    <w:bookmarkEnd w:id="631"/>
    <w:bookmarkEnd w:id="632"/>
    <w:bookmarkEnd w:id="633"/>
    <w:bookmarkEnd w:id="634"/>
    <w:bookmarkEnd w:id="635"/>
    <w:p w14:paraId="3EAB8CFB">
      <w:pPr>
        <w:pStyle w:val="7"/>
        <w:spacing w:before="0" w:after="0"/>
        <w:ind w:firstLine="0" w:firstLineChars="0"/>
        <w:jc w:val="left"/>
        <w:rPr>
          <w:rFonts w:ascii="宋体" w:hAnsi="宋体" w:eastAsia="宋体" w:cs="宋体"/>
          <w:color w:val="auto"/>
          <w:sz w:val="24"/>
          <w:szCs w:val="24"/>
          <w:highlight w:val="none"/>
        </w:rPr>
      </w:pPr>
      <w:bookmarkStart w:id="640" w:name="_Toc531359060"/>
      <w:bookmarkStart w:id="641" w:name="_Toc9344"/>
      <w:bookmarkStart w:id="642" w:name="_Toc21518"/>
      <w:bookmarkStart w:id="643" w:name="_Toc11872"/>
      <w:bookmarkStart w:id="644" w:name="_Toc17385"/>
      <w:bookmarkStart w:id="645" w:name="_Toc2599"/>
      <w:bookmarkStart w:id="646" w:name="_Toc97213041"/>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成功案例及业绩</w:t>
      </w:r>
      <w:bookmarkEnd w:id="640"/>
      <w:r>
        <w:rPr>
          <w:rFonts w:hint="eastAsia" w:ascii="宋体" w:hAnsi="宋体" w:eastAsia="宋体" w:cs="宋体"/>
          <w:color w:val="auto"/>
          <w:sz w:val="24"/>
          <w:szCs w:val="24"/>
          <w:highlight w:val="none"/>
        </w:rPr>
        <w:t>格式</w:t>
      </w:r>
      <w:bookmarkEnd w:id="641"/>
      <w:bookmarkEnd w:id="642"/>
      <w:bookmarkEnd w:id="643"/>
      <w:bookmarkEnd w:id="644"/>
      <w:bookmarkEnd w:id="645"/>
      <w:bookmarkEnd w:id="646"/>
    </w:p>
    <w:p w14:paraId="76CFCAF3">
      <w:pPr>
        <w:pStyle w:val="8"/>
        <w:ind w:firstLine="0"/>
        <w:jc w:val="center"/>
        <w:rPr>
          <w:rFonts w:ascii="宋体" w:hAnsi="宋体" w:cs="宋体"/>
          <w:b/>
          <w:color w:val="auto"/>
          <w:sz w:val="32"/>
          <w:szCs w:val="32"/>
          <w:highlight w:val="none"/>
        </w:rPr>
      </w:pPr>
      <w:r>
        <w:rPr>
          <w:rFonts w:hint="eastAsia" w:ascii="宋体" w:hAnsi="宋体" w:cs="宋体"/>
          <w:b/>
          <w:color w:val="auto"/>
          <w:sz w:val="32"/>
          <w:szCs w:val="32"/>
          <w:highlight w:val="none"/>
        </w:rPr>
        <w:t>成功案例及业绩（如有）</w:t>
      </w:r>
    </w:p>
    <w:p w14:paraId="6EFF60CD">
      <w:pPr>
        <w:pStyle w:val="8"/>
        <w:spacing w:line="360" w:lineRule="auto"/>
        <w:ind w:firstLine="0"/>
        <w:jc w:val="center"/>
        <w:rPr>
          <w:rFonts w:ascii="宋体" w:hAnsi="宋体" w:cs="宋体"/>
          <w:color w:val="auto"/>
          <w:sz w:val="24"/>
          <w:szCs w:val="24"/>
          <w:highlight w:val="none"/>
        </w:rPr>
      </w:pPr>
      <w:r>
        <w:rPr>
          <w:rFonts w:hint="eastAsia" w:ascii="宋体" w:hAnsi="宋体" w:cs="宋体"/>
          <w:color w:val="auto"/>
          <w:sz w:val="24"/>
          <w:highlight w:val="none"/>
        </w:rPr>
        <w:t>投标人类似项目实施情况一览表</w:t>
      </w:r>
      <w:r>
        <w:rPr>
          <w:rFonts w:hint="eastAsia" w:ascii="宋体" w:hAnsi="宋体" w:cs="宋体"/>
          <w:color w:val="auto"/>
          <w:sz w:val="24"/>
          <w:szCs w:val="24"/>
          <w:highlight w:val="none"/>
        </w:rPr>
        <w:t>（格式仅供参考）</w:t>
      </w:r>
    </w:p>
    <w:tbl>
      <w:tblPr>
        <w:tblStyle w:val="24"/>
        <w:tblW w:w="904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6"/>
        <w:gridCol w:w="838"/>
        <w:gridCol w:w="1261"/>
        <w:gridCol w:w="695"/>
        <w:gridCol w:w="1122"/>
        <w:gridCol w:w="840"/>
        <w:gridCol w:w="697"/>
        <w:gridCol w:w="861"/>
        <w:gridCol w:w="744"/>
        <w:gridCol w:w="1294"/>
      </w:tblGrid>
      <w:tr w14:paraId="7251D1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vMerge w:val="restart"/>
            <w:tcBorders>
              <w:top w:val="single" w:color="auto" w:sz="4" w:space="0"/>
              <w:left w:val="single" w:color="auto" w:sz="4" w:space="0"/>
              <w:bottom w:val="single" w:color="auto" w:sz="4" w:space="0"/>
              <w:right w:val="single" w:color="auto" w:sz="4" w:space="0"/>
            </w:tcBorders>
            <w:vAlign w:val="center"/>
          </w:tcPr>
          <w:p w14:paraId="352E8A00">
            <w:pPr>
              <w:snapToGrid w:val="0"/>
              <w:ind w:left="-78" w:leftChars="-37" w:right="-44" w:rightChars="-21"/>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838" w:type="dxa"/>
            <w:vMerge w:val="restart"/>
            <w:tcBorders>
              <w:top w:val="single" w:color="auto" w:sz="4" w:space="0"/>
              <w:left w:val="single" w:color="auto" w:sz="4" w:space="0"/>
              <w:bottom w:val="single" w:color="auto" w:sz="4" w:space="0"/>
              <w:right w:val="single" w:color="auto" w:sz="4" w:space="0"/>
            </w:tcBorders>
            <w:vAlign w:val="center"/>
          </w:tcPr>
          <w:p w14:paraId="6B7D67EF">
            <w:pPr>
              <w:snapToGrid w:val="0"/>
              <w:ind w:left="-78" w:leftChars="-37" w:right="-44" w:rightChars="-21"/>
              <w:jc w:val="center"/>
              <w:rPr>
                <w:rFonts w:ascii="宋体" w:hAnsi="宋体" w:cs="宋体"/>
                <w:color w:val="auto"/>
                <w:sz w:val="24"/>
                <w:szCs w:val="24"/>
                <w:highlight w:val="none"/>
              </w:rPr>
            </w:pPr>
            <w:r>
              <w:rPr>
                <w:rFonts w:hint="eastAsia" w:ascii="宋体" w:hAnsi="宋体" w:cs="宋体"/>
                <w:color w:val="auto"/>
                <w:sz w:val="24"/>
                <w:szCs w:val="24"/>
                <w:highlight w:val="none"/>
              </w:rPr>
              <w:t>采购人名称</w:t>
            </w:r>
          </w:p>
        </w:tc>
        <w:tc>
          <w:tcPr>
            <w:tcW w:w="1261" w:type="dxa"/>
            <w:vMerge w:val="restart"/>
            <w:tcBorders>
              <w:top w:val="single" w:color="auto" w:sz="4" w:space="0"/>
              <w:left w:val="single" w:color="auto" w:sz="4" w:space="0"/>
              <w:bottom w:val="single" w:color="auto" w:sz="4" w:space="0"/>
              <w:right w:val="single" w:color="auto" w:sz="4" w:space="0"/>
            </w:tcBorders>
            <w:vAlign w:val="center"/>
          </w:tcPr>
          <w:p w14:paraId="461FCD91">
            <w:pPr>
              <w:snapToGrid w:val="0"/>
              <w:ind w:left="-78" w:leftChars="-37" w:right="-44" w:rightChars="-21"/>
              <w:jc w:val="center"/>
              <w:rPr>
                <w:rFonts w:ascii="宋体" w:hAnsi="宋体" w:cs="宋体"/>
                <w:color w:val="auto"/>
                <w:sz w:val="24"/>
                <w:szCs w:val="24"/>
                <w:highlight w:val="none"/>
              </w:rPr>
            </w:pPr>
            <w:r>
              <w:rPr>
                <w:rFonts w:hint="eastAsia" w:ascii="宋体" w:hAnsi="宋体" w:cs="宋体"/>
                <w:color w:val="auto"/>
                <w:sz w:val="24"/>
                <w:szCs w:val="24"/>
                <w:highlight w:val="none"/>
              </w:rPr>
              <w:t>产品或项目名称</w:t>
            </w:r>
          </w:p>
        </w:tc>
        <w:tc>
          <w:tcPr>
            <w:tcW w:w="695" w:type="dxa"/>
            <w:vMerge w:val="restart"/>
            <w:tcBorders>
              <w:top w:val="single" w:color="auto" w:sz="4" w:space="0"/>
              <w:left w:val="single" w:color="auto" w:sz="4" w:space="0"/>
              <w:bottom w:val="single" w:color="auto" w:sz="4" w:space="0"/>
              <w:right w:val="single" w:color="auto" w:sz="4" w:space="0"/>
            </w:tcBorders>
            <w:vAlign w:val="center"/>
          </w:tcPr>
          <w:p w14:paraId="457DA227">
            <w:pPr>
              <w:snapToGrid w:val="0"/>
              <w:ind w:left="-78" w:leftChars="-37" w:right="-44" w:rightChars="-21"/>
              <w:jc w:val="center"/>
              <w:rPr>
                <w:rFonts w:ascii="宋体" w:hAnsi="宋体" w:cs="宋体"/>
                <w:color w:val="auto"/>
                <w:sz w:val="24"/>
                <w:szCs w:val="24"/>
                <w:highlight w:val="none"/>
              </w:rPr>
            </w:pPr>
            <w:r>
              <w:rPr>
                <w:rFonts w:hint="eastAsia" w:ascii="宋体" w:hAnsi="宋体" w:cs="宋体"/>
                <w:color w:val="auto"/>
                <w:sz w:val="24"/>
                <w:szCs w:val="24"/>
                <w:highlight w:val="none"/>
              </w:rPr>
              <w:t>采购数量</w:t>
            </w:r>
          </w:p>
        </w:tc>
        <w:tc>
          <w:tcPr>
            <w:tcW w:w="1122" w:type="dxa"/>
            <w:vMerge w:val="restart"/>
            <w:tcBorders>
              <w:top w:val="single" w:color="auto" w:sz="4" w:space="0"/>
              <w:left w:val="single" w:color="auto" w:sz="4" w:space="0"/>
              <w:bottom w:val="single" w:color="auto" w:sz="4" w:space="0"/>
              <w:right w:val="single" w:color="auto" w:sz="4" w:space="0"/>
            </w:tcBorders>
            <w:vAlign w:val="center"/>
          </w:tcPr>
          <w:p w14:paraId="33A90D09">
            <w:pPr>
              <w:snapToGrid w:val="0"/>
              <w:ind w:left="-78" w:leftChars="-37" w:right="-44" w:rightChars="-21"/>
              <w:jc w:val="center"/>
              <w:rPr>
                <w:rFonts w:ascii="宋体" w:hAnsi="宋体" w:cs="宋体"/>
                <w:color w:val="auto"/>
                <w:sz w:val="24"/>
                <w:szCs w:val="24"/>
                <w:highlight w:val="none"/>
              </w:rPr>
            </w:pPr>
            <w:r>
              <w:rPr>
                <w:rFonts w:hint="eastAsia" w:ascii="宋体" w:hAnsi="宋体" w:cs="宋体"/>
                <w:color w:val="auto"/>
                <w:sz w:val="24"/>
                <w:szCs w:val="24"/>
                <w:highlight w:val="none"/>
              </w:rPr>
              <w:t>合同金额</w:t>
            </w:r>
          </w:p>
          <w:p w14:paraId="77DF8465">
            <w:pPr>
              <w:snapToGrid w:val="0"/>
              <w:ind w:left="-78" w:leftChars="-37" w:right="-44" w:rightChars="-21"/>
              <w:jc w:val="center"/>
              <w:rPr>
                <w:rFonts w:ascii="宋体" w:hAnsi="宋体" w:cs="宋体"/>
                <w:color w:val="auto"/>
                <w:sz w:val="24"/>
                <w:szCs w:val="24"/>
                <w:highlight w:val="none"/>
              </w:rPr>
            </w:pPr>
            <w:r>
              <w:rPr>
                <w:rFonts w:hint="eastAsia" w:ascii="宋体" w:hAnsi="宋体" w:cs="宋体"/>
                <w:color w:val="auto"/>
                <w:sz w:val="24"/>
                <w:szCs w:val="24"/>
                <w:highlight w:val="none"/>
              </w:rPr>
              <w:t>（万元）</w:t>
            </w:r>
          </w:p>
        </w:tc>
        <w:tc>
          <w:tcPr>
            <w:tcW w:w="840" w:type="dxa"/>
            <w:vMerge w:val="restart"/>
            <w:tcBorders>
              <w:top w:val="single" w:color="auto" w:sz="4" w:space="0"/>
              <w:left w:val="single" w:color="auto" w:sz="4" w:space="0"/>
              <w:right w:val="single" w:color="auto" w:sz="4" w:space="0"/>
            </w:tcBorders>
            <w:vAlign w:val="center"/>
          </w:tcPr>
          <w:p w14:paraId="757A06C7">
            <w:pPr>
              <w:snapToGrid w:val="0"/>
              <w:ind w:left="-78" w:leftChars="-37" w:right="-44" w:rightChars="-21"/>
              <w:jc w:val="center"/>
              <w:rPr>
                <w:rFonts w:ascii="宋体" w:hAnsi="宋体" w:cs="宋体"/>
                <w:color w:val="auto"/>
                <w:sz w:val="24"/>
                <w:szCs w:val="24"/>
                <w:highlight w:val="none"/>
              </w:rPr>
            </w:pPr>
            <w:r>
              <w:rPr>
                <w:rFonts w:hint="eastAsia" w:ascii="宋体" w:hAnsi="宋体" w:cs="宋体"/>
                <w:color w:val="auto"/>
                <w:sz w:val="24"/>
                <w:szCs w:val="24"/>
                <w:highlight w:val="none"/>
              </w:rPr>
              <w:t>签约及完成日期</w:t>
            </w:r>
          </w:p>
        </w:tc>
        <w:tc>
          <w:tcPr>
            <w:tcW w:w="2302" w:type="dxa"/>
            <w:gridSpan w:val="3"/>
            <w:tcBorders>
              <w:top w:val="single" w:color="auto" w:sz="4" w:space="0"/>
              <w:left w:val="single" w:color="auto" w:sz="4" w:space="0"/>
              <w:bottom w:val="single" w:color="auto" w:sz="4" w:space="0"/>
              <w:right w:val="single" w:color="auto" w:sz="4" w:space="0"/>
            </w:tcBorders>
            <w:vAlign w:val="center"/>
          </w:tcPr>
          <w:p w14:paraId="0788129C">
            <w:pPr>
              <w:snapToGrid w:val="0"/>
              <w:ind w:left="-78" w:leftChars="-37" w:right="-44" w:rightChars="-21"/>
              <w:jc w:val="center"/>
              <w:rPr>
                <w:rFonts w:ascii="宋体" w:hAnsi="宋体" w:cs="宋体"/>
                <w:color w:val="auto"/>
                <w:sz w:val="24"/>
                <w:szCs w:val="24"/>
                <w:highlight w:val="none"/>
              </w:rPr>
            </w:pPr>
            <w:r>
              <w:rPr>
                <w:rFonts w:hint="eastAsia" w:ascii="宋体" w:hAnsi="宋体" w:cs="宋体"/>
                <w:color w:val="auto"/>
                <w:sz w:val="24"/>
                <w:szCs w:val="24"/>
                <w:highlight w:val="none"/>
              </w:rPr>
              <w:t>附件页码</w:t>
            </w:r>
          </w:p>
        </w:tc>
        <w:tc>
          <w:tcPr>
            <w:tcW w:w="1294" w:type="dxa"/>
            <w:vMerge w:val="restart"/>
            <w:tcBorders>
              <w:top w:val="single" w:color="auto" w:sz="4" w:space="0"/>
              <w:left w:val="single" w:color="auto" w:sz="4" w:space="0"/>
              <w:bottom w:val="single" w:color="auto" w:sz="4" w:space="0"/>
              <w:right w:val="single" w:color="auto" w:sz="4" w:space="0"/>
            </w:tcBorders>
            <w:vAlign w:val="center"/>
          </w:tcPr>
          <w:p w14:paraId="0E10F5E3">
            <w:pPr>
              <w:snapToGrid w:val="0"/>
              <w:ind w:left="-78" w:leftChars="-37" w:right="-44" w:rightChars="-21"/>
              <w:jc w:val="center"/>
              <w:rPr>
                <w:rFonts w:ascii="宋体" w:hAnsi="宋体" w:cs="宋体"/>
                <w:color w:val="auto"/>
                <w:sz w:val="24"/>
                <w:szCs w:val="24"/>
                <w:highlight w:val="none"/>
              </w:rPr>
            </w:pPr>
            <w:r>
              <w:rPr>
                <w:rFonts w:hint="eastAsia" w:ascii="宋体" w:hAnsi="宋体" w:cs="宋体"/>
                <w:color w:val="auto"/>
                <w:sz w:val="24"/>
                <w:szCs w:val="24"/>
                <w:highlight w:val="none"/>
              </w:rPr>
              <w:t>采购人联系人及联系电话</w:t>
            </w:r>
          </w:p>
        </w:tc>
      </w:tr>
      <w:tr w14:paraId="468467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vMerge w:val="continue"/>
            <w:tcBorders>
              <w:top w:val="single" w:color="auto" w:sz="4" w:space="0"/>
              <w:left w:val="single" w:color="auto" w:sz="4" w:space="0"/>
              <w:bottom w:val="single" w:color="auto" w:sz="4" w:space="0"/>
              <w:right w:val="single" w:color="auto" w:sz="4" w:space="0"/>
            </w:tcBorders>
            <w:vAlign w:val="center"/>
          </w:tcPr>
          <w:p w14:paraId="5F2B5A47">
            <w:pPr>
              <w:widowControl/>
              <w:jc w:val="left"/>
              <w:rPr>
                <w:rFonts w:ascii="宋体" w:hAnsi="宋体" w:cs="宋体"/>
                <w:color w:val="auto"/>
                <w:sz w:val="24"/>
                <w:szCs w:val="24"/>
                <w:highlight w:val="none"/>
              </w:rPr>
            </w:pPr>
          </w:p>
        </w:tc>
        <w:tc>
          <w:tcPr>
            <w:tcW w:w="838" w:type="dxa"/>
            <w:vMerge w:val="continue"/>
            <w:tcBorders>
              <w:top w:val="single" w:color="auto" w:sz="4" w:space="0"/>
              <w:left w:val="single" w:color="auto" w:sz="4" w:space="0"/>
              <w:bottom w:val="single" w:color="auto" w:sz="4" w:space="0"/>
              <w:right w:val="single" w:color="auto" w:sz="4" w:space="0"/>
            </w:tcBorders>
            <w:vAlign w:val="center"/>
          </w:tcPr>
          <w:p w14:paraId="299778B7">
            <w:pPr>
              <w:widowControl/>
              <w:jc w:val="left"/>
              <w:rPr>
                <w:rFonts w:ascii="宋体" w:hAnsi="宋体" w:cs="宋体"/>
                <w:color w:val="auto"/>
                <w:sz w:val="24"/>
                <w:szCs w:val="24"/>
                <w:highlight w:val="none"/>
              </w:rPr>
            </w:pPr>
          </w:p>
        </w:tc>
        <w:tc>
          <w:tcPr>
            <w:tcW w:w="1261" w:type="dxa"/>
            <w:vMerge w:val="continue"/>
            <w:tcBorders>
              <w:top w:val="single" w:color="auto" w:sz="4" w:space="0"/>
              <w:left w:val="single" w:color="auto" w:sz="4" w:space="0"/>
              <w:bottom w:val="single" w:color="auto" w:sz="4" w:space="0"/>
              <w:right w:val="single" w:color="auto" w:sz="4" w:space="0"/>
            </w:tcBorders>
            <w:vAlign w:val="center"/>
          </w:tcPr>
          <w:p w14:paraId="38A1B3F6">
            <w:pPr>
              <w:widowControl/>
              <w:jc w:val="left"/>
              <w:rPr>
                <w:rFonts w:ascii="宋体" w:hAnsi="宋体" w:cs="宋体"/>
                <w:color w:val="auto"/>
                <w:sz w:val="24"/>
                <w:szCs w:val="24"/>
                <w:highlight w:val="none"/>
              </w:rPr>
            </w:pPr>
          </w:p>
        </w:tc>
        <w:tc>
          <w:tcPr>
            <w:tcW w:w="695" w:type="dxa"/>
            <w:vMerge w:val="continue"/>
            <w:tcBorders>
              <w:top w:val="single" w:color="auto" w:sz="4" w:space="0"/>
              <w:left w:val="single" w:color="auto" w:sz="4" w:space="0"/>
              <w:bottom w:val="single" w:color="auto" w:sz="4" w:space="0"/>
              <w:right w:val="single" w:color="auto" w:sz="4" w:space="0"/>
            </w:tcBorders>
            <w:vAlign w:val="center"/>
          </w:tcPr>
          <w:p w14:paraId="231C7545">
            <w:pPr>
              <w:widowControl/>
              <w:jc w:val="left"/>
              <w:rPr>
                <w:rFonts w:ascii="宋体" w:hAnsi="宋体" w:cs="宋体"/>
                <w:color w:val="auto"/>
                <w:sz w:val="24"/>
                <w:szCs w:val="24"/>
                <w:highlight w:val="none"/>
              </w:rPr>
            </w:pPr>
          </w:p>
        </w:tc>
        <w:tc>
          <w:tcPr>
            <w:tcW w:w="1122" w:type="dxa"/>
            <w:vMerge w:val="continue"/>
            <w:tcBorders>
              <w:top w:val="single" w:color="auto" w:sz="4" w:space="0"/>
              <w:left w:val="single" w:color="auto" w:sz="4" w:space="0"/>
              <w:bottom w:val="single" w:color="auto" w:sz="4" w:space="0"/>
              <w:right w:val="single" w:color="auto" w:sz="4" w:space="0"/>
            </w:tcBorders>
            <w:vAlign w:val="center"/>
          </w:tcPr>
          <w:p w14:paraId="5DD1FFF6">
            <w:pPr>
              <w:widowControl/>
              <w:jc w:val="left"/>
              <w:rPr>
                <w:rFonts w:ascii="宋体" w:hAnsi="宋体" w:cs="宋体"/>
                <w:color w:val="auto"/>
                <w:sz w:val="24"/>
                <w:szCs w:val="24"/>
                <w:highlight w:val="none"/>
              </w:rPr>
            </w:pPr>
          </w:p>
        </w:tc>
        <w:tc>
          <w:tcPr>
            <w:tcW w:w="840" w:type="dxa"/>
            <w:vMerge w:val="continue"/>
            <w:tcBorders>
              <w:left w:val="single" w:color="auto" w:sz="4" w:space="0"/>
              <w:bottom w:val="single" w:color="auto" w:sz="4" w:space="0"/>
              <w:right w:val="single" w:color="auto" w:sz="4" w:space="0"/>
            </w:tcBorders>
            <w:vAlign w:val="center"/>
          </w:tcPr>
          <w:p w14:paraId="197B118C">
            <w:pPr>
              <w:snapToGrid w:val="0"/>
              <w:jc w:val="center"/>
              <w:rPr>
                <w:rFonts w:ascii="宋体" w:hAnsi="宋体" w:cs="宋体"/>
                <w:color w:val="auto"/>
                <w:sz w:val="24"/>
                <w:szCs w:val="24"/>
                <w:highlight w:val="none"/>
              </w:rPr>
            </w:pPr>
          </w:p>
        </w:tc>
        <w:tc>
          <w:tcPr>
            <w:tcW w:w="697" w:type="dxa"/>
            <w:tcBorders>
              <w:top w:val="single" w:color="auto" w:sz="4" w:space="0"/>
              <w:left w:val="single" w:color="auto" w:sz="4" w:space="0"/>
              <w:bottom w:val="single" w:color="auto" w:sz="4" w:space="0"/>
              <w:right w:val="single" w:color="auto" w:sz="4" w:space="0"/>
            </w:tcBorders>
            <w:vAlign w:val="center"/>
          </w:tcPr>
          <w:p w14:paraId="6E6F8D02">
            <w:pPr>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合同</w:t>
            </w:r>
          </w:p>
        </w:tc>
        <w:tc>
          <w:tcPr>
            <w:tcW w:w="861" w:type="dxa"/>
            <w:tcBorders>
              <w:top w:val="single" w:color="auto" w:sz="4" w:space="0"/>
              <w:left w:val="single" w:color="auto" w:sz="4" w:space="0"/>
              <w:bottom w:val="single" w:color="auto" w:sz="4" w:space="0"/>
              <w:right w:val="single" w:color="auto" w:sz="4" w:space="0"/>
            </w:tcBorders>
            <w:vAlign w:val="center"/>
          </w:tcPr>
          <w:p w14:paraId="7B654DA7">
            <w:pPr>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验收报告</w:t>
            </w:r>
          </w:p>
        </w:tc>
        <w:tc>
          <w:tcPr>
            <w:tcW w:w="744" w:type="dxa"/>
            <w:tcBorders>
              <w:top w:val="single" w:color="auto" w:sz="4" w:space="0"/>
              <w:left w:val="single" w:color="auto" w:sz="4" w:space="0"/>
              <w:bottom w:val="single" w:color="auto" w:sz="4" w:space="0"/>
              <w:right w:val="single" w:color="auto" w:sz="4" w:space="0"/>
            </w:tcBorders>
            <w:vAlign w:val="center"/>
          </w:tcPr>
          <w:p w14:paraId="3BED754F">
            <w:pPr>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用户评价</w:t>
            </w:r>
          </w:p>
        </w:tc>
        <w:tc>
          <w:tcPr>
            <w:tcW w:w="1294" w:type="dxa"/>
            <w:vMerge w:val="continue"/>
            <w:tcBorders>
              <w:top w:val="single" w:color="auto" w:sz="4" w:space="0"/>
              <w:left w:val="single" w:color="auto" w:sz="4" w:space="0"/>
              <w:bottom w:val="single" w:color="auto" w:sz="4" w:space="0"/>
              <w:right w:val="single" w:color="auto" w:sz="4" w:space="0"/>
            </w:tcBorders>
            <w:vAlign w:val="center"/>
          </w:tcPr>
          <w:p w14:paraId="56F6D889">
            <w:pPr>
              <w:widowControl/>
              <w:jc w:val="left"/>
              <w:rPr>
                <w:rFonts w:ascii="宋体" w:hAnsi="宋体" w:cs="宋体"/>
                <w:color w:val="auto"/>
                <w:sz w:val="24"/>
                <w:szCs w:val="24"/>
                <w:highlight w:val="none"/>
              </w:rPr>
            </w:pPr>
          </w:p>
        </w:tc>
      </w:tr>
      <w:tr w14:paraId="0AA46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4208BA35">
            <w:pPr>
              <w:snapToGrid w:val="0"/>
              <w:jc w:val="center"/>
              <w:rPr>
                <w:rFonts w:ascii="宋体" w:hAnsi="宋体" w:cs="宋体"/>
                <w:color w:val="auto"/>
                <w:sz w:val="24"/>
                <w:szCs w:val="24"/>
                <w:highlight w:val="none"/>
              </w:rPr>
            </w:pPr>
          </w:p>
        </w:tc>
        <w:tc>
          <w:tcPr>
            <w:tcW w:w="838" w:type="dxa"/>
            <w:tcBorders>
              <w:top w:val="single" w:color="auto" w:sz="4" w:space="0"/>
              <w:left w:val="single" w:color="auto" w:sz="4" w:space="0"/>
              <w:bottom w:val="single" w:color="auto" w:sz="4" w:space="0"/>
              <w:right w:val="single" w:color="auto" w:sz="4" w:space="0"/>
            </w:tcBorders>
            <w:vAlign w:val="center"/>
          </w:tcPr>
          <w:p w14:paraId="668B963E">
            <w:pPr>
              <w:snapToGrid w:val="0"/>
              <w:jc w:val="center"/>
              <w:rPr>
                <w:rFonts w:ascii="宋体" w:hAnsi="宋体" w:cs="宋体"/>
                <w:color w:val="auto"/>
                <w:sz w:val="24"/>
                <w:szCs w:val="24"/>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14:paraId="42D00785">
            <w:pPr>
              <w:snapToGrid w:val="0"/>
              <w:jc w:val="center"/>
              <w:rPr>
                <w:rFonts w:ascii="宋体" w:hAnsi="宋体" w:cs="宋体"/>
                <w:color w:val="auto"/>
                <w:sz w:val="24"/>
                <w:szCs w:val="24"/>
                <w:highlight w:val="none"/>
              </w:rPr>
            </w:pPr>
          </w:p>
        </w:tc>
        <w:tc>
          <w:tcPr>
            <w:tcW w:w="695" w:type="dxa"/>
            <w:tcBorders>
              <w:top w:val="single" w:color="auto" w:sz="4" w:space="0"/>
              <w:left w:val="single" w:color="auto" w:sz="4" w:space="0"/>
              <w:bottom w:val="single" w:color="auto" w:sz="4" w:space="0"/>
              <w:right w:val="single" w:color="auto" w:sz="4" w:space="0"/>
            </w:tcBorders>
            <w:vAlign w:val="center"/>
          </w:tcPr>
          <w:p w14:paraId="31418F27">
            <w:pPr>
              <w:snapToGrid w:val="0"/>
              <w:jc w:val="center"/>
              <w:rPr>
                <w:rFonts w:ascii="宋体" w:hAnsi="宋体" w:cs="宋体"/>
                <w:color w:val="auto"/>
                <w:sz w:val="24"/>
                <w:szCs w:val="24"/>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74419B72">
            <w:pPr>
              <w:snapToGrid w:val="0"/>
              <w:jc w:val="center"/>
              <w:rPr>
                <w:rFonts w:ascii="宋体" w:hAnsi="宋体" w:cs="宋体"/>
                <w:color w:val="auto"/>
                <w:sz w:val="24"/>
                <w:szCs w:val="24"/>
                <w:highlight w:val="none"/>
              </w:rPr>
            </w:pPr>
          </w:p>
        </w:tc>
        <w:tc>
          <w:tcPr>
            <w:tcW w:w="840" w:type="dxa"/>
            <w:tcBorders>
              <w:top w:val="single" w:color="auto" w:sz="4" w:space="0"/>
              <w:left w:val="single" w:color="auto" w:sz="4" w:space="0"/>
              <w:bottom w:val="single" w:color="auto" w:sz="4" w:space="0"/>
              <w:right w:val="single" w:color="auto" w:sz="4" w:space="0"/>
            </w:tcBorders>
            <w:vAlign w:val="center"/>
          </w:tcPr>
          <w:p w14:paraId="14E56DB1">
            <w:pPr>
              <w:snapToGrid w:val="0"/>
              <w:jc w:val="center"/>
              <w:rPr>
                <w:rFonts w:ascii="宋体" w:hAnsi="宋体" w:cs="宋体"/>
                <w:color w:val="auto"/>
                <w:sz w:val="24"/>
                <w:szCs w:val="24"/>
                <w:highlight w:val="none"/>
              </w:rPr>
            </w:pPr>
          </w:p>
        </w:tc>
        <w:tc>
          <w:tcPr>
            <w:tcW w:w="697" w:type="dxa"/>
            <w:tcBorders>
              <w:top w:val="single" w:color="auto" w:sz="4" w:space="0"/>
              <w:left w:val="single" w:color="auto" w:sz="4" w:space="0"/>
              <w:bottom w:val="single" w:color="auto" w:sz="4" w:space="0"/>
              <w:right w:val="single" w:color="auto" w:sz="4" w:space="0"/>
            </w:tcBorders>
            <w:vAlign w:val="center"/>
          </w:tcPr>
          <w:p w14:paraId="0DD7228D">
            <w:pPr>
              <w:snapToGrid w:val="0"/>
              <w:jc w:val="center"/>
              <w:rPr>
                <w:rFonts w:ascii="宋体" w:hAnsi="宋体" w:cs="宋体"/>
                <w:color w:val="auto"/>
                <w:sz w:val="24"/>
                <w:szCs w:val="24"/>
                <w:highlight w:val="none"/>
              </w:rPr>
            </w:pPr>
          </w:p>
        </w:tc>
        <w:tc>
          <w:tcPr>
            <w:tcW w:w="861" w:type="dxa"/>
            <w:tcBorders>
              <w:top w:val="single" w:color="auto" w:sz="4" w:space="0"/>
              <w:left w:val="single" w:color="auto" w:sz="4" w:space="0"/>
              <w:bottom w:val="single" w:color="auto" w:sz="4" w:space="0"/>
              <w:right w:val="single" w:color="auto" w:sz="4" w:space="0"/>
            </w:tcBorders>
            <w:vAlign w:val="center"/>
          </w:tcPr>
          <w:p w14:paraId="29A0BECD">
            <w:pPr>
              <w:snapToGrid w:val="0"/>
              <w:jc w:val="center"/>
              <w:rPr>
                <w:rFonts w:ascii="宋体" w:hAnsi="宋体" w:cs="宋体"/>
                <w:color w:val="auto"/>
                <w:sz w:val="24"/>
                <w:szCs w:val="24"/>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533AD782">
            <w:pPr>
              <w:snapToGrid w:val="0"/>
              <w:jc w:val="center"/>
              <w:rPr>
                <w:rFonts w:ascii="宋体" w:hAnsi="宋体" w:cs="宋体"/>
                <w:color w:val="auto"/>
                <w:sz w:val="24"/>
                <w:szCs w:val="24"/>
                <w:highlight w:val="none"/>
              </w:rPr>
            </w:pPr>
          </w:p>
        </w:tc>
        <w:tc>
          <w:tcPr>
            <w:tcW w:w="1294" w:type="dxa"/>
            <w:tcBorders>
              <w:top w:val="single" w:color="auto" w:sz="4" w:space="0"/>
              <w:left w:val="single" w:color="auto" w:sz="4" w:space="0"/>
              <w:bottom w:val="single" w:color="auto" w:sz="4" w:space="0"/>
              <w:right w:val="single" w:color="auto" w:sz="4" w:space="0"/>
            </w:tcBorders>
            <w:vAlign w:val="center"/>
          </w:tcPr>
          <w:p w14:paraId="376B7276">
            <w:pPr>
              <w:snapToGrid w:val="0"/>
              <w:jc w:val="center"/>
              <w:rPr>
                <w:rFonts w:ascii="宋体" w:hAnsi="宋体" w:cs="宋体"/>
                <w:color w:val="auto"/>
                <w:sz w:val="24"/>
                <w:szCs w:val="24"/>
                <w:highlight w:val="none"/>
              </w:rPr>
            </w:pPr>
          </w:p>
        </w:tc>
      </w:tr>
      <w:tr w14:paraId="6DC1BD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59824E85">
            <w:pPr>
              <w:snapToGrid w:val="0"/>
              <w:spacing w:before="50" w:after="120" w:afterLines="50"/>
              <w:jc w:val="center"/>
              <w:rPr>
                <w:rFonts w:ascii="宋体" w:hAnsi="宋体" w:cs="宋体"/>
                <w:color w:val="auto"/>
                <w:sz w:val="24"/>
                <w:szCs w:val="24"/>
                <w:highlight w:val="none"/>
              </w:rPr>
            </w:pPr>
            <w:r>
              <w:rPr>
                <w:rFonts w:hint="eastAsia" w:ascii="宋体" w:hAnsi="宋体" w:cs="宋体"/>
                <w:color w:val="auto"/>
                <w:sz w:val="24"/>
                <w:szCs w:val="24"/>
                <w:highlight w:val="none"/>
              </w:rPr>
              <w:t>……</w:t>
            </w:r>
          </w:p>
        </w:tc>
        <w:tc>
          <w:tcPr>
            <w:tcW w:w="838" w:type="dxa"/>
            <w:tcBorders>
              <w:top w:val="single" w:color="auto" w:sz="4" w:space="0"/>
              <w:left w:val="single" w:color="auto" w:sz="4" w:space="0"/>
              <w:bottom w:val="single" w:color="auto" w:sz="4" w:space="0"/>
              <w:right w:val="single" w:color="auto" w:sz="4" w:space="0"/>
            </w:tcBorders>
            <w:vAlign w:val="center"/>
          </w:tcPr>
          <w:p w14:paraId="3EDE7BDF">
            <w:pPr>
              <w:snapToGrid w:val="0"/>
              <w:spacing w:before="50" w:after="120" w:afterLines="50"/>
              <w:jc w:val="center"/>
              <w:rPr>
                <w:rFonts w:ascii="宋体" w:hAnsi="宋体" w:cs="宋体"/>
                <w:color w:val="auto"/>
                <w:sz w:val="24"/>
                <w:szCs w:val="24"/>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14:paraId="27A1BF5D">
            <w:pPr>
              <w:snapToGrid w:val="0"/>
              <w:spacing w:before="50" w:after="120" w:afterLines="50"/>
              <w:jc w:val="center"/>
              <w:rPr>
                <w:rFonts w:ascii="宋体" w:hAnsi="宋体" w:cs="宋体"/>
                <w:color w:val="auto"/>
                <w:sz w:val="24"/>
                <w:szCs w:val="24"/>
                <w:highlight w:val="none"/>
              </w:rPr>
            </w:pPr>
          </w:p>
        </w:tc>
        <w:tc>
          <w:tcPr>
            <w:tcW w:w="695" w:type="dxa"/>
            <w:tcBorders>
              <w:top w:val="single" w:color="auto" w:sz="4" w:space="0"/>
              <w:left w:val="single" w:color="auto" w:sz="4" w:space="0"/>
              <w:bottom w:val="single" w:color="auto" w:sz="4" w:space="0"/>
              <w:right w:val="single" w:color="auto" w:sz="4" w:space="0"/>
            </w:tcBorders>
            <w:vAlign w:val="center"/>
          </w:tcPr>
          <w:p w14:paraId="2EB1D21D">
            <w:pPr>
              <w:snapToGrid w:val="0"/>
              <w:spacing w:before="50" w:after="120" w:afterLines="50"/>
              <w:jc w:val="center"/>
              <w:rPr>
                <w:rFonts w:ascii="宋体" w:hAnsi="宋体" w:cs="宋体"/>
                <w:color w:val="auto"/>
                <w:sz w:val="24"/>
                <w:szCs w:val="24"/>
                <w:highlight w:val="none"/>
              </w:rPr>
            </w:pPr>
          </w:p>
        </w:tc>
        <w:tc>
          <w:tcPr>
            <w:tcW w:w="1122" w:type="dxa"/>
            <w:tcBorders>
              <w:top w:val="single" w:color="auto" w:sz="4" w:space="0"/>
              <w:left w:val="single" w:color="auto" w:sz="4" w:space="0"/>
              <w:bottom w:val="single" w:color="auto" w:sz="4" w:space="0"/>
              <w:right w:val="single" w:color="auto" w:sz="4" w:space="0"/>
            </w:tcBorders>
            <w:vAlign w:val="center"/>
          </w:tcPr>
          <w:p w14:paraId="1233B7F0">
            <w:pPr>
              <w:snapToGrid w:val="0"/>
              <w:spacing w:before="50" w:after="120" w:afterLines="50"/>
              <w:jc w:val="center"/>
              <w:rPr>
                <w:rFonts w:ascii="宋体" w:hAnsi="宋体" w:cs="宋体"/>
                <w:color w:val="auto"/>
                <w:sz w:val="24"/>
                <w:szCs w:val="24"/>
                <w:highlight w:val="none"/>
              </w:rPr>
            </w:pPr>
          </w:p>
        </w:tc>
        <w:tc>
          <w:tcPr>
            <w:tcW w:w="840" w:type="dxa"/>
            <w:tcBorders>
              <w:top w:val="single" w:color="auto" w:sz="4" w:space="0"/>
              <w:left w:val="single" w:color="auto" w:sz="4" w:space="0"/>
              <w:bottom w:val="single" w:color="auto" w:sz="4" w:space="0"/>
              <w:right w:val="single" w:color="auto" w:sz="4" w:space="0"/>
            </w:tcBorders>
            <w:vAlign w:val="center"/>
          </w:tcPr>
          <w:p w14:paraId="41C1FC74">
            <w:pPr>
              <w:snapToGrid w:val="0"/>
              <w:spacing w:before="50" w:after="120" w:afterLines="50"/>
              <w:jc w:val="center"/>
              <w:rPr>
                <w:rFonts w:ascii="宋体" w:hAnsi="宋体" w:cs="宋体"/>
                <w:color w:val="auto"/>
                <w:sz w:val="24"/>
                <w:szCs w:val="24"/>
                <w:highlight w:val="none"/>
              </w:rPr>
            </w:pPr>
          </w:p>
        </w:tc>
        <w:tc>
          <w:tcPr>
            <w:tcW w:w="697" w:type="dxa"/>
            <w:tcBorders>
              <w:top w:val="single" w:color="auto" w:sz="4" w:space="0"/>
              <w:left w:val="single" w:color="auto" w:sz="4" w:space="0"/>
              <w:bottom w:val="single" w:color="auto" w:sz="4" w:space="0"/>
              <w:right w:val="single" w:color="auto" w:sz="4" w:space="0"/>
            </w:tcBorders>
            <w:vAlign w:val="center"/>
          </w:tcPr>
          <w:p w14:paraId="0B6941D1">
            <w:pPr>
              <w:snapToGrid w:val="0"/>
              <w:spacing w:before="50" w:after="120" w:afterLines="50"/>
              <w:jc w:val="center"/>
              <w:rPr>
                <w:rFonts w:ascii="宋体" w:hAnsi="宋体" w:cs="宋体"/>
                <w:color w:val="auto"/>
                <w:sz w:val="24"/>
                <w:szCs w:val="24"/>
                <w:highlight w:val="none"/>
              </w:rPr>
            </w:pPr>
          </w:p>
        </w:tc>
        <w:tc>
          <w:tcPr>
            <w:tcW w:w="861" w:type="dxa"/>
            <w:tcBorders>
              <w:top w:val="single" w:color="auto" w:sz="4" w:space="0"/>
              <w:left w:val="single" w:color="auto" w:sz="4" w:space="0"/>
              <w:bottom w:val="single" w:color="auto" w:sz="4" w:space="0"/>
              <w:right w:val="single" w:color="auto" w:sz="4" w:space="0"/>
            </w:tcBorders>
            <w:vAlign w:val="center"/>
          </w:tcPr>
          <w:p w14:paraId="0FF41A90">
            <w:pPr>
              <w:snapToGrid w:val="0"/>
              <w:spacing w:before="50" w:after="120" w:afterLines="50"/>
              <w:jc w:val="center"/>
              <w:rPr>
                <w:rFonts w:ascii="宋体" w:hAnsi="宋体" w:cs="宋体"/>
                <w:color w:val="auto"/>
                <w:sz w:val="24"/>
                <w:szCs w:val="24"/>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54B1A5AA">
            <w:pPr>
              <w:snapToGrid w:val="0"/>
              <w:spacing w:before="50" w:after="120" w:afterLines="50"/>
              <w:jc w:val="center"/>
              <w:rPr>
                <w:rFonts w:ascii="宋体" w:hAnsi="宋体" w:cs="宋体"/>
                <w:color w:val="auto"/>
                <w:sz w:val="24"/>
                <w:szCs w:val="24"/>
                <w:highlight w:val="none"/>
              </w:rPr>
            </w:pPr>
          </w:p>
        </w:tc>
        <w:tc>
          <w:tcPr>
            <w:tcW w:w="1294" w:type="dxa"/>
            <w:tcBorders>
              <w:top w:val="single" w:color="auto" w:sz="4" w:space="0"/>
              <w:left w:val="single" w:color="auto" w:sz="4" w:space="0"/>
              <w:bottom w:val="single" w:color="auto" w:sz="4" w:space="0"/>
              <w:right w:val="single" w:color="auto" w:sz="4" w:space="0"/>
            </w:tcBorders>
            <w:vAlign w:val="center"/>
          </w:tcPr>
          <w:p w14:paraId="0FF9F7EF">
            <w:pPr>
              <w:snapToGrid w:val="0"/>
              <w:spacing w:before="50" w:after="120" w:afterLines="50"/>
              <w:jc w:val="center"/>
              <w:rPr>
                <w:rFonts w:ascii="宋体" w:hAnsi="宋体" w:cs="宋体"/>
                <w:color w:val="auto"/>
                <w:sz w:val="24"/>
                <w:szCs w:val="24"/>
                <w:highlight w:val="none"/>
              </w:rPr>
            </w:pPr>
          </w:p>
        </w:tc>
      </w:tr>
    </w:tbl>
    <w:p w14:paraId="282FB466">
      <w:pPr>
        <w:pStyle w:val="21"/>
        <w:snapToGrid w:val="0"/>
        <w:ind w:left="480" w:hanging="480"/>
        <w:jc w:val="left"/>
        <w:rPr>
          <w:rFonts w:ascii="宋体" w:hAnsi="宋体" w:cs="宋体"/>
          <w:color w:val="auto"/>
          <w:sz w:val="24"/>
          <w:highlight w:val="none"/>
        </w:rPr>
      </w:pPr>
      <w:r>
        <w:rPr>
          <w:rFonts w:hint="eastAsia" w:ascii="宋体" w:hAnsi="宋体" w:cs="宋体"/>
          <w:color w:val="auto"/>
          <w:sz w:val="24"/>
          <w:highlight w:val="none"/>
        </w:rPr>
        <w:t>此表后附合同电子文档等相关证明材料。</w:t>
      </w:r>
    </w:p>
    <w:p w14:paraId="41B9EF35">
      <w:pPr>
        <w:pStyle w:val="21"/>
        <w:snapToGrid w:val="0"/>
        <w:ind w:left="480" w:hanging="480"/>
        <w:jc w:val="left"/>
        <w:rPr>
          <w:rFonts w:ascii="宋体" w:hAnsi="宋体" w:cs="宋体"/>
          <w:color w:val="auto"/>
          <w:sz w:val="24"/>
          <w:highlight w:val="none"/>
        </w:rPr>
      </w:pPr>
    </w:p>
    <w:p w14:paraId="39C97DD7">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投标人盖章：</w:t>
      </w:r>
      <w:r>
        <w:rPr>
          <w:rFonts w:hint="eastAsia" w:ascii="宋体" w:hAnsi="宋体" w:cs="宋体"/>
          <w:color w:val="auto"/>
          <w:sz w:val="24"/>
          <w:szCs w:val="21"/>
          <w:highlight w:val="none"/>
          <w:u w:val="single"/>
        </w:rPr>
        <w:t xml:space="preserve">                </w:t>
      </w:r>
    </w:p>
    <w:p w14:paraId="678C9715">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日      期：</w:t>
      </w:r>
      <w:r>
        <w:rPr>
          <w:rFonts w:hint="eastAsia" w:ascii="宋体" w:hAnsi="宋体" w:cs="宋体"/>
          <w:color w:val="auto"/>
          <w:sz w:val="24"/>
          <w:szCs w:val="21"/>
          <w:highlight w:val="none"/>
          <w:u w:val="single"/>
        </w:rPr>
        <w:t xml:space="preserve">                </w:t>
      </w:r>
    </w:p>
    <w:bookmarkEnd w:id="636"/>
    <w:bookmarkEnd w:id="637"/>
    <w:p w14:paraId="1E5F056F">
      <w:pPr>
        <w:pStyle w:val="37"/>
        <w:spacing w:line="360" w:lineRule="auto"/>
        <w:rPr>
          <w:rFonts w:ascii="宋体" w:hAnsi="宋体" w:cs="宋体"/>
          <w:color w:val="auto"/>
          <w:sz w:val="24"/>
          <w:highlight w:val="none"/>
        </w:rPr>
      </w:pPr>
      <w:bookmarkStart w:id="647" w:name="_Toc531359068"/>
      <w:bookmarkStart w:id="648" w:name="_Toc493956070"/>
      <w:bookmarkStart w:id="649" w:name="_Toc530551894"/>
    </w:p>
    <w:bookmarkEnd w:id="647"/>
    <w:p w14:paraId="215A8398">
      <w:pPr>
        <w:pStyle w:val="7"/>
        <w:spacing w:before="0" w:after="0"/>
        <w:ind w:firstLine="0" w:firstLineChars="0"/>
        <w:jc w:val="left"/>
        <w:rPr>
          <w:rFonts w:ascii="宋体" w:hAnsi="宋体" w:eastAsia="宋体" w:cs="宋体"/>
          <w:color w:val="auto"/>
          <w:sz w:val="24"/>
          <w:szCs w:val="24"/>
          <w:highlight w:val="none"/>
        </w:rPr>
      </w:pPr>
      <w:bookmarkStart w:id="650" w:name="_Toc531359069"/>
      <w:bookmarkStart w:id="651" w:name="_Toc97213050"/>
      <w:bookmarkStart w:id="652" w:name="_Toc28704"/>
      <w:bookmarkStart w:id="653" w:name="_Toc1257"/>
      <w:bookmarkStart w:id="654" w:name="_Toc32721"/>
      <w:bookmarkStart w:id="655" w:name="_Toc16476"/>
      <w:bookmarkStart w:id="656" w:name="_Toc14791"/>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   拟投入的项目班子</w:t>
      </w:r>
      <w:bookmarkEnd w:id="650"/>
      <w:r>
        <w:rPr>
          <w:rFonts w:hint="eastAsia" w:ascii="宋体" w:hAnsi="宋体" w:eastAsia="宋体" w:cs="宋体"/>
          <w:color w:val="auto"/>
          <w:sz w:val="24"/>
          <w:szCs w:val="24"/>
          <w:highlight w:val="none"/>
        </w:rPr>
        <w:t>格式</w:t>
      </w:r>
      <w:bookmarkEnd w:id="651"/>
      <w:bookmarkEnd w:id="652"/>
      <w:bookmarkEnd w:id="653"/>
      <w:bookmarkEnd w:id="654"/>
      <w:bookmarkEnd w:id="655"/>
      <w:bookmarkEnd w:id="656"/>
    </w:p>
    <w:p w14:paraId="23B6C63A">
      <w:pPr>
        <w:pStyle w:val="8"/>
        <w:spacing w:line="360" w:lineRule="auto"/>
        <w:ind w:firstLine="0"/>
        <w:jc w:val="center"/>
        <w:rPr>
          <w:rFonts w:ascii="宋体" w:hAnsi="宋体" w:cs="宋体"/>
          <w:b/>
          <w:color w:val="auto"/>
          <w:sz w:val="32"/>
          <w:szCs w:val="32"/>
          <w:highlight w:val="none"/>
        </w:rPr>
      </w:pPr>
      <w:r>
        <w:rPr>
          <w:rFonts w:hint="eastAsia" w:ascii="宋体" w:hAnsi="宋体" w:cs="宋体"/>
          <w:b/>
          <w:color w:val="auto"/>
          <w:sz w:val="32"/>
          <w:szCs w:val="32"/>
          <w:highlight w:val="none"/>
        </w:rPr>
        <w:t>拟投入的项目班子格式</w:t>
      </w:r>
    </w:p>
    <w:p w14:paraId="45A6A098">
      <w:pPr>
        <w:pStyle w:val="8"/>
        <w:spacing w:line="360" w:lineRule="auto"/>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（格式仅供参考）</w:t>
      </w:r>
    </w:p>
    <w:p w14:paraId="4ED419EB">
      <w:pPr>
        <w:pStyle w:val="8"/>
        <w:ind w:firstLine="0"/>
        <w:jc w:val="center"/>
        <w:rPr>
          <w:rFonts w:ascii="宋体" w:hAnsi="宋体" w:cs="宋体"/>
          <w:b/>
          <w:color w:val="auto"/>
          <w:sz w:val="24"/>
          <w:szCs w:val="24"/>
          <w:highlight w:val="none"/>
        </w:rPr>
      </w:pPr>
      <w:r>
        <w:rPr>
          <w:rFonts w:hint="eastAsia" w:ascii="宋体" w:hAnsi="宋体" w:cs="宋体"/>
          <w:b/>
          <w:color w:val="auto"/>
          <w:sz w:val="24"/>
          <w:szCs w:val="24"/>
          <w:highlight w:val="none"/>
        </w:rPr>
        <w:t>项目负责人简历表</w:t>
      </w:r>
    </w:p>
    <w:tbl>
      <w:tblPr>
        <w:tblStyle w:val="24"/>
        <w:tblW w:w="9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709"/>
        <w:gridCol w:w="456"/>
        <w:gridCol w:w="1155"/>
        <w:gridCol w:w="686"/>
        <w:gridCol w:w="469"/>
        <w:gridCol w:w="1232"/>
        <w:gridCol w:w="1513"/>
        <w:gridCol w:w="1800"/>
      </w:tblGrid>
      <w:tr w14:paraId="33CC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vAlign w:val="center"/>
          </w:tcPr>
          <w:p w14:paraId="513F09E0">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姓  名</w:t>
            </w:r>
          </w:p>
        </w:tc>
        <w:tc>
          <w:tcPr>
            <w:tcW w:w="1165" w:type="dxa"/>
            <w:gridSpan w:val="2"/>
            <w:vAlign w:val="center"/>
          </w:tcPr>
          <w:p w14:paraId="6AE9A7CF">
            <w:pPr>
              <w:pStyle w:val="8"/>
              <w:ind w:firstLine="0"/>
              <w:jc w:val="center"/>
              <w:rPr>
                <w:rFonts w:ascii="宋体" w:hAnsi="宋体" w:cs="宋体"/>
                <w:color w:val="auto"/>
                <w:sz w:val="24"/>
                <w:szCs w:val="24"/>
                <w:highlight w:val="none"/>
              </w:rPr>
            </w:pPr>
          </w:p>
        </w:tc>
        <w:tc>
          <w:tcPr>
            <w:tcW w:w="1155" w:type="dxa"/>
            <w:vAlign w:val="center"/>
          </w:tcPr>
          <w:p w14:paraId="1E3F1D02">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年  龄</w:t>
            </w:r>
          </w:p>
        </w:tc>
        <w:tc>
          <w:tcPr>
            <w:tcW w:w="1155" w:type="dxa"/>
            <w:gridSpan w:val="2"/>
            <w:vAlign w:val="center"/>
          </w:tcPr>
          <w:p w14:paraId="15FBF22D">
            <w:pPr>
              <w:pStyle w:val="8"/>
              <w:ind w:firstLine="0"/>
              <w:jc w:val="center"/>
              <w:rPr>
                <w:rFonts w:ascii="宋体" w:hAnsi="宋体" w:cs="宋体"/>
                <w:color w:val="auto"/>
                <w:sz w:val="24"/>
                <w:szCs w:val="24"/>
                <w:highlight w:val="none"/>
              </w:rPr>
            </w:pPr>
          </w:p>
        </w:tc>
        <w:tc>
          <w:tcPr>
            <w:tcW w:w="2745" w:type="dxa"/>
            <w:gridSpan w:val="2"/>
            <w:vAlign w:val="center"/>
          </w:tcPr>
          <w:p w14:paraId="6B2B38FF">
            <w:pPr>
              <w:pStyle w:val="8"/>
              <w:ind w:firstLine="0"/>
              <w:rPr>
                <w:rFonts w:ascii="宋体" w:hAnsi="宋体" w:cs="宋体"/>
                <w:color w:val="auto"/>
                <w:sz w:val="24"/>
                <w:szCs w:val="24"/>
                <w:highlight w:val="none"/>
              </w:rPr>
            </w:pPr>
            <w:r>
              <w:rPr>
                <w:rFonts w:hint="eastAsia" w:ascii="宋体" w:hAnsi="宋体" w:cs="宋体"/>
                <w:color w:val="auto"/>
                <w:sz w:val="24"/>
                <w:szCs w:val="24"/>
                <w:highlight w:val="none"/>
              </w:rPr>
              <w:t>学历</w:t>
            </w:r>
          </w:p>
        </w:tc>
        <w:tc>
          <w:tcPr>
            <w:tcW w:w="1800" w:type="dxa"/>
            <w:vAlign w:val="center"/>
          </w:tcPr>
          <w:p w14:paraId="23829687">
            <w:pPr>
              <w:pStyle w:val="8"/>
              <w:ind w:firstLine="0"/>
              <w:jc w:val="center"/>
              <w:rPr>
                <w:rFonts w:ascii="宋体" w:hAnsi="宋体" w:cs="宋体"/>
                <w:color w:val="auto"/>
                <w:sz w:val="24"/>
                <w:szCs w:val="24"/>
                <w:highlight w:val="none"/>
              </w:rPr>
            </w:pPr>
          </w:p>
        </w:tc>
      </w:tr>
      <w:tr w14:paraId="5DF7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vAlign w:val="center"/>
          </w:tcPr>
          <w:p w14:paraId="7F20502D">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职  称</w:t>
            </w:r>
          </w:p>
        </w:tc>
        <w:tc>
          <w:tcPr>
            <w:tcW w:w="1165" w:type="dxa"/>
            <w:gridSpan w:val="2"/>
            <w:vAlign w:val="center"/>
          </w:tcPr>
          <w:p w14:paraId="6C8D62B5">
            <w:pPr>
              <w:pStyle w:val="8"/>
              <w:ind w:firstLine="0"/>
              <w:jc w:val="center"/>
              <w:rPr>
                <w:rFonts w:ascii="宋体" w:hAnsi="宋体" w:cs="宋体"/>
                <w:color w:val="auto"/>
                <w:sz w:val="24"/>
                <w:szCs w:val="24"/>
                <w:highlight w:val="none"/>
              </w:rPr>
            </w:pPr>
          </w:p>
        </w:tc>
        <w:tc>
          <w:tcPr>
            <w:tcW w:w="1155" w:type="dxa"/>
            <w:vAlign w:val="center"/>
          </w:tcPr>
          <w:p w14:paraId="559DA300">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职  务</w:t>
            </w:r>
          </w:p>
        </w:tc>
        <w:tc>
          <w:tcPr>
            <w:tcW w:w="1155" w:type="dxa"/>
            <w:gridSpan w:val="2"/>
            <w:vAlign w:val="center"/>
          </w:tcPr>
          <w:p w14:paraId="4A79FCC4">
            <w:pPr>
              <w:pStyle w:val="8"/>
              <w:ind w:firstLine="0"/>
              <w:jc w:val="center"/>
              <w:rPr>
                <w:rFonts w:ascii="宋体" w:hAnsi="宋体" w:cs="宋体"/>
                <w:color w:val="auto"/>
                <w:sz w:val="24"/>
                <w:szCs w:val="24"/>
                <w:highlight w:val="none"/>
              </w:rPr>
            </w:pPr>
          </w:p>
        </w:tc>
        <w:tc>
          <w:tcPr>
            <w:tcW w:w="2745" w:type="dxa"/>
            <w:gridSpan w:val="2"/>
            <w:vAlign w:val="center"/>
          </w:tcPr>
          <w:p w14:paraId="35D645B7">
            <w:pPr>
              <w:pStyle w:val="8"/>
              <w:ind w:firstLine="0"/>
              <w:rPr>
                <w:rFonts w:ascii="宋体" w:hAnsi="宋体" w:cs="宋体"/>
                <w:color w:val="auto"/>
                <w:sz w:val="24"/>
                <w:szCs w:val="24"/>
                <w:highlight w:val="none"/>
              </w:rPr>
            </w:pPr>
            <w:r>
              <w:rPr>
                <w:rFonts w:hint="eastAsia" w:ascii="宋体" w:hAnsi="宋体" w:cs="宋体"/>
                <w:color w:val="auto"/>
                <w:sz w:val="24"/>
                <w:szCs w:val="24"/>
                <w:highlight w:val="none"/>
              </w:rPr>
              <w:t>拟在本项目任职</w:t>
            </w:r>
          </w:p>
        </w:tc>
        <w:tc>
          <w:tcPr>
            <w:tcW w:w="1800" w:type="dxa"/>
            <w:vAlign w:val="center"/>
          </w:tcPr>
          <w:p w14:paraId="0B366427">
            <w:pPr>
              <w:pStyle w:val="8"/>
              <w:ind w:firstLine="0"/>
              <w:jc w:val="center"/>
              <w:rPr>
                <w:rFonts w:ascii="宋体" w:hAnsi="宋体" w:cs="宋体"/>
                <w:color w:val="auto"/>
                <w:sz w:val="24"/>
                <w:szCs w:val="24"/>
                <w:highlight w:val="none"/>
              </w:rPr>
            </w:pPr>
          </w:p>
        </w:tc>
      </w:tr>
      <w:tr w14:paraId="0475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vAlign w:val="center"/>
          </w:tcPr>
          <w:p w14:paraId="1B9ED99A">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毕业院校</w:t>
            </w:r>
          </w:p>
        </w:tc>
        <w:tc>
          <w:tcPr>
            <w:tcW w:w="8020" w:type="dxa"/>
            <w:gridSpan w:val="8"/>
            <w:vAlign w:val="center"/>
          </w:tcPr>
          <w:p w14:paraId="3F705D82">
            <w:pPr>
              <w:pStyle w:val="8"/>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年毕业于      学校    专业</w:t>
            </w:r>
          </w:p>
        </w:tc>
      </w:tr>
      <w:tr w14:paraId="088D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24" w:type="dxa"/>
            <w:gridSpan w:val="9"/>
            <w:vAlign w:val="center"/>
          </w:tcPr>
          <w:p w14:paraId="77E82DAC">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主要工作履历</w:t>
            </w:r>
          </w:p>
        </w:tc>
      </w:tr>
      <w:tr w14:paraId="6C55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vAlign w:val="center"/>
          </w:tcPr>
          <w:p w14:paraId="1D0D51AF">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时间</w:t>
            </w:r>
          </w:p>
        </w:tc>
        <w:tc>
          <w:tcPr>
            <w:tcW w:w="2297" w:type="dxa"/>
            <w:gridSpan w:val="3"/>
            <w:vAlign w:val="center"/>
          </w:tcPr>
          <w:p w14:paraId="32002288">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参加过类似项目</w:t>
            </w:r>
          </w:p>
        </w:tc>
        <w:tc>
          <w:tcPr>
            <w:tcW w:w="1701" w:type="dxa"/>
            <w:gridSpan w:val="2"/>
            <w:vAlign w:val="center"/>
          </w:tcPr>
          <w:p w14:paraId="1FA238B4">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担任职务</w:t>
            </w:r>
          </w:p>
        </w:tc>
        <w:tc>
          <w:tcPr>
            <w:tcW w:w="3313" w:type="dxa"/>
            <w:gridSpan w:val="2"/>
            <w:vAlign w:val="center"/>
          </w:tcPr>
          <w:p w14:paraId="6791D9D2">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业主及联系电话</w:t>
            </w:r>
          </w:p>
        </w:tc>
      </w:tr>
      <w:tr w14:paraId="4125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vAlign w:val="center"/>
          </w:tcPr>
          <w:p w14:paraId="20BBB82A">
            <w:pPr>
              <w:pStyle w:val="8"/>
              <w:ind w:firstLine="0"/>
              <w:jc w:val="center"/>
              <w:rPr>
                <w:rFonts w:ascii="宋体" w:hAnsi="宋体" w:cs="宋体"/>
                <w:color w:val="auto"/>
                <w:sz w:val="24"/>
                <w:szCs w:val="24"/>
                <w:highlight w:val="none"/>
              </w:rPr>
            </w:pPr>
          </w:p>
        </w:tc>
        <w:tc>
          <w:tcPr>
            <w:tcW w:w="2297" w:type="dxa"/>
            <w:gridSpan w:val="3"/>
            <w:vAlign w:val="center"/>
          </w:tcPr>
          <w:p w14:paraId="095D63CB">
            <w:pPr>
              <w:pStyle w:val="8"/>
              <w:ind w:firstLine="0"/>
              <w:jc w:val="center"/>
              <w:rPr>
                <w:rFonts w:ascii="宋体" w:hAnsi="宋体" w:cs="宋体"/>
                <w:color w:val="auto"/>
                <w:sz w:val="24"/>
                <w:szCs w:val="24"/>
                <w:highlight w:val="none"/>
              </w:rPr>
            </w:pPr>
          </w:p>
        </w:tc>
        <w:tc>
          <w:tcPr>
            <w:tcW w:w="1701" w:type="dxa"/>
            <w:gridSpan w:val="2"/>
            <w:vAlign w:val="center"/>
          </w:tcPr>
          <w:p w14:paraId="46045CBE">
            <w:pPr>
              <w:pStyle w:val="8"/>
              <w:ind w:firstLine="0"/>
              <w:jc w:val="center"/>
              <w:rPr>
                <w:rFonts w:ascii="宋体" w:hAnsi="宋体" w:cs="宋体"/>
                <w:color w:val="auto"/>
                <w:sz w:val="24"/>
                <w:szCs w:val="24"/>
                <w:highlight w:val="none"/>
              </w:rPr>
            </w:pPr>
          </w:p>
        </w:tc>
        <w:tc>
          <w:tcPr>
            <w:tcW w:w="3313" w:type="dxa"/>
            <w:gridSpan w:val="2"/>
            <w:vAlign w:val="center"/>
          </w:tcPr>
          <w:p w14:paraId="2DD6668C">
            <w:pPr>
              <w:pStyle w:val="8"/>
              <w:ind w:firstLine="0"/>
              <w:jc w:val="center"/>
              <w:rPr>
                <w:rFonts w:ascii="宋体" w:hAnsi="宋体" w:cs="宋体"/>
                <w:color w:val="auto"/>
                <w:sz w:val="24"/>
                <w:szCs w:val="24"/>
                <w:highlight w:val="none"/>
              </w:rPr>
            </w:pPr>
          </w:p>
        </w:tc>
      </w:tr>
      <w:tr w14:paraId="765F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vAlign w:val="center"/>
          </w:tcPr>
          <w:p w14:paraId="11749D55">
            <w:pPr>
              <w:pStyle w:val="8"/>
              <w:ind w:firstLine="0"/>
              <w:jc w:val="center"/>
              <w:rPr>
                <w:rFonts w:ascii="宋体" w:hAnsi="宋体" w:cs="宋体"/>
                <w:color w:val="auto"/>
                <w:sz w:val="24"/>
                <w:szCs w:val="24"/>
                <w:highlight w:val="none"/>
              </w:rPr>
            </w:pPr>
          </w:p>
        </w:tc>
        <w:tc>
          <w:tcPr>
            <w:tcW w:w="2297" w:type="dxa"/>
            <w:gridSpan w:val="3"/>
            <w:vAlign w:val="center"/>
          </w:tcPr>
          <w:p w14:paraId="18154D24">
            <w:pPr>
              <w:pStyle w:val="8"/>
              <w:ind w:firstLine="0"/>
              <w:jc w:val="center"/>
              <w:rPr>
                <w:rFonts w:ascii="宋体" w:hAnsi="宋体" w:cs="宋体"/>
                <w:color w:val="auto"/>
                <w:sz w:val="24"/>
                <w:szCs w:val="24"/>
                <w:highlight w:val="none"/>
              </w:rPr>
            </w:pPr>
          </w:p>
        </w:tc>
        <w:tc>
          <w:tcPr>
            <w:tcW w:w="1701" w:type="dxa"/>
            <w:gridSpan w:val="2"/>
            <w:vAlign w:val="center"/>
          </w:tcPr>
          <w:p w14:paraId="0B576D67">
            <w:pPr>
              <w:pStyle w:val="8"/>
              <w:ind w:firstLine="0"/>
              <w:jc w:val="center"/>
              <w:rPr>
                <w:rFonts w:ascii="宋体" w:hAnsi="宋体" w:cs="宋体"/>
                <w:color w:val="auto"/>
                <w:sz w:val="24"/>
                <w:szCs w:val="24"/>
                <w:highlight w:val="none"/>
              </w:rPr>
            </w:pPr>
          </w:p>
        </w:tc>
        <w:tc>
          <w:tcPr>
            <w:tcW w:w="3313" w:type="dxa"/>
            <w:gridSpan w:val="2"/>
            <w:vAlign w:val="center"/>
          </w:tcPr>
          <w:p w14:paraId="198301AC">
            <w:pPr>
              <w:pStyle w:val="8"/>
              <w:ind w:firstLine="0"/>
              <w:jc w:val="center"/>
              <w:rPr>
                <w:rFonts w:ascii="宋体" w:hAnsi="宋体" w:cs="宋体"/>
                <w:color w:val="auto"/>
                <w:sz w:val="24"/>
                <w:szCs w:val="24"/>
                <w:highlight w:val="none"/>
              </w:rPr>
            </w:pPr>
          </w:p>
        </w:tc>
      </w:tr>
    </w:tbl>
    <w:p w14:paraId="2ABD7339">
      <w:pPr>
        <w:pStyle w:val="8"/>
        <w:ind w:firstLine="0"/>
        <w:rPr>
          <w:rFonts w:ascii="宋体" w:hAnsi="宋体" w:cs="宋体"/>
          <w:color w:val="auto"/>
          <w:sz w:val="24"/>
          <w:szCs w:val="24"/>
          <w:highlight w:val="none"/>
        </w:rPr>
      </w:pPr>
      <w:r>
        <w:rPr>
          <w:rFonts w:hint="eastAsia" w:ascii="宋体" w:hAnsi="宋体" w:cs="宋体"/>
          <w:color w:val="auto"/>
          <w:sz w:val="24"/>
          <w:szCs w:val="24"/>
          <w:highlight w:val="none"/>
        </w:rPr>
        <w:t>附：执业资格证书（如有）、职称证书（如有）、学历证书（如有）等电子文档证明材料</w:t>
      </w:r>
    </w:p>
    <w:p w14:paraId="57A1B51F">
      <w:pPr>
        <w:pStyle w:val="8"/>
        <w:ind w:firstLine="0"/>
        <w:rPr>
          <w:rFonts w:ascii="宋体" w:hAnsi="宋体" w:cs="宋体"/>
          <w:color w:val="auto"/>
          <w:sz w:val="24"/>
          <w:szCs w:val="24"/>
          <w:highlight w:val="none"/>
        </w:rPr>
      </w:pPr>
    </w:p>
    <w:p w14:paraId="71FDD31E">
      <w:pPr>
        <w:pStyle w:val="8"/>
        <w:ind w:firstLine="0"/>
        <w:jc w:val="center"/>
        <w:rPr>
          <w:rFonts w:ascii="宋体" w:hAnsi="宋体" w:cs="宋体"/>
          <w:b/>
          <w:color w:val="auto"/>
          <w:sz w:val="24"/>
          <w:szCs w:val="24"/>
          <w:highlight w:val="none"/>
        </w:rPr>
      </w:pPr>
    </w:p>
    <w:p w14:paraId="180AC516">
      <w:pPr>
        <w:pStyle w:val="8"/>
        <w:ind w:firstLine="0"/>
        <w:jc w:val="center"/>
        <w:rPr>
          <w:rFonts w:ascii="宋体" w:hAnsi="宋体" w:cs="宋体"/>
          <w:b/>
          <w:color w:val="auto"/>
          <w:sz w:val="24"/>
          <w:szCs w:val="24"/>
          <w:highlight w:val="none"/>
        </w:rPr>
      </w:pPr>
    </w:p>
    <w:p w14:paraId="4D704613">
      <w:pPr>
        <w:pStyle w:val="8"/>
        <w:ind w:firstLine="0"/>
        <w:jc w:val="center"/>
        <w:rPr>
          <w:rFonts w:ascii="宋体" w:hAnsi="宋体" w:cs="宋体"/>
          <w:b/>
          <w:color w:val="auto"/>
          <w:sz w:val="24"/>
          <w:szCs w:val="24"/>
          <w:highlight w:val="none"/>
        </w:rPr>
      </w:pPr>
      <w:r>
        <w:rPr>
          <w:rFonts w:hint="eastAsia" w:ascii="宋体" w:hAnsi="宋体" w:cs="宋体"/>
          <w:b/>
          <w:color w:val="auto"/>
          <w:sz w:val="24"/>
          <w:szCs w:val="24"/>
          <w:highlight w:val="none"/>
        </w:rPr>
        <w:t>项目班子一览表</w:t>
      </w:r>
    </w:p>
    <w:tbl>
      <w:tblPr>
        <w:tblStyle w:val="24"/>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18"/>
        <w:gridCol w:w="1984"/>
        <w:gridCol w:w="1843"/>
        <w:gridCol w:w="2755"/>
      </w:tblGrid>
      <w:tr w14:paraId="4EDA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14:paraId="7AB9A268">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1418" w:type="dxa"/>
            <w:vAlign w:val="center"/>
          </w:tcPr>
          <w:p w14:paraId="55F6884C">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职务</w:t>
            </w:r>
          </w:p>
        </w:tc>
        <w:tc>
          <w:tcPr>
            <w:tcW w:w="1984" w:type="dxa"/>
            <w:vAlign w:val="center"/>
          </w:tcPr>
          <w:p w14:paraId="766CB6B2">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专业技术资格</w:t>
            </w:r>
          </w:p>
        </w:tc>
        <w:tc>
          <w:tcPr>
            <w:tcW w:w="1843" w:type="dxa"/>
            <w:vAlign w:val="center"/>
          </w:tcPr>
          <w:p w14:paraId="353CAD79">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证书编号</w:t>
            </w:r>
          </w:p>
        </w:tc>
        <w:tc>
          <w:tcPr>
            <w:tcW w:w="2755" w:type="dxa"/>
            <w:vAlign w:val="center"/>
          </w:tcPr>
          <w:p w14:paraId="6DE2DB64">
            <w:pPr>
              <w:pStyle w:val="8"/>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实施经验说明</w:t>
            </w:r>
          </w:p>
        </w:tc>
      </w:tr>
      <w:tr w14:paraId="67CB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14:paraId="36A6EF32">
            <w:pPr>
              <w:pStyle w:val="8"/>
              <w:ind w:firstLine="0"/>
              <w:jc w:val="center"/>
              <w:rPr>
                <w:rFonts w:ascii="宋体" w:hAnsi="宋体" w:cs="宋体"/>
                <w:color w:val="auto"/>
                <w:sz w:val="24"/>
                <w:szCs w:val="24"/>
                <w:highlight w:val="none"/>
              </w:rPr>
            </w:pPr>
          </w:p>
        </w:tc>
        <w:tc>
          <w:tcPr>
            <w:tcW w:w="1418" w:type="dxa"/>
            <w:vAlign w:val="center"/>
          </w:tcPr>
          <w:p w14:paraId="481A8AC0">
            <w:pPr>
              <w:pStyle w:val="8"/>
              <w:ind w:firstLine="0"/>
              <w:jc w:val="center"/>
              <w:rPr>
                <w:rFonts w:ascii="宋体" w:hAnsi="宋体" w:cs="宋体"/>
                <w:color w:val="auto"/>
                <w:sz w:val="24"/>
                <w:szCs w:val="24"/>
                <w:highlight w:val="none"/>
              </w:rPr>
            </w:pPr>
          </w:p>
        </w:tc>
        <w:tc>
          <w:tcPr>
            <w:tcW w:w="1984" w:type="dxa"/>
            <w:vAlign w:val="center"/>
          </w:tcPr>
          <w:p w14:paraId="42BD7C15">
            <w:pPr>
              <w:pStyle w:val="8"/>
              <w:ind w:firstLine="0"/>
              <w:jc w:val="center"/>
              <w:rPr>
                <w:rFonts w:ascii="宋体" w:hAnsi="宋体" w:cs="宋体"/>
                <w:color w:val="auto"/>
                <w:sz w:val="24"/>
                <w:szCs w:val="24"/>
                <w:highlight w:val="none"/>
              </w:rPr>
            </w:pPr>
          </w:p>
        </w:tc>
        <w:tc>
          <w:tcPr>
            <w:tcW w:w="1843" w:type="dxa"/>
            <w:vAlign w:val="center"/>
          </w:tcPr>
          <w:p w14:paraId="04841B3E">
            <w:pPr>
              <w:pStyle w:val="8"/>
              <w:ind w:firstLine="0"/>
              <w:jc w:val="center"/>
              <w:rPr>
                <w:rFonts w:ascii="宋体" w:hAnsi="宋体" w:cs="宋体"/>
                <w:color w:val="auto"/>
                <w:sz w:val="24"/>
                <w:szCs w:val="24"/>
                <w:highlight w:val="none"/>
              </w:rPr>
            </w:pPr>
          </w:p>
        </w:tc>
        <w:tc>
          <w:tcPr>
            <w:tcW w:w="2755" w:type="dxa"/>
            <w:vAlign w:val="center"/>
          </w:tcPr>
          <w:p w14:paraId="6A6B599D">
            <w:pPr>
              <w:pStyle w:val="8"/>
              <w:ind w:firstLine="0"/>
              <w:jc w:val="center"/>
              <w:rPr>
                <w:rFonts w:ascii="宋体" w:hAnsi="宋体" w:cs="宋体"/>
                <w:color w:val="auto"/>
                <w:sz w:val="24"/>
                <w:szCs w:val="24"/>
                <w:highlight w:val="none"/>
              </w:rPr>
            </w:pPr>
          </w:p>
        </w:tc>
      </w:tr>
      <w:tr w14:paraId="444A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14:paraId="7E915BAE">
            <w:pPr>
              <w:pStyle w:val="8"/>
              <w:ind w:firstLine="0"/>
              <w:jc w:val="center"/>
              <w:rPr>
                <w:rFonts w:ascii="宋体" w:hAnsi="宋体" w:cs="宋体"/>
                <w:color w:val="auto"/>
                <w:sz w:val="24"/>
                <w:szCs w:val="24"/>
                <w:highlight w:val="none"/>
              </w:rPr>
            </w:pPr>
          </w:p>
        </w:tc>
        <w:tc>
          <w:tcPr>
            <w:tcW w:w="1418" w:type="dxa"/>
            <w:vAlign w:val="center"/>
          </w:tcPr>
          <w:p w14:paraId="10DDF6A5">
            <w:pPr>
              <w:pStyle w:val="8"/>
              <w:ind w:firstLine="0"/>
              <w:jc w:val="center"/>
              <w:rPr>
                <w:rFonts w:ascii="宋体" w:hAnsi="宋体" w:cs="宋体"/>
                <w:color w:val="auto"/>
                <w:sz w:val="24"/>
                <w:szCs w:val="24"/>
                <w:highlight w:val="none"/>
              </w:rPr>
            </w:pPr>
          </w:p>
        </w:tc>
        <w:tc>
          <w:tcPr>
            <w:tcW w:w="1984" w:type="dxa"/>
            <w:vAlign w:val="center"/>
          </w:tcPr>
          <w:p w14:paraId="3292D6CF">
            <w:pPr>
              <w:pStyle w:val="8"/>
              <w:ind w:firstLine="0"/>
              <w:jc w:val="center"/>
              <w:rPr>
                <w:rFonts w:ascii="宋体" w:hAnsi="宋体" w:cs="宋体"/>
                <w:color w:val="auto"/>
                <w:sz w:val="24"/>
                <w:szCs w:val="24"/>
                <w:highlight w:val="none"/>
              </w:rPr>
            </w:pPr>
          </w:p>
        </w:tc>
        <w:tc>
          <w:tcPr>
            <w:tcW w:w="1843" w:type="dxa"/>
            <w:vAlign w:val="center"/>
          </w:tcPr>
          <w:p w14:paraId="63064F56">
            <w:pPr>
              <w:pStyle w:val="8"/>
              <w:ind w:firstLine="0"/>
              <w:jc w:val="center"/>
              <w:rPr>
                <w:rFonts w:ascii="宋体" w:hAnsi="宋体" w:cs="宋体"/>
                <w:color w:val="auto"/>
                <w:sz w:val="24"/>
                <w:szCs w:val="24"/>
                <w:highlight w:val="none"/>
              </w:rPr>
            </w:pPr>
          </w:p>
        </w:tc>
        <w:tc>
          <w:tcPr>
            <w:tcW w:w="2755" w:type="dxa"/>
            <w:vAlign w:val="center"/>
          </w:tcPr>
          <w:p w14:paraId="232B7FFC">
            <w:pPr>
              <w:pStyle w:val="8"/>
              <w:ind w:firstLine="0"/>
              <w:jc w:val="center"/>
              <w:rPr>
                <w:rFonts w:ascii="宋体" w:hAnsi="宋体" w:cs="宋体"/>
                <w:color w:val="auto"/>
                <w:sz w:val="24"/>
                <w:szCs w:val="24"/>
                <w:highlight w:val="none"/>
              </w:rPr>
            </w:pPr>
          </w:p>
        </w:tc>
      </w:tr>
    </w:tbl>
    <w:p w14:paraId="2E493C9C">
      <w:pPr>
        <w:pStyle w:val="8"/>
        <w:ind w:firstLine="0"/>
        <w:rPr>
          <w:rFonts w:ascii="宋体" w:hAnsi="宋体" w:cs="宋体"/>
          <w:color w:val="auto"/>
          <w:sz w:val="24"/>
          <w:szCs w:val="24"/>
          <w:highlight w:val="none"/>
        </w:rPr>
      </w:pPr>
      <w:r>
        <w:rPr>
          <w:rFonts w:hint="eastAsia" w:ascii="宋体" w:hAnsi="宋体" w:cs="宋体"/>
          <w:color w:val="auto"/>
          <w:sz w:val="24"/>
          <w:szCs w:val="24"/>
          <w:highlight w:val="none"/>
        </w:rPr>
        <w:t>附：相关人员的专业技术资格证书电子文档证明材料</w:t>
      </w:r>
    </w:p>
    <w:p w14:paraId="434B47F2">
      <w:pPr>
        <w:pStyle w:val="8"/>
        <w:ind w:firstLine="0"/>
        <w:rPr>
          <w:rFonts w:ascii="宋体" w:hAnsi="宋体" w:cs="宋体"/>
          <w:color w:val="auto"/>
          <w:sz w:val="24"/>
          <w:szCs w:val="24"/>
          <w:highlight w:val="none"/>
        </w:rPr>
      </w:pPr>
    </w:p>
    <w:p w14:paraId="38C0852A">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投标人盖章：</w:t>
      </w:r>
      <w:r>
        <w:rPr>
          <w:rFonts w:hint="eastAsia" w:ascii="宋体" w:hAnsi="宋体" w:cs="宋体"/>
          <w:color w:val="auto"/>
          <w:sz w:val="24"/>
          <w:szCs w:val="21"/>
          <w:highlight w:val="none"/>
          <w:u w:val="single"/>
        </w:rPr>
        <w:t xml:space="preserve">                </w:t>
      </w:r>
    </w:p>
    <w:p w14:paraId="5DBA2C11">
      <w:pPr>
        <w:pStyle w:val="37"/>
        <w:wordWrap w:val="0"/>
        <w:spacing w:line="360" w:lineRule="auto"/>
        <w:ind w:firstLine="480"/>
        <w:jc w:val="right"/>
        <w:rPr>
          <w:rFonts w:hint="eastAsia" w:ascii="宋体" w:hAnsi="宋体" w:cs="宋体"/>
          <w:color w:val="auto"/>
          <w:sz w:val="24"/>
          <w:szCs w:val="21"/>
          <w:highlight w:val="none"/>
          <w:u w:val="single"/>
        </w:rPr>
      </w:pPr>
      <w:r>
        <w:rPr>
          <w:rFonts w:hint="eastAsia" w:ascii="宋体" w:hAnsi="宋体" w:cs="宋体"/>
          <w:color w:val="auto"/>
          <w:sz w:val="24"/>
          <w:szCs w:val="21"/>
          <w:highlight w:val="none"/>
        </w:rPr>
        <w:t>日      期：</w:t>
      </w:r>
      <w:r>
        <w:rPr>
          <w:rFonts w:hint="eastAsia" w:ascii="宋体" w:hAnsi="宋体" w:cs="宋体"/>
          <w:color w:val="auto"/>
          <w:sz w:val="24"/>
          <w:szCs w:val="21"/>
          <w:highlight w:val="none"/>
          <w:u w:val="single"/>
        </w:rPr>
        <w:t xml:space="preserve">               </w:t>
      </w:r>
      <w:bookmarkStart w:id="657" w:name="_Toc531359070"/>
      <w:r>
        <w:rPr>
          <w:rFonts w:hint="eastAsia" w:ascii="宋体" w:hAnsi="宋体" w:cs="宋体"/>
          <w:color w:val="auto"/>
          <w:sz w:val="24"/>
          <w:szCs w:val="21"/>
          <w:highlight w:val="none"/>
          <w:u w:val="single"/>
        </w:rPr>
        <w:t xml:space="preserve"> </w:t>
      </w:r>
      <w:bookmarkEnd w:id="648"/>
      <w:bookmarkEnd w:id="649"/>
      <w:bookmarkEnd w:id="657"/>
      <w:bookmarkStart w:id="658" w:name="_Toc97213053"/>
      <w:bookmarkStart w:id="659" w:name="_Toc515526271"/>
      <w:bookmarkStart w:id="660" w:name="_Toc30250"/>
      <w:bookmarkStart w:id="661" w:name="_Toc341260008"/>
      <w:bookmarkStart w:id="662" w:name="_Toc409172377"/>
      <w:bookmarkStart w:id="663" w:name="_Toc377979050"/>
      <w:bookmarkStart w:id="664" w:name="_Toc16095"/>
      <w:bookmarkStart w:id="665" w:name="_Toc305144129"/>
      <w:bookmarkStart w:id="666" w:name="_Toc26329"/>
      <w:bookmarkStart w:id="667" w:name="_Toc303756458"/>
      <w:bookmarkStart w:id="668" w:name="_Toc359934644"/>
      <w:bookmarkStart w:id="669" w:name="_Toc22762"/>
      <w:bookmarkStart w:id="670" w:name="_Toc531359072"/>
    </w:p>
    <w:p w14:paraId="414CACED">
      <w:pPr>
        <w:pStyle w:val="37"/>
        <w:wordWrap/>
        <w:spacing w:line="360" w:lineRule="auto"/>
        <w:ind w:firstLine="480"/>
        <w:jc w:val="right"/>
        <w:rPr>
          <w:rFonts w:hint="eastAsia" w:ascii="宋体" w:hAnsi="宋体" w:cs="宋体"/>
          <w:color w:val="auto"/>
          <w:sz w:val="24"/>
          <w:szCs w:val="21"/>
          <w:highlight w:val="none"/>
          <w:u w:val="single"/>
        </w:rPr>
      </w:pPr>
    </w:p>
    <w:p w14:paraId="29BFA893">
      <w:pPr>
        <w:pStyle w:val="7"/>
        <w:spacing w:before="0" w:after="0"/>
        <w:ind w:firstLine="0" w:firstLineChars="0"/>
        <w:jc w:val="left"/>
        <w:rPr>
          <w:rFonts w:asciiTheme="minorEastAsia" w:hAnsiTheme="minorEastAsia" w:eastAsiaTheme="minorEastAsia" w:cstheme="minorEastAsia"/>
          <w:color w:val="auto"/>
          <w:sz w:val="24"/>
          <w:szCs w:val="24"/>
          <w:highlight w:val="none"/>
        </w:rPr>
      </w:pPr>
      <w:bookmarkStart w:id="671" w:name="_Toc3060"/>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 xml:space="preserve">     </w:t>
      </w:r>
      <w:bookmarkEnd w:id="658"/>
      <w:bookmarkEnd w:id="659"/>
      <w:bookmarkEnd w:id="660"/>
      <w:bookmarkEnd w:id="661"/>
      <w:bookmarkEnd w:id="662"/>
      <w:bookmarkEnd w:id="663"/>
      <w:bookmarkEnd w:id="664"/>
      <w:bookmarkEnd w:id="665"/>
      <w:bookmarkEnd w:id="666"/>
      <w:bookmarkEnd w:id="667"/>
      <w:bookmarkEnd w:id="668"/>
      <w:bookmarkEnd w:id="669"/>
      <w:bookmarkEnd w:id="670"/>
      <w:r>
        <w:rPr>
          <w:rFonts w:hint="eastAsia" w:asciiTheme="minorEastAsia" w:hAnsiTheme="minorEastAsia" w:eastAsiaTheme="minorEastAsia" w:cstheme="minorEastAsia"/>
          <w:color w:val="auto"/>
          <w:sz w:val="24"/>
          <w:szCs w:val="24"/>
          <w:highlight w:val="none"/>
        </w:rPr>
        <w:t>投标人需要说明的其他文件和说明</w:t>
      </w:r>
      <w:bookmarkEnd w:id="671"/>
    </w:p>
    <w:p w14:paraId="51BE4F85">
      <w:pPr>
        <w:pStyle w:val="49"/>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（格式自行设计）</w:t>
      </w:r>
    </w:p>
    <w:p w14:paraId="2F717CA9">
      <w:pPr>
        <w:pStyle w:val="7"/>
        <w:spacing w:before="0" w:after="0"/>
        <w:ind w:firstLine="0" w:firstLineChars="0"/>
        <w:jc w:val="left"/>
        <w:rPr>
          <w:rFonts w:ascii="宋体" w:hAnsi="宋体" w:eastAsia="宋体" w:cs="宋体"/>
          <w:color w:val="auto"/>
          <w:sz w:val="24"/>
          <w:szCs w:val="24"/>
          <w:highlight w:val="none"/>
        </w:rPr>
      </w:pPr>
    </w:p>
    <w:p w14:paraId="7439D5AB">
      <w:pPr>
        <w:pStyle w:val="49"/>
        <w:spacing w:line="360" w:lineRule="auto"/>
        <w:jc w:val="left"/>
        <w:rPr>
          <w:rFonts w:ascii="宋体" w:hAnsi="宋体" w:cs="宋体"/>
          <w:color w:val="auto"/>
          <w:sz w:val="24"/>
          <w:highlight w:val="none"/>
        </w:rPr>
      </w:pPr>
    </w:p>
    <w:p w14:paraId="52534054">
      <w:pPr>
        <w:pStyle w:val="49"/>
        <w:spacing w:line="360" w:lineRule="auto"/>
        <w:jc w:val="left"/>
        <w:rPr>
          <w:rFonts w:ascii="宋体" w:hAnsi="宋体" w:cs="宋体"/>
          <w:color w:val="auto"/>
          <w:sz w:val="24"/>
          <w:highlight w:val="none"/>
        </w:rPr>
      </w:pPr>
    </w:p>
    <w:p w14:paraId="38804822">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投标人盖章：</w:t>
      </w:r>
      <w:r>
        <w:rPr>
          <w:rFonts w:hint="eastAsia" w:ascii="宋体" w:hAnsi="宋体" w:cs="宋体"/>
          <w:color w:val="auto"/>
          <w:sz w:val="24"/>
          <w:szCs w:val="21"/>
          <w:highlight w:val="none"/>
          <w:u w:val="single"/>
        </w:rPr>
        <w:t xml:space="preserve">                </w:t>
      </w:r>
    </w:p>
    <w:p w14:paraId="13C97772">
      <w:pPr>
        <w:pStyle w:val="37"/>
        <w:wordWrap w:val="0"/>
        <w:spacing w:line="360" w:lineRule="auto"/>
        <w:ind w:firstLine="480"/>
        <w:jc w:val="right"/>
        <w:rPr>
          <w:rFonts w:ascii="宋体" w:hAnsi="宋体" w:cs="宋体"/>
          <w:color w:val="auto"/>
          <w:sz w:val="24"/>
          <w:szCs w:val="21"/>
          <w:highlight w:val="none"/>
          <w:u w:val="single"/>
        </w:rPr>
      </w:pPr>
      <w:r>
        <w:rPr>
          <w:rFonts w:hint="eastAsia" w:ascii="宋体" w:hAnsi="宋体" w:cs="宋体"/>
          <w:color w:val="auto"/>
          <w:sz w:val="24"/>
          <w:szCs w:val="21"/>
          <w:highlight w:val="none"/>
        </w:rPr>
        <w:t>日      期：</w:t>
      </w:r>
      <w:r>
        <w:rPr>
          <w:rFonts w:hint="eastAsia" w:ascii="宋体" w:hAnsi="宋体" w:cs="宋体"/>
          <w:color w:val="auto"/>
          <w:sz w:val="24"/>
          <w:szCs w:val="21"/>
          <w:highlight w:val="none"/>
          <w:u w:val="single"/>
        </w:rPr>
        <w:t xml:space="preserve">                </w:t>
      </w:r>
    </w:p>
    <w:p w14:paraId="2366F47E">
      <w:pPr>
        <w:pStyle w:val="23"/>
        <w:spacing w:beforeLines="100" w:after="240" w:afterLines="100"/>
        <w:outlineLvl w:val="1"/>
        <w:rPr>
          <w:rFonts w:ascii="宋体" w:hAnsi="宋体" w:cs="宋体"/>
          <w:color w:val="auto"/>
          <w:sz w:val="44"/>
          <w:szCs w:val="44"/>
          <w:highlight w:val="none"/>
        </w:rPr>
        <w:sectPr>
          <w:headerReference r:id="rId19" w:type="default"/>
          <w:footerReference r:id="rId20" w:type="default"/>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672" w:name="_Toc531359073"/>
      <w:bookmarkStart w:id="673" w:name="_Toc530551896"/>
    </w:p>
    <w:p w14:paraId="4C9E1BC6">
      <w:pPr>
        <w:pStyle w:val="23"/>
        <w:spacing w:beforeLines="100" w:after="240" w:afterLines="100"/>
        <w:outlineLvl w:val="1"/>
        <w:rPr>
          <w:rFonts w:ascii="宋体" w:hAnsi="宋体" w:cs="宋体"/>
          <w:color w:val="auto"/>
          <w:sz w:val="44"/>
          <w:szCs w:val="44"/>
          <w:highlight w:val="none"/>
        </w:rPr>
      </w:pPr>
      <w:bookmarkStart w:id="674" w:name="_Toc10264"/>
      <w:bookmarkStart w:id="675" w:name="_Toc15721"/>
      <w:bookmarkStart w:id="676" w:name="_Toc16607"/>
      <w:bookmarkStart w:id="677" w:name="_Toc3229"/>
      <w:bookmarkStart w:id="678" w:name="_Toc97213054"/>
      <w:bookmarkStart w:id="679" w:name="_Toc16978"/>
      <w:r>
        <w:rPr>
          <w:rFonts w:hint="eastAsia" w:ascii="宋体" w:hAnsi="宋体" w:cs="宋体"/>
          <w:color w:val="auto"/>
          <w:sz w:val="44"/>
          <w:szCs w:val="44"/>
          <w:highlight w:val="none"/>
        </w:rPr>
        <w:t>三  报价文件格式</w:t>
      </w:r>
      <w:bookmarkEnd w:id="672"/>
      <w:bookmarkEnd w:id="673"/>
      <w:bookmarkEnd w:id="674"/>
      <w:bookmarkEnd w:id="675"/>
      <w:bookmarkEnd w:id="676"/>
      <w:bookmarkEnd w:id="677"/>
      <w:bookmarkEnd w:id="678"/>
      <w:bookmarkEnd w:id="679"/>
    </w:p>
    <w:p w14:paraId="562E968C">
      <w:pPr>
        <w:spacing w:line="360" w:lineRule="auto"/>
        <w:rPr>
          <w:rFonts w:ascii="宋体" w:hAnsi="宋体" w:cs="宋体"/>
          <w:color w:val="auto"/>
          <w:sz w:val="24"/>
          <w:szCs w:val="24"/>
          <w:highlight w:val="none"/>
        </w:rPr>
      </w:pPr>
    </w:p>
    <w:p w14:paraId="5183B034">
      <w:pPr>
        <w:pStyle w:val="7"/>
        <w:spacing w:before="0" w:after="0"/>
        <w:ind w:firstLine="0" w:firstLineChars="0"/>
        <w:jc w:val="left"/>
        <w:rPr>
          <w:rFonts w:ascii="宋体" w:hAnsi="宋体" w:eastAsia="宋体" w:cs="宋体"/>
          <w:color w:val="auto"/>
          <w:sz w:val="24"/>
          <w:szCs w:val="24"/>
          <w:highlight w:val="none"/>
        </w:rPr>
      </w:pPr>
      <w:bookmarkStart w:id="680" w:name="_Toc12444"/>
      <w:bookmarkStart w:id="681" w:name="_Toc11633"/>
      <w:bookmarkStart w:id="682" w:name="_Toc10566"/>
      <w:bookmarkStart w:id="683" w:name="_Toc30744"/>
      <w:bookmarkStart w:id="684" w:name="_Toc97213055"/>
      <w:bookmarkStart w:id="685" w:name="_Toc5607"/>
      <w:bookmarkStart w:id="686" w:name="_Toc493956072"/>
      <w:bookmarkStart w:id="687" w:name="_Toc530551897"/>
      <w:bookmarkStart w:id="688" w:name="_Toc531359074"/>
      <w:r>
        <w:rPr>
          <w:rFonts w:hint="eastAsia" w:ascii="宋体" w:hAnsi="宋体" w:eastAsia="宋体" w:cs="宋体"/>
          <w:color w:val="auto"/>
          <w:sz w:val="24"/>
          <w:szCs w:val="24"/>
          <w:highlight w:val="none"/>
        </w:rPr>
        <w:t>3.1     报价</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封面格式</w:t>
      </w:r>
      <w:bookmarkEnd w:id="680"/>
      <w:bookmarkEnd w:id="681"/>
      <w:bookmarkEnd w:id="682"/>
      <w:bookmarkEnd w:id="683"/>
      <w:bookmarkEnd w:id="684"/>
      <w:bookmarkEnd w:id="685"/>
    </w:p>
    <w:p w14:paraId="1BE58DBE">
      <w:pPr>
        <w:pStyle w:val="8"/>
        <w:spacing w:line="360" w:lineRule="auto"/>
        <w:ind w:firstLine="0"/>
        <w:jc w:val="center"/>
        <w:rPr>
          <w:rFonts w:ascii="宋体" w:hAnsi="宋体" w:cs="宋体"/>
          <w:bCs/>
          <w:color w:val="auto"/>
          <w:sz w:val="24"/>
          <w:highlight w:val="none"/>
        </w:rPr>
      </w:pPr>
      <w:r>
        <w:rPr>
          <w:rFonts w:hint="eastAsia" w:ascii="宋体" w:hAnsi="宋体" w:cs="宋体"/>
          <w:b/>
          <w:color w:val="auto"/>
          <w:sz w:val="32"/>
          <w:szCs w:val="32"/>
          <w:highlight w:val="none"/>
        </w:rPr>
        <w:t>投标文件</w:t>
      </w:r>
    </w:p>
    <w:tbl>
      <w:tblPr>
        <w:tblStyle w:val="24"/>
        <w:tblW w:w="7054" w:type="dxa"/>
        <w:jc w:val="center"/>
        <w:tblLayout w:type="fixed"/>
        <w:tblCellMar>
          <w:top w:w="0" w:type="dxa"/>
          <w:left w:w="108" w:type="dxa"/>
          <w:bottom w:w="0" w:type="dxa"/>
          <w:right w:w="108" w:type="dxa"/>
        </w:tblCellMar>
      </w:tblPr>
      <w:tblGrid>
        <w:gridCol w:w="2518"/>
        <w:gridCol w:w="4536"/>
      </w:tblGrid>
      <w:tr w14:paraId="14991D96">
        <w:tblPrEx>
          <w:tblCellMar>
            <w:top w:w="0" w:type="dxa"/>
            <w:left w:w="108" w:type="dxa"/>
            <w:bottom w:w="0" w:type="dxa"/>
            <w:right w:w="108" w:type="dxa"/>
          </w:tblCellMar>
        </w:tblPrEx>
        <w:trPr>
          <w:trHeight w:val="397" w:hRule="atLeast"/>
          <w:jc w:val="center"/>
        </w:trPr>
        <w:tc>
          <w:tcPr>
            <w:tcW w:w="2518" w:type="dxa"/>
            <w:vAlign w:val="center"/>
          </w:tcPr>
          <w:p w14:paraId="36BCE50A">
            <w:pPr>
              <w:jc w:val="distribute"/>
              <w:rPr>
                <w:rFonts w:ascii="宋体" w:hAnsi="宋体" w:cs="宋体"/>
                <w:color w:val="auto"/>
                <w:sz w:val="24"/>
                <w:szCs w:val="24"/>
                <w:highlight w:val="none"/>
              </w:rPr>
            </w:pPr>
            <w:r>
              <w:rPr>
                <w:rFonts w:hint="eastAsia" w:ascii="宋体" w:hAnsi="宋体" w:cs="宋体"/>
                <w:color w:val="auto"/>
                <w:sz w:val="24"/>
                <w:szCs w:val="24"/>
                <w:highlight w:val="none"/>
              </w:rPr>
              <w:t>投标文件名称：</w:t>
            </w:r>
          </w:p>
        </w:tc>
        <w:tc>
          <w:tcPr>
            <w:tcW w:w="4536" w:type="dxa"/>
            <w:vAlign w:val="center"/>
          </w:tcPr>
          <w:p w14:paraId="5F463632">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报价文件           </w:t>
            </w:r>
          </w:p>
        </w:tc>
      </w:tr>
      <w:tr w14:paraId="3D46ABF7">
        <w:tblPrEx>
          <w:tblCellMar>
            <w:top w:w="0" w:type="dxa"/>
            <w:left w:w="108" w:type="dxa"/>
            <w:bottom w:w="0" w:type="dxa"/>
            <w:right w:w="108" w:type="dxa"/>
          </w:tblCellMar>
        </w:tblPrEx>
        <w:trPr>
          <w:trHeight w:val="397" w:hRule="atLeast"/>
          <w:jc w:val="center"/>
        </w:trPr>
        <w:tc>
          <w:tcPr>
            <w:tcW w:w="2518" w:type="dxa"/>
            <w:vAlign w:val="center"/>
          </w:tcPr>
          <w:p w14:paraId="48BF6312">
            <w:pPr>
              <w:jc w:val="distribute"/>
              <w:rPr>
                <w:rFonts w:ascii="宋体" w:hAnsi="宋体" w:cs="宋体"/>
                <w:color w:val="auto"/>
                <w:sz w:val="24"/>
                <w:szCs w:val="24"/>
                <w:highlight w:val="none"/>
              </w:rPr>
            </w:pPr>
            <w:r>
              <w:rPr>
                <w:rFonts w:hint="eastAsia" w:ascii="宋体" w:hAnsi="宋体" w:cs="宋体"/>
                <w:color w:val="auto"/>
                <w:sz w:val="24"/>
                <w:szCs w:val="24"/>
                <w:highlight w:val="none"/>
              </w:rPr>
              <w:t>项 目 编 号：</w:t>
            </w:r>
          </w:p>
        </w:tc>
        <w:tc>
          <w:tcPr>
            <w:tcW w:w="4536" w:type="dxa"/>
            <w:vAlign w:val="center"/>
          </w:tcPr>
          <w:p w14:paraId="0BE29D9A">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p>
        </w:tc>
      </w:tr>
      <w:tr w14:paraId="59BAB401">
        <w:tblPrEx>
          <w:tblCellMar>
            <w:top w:w="0" w:type="dxa"/>
            <w:left w:w="108" w:type="dxa"/>
            <w:bottom w:w="0" w:type="dxa"/>
            <w:right w:w="108" w:type="dxa"/>
          </w:tblCellMar>
        </w:tblPrEx>
        <w:trPr>
          <w:trHeight w:val="397" w:hRule="atLeast"/>
          <w:jc w:val="center"/>
        </w:trPr>
        <w:tc>
          <w:tcPr>
            <w:tcW w:w="2518" w:type="dxa"/>
            <w:vAlign w:val="center"/>
          </w:tcPr>
          <w:p w14:paraId="4D6F53AD">
            <w:pPr>
              <w:jc w:val="distribute"/>
              <w:rPr>
                <w:rFonts w:ascii="宋体" w:hAnsi="宋体" w:cs="宋体"/>
                <w:color w:val="auto"/>
                <w:sz w:val="24"/>
                <w:szCs w:val="24"/>
                <w:highlight w:val="none"/>
              </w:rPr>
            </w:pPr>
            <w:r>
              <w:rPr>
                <w:rFonts w:hint="eastAsia" w:ascii="宋体" w:hAnsi="宋体" w:cs="宋体"/>
                <w:color w:val="auto"/>
                <w:sz w:val="24"/>
                <w:szCs w:val="24"/>
                <w:highlight w:val="none"/>
              </w:rPr>
              <w:t>项 目 名 称：</w:t>
            </w:r>
          </w:p>
        </w:tc>
        <w:tc>
          <w:tcPr>
            <w:tcW w:w="4536" w:type="dxa"/>
            <w:vAlign w:val="center"/>
          </w:tcPr>
          <w:p w14:paraId="50B0D465">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p>
        </w:tc>
      </w:tr>
      <w:tr w14:paraId="5A4D8968">
        <w:tblPrEx>
          <w:tblCellMar>
            <w:top w:w="0" w:type="dxa"/>
            <w:left w:w="108" w:type="dxa"/>
            <w:bottom w:w="0" w:type="dxa"/>
            <w:right w:w="108" w:type="dxa"/>
          </w:tblCellMar>
        </w:tblPrEx>
        <w:trPr>
          <w:trHeight w:val="397" w:hRule="atLeast"/>
          <w:jc w:val="center"/>
        </w:trPr>
        <w:tc>
          <w:tcPr>
            <w:tcW w:w="2518" w:type="dxa"/>
            <w:vAlign w:val="center"/>
          </w:tcPr>
          <w:p w14:paraId="771C0A23">
            <w:pPr>
              <w:jc w:val="distribute"/>
              <w:rPr>
                <w:rFonts w:ascii="宋体" w:hAnsi="宋体" w:cs="宋体"/>
                <w:color w:val="auto"/>
                <w:sz w:val="24"/>
                <w:szCs w:val="24"/>
                <w:highlight w:val="none"/>
              </w:rPr>
            </w:pPr>
            <w:r>
              <w:rPr>
                <w:rFonts w:hint="eastAsia" w:ascii="宋体" w:hAnsi="宋体" w:cs="宋体"/>
                <w:color w:val="auto"/>
                <w:sz w:val="24"/>
                <w:szCs w:val="24"/>
                <w:highlight w:val="none"/>
              </w:rPr>
              <w:t>标      项：</w:t>
            </w:r>
          </w:p>
        </w:tc>
        <w:tc>
          <w:tcPr>
            <w:tcW w:w="4536" w:type="dxa"/>
            <w:vAlign w:val="center"/>
          </w:tcPr>
          <w:p w14:paraId="3630840D">
            <w:pPr>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 xml:space="preserve">（如有）                            </w:t>
            </w:r>
          </w:p>
        </w:tc>
      </w:tr>
      <w:tr w14:paraId="50D2C3F5">
        <w:tblPrEx>
          <w:tblCellMar>
            <w:top w:w="0" w:type="dxa"/>
            <w:left w:w="108" w:type="dxa"/>
            <w:bottom w:w="0" w:type="dxa"/>
            <w:right w:w="108" w:type="dxa"/>
          </w:tblCellMar>
        </w:tblPrEx>
        <w:trPr>
          <w:trHeight w:val="397" w:hRule="atLeast"/>
          <w:jc w:val="center"/>
        </w:trPr>
        <w:tc>
          <w:tcPr>
            <w:tcW w:w="2518" w:type="dxa"/>
            <w:vAlign w:val="center"/>
          </w:tcPr>
          <w:p w14:paraId="0B264636">
            <w:pPr>
              <w:jc w:val="distribute"/>
              <w:rPr>
                <w:rFonts w:ascii="宋体" w:hAnsi="宋体" w:cs="宋体"/>
                <w:color w:val="auto"/>
                <w:sz w:val="24"/>
                <w:szCs w:val="24"/>
                <w:highlight w:val="none"/>
              </w:rPr>
            </w:pPr>
          </w:p>
        </w:tc>
        <w:tc>
          <w:tcPr>
            <w:tcW w:w="4536" w:type="dxa"/>
            <w:vAlign w:val="center"/>
          </w:tcPr>
          <w:p w14:paraId="6DC72248">
            <w:pPr>
              <w:jc w:val="left"/>
              <w:rPr>
                <w:rFonts w:ascii="宋体" w:hAnsi="宋体" w:cs="宋体"/>
                <w:color w:val="auto"/>
                <w:sz w:val="24"/>
                <w:szCs w:val="24"/>
                <w:highlight w:val="none"/>
              </w:rPr>
            </w:pPr>
          </w:p>
        </w:tc>
      </w:tr>
      <w:tr w14:paraId="4260B574">
        <w:tblPrEx>
          <w:tblCellMar>
            <w:top w:w="0" w:type="dxa"/>
            <w:left w:w="108" w:type="dxa"/>
            <w:bottom w:w="0" w:type="dxa"/>
            <w:right w:w="108" w:type="dxa"/>
          </w:tblCellMar>
        </w:tblPrEx>
        <w:trPr>
          <w:trHeight w:val="397" w:hRule="atLeast"/>
          <w:jc w:val="center"/>
        </w:trPr>
        <w:tc>
          <w:tcPr>
            <w:tcW w:w="2518" w:type="dxa"/>
            <w:vAlign w:val="center"/>
          </w:tcPr>
          <w:p w14:paraId="5C69D810">
            <w:pPr>
              <w:jc w:val="distribute"/>
              <w:rPr>
                <w:rFonts w:ascii="宋体" w:hAnsi="宋体" w:cs="宋体"/>
                <w:color w:val="auto"/>
                <w:sz w:val="24"/>
                <w:szCs w:val="24"/>
                <w:highlight w:val="none"/>
              </w:rPr>
            </w:pPr>
            <w:r>
              <w:rPr>
                <w:rFonts w:hint="eastAsia" w:ascii="宋体" w:hAnsi="宋体" w:cs="宋体"/>
                <w:color w:val="auto"/>
                <w:sz w:val="24"/>
                <w:szCs w:val="24"/>
                <w:highlight w:val="none"/>
              </w:rPr>
              <w:t>投标人全称（盖章）：</w:t>
            </w:r>
          </w:p>
        </w:tc>
        <w:tc>
          <w:tcPr>
            <w:tcW w:w="4536" w:type="dxa"/>
            <w:vAlign w:val="center"/>
          </w:tcPr>
          <w:p w14:paraId="20306049">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p>
        </w:tc>
      </w:tr>
      <w:tr w14:paraId="5C929EDC">
        <w:tblPrEx>
          <w:tblCellMar>
            <w:top w:w="0" w:type="dxa"/>
            <w:left w:w="108" w:type="dxa"/>
            <w:bottom w:w="0" w:type="dxa"/>
            <w:right w:w="108" w:type="dxa"/>
          </w:tblCellMar>
        </w:tblPrEx>
        <w:trPr>
          <w:trHeight w:val="397" w:hRule="atLeast"/>
          <w:jc w:val="center"/>
        </w:trPr>
        <w:tc>
          <w:tcPr>
            <w:tcW w:w="2518" w:type="dxa"/>
            <w:vAlign w:val="center"/>
          </w:tcPr>
          <w:p w14:paraId="497B350A">
            <w:pPr>
              <w:jc w:val="distribute"/>
              <w:rPr>
                <w:rFonts w:ascii="宋体" w:hAnsi="宋体" w:cs="宋体"/>
                <w:color w:val="auto"/>
                <w:sz w:val="24"/>
                <w:szCs w:val="24"/>
                <w:highlight w:val="none"/>
              </w:rPr>
            </w:pPr>
            <w:r>
              <w:rPr>
                <w:rFonts w:hint="eastAsia" w:ascii="宋体" w:hAnsi="宋体" w:cs="宋体"/>
                <w:color w:val="auto"/>
                <w:sz w:val="24"/>
                <w:szCs w:val="24"/>
                <w:highlight w:val="none"/>
              </w:rPr>
              <w:t>投标人地址：</w:t>
            </w:r>
          </w:p>
        </w:tc>
        <w:tc>
          <w:tcPr>
            <w:tcW w:w="4536" w:type="dxa"/>
            <w:vAlign w:val="center"/>
          </w:tcPr>
          <w:p w14:paraId="0E8B0024">
            <w:pPr>
              <w:jc w:val="left"/>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p>
        </w:tc>
      </w:tr>
      <w:tr w14:paraId="496F0DEE">
        <w:tblPrEx>
          <w:tblCellMar>
            <w:top w:w="0" w:type="dxa"/>
            <w:left w:w="108" w:type="dxa"/>
            <w:bottom w:w="0" w:type="dxa"/>
            <w:right w:w="108" w:type="dxa"/>
          </w:tblCellMar>
        </w:tblPrEx>
        <w:trPr>
          <w:trHeight w:val="397" w:hRule="atLeast"/>
          <w:jc w:val="center"/>
        </w:trPr>
        <w:tc>
          <w:tcPr>
            <w:tcW w:w="7054" w:type="dxa"/>
            <w:gridSpan w:val="2"/>
            <w:vAlign w:val="center"/>
          </w:tcPr>
          <w:p w14:paraId="265498FB">
            <w:pPr>
              <w:jc w:val="left"/>
              <w:rPr>
                <w:rFonts w:ascii="宋体" w:hAnsi="宋体" w:cs="宋体"/>
                <w:color w:val="auto"/>
                <w:sz w:val="24"/>
                <w:szCs w:val="24"/>
                <w:highlight w:val="none"/>
                <w:u w:val="single"/>
              </w:rPr>
            </w:pPr>
          </w:p>
        </w:tc>
      </w:tr>
      <w:tr w14:paraId="4AF83CE9">
        <w:tblPrEx>
          <w:tblCellMar>
            <w:top w:w="0" w:type="dxa"/>
            <w:left w:w="108" w:type="dxa"/>
            <w:bottom w:w="0" w:type="dxa"/>
            <w:right w:w="108" w:type="dxa"/>
          </w:tblCellMar>
        </w:tblPrEx>
        <w:trPr>
          <w:trHeight w:val="397" w:hRule="atLeast"/>
          <w:jc w:val="center"/>
        </w:trPr>
        <w:tc>
          <w:tcPr>
            <w:tcW w:w="7054" w:type="dxa"/>
            <w:gridSpan w:val="2"/>
            <w:vAlign w:val="center"/>
          </w:tcPr>
          <w:p w14:paraId="18BF4BD0">
            <w:pPr>
              <w:jc w:val="center"/>
              <w:rPr>
                <w:rFonts w:ascii="宋体" w:hAnsi="宋体" w:cs="宋体"/>
                <w:color w:val="auto"/>
                <w:sz w:val="24"/>
                <w:szCs w:val="24"/>
                <w:highlight w:val="none"/>
              </w:rPr>
            </w:pPr>
            <w:r>
              <w:rPr>
                <w:rFonts w:hint="eastAsia" w:ascii="宋体" w:hAnsi="宋体" w:cs="宋体"/>
                <w:color w:val="auto"/>
                <w:sz w:val="24"/>
                <w:szCs w:val="24"/>
                <w:highlight w:val="none"/>
              </w:rPr>
              <w:t>年  月  日</w:t>
            </w:r>
          </w:p>
        </w:tc>
      </w:tr>
    </w:tbl>
    <w:p w14:paraId="157E3CD1">
      <w:pPr>
        <w:spacing w:line="360" w:lineRule="auto"/>
        <w:rPr>
          <w:rFonts w:ascii="宋体" w:hAnsi="宋体" w:cs="宋体"/>
          <w:color w:val="auto"/>
          <w:sz w:val="24"/>
          <w:szCs w:val="24"/>
          <w:highlight w:val="none"/>
        </w:rPr>
      </w:pPr>
    </w:p>
    <w:p w14:paraId="1626996E">
      <w:pPr>
        <w:pStyle w:val="7"/>
        <w:spacing w:before="0" w:after="0"/>
        <w:ind w:firstLine="0" w:firstLineChars="0"/>
        <w:jc w:val="left"/>
        <w:rPr>
          <w:rFonts w:ascii="宋体" w:hAnsi="宋体" w:eastAsia="宋体" w:cs="宋体"/>
          <w:color w:val="auto"/>
          <w:sz w:val="24"/>
          <w:szCs w:val="24"/>
          <w:highlight w:val="none"/>
        </w:rPr>
      </w:pPr>
      <w:bookmarkStart w:id="689" w:name="_Toc16979"/>
      <w:bookmarkStart w:id="690" w:name="_Toc19907"/>
      <w:bookmarkStart w:id="691" w:name="_Toc20843"/>
      <w:bookmarkStart w:id="692" w:name="_Toc30203"/>
      <w:bookmarkStart w:id="693" w:name="_Toc13423"/>
      <w:bookmarkStart w:id="694" w:name="_Toc97213056"/>
      <w:r>
        <w:rPr>
          <w:rFonts w:hint="eastAsia" w:ascii="宋体" w:hAnsi="宋体" w:eastAsia="宋体" w:cs="宋体"/>
          <w:color w:val="auto"/>
          <w:sz w:val="24"/>
          <w:szCs w:val="24"/>
          <w:highlight w:val="none"/>
        </w:rPr>
        <w:t>3.2     报价</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目录</w:t>
      </w:r>
      <w:bookmarkEnd w:id="689"/>
      <w:bookmarkEnd w:id="690"/>
      <w:bookmarkEnd w:id="691"/>
      <w:bookmarkEnd w:id="692"/>
      <w:bookmarkEnd w:id="693"/>
      <w:bookmarkEnd w:id="694"/>
    </w:p>
    <w:p w14:paraId="4B9964B0">
      <w:pPr>
        <w:pStyle w:val="8"/>
        <w:spacing w:line="360" w:lineRule="auto"/>
        <w:ind w:firstLine="0"/>
        <w:rPr>
          <w:rFonts w:ascii="宋体" w:hAnsi="宋体" w:cs="宋体"/>
          <w:color w:val="auto"/>
          <w:highlight w:val="none"/>
        </w:rPr>
      </w:pPr>
    </w:p>
    <w:p w14:paraId="35B68E7C">
      <w:pPr>
        <w:pStyle w:val="8"/>
        <w:spacing w:line="360" w:lineRule="auto"/>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（格式自行设计）</w:t>
      </w:r>
    </w:p>
    <w:p w14:paraId="67CE30BA">
      <w:pPr>
        <w:pStyle w:val="8"/>
        <w:spacing w:line="360" w:lineRule="auto"/>
        <w:ind w:firstLine="0"/>
        <w:jc w:val="left"/>
        <w:rPr>
          <w:rFonts w:ascii="宋体" w:hAnsi="宋体" w:cs="宋体"/>
          <w:color w:val="auto"/>
          <w:sz w:val="24"/>
          <w:szCs w:val="24"/>
          <w:highlight w:val="none"/>
        </w:rPr>
      </w:pPr>
    </w:p>
    <w:p w14:paraId="53224E54">
      <w:pPr>
        <w:pStyle w:val="8"/>
        <w:spacing w:line="360" w:lineRule="auto"/>
        <w:ind w:firstLine="0"/>
        <w:jc w:val="left"/>
        <w:rPr>
          <w:rFonts w:ascii="宋体" w:hAnsi="宋体" w:cs="宋体"/>
          <w:color w:val="auto"/>
          <w:sz w:val="24"/>
          <w:szCs w:val="24"/>
          <w:highlight w:val="none"/>
        </w:rPr>
      </w:pPr>
    </w:p>
    <w:p w14:paraId="359E2CC1">
      <w:pPr>
        <w:pStyle w:val="7"/>
        <w:spacing w:before="0" w:after="0"/>
        <w:ind w:firstLine="0" w:firstLineChars="0"/>
        <w:jc w:val="left"/>
        <w:rPr>
          <w:rFonts w:ascii="宋体" w:hAnsi="宋体" w:eastAsia="宋体" w:cs="宋体"/>
          <w:color w:val="auto"/>
          <w:sz w:val="24"/>
          <w:szCs w:val="24"/>
          <w:highlight w:val="none"/>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30E87504">
      <w:pPr>
        <w:pStyle w:val="7"/>
        <w:spacing w:before="0" w:after="0"/>
        <w:ind w:firstLine="0" w:firstLineChars="0"/>
        <w:jc w:val="left"/>
        <w:rPr>
          <w:rFonts w:ascii="宋体" w:hAnsi="宋体" w:eastAsia="宋体" w:cs="宋体"/>
          <w:color w:val="auto"/>
          <w:sz w:val="24"/>
          <w:szCs w:val="24"/>
          <w:highlight w:val="none"/>
        </w:rPr>
      </w:pPr>
      <w:bookmarkStart w:id="695" w:name="_Toc8443"/>
      <w:bookmarkStart w:id="696" w:name="_Toc8322"/>
      <w:bookmarkStart w:id="697" w:name="_Toc10855"/>
      <w:bookmarkStart w:id="698" w:name="_Toc97213057"/>
      <w:bookmarkStart w:id="699" w:name="_Toc15601"/>
      <w:bookmarkStart w:id="700" w:name="_Toc19545"/>
      <w:r>
        <w:rPr>
          <w:rFonts w:hint="eastAsia" w:ascii="宋体" w:hAnsi="宋体" w:eastAsia="宋体" w:cs="宋体"/>
          <w:color w:val="auto"/>
          <w:sz w:val="24"/>
          <w:szCs w:val="24"/>
          <w:highlight w:val="none"/>
        </w:rPr>
        <w:t>3.3     开标一览表</w:t>
      </w:r>
      <w:bookmarkEnd w:id="686"/>
      <w:bookmarkEnd w:id="687"/>
      <w:bookmarkEnd w:id="688"/>
      <w:r>
        <w:rPr>
          <w:rFonts w:hint="eastAsia" w:ascii="宋体" w:hAnsi="宋体" w:eastAsia="宋体" w:cs="宋体"/>
          <w:color w:val="auto"/>
          <w:sz w:val="24"/>
          <w:szCs w:val="24"/>
          <w:highlight w:val="none"/>
        </w:rPr>
        <w:t>格式</w:t>
      </w:r>
      <w:bookmarkEnd w:id="695"/>
      <w:bookmarkEnd w:id="696"/>
      <w:bookmarkEnd w:id="697"/>
      <w:bookmarkEnd w:id="698"/>
      <w:bookmarkEnd w:id="699"/>
      <w:bookmarkEnd w:id="700"/>
    </w:p>
    <w:p w14:paraId="02A2C86C">
      <w:pPr>
        <w:pStyle w:val="8"/>
        <w:spacing w:line="360" w:lineRule="auto"/>
        <w:ind w:firstLine="0"/>
        <w:jc w:val="center"/>
        <w:rPr>
          <w:rFonts w:ascii="宋体" w:hAnsi="宋体" w:cs="宋体"/>
          <w:b/>
          <w:color w:val="auto"/>
          <w:sz w:val="32"/>
          <w:szCs w:val="32"/>
          <w:highlight w:val="none"/>
        </w:rPr>
      </w:pPr>
      <w:r>
        <w:rPr>
          <w:rFonts w:hint="eastAsia" w:ascii="宋体" w:hAnsi="宋体" w:cs="宋体"/>
          <w:b/>
          <w:color w:val="auto"/>
          <w:sz w:val="32"/>
          <w:szCs w:val="32"/>
          <w:highlight w:val="none"/>
        </w:rPr>
        <w:t>开标一览表</w:t>
      </w:r>
    </w:p>
    <w:p w14:paraId="1A8BB4C2">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项目编号：</w:t>
      </w:r>
      <w:r>
        <w:rPr>
          <w:rFonts w:hint="eastAsia" w:ascii="宋体" w:hAnsi="宋体" w:cs="宋体"/>
          <w:color w:val="auto"/>
          <w:sz w:val="24"/>
          <w:szCs w:val="24"/>
          <w:highlight w:val="none"/>
          <w:u w:val="single"/>
        </w:rPr>
        <w:t xml:space="preserve">            </w:t>
      </w:r>
    </w:p>
    <w:p w14:paraId="1A488697">
      <w:pPr>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项目名称：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tbl>
      <w:tblPr>
        <w:tblStyle w:val="24"/>
        <w:tblW w:w="0" w:type="auto"/>
        <w:jc w:val="center"/>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2716"/>
        <w:gridCol w:w="6289"/>
      </w:tblGrid>
      <w:tr w14:paraId="504626F9">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134" w:hRule="atLeast"/>
          <w:jc w:val="center"/>
        </w:trPr>
        <w:tc>
          <w:tcPr>
            <w:tcW w:w="2716" w:type="dxa"/>
            <w:tcBorders>
              <w:top w:val="double" w:color="000000" w:sz="6" w:space="0"/>
              <w:left w:val="double" w:color="000000" w:sz="6" w:space="0"/>
              <w:bottom w:val="single" w:color="000000" w:sz="6" w:space="0"/>
              <w:right w:val="single" w:color="000000" w:sz="6" w:space="0"/>
            </w:tcBorders>
            <w:noWrap w:val="0"/>
            <w:vAlign w:val="center"/>
          </w:tcPr>
          <w:p w14:paraId="365DE74B">
            <w:pPr>
              <w:pStyle w:val="43"/>
              <w:tabs>
                <w:tab w:val="left" w:pos="420"/>
                <w:tab w:val="center" w:pos="4153"/>
                <w:tab w:val="right" w:pos="8306"/>
              </w:tabs>
              <w:adjustRightInd w:val="0"/>
              <w:jc w:val="center"/>
              <w:rPr>
                <w:rFonts w:hint="eastAsia" w:ascii="宋体" w:hAnsi="宋体" w:eastAsia="宋体" w:cs="宋体"/>
                <w:caps/>
                <w:spacing w:val="20"/>
                <w:kern w:val="0"/>
                <w:sz w:val="24"/>
                <w:szCs w:val="20"/>
                <w:highlight w:val="none"/>
              </w:rPr>
            </w:pPr>
            <w:bookmarkStart w:id="701" w:name="_Toc530551898"/>
            <w:bookmarkStart w:id="702" w:name="_Toc531359075"/>
            <w:bookmarkStart w:id="703" w:name="_Toc493956073"/>
            <w:r>
              <w:rPr>
                <w:rFonts w:hint="eastAsia" w:ascii="宋体" w:hAnsi="宋体" w:eastAsia="宋体" w:cs="宋体"/>
                <w:caps/>
                <w:spacing w:val="20"/>
                <w:kern w:val="0"/>
                <w:sz w:val="24"/>
                <w:szCs w:val="20"/>
                <w:highlight w:val="none"/>
              </w:rPr>
              <w:t>名称</w:t>
            </w:r>
          </w:p>
        </w:tc>
        <w:tc>
          <w:tcPr>
            <w:tcW w:w="6289" w:type="dxa"/>
            <w:tcBorders>
              <w:top w:val="double" w:color="000000" w:sz="6" w:space="0"/>
              <w:left w:val="single" w:color="000000" w:sz="6" w:space="0"/>
              <w:bottom w:val="single" w:color="000000" w:sz="6" w:space="0"/>
              <w:right w:val="double" w:color="000000" w:sz="6" w:space="0"/>
            </w:tcBorders>
            <w:noWrap w:val="0"/>
            <w:vAlign w:val="center"/>
          </w:tcPr>
          <w:p w14:paraId="556957A4">
            <w:pPr>
              <w:pStyle w:val="43"/>
              <w:jc w:val="center"/>
              <w:rPr>
                <w:rFonts w:hint="eastAsia" w:ascii="宋体" w:hAnsi="宋体" w:eastAsia="宋体" w:cs="宋体"/>
                <w:caps/>
                <w:spacing w:val="20"/>
                <w:sz w:val="24"/>
                <w:highlight w:val="none"/>
              </w:rPr>
            </w:pPr>
            <w:r>
              <w:rPr>
                <w:rFonts w:hint="eastAsia" w:ascii="宋体" w:hAnsi="宋体" w:eastAsia="宋体" w:cs="宋体"/>
                <w:caps/>
                <w:spacing w:val="20"/>
                <w:sz w:val="24"/>
                <w:highlight w:val="none"/>
              </w:rPr>
              <w:t>总报价（元）</w:t>
            </w:r>
          </w:p>
        </w:tc>
      </w:tr>
      <w:tr w14:paraId="3983CFCD">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134" w:hRule="atLeast"/>
          <w:jc w:val="center"/>
        </w:trPr>
        <w:tc>
          <w:tcPr>
            <w:tcW w:w="2716" w:type="dxa"/>
            <w:tcBorders>
              <w:top w:val="single" w:color="000000" w:sz="6" w:space="0"/>
              <w:left w:val="double" w:color="000000" w:sz="6" w:space="0"/>
              <w:bottom w:val="double" w:color="000000" w:sz="6" w:space="0"/>
              <w:right w:val="single" w:color="000000" w:sz="6" w:space="0"/>
            </w:tcBorders>
            <w:noWrap w:val="0"/>
            <w:vAlign w:val="center"/>
          </w:tcPr>
          <w:p w14:paraId="2ED692AF">
            <w:pPr>
              <w:pStyle w:val="43"/>
              <w:jc w:val="center"/>
              <w:rPr>
                <w:rFonts w:hint="eastAsia" w:ascii="宋体" w:hAnsi="宋体" w:eastAsia="宋体" w:cs="宋体"/>
                <w:spacing w:val="20"/>
                <w:sz w:val="24"/>
                <w:highlight w:val="none"/>
              </w:rPr>
            </w:pPr>
            <w:r>
              <w:rPr>
                <w:rFonts w:hint="eastAsia" w:ascii="宋体" w:hAnsi="宋体" w:eastAsia="宋体" w:cs="宋体"/>
                <w:spacing w:val="20"/>
                <w:sz w:val="24"/>
                <w:highlight w:val="none"/>
              </w:rPr>
              <w:t>项目总报价</w:t>
            </w:r>
          </w:p>
        </w:tc>
        <w:tc>
          <w:tcPr>
            <w:tcW w:w="6289" w:type="dxa"/>
            <w:tcBorders>
              <w:top w:val="single" w:color="000000" w:sz="6" w:space="0"/>
              <w:left w:val="single" w:color="000000" w:sz="6" w:space="0"/>
              <w:bottom w:val="double" w:color="000000" w:sz="6" w:space="0"/>
              <w:right w:val="double" w:color="000000" w:sz="6" w:space="0"/>
            </w:tcBorders>
            <w:noWrap w:val="0"/>
            <w:vAlign w:val="center"/>
          </w:tcPr>
          <w:p w14:paraId="7EB19B0F">
            <w:pPr>
              <w:pStyle w:val="43"/>
              <w:rPr>
                <w:rFonts w:hint="eastAsia" w:ascii="宋体" w:hAnsi="宋体" w:eastAsia="宋体" w:cs="宋体"/>
                <w:spacing w:val="20"/>
                <w:sz w:val="24"/>
                <w:highlight w:val="none"/>
              </w:rPr>
            </w:pPr>
            <w:r>
              <w:rPr>
                <w:rFonts w:hint="eastAsia" w:ascii="宋体" w:hAnsi="宋体" w:eastAsia="宋体" w:cs="宋体"/>
                <w:spacing w:val="20"/>
                <w:sz w:val="24"/>
                <w:highlight w:val="none"/>
              </w:rPr>
              <w:t>大写                （￥           ）</w:t>
            </w:r>
          </w:p>
        </w:tc>
      </w:tr>
    </w:tbl>
    <w:p w14:paraId="024B1304">
      <w:pPr>
        <w:pStyle w:val="43"/>
        <w:spacing w:line="440" w:lineRule="exact"/>
        <w:rPr>
          <w:rFonts w:hint="eastAsia" w:ascii="宋体" w:hAnsi="宋体" w:eastAsia="宋体" w:cs="宋体"/>
          <w:b/>
          <w:iCs/>
          <w:spacing w:val="20"/>
          <w:sz w:val="24"/>
          <w:highlight w:val="none"/>
        </w:rPr>
      </w:pPr>
      <w:r>
        <w:rPr>
          <w:rFonts w:hint="eastAsia" w:ascii="宋体" w:hAnsi="宋体" w:eastAsia="宋体" w:cs="宋体"/>
          <w:b/>
          <w:iCs/>
          <w:spacing w:val="20"/>
          <w:sz w:val="24"/>
          <w:highlight w:val="none"/>
        </w:rPr>
        <w:t>注：</w:t>
      </w:r>
    </w:p>
    <w:p w14:paraId="49532BBB">
      <w:pPr>
        <w:pStyle w:val="43"/>
        <w:spacing w:line="360" w:lineRule="auto"/>
        <w:ind w:firstLine="480" w:firstLineChars="200"/>
        <w:jc w:val="left"/>
        <w:rPr>
          <w:rFonts w:hint="eastAsia" w:ascii="宋体" w:hAnsi="宋体" w:eastAsia="宋体" w:cs="宋体"/>
          <w:iCs/>
          <w:sz w:val="24"/>
          <w:highlight w:val="none"/>
        </w:rPr>
      </w:pPr>
      <w:r>
        <w:rPr>
          <w:rFonts w:hint="eastAsia" w:ascii="宋体" w:hAnsi="宋体" w:eastAsia="宋体" w:cs="宋体"/>
          <w:iCs/>
          <w:sz w:val="24"/>
          <w:highlight w:val="none"/>
        </w:rPr>
        <w:t>1. 具体价格明细详见《报价明细表》</w:t>
      </w:r>
    </w:p>
    <w:p w14:paraId="38B8B0D9">
      <w:pPr>
        <w:pStyle w:val="43"/>
        <w:spacing w:line="360" w:lineRule="auto"/>
        <w:ind w:firstLine="480" w:firstLineChars="200"/>
        <w:jc w:val="left"/>
        <w:rPr>
          <w:rFonts w:hint="eastAsia" w:ascii="宋体" w:hAnsi="宋体" w:eastAsia="宋体" w:cs="宋体"/>
          <w:iCs/>
          <w:sz w:val="24"/>
          <w:highlight w:val="none"/>
        </w:rPr>
      </w:pPr>
      <w:r>
        <w:rPr>
          <w:rFonts w:hint="eastAsia" w:ascii="宋体" w:hAnsi="宋体" w:eastAsia="宋体" w:cs="宋体"/>
          <w:iCs/>
          <w:sz w:val="24"/>
          <w:highlight w:val="none"/>
        </w:rPr>
        <w:t>2. 总报价一经涂改，应在涂改处加盖单位公章或投标人代表签字（或盖章），否则其投标作无效标处理。</w:t>
      </w:r>
    </w:p>
    <w:p w14:paraId="2867018F">
      <w:pPr>
        <w:pStyle w:val="43"/>
        <w:spacing w:line="360" w:lineRule="auto"/>
        <w:ind w:firstLine="480" w:firstLineChars="200"/>
        <w:jc w:val="left"/>
        <w:rPr>
          <w:rFonts w:hint="eastAsia" w:ascii="宋体" w:hAnsi="宋体" w:eastAsia="宋体" w:cs="宋体"/>
          <w:bCs/>
          <w:sz w:val="24"/>
          <w:highlight w:val="none"/>
        </w:rPr>
      </w:pPr>
      <w:r>
        <w:rPr>
          <w:rFonts w:hint="eastAsia" w:ascii="宋体" w:hAnsi="宋体" w:eastAsia="宋体" w:cs="宋体"/>
          <w:bCs/>
          <w:sz w:val="24"/>
          <w:highlight w:val="none"/>
        </w:rPr>
        <w:t>3. 总报价应包括产品、产品标准配件、备品备件、专用工具、包装、工时、运输、装卸、保险、税金、设备保护、安装、调试与试运行、培训、保修、售后服务费、工程配套费、以及实施本项目所需的其他一切费用。</w:t>
      </w:r>
    </w:p>
    <w:p w14:paraId="08A6212E">
      <w:pPr>
        <w:pStyle w:val="37"/>
        <w:wordWrap w:val="0"/>
        <w:spacing w:line="360" w:lineRule="auto"/>
        <w:ind w:firstLine="480"/>
        <w:jc w:val="right"/>
        <w:rPr>
          <w:rFonts w:hint="eastAsia" w:ascii="宋体" w:hAnsi="宋体" w:eastAsia="宋体" w:cs="宋体"/>
          <w:color w:val="auto"/>
          <w:spacing w:val="20"/>
          <w:sz w:val="24"/>
          <w:szCs w:val="21"/>
          <w:highlight w:val="none"/>
          <w:u w:val="single"/>
        </w:rPr>
      </w:pPr>
    </w:p>
    <w:p w14:paraId="44E6B547">
      <w:pPr>
        <w:pStyle w:val="37"/>
        <w:wordWrap w:val="0"/>
        <w:spacing w:line="360" w:lineRule="auto"/>
        <w:ind w:firstLine="480"/>
        <w:jc w:val="right"/>
        <w:rPr>
          <w:rFonts w:hint="eastAsia" w:ascii="宋体" w:hAnsi="宋体" w:eastAsia="宋体" w:cs="宋体"/>
          <w:color w:val="auto"/>
          <w:sz w:val="24"/>
          <w:szCs w:val="21"/>
          <w:highlight w:val="none"/>
          <w:u w:val="single"/>
        </w:rPr>
      </w:pPr>
      <w:r>
        <w:rPr>
          <w:rFonts w:hint="eastAsia" w:ascii="宋体" w:hAnsi="宋体" w:eastAsia="宋体" w:cs="宋体"/>
          <w:color w:val="auto"/>
          <w:sz w:val="24"/>
          <w:szCs w:val="21"/>
          <w:highlight w:val="none"/>
        </w:rPr>
        <w:t>投标人盖章：</w:t>
      </w:r>
      <w:r>
        <w:rPr>
          <w:rFonts w:hint="eastAsia" w:ascii="宋体" w:hAnsi="宋体" w:eastAsia="宋体" w:cs="宋体"/>
          <w:color w:val="auto"/>
          <w:sz w:val="24"/>
          <w:szCs w:val="21"/>
          <w:highlight w:val="none"/>
          <w:u w:val="single"/>
        </w:rPr>
        <w:t xml:space="preserve">                </w:t>
      </w:r>
    </w:p>
    <w:p w14:paraId="2F40B0EB">
      <w:pPr>
        <w:pStyle w:val="37"/>
        <w:wordWrap w:val="0"/>
        <w:spacing w:line="360" w:lineRule="auto"/>
        <w:ind w:firstLine="480"/>
        <w:jc w:val="right"/>
        <w:rPr>
          <w:rFonts w:hint="eastAsia" w:ascii="宋体" w:hAnsi="宋体" w:eastAsia="宋体" w:cs="宋体"/>
          <w:color w:val="auto"/>
          <w:sz w:val="24"/>
          <w:szCs w:val="21"/>
          <w:highlight w:val="none"/>
          <w:u w:val="single"/>
        </w:rPr>
      </w:pPr>
      <w:r>
        <w:rPr>
          <w:rFonts w:hint="eastAsia" w:ascii="宋体" w:hAnsi="宋体" w:eastAsia="宋体" w:cs="宋体"/>
          <w:color w:val="auto"/>
          <w:sz w:val="24"/>
          <w:szCs w:val="21"/>
          <w:highlight w:val="none"/>
        </w:rPr>
        <w:t>日      期：</w:t>
      </w:r>
      <w:r>
        <w:rPr>
          <w:rFonts w:hint="eastAsia" w:ascii="宋体" w:hAnsi="宋体" w:eastAsia="宋体" w:cs="宋体"/>
          <w:color w:val="auto"/>
          <w:sz w:val="24"/>
          <w:szCs w:val="21"/>
          <w:highlight w:val="none"/>
          <w:u w:val="single"/>
        </w:rPr>
        <w:t xml:space="preserve">                </w:t>
      </w:r>
    </w:p>
    <w:p w14:paraId="6C3B7EEC">
      <w:pPr>
        <w:pStyle w:val="7"/>
        <w:spacing w:before="0" w:after="0"/>
        <w:ind w:firstLine="0" w:firstLineChars="0"/>
        <w:jc w:val="right"/>
        <w:rPr>
          <w:rFonts w:hint="eastAsia" w:ascii="宋体" w:hAnsi="宋体" w:eastAsia="宋体" w:cs="宋体"/>
          <w:color w:val="auto"/>
          <w:sz w:val="28"/>
          <w:szCs w:val="28"/>
          <w:highlight w:val="none"/>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bookmarkEnd w:id="701"/>
    <w:bookmarkEnd w:id="702"/>
    <w:bookmarkEnd w:id="703"/>
    <w:p w14:paraId="5A98D811">
      <w:pPr>
        <w:pStyle w:val="7"/>
        <w:spacing w:before="0" w:after="0"/>
        <w:ind w:firstLine="0" w:firstLineChars="0"/>
        <w:jc w:val="left"/>
        <w:rPr>
          <w:rFonts w:hint="eastAsia" w:ascii="宋体" w:hAnsi="宋体" w:eastAsia="宋体" w:cs="宋体"/>
          <w:color w:val="auto"/>
          <w:sz w:val="24"/>
          <w:szCs w:val="24"/>
          <w:highlight w:val="none"/>
        </w:rPr>
      </w:pPr>
      <w:bookmarkStart w:id="704" w:name="_Toc16654"/>
      <w:r>
        <w:rPr>
          <w:rFonts w:hint="eastAsia" w:ascii="宋体" w:hAnsi="宋体" w:eastAsia="宋体" w:cs="宋体"/>
          <w:color w:val="auto"/>
          <w:sz w:val="24"/>
          <w:szCs w:val="24"/>
          <w:highlight w:val="none"/>
        </w:rPr>
        <w:t>3.4     报价明细表格式</w:t>
      </w:r>
      <w:bookmarkEnd w:id="704"/>
    </w:p>
    <w:p w14:paraId="272788CE">
      <w:pPr>
        <w:pStyle w:val="8"/>
        <w:spacing w:line="360" w:lineRule="auto"/>
        <w:ind w:firstLine="0"/>
        <w:jc w:val="center"/>
        <w:rPr>
          <w:rFonts w:hint="eastAsia" w:ascii="宋体" w:hAnsi="宋体" w:eastAsia="宋体" w:cs="宋体"/>
          <w:b/>
          <w:color w:val="auto"/>
          <w:sz w:val="32"/>
          <w:szCs w:val="32"/>
          <w:highlight w:val="none"/>
        </w:rPr>
      </w:pPr>
      <w:bookmarkStart w:id="705" w:name="_Toc45506740"/>
      <w:bookmarkStart w:id="706" w:name="_Toc530551899"/>
      <w:bookmarkStart w:id="707" w:name="_Toc47756041"/>
      <w:bookmarkStart w:id="708" w:name="_Toc15813259"/>
      <w:bookmarkStart w:id="709" w:name="_Toc493956062"/>
      <w:bookmarkStart w:id="710" w:name="_Toc523398533"/>
      <w:bookmarkStart w:id="711" w:name="_Toc531359076"/>
      <w:r>
        <w:rPr>
          <w:rFonts w:hint="eastAsia" w:ascii="宋体" w:hAnsi="宋体" w:eastAsia="宋体" w:cs="宋体"/>
          <w:b/>
          <w:color w:val="auto"/>
          <w:sz w:val="32"/>
          <w:szCs w:val="32"/>
          <w:highlight w:val="none"/>
        </w:rPr>
        <w:t>报价明细表</w:t>
      </w:r>
    </w:p>
    <w:p w14:paraId="2B033FF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（格式仅供参考，可以根据实际情况自行设计）</w:t>
      </w:r>
    </w:p>
    <w:p w14:paraId="6A0CED55">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2731167">
      <w:pPr>
        <w:spacing w:line="360" w:lineRule="auto"/>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24"/>
        <w:tblpPr w:leftFromText="180" w:rightFromText="180" w:vertAnchor="text" w:horzAnchor="page" w:tblpX="1442" w:tblpY="74"/>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2"/>
        <w:gridCol w:w="2250"/>
        <w:gridCol w:w="747"/>
        <w:gridCol w:w="881"/>
        <w:gridCol w:w="1262"/>
        <w:gridCol w:w="832"/>
        <w:gridCol w:w="1690"/>
        <w:gridCol w:w="2008"/>
        <w:gridCol w:w="1837"/>
        <w:gridCol w:w="1886"/>
      </w:tblGrid>
      <w:tr w14:paraId="2EA0B8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32" w:type="dxa"/>
            <w:vMerge w:val="restart"/>
            <w:tcBorders>
              <w:top w:val="single" w:color="auto" w:sz="4" w:space="0"/>
              <w:left w:val="single" w:color="auto" w:sz="4" w:space="0"/>
              <w:right w:val="single" w:color="auto" w:sz="4" w:space="0"/>
            </w:tcBorders>
            <w:noWrap w:val="0"/>
            <w:vAlign w:val="center"/>
          </w:tcPr>
          <w:p w14:paraId="58B711C5">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2250" w:type="dxa"/>
            <w:vMerge w:val="restart"/>
            <w:tcBorders>
              <w:top w:val="single" w:color="auto" w:sz="4" w:space="0"/>
              <w:left w:val="single" w:color="auto" w:sz="4" w:space="0"/>
              <w:bottom w:val="nil"/>
              <w:right w:val="single" w:color="auto" w:sz="4" w:space="0"/>
            </w:tcBorders>
            <w:noWrap w:val="0"/>
            <w:vAlign w:val="center"/>
          </w:tcPr>
          <w:p w14:paraId="06AC4B86">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货物</w:t>
            </w:r>
          </w:p>
          <w:p w14:paraId="2CCA7E00">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名称</w:t>
            </w:r>
          </w:p>
        </w:tc>
        <w:tc>
          <w:tcPr>
            <w:tcW w:w="747" w:type="dxa"/>
            <w:vMerge w:val="restart"/>
            <w:tcBorders>
              <w:top w:val="single" w:color="auto" w:sz="4" w:space="0"/>
              <w:left w:val="single" w:color="auto" w:sz="4" w:space="0"/>
              <w:bottom w:val="nil"/>
              <w:right w:val="single" w:color="auto" w:sz="4" w:space="0"/>
            </w:tcBorders>
            <w:noWrap w:val="0"/>
            <w:vAlign w:val="center"/>
          </w:tcPr>
          <w:p w14:paraId="1B644220">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品牌</w:t>
            </w:r>
          </w:p>
        </w:tc>
        <w:tc>
          <w:tcPr>
            <w:tcW w:w="881" w:type="dxa"/>
            <w:vMerge w:val="restart"/>
            <w:tcBorders>
              <w:top w:val="single" w:color="auto" w:sz="4" w:space="0"/>
              <w:left w:val="single" w:color="auto" w:sz="4" w:space="0"/>
              <w:bottom w:val="nil"/>
              <w:right w:val="single" w:color="auto" w:sz="4" w:space="0"/>
            </w:tcBorders>
            <w:noWrap w:val="0"/>
            <w:vAlign w:val="center"/>
          </w:tcPr>
          <w:p w14:paraId="4EAED55D">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产地</w:t>
            </w:r>
          </w:p>
        </w:tc>
        <w:tc>
          <w:tcPr>
            <w:tcW w:w="1262" w:type="dxa"/>
            <w:vMerge w:val="restart"/>
            <w:tcBorders>
              <w:top w:val="single" w:color="auto" w:sz="4" w:space="0"/>
              <w:left w:val="single" w:color="auto" w:sz="4" w:space="0"/>
              <w:bottom w:val="nil"/>
              <w:right w:val="single" w:color="auto" w:sz="4" w:space="0"/>
            </w:tcBorders>
            <w:noWrap w:val="0"/>
            <w:vAlign w:val="center"/>
          </w:tcPr>
          <w:p w14:paraId="5F98067F">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规格</w:t>
            </w:r>
          </w:p>
          <w:p w14:paraId="4F34696D">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型号</w:t>
            </w:r>
          </w:p>
        </w:tc>
        <w:tc>
          <w:tcPr>
            <w:tcW w:w="832" w:type="dxa"/>
            <w:vMerge w:val="restart"/>
            <w:tcBorders>
              <w:top w:val="single" w:color="auto" w:sz="4" w:space="0"/>
              <w:left w:val="single" w:color="auto" w:sz="4" w:space="0"/>
              <w:bottom w:val="nil"/>
              <w:right w:val="single" w:color="auto" w:sz="4" w:space="0"/>
            </w:tcBorders>
            <w:noWrap w:val="0"/>
            <w:vAlign w:val="center"/>
          </w:tcPr>
          <w:p w14:paraId="0FC2F0AF">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数量</w:t>
            </w:r>
          </w:p>
        </w:tc>
        <w:tc>
          <w:tcPr>
            <w:tcW w:w="1690" w:type="dxa"/>
            <w:vMerge w:val="restart"/>
            <w:tcBorders>
              <w:top w:val="single" w:color="auto" w:sz="4" w:space="0"/>
              <w:left w:val="single" w:color="auto" w:sz="4" w:space="0"/>
              <w:bottom w:val="nil"/>
              <w:right w:val="single" w:color="auto" w:sz="4" w:space="0"/>
            </w:tcBorders>
            <w:noWrap w:val="0"/>
            <w:vAlign w:val="center"/>
          </w:tcPr>
          <w:p w14:paraId="607AC172">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单价</w:t>
            </w:r>
          </w:p>
          <w:p w14:paraId="056EAD7D">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（元）</w:t>
            </w:r>
          </w:p>
        </w:tc>
        <w:tc>
          <w:tcPr>
            <w:tcW w:w="2008" w:type="dxa"/>
            <w:vMerge w:val="restart"/>
            <w:tcBorders>
              <w:top w:val="single" w:color="auto" w:sz="4" w:space="0"/>
              <w:left w:val="single" w:color="auto" w:sz="4" w:space="0"/>
              <w:bottom w:val="nil"/>
              <w:right w:val="single" w:color="auto" w:sz="4" w:space="0"/>
            </w:tcBorders>
            <w:noWrap w:val="0"/>
            <w:vAlign w:val="center"/>
          </w:tcPr>
          <w:p w14:paraId="1A5587F6">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总价（元）</w:t>
            </w:r>
          </w:p>
        </w:tc>
        <w:tc>
          <w:tcPr>
            <w:tcW w:w="3723" w:type="dxa"/>
            <w:gridSpan w:val="2"/>
            <w:tcBorders>
              <w:top w:val="single" w:color="auto" w:sz="4" w:space="0"/>
              <w:left w:val="single" w:color="auto" w:sz="4" w:space="0"/>
              <w:bottom w:val="single" w:color="auto" w:sz="4" w:space="0"/>
              <w:right w:val="single" w:color="auto" w:sz="4" w:space="0"/>
            </w:tcBorders>
            <w:noWrap w:val="0"/>
            <w:vAlign w:val="center"/>
          </w:tcPr>
          <w:p w14:paraId="0E030C5B">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制造商情况</w:t>
            </w:r>
          </w:p>
        </w:tc>
      </w:tr>
      <w:tr w14:paraId="56FBD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32" w:type="dxa"/>
            <w:vMerge w:val="continue"/>
            <w:tcBorders>
              <w:left w:val="single" w:color="auto" w:sz="4" w:space="0"/>
              <w:bottom w:val="nil"/>
              <w:right w:val="single" w:color="auto" w:sz="4" w:space="0"/>
            </w:tcBorders>
            <w:noWrap w:val="0"/>
            <w:vAlign w:val="center"/>
          </w:tcPr>
          <w:p w14:paraId="27E34883">
            <w:pPr>
              <w:widowControl/>
              <w:jc w:val="center"/>
              <w:rPr>
                <w:rFonts w:hint="eastAsia" w:ascii="宋体" w:hAnsi="宋体" w:eastAsia="宋体" w:cs="宋体"/>
                <w:b/>
                <w:sz w:val="24"/>
                <w:szCs w:val="24"/>
                <w:highlight w:val="none"/>
              </w:rPr>
            </w:pPr>
          </w:p>
        </w:tc>
        <w:tc>
          <w:tcPr>
            <w:tcW w:w="2250" w:type="dxa"/>
            <w:vMerge w:val="continue"/>
            <w:tcBorders>
              <w:top w:val="single" w:color="auto" w:sz="4" w:space="0"/>
              <w:left w:val="single" w:color="auto" w:sz="4" w:space="0"/>
              <w:bottom w:val="nil"/>
              <w:right w:val="single" w:color="auto" w:sz="4" w:space="0"/>
            </w:tcBorders>
            <w:noWrap w:val="0"/>
            <w:vAlign w:val="center"/>
          </w:tcPr>
          <w:p w14:paraId="1954D300">
            <w:pPr>
              <w:widowControl/>
              <w:jc w:val="left"/>
              <w:rPr>
                <w:rFonts w:hint="eastAsia" w:ascii="宋体" w:hAnsi="宋体" w:eastAsia="宋体" w:cs="宋体"/>
                <w:b/>
                <w:sz w:val="24"/>
                <w:szCs w:val="24"/>
                <w:highlight w:val="none"/>
              </w:rPr>
            </w:pPr>
          </w:p>
        </w:tc>
        <w:tc>
          <w:tcPr>
            <w:tcW w:w="747" w:type="dxa"/>
            <w:vMerge w:val="continue"/>
            <w:tcBorders>
              <w:top w:val="single" w:color="auto" w:sz="4" w:space="0"/>
              <w:left w:val="single" w:color="auto" w:sz="4" w:space="0"/>
              <w:bottom w:val="nil"/>
              <w:right w:val="single" w:color="auto" w:sz="4" w:space="0"/>
            </w:tcBorders>
            <w:noWrap w:val="0"/>
            <w:vAlign w:val="center"/>
          </w:tcPr>
          <w:p w14:paraId="79A3A6C4">
            <w:pPr>
              <w:widowControl/>
              <w:jc w:val="left"/>
              <w:rPr>
                <w:rFonts w:hint="eastAsia" w:ascii="宋体" w:hAnsi="宋体" w:eastAsia="宋体" w:cs="宋体"/>
                <w:b/>
                <w:sz w:val="24"/>
                <w:szCs w:val="24"/>
                <w:highlight w:val="none"/>
              </w:rPr>
            </w:pPr>
          </w:p>
        </w:tc>
        <w:tc>
          <w:tcPr>
            <w:tcW w:w="881" w:type="dxa"/>
            <w:vMerge w:val="continue"/>
            <w:tcBorders>
              <w:top w:val="single" w:color="auto" w:sz="4" w:space="0"/>
              <w:left w:val="single" w:color="auto" w:sz="4" w:space="0"/>
              <w:bottom w:val="nil"/>
              <w:right w:val="single" w:color="auto" w:sz="4" w:space="0"/>
            </w:tcBorders>
            <w:noWrap w:val="0"/>
            <w:vAlign w:val="center"/>
          </w:tcPr>
          <w:p w14:paraId="20BFA94A">
            <w:pPr>
              <w:widowControl/>
              <w:jc w:val="left"/>
              <w:rPr>
                <w:rFonts w:hint="eastAsia" w:ascii="宋体" w:hAnsi="宋体" w:eastAsia="宋体" w:cs="宋体"/>
                <w:b/>
                <w:sz w:val="24"/>
                <w:szCs w:val="24"/>
                <w:highlight w:val="none"/>
              </w:rPr>
            </w:pPr>
          </w:p>
        </w:tc>
        <w:tc>
          <w:tcPr>
            <w:tcW w:w="1262" w:type="dxa"/>
            <w:vMerge w:val="continue"/>
            <w:tcBorders>
              <w:top w:val="single" w:color="auto" w:sz="4" w:space="0"/>
              <w:left w:val="single" w:color="auto" w:sz="4" w:space="0"/>
              <w:bottom w:val="nil"/>
              <w:right w:val="single" w:color="auto" w:sz="4" w:space="0"/>
            </w:tcBorders>
            <w:noWrap w:val="0"/>
            <w:vAlign w:val="center"/>
          </w:tcPr>
          <w:p w14:paraId="5D5311EE">
            <w:pPr>
              <w:widowControl/>
              <w:jc w:val="left"/>
              <w:rPr>
                <w:rFonts w:hint="eastAsia" w:ascii="宋体" w:hAnsi="宋体" w:eastAsia="宋体" w:cs="宋体"/>
                <w:b/>
                <w:sz w:val="24"/>
                <w:szCs w:val="24"/>
                <w:highlight w:val="none"/>
              </w:rPr>
            </w:pPr>
          </w:p>
        </w:tc>
        <w:tc>
          <w:tcPr>
            <w:tcW w:w="832" w:type="dxa"/>
            <w:vMerge w:val="continue"/>
            <w:tcBorders>
              <w:top w:val="single" w:color="auto" w:sz="4" w:space="0"/>
              <w:left w:val="single" w:color="auto" w:sz="4" w:space="0"/>
              <w:bottom w:val="nil"/>
              <w:right w:val="single" w:color="auto" w:sz="4" w:space="0"/>
            </w:tcBorders>
            <w:noWrap w:val="0"/>
            <w:vAlign w:val="center"/>
          </w:tcPr>
          <w:p w14:paraId="58F4FAFD">
            <w:pPr>
              <w:widowControl/>
              <w:jc w:val="left"/>
              <w:rPr>
                <w:rFonts w:hint="eastAsia" w:ascii="宋体" w:hAnsi="宋体" w:eastAsia="宋体" w:cs="宋体"/>
                <w:b/>
                <w:sz w:val="24"/>
                <w:szCs w:val="24"/>
                <w:highlight w:val="none"/>
              </w:rPr>
            </w:pPr>
          </w:p>
        </w:tc>
        <w:tc>
          <w:tcPr>
            <w:tcW w:w="1690" w:type="dxa"/>
            <w:vMerge w:val="continue"/>
            <w:tcBorders>
              <w:top w:val="single" w:color="auto" w:sz="4" w:space="0"/>
              <w:left w:val="single" w:color="auto" w:sz="4" w:space="0"/>
              <w:bottom w:val="nil"/>
              <w:right w:val="single" w:color="auto" w:sz="4" w:space="0"/>
            </w:tcBorders>
            <w:noWrap w:val="0"/>
            <w:vAlign w:val="center"/>
          </w:tcPr>
          <w:p w14:paraId="5494501E">
            <w:pPr>
              <w:widowControl/>
              <w:jc w:val="left"/>
              <w:rPr>
                <w:rFonts w:hint="eastAsia" w:ascii="宋体" w:hAnsi="宋体" w:eastAsia="宋体" w:cs="宋体"/>
                <w:b/>
                <w:sz w:val="24"/>
                <w:szCs w:val="24"/>
                <w:highlight w:val="none"/>
              </w:rPr>
            </w:pPr>
          </w:p>
        </w:tc>
        <w:tc>
          <w:tcPr>
            <w:tcW w:w="2008" w:type="dxa"/>
            <w:vMerge w:val="continue"/>
            <w:tcBorders>
              <w:top w:val="single" w:color="auto" w:sz="4" w:space="0"/>
              <w:left w:val="single" w:color="auto" w:sz="4" w:space="0"/>
              <w:bottom w:val="nil"/>
              <w:right w:val="single" w:color="auto" w:sz="4" w:space="0"/>
            </w:tcBorders>
            <w:noWrap w:val="0"/>
            <w:vAlign w:val="center"/>
          </w:tcPr>
          <w:p w14:paraId="7A1801A6">
            <w:pPr>
              <w:widowControl/>
              <w:jc w:val="left"/>
              <w:rPr>
                <w:rFonts w:hint="eastAsia" w:ascii="宋体" w:hAnsi="宋体" w:eastAsia="宋体" w:cs="宋体"/>
                <w:b/>
                <w:sz w:val="24"/>
                <w:szCs w:val="24"/>
                <w:highlight w:val="none"/>
              </w:rPr>
            </w:pPr>
          </w:p>
        </w:tc>
        <w:tc>
          <w:tcPr>
            <w:tcW w:w="1837" w:type="dxa"/>
            <w:tcBorders>
              <w:top w:val="single" w:color="auto" w:sz="4" w:space="0"/>
              <w:left w:val="single" w:color="auto" w:sz="4" w:space="0"/>
              <w:bottom w:val="nil"/>
              <w:right w:val="single" w:color="auto" w:sz="4" w:space="0"/>
            </w:tcBorders>
            <w:noWrap w:val="0"/>
            <w:vAlign w:val="center"/>
          </w:tcPr>
          <w:p w14:paraId="5A9570FA">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Cs w:val="21"/>
                <w:highlight w:val="none"/>
              </w:rPr>
              <w:t>企业全称</w:t>
            </w:r>
          </w:p>
        </w:tc>
        <w:tc>
          <w:tcPr>
            <w:tcW w:w="1886" w:type="dxa"/>
            <w:tcBorders>
              <w:top w:val="single" w:color="auto" w:sz="4" w:space="0"/>
              <w:left w:val="single" w:color="auto" w:sz="4" w:space="0"/>
              <w:bottom w:val="nil"/>
              <w:right w:val="single" w:color="auto" w:sz="4" w:space="0"/>
            </w:tcBorders>
            <w:noWrap w:val="0"/>
            <w:vAlign w:val="center"/>
          </w:tcPr>
          <w:p w14:paraId="08B1A2A6">
            <w:pPr>
              <w:snapToGrid w:val="0"/>
              <w:spacing w:line="400" w:lineRule="exact"/>
              <w:jc w:val="center"/>
              <w:rPr>
                <w:rFonts w:hint="eastAsia" w:ascii="宋体" w:hAnsi="宋体" w:eastAsia="宋体" w:cs="宋体"/>
                <w:b/>
                <w:szCs w:val="21"/>
                <w:highlight w:val="none"/>
              </w:rPr>
            </w:pPr>
            <w:r>
              <w:rPr>
                <w:rFonts w:hint="eastAsia" w:ascii="宋体" w:hAnsi="宋体" w:eastAsia="宋体" w:cs="宋体"/>
                <w:b/>
                <w:szCs w:val="21"/>
                <w:highlight w:val="none"/>
              </w:rPr>
              <w:t>是否中小企业</w:t>
            </w:r>
          </w:p>
        </w:tc>
      </w:tr>
      <w:tr w14:paraId="5993C8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732" w:type="dxa"/>
            <w:tcBorders>
              <w:top w:val="single" w:color="auto" w:sz="4" w:space="0"/>
              <w:left w:val="single" w:color="auto" w:sz="4" w:space="0"/>
              <w:bottom w:val="single" w:color="auto" w:sz="4" w:space="0"/>
              <w:right w:val="single" w:color="auto" w:sz="4" w:space="0"/>
            </w:tcBorders>
            <w:noWrap w:val="0"/>
            <w:vAlign w:val="center"/>
          </w:tcPr>
          <w:p w14:paraId="3150CFB4">
            <w:pPr>
              <w:snapToGrid w:val="0"/>
              <w:spacing w:line="400" w:lineRule="exact"/>
              <w:jc w:val="center"/>
              <w:rPr>
                <w:rFonts w:hint="eastAsia" w:ascii="宋体" w:hAnsi="宋体" w:eastAsia="宋体" w:cs="宋体"/>
                <w:b/>
                <w:sz w:val="24"/>
                <w:szCs w:val="24"/>
                <w:highlight w:val="none"/>
              </w:rPr>
            </w:pPr>
          </w:p>
        </w:tc>
        <w:tc>
          <w:tcPr>
            <w:tcW w:w="2250" w:type="dxa"/>
            <w:tcBorders>
              <w:top w:val="single" w:color="auto" w:sz="4" w:space="0"/>
              <w:left w:val="single" w:color="auto" w:sz="4" w:space="0"/>
              <w:bottom w:val="single" w:color="auto" w:sz="4" w:space="0"/>
              <w:right w:val="single" w:color="auto" w:sz="4" w:space="0"/>
            </w:tcBorders>
            <w:noWrap w:val="0"/>
            <w:vAlign w:val="center"/>
          </w:tcPr>
          <w:p w14:paraId="6EE9E5CB">
            <w:pPr>
              <w:snapToGrid w:val="0"/>
              <w:spacing w:line="400" w:lineRule="exact"/>
              <w:jc w:val="center"/>
              <w:rPr>
                <w:rFonts w:hint="eastAsia" w:ascii="宋体" w:hAnsi="宋体" w:eastAsia="宋体" w:cs="宋体"/>
                <w:b/>
                <w:sz w:val="24"/>
                <w:szCs w:val="24"/>
                <w:highlight w:val="none"/>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3C787A24">
            <w:pPr>
              <w:snapToGrid w:val="0"/>
              <w:spacing w:line="400" w:lineRule="exact"/>
              <w:jc w:val="center"/>
              <w:rPr>
                <w:rFonts w:hint="eastAsia" w:ascii="宋体" w:hAnsi="宋体" w:eastAsia="宋体" w:cs="宋体"/>
                <w:b/>
                <w:sz w:val="24"/>
                <w:szCs w:val="24"/>
                <w:highlight w:val="none"/>
              </w:rPr>
            </w:pPr>
          </w:p>
        </w:tc>
        <w:tc>
          <w:tcPr>
            <w:tcW w:w="881" w:type="dxa"/>
            <w:tcBorders>
              <w:top w:val="single" w:color="auto" w:sz="4" w:space="0"/>
              <w:left w:val="single" w:color="auto" w:sz="4" w:space="0"/>
              <w:bottom w:val="single" w:color="auto" w:sz="4" w:space="0"/>
              <w:right w:val="single" w:color="auto" w:sz="4" w:space="0"/>
            </w:tcBorders>
            <w:noWrap w:val="0"/>
            <w:vAlign w:val="center"/>
          </w:tcPr>
          <w:p w14:paraId="35C3477C">
            <w:pPr>
              <w:snapToGrid w:val="0"/>
              <w:spacing w:line="400" w:lineRule="exact"/>
              <w:jc w:val="center"/>
              <w:rPr>
                <w:rFonts w:hint="eastAsia" w:ascii="宋体" w:hAnsi="宋体" w:eastAsia="宋体" w:cs="宋体"/>
                <w:b/>
                <w:sz w:val="24"/>
                <w:szCs w:val="24"/>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102E02CD">
            <w:pPr>
              <w:snapToGrid w:val="0"/>
              <w:spacing w:line="400" w:lineRule="exact"/>
              <w:jc w:val="center"/>
              <w:rPr>
                <w:rFonts w:hint="eastAsia" w:ascii="宋体" w:hAnsi="宋体" w:eastAsia="宋体" w:cs="宋体"/>
                <w:b/>
                <w:sz w:val="24"/>
                <w:szCs w:val="24"/>
                <w:highlight w:val="none"/>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261DF735">
            <w:pPr>
              <w:snapToGrid w:val="0"/>
              <w:spacing w:line="400" w:lineRule="exact"/>
              <w:jc w:val="center"/>
              <w:rPr>
                <w:rFonts w:hint="eastAsia" w:ascii="宋体" w:hAnsi="宋体" w:eastAsia="宋体" w:cs="宋体"/>
                <w:b/>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45A0DE9B">
            <w:pPr>
              <w:snapToGrid w:val="0"/>
              <w:spacing w:line="400" w:lineRule="exact"/>
              <w:jc w:val="center"/>
              <w:rPr>
                <w:rFonts w:hint="eastAsia" w:ascii="宋体" w:hAnsi="宋体" w:eastAsia="宋体" w:cs="宋体"/>
                <w:b/>
                <w:sz w:val="24"/>
                <w:szCs w:val="24"/>
                <w:highlight w:val="none"/>
              </w:rPr>
            </w:pPr>
          </w:p>
        </w:tc>
        <w:tc>
          <w:tcPr>
            <w:tcW w:w="2008" w:type="dxa"/>
            <w:tcBorders>
              <w:top w:val="single" w:color="auto" w:sz="4" w:space="0"/>
              <w:left w:val="single" w:color="auto" w:sz="4" w:space="0"/>
              <w:bottom w:val="single" w:color="auto" w:sz="4" w:space="0"/>
              <w:right w:val="single" w:color="auto" w:sz="4" w:space="0"/>
            </w:tcBorders>
            <w:noWrap w:val="0"/>
            <w:vAlign w:val="center"/>
          </w:tcPr>
          <w:p w14:paraId="52401D40">
            <w:pPr>
              <w:snapToGrid w:val="0"/>
              <w:spacing w:line="400" w:lineRule="exact"/>
              <w:jc w:val="center"/>
              <w:rPr>
                <w:rFonts w:hint="eastAsia" w:ascii="宋体" w:hAnsi="宋体" w:eastAsia="宋体" w:cs="宋体"/>
                <w:b/>
                <w:sz w:val="24"/>
                <w:szCs w:val="24"/>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7F4C560D">
            <w:pPr>
              <w:snapToGrid w:val="0"/>
              <w:spacing w:line="400" w:lineRule="exact"/>
              <w:jc w:val="center"/>
              <w:rPr>
                <w:rFonts w:hint="eastAsia" w:ascii="宋体" w:hAnsi="宋体" w:eastAsia="宋体" w:cs="宋体"/>
                <w:b/>
                <w:sz w:val="24"/>
                <w:szCs w:val="24"/>
                <w:highlight w:val="none"/>
              </w:rPr>
            </w:pPr>
          </w:p>
        </w:tc>
        <w:tc>
          <w:tcPr>
            <w:tcW w:w="1886" w:type="dxa"/>
            <w:tcBorders>
              <w:top w:val="single" w:color="auto" w:sz="4" w:space="0"/>
              <w:left w:val="single" w:color="auto" w:sz="4" w:space="0"/>
              <w:bottom w:val="single" w:color="auto" w:sz="4" w:space="0"/>
              <w:right w:val="single" w:color="auto" w:sz="4" w:space="0"/>
            </w:tcBorders>
            <w:noWrap w:val="0"/>
            <w:vAlign w:val="center"/>
          </w:tcPr>
          <w:p w14:paraId="3DA49BA0">
            <w:pPr>
              <w:snapToGrid w:val="0"/>
              <w:spacing w:line="400" w:lineRule="exact"/>
              <w:jc w:val="center"/>
              <w:rPr>
                <w:rFonts w:hint="eastAsia" w:ascii="宋体" w:hAnsi="宋体" w:eastAsia="宋体" w:cs="宋体"/>
                <w:b/>
                <w:sz w:val="24"/>
                <w:szCs w:val="24"/>
                <w:highlight w:val="none"/>
              </w:rPr>
            </w:pPr>
          </w:p>
        </w:tc>
      </w:tr>
      <w:tr w14:paraId="40A750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732" w:type="dxa"/>
            <w:tcBorders>
              <w:top w:val="single" w:color="auto" w:sz="4" w:space="0"/>
              <w:left w:val="single" w:color="auto" w:sz="4" w:space="0"/>
              <w:bottom w:val="single" w:color="auto" w:sz="4" w:space="0"/>
              <w:right w:val="single" w:color="auto" w:sz="4" w:space="0"/>
            </w:tcBorders>
            <w:noWrap w:val="0"/>
            <w:vAlign w:val="center"/>
          </w:tcPr>
          <w:p w14:paraId="1A261F4F">
            <w:pPr>
              <w:snapToGrid w:val="0"/>
              <w:spacing w:line="400" w:lineRule="exact"/>
              <w:jc w:val="center"/>
              <w:rPr>
                <w:rFonts w:hint="eastAsia" w:ascii="宋体" w:hAnsi="宋体" w:eastAsia="宋体" w:cs="宋体"/>
                <w:b/>
                <w:sz w:val="24"/>
                <w:szCs w:val="24"/>
                <w:highlight w:val="none"/>
              </w:rPr>
            </w:pPr>
          </w:p>
        </w:tc>
        <w:tc>
          <w:tcPr>
            <w:tcW w:w="2250" w:type="dxa"/>
            <w:tcBorders>
              <w:top w:val="single" w:color="auto" w:sz="4" w:space="0"/>
              <w:left w:val="single" w:color="auto" w:sz="4" w:space="0"/>
              <w:bottom w:val="single" w:color="auto" w:sz="4" w:space="0"/>
              <w:right w:val="single" w:color="auto" w:sz="4" w:space="0"/>
            </w:tcBorders>
            <w:noWrap w:val="0"/>
            <w:vAlign w:val="center"/>
          </w:tcPr>
          <w:p w14:paraId="3B605C92">
            <w:pPr>
              <w:snapToGrid w:val="0"/>
              <w:spacing w:line="400" w:lineRule="exact"/>
              <w:jc w:val="center"/>
              <w:rPr>
                <w:rFonts w:hint="eastAsia" w:ascii="宋体" w:hAnsi="宋体" w:eastAsia="宋体" w:cs="宋体"/>
                <w:b/>
                <w:sz w:val="24"/>
                <w:szCs w:val="24"/>
                <w:highlight w:val="none"/>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204CA592">
            <w:pPr>
              <w:snapToGrid w:val="0"/>
              <w:spacing w:line="400" w:lineRule="exact"/>
              <w:jc w:val="center"/>
              <w:rPr>
                <w:rFonts w:hint="eastAsia" w:ascii="宋体" w:hAnsi="宋体" w:eastAsia="宋体" w:cs="宋体"/>
                <w:b/>
                <w:sz w:val="24"/>
                <w:szCs w:val="24"/>
                <w:highlight w:val="none"/>
              </w:rPr>
            </w:pPr>
          </w:p>
        </w:tc>
        <w:tc>
          <w:tcPr>
            <w:tcW w:w="881" w:type="dxa"/>
            <w:tcBorders>
              <w:top w:val="single" w:color="auto" w:sz="4" w:space="0"/>
              <w:left w:val="single" w:color="auto" w:sz="4" w:space="0"/>
              <w:bottom w:val="single" w:color="auto" w:sz="4" w:space="0"/>
              <w:right w:val="single" w:color="auto" w:sz="4" w:space="0"/>
            </w:tcBorders>
            <w:noWrap w:val="0"/>
            <w:vAlign w:val="center"/>
          </w:tcPr>
          <w:p w14:paraId="096AFD7E">
            <w:pPr>
              <w:snapToGrid w:val="0"/>
              <w:spacing w:line="400" w:lineRule="exact"/>
              <w:jc w:val="center"/>
              <w:rPr>
                <w:rFonts w:hint="eastAsia" w:ascii="宋体" w:hAnsi="宋体" w:eastAsia="宋体" w:cs="宋体"/>
                <w:b/>
                <w:sz w:val="24"/>
                <w:szCs w:val="24"/>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1277FD50">
            <w:pPr>
              <w:snapToGrid w:val="0"/>
              <w:spacing w:line="400" w:lineRule="exact"/>
              <w:jc w:val="center"/>
              <w:rPr>
                <w:rFonts w:hint="eastAsia" w:ascii="宋体" w:hAnsi="宋体" w:eastAsia="宋体" w:cs="宋体"/>
                <w:b/>
                <w:sz w:val="24"/>
                <w:szCs w:val="24"/>
                <w:highlight w:val="none"/>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08DBD85C">
            <w:pPr>
              <w:snapToGrid w:val="0"/>
              <w:spacing w:line="400" w:lineRule="exact"/>
              <w:jc w:val="center"/>
              <w:rPr>
                <w:rFonts w:hint="eastAsia" w:ascii="宋体" w:hAnsi="宋体" w:eastAsia="宋体" w:cs="宋体"/>
                <w:b/>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576EFB10">
            <w:pPr>
              <w:snapToGrid w:val="0"/>
              <w:spacing w:line="400" w:lineRule="exact"/>
              <w:jc w:val="center"/>
              <w:rPr>
                <w:rFonts w:hint="eastAsia" w:ascii="宋体" w:hAnsi="宋体" w:eastAsia="宋体" w:cs="宋体"/>
                <w:b/>
                <w:sz w:val="24"/>
                <w:szCs w:val="24"/>
                <w:highlight w:val="none"/>
              </w:rPr>
            </w:pPr>
          </w:p>
        </w:tc>
        <w:tc>
          <w:tcPr>
            <w:tcW w:w="2008" w:type="dxa"/>
            <w:tcBorders>
              <w:top w:val="single" w:color="auto" w:sz="4" w:space="0"/>
              <w:left w:val="single" w:color="auto" w:sz="4" w:space="0"/>
              <w:bottom w:val="single" w:color="auto" w:sz="4" w:space="0"/>
              <w:right w:val="single" w:color="auto" w:sz="4" w:space="0"/>
            </w:tcBorders>
            <w:noWrap w:val="0"/>
            <w:vAlign w:val="center"/>
          </w:tcPr>
          <w:p w14:paraId="2D6A2FC7">
            <w:pPr>
              <w:snapToGrid w:val="0"/>
              <w:spacing w:line="400" w:lineRule="exact"/>
              <w:jc w:val="center"/>
              <w:rPr>
                <w:rFonts w:hint="eastAsia" w:ascii="宋体" w:hAnsi="宋体" w:eastAsia="宋体" w:cs="宋体"/>
                <w:b/>
                <w:sz w:val="24"/>
                <w:szCs w:val="24"/>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4555552F">
            <w:pPr>
              <w:snapToGrid w:val="0"/>
              <w:spacing w:line="400" w:lineRule="exact"/>
              <w:jc w:val="center"/>
              <w:rPr>
                <w:rFonts w:hint="eastAsia" w:ascii="宋体" w:hAnsi="宋体" w:eastAsia="宋体" w:cs="宋体"/>
                <w:b/>
                <w:sz w:val="24"/>
                <w:szCs w:val="24"/>
                <w:highlight w:val="none"/>
              </w:rPr>
            </w:pPr>
          </w:p>
        </w:tc>
        <w:tc>
          <w:tcPr>
            <w:tcW w:w="1886" w:type="dxa"/>
            <w:tcBorders>
              <w:top w:val="single" w:color="auto" w:sz="4" w:space="0"/>
              <w:left w:val="single" w:color="auto" w:sz="4" w:space="0"/>
              <w:bottom w:val="single" w:color="auto" w:sz="4" w:space="0"/>
              <w:right w:val="single" w:color="auto" w:sz="4" w:space="0"/>
            </w:tcBorders>
            <w:noWrap w:val="0"/>
            <w:vAlign w:val="center"/>
          </w:tcPr>
          <w:p w14:paraId="3457ED97">
            <w:pPr>
              <w:snapToGrid w:val="0"/>
              <w:spacing w:line="400" w:lineRule="exact"/>
              <w:jc w:val="center"/>
              <w:rPr>
                <w:rFonts w:hint="eastAsia" w:ascii="宋体" w:hAnsi="宋体" w:eastAsia="宋体" w:cs="宋体"/>
                <w:b/>
                <w:sz w:val="24"/>
                <w:szCs w:val="24"/>
                <w:highlight w:val="none"/>
              </w:rPr>
            </w:pPr>
          </w:p>
        </w:tc>
      </w:tr>
      <w:tr w14:paraId="5740B7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732" w:type="dxa"/>
            <w:tcBorders>
              <w:top w:val="single" w:color="auto" w:sz="4" w:space="0"/>
              <w:left w:val="single" w:color="auto" w:sz="4" w:space="0"/>
              <w:bottom w:val="single" w:color="auto" w:sz="4" w:space="0"/>
              <w:right w:val="single" w:color="auto" w:sz="4" w:space="0"/>
            </w:tcBorders>
            <w:noWrap w:val="0"/>
            <w:vAlign w:val="center"/>
          </w:tcPr>
          <w:p w14:paraId="48F326F2">
            <w:pPr>
              <w:snapToGrid w:val="0"/>
              <w:spacing w:line="400" w:lineRule="exact"/>
              <w:jc w:val="center"/>
              <w:rPr>
                <w:rFonts w:hint="eastAsia" w:ascii="宋体" w:hAnsi="宋体" w:eastAsia="宋体" w:cs="宋体"/>
                <w:b/>
                <w:sz w:val="24"/>
                <w:szCs w:val="24"/>
                <w:highlight w:val="none"/>
              </w:rPr>
            </w:pPr>
          </w:p>
        </w:tc>
        <w:tc>
          <w:tcPr>
            <w:tcW w:w="2250" w:type="dxa"/>
            <w:tcBorders>
              <w:top w:val="single" w:color="auto" w:sz="4" w:space="0"/>
              <w:left w:val="single" w:color="auto" w:sz="4" w:space="0"/>
              <w:bottom w:val="single" w:color="auto" w:sz="4" w:space="0"/>
              <w:right w:val="single" w:color="auto" w:sz="4" w:space="0"/>
            </w:tcBorders>
            <w:noWrap w:val="0"/>
            <w:vAlign w:val="center"/>
          </w:tcPr>
          <w:p w14:paraId="22F7BE7D">
            <w:pPr>
              <w:snapToGrid w:val="0"/>
              <w:spacing w:line="400" w:lineRule="exact"/>
              <w:jc w:val="center"/>
              <w:rPr>
                <w:rFonts w:hint="eastAsia" w:ascii="宋体" w:hAnsi="宋体" w:eastAsia="宋体" w:cs="宋体"/>
                <w:b/>
                <w:sz w:val="24"/>
                <w:szCs w:val="24"/>
                <w:highlight w:val="none"/>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486B60C4">
            <w:pPr>
              <w:snapToGrid w:val="0"/>
              <w:spacing w:line="400" w:lineRule="exact"/>
              <w:jc w:val="center"/>
              <w:rPr>
                <w:rFonts w:hint="eastAsia" w:ascii="宋体" w:hAnsi="宋体" w:eastAsia="宋体" w:cs="宋体"/>
                <w:b/>
                <w:sz w:val="24"/>
                <w:szCs w:val="24"/>
                <w:highlight w:val="none"/>
              </w:rPr>
            </w:pPr>
          </w:p>
        </w:tc>
        <w:tc>
          <w:tcPr>
            <w:tcW w:w="881" w:type="dxa"/>
            <w:tcBorders>
              <w:top w:val="single" w:color="auto" w:sz="4" w:space="0"/>
              <w:left w:val="single" w:color="auto" w:sz="4" w:space="0"/>
              <w:bottom w:val="single" w:color="auto" w:sz="4" w:space="0"/>
              <w:right w:val="single" w:color="auto" w:sz="4" w:space="0"/>
            </w:tcBorders>
            <w:noWrap w:val="0"/>
            <w:vAlign w:val="center"/>
          </w:tcPr>
          <w:p w14:paraId="026D4FF7">
            <w:pPr>
              <w:snapToGrid w:val="0"/>
              <w:spacing w:line="400" w:lineRule="exact"/>
              <w:jc w:val="center"/>
              <w:rPr>
                <w:rFonts w:hint="eastAsia" w:ascii="宋体" w:hAnsi="宋体" w:eastAsia="宋体" w:cs="宋体"/>
                <w:b/>
                <w:sz w:val="24"/>
                <w:szCs w:val="24"/>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364E47FB">
            <w:pPr>
              <w:snapToGrid w:val="0"/>
              <w:spacing w:line="400" w:lineRule="exact"/>
              <w:jc w:val="center"/>
              <w:rPr>
                <w:rFonts w:hint="eastAsia" w:ascii="宋体" w:hAnsi="宋体" w:eastAsia="宋体" w:cs="宋体"/>
                <w:b/>
                <w:sz w:val="24"/>
                <w:szCs w:val="24"/>
                <w:highlight w:val="none"/>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2684B622">
            <w:pPr>
              <w:snapToGrid w:val="0"/>
              <w:spacing w:line="400" w:lineRule="exact"/>
              <w:jc w:val="center"/>
              <w:rPr>
                <w:rFonts w:hint="eastAsia" w:ascii="宋体" w:hAnsi="宋体" w:eastAsia="宋体" w:cs="宋体"/>
                <w:b/>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639A8FBE">
            <w:pPr>
              <w:snapToGrid w:val="0"/>
              <w:spacing w:line="400" w:lineRule="exact"/>
              <w:jc w:val="center"/>
              <w:rPr>
                <w:rFonts w:hint="eastAsia" w:ascii="宋体" w:hAnsi="宋体" w:eastAsia="宋体" w:cs="宋体"/>
                <w:b/>
                <w:sz w:val="24"/>
                <w:szCs w:val="24"/>
                <w:highlight w:val="none"/>
              </w:rPr>
            </w:pPr>
          </w:p>
        </w:tc>
        <w:tc>
          <w:tcPr>
            <w:tcW w:w="2008" w:type="dxa"/>
            <w:tcBorders>
              <w:top w:val="single" w:color="auto" w:sz="4" w:space="0"/>
              <w:left w:val="single" w:color="auto" w:sz="4" w:space="0"/>
              <w:bottom w:val="single" w:color="auto" w:sz="4" w:space="0"/>
              <w:right w:val="single" w:color="auto" w:sz="4" w:space="0"/>
            </w:tcBorders>
            <w:noWrap w:val="0"/>
            <w:vAlign w:val="center"/>
          </w:tcPr>
          <w:p w14:paraId="4B51A19D">
            <w:pPr>
              <w:snapToGrid w:val="0"/>
              <w:spacing w:line="400" w:lineRule="exact"/>
              <w:jc w:val="center"/>
              <w:rPr>
                <w:rFonts w:hint="eastAsia" w:ascii="宋体" w:hAnsi="宋体" w:eastAsia="宋体" w:cs="宋体"/>
                <w:b/>
                <w:sz w:val="24"/>
                <w:szCs w:val="24"/>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026E942E">
            <w:pPr>
              <w:snapToGrid w:val="0"/>
              <w:spacing w:line="400" w:lineRule="exact"/>
              <w:jc w:val="center"/>
              <w:rPr>
                <w:rFonts w:hint="eastAsia" w:ascii="宋体" w:hAnsi="宋体" w:eastAsia="宋体" w:cs="宋体"/>
                <w:b/>
                <w:sz w:val="24"/>
                <w:szCs w:val="24"/>
                <w:highlight w:val="none"/>
              </w:rPr>
            </w:pPr>
          </w:p>
        </w:tc>
        <w:tc>
          <w:tcPr>
            <w:tcW w:w="1886" w:type="dxa"/>
            <w:tcBorders>
              <w:top w:val="single" w:color="auto" w:sz="4" w:space="0"/>
              <w:left w:val="single" w:color="auto" w:sz="4" w:space="0"/>
              <w:bottom w:val="single" w:color="auto" w:sz="4" w:space="0"/>
              <w:right w:val="single" w:color="auto" w:sz="4" w:space="0"/>
            </w:tcBorders>
            <w:noWrap w:val="0"/>
            <w:vAlign w:val="center"/>
          </w:tcPr>
          <w:p w14:paraId="4B695AFE">
            <w:pPr>
              <w:snapToGrid w:val="0"/>
              <w:spacing w:line="400" w:lineRule="exact"/>
              <w:jc w:val="center"/>
              <w:rPr>
                <w:rFonts w:hint="eastAsia" w:ascii="宋体" w:hAnsi="宋体" w:eastAsia="宋体" w:cs="宋体"/>
                <w:b/>
                <w:sz w:val="24"/>
                <w:szCs w:val="24"/>
                <w:highlight w:val="none"/>
              </w:rPr>
            </w:pPr>
          </w:p>
        </w:tc>
      </w:tr>
      <w:tr w14:paraId="1A33D1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732" w:type="dxa"/>
            <w:tcBorders>
              <w:top w:val="single" w:color="auto" w:sz="4" w:space="0"/>
              <w:left w:val="single" w:color="auto" w:sz="4" w:space="0"/>
              <w:bottom w:val="single" w:color="auto" w:sz="4" w:space="0"/>
              <w:right w:val="single" w:color="auto" w:sz="4" w:space="0"/>
            </w:tcBorders>
            <w:noWrap w:val="0"/>
            <w:vAlign w:val="center"/>
          </w:tcPr>
          <w:p w14:paraId="16940978">
            <w:pPr>
              <w:snapToGrid w:val="0"/>
              <w:spacing w:line="400" w:lineRule="exact"/>
              <w:jc w:val="center"/>
              <w:rPr>
                <w:rFonts w:hint="eastAsia" w:ascii="宋体" w:hAnsi="宋体" w:eastAsia="宋体" w:cs="宋体"/>
                <w:b/>
                <w:sz w:val="24"/>
                <w:szCs w:val="24"/>
                <w:highlight w:val="none"/>
              </w:rPr>
            </w:pPr>
          </w:p>
        </w:tc>
        <w:tc>
          <w:tcPr>
            <w:tcW w:w="2250" w:type="dxa"/>
            <w:tcBorders>
              <w:top w:val="single" w:color="auto" w:sz="4" w:space="0"/>
              <w:left w:val="single" w:color="auto" w:sz="4" w:space="0"/>
              <w:bottom w:val="single" w:color="auto" w:sz="4" w:space="0"/>
              <w:right w:val="single" w:color="auto" w:sz="4" w:space="0"/>
            </w:tcBorders>
            <w:noWrap w:val="0"/>
            <w:vAlign w:val="center"/>
          </w:tcPr>
          <w:p w14:paraId="15F12D5D">
            <w:pPr>
              <w:snapToGrid w:val="0"/>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w:t>
            </w:r>
          </w:p>
        </w:tc>
        <w:tc>
          <w:tcPr>
            <w:tcW w:w="747" w:type="dxa"/>
            <w:tcBorders>
              <w:top w:val="single" w:color="auto" w:sz="4" w:space="0"/>
              <w:left w:val="single" w:color="auto" w:sz="4" w:space="0"/>
              <w:bottom w:val="single" w:color="auto" w:sz="4" w:space="0"/>
              <w:right w:val="single" w:color="auto" w:sz="4" w:space="0"/>
            </w:tcBorders>
            <w:noWrap w:val="0"/>
            <w:vAlign w:val="center"/>
          </w:tcPr>
          <w:p w14:paraId="6F4DEA13">
            <w:pPr>
              <w:snapToGrid w:val="0"/>
              <w:spacing w:line="400" w:lineRule="exact"/>
              <w:jc w:val="center"/>
              <w:rPr>
                <w:rFonts w:hint="eastAsia" w:ascii="宋体" w:hAnsi="宋体" w:eastAsia="宋体" w:cs="宋体"/>
                <w:b/>
                <w:sz w:val="24"/>
                <w:szCs w:val="24"/>
                <w:highlight w:val="none"/>
              </w:rPr>
            </w:pPr>
          </w:p>
        </w:tc>
        <w:tc>
          <w:tcPr>
            <w:tcW w:w="881" w:type="dxa"/>
            <w:tcBorders>
              <w:top w:val="single" w:color="auto" w:sz="4" w:space="0"/>
              <w:left w:val="single" w:color="auto" w:sz="4" w:space="0"/>
              <w:bottom w:val="single" w:color="auto" w:sz="4" w:space="0"/>
              <w:right w:val="single" w:color="auto" w:sz="4" w:space="0"/>
            </w:tcBorders>
            <w:noWrap w:val="0"/>
            <w:vAlign w:val="center"/>
          </w:tcPr>
          <w:p w14:paraId="6420D61C">
            <w:pPr>
              <w:snapToGrid w:val="0"/>
              <w:spacing w:line="400" w:lineRule="exact"/>
              <w:jc w:val="center"/>
              <w:rPr>
                <w:rFonts w:hint="eastAsia" w:ascii="宋体" w:hAnsi="宋体" w:eastAsia="宋体" w:cs="宋体"/>
                <w:b/>
                <w:sz w:val="24"/>
                <w:szCs w:val="24"/>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74E4A037">
            <w:pPr>
              <w:snapToGrid w:val="0"/>
              <w:spacing w:line="400" w:lineRule="exact"/>
              <w:jc w:val="center"/>
              <w:rPr>
                <w:rFonts w:hint="eastAsia" w:ascii="宋体" w:hAnsi="宋体" w:eastAsia="宋体" w:cs="宋体"/>
                <w:b/>
                <w:sz w:val="24"/>
                <w:szCs w:val="24"/>
                <w:highlight w:val="none"/>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7BEFDCB0">
            <w:pPr>
              <w:snapToGrid w:val="0"/>
              <w:spacing w:line="400" w:lineRule="exact"/>
              <w:jc w:val="center"/>
              <w:rPr>
                <w:rFonts w:hint="eastAsia" w:ascii="宋体" w:hAnsi="宋体" w:eastAsia="宋体" w:cs="宋体"/>
                <w:b/>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5B570565">
            <w:pPr>
              <w:snapToGrid w:val="0"/>
              <w:spacing w:line="400" w:lineRule="exact"/>
              <w:jc w:val="center"/>
              <w:rPr>
                <w:rFonts w:hint="eastAsia" w:ascii="宋体" w:hAnsi="宋体" w:eastAsia="宋体" w:cs="宋体"/>
                <w:b/>
                <w:sz w:val="24"/>
                <w:szCs w:val="24"/>
                <w:highlight w:val="none"/>
              </w:rPr>
            </w:pPr>
          </w:p>
        </w:tc>
        <w:tc>
          <w:tcPr>
            <w:tcW w:w="2008" w:type="dxa"/>
            <w:tcBorders>
              <w:top w:val="single" w:color="auto" w:sz="4" w:space="0"/>
              <w:left w:val="single" w:color="auto" w:sz="4" w:space="0"/>
              <w:bottom w:val="single" w:color="auto" w:sz="4" w:space="0"/>
              <w:right w:val="single" w:color="auto" w:sz="4" w:space="0"/>
            </w:tcBorders>
            <w:noWrap w:val="0"/>
            <w:vAlign w:val="center"/>
          </w:tcPr>
          <w:p w14:paraId="42277682">
            <w:pPr>
              <w:snapToGrid w:val="0"/>
              <w:spacing w:line="400" w:lineRule="exact"/>
              <w:jc w:val="center"/>
              <w:rPr>
                <w:rFonts w:hint="eastAsia" w:ascii="宋体" w:hAnsi="宋体" w:eastAsia="宋体" w:cs="宋体"/>
                <w:b/>
                <w:sz w:val="24"/>
                <w:szCs w:val="24"/>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430FB12E">
            <w:pPr>
              <w:snapToGrid w:val="0"/>
              <w:spacing w:line="400" w:lineRule="exact"/>
              <w:jc w:val="center"/>
              <w:rPr>
                <w:rFonts w:hint="eastAsia" w:ascii="宋体" w:hAnsi="宋体" w:eastAsia="宋体" w:cs="宋体"/>
                <w:b/>
                <w:sz w:val="24"/>
                <w:szCs w:val="24"/>
                <w:highlight w:val="none"/>
              </w:rPr>
            </w:pPr>
          </w:p>
        </w:tc>
        <w:tc>
          <w:tcPr>
            <w:tcW w:w="1886" w:type="dxa"/>
            <w:tcBorders>
              <w:top w:val="single" w:color="auto" w:sz="4" w:space="0"/>
              <w:left w:val="single" w:color="auto" w:sz="4" w:space="0"/>
              <w:bottom w:val="single" w:color="auto" w:sz="4" w:space="0"/>
              <w:right w:val="single" w:color="auto" w:sz="4" w:space="0"/>
            </w:tcBorders>
            <w:noWrap w:val="0"/>
            <w:vAlign w:val="center"/>
          </w:tcPr>
          <w:p w14:paraId="7FEFB043">
            <w:pPr>
              <w:snapToGrid w:val="0"/>
              <w:spacing w:line="400" w:lineRule="exact"/>
              <w:jc w:val="center"/>
              <w:rPr>
                <w:rFonts w:hint="eastAsia" w:ascii="宋体" w:hAnsi="宋体" w:eastAsia="宋体" w:cs="宋体"/>
                <w:b/>
                <w:sz w:val="24"/>
                <w:szCs w:val="24"/>
                <w:highlight w:val="none"/>
              </w:rPr>
            </w:pPr>
          </w:p>
        </w:tc>
      </w:tr>
      <w:tr w14:paraId="5015A3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14125" w:type="dxa"/>
            <w:gridSpan w:val="10"/>
            <w:tcBorders>
              <w:top w:val="single" w:color="auto" w:sz="4" w:space="0"/>
              <w:left w:val="single" w:color="auto" w:sz="4" w:space="0"/>
              <w:bottom w:val="single" w:color="auto" w:sz="4" w:space="0"/>
              <w:right w:val="single" w:color="auto" w:sz="4" w:space="0"/>
            </w:tcBorders>
            <w:noWrap w:val="0"/>
            <w:vAlign w:val="center"/>
          </w:tcPr>
          <w:p w14:paraId="340F8FD6">
            <w:pPr>
              <w:snapToGrid w:val="0"/>
              <w:spacing w:line="400" w:lineRule="exact"/>
              <w:rPr>
                <w:rFonts w:hint="eastAsia" w:ascii="宋体" w:hAnsi="宋体" w:eastAsia="宋体" w:cs="宋体"/>
                <w:b/>
                <w:sz w:val="24"/>
                <w:szCs w:val="24"/>
                <w:highlight w:val="none"/>
              </w:rPr>
            </w:pPr>
            <w:r>
              <w:rPr>
                <w:rFonts w:hint="eastAsia" w:ascii="宋体" w:hAnsi="宋体" w:eastAsia="宋体" w:cs="宋体"/>
                <w:b/>
                <w:sz w:val="24"/>
                <w:szCs w:val="24"/>
                <w:highlight w:val="none"/>
              </w:rPr>
              <w:t>投标总价合计金额大写：                                小写： ￥</w:t>
            </w:r>
          </w:p>
        </w:tc>
      </w:tr>
    </w:tbl>
    <w:p w14:paraId="4CAEB6A2">
      <w:pPr>
        <w:snapToGrid w:val="0"/>
        <w:jc w:val="left"/>
        <w:rPr>
          <w:rFonts w:hint="eastAsia" w:ascii="宋体" w:hAnsi="宋体" w:eastAsia="宋体" w:cs="宋体"/>
          <w:szCs w:val="21"/>
          <w:highlight w:val="none"/>
        </w:rPr>
      </w:pPr>
      <w:r>
        <w:rPr>
          <w:rFonts w:hint="eastAsia" w:ascii="宋体" w:hAnsi="宋体" w:eastAsia="宋体" w:cs="宋体"/>
          <w:szCs w:val="21"/>
          <w:highlight w:val="none"/>
        </w:rPr>
        <w:t>注：</w:t>
      </w:r>
    </w:p>
    <w:p w14:paraId="34A1374D">
      <w:pPr>
        <w:snapToGrid w:val="0"/>
        <w:jc w:val="left"/>
        <w:rPr>
          <w:rFonts w:hint="eastAsia" w:ascii="宋体" w:hAnsi="宋体" w:eastAsia="宋体" w:cs="宋体"/>
          <w:szCs w:val="21"/>
          <w:highlight w:val="none"/>
        </w:rPr>
      </w:pPr>
      <w:r>
        <w:rPr>
          <w:rFonts w:hint="eastAsia" w:ascii="宋体" w:hAnsi="宋体" w:eastAsia="宋体" w:cs="宋体"/>
          <w:szCs w:val="21"/>
          <w:highlight w:val="none"/>
        </w:rPr>
        <w:t>1.此表应按项目的明细情况列项填报,在填写时，如上表不适合本项目的实际情况，可在确保投标明细内容完整的情况下，根据上表格式自行划表填写。</w:t>
      </w:r>
    </w:p>
    <w:p w14:paraId="1E53DDBC">
      <w:pPr>
        <w:snapToGrid w:val="0"/>
        <w:jc w:val="left"/>
        <w:rPr>
          <w:rFonts w:hint="eastAsia"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Cs w:val="21"/>
          <w:highlight w:val="none"/>
          <w:lang w:val="zh-CN"/>
        </w:rPr>
        <w:t>有关本项目实施所涉及的一切费用均计入报价。采购人将以合同形式有偿取得货物或服务，不接受投标人给予的赠品、回扣或者与采购无关的其他商品、服务</w:t>
      </w:r>
      <w:r>
        <w:rPr>
          <w:rFonts w:hint="eastAsia" w:ascii="宋体" w:hAnsi="宋体" w:eastAsia="宋体" w:cs="宋体"/>
          <w:szCs w:val="21"/>
          <w:highlight w:val="none"/>
        </w:rPr>
        <w:t>。</w:t>
      </w:r>
    </w:p>
    <w:p w14:paraId="0486C68F">
      <w:pPr>
        <w:snapToGrid w:val="0"/>
        <w:jc w:val="left"/>
        <w:rPr>
          <w:rFonts w:hint="eastAsia" w:ascii="宋体" w:hAnsi="宋体" w:eastAsia="宋体" w:cs="宋体"/>
          <w:szCs w:val="21"/>
          <w:highlight w:val="none"/>
        </w:rPr>
      </w:pPr>
      <w:r>
        <w:rPr>
          <w:rFonts w:hint="eastAsia" w:ascii="宋体" w:hAnsi="宋体" w:eastAsia="宋体" w:cs="宋体"/>
          <w:szCs w:val="21"/>
          <w:highlight w:val="none"/>
        </w:rPr>
        <w:t>3.开标时，电子交易平台公开投标人的报价信息后，投标人对报价信息进行确认。投标人对报价信息不予确认的不影响后续评标过程。</w:t>
      </w:r>
    </w:p>
    <w:p w14:paraId="6A88195A">
      <w:pPr>
        <w:snapToGrid w:val="0"/>
        <w:jc w:val="left"/>
        <w:rPr>
          <w:rFonts w:hint="eastAsia" w:ascii="宋体" w:hAnsi="宋体" w:eastAsia="宋体" w:cs="宋体"/>
          <w:szCs w:val="21"/>
          <w:highlight w:val="none"/>
        </w:rPr>
      </w:pPr>
      <w:r>
        <w:rPr>
          <w:rFonts w:hint="eastAsia" w:ascii="宋体" w:hAnsi="宋体" w:eastAsia="宋体" w:cs="宋体"/>
          <w:szCs w:val="21"/>
          <w:highlight w:val="none"/>
        </w:rPr>
        <w:t>4.如因此表所填信息与商务技术文件、资格文件所填内容不一致，造成的所有后果，由投标人自行承担。</w:t>
      </w:r>
    </w:p>
    <w:p w14:paraId="1732DEF0">
      <w:pPr>
        <w:snapToGrid w:val="0"/>
        <w:jc w:val="left"/>
        <w:rPr>
          <w:rFonts w:hint="eastAsia" w:ascii="宋体" w:hAnsi="宋体" w:eastAsia="宋体" w:cs="宋体"/>
          <w:color w:val="auto"/>
          <w:kern w:val="2"/>
          <w:sz w:val="24"/>
          <w:szCs w:val="21"/>
          <w:highlight w:val="none"/>
          <w:lang w:val="en-US" w:eastAsia="zh-CN" w:bidi="ar-SA"/>
        </w:rPr>
      </w:pPr>
    </w:p>
    <w:p w14:paraId="6917C945">
      <w:pPr>
        <w:snapToGrid w:val="0"/>
        <w:jc w:val="left"/>
        <w:rPr>
          <w:rFonts w:hint="eastAsia" w:ascii="宋体" w:hAnsi="宋体" w:eastAsia="宋体" w:cs="宋体"/>
          <w:color w:val="auto"/>
          <w:spacing w:val="20"/>
          <w:sz w:val="24"/>
          <w:szCs w:val="21"/>
          <w:highlight w:val="none"/>
          <w:u w:val="single"/>
        </w:rPr>
      </w:pPr>
    </w:p>
    <w:p w14:paraId="4F43F3A8">
      <w:pPr>
        <w:pStyle w:val="37"/>
        <w:wordWrap w:val="0"/>
        <w:spacing w:line="360" w:lineRule="auto"/>
        <w:ind w:firstLine="480"/>
        <w:jc w:val="right"/>
        <w:rPr>
          <w:rFonts w:hint="eastAsia" w:ascii="宋体" w:hAnsi="宋体" w:eastAsia="宋体" w:cs="宋体"/>
          <w:color w:val="auto"/>
          <w:sz w:val="24"/>
          <w:szCs w:val="21"/>
          <w:highlight w:val="none"/>
          <w:u w:val="single"/>
        </w:rPr>
      </w:pPr>
      <w:r>
        <w:rPr>
          <w:rFonts w:hint="eastAsia" w:ascii="宋体" w:hAnsi="宋体" w:eastAsia="宋体" w:cs="宋体"/>
          <w:color w:val="auto"/>
          <w:sz w:val="24"/>
          <w:szCs w:val="21"/>
          <w:highlight w:val="none"/>
        </w:rPr>
        <w:t>投标人盖章：</w:t>
      </w:r>
      <w:r>
        <w:rPr>
          <w:rFonts w:hint="eastAsia" w:ascii="宋体" w:hAnsi="宋体" w:eastAsia="宋体" w:cs="宋体"/>
          <w:color w:val="auto"/>
          <w:sz w:val="24"/>
          <w:szCs w:val="21"/>
          <w:highlight w:val="none"/>
          <w:u w:val="single"/>
        </w:rPr>
        <w:t xml:space="preserve">                </w:t>
      </w:r>
    </w:p>
    <w:p w14:paraId="3A489B30">
      <w:pPr>
        <w:pStyle w:val="8"/>
        <w:spacing w:line="360" w:lineRule="auto"/>
        <w:ind w:firstLine="0"/>
        <w:jc w:val="center"/>
        <w:rPr>
          <w:rFonts w:hint="eastAsia" w:ascii="宋体" w:hAnsi="宋体" w:eastAsia="宋体" w:cs="宋体"/>
          <w:color w:val="auto"/>
          <w:sz w:val="24"/>
          <w:szCs w:val="21"/>
          <w:highlight w:val="none"/>
          <w:u w:val="single"/>
        </w:rPr>
      </w:pPr>
      <w:r>
        <w:rPr>
          <w:rFonts w:hint="eastAsia" w:ascii="宋体" w:hAnsi="宋体" w:eastAsia="宋体" w:cs="宋体"/>
          <w:color w:val="auto"/>
          <w:sz w:val="24"/>
          <w:szCs w:val="21"/>
          <w:highlight w:val="none"/>
        </w:rPr>
        <w:t xml:space="preserve">                                                                        日      期：</w:t>
      </w:r>
      <w:r>
        <w:rPr>
          <w:rFonts w:hint="eastAsia" w:ascii="宋体" w:hAnsi="宋体" w:eastAsia="宋体" w:cs="宋体"/>
          <w:color w:val="auto"/>
          <w:sz w:val="24"/>
          <w:szCs w:val="21"/>
          <w:highlight w:val="none"/>
          <w:u w:val="single"/>
        </w:rPr>
        <w:t xml:space="preserve">                </w:t>
      </w:r>
    </w:p>
    <w:p w14:paraId="46AC84E1">
      <w:pPr>
        <w:pStyle w:val="7"/>
        <w:spacing w:before="0" w:after="0"/>
        <w:ind w:firstLine="0" w:firstLineChars="0"/>
        <w:jc w:val="left"/>
        <w:rPr>
          <w:rFonts w:ascii="宋体" w:hAnsi="宋体" w:eastAsia="宋体" w:cs="宋体"/>
          <w:color w:val="auto"/>
          <w:sz w:val="28"/>
          <w:szCs w:val="28"/>
          <w:highlight w:val="none"/>
        </w:rPr>
        <w:sectPr>
          <w:pgSz w:w="16838" w:h="11906" w:orient="landscape"/>
          <w:pgMar w:top="1440" w:right="1440" w:bottom="1440" w:left="1440" w:header="851" w:footer="850" w:gutter="0"/>
          <w:pgBorders>
            <w:top w:val="none" w:sz="0" w:space="0"/>
            <w:left w:val="none" w:sz="0" w:space="0"/>
            <w:bottom w:val="none" w:sz="0" w:space="0"/>
            <w:right w:val="none" w:sz="0" w:space="0"/>
          </w:pgBorders>
          <w:pgNumType w:fmt="decimal"/>
          <w:cols w:space="720" w:num="1"/>
          <w:docGrid w:linePitch="312" w:charSpace="0"/>
        </w:sectPr>
      </w:pPr>
    </w:p>
    <w:bookmarkEnd w:id="515"/>
    <w:bookmarkEnd w:id="705"/>
    <w:bookmarkEnd w:id="706"/>
    <w:bookmarkEnd w:id="707"/>
    <w:bookmarkEnd w:id="708"/>
    <w:bookmarkEnd w:id="709"/>
    <w:bookmarkEnd w:id="710"/>
    <w:bookmarkEnd w:id="711"/>
    <w:p w14:paraId="6D66891C">
      <w:pPr>
        <w:pStyle w:val="23"/>
        <w:spacing w:before="0" w:after="0" w:line="360" w:lineRule="auto"/>
        <w:rPr>
          <w:rFonts w:ascii="宋体" w:hAnsi="宋体" w:cs="宋体"/>
          <w:color w:val="auto"/>
          <w:sz w:val="36"/>
          <w:szCs w:val="36"/>
          <w:highlight w:val="none"/>
        </w:rPr>
      </w:pPr>
      <w:bookmarkStart w:id="712" w:name="_Toc530551900"/>
      <w:bookmarkStart w:id="713" w:name="_Toc493956074"/>
      <w:bookmarkStart w:id="714" w:name="_Toc531359077"/>
      <w:bookmarkStart w:id="715" w:name="_Toc335664294"/>
      <w:bookmarkStart w:id="716" w:name="_Toc12493"/>
      <w:bookmarkStart w:id="717" w:name="_Toc29664"/>
      <w:bookmarkStart w:id="718" w:name="_Toc97213062"/>
      <w:bookmarkStart w:id="719" w:name="_Toc6743"/>
      <w:bookmarkStart w:id="720" w:name="_Toc16306"/>
      <w:bookmarkStart w:id="721" w:name="_Toc18914"/>
      <w:r>
        <w:rPr>
          <w:rFonts w:hint="eastAsia" w:ascii="宋体" w:hAnsi="宋体" w:cs="宋体"/>
          <w:color w:val="auto"/>
          <w:sz w:val="36"/>
          <w:szCs w:val="36"/>
          <w:highlight w:val="none"/>
        </w:rPr>
        <w:t>第六章  评标办法和</w:t>
      </w:r>
      <w:bookmarkEnd w:id="712"/>
      <w:bookmarkEnd w:id="713"/>
      <w:bookmarkEnd w:id="714"/>
      <w:bookmarkEnd w:id="715"/>
      <w:r>
        <w:rPr>
          <w:rFonts w:hint="eastAsia" w:ascii="宋体" w:hAnsi="宋体" w:cs="宋体"/>
          <w:color w:val="auto"/>
          <w:sz w:val="36"/>
          <w:szCs w:val="36"/>
          <w:highlight w:val="none"/>
        </w:rPr>
        <w:t>评标标准</w:t>
      </w:r>
      <w:bookmarkEnd w:id="716"/>
      <w:bookmarkEnd w:id="717"/>
      <w:bookmarkEnd w:id="718"/>
      <w:bookmarkEnd w:id="719"/>
      <w:bookmarkEnd w:id="720"/>
      <w:bookmarkEnd w:id="721"/>
    </w:p>
    <w:p w14:paraId="221E52B4">
      <w:pPr>
        <w:pStyle w:val="15"/>
        <w:snapToGrid/>
        <w:spacing w:line="360" w:lineRule="auto"/>
        <w:ind w:firstLineChars="200"/>
        <w:rPr>
          <w:rFonts w:ascii="宋体" w:hAnsi="宋体" w:eastAsia="宋体" w:cs="宋体"/>
          <w:color w:val="auto"/>
          <w:highlight w:val="none"/>
        </w:rPr>
      </w:pPr>
    </w:p>
    <w:p w14:paraId="34158509">
      <w:pPr>
        <w:pStyle w:val="15"/>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根据《中华人民共和国政府采购法》等有关法律法规的规定，并结合本项目的实际，特制定本办法，本办法只适用于本项目政府采购的评标。</w:t>
      </w:r>
    </w:p>
    <w:p w14:paraId="1F9D34B4">
      <w:pPr>
        <w:pStyle w:val="23"/>
        <w:spacing w:beforeLines="100" w:after="240" w:afterLines="100"/>
        <w:jc w:val="left"/>
        <w:outlineLvl w:val="1"/>
        <w:rPr>
          <w:rFonts w:ascii="宋体" w:hAnsi="宋体" w:cs="宋体"/>
          <w:color w:val="auto"/>
          <w:sz w:val="30"/>
          <w:szCs w:val="30"/>
          <w:highlight w:val="none"/>
        </w:rPr>
      </w:pPr>
      <w:bookmarkStart w:id="722" w:name="_Toc531359078"/>
      <w:bookmarkStart w:id="723" w:name="_Toc493956075"/>
      <w:bookmarkStart w:id="724" w:name="_Toc18895"/>
      <w:bookmarkStart w:id="725" w:name="_Toc18792"/>
      <w:bookmarkStart w:id="726" w:name="_Toc530551901"/>
      <w:bookmarkStart w:id="727" w:name="_Toc32150"/>
      <w:bookmarkStart w:id="728" w:name="_Toc97213063"/>
      <w:bookmarkStart w:id="729" w:name="_Toc6170"/>
      <w:bookmarkStart w:id="730" w:name="_Toc335664295"/>
      <w:bookmarkStart w:id="731" w:name="_Toc11116"/>
      <w:r>
        <w:rPr>
          <w:rFonts w:hint="eastAsia" w:ascii="宋体" w:hAnsi="宋体" w:cs="宋体"/>
          <w:color w:val="auto"/>
          <w:sz w:val="30"/>
          <w:szCs w:val="30"/>
          <w:highlight w:val="none"/>
        </w:rPr>
        <w:t>一    总则</w:t>
      </w:r>
      <w:bookmarkEnd w:id="722"/>
      <w:bookmarkEnd w:id="723"/>
      <w:bookmarkEnd w:id="724"/>
      <w:bookmarkEnd w:id="725"/>
      <w:bookmarkEnd w:id="726"/>
      <w:bookmarkEnd w:id="727"/>
      <w:bookmarkEnd w:id="728"/>
      <w:bookmarkEnd w:id="729"/>
      <w:bookmarkEnd w:id="730"/>
      <w:bookmarkEnd w:id="731"/>
    </w:p>
    <w:p w14:paraId="6561A908">
      <w:pPr>
        <w:pStyle w:val="15"/>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1.1  评标工作遵循公正、公平、科学、择优的原则确定中标候选人。评标委员会应严格按照招标文件的商务及技术和报价要求，对投标文件综合分析评价并编制评标报告。评标专家必须严格遵守保密规定，不得泄</w:t>
      </w:r>
      <w:r>
        <w:rPr>
          <w:rFonts w:hint="eastAsia" w:ascii="宋体" w:hAnsi="宋体" w:eastAsia="宋体" w:cs="宋体"/>
          <w:color w:val="auto"/>
          <w:highlight w:val="none"/>
          <w:lang w:val="en-US" w:eastAsia="zh-CN"/>
        </w:rPr>
        <w:t>露</w:t>
      </w:r>
      <w:r>
        <w:rPr>
          <w:rFonts w:hint="eastAsia" w:ascii="宋体" w:hAnsi="宋体" w:eastAsia="宋体" w:cs="宋体"/>
          <w:color w:val="auto"/>
          <w:highlight w:val="none"/>
        </w:rPr>
        <w:t>评标有关的情况，不得索贿受贿，不得参加影响评标的任何活动。</w:t>
      </w:r>
    </w:p>
    <w:p w14:paraId="075F2A2D">
      <w:pPr>
        <w:pStyle w:val="15"/>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1.2  本次评标采用综合评分法，按最终得分由高到低顺序排列。最终得分相同的，按投标报价由低到高顺序排列；最终得分且投标报价相同的，按技术得分由高到低顺序排列；均相同的采取随机抽取方式确定顺序。评标委员会按顺序推荐中标候选人。</w:t>
      </w:r>
    </w:p>
    <w:p w14:paraId="05F0048B">
      <w:pPr>
        <w:pStyle w:val="23"/>
        <w:spacing w:beforeLines="100" w:after="240" w:afterLines="100"/>
        <w:jc w:val="left"/>
        <w:outlineLvl w:val="1"/>
        <w:rPr>
          <w:rFonts w:ascii="宋体" w:hAnsi="宋体" w:cs="宋体"/>
          <w:color w:val="auto"/>
          <w:sz w:val="30"/>
          <w:szCs w:val="30"/>
          <w:highlight w:val="none"/>
        </w:rPr>
      </w:pPr>
      <w:bookmarkStart w:id="732" w:name="_Toc1029"/>
      <w:bookmarkStart w:id="733" w:name="_Toc10737"/>
      <w:bookmarkStart w:id="734" w:name="_Toc2881"/>
      <w:bookmarkStart w:id="735" w:name="_Toc10177"/>
      <w:bookmarkStart w:id="736" w:name="_Toc23264"/>
      <w:bookmarkStart w:id="737" w:name="_Toc97213064"/>
      <w:r>
        <w:rPr>
          <w:rFonts w:hint="eastAsia" w:ascii="宋体" w:hAnsi="宋体" w:cs="宋体"/>
          <w:color w:val="auto"/>
          <w:sz w:val="30"/>
          <w:szCs w:val="30"/>
          <w:highlight w:val="none"/>
        </w:rPr>
        <w:t>二    评标一般规定</w:t>
      </w:r>
      <w:bookmarkEnd w:id="732"/>
      <w:bookmarkEnd w:id="733"/>
      <w:bookmarkEnd w:id="734"/>
      <w:bookmarkEnd w:id="735"/>
      <w:bookmarkEnd w:id="736"/>
      <w:bookmarkEnd w:id="737"/>
    </w:p>
    <w:p w14:paraId="47523E1A">
      <w:pPr>
        <w:pStyle w:val="15"/>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2.1  本次评标采用综合评分法，总分100分。</w:t>
      </w:r>
    </w:p>
    <w:p w14:paraId="3333EDE4">
      <w:pPr>
        <w:pStyle w:val="15"/>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2.2  商务及技术分的权重为</w:t>
      </w:r>
      <w:r>
        <w:rPr>
          <w:rFonts w:hint="eastAsia" w:ascii="宋体" w:hAnsi="宋体" w:eastAsia="宋体" w:cs="宋体"/>
          <w:color w:val="auto"/>
          <w:highlight w:val="none"/>
          <w:u w:val="single"/>
          <w:lang w:val="en-US" w:eastAsia="zh-CN"/>
        </w:rPr>
        <w:t>70</w:t>
      </w:r>
      <w:r>
        <w:rPr>
          <w:rFonts w:hint="eastAsia" w:ascii="宋体" w:hAnsi="宋体" w:eastAsia="宋体" w:cs="宋体"/>
          <w:color w:val="auto"/>
          <w:highlight w:val="none"/>
        </w:rPr>
        <w:t>%，评标分值为</w:t>
      </w:r>
      <w:r>
        <w:rPr>
          <w:rFonts w:hint="eastAsia" w:ascii="宋体" w:hAnsi="宋体" w:eastAsia="宋体" w:cs="宋体"/>
          <w:color w:val="auto"/>
          <w:highlight w:val="none"/>
          <w:u w:val="single"/>
          <w:lang w:val="en-US" w:eastAsia="zh-CN"/>
        </w:rPr>
        <w:t>70</w:t>
      </w:r>
      <w:r>
        <w:rPr>
          <w:rFonts w:hint="eastAsia" w:ascii="宋体" w:hAnsi="宋体" w:eastAsia="宋体" w:cs="宋体"/>
          <w:color w:val="auto"/>
          <w:highlight w:val="none"/>
        </w:rPr>
        <w:t>分。评标委员会成员对各投标人的商务技术文件经充分审核，并独立评定打分，其中客观部分应统一意见后统一给分</w:t>
      </w:r>
      <w:r>
        <w:rPr>
          <w:rFonts w:hint="eastAsia" w:ascii="宋体" w:hAnsi="宋体" w:eastAsia="宋体" w:cs="宋体"/>
          <w:strike/>
          <w:color w:val="auto"/>
          <w:highlight w:val="none"/>
        </w:rPr>
        <w:t>。</w:t>
      </w:r>
      <w:r>
        <w:rPr>
          <w:rFonts w:hint="eastAsia" w:ascii="宋体" w:hAnsi="宋体" w:eastAsia="宋体" w:cs="宋体"/>
          <w:color w:val="auto"/>
          <w:highlight w:val="none"/>
        </w:rPr>
        <w:t>各有效投标人的商务及技术得分为各评标委员会成员对该投标人的评标得分结果汇总后的算术平均值。</w:t>
      </w:r>
    </w:p>
    <w:p w14:paraId="0C18851D">
      <w:pPr>
        <w:pStyle w:val="15"/>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2.3评标委员会成员要对评定得分进行校对、核对。如个人主观打分偏离所有评标委员会成员主观打分平均值30%以上的，评标委员会组长应提醒相关评标委员会成员进行复核或书面说明理由。</w:t>
      </w:r>
    </w:p>
    <w:p w14:paraId="30C3AFA3">
      <w:pPr>
        <w:pStyle w:val="15"/>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2.4评标委员会对拟认定符合性审查不通过、投标无效、修改报价等的，应组织相关投标人进行陈述、澄清或申辩。</w:t>
      </w:r>
    </w:p>
    <w:p w14:paraId="6A8C7C49">
      <w:pPr>
        <w:pStyle w:val="15"/>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2.5   报价分的权重为</w:t>
      </w:r>
      <w:r>
        <w:rPr>
          <w:rFonts w:hint="eastAsia" w:ascii="宋体" w:hAnsi="宋体" w:eastAsia="宋体" w:cs="宋体"/>
          <w:color w:val="auto"/>
          <w:highlight w:val="none"/>
          <w:u w:val="single"/>
          <w:lang w:val="en-US" w:eastAsia="zh-CN"/>
        </w:rPr>
        <w:t>30</w:t>
      </w:r>
      <w:r>
        <w:rPr>
          <w:rFonts w:hint="eastAsia" w:ascii="宋体" w:hAnsi="宋体" w:eastAsia="宋体" w:cs="宋体"/>
          <w:color w:val="auto"/>
          <w:highlight w:val="none"/>
        </w:rPr>
        <w:t>%，评标分值为</w:t>
      </w:r>
      <w:r>
        <w:rPr>
          <w:rFonts w:hint="eastAsia" w:ascii="宋体" w:hAnsi="宋体" w:eastAsia="宋体" w:cs="宋体"/>
          <w:color w:val="auto"/>
          <w:highlight w:val="none"/>
          <w:u w:val="single"/>
          <w:lang w:val="en-US" w:eastAsia="zh-CN"/>
        </w:rPr>
        <w:t>30</w:t>
      </w:r>
      <w:r>
        <w:rPr>
          <w:rFonts w:hint="eastAsia" w:ascii="宋体" w:hAnsi="宋体" w:eastAsia="宋体" w:cs="宋体"/>
          <w:color w:val="auto"/>
          <w:highlight w:val="none"/>
        </w:rPr>
        <w:t>分，由评标委员会按各投标人报价统一计算。</w:t>
      </w:r>
    </w:p>
    <w:p w14:paraId="201201FC">
      <w:pPr>
        <w:pStyle w:val="15"/>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2.6  投标人总得分=商务及技术得分+报价得分。</w:t>
      </w:r>
    </w:p>
    <w:p w14:paraId="029FF46A">
      <w:pPr>
        <w:pStyle w:val="15"/>
        <w:snapToGrid/>
        <w:spacing w:line="360" w:lineRule="auto"/>
        <w:ind w:firstLineChars="200"/>
        <w:rPr>
          <w:rFonts w:ascii="宋体" w:hAnsi="宋体" w:cs="宋体"/>
          <w:color w:val="auto"/>
          <w:highlight w:val="none"/>
        </w:rPr>
      </w:pPr>
      <w:r>
        <w:rPr>
          <w:rFonts w:hint="eastAsia" w:ascii="宋体" w:hAnsi="宋体" w:eastAsia="宋体" w:cs="宋体"/>
          <w:color w:val="auto"/>
          <w:highlight w:val="none"/>
        </w:rPr>
        <w:t>2.7  评标委员会成员在规定的分值范围内打分，评分保留两位小数。</w:t>
      </w:r>
    </w:p>
    <w:p w14:paraId="6D07CB01">
      <w:pPr>
        <w:spacing w:line="360" w:lineRule="exact"/>
        <w:ind w:firstLine="482"/>
        <w:rPr>
          <w:rFonts w:ascii="宋体" w:hAnsi="宋体" w:cs="宋体"/>
          <w:b/>
          <w:strike/>
          <w:color w:val="auto"/>
          <w:highlight w:val="none"/>
        </w:rPr>
      </w:pPr>
    </w:p>
    <w:p w14:paraId="2C654417">
      <w:pPr>
        <w:pStyle w:val="23"/>
        <w:spacing w:beforeLines="100" w:after="240" w:afterLines="100"/>
        <w:jc w:val="left"/>
        <w:outlineLvl w:val="1"/>
        <w:rPr>
          <w:rFonts w:ascii="宋体" w:hAnsi="宋体" w:cs="宋体"/>
          <w:color w:val="auto"/>
          <w:sz w:val="30"/>
          <w:szCs w:val="30"/>
          <w:highlight w:val="none"/>
        </w:rPr>
      </w:pPr>
      <w:bookmarkStart w:id="738" w:name="_Toc6366"/>
      <w:bookmarkStart w:id="739" w:name="_Toc5852"/>
      <w:bookmarkStart w:id="740" w:name="_Toc97213065"/>
      <w:bookmarkStart w:id="741" w:name="_Toc4244"/>
      <w:bookmarkStart w:id="742" w:name="_Toc9210"/>
      <w:bookmarkStart w:id="743" w:name="_Toc2544"/>
      <w:r>
        <w:rPr>
          <w:rFonts w:hint="eastAsia" w:ascii="宋体" w:hAnsi="宋体" w:cs="宋体"/>
          <w:color w:val="auto"/>
          <w:sz w:val="30"/>
          <w:szCs w:val="30"/>
          <w:highlight w:val="none"/>
        </w:rPr>
        <w:t>三    评标内容及标准</w:t>
      </w:r>
      <w:bookmarkEnd w:id="738"/>
      <w:bookmarkEnd w:id="739"/>
      <w:bookmarkEnd w:id="740"/>
      <w:bookmarkEnd w:id="741"/>
      <w:bookmarkEnd w:id="742"/>
      <w:bookmarkEnd w:id="743"/>
    </w:p>
    <w:p w14:paraId="2072EC75">
      <w:pPr>
        <w:pStyle w:val="15"/>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3.1   报价分（</w:t>
      </w:r>
      <w:r>
        <w:rPr>
          <w:rFonts w:hint="eastAsia" w:ascii="宋体" w:hAnsi="宋体" w:eastAsia="宋体" w:cs="宋体"/>
          <w:color w:val="auto"/>
          <w:highlight w:val="none"/>
          <w:lang w:val="en-US" w:eastAsia="zh-CN"/>
        </w:rPr>
        <w:t>30</w:t>
      </w:r>
      <w:r>
        <w:rPr>
          <w:rFonts w:hint="eastAsia" w:ascii="宋体" w:hAnsi="宋体" w:eastAsia="宋体" w:cs="宋体"/>
          <w:color w:val="auto"/>
          <w:highlight w:val="none"/>
        </w:rPr>
        <w:t>分）</w:t>
      </w:r>
    </w:p>
    <w:p w14:paraId="2D932D5F">
      <w:pPr>
        <w:pStyle w:val="15"/>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3.1.1 报价得分采用低价优先法计算，即满足招标文件要求且投标价格最低的投标报价为评标基准价，其他投标人的价格分按照下列公式计算：</w:t>
      </w:r>
    </w:p>
    <w:p w14:paraId="2D281E0C">
      <w:pPr>
        <w:pStyle w:val="15"/>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价格分=（评标基准价/投标报价）×报价权重×100</w:t>
      </w:r>
    </w:p>
    <w:p w14:paraId="72CA1444">
      <w:pPr>
        <w:pStyle w:val="15"/>
        <w:snapToGrid/>
        <w:spacing w:line="360" w:lineRule="auto"/>
        <w:ind w:firstLineChars="200"/>
        <w:rPr>
          <w:rFonts w:ascii="宋体" w:hAnsi="宋体" w:eastAsia="宋体" w:cs="宋体"/>
          <w:color w:val="auto"/>
          <w:highlight w:val="none"/>
        </w:rPr>
      </w:pPr>
      <w:r>
        <w:rPr>
          <w:rFonts w:hint="eastAsia" w:ascii="宋体" w:hAnsi="宋体" w:eastAsia="宋体" w:cs="宋体"/>
          <w:color w:val="auto"/>
          <w:highlight w:val="none"/>
        </w:rPr>
        <w:t>3.2  商务及技术分</w:t>
      </w:r>
      <w:r>
        <w:rPr>
          <w:rFonts w:hint="eastAsia" w:ascii="宋体" w:hAnsi="宋体" w:eastAsia="宋体" w:cs="宋体"/>
          <w:color w:val="auto"/>
          <w:highlight w:val="none"/>
          <w:u w:val="single"/>
          <w:lang w:val="en-US" w:eastAsia="zh-CN"/>
        </w:rPr>
        <w:t>70</w:t>
      </w:r>
      <w:r>
        <w:rPr>
          <w:rFonts w:hint="eastAsia" w:ascii="宋体" w:hAnsi="宋体" w:eastAsia="宋体" w:cs="宋体"/>
          <w:color w:val="auto"/>
          <w:highlight w:val="none"/>
        </w:rPr>
        <w:t>分，详细评分见下表：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818"/>
        <w:gridCol w:w="1012"/>
        <w:gridCol w:w="5288"/>
        <w:gridCol w:w="819"/>
      </w:tblGrid>
      <w:tr w14:paraId="2D1F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9" w:type="dxa"/>
            <w:tcBorders>
              <w:top w:val="single" w:color="auto" w:sz="4" w:space="0"/>
              <w:left w:val="single" w:color="auto" w:sz="4" w:space="0"/>
              <w:bottom w:val="single" w:color="auto" w:sz="4" w:space="0"/>
              <w:right w:val="single" w:color="auto" w:sz="4" w:space="0"/>
            </w:tcBorders>
            <w:noWrap w:val="0"/>
            <w:vAlign w:val="center"/>
          </w:tcPr>
          <w:p w14:paraId="555527D9">
            <w:pPr>
              <w:pStyle w:val="15"/>
              <w:keepNext w:val="0"/>
              <w:keepLines w:val="0"/>
              <w:pageBreakBefore w:val="0"/>
              <w:kinsoku/>
              <w:wordWrap/>
              <w:overflowPunct/>
              <w:topLinePunct w:val="0"/>
              <w:autoSpaceDE/>
              <w:autoSpaceDN/>
              <w:bidi w:val="0"/>
              <w:adjustRightInd/>
              <w:snapToGrid/>
              <w:spacing w:line="300" w:lineRule="exact"/>
              <w:ind w:left="0" w:leftChars="-14" w:hanging="29" w:hangingChars="12"/>
              <w:jc w:val="center"/>
              <w:textAlignment w:val="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序号</w:t>
            </w:r>
          </w:p>
        </w:tc>
        <w:tc>
          <w:tcPr>
            <w:tcW w:w="818" w:type="dxa"/>
            <w:tcBorders>
              <w:top w:val="single" w:color="auto" w:sz="4" w:space="0"/>
              <w:left w:val="single" w:color="auto" w:sz="4" w:space="0"/>
              <w:bottom w:val="single" w:color="auto" w:sz="4" w:space="0"/>
              <w:right w:val="single" w:color="auto" w:sz="4" w:space="0"/>
            </w:tcBorders>
            <w:noWrap w:val="0"/>
            <w:vAlign w:val="center"/>
          </w:tcPr>
          <w:p w14:paraId="5FA4DF09">
            <w:pPr>
              <w:pStyle w:val="15"/>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评分类型</w:t>
            </w:r>
          </w:p>
        </w:tc>
        <w:tc>
          <w:tcPr>
            <w:tcW w:w="6300" w:type="dxa"/>
            <w:gridSpan w:val="2"/>
            <w:tcBorders>
              <w:top w:val="single" w:color="auto" w:sz="4" w:space="0"/>
              <w:left w:val="single" w:color="auto" w:sz="4" w:space="0"/>
              <w:bottom w:val="single" w:color="auto" w:sz="4" w:space="0"/>
              <w:right w:val="single" w:color="auto" w:sz="4" w:space="0"/>
            </w:tcBorders>
            <w:noWrap w:val="0"/>
            <w:vAlign w:val="center"/>
          </w:tcPr>
          <w:p w14:paraId="7436E7F4">
            <w:pPr>
              <w:pStyle w:val="15"/>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评分项目内容</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3A0787DB">
            <w:pPr>
              <w:pStyle w:val="15"/>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分值范围</w:t>
            </w:r>
          </w:p>
        </w:tc>
      </w:tr>
      <w:tr w14:paraId="5C32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649" w:type="dxa"/>
            <w:tcBorders>
              <w:top w:val="single" w:color="auto" w:sz="4" w:space="0"/>
              <w:left w:val="single" w:color="auto" w:sz="4" w:space="0"/>
              <w:bottom w:val="single" w:color="auto" w:sz="4" w:space="0"/>
              <w:right w:val="single" w:color="auto" w:sz="4" w:space="0"/>
            </w:tcBorders>
            <w:noWrap w:val="0"/>
            <w:vAlign w:val="center"/>
          </w:tcPr>
          <w:p w14:paraId="56EEA51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1</w:t>
            </w:r>
          </w:p>
        </w:tc>
        <w:tc>
          <w:tcPr>
            <w:tcW w:w="818" w:type="dxa"/>
            <w:vMerge w:val="restart"/>
            <w:tcBorders>
              <w:left w:val="single" w:color="auto" w:sz="4" w:space="0"/>
              <w:right w:val="single" w:color="auto" w:sz="4" w:space="0"/>
            </w:tcBorders>
            <w:noWrap w:val="0"/>
            <w:vAlign w:val="center"/>
          </w:tcPr>
          <w:p w14:paraId="6D5F7572">
            <w:pPr>
              <w:keepNext w:val="0"/>
              <w:keepLines w:val="0"/>
              <w:pageBreakBefore w:val="0"/>
              <w:widowControl/>
              <w:kinsoku/>
              <w:wordWrap/>
              <w:overflowPunct/>
              <w:topLinePunct w:val="0"/>
              <w:autoSpaceDE/>
              <w:autoSpaceDN/>
              <w:bidi w:val="0"/>
              <w:adjustRightInd/>
              <w:snapToGrid/>
              <w:spacing w:line="300" w:lineRule="exact"/>
              <w:ind w:left="0" w:leftChars="0"/>
              <w:jc w:val="center"/>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商务部分</w:t>
            </w:r>
          </w:p>
        </w:tc>
        <w:tc>
          <w:tcPr>
            <w:tcW w:w="6300" w:type="dxa"/>
            <w:gridSpan w:val="2"/>
            <w:tcBorders>
              <w:top w:val="single" w:color="auto" w:sz="4" w:space="0"/>
              <w:left w:val="single" w:color="auto" w:sz="4" w:space="0"/>
              <w:bottom w:val="single" w:color="auto" w:sz="4" w:space="0"/>
              <w:right w:val="single" w:color="auto" w:sz="4" w:space="0"/>
            </w:tcBorders>
            <w:noWrap w:val="0"/>
            <w:vAlign w:val="center"/>
          </w:tcPr>
          <w:p w14:paraId="5A1AAB45">
            <w:pPr>
              <w:keepNext w:val="0"/>
              <w:keepLines w:val="0"/>
              <w:pageBreakBefore w:val="0"/>
              <w:kinsoku/>
              <w:wordWrap/>
              <w:overflowPunct/>
              <w:topLinePunct w:val="0"/>
              <w:autoSpaceDE/>
              <w:autoSpaceDN/>
              <w:bidi w:val="0"/>
              <w:adjustRightInd/>
              <w:snapToGrid/>
              <w:spacing w:line="300" w:lineRule="exact"/>
              <w:ind w:left="0" w:leftChars="0" w:firstLine="12" w:firstLineChars="5"/>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相关证书：</w:t>
            </w:r>
          </w:p>
          <w:p w14:paraId="0079023E">
            <w:pPr>
              <w:keepNext w:val="0"/>
              <w:keepLines w:val="0"/>
              <w:pageBreakBefore w:val="0"/>
              <w:kinsoku/>
              <w:wordWrap/>
              <w:overflowPunct/>
              <w:topLinePunct w:val="0"/>
              <w:autoSpaceDE/>
              <w:autoSpaceDN/>
              <w:bidi w:val="0"/>
              <w:adjustRightInd/>
              <w:snapToGrid/>
              <w:spacing w:line="300" w:lineRule="exact"/>
              <w:ind w:left="0" w:leftChars="0" w:firstLine="12" w:firstLineChars="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lang w:val="en-US" w:eastAsia="zh-CN"/>
              </w:rPr>
              <w:t>具有</w:t>
            </w:r>
            <w:r>
              <w:rPr>
                <w:rFonts w:hint="eastAsia" w:ascii="宋体" w:hAnsi="宋体" w:eastAsia="宋体" w:cs="宋体"/>
                <w:sz w:val="24"/>
                <w:szCs w:val="24"/>
                <w:highlight w:val="none"/>
              </w:rPr>
              <w:t>质量管理体系认证证书、环境管理体系认证证书、职业健康安全管理体系认证证书的，每个证书得1分，</w:t>
            </w:r>
            <w:r>
              <w:rPr>
                <w:rFonts w:hint="eastAsia" w:ascii="宋体" w:hAnsi="宋体" w:eastAsia="宋体" w:cs="宋体"/>
                <w:sz w:val="24"/>
                <w:szCs w:val="24"/>
                <w:highlight w:val="none"/>
                <w:lang w:val="en-US" w:eastAsia="zh-CN"/>
              </w:rPr>
              <w:t>最高</w:t>
            </w:r>
            <w:r>
              <w:rPr>
                <w:rFonts w:hint="eastAsia" w:ascii="宋体" w:hAnsi="宋体" w:eastAsia="宋体" w:cs="宋体"/>
                <w:sz w:val="24"/>
                <w:szCs w:val="24"/>
                <w:highlight w:val="none"/>
              </w:rPr>
              <w:t>3分。</w:t>
            </w:r>
          </w:p>
          <w:p w14:paraId="5AEA5859">
            <w:pPr>
              <w:keepNext w:val="0"/>
              <w:keepLines w:val="0"/>
              <w:pageBreakBefore w:val="0"/>
              <w:kinsoku/>
              <w:wordWrap/>
              <w:overflowPunct/>
              <w:topLinePunct w:val="0"/>
              <w:autoSpaceDE/>
              <w:autoSpaceDN/>
              <w:bidi w:val="0"/>
              <w:adjustRightInd/>
              <w:snapToGrid/>
              <w:spacing w:line="300" w:lineRule="exact"/>
              <w:ind w:left="0" w:leftChars="0" w:firstLine="12" w:firstLineChars="5"/>
              <w:textAlignment w:val="auto"/>
              <w:rPr>
                <w:rFonts w:hint="eastAsia" w:ascii="宋体" w:hAnsi="宋体" w:eastAsia="宋体" w:cs="宋体"/>
                <w:i w:val="0"/>
                <w:iCs w:val="0"/>
                <w:color w:val="auto"/>
                <w:sz w:val="24"/>
                <w:szCs w:val="24"/>
                <w:highlight w:val="none"/>
              </w:rPr>
            </w:pPr>
            <w:r>
              <w:rPr>
                <w:rFonts w:hint="eastAsia" w:ascii="宋体" w:hAnsi="宋体" w:eastAsia="宋体" w:cs="宋体"/>
                <w:b/>
                <w:bCs/>
                <w:sz w:val="24"/>
                <w:szCs w:val="24"/>
                <w:highlight w:val="none"/>
              </w:rPr>
              <w:t>注：</w:t>
            </w:r>
            <w:r>
              <w:rPr>
                <w:rFonts w:hint="eastAsia" w:ascii="宋体" w:hAnsi="宋体" w:eastAsia="宋体" w:cs="宋体"/>
                <w:b/>
                <w:color w:val="auto"/>
                <w:sz w:val="24"/>
                <w:szCs w:val="24"/>
                <w:highlight w:val="none"/>
                <w:lang w:val="en-US" w:eastAsia="zh-CN"/>
              </w:rPr>
              <w:t>投标时须提供证书</w:t>
            </w:r>
            <w:r>
              <w:rPr>
                <w:rFonts w:hint="eastAsia" w:ascii="宋体" w:hAnsi="宋体" w:cs="宋体"/>
                <w:b/>
                <w:bCs/>
                <w:sz w:val="24"/>
                <w:szCs w:val="24"/>
                <w:highlight w:val="none"/>
                <w:lang w:val="en-US" w:eastAsia="zh-CN"/>
              </w:rPr>
              <w:t>扫描件</w:t>
            </w:r>
            <w:r>
              <w:rPr>
                <w:rFonts w:hint="eastAsia" w:ascii="宋体" w:hAnsi="宋体" w:eastAsia="宋体" w:cs="宋体"/>
                <w:b/>
                <w:color w:val="auto"/>
                <w:sz w:val="24"/>
                <w:szCs w:val="24"/>
                <w:highlight w:val="none"/>
                <w:lang w:eastAsia="zh-CN"/>
              </w:rPr>
              <w:t>放</w:t>
            </w:r>
            <w:r>
              <w:rPr>
                <w:rFonts w:hint="eastAsia" w:ascii="宋体" w:hAnsi="宋体" w:eastAsia="宋体" w:cs="宋体"/>
                <w:b/>
                <w:color w:val="auto"/>
                <w:sz w:val="24"/>
                <w:szCs w:val="24"/>
                <w:highlight w:val="none"/>
              </w:rPr>
              <w:t>入</w:t>
            </w:r>
            <w:r>
              <w:rPr>
                <w:rFonts w:hint="eastAsia" w:ascii="宋体" w:hAnsi="宋体" w:eastAsia="宋体" w:cs="宋体"/>
                <w:b/>
                <w:color w:val="auto"/>
                <w:sz w:val="24"/>
                <w:szCs w:val="24"/>
                <w:highlight w:val="none"/>
                <w:lang w:eastAsia="zh-CN"/>
              </w:rPr>
              <w:t>商务技术文件</w:t>
            </w:r>
            <w:r>
              <w:rPr>
                <w:rFonts w:hint="eastAsia" w:ascii="宋体" w:hAnsi="宋体" w:eastAsia="宋体" w:cs="宋体"/>
                <w:b/>
                <w:color w:val="auto"/>
                <w:sz w:val="24"/>
                <w:szCs w:val="24"/>
                <w:highlight w:val="none"/>
              </w:rPr>
              <w:t>，否则不得分</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48B48EA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p>
        </w:tc>
      </w:tr>
      <w:tr w14:paraId="6CBC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jc w:val="center"/>
        </w:trPr>
        <w:tc>
          <w:tcPr>
            <w:tcW w:w="649" w:type="dxa"/>
            <w:tcBorders>
              <w:top w:val="single" w:color="auto" w:sz="4" w:space="0"/>
              <w:left w:val="single" w:color="auto" w:sz="4" w:space="0"/>
              <w:bottom w:val="single" w:color="auto" w:sz="4" w:space="0"/>
              <w:right w:val="single" w:color="auto" w:sz="4" w:space="0"/>
            </w:tcBorders>
            <w:noWrap w:val="0"/>
            <w:vAlign w:val="center"/>
          </w:tcPr>
          <w:p w14:paraId="7217517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w:t>
            </w:r>
          </w:p>
        </w:tc>
        <w:tc>
          <w:tcPr>
            <w:tcW w:w="818" w:type="dxa"/>
            <w:vMerge w:val="continue"/>
            <w:tcBorders>
              <w:left w:val="single" w:color="auto" w:sz="4" w:space="0"/>
              <w:right w:val="single" w:color="auto" w:sz="4" w:space="0"/>
            </w:tcBorders>
            <w:noWrap w:val="0"/>
            <w:vAlign w:val="center"/>
          </w:tcPr>
          <w:p w14:paraId="2F558CDB">
            <w:pPr>
              <w:pStyle w:val="8"/>
              <w:keepNext w:val="0"/>
              <w:keepLines w:val="0"/>
              <w:pageBreakBefore w:val="0"/>
              <w:kinsoku/>
              <w:wordWrap/>
              <w:overflowPunct/>
              <w:topLinePunct w:val="0"/>
              <w:autoSpaceDE/>
              <w:autoSpaceDN/>
              <w:bidi w:val="0"/>
              <w:adjustRightInd/>
              <w:snapToGrid/>
              <w:spacing w:line="300" w:lineRule="exact"/>
              <w:ind w:left="0" w:leftChars="0" w:firstLine="420" w:firstLineChars="0"/>
              <w:jc w:val="center"/>
              <w:textAlignment w:val="auto"/>
              <w:rPr>
                <w:rFonts w:hint="eastAsia" w:ascii="宋体" w:hAnsi="宋体" w:eastAsia="宋体" w:cs="宋体"/>
                <w:i w:val="0"/>
                <w:iCs w:val="0"/>
                <w:color w:val="auto"/>
                <w:sz w:val="24"/>
                <w:szCs w:val="24"/>
                <w:highlight w:val="none"/>
              </w:rPr>
            </w:pPr>
          </w:p>
        </w:tc>
        <w:tc>
          <w:tcPr>
            <w:tcW w:w="6300" w:type="dxa"/>
            <w:gridSpan w:val="2"/>
            <w:tcBorders>
              <w:top w:val="single" w:color="auto" w:sz="4" w:space="0"/>
              <w:left w:val="single" w:color="auto" w:sz="4" w:space="0"/>
              <w:bottom w:val="single" w:color="auto" w:sz="4" w:space="0"/>
              <w:right w:val="single" w:color="auto" w:sz="4" w:space="0"/>
            </w:tcBorders>
            <w:noWrap w:val="0"/>
            <w:vAlign w:val="center"/>
          </w:tcPr>
          <w:p w14:paraId="41532F17">
            <w:pPr>
              <w:keepNext w:val="0"/>
              <w:keepLines w:val="0"/>
              <w:pageBreakBefore w:val="0"/>
              <w:kinsoku/>
              <w:wordWrap/>
              <w:overflowPunct/>
              <w:topLinePunct w:val="0"/>
              <w:autoSpaceDE/>
              <w:autoSpaceDN/>
              <w:bidi w:val="0"/>
              <w:adjustRightInd/>
              <w:snapToGrid/>
              <w:spacing w:line="300" w:lineRule="exact"/>
              <w:ind w:left="0" w:leftChars="0" w:firstLine="12" w:firstLineChars="5"/>
              <w:textAlignment w:val="auto"/>
              <w:rPr>
                <w:rFonts w:hint="eastAsia" w:ascii="宋体" w:hAnsi="宋体" w:eastAsia="宋体" w:cs="宋体"/>
                <w:b/>
                <w:bCs/>
                <w:i w:val="0"/>
                <w:iCs w:val="0"/>
                <w:color w:val="auto"/>
                <w:sz w:val="24"/>
                <w:szCs w:val="24"/>
                <w:highlight w:val="none"/>
                <w:lang w:eastAsia="zh-CN"/>
              </w:rPr>
            </w:pPr>
            <w:r>
              <w:rPr>
                <w:rFonts w:hint="eastAsia" w:ascii="宋体" w:hAnsi="宋体" w:eastAsia="宋体" w:cs="宋体"/>
                <w:b/>
                <w:bCs/>
                <w:i w:val="0"/>
                <w:iCs w:val="0"/>
                <w:color w:val="auto"/>
                <w:sz w:val="24"/>
                <w:szCs w:val="24"/>
                <w:highlight w:val="none"/>
                <w:lang w:eastAsia="zh-CN"/>
              </w:rPr>
              <w:t>项目业绩：</w:t>
            </w:r>
          </w:p>
          <w:p w14:paraId="1C811E1D">
            <w:pPr>
              <w:keepNext w:val="0"/>
              <w:keepLines w:val="0"/>
              <w:pageBreakBefore w:val="0"/>
              <w:kinsoku/>
              <w:wordWrap/>
              <w:overflowPunct/>
              <w:topLinePunct w:val="0"/>
              <w:autoSpaceDE/>
              <w:autoSpaceDN/>
              <w:bidi w:val="0"/>
              <w:adjustRightInd/>
              <w:snapToGrid/>
              <w:spacing w:line="300" w:lineRule="exact"/>
              <w:ind w:left="0" w:leftChars="0" w:firstLine="12" w:firstLineChars="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投标人自202</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月1日（以合同签订时间为准）以来有类似项目业绩，每个得1分，最高3分。</w:t>
            </w:r>
          </w:p>
          <w:p w14:paraId="04F0AD23">
            <w:pPr>
              <w:keepNext w:val="0"/>
              <w:keepLines w:val="0"/>
              <w:pageBreakBefore w:val="0"/>
              <w:kinsoku/>
              <w:wordWrap/>
              <w:overflowPunct/>
              <w:topLinePunct w:val="0"/>
              <w:autoSpaceDE/>
              <w:autoSpaceDN/>
              <w:bidi w:val="0"/>
              <w:adjustRightInd/>
              <w:snapToGrid/>
              <w:spacing w:line="300" w:lineRule="exact"/>
              <w:ind w:left="0" w:leftChars="0" w:firstLine="12" w:firstLineChars="5"/>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注：1、</w:t>
            </w:r>
            <w:r>
              <w:rPr>
                <w:rFonts w:hint="eastAsia" w:ascii="宋体" w:hAnsi="宋体" w:cs="宋体"/>
                <w:b/>
                <w:color w:val="auto"/>
                <w:sz w:val="24"/>
                <w:szCs w:val="24"/>
                <w:highlight w:val="none"/>
                <w:lang w:val="en-US" w:eastAsia="zh-CN"/>
              </w:rPr>
              <w:t>需提供</w:t>
            </w:r>
            <w:r>
              <w:rPr>
                <w:rFonts w:hint="eastAsia" w:ascii="宋体" w:hAnsi="宋体" w:eastAsia="宋体" w:cs="宋体"/>
                <w:b/>
                <w:color w:val="auto"/>
                <w:sz w:val="24"/>
                <w:szCs w:val="24"/>
                <w:highlight w:val="none"/>
                <w:lang w:val="en-US" w:eastAsia="zh-CN"/>
              </w:rPr>
              <w:t>合同</w:t>
            </w:r>
            <w:r>
              <w:rPr>
                <w:rFonts w:hint="eastAsia" w:ascii="宋体" w:hAnsi="宋体" w:cs="宋体"/>
                <w:b/>
                <w:color w:val="auto"/>
                <w:sz w:val="24"/>
                <w:szCs w:val="24"/>
                <w:highlight w:val="none"/>
                <w:lang w:val="en-US" w:eastAsia="zh-CN"/>
              </w:rPr>
              <w:t>扫描件并加盖公章</w:t>
            </w:r>
            <w:r>
              <w:rPr>
                <w:rFonts w:hint="eastAsia" w:ascii="宋体" w:hAnsi="宋体" w:eastAsia="宋体" w:cs="宋体"/>
                <w:b/>
                <w:color w:val="auto"/>
                <w:sz w:val="24"/>
                <w:szCs w:val="24"/>
                <w:highlight w:val="none"/>
                <w:lang w:val="en-US" w:eastAsia="zh-CN"/>
              </w:rPr>
              <w:t>，否则不得分。</w:t>
            </w:r>
          </w:p>
          <w:p w14:paraId="6FE75B3A">
            <w:pPr>
              <w:keepNext w:val="0"/>
              <w:keepLines w:val="0"/>
              <w:pageBreakBefore w:val="0"/>
              <w:kinsoku/>
              <w:wordWrap/>
              <w:overflowPunct/>
              <w:topLinePunct w:val="0"/>
              <w:autoSpaceDE/>
              <w:autoSpaceDN/>
              <w:bidi w:val="0"/>
              <w:adjustRightInd/>
              <w:snapToGrid/>
              <w:spacing w:line="300" w:lineRule="exact"/>
              <w:ind w:left="0" w:leftChars="0" w:firstLine="12" w:firstLineChars="5"/>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2、是否属于类似业绩由评标委员会根据合同的内容、特点以及与本项目的类似程度等进行认定。</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664CAD8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i w:val="0"/>
                <w:iCs w:val="0"/>
                <w:color w:val="auto"/>
                <w:sz w:val="24"/>
                <w:szCs w:val="24"/>
                <w:highlight w:val="none"/>
                <w:lang w:val="en-US"/>
              </w:rPr>
            </w:pPr>
            <w:r>
              <w:rPr>
                <w:rFonts w:hint="eastAsia" w:ascii="宋体" w:hAnsi="宋体" w:eastAsia="宋体" w:cs="宋体"/>
                <w:i w:val="0"/>
                <w:iCs w:val="0"/>
                <w:color w:val="auto"/>
                <w:sz w:val="24"/>
                <w:szCs w:val="24"/>
                <w:highlight w:val="none"/>
                <w:lang w:val="en-US" w:eastAsia="zh-CN"/>
              </w:rPr>
              <w:t>3</w:t>
            </w:r>
          </w:p>
        </w:tc>
      </w:tr>
      <w:tr w14:paraId="1AAD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tcBorders>
              <w:top w:val="single" w:color="auto" w:sz="4" w:space="0"/>
              <w:left w:val="single" w:color="auto" w:sz="4" w:space="0"/>
              <w:bottom w:val="single" w:color="auto" w:sz="4" w:space="0"/>
              <w:right w:val="single" w:color="auto" w:sz="4" w:space="0"/>
            </w:tcBorders>
            <w:noWrap w:val="0"/>
            <w:vAlign w:val="center"/>
          </w:tcPr>
          <w:p w14:paraId="5A4EFC6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3</w:t>
            </w:r>
          </w:p>
        </w:tc>
        <w:tc>
          <w:tcPr>
            <w:tcW w:w="818" w:type="dxa"/>
            <w:vMerge w:val="restart"/>
            <w:tcBorders>
              <w:top w:val="single" w:color="auto" w:sz="4" w:space="0"/>
              <w:left w:val="single" w:color="auto" w:sz="4" w:space="0"/>
              <w:right w:val="single" w:color="auto" w:sz="4" w:space="0"/>
            </w:tcBorders>
            <w:noWrap w:val="0"/>
            <w:vAlign w:val="center"/>
          </w:tcPr>
          <w:p w14:paraId="7BFBB34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技术部分</w:t>
            </w:r>
          </w:p>
        </w:tc>
        <w:tc>
          <w:tcPr>
            <w:tcW w:w="1012" w:type="dxa"/>
            <w:tcBorders>
              <w:top w:val="single" w:color="auto" w:sz="4" w:space="0"/>
              <w:left w:val="single" w:color="auto" w:sz="4" w:space="0"/>
              <w:bottom w:val="single" w:color="auto" w:sz="4" w:space="0"/>
              <w:right w:val="single" w:color="auto" w:sz="4" w:space="0"/>
            </w:tcBorders>
            <w:noWrap w:val="0"/>
            <w:vAlign w:val="center"/>
          </w:tcPr>
          <w:p w14:paraId="19BE76FD">
            <w:pPr>
              <w:snapToGrid w:val="0"/>
              <w:jc w:val="center"/>
              <w:rPr>
                <w:rFonts w:hint="eastAsia" w:ascii="宋体" w:hAnsi="宋体" w:eastAsia="宋体" w:cs="宋体"/>
                <w:b/>
                <w:bCs/>
                <w:color w:val="auto"/>
                <w:sz w:val="24"/>
                <w:szCs w:val="24"/>
                <w:highlight w:val="none"/>
                <w:lang w:val="zh-TW" w:eastAsia="zh-TW"/>
              </w:rPr>
            </w:pPr>
            <w:r>
              <w:rPr>
                <w:rFonts w:hint="eastAsia" w:ascii="宋体" w:hAnsi="宋体" w:eastAsia="宋体" w:cs="宋体"/>
                <w:b/>
                <w:bCs/>
                <w:kern w:val="0"/>
                <w:sz w:val="24"/>
                <w:szCs w:val="24"/>
                <w:highlight w:val="none"/>
                <w:lang w:bidi="ar"/>
              </w:rPr>
              <w:t>技术响应偏离</w:t>
            </w:r>
          </w:p>
        </w:tc>
        <w:tc>
          <w:tcPr>
            <w:tcW w:w="5288" w:type="dxa"/>
            <w:tcBorders>
              <w:top w:val="single" w:color="auto" w:sz="4" w:space="0"/>
              <w:left w:val="single" w:color="auto" w:sz="4" w:space="0"/>
              <w:bottom w:val="single" w:color="auto" w:sz="4" w:space="0"/>
              <w:right w:val="single" w:color="auto" w:sz="4" w:space="0"/>
            </w:tcBorders>
            <w:noWrap w:val="0"/>
            <w:vAlign w:val="top"/>
          </w:tcPr>
          <w:p w14:paraId="1564E13B">
            <w:pPr>
              <w:rPr>
                <w:rFonts w:hint="eastAsia" w:ascii="宋体" w:hAnsi="宋体" w:eastAsia="宋体" w:cs="宋体"/>
                <w:sz w:val="24"/>
                <w:szCs w:val="24"/>
                <w:highlight w:val="none"/>
              </w:rPr>
            </w:pPr>
            <w:r>
              <w:rPr>
                <w:rFonts w:hint="eastAsia" w:ascii="宋体" w:hAnsi="宋体" w:eastAsia="宋体" w:cs="宋体"/>
                <w:sz w:val="24"/>
                <w:szCs w:val="24"/>
                <w:highlight w:val="none"/>
              </w:rPr>
              <w:t>产品技术参数要求完全满足招标文件中主要设备参数要求的得</w:t>
            </w: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rPr>
              <w:t>分。标“</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”为</w:t>
            </w:r>
            <w:r>
              <w:rPr>
                <w:rFonts w:hint="eastAsia" w:ascii="宋体" w:hAnsi="宋体" w:eastAsia="宋体" w:cs="宋体"/>
                <w:sz w:val="24"/>
                <w:szCs w:val="24"/>
                <w:highlight w:val="none"/>
                <w:lang w:val="en-US" w:eastAsia="zh-CN"/>
              </w:rPr>
              <w:t>核心参数</w:t>
            </w:r>
            <w:r>
              <w:rPr>
                <w:rFonts w:hint="eastAsia" w:ascii="宋体" w:hAnsi="宋体" w:eastAsia="宋体" w:cs="宋体"/>
                <w:sz w:val="24"/>
                <w:szCs w:val="24"/>
                <w:highlight w:val="none"/>
              </w:rPr>
              <w:t>，负偏离一项扣</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分；对其他性能指标及技术参数属负偏离或缺漏项的每项扣</w:t>
            </w:r>
            <w:r>
              <w:rPr>
                <w:rFonts w:hint="eastAsia" w:ascii="宋体" w:hAnsi="宋体" w:cs="宋体"/>
                <w:sz w:val="24"/>
                <w:szCs w:val="24"/>
                <w:highlight w:val="none"/>
                <w:lang w:val="en-US" w:eastAsia="zh-CN"/>
              </w:rPr>
              <w:t>0.5</w:t>
            </w:r>
            <w:r>
              <w:rPr>
                <w:rFonts w:hint="eastAsia" w:ascii="宋体" w:hAnsi="宋体" w:eastAsia="宋体" w:cs="宋体"/>
                <w:sz w:val="24"/>
                <w:szCs w:val="24"/>
                <w:highlight w:val="none"/>
              </w:rPr>
              <w:t>分</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扣完为止。</w:t>
            </w:r>
          </w:p>
          <w:p w14:paraId="2461723E">
            <w:pPr>
              <w:rPr>
                <w:rFonts w:hint="eastAsia" w:ascii="宋体" w:hAnsi="宋体" w:eastAsia="宋体" w:cs="宋体"/>
                <w:sz w:val="24"/>
                <w:szCs w:val="24"/>
                <w:highlight w:val="none"/>
                <w:lang w:val="en-US" w:eastAsia="zh-CN"/>
              </w:rPr>
            </w:pPr>
            <w:r>
              <w:rPr>
                <w:rFonts w:hint="eastAsia" w:ascii="宋体" w:hAnsi="宋体" w:eastAsia="宋体" w:cs="宋体"/>
                <w:b/>
                <w:sz w:val="24"/>
                <w:szCs w:val="24"/>
                <w:highlight w:val="none"/>
              </w:rPr>
              <w:t>【标有“</w:t>
            </w:r>
            <w:r>
              <w:rPr>
                <w:rFonts w:hint="eastAsia" w:ascii="宋体" w:hAnsi="宋体" w:eastAsia="宋体" w:cs="宋体"/>
                <w:b/>
                <w:sz w:val="24"/>
                <w:szCs w:val="24"/>
                <w:highlight w:val="none"/>
                <w:lang w:val="en-US" w:eastAsia="zh-CN"/>
              </w:rPr>
              <w:t>●</w:t>
            </w:r>
            <w:r>
              <w:rPr>
                <w:rFonts w:hint="eastAsia" w:ascii="宋体" w:hAnsi="宋体" w:eastAsia="宋体" w:cs="宋体"/>
                <w:b/>
                <w:sz w:val="24"/>
                <w:szCs w:val="24"/>
                <w:highlight w:val="none"/>
              </w:rPr>
              <w:t>”为</w:t>
            </w:r>
            <w:r>
              <w:rPr>
                <w:rFonts w:hint="eastAsia" w:ascii="宋体" w:hAnsi="宋体" w:eastAsia="宋体" w:cs="宋体"/>
                <w:b/>
                <w:sz w:val="24"/>
                <w:szCs w:val="24"/>
                <w:highlight w:val="none"/>
                <w:lang w:val="en-US" w:eastAsia="zh-CN"/>
              </w:rPr>
              <w:t>核心参数</w:t>
            </w:r>
            <w:r>
              <w:rPr>
                <w:rFonts w:hint="eastAsia" w:ascii="宋体" w:hAnsi="宋体" w:eastAsia="宋体" w:cs="宋体"/>
                <w:b/>
                <w:sz w:val="24"/>
                <w:szCs w:val="24"/>
                <w:highlight w:val="none"/>
              </w:rPr>
              <w:t>须提供证明材料给予佐证，否则视为负偏离。】</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37D3ABF8">
            <w:pPr>
              <w:snapToGrid w:val="0"/>
              <w:jc w:val="center"/>
              <w:rPr>
                <w:rFonts w:hint="eastAsia" w:ascii="宋体" w:hAnsi="宋体" w:eastAsia="宋体" w:cs="宋体"/>
                <w:b/>
                <w:i w:val="0"/>
                <w:iCs w:val="0"/>
                <w:color w:val="auto"/>
                <w:sz w:val="24"/>
                <w:szCs w:val="24"/>
                <w:highlight w:val="none"/>
                <w:lang w:val="en-US" w:eastAsia="zh-CN"/>
              </w:rPr>
            </w:pPr>
            <w:r>
              <w:rPr>
                <w:rFonts w:hint="eastAsia" w:ascii="宋体" w:hAnsi="宋体" w:eastAsia="宋体" w:cs="宋体"/>
                <w:sz w:val="24"/>
                <w:szCs w:val="24"/>
                <w:highlight w:val="none"/>
              </w:rPr>
              <w:t>14</w:t>
            </w:r>
          </w:p>
        </w:tc>
      </w:tr>
      <w:tr w14:paraId="56D0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vMerge w:val="restart"/>
            <w:tcBorders>
              <w:top w:val="single" w:color="auto" w:sz="4" w:space="0"/>
              <w:left w:val="single" w:color="auto" w:sz="4" w:space="0"/>
              <w:right w:val="single" w:color="auto" w:sz="4" w:space="0"/>
            </w:tcBorders>
            <w:noWrap w:val="0"/>
            <w:vAlign w:val="center"/>
          </w:tcPr>
          <w:p w14:paraId="2A2A671F">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4</w:t>
            </w:r>
          </w:p>
        </w:tc>
        <w:tc>
          <w:tcPr>
            <w:tcW w:w="818" w:type="dxa"/>
            <w:vMerge w:val="continue"/>
            <w:tcBorders>
              <w:left w:val="single" w:color="auto" w:sz="4" w:space="0"/>
              <w:right w:val="single" w:color="auto" w:sz="4" w:space="0"/>
            </w:tcBorders>
            <w:noWrap w:val="0"/>
            <w:vAlign w:val="center"/>
          </w:tcPr>
          <w:p w14:paraId="5B7947C1">
            <w:pPr>
              <w:keepNext w:val="0"/>
              <w:keepLines w:val="0"/>
              <w:pageBreakBefore w:val="0"/>
              <w:widowControl/>
              <w:kinsoku/>
              <w:wordWrap/>
              <w:overflowPunct/>
              <w:topLinePunct w:val="0"/>
              <w:autoSpaceDE/>
              <w:autoSpaceDN/>
              <w:bidi w:val="0"/>
              <w:adjustRightInd/>
              <w:snapToGrid/>
              <w:spacing w:line="300" w:lineRule="exact"/>
              <w:ind w:left="0" w:leftChars="0"/>
              <w:jc w:val="left"/>
              <w:textAlignment w:val="auto"/>
              <w:rPr>
                <w:rFonts w:hint="eastAsia" w:ascii="宋体" w:hAnsi="宋体" w:eastAsia="宋体" w:cs="宋体"/>
                <w:i w:val="0"/>
                <w:iCs w:val="0"/>
                <w:color w:val="auto"/>
                <w:sz w:val="24"/>
                <w:szCs w:val="24"/>
                <w:highlight w:val="none"/>
              </w:rPr>
            </w:pPr>
          </w:p>
        </w:tc>
        <w:tc>
          <w:tcPr>
            <w:tcW w:w="1012" w:type="dxa"/>
            <w:vMerge w:val="restart"/>
            <w:tcBorders>
              <w:top w:val="single" w:color="auto" w:sz="4" w:space="0"/>
              <w:left w:val="single" w:color="auto" w:sz="4" w:space="0"/>
              <w:right w:val="single" w:color="auto" w:sz="4" w:space="0"/>
            </w:tcBorders>
            <w:noWrap w:val="0"/>
            <w:vAlign w:val="center"/>
          </w:tcPr>
          <w:p w14:paraId="6420BEFF">
            <w:pPr>
              <w:snapToGrid w:val="0"/>
              <w:jc w:val="center"/>
              <w:rPr>
                <w:rFonts w:hint="eastAsia" w:ascii="宋体" w:hAnsi="宋体" w:eastAsia="宋体" w:cs="宋体"/>
                <w:b/>
                <w:bCs/>
                <w:color w:val="auto"/>
                <w:sz w:val="24"/>
                <w:szCs w:val="24"/>
                <w:highlight w:val="none"/>
                <w:lang w:val="zh-TW" w:eastAsia="zh-TW"/>
              </w:rPr>
            </w:pPr>
            <w:r>
              <w:rPr>
                <w:rFonts w:hint="eastAsia" w:ascii="宋体" w:hAnsi="宋体" w:eastAsia="宋体" w:cs="宋体"/>
                <w:b/>
                <w:sz w:val="24"/>
                <w:szCs w:val="24"/>
                <w:highlight w:val="none"/>
              </w:rPr>
              <w:t>施工组织方案</w:t>
            </w:r>
          </w:p>
        </w:tc>
        <w:tc>
          <w:tcPr>
            <w:tcW w:w="5288" w:type="dxa"/>
            <w:tcBorders>
              <w:top w:val="single" w:color="auto" w:sz="4" w:space="0"/>
              <w:left w:val="single" w:color="auto" w:sz="4" w:space="0"/>
              <w:bottom w:val="single" w:color="auto" w:sz="4" w:space="0"/>
              <w:right w:val="single" w:color="auto" w:sz="4" w:space="0"/>
            </w:tcBorders>
            <w:noWrap w:val="0"/>
            <w:vAlign w:val="center"/>
          </w:tcPr>
          <w:p w14:paraId="5C61E950">
            <w:pPr>
              <w:widowControl/>
              <w:jc w:val="left"/>
              <w:textAlignment w:val="bottom"/>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bidi="ar"/>
              </w:rPr>
              <w:t>根据供应商提供的供货方案是否具有可靠性和周密性、合理可行性，由评委在分值范围内打分。（分值：5.0、4.5、4.0、3.5、3.0、2.5、2.0、1.5、1.0、0.5、0）</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5ADD3A26">
            <w:pPr>
              <w:snapToGrid w:val="0"/>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sz w:val="24"/>
                <w:szCs w:val="24"/>
                <w:highlight w:val="none"/>
                <w:lang w:val="en-US" w:eastAsia="zh-CN"/>
              </w:rPr>
              <w:t>5</w:t>
            </w:r>
          </w:p>
        </w:tc>
      </w:tr>
      <w:tr w14:paraId="5AAF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vMerge w:val="continue"/>
            <w:tcBorders>
              <w:left w:val="single" w:color="auto" w:sz="4" w:space="0"/>
              <w:right w:val="single" w:color="auto" w:sz="4" w:space="0"/>
            </w:tcBorders>
            <w:noWrap w:val="0"/>
            <w:vAlign w:val="center"/>
          </w:tcPr>
          <w:p w14:paraId="0A60F79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i w:val="0"/>
                <w:iCs w:val="0"/>
                <w:color w:val="auto"/>
                <w:sz w:val="24"/>
                <w:szCs w:val="24"/>
                <w:highlight w:val="none"/>
                <w:lang w:val="en-US" w:eastAsia="zh-CN"/>
              </w:rPr>
            </w:pPr>
          </w:p>
        </w:tc>
        <w:tc>
          <w:tcPr>
            <w:tcW w:w="818" w:type="dxa"/>
            <w:vMerge w:val="continue"/>
            <w:tcBorders>
              <w:left w:val="single" w:color="auto" w:sz="4" w:space="0"/>
              <w:right w:val="single" w:color="auto" w:sz="4" w:space="0"/>
            </w:tcBorders>
            <w:noWrap w:val="0"/>
            <w:vAlign w:val="center"/>
          </w:tcPr>
          <w:p w14:paraId="79F41B92">
            <w:pPr>
              <w:keepNext w:val="0"/>
              <w:keepLines w:val="0"/>
              <w:pageBreakBefore w:val="0"/>
              <w:widowControl/>
              <w:kinsoku/>
              <w:wordWrap/>
              <w:overflowPunct/>
              <w:topLinePunct w:val="0"/>
              <w:autoSpaceDE/>
              <w:autoSpaceDN/>
              <w:bidi w:val="0"/>
              <w:adjustRightInd/>
              <w:snapToGrid/>
              <w:spacing w:line="300" w:lineRule="exact"/>
              <w:ind w:left="0" w:leftChars="0"/>
              <w:jc w:val="left"/>
              <w:textAlignment w:val="auto"/>
              <w:rPr>
                <w:rFonts w:hint="eastAsia" w:ascii="宋体" w:hAnsi="宋体" w:eastAsia="宋体" w:cs="宋体"/>
                <w:i w:val="0"/>
                <w:iCs w:val="0"/>
                <w:color w:val="auto"/>
                <w:sz w:val="24"/>
                <w:szCs w:val="24"/>
                <w:highlight w:val="none"/>
              </w:rPr>
            </w:pPr>
          </w:p>
        </w:tc>
        <w:tc>
          <w:tcPr>
            <w:tcW w:w="1012" w:type="dxa"/>
            <w:vMerge w:val="continue"/>
            <w:tcBorders>
              <w:left w:val="single" w:color="auto" w:sz="4" w:space="0"/>
              <w:right w:val="single" w:color="auto" w:sz="4" w:space="0"/>
            </w:tcBorders>
            <w:noWrap w:val="0"/>
            <w:vAlign w:val="center"/>
          </w:tcPr>
          <w:p w14:paraId="32D6B2C4">
            <w:pPr>
              <w:snapToGrid w:val="0"/>
              <w:jc w:val="center"/>
              <w:rPr>
                <w:rFonts w:hint="eastAsia" w:ascii="宋体" w:hAnsi="宋体" w:eastAsia="宋体" w:cs="宋体"/>
                <w:b/>
                <w:sz w:val="24"/>
                <w:szCs w:val="24"/>
                <w:highlight w:val="none"/>
              </w:rPr>
            </w:pPr>
          </w:p>
        </w:tc>
        <w:tc>
          <w:tcPr>
            <w:tcW w:w="5288" w:type="dxa"/>
            <w:tcBorders>
              <w:top w:val="single" w:color="auto" w:sz="4" w:space="0"/>
              <w:left w:val="single" w:color="auto" w:sz="4" w:space="0"/>
              <w:bottom w:val="single" w:color="auto" w:sz="4" w:space="0"/>
              <w:right w:val="single" w:color="auto" w:sz="4" w:space="0"/>
            </w:tcBorders>
            <w:noWrap w:val="0"/>
            <w:vAlign w:val="center"/>
          </w:tcPr>
          <w:p w14:paraId="1FD5D148">
            <w:pPr>
              <w:widowControl/>
              <w:jc w:val="left"/>
              <w:textAlignment w:val="bottom"/>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根据供应商提供的安装调试方案是否具有可靠性和周密性、合理可行性，由评委在分值范围内打分。（分值：5.0、4.5、4.0、3.5、3.0、2.5、2.0、1.5、1.0、0.5、0）</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50EA7D48">
            <w:pPr>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p>
        </w:tc>
      </w:tr>
      <w:tr w14:paraId="3A77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vMerge w:val="restart"/>
            <w:tcBorders>
              <w:left w:val="single" w:color="auto" w:sz="4" w:space="0"/>
              <w:right w:val="single" w:color="auto" w:sz="4" w:space="0"/>
            </w:tcBorders>
            <w:noWrap w:val="0"/>
            <w:vAlign w:val="center"/>
          </w:tcPr>
          <w:p w14:paraId="040DC88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5</w:t>
            </w:r>
          </w:p>
        </w:tc>
        <w:tc>
          <w:tcPr>
            <w:tcW w:w="818" w:type="dxa"/>
            <w:vMerge w:val="continue"/>
            <w:tcBorders>
              <w:left w:val="single" w:color="auto" w:sz="4" w:space="0"/>
              <w:right w:val="single" w:color="auto" w:sz="4" w:space="0"/>
            </w:tcBorders>
            <w:noWrap w:val="0"/>
            <w:vAlign w:val="center"/>
          </w:tcPr>
          <w:p w14:paraId="5FFE4BAF">
            <w:pPr>
              <w:keepNext w:val="0"/>
              <w:keepLines w:val="0"/>
              <w:pageBreakBefore w:val="0"/>
              <w:widowControl/>
              <w:kinsoku/>
              <w:wordWrap/>
              <w:overflowPunct/>
              <w:topLinePunct w:val="0"/>
              <w:autoSpaceDE/>
              <w:autoSpaceDN/>
              <w:bidi w:val="0"/>
              <w:adjustRightInd/>
              <w:snapToGrid/>
              <w:spacing w:line="300" w:lineRule="exact"/>
              <w:ind w:left="0" w:leftChars="0"/>
              <w:jc w:val="left"/>
              <w:textAlignment w:val="auto"/>
              <w:rPr>
                <w:rFonts w:hint="eastAsia" w:ascii="宋体" w:hAnsi="宋体" w:eastAsia="宋体" w:cs="宋体"/>
                <w:i w:val="0"/>
                <w:iCs w:val="0"/>
                <w:color w:val="auto"/>
                <w:sz w:val="24"/>
                <w:szCs w:val="24"/>
                <w:highlight w:val="none"/>
              </w:rPr>
            </w:pPr>
          </w:p>
        </w:tc>
        <w:tc>
          <w:tcPr>
            <w:tcW w:w="1012" w:type="dxa"/>
            <w:vMerge w:val="restart"/>
            <w:tcBorders>
              <w:left w:val="single" w:color="auto" w:sz="4" w:space="0"/>
              <w:right w:val="single" w:color="auto" w:sz="4" w:space="0"/>
            </w:tcBorders>
            <w:noWrap w:val="0"/>
            <w:vAlign w:val="center"/>
          </w:tcPr>
          <w:p w14:paraId="3B991B00">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质量、安全保证</w:t>
            </w:r>
          </w:p>
          <w:p w14:paraId="60709744">
            <w:pPr>
              <w:jc w:val="center"/>
              <w:rPr>
                <w:rFonts w:hint="eastAsia" w:ascii="宋体" w:hAnsi="宋体" w:eastAsia="宋体" w:cs="宋体"/>
                <w:b/>
                <w:bCs/>
                <w:color w:val="auto"/>
                <w:sz w:val="24"/>
                <w:szCs w:val="24"/>
                <w:highlight w:val="none"/>
                <w:lang w:val="zh-TW" w:eastAsia="zh-TW"/>
              </w:rPr>
            </w:pPr>
            <w:r>
              <w:rPr>
                <w:rFonts w:hint="eastAsia" w:ascii="宋体" w:hAnsi="宋体" w:eastAsia="宋体" w:cs="宋体"/>
                <w:b/>
                <w:sz w:val="24"/>
                <w:szCs w:val="24"/>
                <w:highlight w:val="none"/>
              </w:rPr>
              <w:t>措施和承诺</w:t>
            </w:r>
          </w:p>
        </w:tc>
        <w:tc>
          <w:tcPr>
            <w:tcW w:w="5288" w:type="dxa"/>
            <w:tcBorders>
              <w:top w:val="single" w:color="auto" w:sz="4" w:space="0"/>
              <w:left w:val="single" w:color="auto" w:sz="4" w:space="0"/>
              <w:bottom w:val="single" w:color="auto" w:sz="4" w:space="0"/>
              <w:right w:val="single" w:color="auto" w:sz="4" w:space="0"/>
            </w:tcBorders>
            <w:noWrap w:val="0"/>
            <w:vAlign w:val="center"/>
          </w:tcPr>
          <w:p w14:paraId="2A63EE62">
            <w:pPr>
              <w:widowControl/>
              <w:jc w:val="left"/>
              <w:textAlignment w:val="bottom"/>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根据供应商提供的质量保证措施是否具有可靠性和周密性、合理可行性，由评委在分值范围内打分。</w:t>
            </w:r>
            <w:r>
              <w:rPr>
                <w:rFonts w:hint="eastAsia" w:ascii="宋体" w:hAnsi="宋体" w:eastAsia="宋体" w:cs="宋体"/>
                <w:kern w:val="0"/>
                <w:sz w:val="24"/>
                <w:szCs w:val="24"/>
                <w:highlight w:val="none"/>
                <w:lang w:val="en-US" w:eastAsia="zh-CN" w:bidi="ar"/>
              </w:rPr>
              <w:t>（分值：5.0、4.5、4.0、3.5、3.0、2.5、2.0、1.5、1.0、0.5、0）</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604F6223">
            <w:pPr>
              <w:jc w:val="center"/>
              <w:rPr>
                <w:rFonts w:hint="eastAsia" w:ascii="宋体" w:hAnsi="宋体" w:eastAsia="宋体" w:cs="宋体"/>
                <w:i w:val="0"/>
                <w:iCs w:val="0"/>
                <w:color w:val="auto"/>
                <w:sz w:val="24"/>
                <w:szCs w:val="24"/>
                <w:highlight w:val="none"/>
              </w:rPr>
            </w:pPr>
            <w:r>
              <w:rPr>
                <w:rFonts w:hint="eastAsia" w:ascii="宋体" w:hAnsi="宋体" w:eastAsia="宋体" w:cs="宋体"/>
                <w:sz w:val="24"/>
                <w:szCs w:val="24"/>
                <w:highlight w:val="none"/>
                <w:lang w:val="en-US" w:eastAsia="zh-CN"/>
              </w:rPr>
              <w:t>5</w:t>
            </w:r>
          </w:p>
        </w:tc>
      </w:tr>
      <w:tr w14:paraId="454E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vMerge w:val="continue"/>
            <w:tcBorders>
              <w:left w:val="single" w:color="auto" w:sz="4" w:space="0"/>
              <w:right w:val="single" w:color="auto" w:sz="4" w:space="0"/>
            </w:tcBorders>
            <w:noWrap w:val="0"/>
            <w:vAlign w:val="center"/>
          </w:tcPr>
          <w:p w14:paraId="0AB3650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i w:val="0"/>
                <w:iCs w:val="0"/>
                <w:color w:val="auto"/>
                <w:sz w:val="24"/>
                <w:szCs w:val="24"/>
                <w:highlight w:val="none"/>
                <w:lang w:val="en-US" w:eastAsia="zh-CN"/>
              </w:rPr>
            </w:pPr>
          </w:p>
        </w:tc>
        <w:tc>
          <w:tcPr>
            <w:tcW w:w="818" w:type="dxa"/>
            <w:vMerge w:val="continue"/>
            <w:tcBorders>
              <w:left w:val="single" w:color="auto" w:sz="4" w:space="0"/>
              <w:right w:val="single" w:color="auto" w:sz="4" w:space="0"/>
            </w:tcBorders>
            <w:noWrap w:val="0"/>
            <w:vAlign w:val="center"/>
          </w:tcPr>
          <w:p w14:paraId="668E807D">
            <w:pPr>
              <w:keepNext w:val="0"/>
              <w:keepLines w:val="0"/>
              <w:pageBreakBefore w:val="0"/>
              <w:widowControl/>
              <w:kinsoku/>
              <w:wordWrap/>
              <w:overflowPunct/>
              <w:topLinePunct w:val="0"/>
              <w:autoSpaceDE/>
              <w:autoSpaceDN/>
              <w:bidi w:val="0"/>
              <w:adjustRightInd/>
              <w:snapToGrid/>
              <w:spacing w:line="300" w:lineRule="exact"/>
              <w:ind w:left="0" w:leftChars="0"/>
              <w:jc w:val="left"/>
              <w:textAlignment w:val="auto"/>
              <w:rPr>
                <w:rFonts w:hint="eastAsia" w:ascii="宋体" w:hAnsi="宋体" w:eastAsia="宋体" w:cs="宋体"/>
                <w:i w:val="0"/>
                <w:iCs w:val="0"/>
                <w:color w:val="auto"/>
                <w:sz w:val="24"/>
                <w:szCs w:val="24"/>
                <w:highlight w:val="none"/>
              </w:rPr>
            </w:pPr>
          </w:p>
        </w:tc>
        <w:tc>
          <w:tcPr>
            <w:tcW w:w="1012" w:type="dxa"/>
            <w:vMerge w:val="continue"/>
            <w:tcBorders>
              <w:left w:val="single" w:color="auto" w:sz="4" w:space="0"/>
              <w:right w:val="single" w:color="auto" w:sz="4" w:space="0"/>
            </w:tcBorders>
            <w:noWrap w:val="0"/>
            <w:vAlign w:val="center"/>
          </w:tcPr>
          <w:p w14:paraId="3E330BBD">
            <w:pPr>
              <w:jc w:val="center"/>
              <w:rPr>
                <w:rFonts w:hint="eastAsia" w:ascii="宋体" w:hAnsi="宋体" w:eastAsia="宋体" w:cs="宋体"/>
                <w:b/>
                <w:sz w:val="24"/>
                <w:szCs w:val="24"/>
                <w:highlight w:val="none"/>
              </w:rPr>
            </w:pPr>
          </w:p>
        </w:tc>
        <w:tc>
          <w:tcPr>
            <w:tcW w:w="5288" w:type="dxa"/>
            <w:tcBorders>
              <w:top w:val="single" w:color="auto" w:sz="4" w:space="0"/>
              <w:left w:val="single" w:color="auto" w:sz="4" w:space="0"/>
              <w:bottom w:val="single" w:color="auto" w:sz="4" w:space="0"/>
              <w:right w:val="single" w:color="auto" w:sz="4" w:space="0"/>
            </w:tcBorders>
            <w:noWrap w:val="0"/>
            <w:vAlign w:val="center"/>
          </w:tcPr>
          <w:p w14:paraId="4BC69489">
            <w:pPr>
              <w:widowControl/>
              <w:jc w:val="left"/>
              <w:textAlignment w:val="bottom"/>
              <w:rPr>
                <w:rFonts w:hint="eastAsia" w:ascii="宋体" w:hAnsi="宋体" w:eastAsia="宋体" w:cs="宋体"/>
                <w:sz w:val="24"/>
                <w:highlight w:val="none"/>
                <w:lang w:val="en-US" w:eastAsia="zh-Hans"/>
              </w:rPr>
            </w:pPr>
            <w:r>
              <w:rPr>
                <w:rFonts w:hint="eastAsia" w:ascii="宋体" w:hAnsi="宋体" w:eastAsia="宋体" w:cs="宋体"/>
                <w:sz w:val="24"/>
                <w:highlight w:val="none"/>
                <w:lang w:val="en-US" w:eastAsia="zh-CN"/>
              </w:rPr>
              <w:t>根据供应商提供的安全保证措施是否具有可靠性和周密性、合理可行性，由评委在分值范围内打分。（分值：5.0、4.5、4.0、3.5、3.0、2.5、2.0、1.5、1.0、0.5、0）</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720776A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p>
        </w:tc>
      </w:tr>
      <w:tr w14:paraId="21B8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tcBorders>
              <w:left w:val="single" w:color="auto" w:sz="4" w:space="0"/>
              <w:bottom w:val="single" w:color="auto" w:sz="4" w:space="0"/>
              <w:right w:val="single" w:color="auto" w:sz="4" w:space="0"/>
            </w:tcBorders>
            <w:noWrap w:val="0"/>
            <w:vAlign w:val="center"/>
          </w:tcPr>
          <w:p w14:paraId="6796015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6</w:t>
            </w:r>
          </w:p>
        </w:tc>
        <w:tc>
          <w:tcPr>
            <w:tcW w:w="818" w:type="dxa"/>
            <w:vMerge w:val="continue"/>
            <w:tcBorders>
              <w:left w:val="single" w:color="auto" w:sz="4" w:space="0"/>
              <w:right w:val="single" w:color="auto" w:sz="4" w:space="0"/>
            </w:tcBorders>
            <w:noWrap w:val="0"/>
            <w:vAlign w:val="center"/>
          </w:tcPr>
          <w:p w14:paraId="19AE04FA">
            <w:pPr>
              <w:keepNext w:val="0"/>
              <w:keepLines w:val="0"/>
              <w:pageBreakBefore w:val="0"/>
              <w:widowControl/>
              <w:kinsoku/>
              <w:wordWrap/>
              <w:overflowPunct/>
              <w:topLinePunct w:val="0"/>
              <w:autoSpaceDE/>
              <w:autoSpaceDN/>
              <w:bidi w:val="0"/>
              <w:adjustRightInd/>
              <w:snapToGrid/>
              <w:spacing w:line="300" w:lineRule="exact"/>
              <w:ind w:left="0" w:leftChars="0"/>
              <w:jc w:val="left"/>
              <w:textAlignment w:val="auto"/>
              <w:rPr>
                <w:rFonts w:hint="eastAsia" w:ascii="宋体" w:hAnsi="宋体" w:eastAsia="宋体" w:cs="宋体"/>
                <w:i w:val="0"/>
                <w:iCs w:val="0"/>
                <w:color w:val="auto"/>
                <w:sz w:val="24"/>
                <w:szCs w:val="24"/>
                <w:highlight w:val="none"/>
              </w:rPr>
            </w:pPr>
          </w:p>
        </w:tc>
        <w:tc>
          <w:tcPr>
            <w:tcW w:w="1012" w:type="dxa"/>
            <w:tcBorders>
              <w:left w:val="single" w:color="auto" w:sz="4" w:space="0"/>
              <w:bottom w:val="single" w:color="auto" w:sz="4" w:space="0"/>
              <w:right w:val="single" w:color="auto" w:sz="4" w:space="0"/>
            </w:tcBorders>
            <w:noWrap w:val="0"/>
            <w:vAlign w:val="center"/>
          </w:tcPr>
          <w:p w14:paraId="0AC02E64">
            <w:pPr>
              <w:snapToGrid w:val="0"/>
              <w:jc w:val="center"/>
              <w:rPr>
                <w:rFonts w:hint="eastAsia" w:ascii="宋体" w:hAnsi="宋体" w:eastAsia="宋体" w:cs="宋体"/>
                <w:b/>
                <w:bCs/>
                <w:color w:val="auto"/>
                <w:sz w:val="24"/>
                <w:szCs w:val="24"/>
                <w:highlight w:val="none"/>
                <w:lang w:val="zh-TW" w:eastAsia="zh-TW"/>
              </w:rPr>
            </w:pPr>
            <w:r>
              <w:rPr>
                <w:rFonts w:hint="eastAsia" w:ascii="宋体" w:hAnsi="宋体" w:eastAsia="宋体" w:cs="宋体"/>
                <w:b/>
                <w:sz w:val="24"/>
                <w:szCs w:val="24"/>
                <w:highlight w:val="none"/>
              </w:rPr>
              <w:t>进度计划</w:t>
            </w:r>
          </w:p>
        </w:tc>
        <w:tc>
          <w:tcPr>
            <w:tcW w:w="5288" w:type="dxa"/>
            <w:tcBorders>
              <w:top w:val="single" w:color="auto" w:sz="4" w:space="0"/>
              <w:left w:val="single" w:color="auto" w:sz="4" w:space="0"/>
              <w:bottom w:val="single" w:color="auto" w:sz="4" w:space="0"/>
              <w:right w:val="single" w:color="auto" w:sz="4" w:space="0"/>
            </w:tcBorders>
            <w:noWrap w:val="0"/>
            <w:vAlign w:val="top"/>
          </w:tcPr>
          <w:p w14:paraId="02BE0A0F">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Hans"/>
              </w:rPr>
              <w:t>根据供应商提供针对本项目制定的工期承诺和工期保证措施是否具体、详细、可行，有利于项目实施的情况，</w:t>
            </w:r>
            <w:r>
              <w:rPr>
                <w:rFonts w:hint="eastAsia" w:ascii="宋体" w:hAnsi="宋体" w:eastAsia="宋体" w:cs="宋体"/>
                <w:sz w:val="24"/>
                <w:highlight w:val="none"/>
                <w:lang w:val="en-US" w:eastAsia="zh-CN"/>
              </w:rPr>
              <w:t>由评委在分值</w:t>
            </w:r>
            <w:r>
              <w:rPr>
                <w:rFonts w:hint="eastAsia" w:ascii="宋体" w:hAnsi="宋体" w:eastAsia="宋体" w:cs="宋体"/>
                <w:sz w:val="24"/>
                <w:szCs w:val="24"/>
                <w:highlight w:val="none"/>
                <w:lang w:val="en-US" w:eastAsia="zh-CN"/>
              </w:rPr>
              <w:t>范围内打分。</w:t>
            </w:r>
            <w:r>
              <w:rPr>
                <w:rFonts w:hint="eastAsia" w:ascii="宋体" w:hAnsi="宋体" w:eastAsia="宋体" w:cs="宋体"/>
                <w:sz w:val="24"/>
                <w:szCs w:val="24"/>
                <w:highlight w:val="none"/>
                <w:lang w:eastAsia="zh-Hans"/>
              </w:rPr>
              <w:t>（分值：</w:t>
            </w:r>
            <w:r>
              <w:rPr>
                <w:rFonts w:hint="eastAsia" w:ascii="宋体" w:hAnsi="宋体" w:eastAsia="宋体" w:cs="宋体"/>
                <w:sz w:val="24"/>
                <w:szCs w:val="24"/>
                <w:highlight w:val="none"/>
                <w:lang w:val="en-US" w:eastAsia="zh-CN"/>
              </w:rPr>
              <w:t>4.0、3.5、3.0、2.5、2.0、1.5、1.0、0.5、0</w:t>
            </w:r>
            <w:r>
              <w:rPr>
                <w:rFonts w:hint="eastAsia" w:ascii="宋体" w:hAnsi="宋体" w:eastAsia="宋体" w:cs="宋体"/>
                <w:sz w:val="24"/>
                <w:szCs w:val="24"/>
                <w:highlight w:val="none"/>
                <w:lang w:eastAsia="zh-Hans"/>
              </w:rPr>
              <w:t>）</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31A4E2F1">
            <w:pPr>
              <w:jc w:val="center"/>
              <w:rPr>
                <w:rFonts w:hint="eastAsia" w:ascii="宋体" w:hAnsi="宋体" w:eastAsia="宋体" w:cs="宋体"/>
                <w:i w:val="0"/>
                <w:iCs w:val="0"/>
                <w:color w:val="auto"/>
                <w:sz w:val="24"/>
                <w:szCs w:val="24"/>
                <w:highlight w:val="none"/>
              </w:rPr>
            </w:pPr>
            <w:r>
              <w:rPr>
                <w:rFonts w:hint="eastAsia" w:ascii="宋体" w:hAnsi="宋体" w:eastAsia="宋体" w:cs="宋体"/>
                <w:sz w:val="24"/>
                <w:szCs w:val="24"/>
                <w:highlight w:val="none"/>
                <w:lang w:val="en-US" w:eastAsia="zh-CN"/>
              </w:rPr>
              <w:t>4</w:t>
            </w:r>
          </w:p>
        </w:tc>
      </w:tr>
      <w:tr w14:paraId="7672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tcBorders>
              <w:top w:val="single" w:color="auto" w:sz="4" w:space="0"/>
              <w:left w:val="single" w:color="auto" w:sz="4" w:space="0"/>
              <w:bottom w:val="single" w:color="auto" w:sz="4" w:space="0"/>
              <w:right w:val="single" w:color="auto" w:sz="4" w:space="0"/>
            </w:tcBorders>
            <w:noWrap w:val="0"/>
            <w:vAlign w:val="center"/>
          </w:tcPr>
          <w:p w14:paraId="1214CBB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7</w:t>
            </w:r>
          </w:p>
        </w:tc>
        <w:tc>
          <w:tcPr>
            <w:tcW w:w="818" w:type="dxa"/>
            <w:vMerge w:val="continue"/>
            <w:tcBorders>
              <w:left w:val="single" w:color="auto" w:sz="4" w:space="0"/>
              <w:right w:val="single" w:color="auto" w:sz="4" w:space="0"/>
            </w:tcBorders>
            <w:noWrap w:val="0"/>
            <w:vAlign w:val="center"/>
          </w:tcPr>
          <w:p w14:paraId="71390C01">
            <w:pPr>
              <w:keepNext w:val="0"/>
              <w:keepLines w:val="0"/>
              <w:pageBreakBefore w:val="0"/>
              <w:widowControl/>
              <w:kinsoku/>
              <w:wordWrap/>
              <w:overflowPunct/>
              <w:topLinePunct w:val="0"/>
              <w:autoSpaceDE/>
              <w:autoSpaceDN/>
              <w:bidi w:val="0"/>
              <w:adjustRightInd/>
              <w:snapToGrid/>
              <w:spacing w:line="300" w:lineRule="exact"/>
              <w:ind w:left="0" w:leftChars="0"/>
              <w:jc w:val="left"/>
              <w:textAlignment w:val="auto"/>
              <w:rPr>
                <w:rFonts w:hint="eastAsia" w:ascii="宋体" w:hAnsi="宋体" w:eastAsia="宋体" w:cs="宋体"/>
                <w:i w:val="0"/>
                <w:iCs w:val="0"/>
                <w:color w:val="auto"/>
                <w:sz w:val="24"/>
                <w:szCs w:val="24"/>
                <w:highlight w:val="none"/>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571E0808">
            <w:pPr>
              <w:widowControl/>
              <w:jc w:val="center"/>
              <w:rPr>
                <w:rFonts w:hint="eastAsia" w:ascii="宋体" w:hAnsi="宋体" w:eastAsia="宋体" w:cs="宋体"/>
                <w:b/>
                <w:bCs/>
                <w:i w:val="0"/>
                <w:iCs w:val="0"/>
                <w:color w:val="auto"/>
                <w:sz w:val="24"/>
                <w:szCs w:val="24"/>
                <w:highlight w:val="none"/>
              </w:rPr>
            </w:pPr>
            <w:r>
              <w:rPr>
                <w:rFonts w:hint="eastAsia" w:ascii="宋体" w:hAnsi="宋体" w:eastAsia="宋体" w:cs="宋体"/>
                <w:b/>
                <w:sz w:val="24"/>
                <w:szCs w:val="24"/>
                <w:highlight w:val="none"/>
              </w:rPr>
              <w:t>样品</w:t>
            </w:r>
          </w:p>
        </w:tc>
        <w:tc>
          <w:tcPr>
            <w:tcW w:w="5288" w:type="dxa"/>
            <w:tcBorders>
              <w:top w:val="single" w:color="auto" w:sz="4" w:space="0"/>
              <w:left w:val="single" w:color="auto" w:sz="4" w:space="0"/>
              <w:bottom w:val="single" w:color="auto" w:sz="4" w:space="0"/>
              <w:right w:val="single" w:color="auto" w:sz="4" w:space="0"/>
            </w:tcBorders>
            <w:noWrap w:val="0"/>
            <w:vAlign w:val="center"/>
          </w:tcPr>
          <w:p w14:paraId="77EA6A0F">
            <w:pPr>
              <w:spacing w:line="320" w:lineRule="exact"/>
              <w:jc w:val="left"/>
              <w:rPr>
                <w:rFonts w:hint="eastAsia" w:ascii="宋体" w:hAnsi="宋体" w:cs="宋体"/>
                <w:sz w:val="24"/>
                <w:highlight w:val="none"/>
              </w:rPr>
            </w:pPr>
            <w:r>
              <w:rPr>
                <w:rFonts w:hint="eastAsia" w:ascii="宋体" w:hAnsi="宋体" w:cs="宋体"/>
                <w:sz w:val="24"/>
                <w:highlight w:val="none"/>
              </w:rPr>
              <w:t>根据投标人提供的样品进行打分：</w:t>
            </w:r>
          </w:p>
          <w:p w14:paraId="49111F39">
            <w:pPr>
              <w:widowControl/>
              <w:jc w:val="left"/>
              <w:textAlignment w:val="center"/>
              <w:rPr>
                <w:rFonts w:hint="eastAsia" w:ascii="宋体" w:hAnsi="宋体" w:cs="宋体"/>
                <w:sz w:val="24"/>
                <w:highlight w:val="none"/>
              </w:rPr>
            </w:pPr>
            <w:r>
              <w:rPr>
                <w:rFonts w:hint="eastAsia" w:ascii="宋体" w:hAnsi="宋体" w:cs="宋体"/>
                <w:b/>
                <w:bCs/>
                <w:sz w:val="24"/>
                <w:highlight w:val="none"/>
              </w:rPr>
              <w:t>1.</w:t>
            </w:r>
            <w:r>
              <w:rPr>
                <w:rFonts w:hint="eastAsia" w:ascii="宋体" w:hAnsi="宋体" w:cs="宋体"/>
                <w:b/>
                <w:bCs/>
                <w:sz w:val="24"/>
                <w:highlight w:val="none"/>
                <w:lang w:val="en-US" w:eastAsia="zh-CN"/>
              </w:rPr>
              <w:t>电磁三门蒸柜</w:t>
            </w:r>
            <w:r>
              <w:rPr>
                <w:rFonts w:hint="eastAsia" w:ascii="宋体" w:hAnsi="宋体" w:cs="宋体"/>
                <w:b/>
                <w:bCs/>
                <w:sz w:val="24"/>
                <w:highlight w:val="none"/>
              </w:rPr>
              <w:t>（</w:t>
            </w:r>
            <w:r>
              <w:rPr>
                <w:rFonts w:hint="eastAsia" w:ascii="宋体" w:hAnsi="宋体" w:eastAsia="宋体" w:cs="宋体"/>
                <w:b/>
                <w:bCs/>
                <w:i w:val="0"/>
                <w:iCs w:val="0"/>
                <w:color w:val="000000"/>
                <w:kern w:val="0"/>
                <w:sz w:val="22"/>
                <w:szCs w:val="22"/>
                <w:highlight w:val="none"/>
                <w:u w:val="none"/>
                <w:lang w:val="en-US" w:eastAsia="zh-CN" w:bidi="ar"/>
              </w:rPr>
              <w:t>售菜区</w:t>
            </w:r>
            <w:r>
              <w:rPr>
                <w:rFonts w:hint="eastAsia" w:ascii="宋体" w:hAnsi="宋体" w:cs="宋体"/>
                <w:b/>
                <w:bCs/>
                <w:i w:val="0"/>
                <w:iCs w:val="0"/>
                <w:color w:val="000000"/>
                <w:kern w:val="0"/>
                <w:sz w:val="22"/>
                <w:szCs w:val="22"/>
                <w:highlight w:val="none"/>
                <w:u w:val="none"/>
                <w:lang w:val="en-US" w:eastAsia="zh-CN" w:bidi="ar"/>
              </w:rPr>
              <w:t>序号6</w:t>
            </w:r>
            <w:r>
              <w:rPr>
                <w:rFonts w:hint="eastAsia" w:ascii="宋体" w:hAnsi="宋体" w:cs="宋体"/>
                <w:b/>
                <w:bCs/>
                <w:sz w:val="24"/>
                <w:highlight w:val="none"/>
              </w:rPr>
              <w:t>）具体评分如下：</w:t>
            </w:r>
          </w:p>
          <w:p w14:paraId="286888D3">
            <w:pPr>
              <w:widowControl/>
              <w:jc w:val="left"/>
              <w:textAlignment w:val="center"/>
              <w:rPr>
                <w:rFonts w:ascii="宋体" w:hAnsi="宋体"/>
                <w:sz w:val="24"/>
                <w:highlight w:val="none"/>
              </w:rPr>
            </w:pPr>
            <w:r>
              <w:rPr>
                <w:rFonts w:hint="eastAsia" w:ascii="宋体" w:hAnsi="宋体"/>
                <w:sz w:val="24"/>
                <w:highlight w:val="none"/>
              </w:rPr>
              <w:t>1）外观搭配设计及功能设计：根据样品功能符合性、使用便利性、合理性等进行打分。（分值：1.5、1、0.5、0）</w:t>
            </w:r>
          </w:p>
          <w:p w14:paraId="3BD143BA">
            <w:pPr>
              <w:widowControl/>
              <w:jc w:val="left"/>
              <w:textAlignment w:val="center"/>
              <w:rPr>
                <w:rFonts w:ascii="宋体" w:hAnsi="宋体"/>
                <w:sz w:val="24"/>
                <w:highlight w:val="none"/>
              </w:rPr>
            </w:pPr>
            <w:r>
              <w:rPr>
                <w:rFonts w:hint="eastAsia" w:ascii="宋体" w:hAnsi="宋体"/>
                <w:sz w:val="24"/>
                <w:highlight w:val="none"/>
              </w:rPr>
              <w:t>2）质量评价：根据样品做工精细程度、制作工艺、表面光洁，牢固程度等进行打分。（分值：</w:t>
            </w:r>
            <w:r>
              <w:rPr>
                <w:rFonts w:hint="eastAsia" w:ascii="宋体" w:hAnsi="宋体"/>
                <w:sz w:val="24"/>
                <w:highlight w:val="none"/>
                <w:lang w:val="en-US" w:eastAsia="zh-CN"/>
              </w:rPr>
              <w:t>2、</w:t>
            </w:r>
            <w:r>
              <w:rPr>
                <w:rFonts w:hint="eastAsia" w:ascii="宋体" w:hAnsi="宋体"/>
                <w:sz w:val="24"/>
                <w:highlight w:val="none"/>
              </w:rPr>
              <w:t>1.5、1、0.5、0）</w:t>
            </w:r>
          </w:p>
          <w:p w14:paraId="5D528053">
            <w:pPr>
              <w:widowControl/>
              <w:jc w:val="left"/>
              <w:textAlignment w:val="center"/>
              <w:rPr>
                <w:rFonts w:hint="eastAsia" w:ascii="宋体" w:hAnsi="宋体" w:cs="宋体"/>
                <w:sz w:val="24"/>
                <w:highlight w:val="none"/>
              </w:rPr>
            </w:pPr>
            <w:r>
              <w:rPr>
                <w:rFonts w:hint="eastAsia" w:ascii="宋体" w:hAnsi="宋体"/>
                <w:sz w:val="24"/>
                <w:highlight w:val="none"/>
              </w:rPr>
              <w:t>3）规格/材质比较：根据样品参考规格符合性、所选用材感官质量等进行打分。（分值：1.5、1、0.5、0）</w:t>
            </w:r>
          </w:p>
          <w:p w14:paraId="664E92EE">
            <w:pPr>
              <w:jc w:val="left"/>
              <w:rPr>
                <w:rFonts w:hint="eastAsia" w:ascii="宋体" w:hAnsi="宋体"/>
                <w:sz w:val="24"/>
                <w:highlight w:val="none"/>
              </w:rPr>
            </w:pPr>
            <w:r>
              <w:rPr>
                <w:rFonts w:hint="eastAsia" w:ascii="宋体" w:hAnsi="宋体" w:cs="宋体"/>
                <w:b/>
                <w:bCs/>
                <w:sz w:val="24"/>
                <w:highlight w:val="none"/>
              </w:rPr>
              <w:t>2</w:t>
            </w:r>
            <w:r>
              <w:rPr>
                <w:rFonts w:hint="eastAsia" w:ascii="宋体" w:hAnsi="宋体" w:cs="宋体"/>
                <w:b/>
                <w:bCs/>
                <w:sz w:val="24"/>
                <w:highlight w:val="none"/>
                <w:lang w:val="en-US" w:eastAsia="zh-CN"/>
              </w:rPr>
              <w:t>.电磁双头大锅灶</w:t>
            </w:r>
            <w:r>
              <w:rPr>
                <w:rFonts w:hint="eastAsia" w:ascii="宋体" w:hAnsi="宋体" w:cs="宋体"/>
                <w:b/>
                <w:bCs/>
                <w:sz w:val="24"/>
                <w:highlight w:val="none"/>
              </w:rPr>
              <w:t>（</w:t>
            </w:r>
            <w:r>
              <w:rPr>
                <w:rFonts w:hint="eastAsia" w:ascii="宋体" w:hAnsi="宋体" w:eastAsia="宋体" w:cs="宋体"/>
                <w:b/>
                <w:bCs/>
                <w:i w:val="0"/>
                <w:iCs w:val="0"/>
                <w:color w:val="000000"/>
                <w:kern w:val="0"/>
                <w:sz w:val="22"/>
                <w:szCs w:val="22"/>
                <w:highlight w:val="none"/>
                <w:u w:val="none"/>
                <w:lang w:val="en-US" w:eastAsia="zh-CN" w:bidi="ar"/>
              </w:rPr>
              <w:t>热加工间</w:t>
            </w:r>
            <w:r>
              <w:rPr>
                <w:rFonts w:hint="eastAsia" w:ascii="宋体" w:hAnsi="宋体" w:cs="宋体"/>
                <w:b/>
                <w:bCs/>
                <w:i w:val="0"/>
                <w:iCs w:val="0"/>
                <w:color w:val="000000"/>
                <w:kern w:val="0"/>
                <w:sz w:val="22"/>
                <w:szCs w:val="22"/>
                <w:highlight w:val="none"/>
                <w:u w:val="none"/>
                <w:lang w:val="en-US" w:eastAsia="zh-CN" w:bidi="ar"/>
              </w:rPr>
              <w:t>序号1</w:t>
            </w:r>
            <w:r>
              <w:rPr>
                <w:rFonts w:hint="eastAsia" w:ascii="宋体" w:hAnsi="宋体" w:cs="宋体"/>
                <w:b/>
                <w:bCs/>
                <w:sz w:val="24"/>
                <w:highlight w:val="none"/>
              </w:rPr>
              <w:t>）具体评分如下：</w:t>
            </w:r>
          </w:p>
          <w:p w14:paraId="50C499DA">
            <w:pPr>
              <w:widowControl/>
              <w:jc w:val="left"/>
              <w:textAlignment w:val="center"/>
              <w:rPr>
                <w:rFonts w:ascii="宋体" w:hAnsi="宋体"/>
                <w:sz w:val="24"/>
                <w:highlight w:val="none"/>
              </w:rPr>
            </w:pPr>
            <w:r>
              <w:rPr>
                <w:rFonts w:hint="eastAsia" w:ascii="宋体" w:hAnsi="宋体"/>
                <w:sz w:val="24"/>
                <w:highlight w:val="none"/>
              </w:rPr>
              <w:t>1）外观搭配设计及功能设计：根据样品功能符合性、使用便利性、合理性等进行打分。（分值：1.5、1、0.5、0）</w:t>
            </w:r>
          </w:p>
          <w:p w14:paraId="29E3A7EC">
            <w:pPr>
              <w:widowControl/>
              <w:jc w:val="left"/>
              <w:textAlignment w:val="center"/>
              <w:rPr>
                <w:rFonts w:ascii="宋体" w:hAnsi="宋体"/>
                <w:sz w:val="24"/>
                <w:highlight w:val="none"/>
              </w:rPr>
            </w:pPr>
            <w:r>
              <w:rPr>
                <w:rFonts w:hint="eastAsia" w:ascii="宋体" w:hAnsi="宋体"/>
                <w:sz w:val="24"/>
                <w:highlight w:val="none"/>
              </w:rPr>
              <w:t>2）质量评价：根据样品做工精细程度、制作工艺、表面光洁，牢固程度等进行打分。（分值：</w:t>
            </w:r>
            <w:r>
              <w:rPr>
                <w:rFonts w:hint="eastAsia" w:ascii="宋体" w:hAnsi="宋体"/>
                <w:sz w:val="24"/>
                <w:highlight w:val="none"/>
                <w:lang w:val="en-US" w:eastAsia="zh-CN"/>
              </w:rPr>
              <w:t>2、</w:t>
            </w:r>
            <w:r>
              <w:rPr>
                <w:rFonts w:hint="eastAsia" w:ascii="宋体" w:hAnsi="宋体"/>
                <w:sz w:val="24"/>
                <w:highlight w:val="none"/>
              </w:rPr>
              <w:t>1.5、1、0.5、0）</w:t>
            </w:r>
          </w:p>
          <w:p w14:paraId="03523155">
            <w:pPr>
              <w:widowControl/>
              <w:jc w:val="left"/>
              <w:textAlignment w:val="center"/>
              <w:rPr>
                <w:rFonts w:hint="eastAsia" w:ascii="宋体" w:hAnsi="宋体" w:cs="宋体"/>
                <w:sz w:val="24"/>
                <w:highlight w:val="none"/>
              </w:rPr>
            </w:pPr>
            <w:r>
              <w:rPr>
                <w:rFonts w:hint="eastAsia" w:ascii="宋体" w:hAnsi="宋体"/>
                <w:sz w:val="24"/>
                <w:highlight w:val="none"/>
              </w:rPr>
              <w:t>3）规格/材质比较：根据样品参考规格符合性、所选用材感官质量等进行打分。（分值：1.5、1、0.5、0）</w:t>
            </w:r>
          </w:p>
          <w:p w14:paraId="43F7510A">
            <w:pPr>
              <w:jc w:val="left"/>
              <w:rPr>
                <w:rFonts w:hint="eastAsia" w:ascii="宋体" w:hAnsi="宋体"/>
                <w:sz w:val="24"/>
                <w:highlight w:val="none"/>
              </w:rPr>
            </w:pPr>
            <w:bookmarkStart w:id="751" w:name="_GoBack"/>
            <w:r>
              <w:rPr>
                <w:rFonts w:hint="eastAsia" w:ascii="宋体" w:hAnsi="宋体" w:cs="宋体"/>
                <w:b/>
                <w:bCs/>
                <w:sz w:val="24"/>
                <w:highlight w:val="none"/>
              </w:rPr>
              <w:t>3</w:t>
            </w:r>
            <w:r>
              <w:rPr>
                <w:rFonts w:hint="eastAsia" w:ascii="宋体" w:hAnsi="宋体" w:cs="宋体"/>
                <w:b/>
                <w:bCs/>
                <w:sz w:val="24"/>
                <w:highlight w:val="none"/>
                <w:lang w:val="en-US" w:eastAsia="zh-CN"/>
              </w:rPr>
              <w:t>.平冷工作台（</w:t>
            </w:r>
            <w:r>
              <w:rPr>
                <w:rFonts w:hint="eastAsia" w:ascii="宋体" w:hAnsi="宋体" w:eastAsia="宋体" w:cs="宋体"/>
                <w:b/>
                <w:bCs/>
                <w:i w:val="0"/>
                <w:iCs w:val="0"/>
                <w:color w:val="000000"/>
                <w:kern w:val="0"/>
                <w:sz w:val="22"/>
                <w:szCs w:val="22"/>
                <w:highlight w:val="none"/>
                <w:u w:val="none"/>
                <w:lang w:val="en-US" w:eastAsia="zh-CN" w:bidi="ar"/>
              </w:rPr>
              <w:t>热加工间</w:t>
            </w:r>
            <w:r>
              <w:rPr>
                <w:rFonts w:hint="eastAsia" w:ascii="宋体" w:hAnsi="宋体" w:cs="宋体"/>
                <w:b/>
                <w:bCs/>
                <w:i w:val="0"/>
                <w:iCs w:val="0"/>
                <w:color w:val="000000"/>
                <w:kern w:val="0"/>
                <w:sz w:val="22"/>
                <w:szCs w:val="22"/>
                <w:highlight w:val="none"/>
                <w:u w:val="none"/>
                <w:lang w:val="en-US" w:eastAsia="zh-CN" w:bidi="ar"/>
              </w:rPr>
              <w:t>序号4</w:t>
            </w:r>
            <w:r>
              <w:rPr>
                <w:rFonts w:hint="eastAsia" w:ascii="宋体" w:hAnsi="宋体" w:cs="宋体"/>
                <w:b/>
                <w:bCs/>
                <w:sz w:val="24"/>
                <w:highlight w:val="none"/>
              </w:rPr>
              <w:t>）具体评分如下：</w:t>
            </w:r>
          </w:p>
          <w:p w14:paraId="52A21979">
            <w:pPr>
              <w:widowControl/>
              <w:jc w:val="left"/>
              <w:textAlignment w:val="center"/>
              <w:rPr>
                <w:rFonts w:ascii="宋体" w:hAnsi="宋体"/>
                <w:sz w:val="24"/>
                <w:highlight w:val="none"/>
              </w:rPr>
            </w:pPr>
            <w:r>
              <w:rPr>
                <w:rFonts w:hint="eastAsia" w:ascii="宋体" w:hAnsi="宋体"/>
                <w:sz w:val="24"/>
                <w:highlight w:val="none"/>
              </w:rPr>
              <w:t>1）外观搭配设计及功能设计：根据样品功能符合性、使用便利性、合理性等进行打分。（分值：1.5、1、0.5、0）</w:t>
            </w:r>
          </w:p>
          <w:p w14:paraId="36FE75AE">
            <w:pPr>
              <w:widowControl/>
              <w:jc w:val="left"/>
              <w:textAlignment w:val="center"/>
              <w:rPr>
                <w:rFonts w:ascii="宋体" w:hAnsi="宋体"/>
                <w:sz w:val="24"/>
                <w:highlight w:val="none"/>
              </w:rPr>
            </w:pPr>
            <w:r>
              <w:rPr>
                <w:rFonts w:hint="eastAsia" w:ascii="宋体" w:hAnsi="宋体"/>
                <w:sz w:val="24"/>
                <w:highlight w:val="none"/>
              </w:rPr>
              <w:t>2）质量评价：根据样品做工精细程度、制作工艺、表面光洁，牢固程度等进行打分。（分值：</w:t>
            </w:r>
            <w:r>
              <w:rPr>
                <w:rFonts w:hint="eastAsia" w:ascii="宋体" w:hAnsi="宋体"/>
                <w:sz w:val="24"/>
                <w:highlight w:val="none"/>
                <w:lang w:val="en-US" w:eastAsia="zh-CN"/>
              </w:rPr>
              <w:t>2、</w:t>
            </w:r>
            <w:r>
              <w:rPr>
                <w:rFonts w:hint="eastAsia" w:ascii="宋体" w:hAnsi="宋体"/>
                <w:sz w:val="24"/>
                <w:highlight w:val="none"/>
              </w:rPr>
              <w:t>1.5、1、0.5、0）</w:t>
            </w:r>
          </w:p>
          <w:p w14:paraId="3AEB25D7">
            <w:pPr>
              <w:widowControl/>
              <w:jc w:val="left"/>
              <w:textAlignment w:val="center"/>
              <w:rPr>
                <w:rFonts w:hint="eastAsia"/>
                <w:highlight w:val="none"/>
              </w:rPr>
            </w:pPr>
            <w:r>
              <w:rPr>
                <w:rFonts w:hint="eastAsia" w:ascii="宋体" w:hAnsi="宋体"/>
                <w:sz w:val="24"/>
                <w:highlight w:val="none"/>
              </w:rPr>
              <w:t>3）规格/材质比较：根据样品参考规格符合性、所选用材感官质量等进行打分。（分值：1.5、1、0.5、0）</w:t>
            </w:r>
          </w:p>
          <w:p w14:paraId="4A0A476D">
            <w:pPr>
              <w:widowControl/>
              <w:textAlignment w:val="center"/>
              <w:rPr>
                <w:rFonts w:hint="eastAsia" w:ascii="宋体" w:hAnsi="宋体" w:eastAsia="宋体" w:cs="宋体"/>
                <w:sz w:val="24"/>
                <w:szCs w:val="24"/>
                <w:highlight w:val="none"/>
                <w:lang w:val="en-US" w:eastAsia="zh-CN"/>
              </w:rPr>
            </w:pPr>
            <w:r>
              <w:rPr>
                <w:rFonts w:hint="eastAsia" w:ascii="宋体" w:hAnsi="宋体" w:cs="宋体"/>
                <w:sz w:val="24"/>
                <w:highlight w:val="none"/>
              </w:rPr>
              <w:t>注：未按招标文件要求提供样品或样品提供不全的，样品分为0分。</w:t>
            </w:r>
            <w:bookmarkEnd w:id="751"/>
          </w:p>
        </w:tc>
        <w:tc>
          <w:tcPr>
            <w:tcW w:w="819" w:type="dxa"/>
            <w:tcBorders>
              <w:top w:val="single" w:color="auto" w:sz="4" w:space="0"/>
              <w:left w:val="single" w:color="auto" w:sz="4" w:space="0"/>
              <w:bottom w:val="single" w:color="auto" w:sz="4" w:space="0"/>
              <w:right w:val="single" w:color="auto" w:sz="4" w:space="0"/>
            </w:tcBorders>
            <w:noWrap w:val="0"/>
            <w:vAlign w:val="center"/>
          </w:tcPr>
          <w:p w14:paraId="7617C02B">
            <w:pPr>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sz w:val="24"/>
                <w:szCs w:val="24"/>
                <w:highlight w:val="none"/>
              </w:rPr>
              <w:t>15</w:t>
            </w:r>
          </w:p>
        </w:tc>
      </w:tr>
      <w:tr w14:paraId="0980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vMerge w:val="restart"/>
            <w:tcBorders>
              <w:top w:val="single" w:color="auto" w:sz="4" w:space="0"/>
              <w:left w:val="single" w:color="auto" w:sz="4" w:space="0"/>
              <w:right w:val="single" w:color="auto" w:sz="4" w:space="0"/>
            </w:tcBorders>
            <w:noWrap w:val="0"/>
            <w:vAlign w:val="center"/>
          </w:tcPr>
          <w:p w14:paraId="50EA63F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8</w:t>
            </w:r>
          </w:p>
        </w:tc>
        <w:tc>
          <w:tcPr>
            <w:tcW w:w="818" w:type="dxa"/>
            <w:vMerge w:val="continue"/>
            <w:tcBorders>
              <w:left w:val="single" w:color="auto" w:sz="4" w:space="0"/>
              <w:right w:val="single" w:color="auto" w:sz="4" w:space="0"/>
            </w:tcBorders>
            <w:noWrap w:val="0"/>
            <w:vAlign w:val="center"/>
          </w:tcPr>
          <w:p w14:paraId="015A1CB5">
            <w:pPr>
              <w:keepNext w:val="0"/>
              <w:keepLines w:val="0"/>
              <w:pageBreakBefore w:val="0"/>
              <w:widowControl/>
              <w:kinsoku/>
              <w:wordWrap/>
              <w:overflowPunct/>
              <w:topLinePunct w:val="0"/>
              <w:autoSpaceDE/>
              <w:autoSpaceDN/>
              <w:bidi w:val="0"/>
              <w:adjustRightInd/>
              <w:snapToGrid/>
              <w:spacing w:line="300" w:lineRule="exact"/>
              <w:ind w:left="0" w:leftChars="0"/>
              <w:jc w:val="left"/>
              <w:textAlignment w:val="auto"/>
              <w:rPr>
                <w:rFonts w:hint="eastAsia" w:ascii="宋体" w:hAnsi="宋体" w:eastAsia="宋体" w:cs="宋体"/>
                <w:i w:val="0"/>
                <w:iCs w:val="0"/>
                <w:color w:val="auto"/>
                <w:sz w:val="24"/>
                <w:szCs w:val="24"/>
                <w:highlight w:val="none"/>
              </w:rPr>
            </w:pPr>
          </w:p>
        </w:tc>
        <w:tc>
          <w:tcPr>
            <w:tcW w:w="1012" w:type="dxa"/>
            <w:vMerge w:val="restart"/>
            <w:tcBorders>
              <w:top w:val="single" w:color="auto" w:sz="4" w:space="0"/>
              <w:left w:val="single" w:color="auto" w:sz="4" w:space="0"/>
              <w:right w:val="single" w:color="auto" w:sz="4" w:space="0"/>
            </w:tcBorders>
            <w:noWrap w:val="0"/>
            <w:vAlign w:val="center"/>
          </w:tcPr>
          <w:p w14:paraId="213A7BFE">
            <w:pPr>
              <w:widowControl/>
              <w:jc w:val="center"/>
              <w:rPr>
                <w:rFonts w:hint="eastAsia" w:ascii="宋体" w:hAnsi="宋体" w:eastAsia="宋体" w:cs="宋体"/>
                <w:b/>
                <w:bCs/>
                <w:i w:val="0"/>
                <w:iCs w:val="0"/>
                <w:color w:val="auto"/>
                <w:sz w:val="24"/>
                <w:szCs w:val="24"/>
                <w:highlight w:val="none"/>
              </w:rPr>
            </w:pPr>
            <w:r>
              <w:rPr>
                <w:rFonts w:hint="eastAsia" w:ascii="宋体" w:hAnsi="宋体" w:eastAsia="宋体" w:cs="宋体"/>
                <w:b/>
                <w:sz w:val="24"/>
                <w:szCs w:val="24"/>
                <w:highlight w:val="none"/>
              </w:rPr>
              <w:t>售后服务</w:t>
            </w:r>
          </w:p>
        </w:tc>
        <w:tc>
          <w:tcPr>
            <w:tcW w:w="5288" w:type="dxa"/>
            <w:tcBorders>
              <w:top w:val="single" w:color="auto" w:sz="4" w:space="0"/>
              <w:left w:val="single" w:color="auto" w:sz="4" w:space="0"/>
              <w:bottom w:val="single" w:color="auto" w:sz="4" w:space="0"/>
              <w:right w:val="single" w:color="auto" w:sz="4" w:space="0"/>
            </w:tcBorders>
            <w:noWrap w:val="0"/>
            <w:vAlign w:val="center"/>
          </w:tcPr>
          <w:p w14:paraId="76581652">
            <w:pPr>
              <w:rPr>
                <w:rFonts w:hint="eastAsia" w:ascii="宋体" w:hAnsi="宋体" w:eastAsia="宋体" w:cs="宋体"/>
                <w:sz w:val="24"/>
                <w:szCs w:val="24"/>
                <w:highlight w:val="none"/>
                <w:lang w:val="en-US" w:eastAsia="zh-CN"/>
              </w:rPr>
            </w:pPr>
            <w:r>
              <w:rPr>
                <w:rFonts w:hint="eastAsia" w:ascii="宋体" w:hAnsi="宋体" w:eastAsia="宋体" w:cs="宋体"/>
                <w:bCs/>
                <w:sz w:val="24"/>
                <w:szCs w:val="24"/>
                <w:highlight w:val="none"/>
              </w:rPr>
              <w:t>根据供应商提供的售后服务方案，包括</w:t>
            </w:r>
            <w:r>
              <w:rPr>
                <w:rFonts w:hint="eastAsia" w:ascii="宋体" w:hAnsi="宋体" w:eastAsia="宋体" w:cs="宋体"/>
                <w:b/>
                <w:bCs/>
                <w:sz w:val="24"/>
                <w:szCs w:val="24"/>
                <w:highlight w:val="none"/>
              </w:rPr>
              <w:t>①售后技术服务承诺、设备维护承诺、质量承诺，②维护人员配备、</w:t>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 3 \* GB3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③</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t>维护响应时间及提供的后续技术支持</w:t>
            </w:r>
            <w:r>
              <w:rPr>
                <w:rFonts w:hint="eastAsia" w:ascii="宋体" w:hAnsi="宋体" w:eastAsia="宋体" w:cs="宋体"/>
                <w:bCs/>
                <w:sz w:val="24"/>
                <w:szCs w:val="24"/>
                <w:highlight w:val="none"/>
              </w:rPr>
              <w:t>，根据以上三项内容的全面合理性，以及措施的针对性，由评委进行打分</w:t>
            </w:r>
            <w:r>
              <w:rPr>
                <w:rFonts w:hint="eastAsia" w:ascii="宋体" w:hAnsi="宋体" w:eastAsia="宋体" w:cs="宋体"/>
                <w:sz w:val="24"/>
                <w:szCs w:val="24"/>
                <w:highlight w:val="none"/>
              </w:rPr>
              <w:t>。</w:t>
            </w:r>
            <w:r>
              <w:rPr>
                <w:rFonts w:hint="eastAsia" w:ascii="宋体" w:hAnsi="宋体" w:eastAsia="宋体" w:cs="宋体"/>
                <w:sz w:val="24"/>
                <w:highlight w:val="none"/>
              </w:rPr>
              <w:t>（分值：</w:t>
            </w:r>
            <w:r>
              <w:rPr>
                <w:rFonts w:hint="eastAsia" w:ascii="宋体" w:hAnsi="宋体" w:eastAsia="宋体" w:cs="宋体"/>
                <w:sz w:val="24"/>
                <w:highlight w:val="none"/>
                <w:lang w:val="en-US" w:eastAsia="zh-CN"/>
              </w:rPr>
              <w:t>5.0、4.5、4.0、3.5、3.0、2.5、2.0、1.5、1.0、0.5、0</w:t>
            </w:r>
            <w:r>
              <w:rPr>
                <w:rFonts w:hint="eastAsia" w:ascii="宋体" w:hAnsi="宋体" w:eastAsia="宋体" w:cs="宋体"/>
                <w:sz w:val="24"/>
                <w:highlight w:val="none"/>
              </w:rPr>
              <w:t>）</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4707076B">
            <w:pPr>
              <w:jc w:val="center"/>
              <w:rPr>
                <w:rFonts w:hint="eastAsia" w:ascii="宋体" w:hAnsi="宋体" w:eastAsia="宋体" w:cs="宋体"/>
                <w:i w:val="0"/>
                <w:iCs w:val="0"/>
                <w:color w:val="auto"/>
                <w:sz w:val="24"/>
                <w:szCs w:val="24"/>
                <w:highlight w:val="none"/>
              </w:rPr>
            </w:pPr>
            <w:r>
              <w:rPr>
                <w:rFonts w:hint="eastAsia" w:ascii="宋体" w:hAnsi="宋体" w:eastAsia="宋体" w:cs="宋体"/>
                <w:sz w:val="24"/>
                <w:szCs w:val="24"/>
                <w:highlight w:val="none"/>
                <w:lang w:val="en-US" w:eastAsia="zh-CN"/>
              </w:rPr>
              <w:t>5</w:t>
            </w:r>
          </w:p>
        </w:tc>
      </w:tr>
      <w:tr w14:paraId="0D89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vMerge w:val="continue"/>
            <w:tcBorders>
              <w:top w:val="single" w:color="auto" w:sz="4" w:space="0"/>
              <w:left w:val="single" w:color="auto" w:sz="4" w:space="0"/>
              <w:right w:val="single" w:color="auto" w:sz="4" w:space="0"/>
            </w:tcBorders>
            <w:noWrap w:val="0"/>
            <w:vAlign w:val="center"/>
          </w:tcPr>
          <w:p w14:paraId="02C0899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宋体" w:hAnsi="宋体" w:eastAsia="宋体" w:cs="宋体"/>
                <w:i w:val="0"/>
                <w:iCs w:val="0"/>
                <w:color w:val="auto"/>
                <w:sz w:val="24"/>
                <w:szCs w:val="24"/>
                <w:highlight w:val="none"/>
                <w:lang w:val="en-US" w:eastAsia="zh-CN"/>
              </w:rPr>
            </w:pPr>
          </w:p>
        </w:tc>
        <w:tc>
          <w:tcPr>
            <w:tcW w:w="818" w:type="dxa"/>
            <w:vMerge w:val="continue"/>
            <w:tcBorders>
              <w:left w:val="single" w:color="auto" w:sz="4" w:space="0"/>
              <w:right w:val="single" w:color="auto" w:sz="4" w:space="0"/>
            </w:tcBorders>
            <w:noWrap w:val="0"/>
            <w:vAlign w:val="center"/>
          </w:tcPr>
          <w:p w14:paraId="4EE654C6">
            <w:pPr>
              <w:keepNext w:val="0"/>
              <w:keepLines w:val="0"/>
              <w:pageBreakBefore w:val="0"/>
              <w:widowControl/>
              <w:kinsoku/>
              <w:wordWrap/>
              <w:overflowPunct/>
              <w:topLinePunct w:val="0"/>
              <w:autoSpaceDE/>
              <w:autoSpaceDN/>
              <w:bidi w:val="0"/>
              <w:adjustRightInd/>
              <w:snapToGrid/>
              <w:spacing w:line="300" w:lineRule="exact"/>
              <w:ind w:left="0" w:leftChars="0"/>
              <w:jc w:val="left"/>
              <w:textAlignment w:val="auto"/>
              <w:rPr>
                <w:rFonts w:hint="eastAsia" w:ascii="宋体" w:hAnsi="宋体" w:eastAsia="宋体" w:cs="宋体"/>
                <w:i w:val="0"/>
                <w:iCs w:val="0"/>
                <w:color w:val="auto"/>
                <w:sz w:val="24"/>
                <w:szCs w:val="24"/>
                <w:highlight w:val="none"/>
              </w:rPr>
            </w:pPr>
          </w:p>
        </w:tc>
        <w:tc>
          <w:tcPr>
            <w:tcW w:w="1012" w:type="dxa"/>
            <w:vMerge w:val="continue"/>
            <w:tcBorders>
              <w:top w:val="single" w:color="auto" w:sz="4" w:space="0"/>
              <w:left w:val="single" w:color="auto" w:sz="4" w:space="0"/>
              <w:right w:val="single" w:color="auto" w:sz="4" w:space="0"/>
            </w:tcBorders>
            <w:noWrap w:val="0"/>
            <w:vAlign w:val="center"/>
          </w:tcPr>
          <w:p w14:paraId="59363E24">
            <w:pPr>
              <w:jc w:val="center"/>
              <w:rPr>
                <w:rFonts w:hint="eastAsia" w:ascii="宋体" w:hAnsi="宋体" w:eastAsia="宋体" w:cs="宋体"/>
                <w:b/>
                <w:bCs/>
                <w:i w:val="0"/>
                <w:iCs w:val="0"/>
                <w:color w:val="auto"/>
                <w:sz w:val="24"/>
                <w:szCs w:val="24"/>
                <w:highlight w:val="none"/>
                <w:lang w:val="en-US" w:eastAsia="zh-CN"/>
              </w:rPr>
            </w:pPr>
          </w:p>
        </w:tc>
        <w:tc>
          <w:tcPr>
            <w:tcW w:w="5288" w:type="dxa"/>
            <w:tcBorders>
              <w:top w:val="single" w:color="auto" w:sz="4" w:space="0"/>
              <w:left w:val="single" w:color="auto" w:sz="4" w:space="0"/>
              <w:bottom w:val="single" w:color="auto" w:sz="4" w:space="0"/>
              <w:right w:val="single" w:color="auto" w:sz="4" w:space="0"/>
            </w:tcBorders>
            <w:noWrap w:val="0"/>
            <w:vAlign w:val="center"/>
          </w:tcPr>
          <w:p w14:paraId="09EA21FC">
            <w:pP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rPr>
              <w:t>根据供应商随设备提供零配件、易耗品是否满足采购需求，且是否确保设备的正常使用。配备齐全性、完整性的，由评委进行打分，最高得</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分。（分值：</w:t>
            </w:r>
            <w:r>
              <w:rPr>
                <w:rFonts w:hint="eastAsia" w:ascii="宋体" w:hAnsi="宋体" w:eastAsia="宋体" w:cs="宋体"/>
                <w:bCs/>
                <w:sz w:val="24"/>
                <w:szCs w:val="24"/>
                <w:highlight w:val="none"/>
                <w:lang w:val="en-US" w:eastAsia="zh-CN"/>
              </w:rPr>
              <w:t>3.0、2.5、2.0、1.5、1.0、0.5、0</w:t>
            </w:r>
            <w:r>
              <w:rPr>
                <w:rFonts w:hint="eastAsia" w:ascii="宋体" w:hAnsi="宋体" w:eastAsia="宋体" w:cs="宋体"/>
                <w:bCs/>
                <w:sz w:val="24"/>
                <w:szCs w:val="24"/>
                <w:highlight w:val="none"/>
              </w:rPr>
              <w:t>）</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0F4E322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p>
        </w:tc>
      </w:tr>
      <w:tr w14:paraId="0A12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49" w:type="dxa"/>
            <w:vMerge w:val="continue"/>
            <w:tcBorders>
              <w:left w:val="single" w:color="auto" w:sz="4" w:space="0"/>
              <w:right w:val="single" w:color="auto" w:sz="4" w:space="0"/>
            </w:tcBorders>
            <w:noWrap w:val="0"/>
            <w:vAlign w:val="center"/>
          </w:tcPr>
          <w:p w14:paraId="227B464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i w:val="0"/>
                <w:iCs w:val="0"/>
                <w:color w:val="auto"/>
                <w:sz w:val="24"/>
                <w:szCs w:val="24"/>
                <w:highlight w:val="none"/>
                <w:lang w:val="en-US" w:eastAsia="zh-CN"/>
              </w:rPr>
            </w:pPr>
          </w:p>
        </w:tc>
        <w:tc>
          <w:tcPr>
            <w:tcW w:w="818" w:type="dxa"/>
            <w:vMerge w:val="continue"/>
            <w:tcBorders>
              <w:left w:val="single" w:color="auto" w:sz="4" w:space="0"/>
              <w:right w:val="single" w:color="auto" w:sz="4" w:space="0"/>
            </w:tcBorders>
            <w:noWrap w:val="0"/>
            <w:vAlign w:val="center"/>
          </w:tcPr>
          <w:p w14:paraId="7D6A724A">
            <w:pPr>
              <w:keepNext w:val="0"/>
              <w:keepLines w:val="0"/>
              <w:pageBreakBefore w:val="0"/>
              <w:widowControl/>
              <w:kinsoku/>
              <w:wordWrap/>
              <w:overflowPunct/>
              <w:topLinePunct w:val="0"/>
              <w:autoSpaceDE/>
              <w:autoSpaceDN/>
              <w:bidi w:val="0"/>
              <w:adjustRightInd/>
              <w:snapToGrid/>
              <w:spacing w:line="300" w:lineRule="exact"/>
              <w:ind w:left="0" w:leftChars="0"/>
              <w:jc w:val="left"/>
              <w:textAlignment w:val="auto"/>
              <w:rPr>
                <w:rFonts w:hint="eastAsia" w:ascii="宋体" w:hAnsi="宋体" w:eastAsia="宋体" w:cs="宋体"/>
                <w:i w:val="0"/>
                <w:iCs w:val="0"/>
                <w:color w:val="auto"/>
                <w:sz w:val="24"/>
                <w:szCs w:val="24"/>
                <w:highlight w:val="none"/>
              </w:rPr>
            </w:pPr>
          </w:p>
        </w:tc>
        <w:tc>
          <w:tcPr>
            <w:tcW w:w="1012" w:type="dxa"/>
            <w:vMerge w:val="continue"/>
            <w:tcBorders>
              <w:left w:val="single" w:color="auto" w:sz="4" w:space="0"/>
              <w:right w:val="single" w:color="auto" w:sz="4" w:space="0"/>
            </w:tcBorders>
            <w:noWrap w:val="0"/>
            <w:vAlign w:val="center"/>
          </w:tcPr>
          <w:p w14:paraId="7B9C0C20">
            <w:pPr>
              <w:jc w:val="center"/>
              <w:rPr>
                <w:rFonts w:hint="eastAsia" w:ascii="宋体" w:hAnsi="宋体" w:eastAsia="宋体" w:cs="宋体"/>
                <w:b/>
                <w:bCs/>
                <w:color w:val="auto"/>
                <w:sz w:val="24"/>
                <w:szCs w:val="24"/>
                <w:highlight w:val="none"/>
                <w:lang w:val="en-US" w:eastAsia="zh-CN"/>
              </w:rPr>
            </w:pPr>
          </w:p>
        </w:tc>
        <w:tc>
          <w:tcPr>
            <w:tcW w:w="5288" w:type="dxa"/>
            <w:tcBorders>
              <w:top w:val="single" w:color="auto" w:sz="4" w:space="0"/>
              <w:left w:val="single" w:color="auto" w:sz="4" w:space="0"/>
              <w:bottom w:val="single" w:color="auto" w:sz="4" w:space="0"/>
              <w:right w:val="single" w:color="auto" w:sz="4" w:space="0"/>
            </w:tcBorders>
            <w:noWrap w:val="0"/>
            <w:vAlign w:val="center"/>
          </w:tcPr>
          <w:p w14:paraId="1385E741">
            <w:pP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rPr>
              <w:t>质保期</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年，完全响应不得分，每延长一年加1分，最多加3分。</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4D5E9A5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r>
    </w:tbl>
    <w:p w14:paraId="64380928">
      <w:pPr>
        <w:snapToGrid w:val="0"/>
        <w:spacing w:before="50" w:after="50"/>
        <w:jc w:val="center"/>
        <w:rPr>
          <w:rFonts w:hint="eastAsia" w:ascii="宋体" w:hAnsi="宋体"/>
          <w:b/>
          <w:bCs/>
          <w:color w:val="000000"/>
          <w:sz w:val="28"/>
          <w:szCs w:val="28"/>
          <w:highlight w:val="none"/>
        </w:rPr>
      </w:pPr>
    </w:p>
    <w:p w14:paraId="31763BA1">
      <w:pPr>
        <w:snapToGrid w:val="0"/>
        <w:spacing w:before="50" w:after="50"/>
        <w:jc w:val="center"/>
        <w:rPr>
          <w:rFonts w:hint="default" w:ascii="宋体" w:hAnsi="宋体" w:eastAsia="宋体"/>
          <w:b/>
          <w:bCs/>
          <w:color w:val="000000"/>
          <w:sz w:val="28"/>
          <w:szCs w:val="28"/>
          <w:highlight w:val="none"/>
          <w:lang w:val="en-US" w:eastAsia="zh-CN"/>
        </w:rPr>
      </w:pPr>
    </w:p>
    <w:p w14:paraId="5D8C97EC">
      <w:pPr>
        <w:snapToGrid w:val="0"/>
        <w:spacing w:before="50" w:after="50"/>
        <w:jc w:val="center"/>
        <w:rPr>
          <w:rFonts w:hint="eastAsia" w:ascii="宋体" w:hAnsi="宋体"/>
          <w:b/>
          <w:bCs/>
          <w:color w:val="000000"/>
          <w:sz w:val="28"/>
          <w:szCs w:val="28"/>
          <w:highlight w:val="none"/>
        </w:rPr>
      </w:pPr>
    </w:p>
    <w:p w14:paraId="3E6495A5">
      <w:pPr>
        <w:snapToGrid w:val="0"/>
        <w:spacing w:before="50" w:after="50"/>
        <w:jc w:val="center"/>
        <w:rPr>
          <w:rFonts w:hint="eastAsia" w:ascii="宋体" w:hAnsi="宋体"/>
          <w:b/>
          <w:bCs/>
          <w:color w:val="000000"/>
          <w:sz w:val="28"/>
          <w:szCs w:val="28"/>
          <w:highlight w:val="none"/>
        </w:rPr>
      </w:pPr>
    </w:p>
    <w:p w14:paraId="1FA8EE9B">
      <w:pPr>
        <w:snapToGrid w:val="0"/>
        <w:spacing w:before="50" w:after="50"/>
        <w:jc w:val="center"/>
        <w:rPr>
          <w:rFonts w:hint="eastAsia" w:ascii="宋体" w:hAnsi="宋体"/>
          <w:b/>
          <w:bCs/>
          <w:color w:val="000000"/>
          <w:sz w:val="28"/>
          <w:szCs w:val="28"/>
          <w:highlight w:val="none"/>
        </w:rPr>
      </w:pPr>
    </w:p>
    <w:p w14:paraId="51C0807D">
      <w:pPr>
        <w:snapToGrid w:val="0"/>
        <w:spacing w:before="50" w:after="50"/>
        <w:jc w:val="center"/>
        <w:rPr>
          <w:rFonts w:hint="eastAsia" w:ascii="宋体" w:hAnsi="宋体"/>
          <w:b/>
          <w:bCs/>
          <w:color w:val="000000"/>
          <w:sz w:val="28"/>
          <w:szCs w:val="28"/>
          <w:highlight w:val="none"/>
        </w:rPr>
      </w:pPr>
    </w:p>
    <w:p w14:paraId="686C7B33">
      <w:pPr>
        <w:snapToGrid w:val="0"/>
        <w:spacing w:before="50" w:after="50"/>
        <w:jc w:val="center"/>
        <w:rPr>
          <w:rFonts w:hint="eastAsia" w:ascii="宋体" w:hAnsi="宋体"/>
          <w:b/>
          <w:bCs/>
          <w:color w:val="000000"/>
          <w:sz w:val="28"/>
          <w:szCs w:val="28"/>
          <w:highlight w:val="none"/>
        </w:rPr>
      </w:pPr>
    </w:p>
    <w:p w14:paraId="46534927">
      <w:pPr>
        <w:snapToGrid w:val="0"/>
        <w:spacing w:before="50" w:after="50"/>
        <w:jc w:val="center"/>
        <w:rPr>
          <w:rFonts w:hint="eastAsia" w:ascii="宋体" w:hAnsi="宋体"/>
          <w:b/>
          <w:bCs/>
          <w:color w:val="000000"/>
          <w:sz w:val="28"/>
          <w:szCs w:val="28"/>
          <w:highlight w:val="none"/>
        </w:rPr>
      </w:pPr>
    </w:p>
    <w:p w14:paraId="4F5E7CA9">
      <w:pPr>
        <w:snapToGrid w:val="0"/>
        <w:spacing w:before="50" w:after="50"/>
        <w:jc w:val="center"/>
        <w:rPr>
          <w:rFonts w:hint="eastAsia" w:ascii="宋体" w:hAnsi="宋体"/>
          <w:b/>
          <w:bCs/>
          <w:color w:val="000000"/>
          <w:sz w:val="28"/>
          <w:szCs w:val="28"/>
          <w:highlight w:val="none"/>
        </w:rPr>
      </w:pPr>
    </w:p>
    <w:p w14:paraId="63644291">
      <w:pPr>
        <w:snapToGrid w:val="0"/>
        <w:spacing w:before="50" w:after="50"/>
        <w:jc w:val="both"/>
        <w:rPr>
          <w:rFonts w:hint="eastAsia" w:ascii="宋体" w:hAnsi="宋体"/>
          <w:b/>
          <w:bCs/>
          <w:color w:val="000000"/>
          <w:sz w:val="28"/>
          <w:szCs w:val="28"/>
          <w:highlight w:val="none"/>
        </w:rPr>
      </w:pPr>
    </w:p>
    <w:p w14:paraId="0E1E1C3B">
      <w:pPr>
        <w:snapToGrid w:val="0"/>
        <w:spacing w:before="50" w:after="50"/>
        <w:jc w:val="both"/>
        <w:rPr>
          <w:rFonts w:hint="eastAsia" w:ascii="宋体" w:hAnsi="宋体"/>
          <w:b/>
          <w:bCs/>
          <w:color w:val="000000"/>
          <w:sz w:val="28"/>
          <w:szCs w:val="28"/>
          <w:highlight w:val="none"/>
        </w:rPr>
      </w:pPr>
    </w:p>
    <w:p w14:paraId="32C49D51">
      <w:pPr>
        <w:pStyle w:val="2"/>
        <w:rPr>
          <w:rFonts w:hint="eastAsia" w:ascii="宋体" w:hAnsi="宋体"/>
          <w:b/>
          <w:bCs/>
          <w:color w:val="000000"/>
          <w:sz w:val="28"/>
          <w:szCs w:val="28"/>
          <w:highlight w:val="none"/>
        </w:rPr>
      </w:pPr>
    </w:p>
    <w:p w14:paraId="72DC8ACE">
      <w:pPr>
        <w:pStyle w:val="32"/>
        <w:rPr>
          <w:rFonts w:hint="eastAsia"/>
          <w:highlight w:val="none"/>
        </w:rPr>
      </w:pPr>
    </w:p>
    <w:p w14:paraId="3A07BA3C">
      <w:pPr>
        <w:pStyle w:val="32"/>
        <w:rPr>
          <w:rFonts w:hint="eastAsia"/>
          <w:highlight w:val="none"/>
        </w:rPr>
      </w:pPr>
    </w:p>
    <w:p w14:paraId="1621AD1F">
      <w:pPr>
        <w:pStyle w:val="32"/>
        <w:rPr>
          <w:rFonts w:hint="eastAsia"/>
          <w:highlight w:val="none"/>
        </w:rPr>
      </w:pPr>
    </w:p>
    <w:p w14:paraId="08D0228D">
      <w:pPr>
        <w:pStyle w:val="32"/>
        <w:rPr>
          <w:rFonts w:hint="eastAsia"/>
          <w:highlight w:val="none"/>
        </w:rPr>
      </w:pPr>
    </w:p>
    <w:p w14:paraId="6776812B">
      <w:pPr>
        <w:pStyle w:val="32"/>
        <w:rPr>
          <w:rFonts w:hint="eastAsia"/>
          <w:highlight w:val="none"/>
        </w:rPr>
      </w:pPr>
    </w:p>
    <w:p w14:paraId="46B6AA3E">
      <w:pPr>
        <w:pStyle w:val="32"/>
        <w:rPr>
          <w:rFonts w:hint="eastAsia"/>
          <w:highlight w:val="none"/>
        </w:rPr>
      </w:pPr>
    </w:p>
    <w:p w14:paraId="518246B7">
      <w:pPr>
        <w:rPr>
          <w:rFonts w:hint="eastAsia"/>
          <w:highlight w:val="none"/>
        </w:rPr>
      </w:pPr>
    </w:p>
    <w:p w14:paraId="18085FEF">
      <w:pPr>
        <w:pStyle w:val="23"/>
        <w:spacing w:before="0" w:after="0" w:line="360" w:lineRule="auto"/>
        <w:jc w:val="left"/>
        <w:rPr>
          <w:rFonts w:hint="eastAsia" w:ascii="宋体" w:hAnsi="宋体" w:eastAsia="宋体" w:cs="宋体"/>
          <w:sz w:val="24"/>
          <w:szCs w:val="24"/>
          <w:highlight w:val="none"/>
        </w:rPr>
      </w:pPr>
      <w:bookmarkStart w:id="744" w:name="_Toc12564"/>
      <w:bookmarkStart w:id="745" w:name="_Toc5543"/>
      <w:bookmarkStart w:id="746" w:name="_Toc16199"/>
    </w:p>
    <w:p w14:paraId="0E25B8E4">
      <w:pPr>
        <w:pStyle w:val="23"/>
        <w:spacing w:before="0" w:after="0" w:line="360" w:lineRule="auto"/>
        <w:jc w:val="left"/>
        <w:rPr>
          <w:rFonts w:hint="eastAsia" w:ascii="宋体" w:hAnsi="宋体" w:eastAsia="宋体" w:cs="宋体"/>
          <w:sz w:val="24"/>
          <w:szCs w:val="24"/>
          <w:highlight w:val="none"/>
        </w:rPr>
      </w:pPr>
    </w:p>
    <w:p w14:paraId="12F8DF25">
      <w:pPr>
        <w:pStyle w:val="23"/>
        <w:spacing w:before="0" w:after="0" w:line="360" w:lineRule="auto"/>
        <w:jc w:val="left"/>
        <w:rPr>
          <w:rFonts w:hint="eastAsia" w:ascii="宋体" w:hAnsi="宋体" w:eastAsia="宋体" w:cs="宋体"/>
          <w:sz w:val="24"/>
          <w:szCs w:val="24"/>
          <w:highlight w:val="none"/>
        </w:rPr>
      </w:pPr>
    </w:p>
    <w:p w14:paraId="3D4EB2E1">
      <w:pPr>
        <w:pStyle w:val="23"/>
        <w:spacing w:before="0" w:after="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附件</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：政府采购活动现场确认声明书</w:t>
      </w:r>
      <w:bookmarkEnd w:id="744"/>
      <w:bookmarkEnd w:id="745"/>
      <w:bookmarkEnd w:id="746"/>
    </w:p>
    <w:p w14:paraId="542FBCD3">
      <w:pPr>
        <w:rPr>
          <w:rFonts w:hint="eastAsia" w:ascii="宋体" w:hAnsi="宋体" w:eastAsia="宋体" w:cs="宋体"/>
          <w:highlight w:val="none"/>
        </w:rPr>
      </w:pPr>
    </w:p>
    <w:p w14:paraId="5358528E">
      <w:pPr>
        <w:spacing w:line="400" w:lineRule="exact"/>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政府采购活动现场确认声明书</w:t>
      </w:r>
    </w:p>
    <w:p w14:paraId="56C4E429">
      <w:pPr>
        <w:spacing w:line="340" w:lineRule="exact"/>
        <w:jc w:val="center"/>
        <w:rPr>
          <w:rFonts w:hint="eastAsia" w:ascii="宋体" w:hAnsi="宋体" w:eastAsia="宋体" w:cs="宋体"/>
          <w:sz w:val="24"/>
          <w:szCs w:val="24"/>
          <w:highlight w:val="none"/>
        </w:rPr>
      </w:pPr>
    </w:p>
    <w:p w14:paraId="025AFD9A">
      <w:pPr>
        <w:spacing w:line="340" w:lineRule="exact"/>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（采购代理机构名称）：</w:t>
      </w:r>
    </w:p>
    <w:p w14:paraId="785F990A">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本人经由</w:t>
      </w:r>
      <w:r>
        <w:rPr>
          <w:rFonts w:hint="eastAsia" w:ascii="宋体" w:hAnsi="宋体" w:eastAsia="宋体" w:cs="宋体"/>
          <w:sz w:val="24"/>
          <w:szCs w:val="24"/>
          <w:highlight w:val="none"/>
          <w:u w:val="single"/>
        </w:rPr>
        <w:t xml:space="preserve">   （公司名称）      </w:t>
      </w:r>
      <w:r>
        <w:rPr>
          <w:rFonts w:hint="eastAsia" w:ascii="宋体" w:hAnsi="宋体" w:eastAsia="宋体" w:cs="宋体"/>
          <w:sz w:val="24"/>
          <w:szCs w:val="24"/>
          <w:highlight w:val="none"/>
        </w:rPr>
        <w:t>法定代表人（负责人）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，合法授权参加</w:t>
      </w:r>
      <w:r>
        <w:rPr>
          <w:rFonts w:hint="eastAsia" w:ascii="宋体" w:hAnsi="宋体" w:eastAsia="宋体" w:cs="宋体"/>
          <w:sz w:val="24"/>
          <w:szCs w:val="24"/>
          <w:highlight w:val="none"/>
          <w:u w:val="single"/>
        </w:rPr>
        <w:t>（项目名称）（项目编号）（标项）政府</w:t>
      </w:r>
      <w:r>
        <w:rPr>
          <w:rFonts w:hint="eastAsia" w:ascii="宋体" w:hAnsi="宋体" w:eastAsia="宋体" w:cs="宋体"/>
          <w:sz w:val="24"/>
          <w:szCs w:val="24"/>
          <w:highlight w:val="none"/>
        </w:rPr>
        <w:t>采购活动，经与本单位法人代表（负责人）联系确认，现就有关公平竞争事项郑重声明如下：</w:t>
      </w:r>
    </w:p>
    <w:p w14:paraId="33E9FD26">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一、本单位与采购人之间 □不存在利害关系 □存在下列利害关系</w:t>
      </w:r>
      <w:r>
        <w:rPr>
          <w:rFonts w:hint="eastAsia" w:ascii="宋体" w:hAnsi="宋体" w:eastAsia="宋体" w:cs="宋体"/>
          <w:sz w:val="24"/>
          <w:szCs w:val="24"/>
          <w:highlight w:val="none"/>
          <w:u w:val="single"/>
        </w:rPr>
        <w:t xml:space="preserve">         ：</w:t>
      </w:r>
    </w:p>
    <w:p w14:paraId="3B1C2923">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A.投资关系    B.行政隶属关系    C.业务指导关系</w:t>
      </w:r>
    </w:p>
    <w:p w14:paraId="2EA96F0A">
      <w:pPr>
        <w:spacing w:line="340" w:lineRule="exact"/>
        <w:ind w:firstLine="48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D.其他可能影响采购公正的利害关系（如有，请如实说明）</w:t>
      </w:r>
      <w:r>
        <w:rPr>
          <w:rFonts w:hint="eastAsia" w:ascii="宋体" w:hAnsi="宋体" w:eastAsia="宋体" w:cs="宋体"/>
          <w:sz w:val="24"/>
          <w:szCs w:val="24"/>
          <w:highlight w:val="none"/>
          <w:u w:val="single"/>
        </w:rPr>
        <w:t xml:space="preserve">         </w:t>
      </w:r>
    </w:p>
    <w:p w14:paraId="7692A77C">
      <w:pPr>
        <w:spacing w:line="340"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二、现已清楚知道参加本项目采购活动的其他所有供应商名称，本单位</w:t>
      </w:r>
    </w:p>
    <w:p w14:paraId="0D0EC530">
      <w:pPr>
        <w:spacing w:line="340"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□与其他所有供应商之间均不存在利害关系  □与</w:t>
      </w:r>
      <w:r>
        <w:rPr>
          <w:rFonts w:hint="eastAsia" w:ascii="宋体" w:hAnsi="宋体" w:eastAsia="宋体" w:cs="宋体"/>
          <w:sz w:val="24"/>
          <w:szCs w:val="24"/>
          <w:highlight w:val="none"/>
          <w:u w:val="single"/>
        </w:rPr>
        <w:t xml:space="preserve">（供应商名称）     </w:t>
      </w:r>
      <w:r>
        <w:rPr>
          <w:rFonts w:hint="eastAsia" w:ascii="宋体" w:hAnsi="宋体" w:eastAsia="宋体" w:cs="宋体"/>
          <w:sz w:val="24"/>
          <w:szCs w:val="24"/>
          <w:highlight w:val="none"/>
        </w:rPr>
        <w:t>之间存在下列利害关系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5A81C97F">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A.法定代表人或负责人或实际控制人是同一人</w:t>
      </w:r>
    </w:p>
    <w:p w14:paraId="7A2FF9A6">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B.法定代表人或负责人或实际控制人是夫妻关系</w:t>
      </w:r>
    </w:p>
    <w:p w14:paraId="3A43AAB4">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C.法定代表人或负责人或实际控制人是直系血亲关系</w:t>
      </w:r>
    </w:p>
    <w:p w14:paraId="25A3A2ED">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D.法定代表人或负责人或实际控制人存在三代以内旁系血亲关系</w:t>
      </w:r>
    </w:p>
    <w:p w14:paraId="3651D7A3">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E.法定代表人或负责人或实际控制人存在近姻亲关系</w:t>
      </w:r>
    </w:p>
    <w:p w14:paraId="46E86E29">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F.法定代表人或负责人或实际控制人存在股份控制或实际控制关系</w:t>
      </w:r>
    </w:p>
    <w:p w14:paraId="08C60F6E">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G.存在共同直接或间接投资设立子公司、联营企业和合营企业情况</w:t>
      </w:r>
    </w:p>
    <w:p w14:paraId="1D35533D">
      <w:pPr>
        <w:spacing w:line="3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H.存在分级代理或代销关系、同一生产制造商关系、管理关系、重要业务（占主营业务收入50%以上）或重要财务往来关系（如融资）等其他实质性控制关系</w:t>
      </w:r>
    </w:p>
    <w:p w14:paraId="1E264C92">
      <w:pPr>
        <w:spacing w:line="340" w:lineRule="exact"/>
        <w:ind w:left="240" w:hanging="240" w:hangingChars="1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I.其他利害关系情况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p>
    <w:p w14:paraId="6D29D373">
      <w:pPr>
        <w:spacing w:line="340"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三、现已清楚知道并严格遵守政府采购法律法规和现场纪律。</w:t>
      </w:r>
    </w:p>
    <w:p w14:paraId="1FE7D42C">
      <w:pPr>
        <w:spacing w:line="340"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四、我发现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供应商之间存在或可能存在上述第二条第</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项利害关系。</w:t>
      </w:r>
    </w:p>
    <w:p w14:paraId="21E88888">
      <w:pPr>
        <w:spacing w:line="340" w:lineRule="exact"/>
        <w:ind w:firstLine="480"/>
        <w:rPr>
          <w:rFonts w:hint="eastAsia" w:ascii="宋体" w:hAnsi="宋体" w:eastAsia="宋体" w:cs="宋体"/>
          <w:sz w:val="24"/>
          <w:szCs w:val="24"/>
          <w:highlight w:val="none"/>
        </w:rPr>
      </w:pPr>
    </w:p>
    <w:p w14:paraId="138C46D3">
      <w:pPr>
        <w:wordWrap w:val="0"/>
        <w:spacing w:line="340" w:lineRule="exact"/>
        <w:ind w:firstLine="120" w:firstLineChars="5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（供应商代表签名）：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p>
    <w:p w14:paraId="32DC114F">
      <w:pPr>
        <w:spacing w:line="340" w:lineRule="exact"/>
        <w:jc w:val="right"/>
        <w:rPr>
          <w:rFonts w:hint="eastAsia" w:ascii="宋体" w:hAnsi="宋体" w:eastAsia="宋体" w:cs="宋体"/>
          <w:sz w:val="24"/>
          <w:szCs w:val="24"/>
          <w:highlight w:val="none"/>
        </w:rPr>
      </w:pPr>
    </w:p>
    <w:p w14:paraId="0A06F7E5">
      <w:pPr>
        <w:wordWrap w:val="0"/>
        <w:spacing w:line="340" w:lineRule="exact"/>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年   月   日</w:t>
      </w:r>
    </w:p>
    <w:p w14:paraId="19673CBA">
      <w:pPr>
        <w:spacing w:line="340" w:lineRule="exact"/>
        <w:rPr>
          <w:rFonts w:hint="eastAsia" w:ascii="宋体" w:hAnsi="宋体" w:eastAsia="宋体" w:cs="宋体"/>
          <w:sz w:val="28"/>
          <w:szCs w:val="28"/>
          <w:highlight w:val="none"/>
        </w:rPr>
      </w:pPr>
    </w:p>
    <w:p w14:paraId="02055F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pacing w:val="20"/>
          <w:sz w:val="24"/>
          <w:szCs w:val="24"/>
          <w:highlight w:val="none"/>
          <w:lang w:val="en-US" w:eastAsia="zh-CN"/>
        </w:rPr>
      </w:pPr>
      <w:r>
        <w:rPr>
          <w:rFonts w:hint="eastAsia" w:ascii="宋体" w:hAnsi="宋体" w:eastAsia="宋体" w:cs="宋体"/>
          <w:b/>
          <w:bCs/>
          <w:spacing w:val="20"/>
          <w:sz w:val="24"/>
          <w:szCs w:val="24"/>
          <w:highlight w:val="none"/>
        </w:rPr>
        <w:t>注：</w:t>
      </w:r>
      <w:r>
        <w:rPr>
          <w:rFonts w:hint="eastAsia" w:ascii="宋体" w:hAnsi="宋体" w:eastAsia="宋体" w:cs="宋体"/>
          <w:spacing w:val="20"/>
          <w:sz w:val="24"/>
          <w:szCs w:val="24"/>
          <w:highlight w:val="none"/>
        </w:rPr>
        <w:t>1</w:t>
      </w:r>
      <w:r>
        <w:rPr>
          <w:rFonts w:hint="eastAsia" w:ascii="宋体" w:hAnsi="宋体" w:eastAsia="宋体" w:cs="宋体"/>
          <w:b/>
          <w:bCs/>
          <w:spacing w:val="20"/>
          <w:sz w:val="24"/>
          <w:szCs w:val="24"/>
          <w:highlight w:val="none"/>
        </w:rPr>
        <w:t>、</w:t>
      </w:r>
      <w:r>
        <w:rPr>
          <w:rFonts w:hint="eastAsia" w:ascii="宋体" w:hAnsi="宋体" w:eastAsia="宋体" w:cs="宋体"/>
          <w:b/>
          <w:bCs/>
          <w:spacing w:val="20"/>
          <w:sz w:val="24"/>
          <w:szCs w:val="24"/>
          <w:highlight w:val="none"/>
          <w:lang w:val="en-US" w:eastAsia="zh-CN"/>
        </w:rPr>
        <w:t>供应商</w:t>
      </w:r>
      <w:r>
        <w:rPr>
          <w:rFonts w:hint="eastAsia" w:ascii="宋体" w:hAnsi="宋体" w:eastAsia="宋体" w:cs="宋体"/>
          <w:b/>
          <w:bCs/>
          <w:spacing w:val="20"/>
          <w:sz w:val="24"/>
          <w:szCs w:val="24"/>
          <w:highlight w:val="none"/>
        </w:rPr>
        <w:t>认为</w:t>
      </w:r>
      <w:r>
        <w:rPr>
          <w:rFonts w:hint="eastAsia" w:ascii="宋体" w:hAnsi="宋体" w:eastAsia="宋体" w:cs="宋体"/>
          <w:b/>
          <w:bCs/>
          <w:spacing w:val="20"/>
          <w:sz w:val="24"/>
          <w:szCs w:val="24"/>
          <w:highlight w:val="none"/>
          <w:lang w:val="en-US" w:eastAsia="zh-CN"/>
        </w:rPr>
        <w:t>无</w:t>
      </w:r>
      <w:r>
        <w:rPr>
          <w:rFonts w:hint="eastAsia" w:ascii="宋体" w:hAnsi="宋体" w:eastAsia="宋体" w:cs="宋体"/>
          <w:b/>
          <w:bCs/>
          <w:spacing w:val="20"/>
          <w:sz w:val="24"/>
          <w:szCs w:val="24"/>
          <w:highlight w:val="none"/>
        </w:rPr>
        <w:t>利害关系和需要回避的人员</w:t>
      </w:r>
      <w:r>
        <w:rPr>
          <w:rFonts w:hint="eastAsia" w:ascii="宋体" w:hAnsi="宋体" w:eastAsia="宋体" w:cs="宋体"/>
          <w:b/>
          <w:bCs/>
          <w:spacing w:val="20"/>
          <w:sz w:val="24"/>
          <w:szCs w:val="24"/>
          <w:highlight w:val="none"/>
          <w:lang w:val="en-US" w:eastAsia="zh-CN"/>
        </w:rPr>
        <w:t>，可不填写本声明书，视同默认不存在上述情形</w:t>
      </w:r>
      <w:r>
        <w:rPr>
          <w:rFonts w:hint="eastAsia" w:ascii="宋体" w:hAnsi="宋体" w:eastAsia="宋体" w:cs="宋体"/>
          <w:spacing w:val="20"/>
          <w:sz w:val="24"/>
          <w:szCs w:val="24"/>
          <w:highlight w:val="none"/>
          <w:lang w:val="en-US" w:eastAsia="zh-CN"/>
        </w:rPr>
        <w:t>；</w:t>
      </w:r>
    </w:p>
    <w:p w14:paraId="765B0786">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pacing w:val="20"/>
          <w:sz w:val="24"/>
          <w:szCs w:val="24"/>
          <w:highlight w:val="none"/>
        </w:rPr>
      </w:pPr>
      <w:r>
        <w:rPr>
          <w:rFonts w:hint="eastAsia" w:ascii="宋体" w:hAnsi="宋体" w:eastAsia="宋体" w:cs="宋体"/>
          <w:spacing w:val="20"/>
          <w:sz w:val="24"/>
          <w:szCs w:val="24"/>
          <w:highlight w:val="none"/>
          <w:lang w:val="en-US" w:eastAsia="zh-CN"/>
        </w:rPr>
        <w:t>2、供应商</w:t>
      </w:r>
      <w:r>
        <w:rPr>
          <w:rFonts w:hint="eastAsia" w:ascii="宋体" w:hAnsi="宋体" w:eastAsia="宋体" w:cs="宋体"/>
          <w:spacing w:val="20"/>
          <w:sz w:val="24"/>
          <w:szCs w:val="24"/>
          <w:highlight w:val="none"/>
        </w:rPr>
        <w:t>认为有利害关系和需要回避的人员，应提供相关证明材料，</w:t>
      </w:r>
      <w:r>
        <w:rPr>
          <w:rFonts w:hint="eastAsia" w:ascii="宋体" w:hAnsi="宋体" w:eastAsia="宋体" w:cs="宋体"/>
          <w:spacing w:val="20"/>
          <w:sz w:val="24"/>
          <w:szCs w:val="24"/>
          <w:highlight w:val="none"/>
          <w:lang w:val="en-US" w:eastAsia="zh-CN"/>
        </w:rPr>
        <w:t>在资格文件“</w:t>
      </w:r>
      <w:r>
        <w:rPr>
          <w:rFonts w:hint="eastAsia" w:ascii="宋体" w:hAnsi="宋体" w:eastAsia="宋体" w:cs="宋体"/>
          <w:spacing w:val="20"/>
          <w:sz w:val="24"/>
          <w:szCs w:val="24"/>
          <w:highlight w:val="none"/>
        </w:rPr>
        <w:t>符合参加政府采购活动应当具备的一般条件的承诺函</w:t>
      </w:r>
      <w:r>
        <w:rPr>
          <w:rFonts w:hint="eastAsia" w:ascii="宋体" w:hAnsi="宋体" w:eastAsia="宋体" w:cs="宋体"/>
          <w:spacing w:val="20"/>
          <w:sz w:val="24"/>
          <w:szCs w:val="24"/>
          <w:highlight w:val="none"/>
          <w:lang w:eastAsia="zh-CN"/>
        </w:rPr>
        <w:t>”</w:t>
      </w:r>
      <w:r>
        <w:rPr>
          <w:rFonts w:hint="eastAsia" w:ascii="宋体" w:hAnsi="宋体" w:eastAsia="宋体" w:cs="宋体"/>
          <w:spacing w:val="20"/>
          <w:sz w:val="24"/>
          <w:szCs w:val="24"/>
          <w:highlight w:val="none"/>
          <w:lang w:val="en-US" w:eastAsia="zh-CN"/>
        </w:rPr>
        <w:t>中如实填写</w:t>
      </w:r>
      <w:r>
        <w:rPr>
          <w:rFonts w:hint="eastAsia" w:ascii="宋体" w:hAnsi="宋体" w:eastAsia="宋体" w:cs="宋体"/>
          <w:spacing w:val="20"/>
          <w:sz w:val="24"/>
          <w:szCs w:val="24"/>
          <w:highlight w:val="none"/>
        </w:rPr>
        <w:t>。由采购代理机构和财政监督部门负责询问核查。</w:t>
      </w:r>
    </w:p>
    <w:p w14:paraId="6C7706F3">
      <w:pPr>
        <w:pStyle w:val="23"/>
        <w:spacing w:before="0" w:after="0"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bCs w:val="0"/>
          <w:highlight w:val="none"/>
        </w:rPr>
        <w:br w:type="page"/>
      </w:r>
      <w:bookmarkStart w:id="747" w:name="_Toc28602"/>
      <w:bookmarkStart w:id="748" w:name="_Toc10974"/>
      <w:bookmarkStart w:id="749" w:name="_Toc30041"/>
      <w:r>
        <w:rPr>
          <w:rFonts w:hint="eastAsia" w:ascii="宋体" w:hAnsi="宋体" w:eastAsia="宋体" w:cs="宋体"/>
          <w:sz w:val="24"/>
          <w:szCs w:val="24"/>
          <w:highlight w:val="none"/>
        </w:rPr>
        <w:t>附件</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中标（成交）供应商公告内容</w:t>
      </w:r>
      <w:bookmarkEnd w:id="747"/>
      <w:bookmarkEnd w:id="748"/>
      <w:bookmarkEnd w:id="749"/>
    </w:p>
    <w:p w14:paraId="4E5764A5">
      <w:pPr>
        <w:rPr>
          <w:rFonts w:hint="eastAsia" w:ascii="宋体" w:hAnsi="宋体" w:eastAsia="宋体" w:cs="宋体"/>
          <w:highlight w:val="none"/>
        </w:rPr>
      </w:pPr>
    </w:p>
    <w:p w14:paraId="4A5A5D59">
      <w:pPr>
        <w:bidi w:val="0"/>
        <w:jc w:val="center"/>
        <w:rPr>
          <w:rFonts w:hint="eastAsia" w:ascii="宋体" w:hAnsi="宋体" w:eastAsia="宋体" w:cs="宋体"/>
          <w:b/>
          <w:bCs/>
          <w:sz w:val="30"/>
          <w:szCs w:val="30"/>
          <w:highlight w:val="none"/>
        </w:rPr>
      </w:pPr>
      <w:bookmarkStart w:id="750" w:name="_Toc523398546"/>
      <w:r>
        <w:rPr>
          <w:rFonts w:hint="eastAsia" w:ascii="宋体" w:hAnsi="宋体" w:eastAsia="宋体" w:cs="宋体"/>
          <w:b/>
          <w:bCs/>
          <w:sz w:val="30"/>
          <w:szCs w:val="30"/>
          <w:highlight w:val="none"/>
        </w:rPr>
        <w:t>中标（成交）供应商公告内容</w:t>
      </w:r>
      <w:bookmarkEnd w:id="750"/>
    </w:p>
    <w:p w14:paraId="09E38449">
      <w:pPr>
        <w:bidi w:val="0"/>
        <w:rPr>
          <w:rFonts w:hint="eastAsia" w:ascii="宋体" w:hAnsi="宋体" w:eastAsia="宋体" w:cs="宋体"/>
          <w:highlight w:val="none"/>
        </w:rPr>
      </w:pPr>
    </w:p>
    <w:p w14:paraId="2935A61E">
      <w:pPr>
        <w:autoSpaceDE w:val="0"/>
        <w:autoSpaceDN w:val="0"/>
        <w:spacing w:line="360" w:lineRule="auto"/>
        <w:textAlignment w:val="bottom"/>
        <w:outlineLvl w:val="0"/>
        <w:rPr>
          <w:rFonts w:hint="eastAsia" w:ascii="宋体" w:hAnsi="宋体" w:eastAsia="宋体" w:cs="宋体"/>
          <w:color w:val="000000"/>
          <w:spacing w:val="20"/>
          <w:sz w:val="24"/>
          <w:highlight w:val="none"/>
        </w:rPr>
      </w:pPr>
      <w:r>
        <w:rPr>
          <w:rFonts w:hint="eastAsia" w:ascii="宋体" w:hAnsi="宋体" w:cs="宋体"/>
          <w:color w:val="000000"/>
          <w:spacing w:val="20"/>
          <w:sz w:val="24"/>
          <w:highlight w:val="none"/>
        </w:rPr>
        <w:t>采购项目</w:t>
      </w:r>
      <w:r>
        <w:rPr>
          <w:rFonts w:hint="eastAsia" w:ascii="宋体" w:hAnsi="宋体" w:eastAsia="宋体" w:cs="宋体"/>
          <w:color w:val="000000"/>
          <w:spacing w:val="20"/>
          <w:sz w:val="24"/>
          <w:highlight w:val="none"/>
        </w:rPr>
        <w:t>：</w:t>
      </w:r>
    </w:p>
    <w:p w14:paraId="595B2188">
      <w:pPr>
        <w:autoSpaceDE w:val="0"/>
        <w:autoSpaceDN w:val="0"/>
        <w:spacing w:line="360" w:lineRule="auto"/>
        <w:textAlignment w:val="bottom"/>
        <w:outlineLvl w:val="0"/>
        <w:rPr>
          <w:rFonts w:hint="eastAsia" w:ascii="宋体" w:hAnsi="宋体" w:eastAsia="宋体" w:cs="宋体"/>
          <w:color w:val="000000"/>
          <w:spacing w:val="20"/>
          <w:sz w:val="24"/>
          <w:highlight w:val="none"/>
          <w:lang w:eastAsia="zh-CN"/>
        </w:rPr>
      </w:pPr>
      <w:r>
        <w:rPr>
          <w:rFonts w:hint="eastAsia" w:ascii="宋体" w:hAnsi="宋体" w:eastAsia="宋体" w:cs="宋体"/>
          <w:color w:val="000000"/>
          <w:spacing w:val="20"/>
          <w:sz w:val="24"/>
          <w:highlight w:val="none"/>
        </w:rPr>
        <w:t>采购编号：</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3"/>
        <w:gridCol w:w="2253"/>
        <w:gridCol w:w="714"/>
        <w:gridCol w:w="1270"/>
        <w:gridCol w:w="281"/>
        <w:gridCol w:w="1004"/>
        <w:gridCol w:w="1285"/>
      </w:tblGrid>
      <w:tr w14:paraId="34F4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noWrap w:val="0"/>
            <w:vAlign w:val="center"/>
          </w:tcPr>
          <w:p w14:paraId="359E027E">
            <w:pPr>
              <w:wordWrap w:val="0"/>
              <w:jc w:val="center"/>
              <w:rPr>
                <w:rFonts w:hint="eastAsia" w:ascii="宋体" w:hAnsi="宋体" w:eastAsia="宋体" w:cs="宋体"/>
                <w:sz w:val="24"/>
                <w:highlight w:val="none"/>
              </w:rPr>
            </w:pPr>
            <w:r>
              <w:rPr>
                <w:rFonts w:hint="eastAsia" w:ascii="宋体" w:hAnsi="宋体" w:eastAsia="宋体" w:cs="宋体"/>
                <w:sz w:val="24"/>
                <w:highlight w:val="none"/>
              </w:rPr>
              <w:t>供应商名称</w:t>
            </w:r>
          </w:p>
        </w:tc>
        <w:tc>
          <w:tcPr>
            <w:tcW w:w="2253" w:type="dxa"/>
            <w:noWrap w:val="0"/>
            <w:vAlign w:val="center"/>
          </w:tcPr>
          <w:p w14:paraId="4381EE1C">
            <w:pPr>
              <w:wordWrap w:val="0"/>
              <w:jc w:val="center"/>
              <w:rPr>
                <w:rFonts w:hint="eastAsia" w:ascii="宋体" w:hAnsi="宋体" w:eastAsia="宋体" w:cs="宋体"/>
                <w:sz w:val="24"/>
                <w:highlight w:val="none"/>
              </w:rPr>
            </w:pPr>
          </w:p>
        </w:tc>
        <w:tc>
          <w:tcPr>
            <w:tcW w:w="2265" w:type="dxa"/>
            <w:gridSpan w:val="3"/>
            <w:noWrap w:val="0"/>
            <w:vAlign w:val="center"/>
          </w:tcPr>
          <w:p w14:paraId="016D3CB4">
            <w:pPr>
              <w:wordWrap w:val="0"/>
              <w:jc w:val="center"/>
              <w:rPr>
                <w:rFonts w:hint="eastAsia" w:ascii="宋体" w:hAnsi="宋体" w:eastAsia="宋体" w:cs="宋体"/>
                <w:sz w:val="24"/>
                <w:highlight w:val="none"/>
              </w:rPr>
            </w:pPr>
            <w:r>
              <w:rPr>
                <w:rFonts w:hint="eastAsia" w:ascii="宋体" w:hAnsi="宋体" w:eastAsia="宋体" w:cs="宋体"/>
                <w:sz w:val="24"/>
                <w:highlight w:val="none"/>
              </w:rPr>
              <w:t>供应商负责人</w:t>
            </w:r>
          </w:p>
        </w:tc>
        <w:tc>
          <w:tcPr>
            <w:tcW w:w="2289" w:type="dxa"/>
            <w:gridSpan w:val="2"/>
            <w:noWrap w:val="0"/>
            <w:vAlign w:val="center"/>
          </w:tcPr>
          <w:p w14:paraId="02F6484B">
            <w:pPr>
              <w:wordWrap w:val="0"/>
              <w:jc w:val="center"/>
              <w:rPr>
                <w:rFonts w:hint="eastAsia" w:ascii="宋体" w:hAnsi="宋体" w:eastAsia="宋体" w:cs="宋体"/>
                <w:sz w:val="24"/>
                <w:highlight w:val="none"/>
              </w:rPr>
            </w:pPr>
          </w:p>
        </w:tc>
      </w:tr>
      <w:tr w14:paraId="6AD4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noWrap w:val="0"/>
            <w:vAlign w:val="center"/>
          </w:tcPr>
          <w:p w14:paraId="4740584C">
            <w:pPr>
              <w:wordWrap w:val="0"/>
              <w:jc w:val="center"/>
              <w:rPr>
                <w:rFonts w:hint="eastAsia" w:ascii="宋体" w:hAnsi="宋体" w:eastAsia="宋体" w:cs="宋体"/>
                <w:sz w:val="24"/>
                <w:highlight w:val="none"/>
              </w:rPr>
            </w:pPr>
            <w:r>
              <w:rPr>
                <w:rFonts w:hint="eastAsia" w:ascii="宋体" w:hAnsi="宋体" w:eastAsia="宋体" w:cs="宋体"/>
                <w:sz w:val="24"/>
                <w:highlight w:val="none"/>
              </w:rPr>
              <w:t>供应商地址</w:t>
            </w:r>
          </w:p>
        </w:tc>
        <w:tc>
          <w:tcPr>
            <w:tcW w:w="6807" w:type="dxa"/>
            <w:gridSpan w:val="6"/>
            <w:noWrap w:val="0"/>
            <w:vAlign w:val="center"/>
          </w:tcPr>
          <w:p w14:paraId="1FA2D954">
            <w:pPr>
              <w:wordWrap w:val="0"/>
              <w:jc w:val="center"/>
              <w:rPr>
                <w:rFonts w:hint="eastAsia" w:ascii="宋体" w:hAnsi="宋体" w:eastAsia="宋体" w:cs="宋体"/>
                <w:sz w:val="24"/>
                <w:highlight w:val="none"/>
              </w:rPr>
            </w:pPr>
          </w:p>
        </w:tc>
      </w:tr>
      <w:tr w14:paraId="75A1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60" w:type="dxa"/>
            <w:gridSpan w:val="7"/>
            <w:noWrap w:val="0"/>
            <w:vAlign w:val="center"/>
          </w:tcPr>
          <w:p w14:paraId="2C2D9480">
            <w:pPr>
              <w:wordWrap w:val="0"/>
              <w:jc w:val="center"/>
              <w:rPr>
                <w:rFonts w:hint="eastAsia" w:ascii="宋体" w:hAnsi="宋体" w:eastAsia="宋体" w:cs="宋体"/>
                <w:sz w:val="24"/>
                <w:highlight w:val="none"/>
              </w:rPr>
            </w:pPr>
            <w:r>
              <w:rPr>
                <w:rFonts w:hint="eastAsia" w:ascii="宋体" w:hAnsi="宋体" w:eastAsia="宋体" w:cs="宋体"/>
                <w:sz w:val="24"/>
                <w:highlight w:val="none"/>
              </w:rPr>
              <w:t>中标（成交）标的</w:t>
            </w:r>
          </w:p>
        </w:tc>
      </w:tr>
      <w:tr w14:paraId="1064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noWrap w:val="0"/>
            <w:vAlign w:val="center"/>
          </w:tcPr>
          <w:p w14:paraId="216AF77B">
            <w:pPr>
              <w:wordWrap w:val="0"/>
              <w:jc w:val="center"/>
              <w:rPr>
                <w:rFonts w:hint="eastAsia" w:ascii="宋体" w:hAnsi="宋体" w:eastAsia="宋体" w:cs="宋体"/>
                <w:sz w:val="24"/>
                <w:highlight w:val="none"/>
              </w:rPr>
            </w:pPr>
            <w:r>
              <w:rPr>
                <w:rFonts w:hint="eastAsia" w:ascii="宋体" w:hAnsi="宋体" w:eastAsia="宋体" w:cs="宋体"/>
                <w:sz w:val="24"/>
                <w:highlight w:val="none"/>
              </w:rPr>
              <w:t>产品名称（或服务名称）</w:t>
            </w:r>
          </w:p>
        </w:tc>
        <w:tc>
          <w:tcPr>
            <w:tcW w:w="2967" w:type="dxa"/>
            <w:gridSpan w:val="2"/>
            <w:noWrap w:val="0"/>
            <w:vAlign w:val="center"/>
          </w:tcPr>
          <w:p w14:paraId="4A942500">
            <w:pPr>
              <w:wordWrap w:val="0"/>
              <w:jc w:val="center"/>
              <w:rPr>
                <w:rFonts w:hint="eastAsia" w:ascii="宋体" w:hAnsi="宋体" w:eastAsia="宋体" w:cs="宋体"/>
                <w:sz w:val="24"/>
                <w:highlight w:val="none"/>
              </w:rPr>
            </w:pPr>
            <w:r>
              <w:rPr>
                <w:rFonts w:hint="eastAsia" w:ascii="宋体" w:hAnsi="宋体" w:eastAsia="宋体" w:cs="宋体"/>
                <w:sz w:val="24"/>
                <w:highlight w:val="none"/>
              </w:rPr>
              <w:t>规格型号（或服务标准）</w:t>
            </w:r>
          </w:p>
        </w:tc>
        <w:tc>
          <w:tcPr>
            <w:tcW w:w="1270" w:type="dxa"/>
            <w:noWrap w:val="0"/>
            <w:vAlign w:val="center"/>
          </w:tcPr>
          <w:p w14:paraId="11499BB2">
            <w:pPr>
              <w:wordWrap w:val="0"/>
              <w:jc w:val="center"/>
              <w:rPr>
                <w:rFonts w:hint="eastAsia" w:ascii="宋体" w:hAnsi="宋体" w:eastAsia="宋体" w:cs="宋体"/>
                <w:sz w:val="24"/>
                <w:highlight w:val="none"/>
              </w:rPr>
            </w:pPr>
            <w:r>
              <w:rPr>
                <w:rFonts w:hint="eastAsia" w:ascii="宋体" w:hAnsi="宋体" w:eastAsia="宋体" w:cs="宋体"/>
                <w:sz w:val="24"/>
                <w:highlight w:val="none"/>
              </w:rPr>
              <w:t>数量</w:t>
            </w:r>
          </w:p>
        </w:tc>
        <w:tc>
          <w:tcPr>
            <w:tcW w:w="1285" w:type="dxa"/>
            <w:gridSpan w:val="2"/>
            <w:noWrap w:val="0"/>
            <w:vAlign w:val="center"/>
          </w:tcPr>
          <w:p w14:paraId="3D16F971">
            <w:pPr>
              <w:wordWrap w:val="0"/>
              <w:jc w:val="center"/>
              <w:rPr>
                <w:rFonts w:hint="eastAsia" w:ascii="宋体" w:hAnsi="宋体" w:eastAsia="宋体" w:cs="宋体"/>
                <w:sz w:val="24"/>
                <w:highlight w:val="none"/>
              </w:rPr>
            </w:pPr>
            <w:r>
              <w:rPr>
                <w:rFonts w:hint="eastAsia" w:ascii="宋体" w:hAnsi="宋体" w:eastAsia="宋体" w:cs="宋体"/>
                <w:sz w:val="24"/>
                <w:highlight w:val="none"/>
              </w:rPr>
              <w:t>单价</w:t>
            </w:r>
          </w:p>
          <w:p w14:paraId="66C922C7">
            <w:pPr>
              <w:wordWrap w:val="0"/>
              <w:jc w:val="center"/>
              <w:rPr>
                <w:rFonts w:hint="eastAsia" w:ascii="宋体" w:hAnsi="宋体" w:eastAsia="宋体" w:cs="宋体"/>
                <w:sz w:val="24"/>
                <w:highlight w:val="none"/>
              </w:rPr>
            </w:pPr>
            <w:r>
              <w:rPr>
                <w:rFonts w:hint="eastAsia" w:ascii="宋体" w:hAnsi="宋体" w:eastAsia="宋体" w:cs="宋体"/>
                <w:sz w:val="24"/>
                <w:highlight w:val="none"/>
              </w:rPr>
              <w:t>（元）</w:t>
            </w:r>
          </w:p>
        </w:tc>
        <w:tc>
          <w:tcPr>
            <w:tcW w:w="1285" w:type="dxa"/>
            <w:noWrap w:val="0"/>
            <w:vAlign w:val="center"/>
          </w:tcPr>
          <w:p w14:paraId="374E884C">
            <w:pPr>
              <w:wordWrap w:val="0"/>
              <w:jc w:val="center"/>
              <w:rPr>
                <w:rFonts w:hint="eastAsia" w:ascii="宋体" w:hAnsi="宋体" w:eastAsia="宋体" w:cs="宋体"/>
                <w:sz w:val="24"/>
                <w:highlight w:val="none"/>
              </w:rPr>
            </w:pPr>
            <w:r>
              <w:rPr>
                <w:rFonts w:hint="eastAsia" w:ascii="宋体" w:hAnsi="宋体" w:eastAsia="宋体" w:cs="宋体"/>
                <w:sz w:val="24"/>
                <w:highlight w:val="none"/>
              </w:rPr>
              <w:t>合价</w:t>
            </w:r>
          </w:p>
          <w:p w14:paraId="17A3D960">
            <w:pPr>
              <w:wordWrap w:val="0"/>
              <w:jc w:val="center"/>
              <w:rPr>
                <w:rFonts w:hint="eastAsia" w:ascii="宋体" w:hAnsi="宋体" w:eastAsia="宋体" w:cs="宋体"/>
                <w:sz w:val="24"/>
                <w:highlight w:val="none"/>
              </w:rPr>
            </w:pPr>
            <w:r>
              <w:rPr>
                <w:rFonts w:hint="eastAsia" w:ascii="宋体" w:hAnsi="宋体" w:eastAsia="宋体" w:cs="宋体"/>
                <w:sz w:val="24"/>
                <w:highlight w:val="none"/>
              </w:rPr>
              <w:t>（元）</w:t>
            </w:r>
          </w:p>
        </w:tc>
      </w:tr>
      <w:tr w14:paraId="7944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noWrap w:val="0"/>
            <w:vAlign w:val="center"/>
          </w:tcPr>
          <w:p w14:paraId="7204D1F0">
            <w:pPr>
              <w:wordWrap w:val="0"/>
              <w:jc w:val="center"/>
              <w:rPr>
                <w:rFonts w:hint="eastAsia" w:ascii="宋体" w:hAnsi="宋体" w:eastAsia="宋体" w:cs="宋体"/>
                <w:sz w:val="24"/>
                <w:highlight w:val="none"/>
              </w:rPr>
            </w:pPr>
          </w:p>
        </w:tc>
        <w:tc>
          <w:tcPr>
            <w:tcW w:w="2967" w:type="dxa"/>
            <w:gridSpan w:val="2"/>
            <w:noWrap w:val="0"/>
            <w:vAlign w:val="center"/>
          </w:tcPr>
          <w:p w14:paraId="7BFB9553">
            <w:pPr>
              <w:wordWrap w:val="0"/>
              <w:jc w:val="center"/>
              <w:rPr>
                <w:rFonts w:hint="eastAsia" w:ascii="宋体" w:hAnsi="宋体" w:eastAsia="宋体" w:cs="宋体"/>
                <w:sz w:val="24"/>
                <w:highlight w:val="none"/>
              </w:rPr>
            </w:pPr>
          </w:p>
        </w:tc>
        <w:tc>
          <w:tcPr>
            <w:tcW w:w="1270" w:type="dxa"/>
            <w:noWrap w:val="0"/>
            <w:vAlign w:val="center"/>
          </w:tcPr>
          <w:p w14:paraId="64E6214E">
            <w:pPr>
              <w:wordWrap w:val="0"/>
              <w:jc w:val="center"/>
              <w:rPr>
                <w:rFonts w:hint="eastAsia" w:ascii="宋体" w:hAnsi="宋体" w:eastAsia="宋体" w:cs="宋体"/>
                <w:sz w:val="24"/>
                <w:highlight w:val="none"/>
              </w:rPr>
            </w:pPr>
          </w:p>
        </w:tc>
        <w:tc>
          <w:tcPr>
            <w:tcW w:w="1285" w:type="dxa"/>
            <w:gridSpan w:val="2"/>
            <w:noWrap w:val="0"/>
            <w:vAlign w:val="center"/>
          </w:tcPr>
          <w:p w14:paraId="156659EB">
            <w:pPr>
              <w:wordWrap w:val="0"/>
              <w:jc w:val="center"/>
              <w:rPr>
                <w:rFonts w:hint="eastAsia" w:ascii="宋体" w:hAnsi="宋体" w:eastAsia="宋体" w:cs="宋体"/>
                <w:sz w:val="24"/>
                <w:highlight w:val="none"/>
              </w:rPr>
            </w:pPr>
          </w:p>
        </w:tc>
        <w:tc>
          <w:tcPr>
            <w:tcW w:w="1285" w:type="dxa"/>
            <w:noWrap w:val="0"/>
            <w:vAlign w:val="center"/>
          </w:tcPr>
          <w:p w14:paraId="7D7E226D">
            <w:pPr>
              <w:wordWrap w:val="0"/>
              <w:jc w:val="center"/>
              <w:rPr>
                <w:rFonts w:hint="eastAsia" w:ascii="宋体" w:hAnsi="宋体" w:eastAsia="宋体" w:cs="宋体"/>
                <w:sz w:val="24"/>
                <w:highlight w:val="none"/>
              </w:rPr>
            </w:pPr>
          </w:p>
        </w:tc>
      </w:tr>
      <w:tr w14:paraId="5265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noWrap w:val="0"/>
            <w:vAlign w:val="center"/>
          </w:tcPr>
          <w:p w14:paraId="3B7BE250">
            <w:pPr>
              <w:wordWrap w:val="0"/>
              <w:jc w:val="center"/>
              <w:rPr>
                <w:rFonts w:hint="eastAsia" w:ascii="宋体" w:hAnsi="宋体" w:eastAsia="宋体" w:cs="宋体"/>
                <w:sz w:val="24"/>
                <w:highlight w:val="none"/>
              </w:rPr>
            </w:pPr>
          </w:p>
        </w:tc>
        <w:tc>
          <w:tcPr>
            <w:tcW w:w="2967" w:type="dxa"/>
            <w:gridSpan w:val="2"/>
            <w:noWrap w:val="0"/>
            <w:vAlign w:val="center"/>
          </w:tcPr>
          <w:p w14:paraId="7EBF12B4">
            <w:pPr>
              <w:wordWrap w:val="0"/>
              <w:jc w:val="center"/>
              <w:rPr>
                <w:rFonts w:hint="eastAsia" w:ascii="宋体" w:hAnsi="宋体" w:eastAsia="宋体" w:cs="宋体"/>
                <w:sz w:val="24"/>
                <w:highlight w:val="none"/>
              </w:rPr>
            </w:pPr>
          </w:p>
        </w:tc>
        <w:tc>
          <w:tcPr>
            <w:tcW w:w="1270" w:type="dxa"/>
            <w:noWrap w:val="0"/>
            <w:vAlign w:val="center"/>
          </w:tcPr>
          <w:p w14:paraId="1AE3CB18">
            <w:pPr>
              <w:wordWrap w:val="0"/>
              <w:jc w:val="center"/>
              <w:rPr>
                <w:rFonts w:hint="eastAsia" w:ascii="宋体" w:hAnsi="宋体" w:eastAsia="宋体" w:cs="宋体"/>
                <w:sz w:val="24"/>
                <w:highlight w:val="none"/>
              </w:rPr>
            </w:pPr>
          </w:p>
        </w:tc>
        <w:tc>
          <w:tcPr>
            <w:tcW w:w="1285" w:type="dxa"/>
            <w:gridSpan w:val="2"/>
            <w:noWrap w:val="0"/>
            <w:vAlign w:val="center"/>
          </w:tcPr>
          <w:p w14:paraId="464957BC">
            <w:pPr>
              <w:wordWrap w:val="0"/>
              <w:jc w:val="center"/>
              <w:rPr>
                <w:rFonts w:hint="eastAsia" w:ascii="宋体" w:hAnsi="宋体" w:eastAsia="宋体" w:cs="宋体"/>
                <w:sz w:val="24"/>
                <w:highlight w:val="none"/>
              </w:rPr>
            </w:pPr>
          </w:p>
        </w:tc>
        <w:tc>
          <w:tcPr>
            <w:tcW w:w="1285" w:type="dxa"/>
            <w:noWrap w:val="0"/>
            <w:vAlign w:val="center"/>
          </w:tcPr>
          <w:p w14:paraId="66EC9C67">
            <w:pPr>
              <w:wordWrap w:val="0"/>
              <w:jc w:val="center"/>
              <w:rPr>
                <w:rFonts w:hint="eastAsia" w:ascii="宋体" w:hAnsi="宋体" w:eastAsia="宋体" w:cs="宋体"/>
                <w:sz w:val="24"/>
                <w:highlight w:val="none"/>
              </w:rPr>
            </w:pPr>
          </w:p>
        </w:tc>
      </w:tr>
      <w:tr w14:paraId="7D18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noWrap w:val="0"/>
            <w:vAlign w:val="center"/>
          </w:tcPr>
          <w:p w14:paraId="101CB0E1">
            <w:pPr>
              <w:wordWrap w:val="0"/>
              <w:jc w:val="center"/>
              <w:rPr>
                <w:rFonts w:hint="eastAsia" w:ascii="宋体" w:hAnsi="宋体" w:eastAsia="宋体" w:cs="宋体"/>
                <w:sz w:val="24"/>
                <w:highlight w:val="none"/>
              </w:rPr>
            </w:pPr>
          </w:p>
        </w:tc>
        <w:tc>
          <w:tcPr>
            <w:tcW w:w="2967" w:type="dxa"/>
            <w:gridSpan w:val="2"/>
            <w:noWrap w:val="0"/>
            <w:vAlign w:val="center"/>
          </w:tcPr>
          <w:p w14:paraId="28A67614">
            <w:pPr>
              <w:wordWrap w:val="0"/>
              <w:jc w:val="center"/>
              <w:rPr>
                <w:rFonts w:hint="eastAsia" w:ascii="宋体" w:hAnsi="宋体" w:eastAsia="宋体" w:cs="宋体"/>
                <w:sz w:val="24"/>
                <w:highlight w:val="none"/>
              </w:rPr>
            </w:pPr>
          </w:p>
        </w:tc>
        <w:tc>
          <w:tcPr>
            <w:tcW w:w="1270" w:type="dxa"/>
            <w:noWrap w:val="0"/>
            <w:vAlign w:val="center"/>
          </w:tcPr>
          <w:p w14:paraId="17E2C6CD">
            <w:pPr>
              <w:wordWrap w:val="0"/>
              <w:jc w:val="center"/>
              <w:rPr>
                <w:rFonts w:hint="eastAsia" w:ascii="宋体" w:hAnsi="宋体" w:eastAsia="宋体" w:cs="宋体"/>
                <w:sz w:val="24"/>
                <w:highlight w:val="none"/>
              </w:rPr>
            </w:pPr>
          </w:p>
        </w:tc>
        <w:tc>
          <w:tcPr>
            <w:tcW w:w="1285" w:type="dxa"/>
            <w:gridSpan w:val="2"/>
            <w:noWrap w:val="0"/>
            <w:vAlign w:val="center"/>
          </w:tcPr>
          <w:p w14:paraId="5B44A422">
            <w:pPr>
              <w:wordWrap w:val="0"/>
              <w:jc w:val="center"/>
              <w:rPr>
                <w:rFonts w:hint="eastAsia" w:ascii="宋体" w:hAnsi="宋体" w:eastAsia="宋体" w:cs="宋体"/>
                <w:sz w:val="24"/>
                <w:highlight w:val="none"/>
              </w:rPr>
            </w:pPr>
          </w:p>
        </w:tc>
        <w:tc>
          <w:tcPr>
            <w:tcW w:w="1285" w:type="dxa"/>
            <w:noWrap w:val="0"/>
            <w:vAlign w:val="center"/>
          </w:tcPr>
          <w:p w14:paraId="34BA3AA4">
            <w:pPr>
              <w:wordWrap w:val="0"/>
              <w:jc w:val="center"/>
              <w:rPr>
                <w:rFonts w:hint="eastAsia" w:ascii="宋体" w:hAnsi="宋体" w:eastAsia="宋体" w:cs="宋体"/>
                <w:sz w:val="24"/>
                <w:highlight w:val="none"/>
              </w:rPr>
            </w:pPr>
          </w:p>
        </w:tc>
      </w:tr>
      <w:tr w14:paraId="40FD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noWrap w:val="0"/>
            <w:vAlign w:val="center"/>
          </w:tcPr>
          <w:p w14:paraId="1C197EA8">
            <w:pPr>
              <w:wordWrap w:val="0"/>
              <w:jc w:val="center"/>
              <w:rPr>
                <w:rFonts w:hint="eastAsia" w:ascii="宋体" w:hAnsi="宋体" w:eastAsia="宋体" w:cs="宋体"/>
                <w:sz w:val="24"/>
                <w:highlight w:val="none"/>
              </w:rPr>
            </w:pPr>
          </w:p>
        </w:tc>
        <w:tc>
          <w:tcPr>
            <w:tcW w:w="2967" w:type="dxa"/>
            <w:gridSpan w:val="2"/>
            <w:noWrap w:val="0"/>
            <w:vAlign w:val="center"/>
          </w:tcPr>
          <w:p w14:paraId="6C36CC51">
            <w:pPr>
              <w:wordWrap w:val="0"/>
              <w:jc w:val="center"/>
              <w:rPr>
                <w:rFonts w:hint="eastAsia" w:ascii="宋体" w:hAnsi="宋体" w:eastAsia="宋体" w:cs="宋体"/>
                <w:sz w:val="24"/>
                <w:highlight w:val="none"/>
              </w:rPr>
            </w:pPr>
          </w:p>
        </w:tc>
        <w:tc>
          <w:tcPr>
            <w:tcW w:w="1270" w:type="dxa"/>
            <w:noWrap w:val="0"/>
            <w:vAlign w:val="center"/>
          </w:tcPr>
          <w:p w14:paraId="4FC5E89E">
            <w:pPr>
              <w:wordWrap w:val="0"/>
              <w:jc w:val="center"/>
              <w:rPr>
                <w:rFonts w:hint="eastAsia" w:ascii="宋体" w:hAnsi="宋体" w:eastAsia="宋体" w:cs="宋体"/>
                <w:sz w:val="24"/>
                <w:highlight w:val="none"/>
              </w:rPr>
            </w:pPr>
          </w:p>
        </w:tc>
        <w:tc>
          <w:tcPr>
            <w:tcW w:w="1285" w:type="dxa"/>
            <w:gridSpan w:val="2"/>
            <w:noWrap w:val="0"/>
            <w:vAlign w:val="center"/>
          </w:tcPr>
          <w:p w14:paraId="333DDECB">
            <w:pPr>
              <w:wordWrap w:val="0"/>
              <w:jc w:val="center"/>
              <w:rPr>
                <w:rFonts w:hint="eastAsia" w:ascii="宋体" w:hAnsi="宋体" w:eastAsia="宋体" w:cs="宋体"/>
                <w:sz w:val="24"/>
                <w:highlight w:val="none"/>
              </w:rPr>
            </w:pPr>
          </w:p>
        </w:tc>
        <w:tc>
          <w:tcPr>
            <w:tcW w:w="1285" w:type="dxa"/>
            <w:noWrap w:val="0"/>
            <w:vAlign w:val="center"/>
          </w:tcPr>
          <w:p w14:paraId="3343E98C">
            <w:pPr>
              <w:wordWrap w:val="0"/>
              <w:jc w:val="center"/>
              <w:rPr>
                <w:rFonts w:hint="eastAsia" w:ascii="宋体" w:hAnsi="宋体" w:eastAsia="宋体" w:cs="宋体"/>
                <w:sz w:val="24"/>
                <w:highlight w:val="none"/>
              </w:rPr>
            </w:pPr>
          </w:p>
        </w:tc>
      </w:tr>
      <w:tr w14:paraId="1082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noWrap w:val="0"/>
            <w:vAlign w:val="center"/>
          </w:tcPr>
          <w:p w14:paraId="7DBDA17E">
            <w:pPr>
              <w:wordWrap w:val="0"/>
              <w:jc w:val="center"/>
              <w:rPr>
                <w:rFonts w:hint="eastAsia" w:ascii="宋体" w:hAnsi="宋体" w:eastAsia="宋体" w:cs="宋体"/>
                <w:sz w:val="24"/>
                <w:highlight w:val="none"/>
              </w:rPr>
            </w:pPr>
          </w:p>
        </w:tc>
        <w:tc>
          <w:tcPr>
            <w:tcW w:w="2967" w:type="dxa"/>
            <w:gridSpan w:val="2"/>
            <w:noWrap w:val="0"/>
            <w:vAlign w:val="center"/>
          </w:tcPr>
          <w:p w14:paraId="4D553CDB">
            <w:pPr>
              <w:wordWrap w:val="0"/>
              <w:jc w:val="center"/>
              <w:rPr>
                <w:rFonts w:hint="eastAsia" w:ascii="宋体" w:hAnsi="宋体" w:eastAsia="宋体" w:cs="宋体"/>
                <w:sz w:val="24"/>
                <w:highlight w:val="none"/>
              </w:rPr>
            </w:pPr>
          </w:p>
        </w:tc>
        <w:tc>
          <w:tcPr>
            <w:tcW w:w="1270" w:type="dxa"/>
            <w:noWrap w:val="0"/>
            <w:vAlign w:val="center"/>
          </w:tcPr>
          <w:p w14:paraId="51033D0B">
            <w:pPr>
              <w:wordWrap w:val="0"/>
              <w:jc w:val="center"/>
              <w:rPr>
                <w:rFonts w:hint="eastAsia" w:ascii="宋体" w:hAnsi="宋体" w:eastAsia="宋体" w:cs="宋体"/>
                <w:sz w:val="24"/>
                <w:highlight w:val="none"/>
              </w:rPr>
            </w:pPr>
          </w:p>
        </w:tc>
        <w:tc>
          <w:tcPr>
            <w:tcW w:w="1285" w:type="dxa"/>
            <w:gridSpan w:val="2"/>
            <w:noWrap w:val="0"/>
            <w:vAlign w:val="center"/>
          </w:tcPr>
          <w:p w14:paraId="62585072">
            <w:pPr>
              <w:wordWrap w:val="0"/>
              <w:jc w:val="center"/>
              <w:rPr>
                <w:rFonts w:hint="eastAsia" w:ascii="宋体" w:hAnsi="宋体" w:eastAsia="宋体" w:cs="宋体"/>
                <w:sz w:val="24"/>
                <w:highlight w:val="none"/>
              </w:rPr>
            </w:pPr>
          </w:p>
        </w:tc>
        <w:tc>
          <w:tcPr>
            <w:tcW w:w="1285" w:type="dxa"/>
            <w:noWrap w:val="0"/>
            <w:vAlign w:val="center"/>
          </w:tcPr>
          <w:p w14:paraId="162A517B">
            <w:pPr>
              <w:wordWrap w:val="0"/>
              <w:jc w:val="center"/>
              <w:rPr>
                <w:rFonts w:hint="eastAsia" w:ascii="宋体" w:hAnsi="宋体" w:eastAsia="宋体" w:cs="宋体"/>
                <w:sz w:val="24"/>
                <w:highlight w:val="none"/>
              </w:rPr>
            </w:pPr>
          </w:p>
        </w:tc>
      </w:tr>
      <w:tr w14:paraId="49E0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noWrap w:val="0"/>
            <w:vAlign w:val="center"/>
          </w:tcPr>
          <w:p w14:paraId="6A14ED83">
            <w:pPr>
              <w:wordWrap w:val="0"/>
              <w:jc w:val="center"/>
              <w:rPr>
                <w:rFonts w:hint="eastAsia" w:ascii="宋体" w:hAnsi="宋体" w:eastAsia="宋体" w:cs="宋体"/>
                <w:sz w:val="24"/>
                <w:highlight w:val="none"/>
              </w:rPr>
            </w:pPr>
            <w:r>
              <w:rPr>
                <w:rFonts w:hint="eastAsia" w:ascii="宋体" w:hAnsi="宋体" w:eastAsia="宋体" w:cs="宋体"/>
                <w:sz w:val="24"/>
                <w:highlight w:val="none"/>
              </w:rPr>
              <w:t>总报价</w:t>
            </w:r>
          </w:p>
        </w:tc>
        <w:tc>
          <w:tcPr>
            <w:tcW w:w="6807" w:type="dxa"/>
            <w:gridSpan w:val="6"/>
            <w:noWrap w:val="0"/>
            <w:vAlign w:val="center"/>
          </w:tcPr>
          <w:p w14:paraId="6C04E050">
            <w:pPr>
              <w:wordWrap w:val="0"/>
              <w:rPr>
                <w:rFonts w:hint="eastAsia" w:ascii="宋体" w:hAnsi="宋体" w:eastAsia="宋体" w:cs="宋体"/>
                <w:sz w:val="24"/>
                <w:highlight w:val="none"/>
              </w:rPr>
            </w:pPr>
            <w:r>
              <w:rPr>
                <w:rFonts w:hint="eastAsia" w:ascii="宋体" w:hAnsi="宋体" w:eastAsia="宋体" w:cs="宋体"/>
                <w:sz w:val="24"/>
                <w:highlight w:val="none"/>
              </w:rPr>
              <w:t>大写           （￥      ）</w:t>
            </w:r>
          </w:p>
        </w:tc>
      </w:tr>
      <w:tr w14:paraId="22F1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trPr>
        <w:tc>
          <w:tcPr>
            <w:tcW w:w="9060" w:type="dxa"/>
            <w:gridSpan w:val="7"/>
            <w:noWrap w:val="0"/>
            <w:vAlign w:val="top"/>
          </w:tcPr>
          <w:p w14:paraId="0101B897">
            <w:pPr>
              <w:wordWrap w:val="0"/>
              <w:rPr>
                <w:rFonts w:hint="eastAsia" w:ascii="宋体" w:hAnsi="宋体" w:eastAsia="宋体" w:cs="宋体"/>
                <w:sz w:val="24"/>
                <w:highlight w:val="none"/>
              </w:rPr>
            </w:pPr>
            <w:r>
              <w:rPr>
                <w:rFonts w:hint="eastAsia" w:ascii="宋体" w:hAnsi="宋体" w:eastAsia="宋体" w:cs="宋体"/>
                <w:sz w:val="24"/>
                <w:highlight w:val="none"/>
              </w:rPr>
              <w:t>服务要求：</w:t>
            </w:r>
          </w:p>
          <w:p w14:paraId="385AE0DE">
            <w:pPr>
              <w:wordWrap w:val="0"/>
              <w:rPr>
                <w:rFonts w:hint="eastAsia" w:ascii="宋体" w:hAnsi="宋体" w:eastAsia="宋体" w:cs="宋体"/>
                <w:sz w:val="24"/>
                <w:highlight w:val="none"/>
              </w:rPr>
            </w:pPr>
          </w:p>
          <w:p w14:paraId="7AE26199">
            <w:pPr>
              <w:wordWrap w:val="0"/>
              <w:rPr>
                <w:rFonts w:hint="eastAsia" w:ascii="宋体" w:hAnsi="宋体" w:eastAsia="宋体" w:cs="宋体"/>
                <w:sz w:val="24"/>
                <w:highlight w:val="none"/>
              </w:rPr>
            </w:pPr>
          </w:p>
          <w:p w14:paraId="14DA6481">
            <w:pPr>
              <w:wordWrap w:val="0"/>
              <w:rPr>
                <w:rFonts w:hint="eastAsia" w:ascii="宋体" w:hAnsi="宋体" w:eastAsia="宋体" w:cs="宋体"/>
                <w:sz w:val="24"/>
                <w:highlight w:val="none"/>
              </w:rPr>
            </w:pPr>
          </w:p>
        </w:tc>
      </w:tr>
    </w:tbl>
    <w:p w14:paraId="611C4D50">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eastAsia" w:ascii="宋体" w:hAnsi="宋体" w:eastAsia="宋体" w:cs="宋体"/>
          <w:spacing w:val="20"/>
          <w:sz w:val="24"/>
          <w:szCs w:val="24"/>
          <w:highlight w:val="none"/>
        </w:rPr>
      </w:pPr>
      <w:r>
        <w:rPr>
          <w:rFonts w:hint="eastAsia" w:ascii="宋体" w:hAnsi="宋体" w:eastAsia="宋体" w:cs="宋体"/>
          <w:b/>
          <w:bCs/>
          <w:spacing w:val="20"/>
          <w:sz w:val="24"/>
          <w:szCs w:val="24"/>
          <w:highlight w:val="none"/>
        </w:rPr>
        <w:t>注：</w:t>
      </w:r>
      <w:r>
        <w:rPr>
          <w:rFonts w:hint="eastAsia" w:ascii="宋体" w:hAnsi="宋体" w:eastAsia="宋体" w:cs="宋体"/>
          <w:spacing w:val="20"/>
          <w:sz w:val="24"/>
          <w:szCs w:val="24"/>
          <w:highlight w:val="none"/>
        </w:rPr>
        <w:t>1、供应商应根据其</w:t>
      </w:r>
      <w:r>
        <w:rPr>
          <w:rFonts w:hint="eastAsia" w:ascii="宋体" w:hAnsi="宋体" w:eastAsia="宋体" w:cs="宋体"/>
          <w:spacing w:val="20"/>
          <w:sz w:val="24"/>
          <w:szCs w:val="24"/>
          <w:highlight w:val="none"/>
          <w:lang w:val="en-US" w:eastAsia="zh-CN"/>
        </w:rPr>
        <w:t>响应</w:t>
      </w:r>
      <w:r>
        <w:rPr>
          <w:rFonts w:hint="eastAsia" w:ascii="宋体" w:hAnsi="宋体" w:eastAsia="宋体" w:cs="宋体"/>
          <w:spacing w:val="20"/>
          <w:sz w:val="24"/>
          <w:szCs w:val="24"/>
          <w:highlight w:val="none"/>
        </w:rPr>
        <w:t>情况填写该表，并保证其与</w:t>
      </w:r>
      <w:r>
        <w:rPr>
          <w:rFonts w:hint="eastAsia" w:ascii="宋体" w:hAnsi="宋体" w:eastAsia="宋体" w:cs="宋体"/>
          <w:spacing w:val="20"/>
          <w:sz w:val="24"/>
          <w:szCs w:val="24"/>
          <w:highlight w:val="none"/>
          <w:lang w:val="en-US" w:eastAsia="zh-CN"/>
        </w:rPr>
        <w:t>响应</w:t>
      </w:r>
      <w:r>
        <w:rPr>
          <w:rFonts w:hint="eastAsia" w:ascii="宋体" w:hAnsi="宋体" w:eastAsia="宋体" w:cs="宋体"/>
          <w:spacing w:val="20"/>
          <w:sz w:val="24"/>
          <w:szCs w:val="24"/>
          <w:highlight w:val="none"/>
        </w:rPr>
        <w:t>文件内容的一致性、正确性和真实性；</w:t>
      </w:r>
    </w:p>
    <w:p w14:paraId="164DAD83">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pacing w:val="20"/>
          <w:sz w:val="24"/>
          <w:szCs w:val="24"/>
          <w:highlight w:val="none"/>
        </w:rPr>
      </w:pPr>
      <w:r>
        <w:rPr>
          <w:rFonts w:hint="eastAsia" w:ascii="宋体" w:hAnsi="宋体" w:eastAsia="宋体" w:cs="宋体"/>
          <w:spacing w:val="20"/>
          <w:sz w:val="24"/>
          <w:szCs w:val="24"/>
          <w:highlight w:val="none"/>
        </w:rPr>
        <w:t>2、填写该表不代表供应商已具有中标</w:t>
      </w:r>
      <w:r>
        <w:rPr>
          <w:rFonts w:hint="eastAsia" w:ascii="宋体" w:hAnsi="宋体" w:eastAsia="宋体" w:cs="宋体"/>
          <w:spacing w:val="20"/>
          <w:sz w:val="24"/>
          <w:szCs w:val="24"/>
          <w:highlight w:val="none"/>
          <w:lang w:eastAsia="zh-CN"/>
        </w:rPr>
        <w:t>（</w:t>
      </w:r>
      <w:r>
        <w:rPr>
          <w:rFonts w:hint="eastAsia" w:ascii="宋体" w:hAnsi="宋体" w:eastAsia="宋体" w:cs="宋体"/>
          <w:spacing w:val="20"/>
          <w:sz w:val="24"/>
          <w:szCs w:val="24"/>
          <w:highlight w:val="none"/>
          <w:lang w:val="en-US" w:eastAsia="zh-CN"/>
        </w:rPr>
        <w:t>成交）人</w:t>
      </w:r>
      <w:r>
        <w:rPr>
          <w:rFonts w:hint="eastAsia" w:ascii="宋体" w:hAnsi="宋体" w:eastAsia="宋体" w:cs="宋体"/>
          <w:spacing w:val="20"/>
          <w:sz w:val="24"/>
          <w:szCs w:val="24"/>
          <w:highlight w:val="none"/>
        </w:rPr>
        <w:t>资格。本表只作为中标</w:t>
      </w:r>
      <w:r>
        <w:rPr>
          <w:rFonts w:hint="eastAsia" w:ascii="宋体" w:hAnsi="宋体" w:eastAsia="宋体" w:cs="宋体"/>
          <w:spacing w:val="20"/>
          <w:sz w:val="24"/>
          <w:szCs w:val="24"/>
          <w:highlight w:val="none"/>
          <w:lang w:eastAsia="zh-CN"/>
        </w:rPr>
        <w:t>（</w:t>
      </w:r>
      <w:r>
        <w:rPr>
          <w:rFonts w:hint="eastAsia" w:ascii="宋体" w:hAnsi="宋体" w:eastAsia="宋体" w:cs="宋体"/>
          <w:spacing w:val="20"/>
          <w:sz w:val="24"/>
          <w:szCs w:val="24"/>
          <w:highlight w:val="none"/>
          <w:lang w:val="en-US" w:eastAsia="zh-CN"/>
        </w:rPr>
        <w:t>成交）</w:t>
      </w:r>
      <w:r>
        <w:rPr>
          <w:rFonts w:hint="eastAsia" w:ascii="宋体" w:hAnsi="宋体" w:eastAsia="宋体" w:cs="宋体"/>
          <w:spacing w:val="20"/>
          <w:sz w:val="24"/>
          <w:szCs w:val="24"/>
          <w:highlight w:val="none"/>
        </w:rPr>
        <w:t>结果公告内容的一部分，进行公告使用；</w:t>
      </w:r>
    </w:p>
    <w:p w14:paraId="64F4B2B6">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pacing w:val="20"/>
          <w:sz w:val="24"/>
          <w:szCs w:val="24"/>
          <w:highlight w:val="none"/>
        </w:rPr>
      </w:pPr>
      <w:r>
        <w:rPr>
          <w:rFonts w:hint="eastAsia" w:ascii="宋体" w:hAnsi="宋体" w:eastAsia="宋体" w:cs="宋体"/>
          <w:spacing w:val="20"/>
          <w:sz w:val="24"/>
          <w:szCs w:val="24"/>
          <w:highlight w:val="none"/>
        </w:rPr>
        <w:t>3、本表内容涉及较多，供应商可以适当增减表格行数，以保证表格内容的完整；</w:t>
      </w:r>
    </w:p>
    <w:p w14:paraId="5EA8CF78">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pacing w:val="20"/>
          <w:sz w:val="24"/>
          <w:szCs w:val="24"/>
          <w:highlight w:val="none"/>
        </w:rPr>
      </w:pPr>
      <w:r>
        <w:rPr>
          <w:rFonts w:hint="eastAsia" w:ascii="宋体" w:hAnsi="宋体" w:eastAsia="宋体" w:cs="宋体"/>
          <w:spacing w:val="20"/>
          <w:sz w:val="24"/>
          <w:szCs w:val="24"/>
          <w:highlight w:val="none"/>
        </w:rPr>
        <w:fldChar w:fldCharType="begin"/>
      </w:r>
      <w:r>
        <w:rPr>
          <w:rFonts w:hint="eastAsia" w:ascii="宋体" w:hAnsi="宋体" w:eastAsia="宋体" w:cs="宋体"/>
          <w:spacing w:val="20"/>
          <w:sz w:val="24"/>
          <w:szCs w:val="24"/>
          <w:highlight w:val="none"/>
        </w:rPr>
        <w:instrText xml:space="preserve"> HYPERLINK "mailto:4、评审结果排名第一的供应商在评审结束后2个工作日内将该表格提交发送至邮箱\“lssggzyjyzx@163.com\”。" </w:instrText>
      </w:r>
      <w:r>
        <w:rPr>
          <w:rFonts w:hint="eastAsia" w:ascii="宋体" w:hAnsi="宋体" w:eastAsia="宋体" w:cs="宋体"/>
          <w:spacing w:val="20"/>
          <w:sz w:val="24"/>
          <w:szCs w:val="24"/>
          <w:highlight w:val="none"/>
        </w:rPr>
        <w:fldChar w:fldCharType="separate"/>
      </w:r>
      <w:r>
        <w:rPr>
          <w:rFonts w:hint="eastAsia" w:ascii="宋体" w:hAnsi="宋体" w:eastAsia="宋体" w:cs="宋体"/>
          <w:spacing w:val="20"/>
          <w:sz w:val="24"/>
          <w:szCs w:val="24"/>
          <w:highlight w:val="none"/>
        </w:rPr>
        <w:t>4、评审结果排名第一的供应商在评审结束后</w:t>
      </w:r>
      <w:r>
        <w:rPr>
          <w:rFonts w:hint="eastAsia" w:ascii="宋体" w:hAnsi="宋体" w:eastAsia="宋体" w:cs="宋体"/>
          <w:spacing w:val="20"/>
          <w:sz w:val="24"/>
          <w:szCs w:val="24"/>
          <w:highlight w:val="none"/>
          <w:lang w:val="en-US" w:eastAsia="zh-CN"/>
        </w:rPr>
        <w:t>1</w:t>
      </w:r>
      <w:r>
        <w:rPr>
          <w:rFonts w:hint="eastAsia" w:ascii="宋体" w:hAnsi="宋体" w:eastAsia="宋体" w:cs="宋体"/>
          <w:spacing w:val="20"/>
          <w:sz w:val="24"/>
          <w:szCs w:val="24"/>
          <w:highlight w:val="none"/>
        </w:rPr>
        <w:t>个工作日内将该表格提交</w:t>
      </w:r>
      <w:r>
        <w:rPr>
          <w:rFonts w:hint="eastAsia" w:ascii="宋体" w:hAnsi="宋体" w:eastAsia="宋体" w:cs="宋体"/>
          <w:spacing w:val="20"/>
          <w:sz w:val="24"/>
          <w:szCs w:val="24"/>
          <w:highlight w:val="none"/>
          <w:lang w:val="en-US" w:eastAsia="zh-CN"/>
        </w:rPr>
        <w:t>发送至邮箱</w:t>
      </w:r>
      <w:r>
        <w:rPr>
          <w:rFonts w:hint="eastAsia" w:ascii="宋体" w:hAnsi="宋体" w:eastAsia="宋体" w:cs="宋体"/>
          <w:bCs/>
          <w:sz w:val="24"/>
          <w:szCs w:val="24"/>
          <w:highlight w:val="none"/>
          <w:lang w:val="en-US" w:eastAsia="zh-CN"/>
        </w:rPr>
        <w:t>1778329860@qq.com</w:t>
      </w:r>
      <w:r>
        <w:rPr>
          <w:rFonts w:hint="eastAsia" w:ascii="宋体" w:hAnsi="宋体" w:eastAsia="宋体" w:cs="宋体"/>
          <w:spacing w:val="20"/>
          <w:sz w:val="24"/>
          <w:szCs w:val="24"/>
          <w:highlight w:val="none"/>
        </w:rPr>
        <w:t>。</w:t>
      </w:r>
      <w:r>
        <w:rPr>
          <w:rFonts w:hint="eastAsia" w:ascii="宋体" w:hAnsi="宋体" w:eastAsia="宋体" w:cs="宋体"/>
          <w:spacing w:val="20"/>
          <w:sz w:val="24"/>
          <w:szCs w:val="24"/>
          <w:highlight w:val="none"/>
        </w:rPr>
        <w:fldChar w:fldCharType="end"/>
      </w:r>
    </w:p>
    <w:p w14:paraId="1A129AA2">
      <w:pPr>
        <w:pStyle w:val="15"/>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cs="宋体"/>
          <w:sz w:val="24"/>
          <w:highlight w:val="none"/>
          <w:lang w:val="en-US" w:eastAsia="zh-CN"/>
        </w:rPr>
      </w:pPr>
      <w:r>
        <w:rPr>
          <w:rFonts w:hint="eastAsia" w:ascii="宋体" w:hAnsi="宋体" w:eastAsia="宋体" w:cs="宋体"/>
          <w:spacing w:val="20"/>
          <w:sz w:val="24"/>
          <w:szCs w:val="24"/>
          <w:highlight w:val="none"/>
        </w:rPr>
        <w:t>5、中标</w:t>
      </w:r>
      <w:r>
        <w:rPr>
          <w:rFonts w:hint="eastAsia" w:ascii="宋体" w:hAnsi="宋体" w:eastAsia="宋体" w:cs="宋体"/>
          <w:spacing w:val="20"/>
          <w:sz w:val="24"/>
          <w:szCs w:val="24"/>
          <w:highlight w:val="none"/>
          <w:lang w:eastAsia="zh-CN"/>
        </w:rPr>
        <w:t>（</w:t>
      </w:r>
      <w:r>
        <w:rPr>
          <w:rFonts w:hint="eastAsia" w:ascii="宋体" w:hAnsi="宋体" w:eastAsia="宋体" w:cs="宋体"/>
          <w:spacing w:val="20"/>
          <w:sz w:val="24"/>
          <w:szCs w:val="24"/>
          <w:highlight w:val="none"/>
          <w:lang w:val="en-US" w:eastAsia="zh-CN"/>
        </w:rPr>
        <w:t>成交</w:t>
      </w:r>
      <w:r>
        <w:rPr>
          <w:rFonts w:hint="eastAsia" w:ascii="宋体" w:hAnsi="宋体" w:eastAsia="宋体" w:cs="宋体"/>
          <w:spacing w:val="20"/>
          <w:sz w:val="24"/>
          <w:szCs w:val="24"/>
          <w:highlight w:val="none"/>
          <w:lang w:eastAsia="zh-CN"/>
        </w:rPr>
        <w:t>）</w:t>
      </w:r>
      <w:r>
        <w:rPr>
          <w:rFonts w:hint="eastAsia" w:ascii="宋体" w:hAnsi="宋体" w:eastAsia="宋体" w:cs="宋体"/>
          <w:spacing w:val="20"/>
          <w:sz w:val="24"/>
          <w:szCs w:val="24"/>
          <w:highlight w:val="none"/>
        </w:rPr>
        <w:t>结果公告内容如涉及供应商的商业秘密等法律法规规定可以不予公告的情形，供应商应另附书面说明，如未事前书面说明造成的后果由供应商自行承担。</w:t>
      </w:r>
    </w:p>
    <w:sectPr>
      <w:pgSz w:w="11906" w:h="16838"/>
      <w:pgMar w:top="1440" w:right="1440" w:bottom="1440" w:left="1440" w:header="851" w:footer="85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D2D2F">
    <w:pPr>
      <w:pBdr>
        <w:top w:val="single" w:color="auto" w:sz="4" w:space="1"/>
      </w:pBd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3607A">
    <w:pPr>
      <w:pStyle w:val="17"/>
      <w:jc w:val="center"/>
      <w:rPr>
        <w:rFonts w:ascii="仿宋_GB2312" w:eastAsia="仿宋_GB2312"/>
      </w:rPr>
    </w:pPr>
  </w:p>
  <w:p w14:paraId="0D29494A">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47639">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9737D">
    <w:pPr>
      <w:pStyle w:val="17"/>
      <w:rPr>
        <w:rFonts w:hint="eastAsia"/>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18D81">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EED42">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D615E">
    <w:pPr>
      <w:pStyle w:val="17"/>
      <w:pBdr>
        <w:top w:val="single" w:color="auto" w:sz="4" w:space="1"/>
      </w:pBd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61525">
    <w:pPr>
      <w:pStyle w:val="17"/>
      <w:framePr w:wrap="around" w:vAnchor="text" w:hAnchor="margin" w:xAlign="center" w:y="1"/>
      <w:rPr>
        <w:rStyle w:val="28"/>
      </w:rPr>
    </w:pPr>
    <w:r>
      <w:rPr>
        <w:rStyle w:val="28"/>
      </w:rPr>
      <w:fldChar w:fldCharType="begin"/>
    </w:r>
    <w:r>
      <w:rPr>
        <w:rStyle w:val="28"/>
        <w:highlight w:val="white"/>
      </w:rPr>
      <w:instrText xml:space="preserve">PAGE  </w:instrText>
    </w:r>
    <w:r>
      <w:rPr>
        <w:rStyle w:val="28"/>
      </w:rPr>
      <w:fldChar w:fldCharType="separate"/>
    </w:r>
    <w:r>
      <w:rPr>
        <w:rStyle w:val="28"/>
        <w:highlight w:val="white"/>
      </w:rPr>
      <w:t>52</w:t>
    </w:r>
    <w:r>
      <w:rPr>
        <w:rStyle w:val="28"/>
      </w:rPr>
      <w:fldChar w:fldCharType="end"/>
    </w:r>
  </w:p>
  <w:p w14:paraId="67821D59">
    <w:pPr>
      <w:pStyle w:val="1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46EFF">
    <w:pPr>
      <w:pStyle w:val="17"/>
      <w:jc w:val="center"/>
      <w:rPr>
        <w:rFonts w:ascii="仿宋_GB2312" w:eastAsia="仿宋_GB2312"/>
      </w:rPr>
    </w:pPr>
  </w:p>
  <w:p w14:paraId="2F0CC8E1">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73509">
    <w:pPr>
      <w:pStyle w:val="17"/>
      <w:jc w:val="center"/>
      <w:rPr>
        <w:rFonts w:ascii="仿宋_GB2312" w:eastAsia="仿宋_GB2312"/>
      </w:rPr>
    </w:pPr>
  </w:p>
  <w:p w14:paraId="09CB714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442EB">
    <w:pPr>
      <w:pStyle w:val="19"/>
      <w:pBdr>
        <w:bottom w:val="none" w:color="auto" w:sz="0" w:space="1"/>
      </w:pBdr>
      <w:ind w:right="-4"/>
      <w:jc w:val="left"/>
      <w:rPr>
        <w:rFonts w:ascii="仿宋_GB2312" w:hAnsi="宋体" w:eastAsia="仿宋_GB2312"/>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49EBF">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A2E9E">
    <w:pPr>
      <w:pStyle w:val="19"/>
      <w:pBdr>
        <w:bottom w:val="none" w:color="auto" w:sz="0" w:space="1"/>
      </w:pBdr>
      <w:ind w:right="-4"/>
      <w:jc w:val="left"/>
      <w:rPr>
        <w:rFonts w:ascii="仿宋_GB2312" w:hAnsi="宋体" w:eastAsia="仿宋_GB2312"/>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FD7EE">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B5FD7EE">
                    <w:pPr>
                      <w:pStyle w:val="19"/>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CA143">
    <w:pPr>
      <w:pStyle w:val="19"/>
      <w:pBdr>
        <w:bottom w:val="none" w:color="auto" w:sz="0" w:space="1"/>
      </w:pBdr>
      <w:ind w:right="-4"/>
      <w:jc w:val="left"/>
      <w:rPr>
        <w:rFonts w:ascii="仿宋_GB2312" w:hAnsi="宋体" w:eastAsia="仿宋_GB2312"/>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B1148">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66B1148">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BE815">
    <w:pPr>
      <w:pStyle w:val="19"/>
    </w:pPr>
    <w:r>
      <w:rPr>
        <w:rFonts w:hint="eastAsia" w:ascii="仿宋_GB2312" w:eastAsia="仿宋_GB2312"/>
        <w:sz w:val="24"/>
        <w:szCs w:val="24"/>
      </w:rPr>
      <w:t>丽水市政府采购中心</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38D67">
    <w:pPr>
      <w:pStyle w:val="19"/>
      <w:pBdr>
        <w:bottom w:val="none" w:color="auto" w:sz="0" w:space="1"/>
      </w:pBdr>
      <w:spacing w:line="240" w:lineRule="auto"/>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BEB18">
                          <w:pPr>
                            <w:pStyle w:val="19"/>
                          </w:pPr>
                          <w:r>
                            <w:t xml:space="preserve">第 </w:t>
                          </w:r>
                          <w:r>
                            <w:fldChar w:fldCharType="begin"/>
                          </w:r>
                          <w:r>
                            <w:instrText xml:space="preserve"> PAGE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D9BEB18">
                    <w:pPr>
                      <w:pStyle w:val="19"/>
                    </w:pPr>
                    <w:r>
                      <w:t xml:space="preserve">第 </w:t>
                    </w:r>
                    <w:r>
                      <w:fldChar w:fldCharType="begin"/>
                    </w:r>
                    <w:r>
                      <w:instrText xml:space="preserve"> PAGE  \* MERGEFORMAT </w:instrText>
                    </w:r>
                    <w:r>
                      <w:fldChar w:fldCharType="separate"/>
                    </w:r>
                    <w:r>
                      <w:t>83</w:t>
                    </w:r>
                    <w:r>
                      <w:fldChar w:fldCharType="end"/>
                    </w:r>
                    <w:r>
                      <w:t xml:space="preserve"> 页</w:t>
                    </w:r>
                  </w:p>
                </w:txbxContent>
              </v:textbox>
            </v:shape>
          </w:pict>
        </mc:Fallback>
      </mc:AlternateContent>
    </w:r>
  </w:p>
  <w:p w14:paraId="5E7945F8">
    <w:pPr>
      <w:pBdr>
        <w:bottom w:val="single" w:color="auto" w:sz="4"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3C9B8">
    <w:pPr>
      <w:pStyle w:val="19"/>
      <w:pBdr>
        <w:bottom w:val="none" w:color="auto" w:sz="0" w:space="1"/>
      </w:pBdr>
      <w:jc w:val="right"/>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F7F09">
                          <w:pPr>
                            <w:pStyle w:val="19"/>
                          </w:pPr>
                          <w:r>
                            <w:t xml:space="preserve">第 </w:t>
                          </w:r>
                          <w:r>
                            <w:fldChar w:fldCharType="begin"/>
                          </w:r>
                          <w:r>
                            <w:instrText xml:space="preserve"> PAGE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605F7F09">
                    <w:pPr>
                      <w:pStyle w:val="19"/>
                    </w:pPr>
                    <w:r>
                      <w:t xml:space="preserve">第 </w:t>
                    </w:r>
                    <w:r>
                      <w:fldChar w:fldCharType="begin"/>
                    </w:r>
                    <w:r>
                      <w:instrText xml:space="preserve"> PAGE  \* MERGEFORMAT </w:instrText>
                    </w:r>
                    <w:r>
                      <w:fldChar w:fldCharType="separate"/>
                    </w:r>
                    <w:r>
                      <w:t>82</w:t>
                    </w:r>
                    <w:r>
                      <w:fldChar w:fldCharType="end"/>
                    </w:r>
                    <w:r>
                      <w:t xml:space="preserve"> 页</w:t>
                    </w:r>
                  </w:p>
                </w:txbxContent>
              </v:textbox>
            </v:shape>
          </w:pict>
        </mc:Fallback>
      </mc:AlternateContent>
    </w:r>
    <w:r>
      <w:t></w:t>
    </w:r>
    <w:r>
      <w:rPr>
        <w:rFonts w:hint="eastAsia"/>
      </w:rPr>
      <w:t xml:space="preserve">                 </w:t>
    </w:r>
    <w: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CF0E8">
    <w:pPr>
      <w:pStyle w:val="19"/>
      <w:pBdr>
        <w:bottom w:val="none" w:color="auto" w:sz="0" w:space="1"/>
      </w:pBdr>
      <w:rPr>
        <w:rFonts w:ascii="仿宋_GB2312" w:eastAsia="仿宋_GB2312"/>
        <w:b/>
        <w:i/>
        <w:u w:val="single"/>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01A05">
                          <w:pPr>
                            <w:pStyle w:val="19"/>
                          </w:pPr>
                          <w:r>
                            <w:t xml:space="preserve">第 </w:t>
                          </w:r>
                          <w:r>
                            <w:fldChar w:fldCharType="begin"/>
                          </w:r>
                          <w:r>
                            <w:instrText xml:space="preserve"> PAGE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5D01A05">
                    <w:pPr>
                      <w:pStyle w:val="19"/>
                    </w:pPr>
                    <w:r>
                      <w:t xml:space="preserve">第 </w:t>
                    </w:r>
                    <w:r>
                      <w:fldChar w:fldCharType="begin"/>
                    </w:r>
                    <w:r>
                      <w:instrText xml:space="preserve"> PAGE  \* MERGEFORMAT </w:instrText>
                    </w:r>
                    <w:r>
                      <w:fldChar w:fldCharType="separate"/>
                    </w:r>
                    <w:r>
                      <w:t>86</w:t>
                    </w:r>
                    <w:r>
                      <w:fldChar w:fldCharType="end"/>
                    </w:r>
                    <w:r>
                      <w:t xml:space="preserve"> 页</w:t>
                    </w:r>
                  </w:p>
                </w:txbxContent>
              </v:textbox>
            </v:shape>
          </w:pict>
        </mc:Fallback>
      </mc:AlternateContent>
    </w:r>
    <w:r>
      <w:t></w:t>
    </w:r>
    <w:r>
      <w:rPr>
        <w:rFonts w:hint="eastAsia"/>
      </w:rPr>
      <w:t xml:space="preserve">                                                 </w:t>
    </w:r>
  </w:p>
  <w:p w14:paraId="0129D8FA">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88B111"/>
    <w:multiLevelType w:val="singleLevel"/>
    <w:tmpl w:val="D188B111"/>
    <w:lvl w:ilvl="0" w:tentative="0">
      <w:start w:val="2"/>
      <w:numFmt w:val="decimal"/>
      <w:suff w:val="nothing"/>
      <w:lvlText w:val="（%1）"/>
      <w:lvlJc w:val="left"/>
    </w:lvl>
  </w:abstractNum>
  <w:abstractNum w:abstractNumId="1">
    <w:nsid w:val="34C80C10"/>
    <w:multiLevelType w:val="singleLevel"/>
    <w:tmpl w:val="34C80C10"/>
    <w:lvl w:ilvl="0" w:tentative="0">
      <w:start w:val="3"/>
      <w:numFmt w:val="decimal"/>
      <w:suff w:val="space"/>
      <w:lvlText w:val="%1."/>
      <w:lvlJc w:val="left"/>
    </w:lvl>
  </w:abstractNum>
  <w:abstractNum w:abstractNumId="2">
    <w:nsid w:val="70074BFD"/>
    <w:multiLevelType w:val="singleLevel"/>
    <w:tmpl w:val="70074BFD"/>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wMzQ5OGUzMGI4NzNmMDg1MmI0YzFjZjEzMDFkNjYifQ=="/>
  </w:docVars>
  <w:rsids>
    <w:rsidRoot w:val="3DB43C36"/>
    <w:rsid w:val="000138DC"/>
    <w:rsid w:val="000B1AD9"/>
    <w:rsid w:val="0010169E"/>
    <w:rsid w:val="0011277F"/>
    <w:rsid w:val="00167CFD"/>
    <w:rsid w:val="001C3E10"/>
    <w:rsid w:val="002A3E74"/>
    <w:rsid w:val="002D1295"/>
    <w:rsid w:val="00406058"/>
    <w:rsid w:val="005011F6"/>
    <w:rsid w:val="006110AF"/>
    <w:rsid w:val="006B5821"/>
    <w:rsid w:val="0082635C"/>
    <w:rsid w:val="0089044D"/>
    <w:rsid w:val="00940D83"/>
    <w:rsid w:val="00A20F15"/>
    <w:rsid w:val="00A47812"/>
    <w:rsid w:val="00A57851"/>
    <w:rsid w:val="00BA21F7"/>
    <w:rsid w:val="00CA2A38"/>
    <w:rsid w:val="00D36782"/>
    <w:rsid w:val="00D56FAD"/>
    <w:rsid w:val="00E62CBE"/>
    <w:rsid w:val="00FC7028"/>
    <w:rsid w:val="012610EC"/>
    <w:rsid w:val="01DD3F07"/>
    <w:rsid w:val="022456C3"/>
    <w:rsid w:val="02553B50"/>
    <w:rsid w:val="02906359"/>
    <w:rsid w:val="02AE38DD"/>
    <w:rsid w:val="02AE7397"/>
    <w:rsid w:val="036B6D74"/>
    <w:rsid w:val="038A1BB2"/>
    <w:rsid w:val="03F4702C"/>
    <w:rsid w:val="052D1BDB"/>
    <w:rsid w:val="054B6C6E"/>
    <w:rsid w:val="057D7EDD"/>
    <w:rsid w:val="05DE7F94"/>
    <w:rsid w:val="06443B03"/>
    <w:rsid w:val="065A319F"/>
    <w:rsid w:val="06A74829"/>
    <w:rsid w:val="06D53145"/>
    <w:rsid w:val="070B1225"/>
    <w:rsid w:val="07C84A57"/>
    <w:rsid w:val="07E13D6B"/>
    <w:rsid w:val="0AFA5870"/>
    <w:rsid w:val="0C686809"/>
    <w:rsid w:val="0C8A5A23"/>
    <w:rsid w:val="0C8B4DB6"/>
    <w:rsid w:val="0CA23AC9"/>
    <w:rsid w:val="0D621ACA"/>
    <w:rsid w:val="0E3177FA"/>
    <w:rsid w:val="0E6F20D1"/>
    <w:rsid w:val="116C28F7"/>
    <w:rsid w:val="11DC49F2"/>
    <w:rsid w:val="11FE3E97"/>
    <w:rsid w:val="12435D4E"/>
    <w:rsid w:val="131441AA"/>
    <w:rsid w:val="13477178"/>
    <w:rsid w:val="14052CAA"/>
    <w:rsid w:val="1453434B"/>
    <w:rsid w:val="1468167B"/>
    <w:rsid w:val="14832432"/>
    <w:rsid w:val="14C33176"/>
    <w:rsid w:val="14E4587C"/>
    <w:rsid w:val="14F670A8"/>
    <w:rsid w:val="152C2AC9"/>
    <w:rsid w:val="15995C85"/>
    <w:rsid w:val="16556050"/>
    <w:rsid w:val="169A1CB5"/>
    <w:rsid w:val="17163BFF"/>
    <w:rsid w:val="173E6AE4"/>
    <w:rsid w:val="192F27D0"/>
    <w:rsid w:val="198C1D89"/>
    <w:rsid w:val="1B626A77"/>
    <w:rsid w:val="1C1147C7"/>
    <w:rsid w:val="1C984E5C"/>
    <w:rsid w:val="1CC311E2"/>
    <w:rsid w:val="1CD31A7D"/>
    <w:rsid w:val="1CD86547"/>
    <w:rsid w:val="1D61177E"/>
    <w:rsid w:val="1D7C0366"/>
    <w:rsid w:val="1DD106B2"/>
    <w:rsid w:val="1E29229C"/>
    <w:rsid w:val="1EE14925"/>
    <w:rsid w:val="1EF02DBA"/>
    <w:rsid w:val="1F095C2A"/>
    <w:rsid w:val="1F414296"/>
    <w:rsid w:val="1F737547"/>
    <w:rsid w:val="1FAD2F0F"/>
    <w:rsid w:val="1FD00C72"/>
    <w:rsid w:val="1FDC6E9A"/>
    <w:rsid w:val="213056EF"/>
    <w:rsid w:val="21627873"/>
    <w:rsid w:val="21C9678E"/>
    <w:rsid w:val="21D67962"/>
    <w:rsid w:val="22F07838"/>
    <w:rsid w:val="23614286"/>
    <w:rsid w:val="23841F48"/>
    <w:rsid w:val="23A75A11"/>
    <w:rsid w:val="24C50845"/>
    <w:rsid w:val="25754019"/>
    <w:rsid w:val="262477ED"/>
    <w:rsid w:val="26D62895"/>
    <w:rsid w:val="279D3FF0"/>
    <w:rsid w:val="27BF29D4"/>
    <w:rsid w:val="27FE6547"/>
    <w:rsid w:val="283D381D"/>
    <w:rsid w:val="284D4D6B"/>
    <w:rsid w:val="28D15A0A"/>
    <w:rsid w:val="290A4A78"/>
    <w:rsid w:val="29EE439A"/>
    <w:rsid w:val="2A8327EF"/>
    <w:rsid w:val="2B7F68C6"/>
    <w:rsid w:val="2BBE7D9C"/>
    <w:rsid w:val="2C8326FC"/>
    <w:rsid w:val="2D0F4D53"/>
    <w:rsid w:val="2D300825"/>
    <w:rsid w:val="2D7950D6"/>
    <w:rsid w:val="2DAE7D24"/>
    <w:rsid w:val="2E064392"/>
    <w:rsid w:val="2E385BE3"/>
    <w:rsid w:val="2E905A1F"/>
    <w:rsid w:val="2ECA527F"/>
    <w:rsid w:val="2F234AE5"/>
    <w:rsid w:val="2F8B3527"/>
    <w:rsid w:val="2FB76FDC"/>
    <w:rsid w:val="3001652C"/>
    <w:rsid w:val="300350FB"/>
    <w:rsid w:val="309367CC"/>
    <w:rsid w:val="31157DEB"/>
    <w:rsid w:val="31A21318"/>
    <w:rsid w:val="323B3865"/>
    <w:rsid w:val="32A73338"/>
    <w:rsid w:val="32BF4AEF"/>
    <w:rsid w:val="32DA022E"/>
    <w:rsid w:val="32E0684A"/>
    <w:rsid w:val="335B7731"/>
    <w:rsid w:val="34995BA6"/>
    <w:rsid w:val="34F565DC"/>
    <w:rsid w:val="35004802"/>
    <w:rsid w:val="35125342"/>
    <w:rsid w:val="35D40AC7"/>
    <w:rsid w:val="365957B7"/>
    <w:rsid w:val="36861D3A"/>
    <w:rsid w:val="36B03F9D"/>
    <w:rsid w:val="36C51E73"/>
    <w:rsid w:val="36F20CEE"/>
    <w:rsid w:val="37531CE0"/>
    <w:rsid w:val="37E55DAD"/>
    <w:rsid w:val="382E70F5"/>
    <w:rsid w:val="38AB11B6"/>
    <w:rsid w:val="39023D23"/>
    <w:rsid w:val="39155CA6"/>
    <w:rsid w:val="391F00CC"/>
    <w:rsid w:val="39530B47"/>
    <w:rsid w:val="3A982496"/>
    <w:rsid w:val="3B707ED9"/>
    <w:rsid w:val="3C811E6D"/>
    <w:rsid w:val="3D5A0F7D"/>
    <w:rsid w:val="3DB43C36"/>
    <w:rsid w:val="3E1201FF"/>
    <w:rsid w:val="3ECC2AA4"/>
    <w:rsid w:val="3F92745C"/>
    <w:rsid w:val="3F954A15"/>
    <w:rsid w:val="40057403"/>
    <w:rsid w:val="404B17A6"/>
    <w:rsid w:val="420D7B33"/>
    <w:rsid w:val="421C3A14"/>
    <w:rsid w:val="422F3E37"/>
    <w:rsid w:val="42F13E38"/>
    <w:rsid w:val="42F51E9D"/>
    <w:rsid w:val="43170066"/>
    <w:rsid w:val="43FD54AD"/>
    <w:rsid w:val="44D96F42"/>
    <w:rsid w:val="469236DC"/>
    <w:rsid w:val="4905470F"/>
    <w:rsid w:val="49D42A65"/>
    <w:rsid w:val="4A895CED"/>
    <w:rsid w:val="4AA414CB"/>
    <w:rsid w:val="4AFA050F"/>
    <w:rsid w:val="4B166E55"/>
    <w:rsid w:val="4B766626"/>
    <w:rsid w:val="4BB5041C"/>
    <w:rsid w:val="4C787DC7"/>
    <w:rsid w:val="4CB701C3"/>
    <w:rsid w:val="4DBB2424"/>
    <w:rsid w:val="4E45017D"/>
    <w:rsid w:val="4E923EF6"/>
    <w:rsid w:val="4ED82D9F"/>
    <w:rsid w:val="4F58617C"/>
    <w:rsid w:val="4FAC6946"/>
    <w:rsid w:val="507E1724"/>
    <w:rsid w:val="508D1917"/>
    <w:rsid w:val="51BF3DA2"/>
    <w:rsid w:val="524274E4"/>
    <w:rsid w:val="527728CF"/>
    <w:rsid w:val="537649E0"/>
    <w:rsid w:val="53AC47FA"/>
    <w:rsid w:val="542E6898"/>
    <w:rsid w:val="54E65AA0"/>
    <w:rsid w:val="56613C46"/>
    <w:rsid w:val="57212282"/>
    <w:rsid w:val="57621167"/>
    <w:rsid w:val="57D85BBE"/>
    <w:rsid w:val="58A531D6"/>
    <w:rsid w:val="58EF1411"/>
    <w:rsid w:val="59554FEC"/>
    <w:rsid w:val="59613991"/>
    <w:rsid w:val="598B6C60"/>
    <w:rsid w:val="5A0031AA"/>
    <w:rsid w:val="5A0507C0"/>
    <w:rsid w:val="5A5D23AA"/>
    <w:rsid w:val="5AAA17DC"/>
    <w:rsid w:val="5B12588A"/>
    <w:rsid w:val="5BF46D3E"/>
    <w:rsid w:val="5C3929A3"/>
    <w:rsid w:val="5CD54DC2"/>
    <w:rsid w:val="5D20099A"/>
    <w:rsid w:val="5D3C274B"/>
    <w:rsid w:val="5D99194B"/>
    <w:rsid w:val="5D997B9D"/>
    <w:rsid w:val="5DE74DAC"/>
    <w:rsid w:val="5EE25574"/>
    <w:rsid w:val="5F2E42C8"/>
    <w:rsid w:val="5F7F2DC3"/>
    <w:rsid w:val="61F12AC0"/>
    <w:rsid w:val="61F96E5C"/>
    <w:rsid w:val="62465E1A"/>
    <w:rsid w:val="637075F2"/>
    <w:rsid w:val="6429154F"/>
    <w:rsid w:val="64A44211"/>
    <w:rsid w:val="651346D9"/>
    <w:rsid w:val="66E56306"/>
    <w:rsid w:val="673E3563"/>
    <w:rsid w:val="67815701"/>
    <w:rsid w:val="67A331E2"/>
    <w:rsid w:val="67E44BBD"/>
    <w:rsid w:val="68112A26"/>
    <w:rsid w:val="68462C3C"/>
    <w:rsid w:val="689841A8"/>
    <w:rsid w:val="68A62762"/>
    <w:rsid w:val="68E61D28"/>
    <w:rsid w:val="6A70612A"/>
    <w:rsid w:val="6A8353C1"/>
    <w:rsid w:val="6AB853DB"/>
    <w:rsid w:val="6B3C7DBA"/>
    <w:rsid w:val="6B737946"/>
    <w:rsid w:val="6BAE6F47"/>
    <w:rsid w:val="6BE70549"/>
    <w:rsid w:val="6C4038DA"/>
    <w:rsid w:val="6C620F0B"/>
    <w:rsid w:val="6CFC7A0F"/>
    <w:rsid w:val="6DD662A4"/>
    <w:rsid w:val="6E144BD8"/>
    <w:rsid w:val="6F7F4719"/>
    <w:rsid w:val="71F50077"/>
    <w:rsid w:val="725B76BF"/>
    <w:rsid w:val="728E385B"/>
    <w:rsid w:val="72C20B27"/>
    <w:rsid w:val="72CF4277"/>
    <w:rsid w:val="733F48EB"/>
    <w:rsid w:val="735F0AE9"/>
    <w:rsid w:val="73776B6D"/>
    <w:rsid w:val="74994362"/>
    <w:rsid w:val="758871EC"/>
    <w:rsid w:val="75964C28"/>
    <w:rsid w:val="75C612F4"/>
    <w:rsid w:val="75C772E4"/>
    <w:rsid w:val="763C5112"/>
    <w:rsid w:val="76982C90"/>
    <w:rsid w:val="76E83DC6"/>
    <w:rsid w:val="76EE2DEB"/>
    <w:rsid w:val="77E93077"/>
    <w:rsid w:val="783654A2"/>
    <w:rsid w:val="7A1B7E60"/>
    <w:rsid w:val="7A49533E"/>
    <w:rsid w:val="7B430CF1"/>
    <w:rsid w:val="7C442F72"/>
    <w:rsid w:val="7CF57E0E"/>
    <w:rsid w:val="7D421753"/>
    <w:rsid w:val="7DA20010"/>
    <w:rsid w:val="7DD92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5">
    <w:name w:val="heading 1"/>
    <w:basedOn w:val="1"/>
    <w:next w:val="1"/>
    <w:qFormat/>
    <w:uiPriority w:val="0"/>
    <w:pPr>
      <w:keepNext/>
      <w:autoSpaceDE w:val="0"/>
      <w:autoSpaceDN w:val="0"/>
      <w:spacing w:line="360" w:lineRule="auto"/>
      <w:jc w:val="center"/>
      <w:textAlignment w:val="bottom"/>
      <w:outlineLvl w:val="0"/>
    </w:pPr>
    <w:rPr>
      <w:rFonts w:ascii="仿宋_GB2312" w:eastAsia="仿宋_GB2312"/>
      <w:b/>
      <w:sz w:val="44"/>
    </w:rPr>
  </w:style>
  <w:style w:type="paragraph" w:styleId="6">
    <w:name w:val="heading 2"/>
    <w:basedOn w:val="1"/>
    <w:next w:val="1"/>
    <w:autoRedefine/>
    <w:qFormat/>
    <w:uiPriority w:val="0"/>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7">
    <w:name w:val="heading 3"/>
    <w:basedOn w:val="1"/>
    <w:next w:val="8"/>
    <w:autoRedefine/>
    <w:qFormat/>
    <w:uiPriority w:val="0"/>
    <w:pPr>
      <w:keepNext/>
      <w:keepLines/>
      <w:spacing w:before="260" w:after="260" w:line="360" w:lineRule="auto"/>
      <w:ind w:firstLine="602" w:firstLineChars="200"/>
      <w:outlineLvl w:val="2"/>
    </w:pPr>
    <w:rPr>
      <w:rFonts w:ascii="仿宋_GB2312" w:eastAsia="仿宋_GB2312"/>
      <w:b/>
      <w:bCs/>
      <w:sz w:val="30"/>
      <w:szCs w:val="20"/>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autoRedefine/>
    <w:qFormat/>
    <w:uiPriority w:val="0"/>
    <w:pPr>
      <w:widowControl/>
      <w:ind w:firstLine="420" w:firstLineChars="200"/>
      <w:jc w:val="left"/>
    </w:pPr>
    <w:rPr>
      <w:kern w:val="0"/>
      <w:sz w:val="24"/>
      <w:szCs w:val="24"/>
    </w:rPr>
  </w:style>
  <w:style w:type="paragraph" w:styleId="3">
    <w:name w:val="Body Text Indent"/>
    <w:basedOn w:val="1"/>
    <w:next w:val="2"/>
    <w:autoRedefine/>
    <w:qFormat/>
    <w:uiPriority w:val="0"/>
    <w:pPr>
      <w:ind w:firstLine="540"/>
    </w:pPr>
    <w:rPr>
      <w:sz w:val="28"/>
      <w:szCs w:val="20"/>
    </w:rPr>
  </w:style>
  <w:style w:type="paragraph" w:customStyle="1" w:styleId="4">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paragraph" w:styleId="8">
    <w:name w:val="Normal Indent"/>
    <w:basedOn w:val="1"/>
    <w:autoRedefine/>
    <w:qFormat/>
    <w:uiPriority w:val="0"/>
    <w:pPr>
      <w:ind w:firstLine="420"/>
    </w:pPr>
    <w:rPr>
      <w:rFonts w:ascii="Times New Roman" w:hAnsi="Times New Roman"/>
      <w:szCs w:val="20"/>
    </w:rPr>
  </w:style>
  <w:style w:type="paragraph" w:styleId="9">
    <w:name w:val="annotation text"/>
    <w:basedOn w:val="1"/>
    <w:link w:val="52"/>
    <w:autoRedefine/>
    <w:qFormat/>
    <w:uiPriority w:val="0"/>
    <w:pPr>
      <w:jc w:val="left"/>
    </w:pPr>
  </w:style>
  <w:style w:type="paragraph" w:styleId="10">
    <w:name w:val="Body Text"/>
    <w:basedOn w:val="1"/>
    <w:next w:val="11"/>
    <w:semiHidden/>
    <w:unhideWhenUsed/>
    <w:qFormat/>
    <w:uiPriority w:val="99"/>
    <w:pPr>
      <w:spacing w:after="120"/>
    </w:pPr>
  </w:style>
  <w:style w:type="paragraph" w:styleId="11">
    <w:name w:val="Body Text First Indent"/>
    <w:basedOn w:val="10"/>
    <w:next w:val="12"/>
    <w:unhideWhenUsed/>
    <w:qFormat/>
    <w:uiPriority w:val="99"/>
    <w:pPr>
      <w:ind w:firstLine="420" w:firstLineChars="100"/>
    </w:pPr>
    <w:rPr>
      <w:sz w:val="21"/>
    </w:rPr>
  </w:style>
  <w:style w:type="paragraph" w:styleId="12">
    <w:name w:val="toc 6"/>
    <w:basedOn w:val="1"/>
    <w:next w:val="1"/>
    <w:unhideWhenUsed/>
    <w:qFormat/>
    <w:uiPriority w:val="39"/>
    <w:pPr>
      <w:ind w:left="1050"/>
      <w:jc w:val="left"/>
    </w:pPr>
    <w:rPr>
      <w:sz w:val="18"/>
      <w:szCs w:val="18"/>
    </w:rPr>
  </w:style>
  <w:style w:type="paragraph" w:styleId="13">
    <w:name w:val="toc 3"/>
    <w:basedOn w:val="1"/>
    <w:next w:val="1"/>
    <w:autoRedefine/>
    <w:qFormat/>
    <w:uiPriority w:val="39"/>
    <w:pPr>
      <w:spacing w:before="40" w:after="40"/>
      <w:ind w:left="200" w:leftChars="200"/>
      <w:jc w:val="left"/>
    </w:pPr>
    <w:rPr>
      <w:rFonts w:eastAsia="仿宋_GB2312"/>
      <w:iCs/>
      <w:sz w:val="20"/>
      <w:szCs w:val="20"/>
    </w:rPr>
  </w:style>
  <w:style w:type="paragraph" w:styleId="14">
    <w:name w:val="Plain Text"/>
    <w:basedOn w:val="1"/>
    <w:autoRedefine/>
    <w:qFormat/>
    <w:uiPriority w:val="0"/>
    <w:rPr>
      <w:rFonts w:ascii="宋体" w:hAnsi="Courier New"/>
      <w:szCs w:val="20"/>
    </w:rPr>
  </w:style>
  <w:style w:type="paragraph" w:styleId="15">
    <w:name w:val="Body Text Indent 2"/>
    <w:basedOn w:val="1"/>
    <w:qFormat/>
    <w:uiPriority w:val="0"/>
    <w:pPr>
      <w:snapToGrid w:val="0"/>
      <w:spacing w:line="400" w:lineRule="exact"/>
      <w:ind w:firstLine="480"/>
    </w:pPr>
    <w:rPr>
      <w:rFonts w:eastAsia="仿宋_GB2312"/>
      <w:sz w:val="24"/>
    </w:rPr>
  </w:style>
  <w:style w:type="paragraph" w:styleId="16">
    <w:name w:val="Balloon Text"/>
    <w:basedOn w:val="1"/>
    <w:link w:val="50"/>
    <w:qFormat/>
    <w:uiPriority w:val="0"/>
    <w:rPr>
      <w:sz w:val="18"/>
      <w:szCs w:val="18"/>
    </w:rPr>
  </w:style>
  <w:style w:type="paragraph" w:styleId="17">
    <w:name w:val="footer"/>
    <w:basedOn w:val="1"/>
    <w:link w:val="53"/>
    <w:autoRedefine/>
    <w:qFormat/>
    <w:uiPriority w:val="99"/>
    <w:pPr>
      <w:tabs>
        <w:tab w:val="center" w:pos="4153"/>
        <w:tab w:val="right" w:pos="8306"/>
      </w:tabs>
      <w:snapToGrid w:val="0"/>
      <w:jc w:val="left"/>
    </w:pPr>
    <w:rPr>
      <w:rFonts w:ascii="Times New Roman" w:hAnsi="Times New Roman"/>
      <w:sz w:val="18"/>
      <w:szCs w:val="18"/>
    </w:rPr>
  </w:style>
  <w:style w:type="paragraph" w:styleId="18">
    <w:name w:val="envelope return"/>
    <w:basedOn w:val="1"/>
    <w:qFormat/>
    <w:uiPriority w:val="0"/>
    <w:pPr>
      <w:snapToGrid w:val="0"/>
    </w:pPr>
    <w:rPr>
      <w:rFonts w:ascii="Arial" w:hAnsi="Arial" w:eastAsia="宋体" w:cs="Arial"/>
    </w:rPr>
  </w:style>
  <w:style w:type="paragraph" w:styleId="19">
    <w:name w:val="header"/>
    <w:basedOn w:val="1"/>
    <w:autoRedefine/>
    <w:qFormat/>
    <w:uiPriority w:val="0"/>
    <w:pPr>
      <w:pBdr>
        <w:bottom w:val="single" w:color="auto" w:sz="6" w:space="1"/>
      </w:pBdr>
      <w:tabs>
        <w:tab w:val="center" w:pos="4153"/>
        <w:tab w:val="right" w:pos="8306"/>
      </w:tabs>
      <w:adjustRightInd w:val="0"/>
      <w:spacing w:line="240" w:lineRule="atLeast"/>
      <w:jc w:val="center"/>
    </w:pPr>
    <w:rPr>
      <w:rFonts w:ascii="Times New Roman" w:hAnsi="Times New Roman"/>
      <w:kern w:val="0"/>
      <w:sz w:val="18"/>
      <w:szCs w:val="20"/>
    </w:rPr>
  </w:style>
  <w:style w:type="paragraph" w:styleId="20">
    <w:name w:val="toc 1"/>
    <w:basedOn w:val="1"/>
    <w:next w:val="1"/>
    <w:qFormat/>
    <w:uiPriority w:val="39"/>
    <w:pPr>
      <w:tabs>
        <w:tab w:val="right" w:leader="dot" w:pos="9060"/>
      </w:tabs>
      <w:spacing w:before="40" w:after="40"/>
      <w:jc w:val="left"/>
    </w:pPr>
    <w:rPr>
      <w:rFonts w:eastAsia="仿宋_GB2312"/>
      <w:b/>
      <w:bCs/>
      <w:caps/>
      <w:sz w:val="20"/>
      <w:szCs w:val="20"/>
    </w:rPr>
  </w:style>
  <w:style w:type="paragraph" w:styleId="21">
    <w:name w:val="List"/>
    <w:basedOn w:val="1"/>
    <w:autoRedefine/>
    <w:qFormat/>
    <w:uiPriority w:val="0"/>
    <w:pPr>
      <w:ind w:left="200" w:hanging="200" w:hangingChars="200"/>
    </w:pPr>
    <w:rPr>
      <w:rFonts w:ascii="Times New Roman" w:hAnsi="Times New Roman"/>
      <w:szCs w:val="24"/>
    </w:rPr>
  </w:style>
  <w:style w:type="paragraph" w:styleId="22">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23">
    <w:name w:val="Title"/>
    <w:basedOn w:val="1"/>
    <w:next w:val="1"/>
    <w:autoRedefine/>
    <w:qFormat/>
    <w:uiPriority w:val="0"/>
    <w:pPr>
      <w:spacing w:before="240" w:after="60"/>
      <w:jc w:val="center"/>
      <w:outlineLvl w:val="0"/>
    </w:pPr>
    <w:rPr>
      <w:rFonts w:ascii="Arial" w:hAnsi="Arial" w:cs="Arial"/>
      <w:b/>
      <w:bCs/>
      <w:sz w:val="32"/>
      <w:szCs w:val="32"/>
    </w:rPr>
  </w:style>
  <w:style w:type="table" w:styleId="25">
    <w:name w:val="Table Grid"/>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autoRedefine/>
    <w:qFormat/>
    <w:uiPriority w:val="0"/>
  </w:style>
  <w:style w:type="character" w:styleId="29">
    <w:name w:val="Hyperlink"/>
    <w:autoRedefine/>
    <w:qFormat/>
    <w:uiPriority w:val="99"/>
    <w:rPr>
      <w:color w:val="0000FF"/>
      <w:u w:val="single"/>
    </w:rPr>
  </w:style>
  <w:style w:type="character" w:styleId="30">
    <w:name w:val="annotation reference"/>
    <w:basedOn w:val="26"/>
    <w:autoRedefine/>
    <w:qFormat/>
    <w:uiPriority w:val="0"/>
    <w:rPr>
      <w:sz w:val="21"/>
      <w:szCs w:val="21"/>
    </w:rPr>
  </w:style>
  <w:style w:type="paragraph" w:customStyle="1" w:styleId="31">
    <w:name w:val="样式 正文文本缩进 + 左  0 字符"/>
    <w:basedOn w:val="3"/>
    <w:qFormat/>
    <w:uiPriority w:val="0"/>
    <w:pPr>
      <w:spacing w:after="0" w:line="360" w:lineRule="auto"/>
      <w:ind w:left="0" w:leftChars="0" w:firstLine="250" w:firstLineChars="250"/>
    </w:pPr>
    <w:rPr>
      <w:rFonts w:cs="宋体"/>
      <w:sz w:val="24"/>
    </w:rPr>
  </w:style>
  <w:style w:type="paragraph" w:customStyle="1" w:styleId="32">
    <w:name w:val="文章正文"/>
    <w:basedOn w:val="1"/>
    <w:autoRedefine/>
    <w:qFormat/>
    <w:uiPriority w:val="99"/>
    <w:pPr>
      <w:spacing w:line="360" w:lineRule="auto"/>
      <w:ind w:firstLine="200" w:firstLineChars="200"/>
    </w:pPr>
    <w:rPr>
      <w:sz w:val="24"/>
      <w:szCs w:val="24"/>
    </w:rPr>
  </w:style>
  <w:style w:type="paragraph" w:customStyle="1" w:styleId="33">
    <w:name w:val="Table Paragraph"/>
    <w:basedOn w:val="1"/>
    <w:autoRedefine/>
    <w:qFormat/>
    <w:uiPriority w:val="1"/>
    <w:pPr>
      <w:autoSpaceDE w:val="0"/>
      <w:autoSpaceDN w:val="0"/>
      <w:jc w:val="left"/>
    </w:pPr>
    <w:rPr>
      <w:rFonts w:ascii="华文中宋" w:hAnsi="华文中宋" w:eastAsia="华文中宋" w:cs="华文中宋"/>
      <w:kern w:val="0"/>
      <w:sz w:val="22"/>
      <w:lang w:val="zh-CN" w:bidi="zh-CN"/>
    </w:rPr>
  </w:style>
  <w:style w:type="paragraph" w:customStyle="1" w:styleId="34">
    <w:name w:val="样式 标题 31.1.1标题 333rd levelBOD 0Bold HeadCTH3H31Heading ...1"/>
    <w:basedOn w:val="7"/>
    <w:autoRedefine/>
    <w:qFormat/>
    <w:uiPriority w:val="0"/>
    <w:pPr>
      <w:spacing w:before="0" w:after="0"/>
      <w:ind w:firstLine="0" w:firstLineChars="0"/>
    </w:pPr>
    <w:rPr>
      <w:rFonts w:hAnsi="宋体" w:cs="宋体"/>
      <w:sz w:val="24"/>
    </w:rPr>
  </w:style>
  <w:style w:type="paragraph" w:customStyle="1" w:styleId="35">
    <w:name w:val="正文缩进1"/>
    <w:basedOn w:val="1"/>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6">
    <w:name w:val="索引 11"/>
    <w:basedOn w:val="1"/>
    <w:next w:val="1"/>
    <w:autoRedefine/>
    <w:qFormat/>
    <w:uiPriority w:val="99"/>
    <w:pPr>
      <w:spacing w:line="360" w:lineRule="auto"/>
    </w:pPr>
    <w:rPr>
      <w:rFonts w:ascii="仿宋_GB2312" w:eastAsia="仿宋_GB2312"/>
      <w:sz w:val="24"/>
      <w:szCs w:val="20"/>
    </w:rPr>
  </w:style>
  <w:style w:type="paragraph" w:customStyle="1" w:styleId="3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_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纯文本_3"/>
    <w:basedOn w:val="38"/>
    <w:autoRedefine/>
    <w:qFormat/>
    <w:uiPriority w:val="0"/>
    <w:rPr>
      <w:rFonts w:ascii="宋体" w:hAnsi="Courier New"/>
      <w:szCs w:val="20"/>
    </w:rPr>
  </w:style>
  <w:style w:type="paragraph" w:customStyle="1" w:styleId="40">
    <w:name w:val="正文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
    <w:name w:val="纯文本_0"/>
    <w:basedOn w:val="42"/>
    <w:autoRedefine/>
    <w:unhideWhenUsed/>
    <w:qFormat/>
    <w:uiPriority w:val="0"/>
    <w:rPr>
      <w:rFonts w:ascii="宋体" w:hAnsi="Courier New"/>
      <w:kern w:val="0"/>
      <w:sz w:val="20"/>
      <w:szCs w:val="20"/>
    </w:rPr>
  </w:style>
  <w:style w:type="paragraph" w:customStyle="1" w:styleId="42">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
    <w:name w:val="正文_2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纯文本_1"/>
    <w:basedOn w:val="45"/>
    <w:autoRedefine/>
    <w:qFormat/>
    <w:uiPriority w:val="0"/>
    <w:rPr>
      <w:rFonts w:ascii="宋体" w:hAnsi="Courier New"/>
      <w:szCs w:val="20"/>
    </w:rPr>
  </w:style>
  <w:style w:type="paragraph" w:customStyle="1" w:styleId="45">
    <w:name w:val="正文_3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8"/>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正文_1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
    <w:name w:val="正文_18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_13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0">
    <w:name w:val="批注框文本 字符"/>
    <w:basedOn w:val="26"/>
    <w:link w:val="16"/>
    <w:autoRedefine/>
    <w:qFormat/>
    <w:uiPriority w:val="0"/>
    <w:rPr>
      <w:rFonts w:ascii="Calibri" w:hAnsi="Calibri"/>
      <w:kern w:val="2"/>
      <w:sz w:val="18"/>
      <w:szCs w:val="18"/>
    </w:rPr>
  </w:style>
  <w:style w:type="paragraph" w:styleId="51">
    <w:name w:val="List Paragraph"/>
    <w:basedOn w:val="1"/>
    <w:autoRedefine/>
    <w:qFormat/>
    <w:uiPriority w:val="34"/>
    <w:pPr>
      <w:ind w:firstLine="420" w:firstLineChars="200"/>
    </w:pPr>
  </w:style>
  <w:style w:type="character" w:customStyle="1" w:styleId="52">
    <w:name w:val="批注文字 字符"/>
    <w:basedOn w:val="26"/>
    <w:link w:val="9"/>
    <w:autoRedefine/>
    <w:semiHidden/>
    <w:qFormat/>
    <w:uiPriority w:val="0"/>
    <w:rPr>
      <w:rFonts w:ascii="Calibri" w:hAnsi="Calibri"/>
      <w:kern w:val="2"/>
      <w:sz w:val="21"/>
      <w:szCs w:val="22"/>
    </w:rPr>
  </w:style>
  <w:style w:type="character" w:customStyle="1" w:styleId="53">
    <w:name w:val="页脚 字符"/>
    <w:basedOn w:val="26"/>
    <w:link w:val="17"/>
    <w:autoRedefine/>
    <w:qFormat/>
    <w:uiPriority w:val="99"/>
    <w:rPr>
      <w:kern w:val="2"/>
      <w:sz w:val="18"/>
      <w:szCs w:val="18"/>
    </w:rPr>
  </w:style>
  <w:style w:type="paragraph" w:customStyle="1" w:styleId="54">
    <w:name w:val="纯文本1"/>
    <w:basedOn w:val="1"/>
    <w:qFormat/>
    <w:uiPriority w:val="0"/>
    <w:pPr>
      <w:widowControl/>
      <w:jc w:val="left"/>
    </w:pPr>
    <w:rPr>
      <w:rFonts w:ascii="宋体" w:hAnsi="Courier New" w:eastAsia="宋体"/>
      <w:sz w:val="21"/>
      <w:szCs w:val="20"/>
    </w:rPr>
  </w:style>
  <w:style w:type="paragraph" w:customStyle="1" w:styleId="55">
    <w:name w:val="正文_8_0"/>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8.png"/><Relationship Id="rId98" Type="http://schemas.openxmlformats.org/officeDocument/2006/relationships/image" Target="media/image77.png"/><Relationship Id="rId97" Type="http://schemas.openxmlformats.org/officeDocument/2006/relationships/image" Target="media/image76.png"/><Relationship Id="rId96" Type="http://schemas.openxmlformats.org/officeDocument/2006/relationships/image" Target="media/image75.png"/><Relationship Id="rId95" Type="http://schemas.openxmlformats.org/officeDocument/2006/relationships/image" Target="media/image74.png"/><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header" Target="header4.xml"/><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footer" Target="footer3.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header" Target="header3.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pn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footer" Target="footer2.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jpe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jpe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3" Type="http://schemas.openxmlformats.org/officeDocument/2006/relationships/fontTable" Target="fontTable.xml"/><Relationship Id="rId142" Type="http://schemas.openxmlformats.org/officeDocument/2006/relationships/numbering" Target="numbering.xml"/><Relationship Id="rId141" Type="http://schemas.openxmlformats.org/officeDocument/2006/relationships/customXml" Target="../customXml/item1.xml"/><Relationship Id="rId140" Type="http://schemas.openxmlformats.org/officeDocument/2006/relationships/image" Target="media/image119.png"/><Relationship Id="rId14" Type="http://schemas.openxmlformats.org/officeDocument/2006/relationships/footer" Target="footer7.xml"/><Relationship Id="rId139" Type="http://schemas.openxmlformats.org/officeDocument/2006/relationships/image" Target="media/image118.png"/><Relationship Id="rId138" Type="http://schemas.openxmlformats.org/officeDocument/2006/relationships/image" Target="media/image117.png"/><Relationship Id="rId137" Type="http://schemas.openxmlformats.org/officeDocument/2006/relationships/image" Target="media/image116.png"/><Relationship Id="rId136" Type="http://schemas.openxmlformats.org/officeDocument/2006/relationships/image" Target="media/image115.png"/><Relationship Id="rId135" Type="http://schemas.openxmlformats.org/officeDocument/2006/relationships/image" Target="media/image114.png"/><Relationship Id="rId134" Type="http://schemas.openxmlformats.org/officeDocument/2006/relationships/image" Target="media/image113.png"/><Relationship Id="rId133" Type="http://schemas.openxmlformats.org/officeDocument/2006/relationships/image" Target="media/image112.png"/><Relationship Id="rId132" Type="http://schemas.openxmlformats.org/officeDocument/2006/relationships/image" Target="media/image111.png"/><Relationship Id="rId131" Type="http://schemas.openxmlformats.org/officeDocument/2006/relationships/image" Target="media/image110.png"/><Relationship Id="rId130" Type="http://schemas.openxmlformats.org/officeDocument/2006/relationships/image" Target="media/image109.png"/><Relationship Id="rId13" Type="http://schemas.openxmlformats.org/officeDocument/2006/relationships/footer" Target="footer6.xml"/><Relationship Id="rId129" Type="http://schemas.openxmlformats.org/officeDocument/2006/relationships/image" Target="media/image108.png"/><Relationship Id="rId128" Type="http://schemas.openxmlformats.org/officeDocument/2006/relationships/image" Target="media/image107.png"/><Relationship Id="rId127" Type="http://schemas.openxmlformats.org/officeDocument/2006/relationships/image" Target="media/image106.png"/><Relationship Id="rId126" Type="http://schemas.openxmlformats.org/officeDocument/2006/relationships/image" Target="media/image105.png"/><Relationship Id="rId125" Type="http://schemas.openxmlformats.org/officeDocument/2006/relationships/image" Target="media/image104.png"/><Relationship Id="rId124" Type="http://schemas.openxmlformats.org/officeDocument/2006/relationships/image" Target="media/image103.png"/><Relationship Id="rId123" Type="http://schemas.openxmlformats.org/officeDocument/2006/relationships/image" Target="media/image102.png"/><Relationship Id="rId122" Type="http://schemas.openxmlformats.org/officeDocument/2006/relationships/image" Target="media/image101.png"/><Relationship Id="rId121" Type="http://schemas.openxmlformats.org/officeDocument/2006/relationships/image" Target="media/image100.png"/><Relationship Id="rId120" Type="http://schemas.openxmlformats.org/officeDocument/2006/relationships/image" Target="media/image99.png"/><Relationship Id="rId12" Type="http://schemas.openxmlformats.org/officeDocument/2006/relationships/header" Target="header5.xml"/><Relationship Id="rId119" Type="http://schemas.openxmlformats.org/officeDocument/2006/relationships/image" Target="media/image98.png"/><Relationship Id="rId118" Type="http://schemas.openxmlformats.org/officeDocument/2006/relationships/image" Target="media/image97.png"/><Relationship Id="rId117" Type="http://schemas.openxmlformats.org/officeDocument/2006/relationships/image" Target="media/image96.png"/><Relationship Id="rId116" Type="http://schemas.openxmlformats.org/officeDocument/2006/relationships/image" Target="media/image95.png"/><Relationship Id="rId115" Type="http://schemas.openxmlformats.org/officeDocument/2006/relationships/image" Target="media/image94.png"/><Relationship Id="rId114" Type="http://schemas.openxmlformats.org/officeDocument/2006/relationships/image" Target="media/image93.png"/><Relationship Id="rId113" Type="http://schemas.openxmlformats.org/officeDocument/2006/relationships/image" Target="media/image92.png"/><Relationship Id="rId112" Type="http://schemas.openxmlformats.org/officeDocument/2006/relationships/image" Target="media/image91.png"/><Relationship Id="rId111" Type="http://schemas.openxmlformats.org/officeDocument/2006/relationships/image" Target="media/image90.png"/><Relationship Id="rId110" Type="http://schemas.openxmlformats.org/officeDocument/2006/relationships/image" Target="media/image89.png"/><Relationship Id="rId11" Type="http://schemas.openxmlformats.org/officeDocument/2006/relationships/footer" Target="footer5.xml"/><Relationship Id="rId109" Type="http://schemas.openxmlformats.org/officeDocument/2006/relationships/image" Target="media/image88.png"/><Relationship Id="rId108" Type="http://schemas.openxmlformats.org/officeDocument/2006/relationships/image" Target="media/image87.png"/><Relationship Id="rId107" Type="http://schemas.openxmlformats.org/officeDocument/2006/relationships/image" Target="media/image86.png"/><Relationship Id="rId106" Type="http://schemas.openxmlformats.org/officeDocument/2006/relationships/image" Target="media/image85.png"/><Relationship Id="rId105" Type="http://schemas.openxmlformats.org/officeDocument/2006/relationships/image" Target="media/image84.png"/><Relationship Id="rId104" Type="http://schemas.openxmlformats.org/officeDocument/2006/relationships/image" Target="media/image83.png"/><Relationship Id="rId103" Type="http://schemas.openxmlformats.org/officeDocument/2006/relationships/image" Target="media/image82.png"/><Relationship Id="rId102" Type="http://schemas.openxmlformats.org/officeDocument/2006/relationships/image" Target="media/image81.png"/><Relationship Id="rId101" Type="http://schemas.openxmlformats.org/officeDocument/2006/relationships/image" Target="media/image80.png"/><Relationship Id="rId100" Type="http://schemas.openxmlformats.org/officeDocument/2006/relationships/image" Target="media/image79.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12448</Words>
  <Characters>15668</Characters>
  <Lines>382</Lines>
  <Paragraphs>107</Paragraphs>
  <TotalTime>4</TotalTime>
  <ScaleCrop>false</ScaleCrop>
  <LinksUpToDate>false</LinksUpToDate>
  <CharactersWithSpaces>18148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2024-05-11T08:37:00Z</dcterms:created>
  <dc:creator>H</dc:creator>
  <cp:lastModifiedBy>放肆的自由</cp:lastModifiedBy>
  <cp:lastPrinted>2025-06-19T07:47:31Z</cp:lastPrinted>
  <dcterms:modified xsi:type="dcterms:W3CDTF">2025-06-19T08:29:45Z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49BF00CE64BE4E5D9EEB04F2F444FF47_13</vt:lpwstr>
  </property>
  <property fmtid="{D5CDD505-2E9C-101B-9397-08002B2CF9AE}" pid="4" name="KSOTemplateDocerSaveRecord">
    <vt:lpwstr>eyJoZGlkIjoiZGI3MGExYTY1YzNiMGVkOGY2MGQwMWZmNTdkODE3ZTEiLCJ1c2VySWQiOiIyOTMyNDAyMTIifQ==</vt:lpwstr>
  </property>
</Properties>
</file>